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30BEA" w14:paraId="1FFCB46A" w14:textId="77777777">
        <w:trPr>
          <w:cantSplit/>
        </w:trPr>
        <w:tc>
          <w:tcPr>
            <w:tcW w:w="6912" w:type="dxa"/>
          </w:tcPr>
          <w:p w14:paraId="668EC169" w14:textId="77777777" w:rsidR="00520F36" w:rsidRPr="00030BEA" w:rsidRDefault="00520F36" w:rsidP="00AF4E79">
            <w:pPr>
              <w:spacing w:before="360"/>
            </w:pPr>
            <w:bookmarkStart w:id="0" w:name="dc06"/>
            <w:bookmarkEnd w:id="0"/>
            <w:r w:rsidRPr="00030BEA">
              <w:rPr>
                <w:b/>
                <w:bCs/>
                <w:sz w:val="30"/>
                <w:szCs w:val="30"/>
              </w:rPr>
              <w:t>Conseil 20</w:t>
            </w:r>
            <w:r w:rsidR="009C353C" w:rsidRPr="00030BEA">
              <w:rPr>
                <w:b/>
                <w:bCs/>
                <w:sz w:val="30"/>
                <w:szCs w:val="30"/>
              </w:rPr>
              <w:t>2</w:t>
            </w:r>
            <w:r w:rsidR="004D1D50" w:rsidRPr="00030BEA">
              <w:rPr>
                <w:b/>
                <w:bCs/>
                <w:sz w:val="30"/>
                <w:szCs w:val="30"/>
              </w:rPr>
              <w:t>1</w:t>
            </w:r>
            <w:r w:rsidRPr="00030BEA">
              <w:rPr>
                <w:rFonts w:ascii="Verdana" w:hAnsi="Verdana"/>
                <w:b/>
                <w:bCs/>
                <w:sz w:val="26"/>
                <w:szCs w:val="26"/>
              </w:rPr>
              <w:br/>
            </w:r>
            <w:r w:rsidR="004D1D50" w:rsidRPr="00030BEA">
              <w:rPr>
                <w:b/>
                <w:bCs/>
                <w:sz w:val="28"/>
                <w:szCs w:val="28"/>
              </w:rPr>
              <w:t>Consultation virtuelle des Conseillers</w:t>
            </w:r>
            <w:r w:rsidRPr="00030BEA">
              <w:rPr>
                <w:b/>
                <w:bCs/>
                <w:sz w:val="28"/>
                <w:szCs w:val="28"/>
              </w:rPr>
              <w:t xml:space="preserve">, </w:t>
            </w:r>
            <w:r w:rsidR="004D1D50" w:rsidRPr="00030BEA">
              <w:rPr>
                <w:b/>
                <w:bCs/>
                <w:sz w:val="28"/>
                <w:szCs w:val="28"/>
              </w:rPr>
              <w:t>8</w:t>
            </w:r>
            <w:r w:rsidRPr="00030BEA">
              <w:rPr>
                <w:b/>
                <w:bCs/>
                <w:sz w:val="28"/>
                <w:szCs w:val="28"/>
              </w:rPr>
              <w:t>-</w:t>
            </w:r>
            <w:r w:rsidR="009C353C" w:rsidRPr="00030BEA">
              <w:rPr>
                <w:b/>
                <w:bCs/>
                <w:sz w:val="28"/>
                <w:szCs w:val="28"/>
              </w:rPr>
              <w:t>1</w:t>
            </w:r>
            <w:r w:rsidR="004D1D50" w:rsidRPr="00030BEA">
              <w:rPr>
                <w:b/>
                <w:bCs/>
                <w:sz w:val="28"/>
                <w:szCs w:val="28"/>
              </w:rPr>
              <w:t>8</w:t>
            </w:r>
            <w:r w:rsidR="00106B19" w:rsidRPr="00030BEA">
              <w:rPr>
                <w:b/>
                <w:bCs/>
                <w:sz w:val="28"/>
                <w:szCs w:val="28"/>
              </w:rPr>
              <w:t xml:space="preserve"> juin</w:t>
            </w:r>
            <w:r w:rsidRPr="00030BEA">
              <w:rPr>
                <w:b/>
                <w:bCs/>
                <w:sz w:val="28"/>
                <w:szCs w:val="28"/>
              </w:rPr>
              <w:t xml:space="preserve"> 20</w:t>
            </w:r>
            <w:r w:rsidR="009C353C" w:rsidRPr="00030BEA">
              <w:rPr>
                <w:b/>
                <w:bCs/>
                <w:sz w:val="28"/>
                <w:szCs w:val="28"/>
              </w:rPr>
              <w:t>2</w:t>
            </w:r>
            <w:r w:rsidR="004D1D50" w:rsidRPr="00030BEA">
              <w:rPr>
                <w:b/>
                <w:bCs/>
                <w:sz w:val="28"/>
                <w:szCs w:val="28"/>
              </w:rPr>
              <w:t>1</w:t>
            </w:r>
          </w:p>
        </w:tc>
        <w:tc>
          <w:tcPr>
            <w:tcW w:w="3261" w:type="dxa"/>
          </w:tcPr>
          <w:p w14:paraId="0D9ECBCA" w14:textId="77777777" w:rsidR="00520F36" w:rsidRPr="00030BEA" w:rsidRDefault="009C353C" w:rsidP="00AF4E79">
            <w:pPr>
              <w:spacing w:before="0"/>
            </w:pPr>
            <w:bookmarkStart w:id="1" w:name="ditulogo"/>
            <w:bookmarkEnd w:id="1"/>
            <w:r w:rsidRPr="00030BEA">
              <w:rPr>
                <w:noProof/>
                <w:lang w:val="en-US"/>
              </w:rPr>
              <w:drawing>
                <wp:inline distT="0" distB="0" distL="0" distR="0" wp14:anchorId="51412E10" wp14:editId="4C91053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030BEA" w14:paraId="285E4992" w14:textId="77777777" w:rsidTr="00CC2FE8">
        <w:trPr>
          <w:cantSplit/>
          <w:trHeight w:val="20"/>
        </w:trPr>
        <w:tc>
          <w:tcPr>
            <w:tcW w:w="6912" w:type="dxa"/>
            <w:tcBorders>
              <w:bottom w:val="single" w:sz="12" w:space="0" w:color="auto"/>
            </w:tcBorders>
            <w:vAlign w:val="center"/>
          </w:tcPr>
          <w:p w14:paraId="3CA20A8B" w14:textId="77777777" w:rsidR="00520F36" w:rsidRPr="00030BEA" w:rsidRDefault="00520F36" w:rsidP="00AF4E79">
            <w:pPr>
              <w:spacing w:before="0"/>
              <w:rPr>
                <w:b/>
                <w:bCs/>
                <w:sz w:val="26"/>
                <w:szCs w:val="26"/>
              </w:rPr>
            </w:pPr>
          </w:p>
        </w:tc>
        <w:tc>
          <w:tcPr>
            <w:tcW w:w="3261" w:type="dxa"/>
            <w:tcBorders>
              <w:bottom w:val="single" w:sz="12" w:space="0" w:color="auto"/>
            </w:tcBorders>
          </w:tcPr>
          <w:p w14:paraId="2F7B4DA4" w14:textId="77777777" w:rsidR="00520F36" w:rsidRPr="00030BEA" w:rsidRDefault="00520F36" w:rsidP="00AF4E79">
            <w:pPr>
              <w:spacing w:before="0"/>
              <w:rPr>
                <w:b/>
                <w:bCs/>
              </w:rPr>
            </w:pPr>
          </w:p>
        </w:tc>
      </w:tr>
      <w:tr w:rsidR="00520F36" w:rsidRPr="00030BEA" w14:paraId="587535A0" w14:textId="77777777">
        <w:trPr>
          <w:cantSplit/>
          <w:trHeight w:val="20"/>
        </w:trPr>
        <w:tc>
          <w:tcPr>
            <w:tcW w:w="6912" w:type="dxa"/>
            <w:tcBorders>
              <w:top w:val="single" w:sz="12" w:space="0" w:color="auto"/>
            </w:tcBorders>
          </w:tcPr>
          <w:p w14:paraId="44393A55" w14:textId="77777777" w:rsidR="00520F36" w:rsidRPr="00030BEA" w:rsidRDefault="00520F36" w:rsidP="00AF4E79">
            <w:pPr>
              <w:spacing w:before="0"/>
              <w:rPr>
                <w:smallCaps/>
                <w:sz w:val="22"/>
              </w:rPr>
            </w:pPr>
          </w:p>
        </w:tc>
        <w:tc>
          <w:tcPr>
            <w:tcW w:w="3261" w:type="dxa"/>
            <w:tcBorders>
              <w:top w:val="single" w:sz="12" w:space="0" w:color="auto"/>
            </w:tcBorders>
          </w:tcPr>
          <w:p w14:paraId="627FB5FA" w14:textId="77777777" w:rsidR="00520F36" w:rsidRPr="00030BEA" w:rsidRDefault="00520F36" w:rsidP="00AF4E79">
            <w:pPr>
              <w:spacing w:before="0"/>
              <w:rPr>
                <w:b/>
                <w:bCs/>
              </w:rPr>
            </w:pPr>
          </w:p>
        </w:tc>
      </w:tr>
      <w:tr w:rsidR="00520F36" w:rsidRPr="00030BEA" w14:paraId="2FA3FD3B" w14:textId="77777777">
        <w:trPr>
          <w:cantSplit/>
          <w:trHeight w:val="20"/>
        </w:trPr>
        <w:tc>
          <w:tcPr>
            <w:tcW w:w="6912" w:type="dxa"/>
            <w:vMerge w:val="restart"/>
          </w:tcPr>
          <w:p w14:paraId="239713FE" w14:textId="77777777" w:rsidR="00520F36" w:rsidRPr="00030BEA" w:rsidRDefault="00520F36" w:rsidP="00AF4E79">
            <w:pPr>
              <w:spacing w:before="0"/>
              <w:rPr>
                <w:rFonts w:cs="Times"/>
                <w:b/>
                <w:bCs/>
                <w:szCs w:val="24"/>
              </w:rPr>
            </w:pPr>
            <w:bookmarkStart w:id="2" w:name="dnum" w:colFirst="1" w:colLast="1"/>
            <w:bookmarkStart w:id="3" w:name="dmeeting" w:colFirst="0" w:colLast="0"/>
          </w:p>
        </w:tc>
        <w:tc>
          <w:tcPr>
            <w:tcW w:w="3261" w:type="dxa"/>
          </w:tcPr>
          <w:p w14:paraId="75E6BB15" w14:textId="6286AB57" w:rsidR="00520F36" w:rsidRPr="00030BEA" w:rsidRDefault="00520F36" w:rsidP="00AF4E79">
            <w:pPr>
              <w:spacing w:before="0"/>
              <w:rPr>
                <w:b/>
                <w:bCs/>
              </w:rPr>
            </w:pPr>
            <w:r w:rsidRPr="00030BEA">
              <w:rPr>
                <w:b/>
                <w:bCs/>
              </w:rPr>
              <w:t>Document C</w:t>
            </w:r>
            <w:r w:rsidR="009C353C" w:rsidRPr="00030BEA">
              <w:rPr>
                <w:b/>
                <w:bCs/>
              </w:rPr>
              <w:t>2</w:t>
            </w:r>
            <w:r w:rsidR="004D1D50" w:rsidRPr="00030BEA">
              <w:rPr>
                <w:b/>
                <w:bCs/>
              </w:rPr>
              <w:t>1</w:t>
            </w:r>
            <w:r w:rsidRPr="00030BEA">
              <w:rPr>
                <w:b/>
                <w:bCs/>
              </w:rPr>
              <w:t>/</w:t>
            </w:r>
            <w:r w:rsidR="000F42C9" w:rsidRPr="00030BEA">
              <w:rPr>
                <w:b/>
                <w:bCs/>
              </w:rPr>
              <w:t>22</w:t>
            </w:r>
            <w:r w:rsidRPr="00030BEA">
              <w:rPr>
                <w:b/>
                <w:bCs/>
              </w:rPr>
              <w:t>-F</w:t>
            </w:r>
          </w:p>
        </w:tc>
      </w:tr>
      <w:tr w:rsidR="00520F36" w:rsidRPr="00030BEA" w14:paraId="0D505BE4" w14:textId="77777777">
        <w:trPr>
          <w:cantSplit/>
          <w:trHeight w:val="20"/>
        </w:trPr>
        <w:tc>
          <w:tcPr>
            <w:tcW w:w="6912" w:type="dxa"/>
            <w:vMerge/>
          </w:tcPr>
          <w:p w14:paraId="413689CA" w14:textId="77777777" w:rsidR="00520F36" w:rsidRPr="00030BEA" w:rsidRDefault="00520F36" w:rsidP="00AF4E79">
            <w:pPr>
              <w:shd w:val="solid" w:color="FFFFFF" w:fill="FFFFFF"/>
              <w:spacing w:before="180"/>
              <w:rPr>
                <w:smallCaps/>
              </w:rPr>
            </w:pPr>
            <w:bookmarkStart w:id="4" w:name="ddate" w:colFirst="1" w:colLast="1"/>
            <w:bookmarkEnd w:id="2"/>
            <w:bookmarkEnd w:id="3"/>
          </w:p>
        </w:tc>
        <w:tc>
          <w:tcPr>
            <w:tcW w:w="3261" w:type="dxa"/>
          </w:tcPr>
          <w:p w14:paraId="6450DD8D" w14:textId="40A9F6F9" w:rsidR="00520F36" w:rsidRPr="00030BEA" w:rsidRDefault="000F42C9" w:rsidP="00AF4E79">
            <w:pPr>
              <w:spacing w:before="0"/>
              <w:rPr>
                <w:b/>
                <w:bCs/>
              </w:rPr>
            </w:pPr>
            <w:r w:rsidRPr="00030BEA">
              <w:rPr>
                <w:b/>
                <w:bCs/>
              </w:rPr>
              <w:t>12 mai</w:t>
            </w:r>
            <w:r w:rsidR="00520F36" w:rsidRPr="00030BEA">
              <w:rPr>
                <w:b/>
                <w:bCs/>
              </w:rPr>
              <w:t xml:space="preserve"> 20</w:t>
            </w:r>
            <w:r w:rsidR="009C353C" w:rsidRPr="00030BEA">
              <w:rPr>
                <w:b/>
                <w:bCs/>
              </w:rPr>
              <w:t>2</w:t>
            </w:r>
            <w:r w:rsidR="0097363B" w:rsidRPr="00030BEA">
              <w:rPr>
                <w:b/>
                <w:bCs/>
              </w:rPr>
              <w:t>1</w:t>
            </w:r>
          </w:p>
        </w:tc>
      </w:tr>
      <w:tr w:rsidR="00520F36" w:rsidRPr="00030BEA" w14:paraId="3FE6B065" w14:textId="77777777">
        <w:trPr>
          <w:cantSplit/>
          <w:trHeight w:val="20"/>
        </w:trPr>
        <w:tc>
          <w:tcPr>
            <w:tcW w:w="6912" w:type="dxa"/>
            <w:vMerge/>
          </w:tcPr>
          <w:p w14:paraId="5EE2025B" w14:textId="77777777" w:rsidR="00520F36" w:rsidRPr="00030BEA" w:rsidRDefault="00520F36" w:rsidP="00AF4E79">
            <w:pPr>
              <w:shd w:val="solid" w:color="FFFFFF" w:fill="FFFFFF"/>
              <w:spacing w:before="180"/>
              <w:rPr>
                <w:smallCaps/>
              </w:rPr>
            </w:pPr>
            <w:bookmarkStart w:id="5" w:name="dorlang" w:colFirst="1" w:colLast="1"/>
            <w:bookmarkEnd w:id="4"/>
          </w:p>
        </w:tc>
        <w:tc>
          <w:tcPr>
            <w:tcW w:w="3261" w:type="dxa"/>
          </w:tcPr>
          <w:p w14:paraId="1F8156AB" w14:textId="77777777" w:rsidR="00520F36" w:rsidRPr="00030BEA" w:rsidRDefault="00520F36" w:rsidP="00AF4E79">
            <w:pPr>
              <w:spacing w:before="0"/>
              <w:rPr>
                <w:b/>
                <w:bCs/>
              </w:rPr>
            </w:pPr>
            <w:proofErr w:type="gramStart"/>
            <w:r w:rsidRPr="00030BEA">
              <w:rPr>
                <w:b/>
                <w:bCs/>
              </w:rPr>
              <w:t>Original:</w:t>
            </w:r>
            <w:proofErr w:type="gramEnd"/>
            <w:r w:rsidRPr="00030BEA">
              <w:rPr>
                <w:b/>
                <w:bCs/>
              </w:rPr>
              <w:t xml:space="preserve"> anglais</w:t>
            </w:r>
          </w:p>
        </w:tc>
      </w:tr>
      <w:tr w:rsidR="00520F36" w:rsidRPr="00030BEA" w14:paraId="648DD410" w14:textId="77777777">
        <w:trPr>
          <w:cantSplit/>
        </w:trPr>
        <w:tc>
          <w:tcPr>
            <w:tcW w:w="10173" w:type="dxa"/>
            <w:gridSpan w:val="2"/>
          </w:tcPr>
          <w:p w14:paraId="1009D71B" w14:textId="6D8B7EFC" w:rsidR="00520F36" w:rsidRPr="00030BEA" w:rsidRDefault="000F42C9" w:rsidP="00AF4E79">
            <w:pPr>
              <w:pStyle w:val="Source"/>
            </w:pPr>
            <w:bookmarkStart w:id="6" w:name="dsource" w:colFirst="0" w:colLast="0"/>
            <w:bookmarkEnd w:id="5"/>
            <w:r w:rsidRPr="00030BEA">
              <w:t>Rapport du Secrétaire général</w:t>
            </w:r>
          </w:p>
        </w:tc>
      </w:tr>
      <w:tr w:rsidR="00520F36" w:rsidRPr="00030BEA" w14:paraId="0BFF8045" w14:textId="77777777">
        <w:trPr>
          <w:cantSplit/>
        </w:trPr>
        <w:tc>
          <w:tcPr>
            <w:tcW w:w="10173" w:type="dxa"/>
            <w:gridSpan w:val="2"/>
          </w:tcPr>
          <w:p w14:paraId="300D5EED" w14:textId="7488645C" w:rsidR="00520F36" w:rsidRPr="00030BEA" w:rsidRDefault="000F42C9" w:rsidP="00AF4E79">
            <w:pPr>
              <w:pStyle w:val="Title1"/>
            </w:pPr>
            <w:bookmarkStart w:id="7" w:name="dtitle1" w:colFirst="0" w:colLast="0"/>
            <w:bookmarkEnd w:id="6"/>
            <w:r w:rsidRPr="00030BEA">
              <w:t xml:space="preserve">DIXIÈME RAPPORT ANNUEL DU COMITÉ CONSULTATIF INDÉPENDANT </w:t>
            </w:r>
            <w:r w:rsidRPr="00030BEA">
              <w:br/>
              <w:t>POUR LES QUESTIONS DE GESTION (CCIG)</w:t>
            </w:r>
          </w:p>
        </w:tc>
      </w:tr>
    </w:tbl>
    <w:bookmarkEnd w:id="7"/>
    <w:p w14:paraId="257B9377" w14:textId="77777777" w:rsidR="000F42C9" w:rsidRPr="00030BEA" w:rsidRDefault="000F42C9" w:rsidP="00AF4E79">
      <w:pPr>
        <w:spacing w:before="720"/>
      </w:pPr>
      <w:r w:rsidRPr="00030BEA">
        <w:t>J'ai l'honneur de transmettre aux États Membres du Conseil un rapport du Président du Comité consultatif indépendant pour les questions de gestion (CCIG).</w:t>
      </w:r>
    </w:p>
    <w:p w14:paraId="63E88632" w14:textId="7C5DAF63" w:rsidR="00520F36" w:rsidRPr="00030BEA" w:rsidRDefault="000F42C9" w:rsidP="00AF4E79">
      <w:pPr>
        <w:tabs>
          <w:tab w:val="clear" w:pos="567"/>
          <w:tab w:val="clear" w:pos="1134"/>
          <w:tab w:val="clear" w:pos="1701"/>
          <w:tab w:val="clear" w:pos="2268"/>
          <w:tab w:val="clear" w:pos="2835"/>
          <w:tab w:val="center" w:pos="7371"/>
        </w:tabs>
        <w:spacing w:before="840"/>
      </w:pPr>
      <w:r w:rsidRPr="00030BEA">
        <w:tab/>
        <w:t>Houlin ZHAO</w:t>
      </w:r>
      <w:r w:rsidRPr="00030BEA">
        <w:br/>
      </w:r>
      <w:r w:rsidRPr="00030BEA">
        <w:tab/>
        <w:t>Secrétaire général</w:t>
      </w:r>
    </w:p>
    <w:p w14:paraId="30222B82" w14:textId="5A1C1793" w:rsidR="000F42C9" w:rsidRPr="00030BEA" w:rsidRDefault="000F42C9" w:rsidP="00AF4E79">
      <w:r w:rsidRPr="00030BEA">
        <w:br w:type="page"/>
      </w:r>
    </w:p>
    <w:p w14:paraId="02C13D98" w14:textId="0BE473F4" w:rsidR="000F42C9" w:rsidRPr="00030BEA" w:rsidRDefault="000F42C9" w:rsidP="00AF4E79">
      <w:pPr>
        <w:pStyle w:val="Title1"/>
        <w:spacing w:after="360"/>
      </w:pPr>
      <w:r w:rsidRPr="00030BEA">
        <w:lastRenderedPageBreak/>
        <w:t xml:space="preserve">DIXIÈME RAPPORT ANNUEL DU COMITÉ CONSULTATIF INDÉPENDANT </w:t>
      </w:r>
      <w:r w:rsidRPr="00030BEA">
        <w:br/>
        <w:t>POUR LES QUESTIONS DE GESTION (CCIG)</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030BEA" w14:paraId="3EFA0658"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A710FAB" w14:textId="77777777" w:rsidR="00520F36" w:rsidRPr="00030BEA" w:rsidRDefault="00520F36" w:rsidP="00AF4E79">
            <w:pPr>
              <w:pStyle w:val="Headingb"/>
            </w:pPr>
            <w:r w:rsidRPr="00030BEA">
              <w:t>Résumé</w:t>
            </w:r>
          </w:p>
          <w:p w14:paraId="0E72F55B" w14:textId="424D9E80" w:rsidR="00520F36" w:rsidRPr="00030BEA" w:rsidRDefault="000F42C9" w:rsidP="00AF4E79">
            <w:r w:rsidRPr="00030BEA">
              <w:t>Ce dixième rapport annuel du Comité consultatif indépendant pour les questions de gestion (CCIG) à l'intention du Conseil de l'UIT contient les conclusions et les recommandations formulées par le CCIG conformément à son mandat en vue de leur examen par le Conseil.</w:t>
            </w:r>
          </w:p>
          <w:p w14:paraId="36C67276" w14:textId="7D6932FE" w:rsidR="000F42C9" w:rsidRPr="00030BEA" w:rsidRDefault="006C407C" w:rsidP="00AF4E79">
            <w:r w:rsidRPr="00030BEA">
              <w:t>É</w:t>
            </w:r>
            <w:r w:rsidR="004A012E" w:rsidRPr="00030BEA">
              <w:t>tant donné que le rapport du Vérificateur extérieur des comptes</w:t>
            </w:r>
            <w:r w:rsidR="000F42C9" w:rsidRPr="00030BEA">
              <w:t xml:space="preserve"> </w:t>
            </w:r>
            <w:r w:rsidR="004A012E" w:rsidRPr="00030BEA">
              <w:t>n'était pas disponible pour examen</w:t>
            </w:r>
            <w:r w:rsidR="000F42C9" w:rsidRPr="00030BEA">
              <w:t xml:space="preserve"> </w:t>
            </w:r>
            <w:r w:rsidR="004A012E" w:rsidRPr="00030BEA">
              <w:t xml:space="preserve">au moment où le CCIG </w:t>
            </w:r>
            <w:r w:rsidR="005F2A3F" w:rsidRPr="00030BEA">
              <w:t>tenait</w:t>
            </w:r>
            <w:r w:rsidR="004A012E" w:rsidRPr="00030BEA">
              <w:t xml:space="preserve"> sa </w:t>
            </w:r>
            <w:r w:rsidR="007557F2" w:rsidRPr="00030BEA">
              <w:t xml:space="preserve">29ème </w:t>
            </w:r>
            <w:r w:rsidR="004A012E" w:rsidRPr="00030BEA">
              <w:t xml:space="preserve">réunion </w:t>
            </w:r>
            <w:r w:rsidR="000F42C9" w:rsidRPr="00030BEA">
              <w:t>(3</w:t>
            </w:r>
            <w:r w:rsidR="00AF4E79" w:rsidRPr="00030BEA">
              <w:noBreakHyphen/>
            </w:r>
            <w:r w:rsidR="000F42C9" w:rsidRPr="00030BEA">
              <w:t>5</w:t>
            </w:r>
            <w:r w:rsidR="00AF4E79" w:rsidRPr="00030BEA">
              <w:t> </w:t>
            </w:r>
            <w:r w:rsidR="004A012E" w:rsidRPr="00030BEA">
              <w:t>mai</w:t>
            </w:r>
            <w:r w:rsidR="000F42C9" w:rsidRPr="00030BEA">
              <w:t xml:space="preserve"> 2021)</w:t>
            </w:r>
            <w:r w:rsidR="007F6D8F" w:rsidRPr="00030BEA">
              <w:t xml:space="preserve"> sous forme virtuelle</w:t>
            </w:r>
            <w:r w:rsidR="000F42C9" w:rsidRPr="00030BEA">
              <w:t xml:space="preserve">, </w:t>
            </w:r>
            <w:r w:rsidR="004A012E" w:rsidRPr="00030BEA">
              <w:t>les observations et l'avis du CCIG</w:t>
            </w:r>
            <w:r w:rsidR="000F42C9" w:rsidRPr="00030BEA">
              <w:t xml:space="preserve"> </w:t>
            </w:r>
            <w:r w:rsidRPr="00030BEA">
              <w:t>concernant</w:t>
            </w:r>
            <w:r w:rsidR="004A012E" w:rsidRPr="00030BEA">
              <w:t xml:space="preserve"> le rapport du Vérificateur extérieur des comptes</w:t>
            </w:r>
            <w:r w:rsidR="000F42C9" w:rsidRPr="00030BEA">
              <w:t xml:space="preserve"> </w:t>
            </w:r>
            <w:r w:rsidRPr="00030BEA">
              <w:t>sur les états financiers pour 2020</w:t>
            </w:r>
            <w:r w:rsidR="000F42C9" w:rsidRPr="00030BEA">
              <w:t xml:space="preserve"> </w:t>
            </w:r>
            <w:r w:rsidRPr="00030BEA">
              <w:t>feront l'objet d'un addendum au présent rapport</w:t>
            </w:r>
            <w:r w:rsidR="000F42C9" w:rsidRPr="00030BEA">
              <w:t>.</w:t>
            </w:r>
          </w:p>
          <w:p w14:paraId="6B3B5C8D" w14:textId="77777777" w:rsidR="00520F36" w:rsidRPr="00030BEA" w:rsidRDefault="00520F36" w:rsidP="00AF4E79">
            <w:pPr>
              <w:pStyle w:val="Headingb"/>
            </w:pPr>
            <w:proofErr w:type="gramStart"/>
            <w:r w:rsidRPr="00030BEA">
              <w:t>Suite à</w:t>
            </w:r>
            <w:proofErr w:type="gramEnd"/>
            <w:r w:rsidRPr="00030BEA">
              <w:t xml:space="preserve"> donner</w:t>
            </w:r>
          </w:p>
          <w:p w14:paraId="5F5A8BC6" w14:textId="52CF9366" w:rsidR="00520F36" w:rsidRPr="00030BEA" w:rsidRDefault="000F42C9" w:rsidP="00AF4E79">
            <w:r w:rsidRPr="00030BEA">
              <w:t xml:space="preserve">Le Conseil est invité à </w:t>
            </w:r>
            <w:r w:rsidRPr="00030BEA">
              <w:rPr>
                <w:b/>
                <w:bCs/>
              </w:rPr>
              <w:t>approuver</w:t>
            </w:r>
            <w:r w:rsidRPr="00030BEA">
              <w:t xml:space="preserve"> le rapport du CCIG, ainsi que les recomma</w:t>
            </w:r>
            <w:r w:rsidR="00230C66" w:rsidRPr="00030BEA">
              <w:t xml:space="preserve">ndations pour </w:t>
            </w:r>
            <w:proofErr w:type="gramStart"/>
            <w:r w:rsidR="00230C66" w:rsidRPr="00030BEA">
              <w:t>suite à</w:t>
            </w:r>
            <w:proofErr w:type="gramEnd"/>
            <w:r w:rsidR="00230C66" w:rsidRPr="00030BEA">
              <w:t xml:space="preserve"> donner par </w:t>
            </w:r>
            <w:r w:rsidRPr="00030BEA">
              <w:t>le secrétariat.</w:t>
            </w:r>
          </w:p>
          <w:p w14:paraId="2FB12331" w14:textId="77777777" w:rsidR="00520F36" w:rsidRPr="00030BEA" w:rsidRDefault="00520F36" w:rsidP="00AF4E79">
            <w:pPr>
              <w:pStyle w:val="Table"/>
              <w:keepNext w:val="0"/>
              <w:spacing w:before="0" w:after="0"/>
              <w:rPr>
                <w:rFonts w:ascii="Calibri" w:hAnsi="Calibri"/>
                <w:caps w:val="0"/>
                <w:sz w:val="22"/>
                <w:lang w:val="fr-FR"/>
              </w:rPr>
            </w:pPr>
            <w:r w:rsidRPr="00030BEA">
              <w:rPr>
                <w:rFonts w:ascii="Calibri" w:hAnsi="Calibri"/>
                <w:caps w:val="0"/>
                <w:sz w:val="22"/>
                <w:lang w:val="fr-FR"/>
              </w:rPr>
              <w:t>____________</w:t>
            </w:r>
          </w:p>
          <w:p w14:paraId="399FD6BC" w14:textId="77777777" w:rsidR="00520F36" w:rsidRPr="00030BEA" w:rsidRDefault="00520F36" w:rsidP="00AF4E79">
            <w:pPr>
              <w:pStyle w:val="Headingb"/>
            </w:pPr>
            <w:r w:rsidRPr="00030BEA">
              <w:t>Références</w:t>
            </w:r>
          </w:p>
          <w:p w14:paraId="75C26DC5" w14:textId="1447E7C4" w:rsidR="00520F36" w:rsidRPr="00030BEA" w:rsidRDefault="00CD1866" w:rsidP="00AF4E79">
            <w:pPr>
              <w:spacing w:after="120"/>
              <w:rPr>
                <w:i/>
                <w:iCs/>
              </w:rPr>
            </w:pPr>
            <w:hyperlink r:id="rId9" w:history="1">
              <w:r w:rsidR="000F42C9" w:rsidRPr="00030BEA">
                <w:rPr>
                  <w:rStyle w:val="Hyperlink"/>
                  <w:i/>
                  <w:iCs/>
                </w:rPr>
                <w:t>Résolution 162</w:t>
              </w:r>
            </w:hyperlink>
            <w:r w:rsidR="000F42C9" w:rsidRPr="00030BEA">
              <w:rPr>
                <w:i/>
                <w:iCs/>
              </w:rPr>
              <w:t xml:space="preserve"> (Rév. Busan, 2014) de la Conférence de plénipotentiaires; </w:t>
            </w:r>
            <w:r w:rsidR="000F42C9" w:rsidRPr="00030BEA">
              <w:rPr>
                <w:i/>
                <w:iCs/>
              </w:rPr>
              <w:br/>
            </w:r>
            <w:hyperlink r:id="rId10" w:history="1">
              <w:r w:rsidR="000F42C9" w:rsidRPr="00030BEA">
                <w:rPr>
                  <w:rStyle w:val="Hyperlink"/>
                  <w:i/>
                  <w:iCs/>
                </w:rPr>
                <w:t>Décision 615</w:t>
              </w:r>
            </w:hyperlink>
            <w:r w:rsidR="000F42C9" w:rsidRPr="00030BEA">
              <w:rPr>
                <w:rStyle w:val="Hyperlink"/>
                <w:i/>
                <w:iCs/>
              </w:rPr>
              <w:t xml:space="preserve"> </w:t>
            </w:r>
            <w:r w:rsidR="000F42C9" w:rsidRPr="00030BEA">
              <w:rPr>
                <w:i/>
                <w:iCs/>
              </w:rPr>
              <w:t>du Conseil;</w:t>
            </w:r>
            <w:r w:rsidR="000F42C9" w:rsidRPr="00030BEA">
              <w:rPr>
                <w:i/>
                <w:iCs/>
              </w:rPr>
              <w:br/>
              <w:t>Rapport annuels du CCIG:</w:t>
            </w:r>
            <w:r w:rsidR="000F42C9" w:rsidRPr="00030BEA">
              <w:rPr>
                <w:i/>
                <w:iCs/>
              </w:rPr>
              <w:br/>
            </w:r>
            <w:hyperlink r:id="rId11" w:history="1">
              <w:r w:rsidR="000F42C9" w:rsidRPr="00030BEA">
                <w:rPr>
                  <w:rStyle w:val="Hyperlink"/>
                  <w:i/>
                  <w:iCs/>
                </w:rPr>
                <w:t>Document</w:t>
              </w:r>
            </w:hyperlink>
            <w:r w:rsidR="000F42C9" w:rsidRPr="00030BEA">
              <w:rPr>
                <w:rStyle w:val="Hyperlink"/>
                <w:i/>
                <w:iCs/>
              </w:rPr>
              <w:t xml:space="preserve"> </w:t>
            </w:r>
            <w:hyperlink r:id="rId12" w:history="1">
              <w:r w:rsidR="000F42C9" w:rsidRPr="00030BEA">
                <w:rPr>
                  <w:rStyle w:val="Hyperlink"/>
                  <w:i/>
                  <w:iCs/>
                </w:rPr>
                <w:t>C12/44</w:t>
              </w:r>
            </w:hyperlink>
            <w:r w:rsidR="000F42C9" w:rsidRPr="00030BEA">
              <w:rPr>
                <w:i/>
                <w:iCs/>
              </w:rPr>
              <w:t xml:space="preserve"> (Premier rapport annuel du CCIG au Conseil); </w:t>
            </w:r>
            <w:hyperlink r:id="rId13" w:history="1">
              <w:r w:rsidR="000F42C9" w:rsidRPr="00030BEA">
                <w:rPr>
                  <w:rStyle w:val="Hyperlink"/>
                  <w:i/>
                  <w:iCs/>
                </w:rPr>
                <w:t>Document C13/65 + Corr.1</w:t>
              </w:r>
            </w:hyperlink>
            <w:r w:rsidR="000F42C9" w:rsidRPr="00030BEA">
              <w:rPr>
                <w:i/>
                <w:iCs/>
              </w:rPr>
              <w:t xml:space="preserve"> (Deuxième rapport annuel du CCIG au Conseil); </w:t>
            </w:r>
            <w:hyperlink r:id="rId14" w:history="1">
              <w:r w:rsidR="000F42C9" w:rsidRPr="00030BEA">
                <w:rPr>
                  <w:rStyle w:val="Hyperlink"/>
                  <w:i/>
                  <w:iCs/>
                </w:rPr>
                <w:t>Document C14/22 + Add.1</w:t>
              </w:r>
            </w:hyperlink>
            <w:r w:rsidR="000F42C9" w:rsidRPr="00030BEA">
              <w:rPr>
                <w:i/>
                <w:iCs/>
              </w:rPr>
              <w:t xml:space="preserve"> (Troisième rapport annuel du CCIG au Conseil); </w:t>
            </w:r>
            <w:hyperlink r:id="rId15" w:history="1">
              <w:r w:rsidR="000F42C9" w:rsidRPr="00030BEA">
                <w:rPr>
                  <w:rStyle w:val="Hyperlink"/>
                  <w:i/>
                  <w:iCs/>
                </w:rPr>
                <w:t>Document C15/22 + Add.1 et 2</w:t>
              </w:r>
            </w:hyperlink>
            <w:r w:rsidR="000F42C9" w:rsidRPr="00030BEA">
              <w:rPr>
                <w:i/>
                <w:iCs/>
              </w:rPr>
              <w:t xml:space="preserve"> (Quatrième rapport annuel du CCIG au Conseil); </w:t>
            </w:r>
            <w:hyperlink r:id="rId16" w:history="1">
              <w:r w:rsidR="000F42C9" w:rsidRPr="00030BEA">
                <w:rPr>
                  <w:rStyle w:val="Hyperlink"/>
                  <w:i/>
                  <w:iCs/>
                </w:rPr>
                <w:t>Document C16/22 + Add.1</w:t>
              </w:r>
            </w:hyperlink>
            <w:r w:rsidR="000F42C9" w:rsidRPr="00030BEA">
              <w:rPr>
                <w:i/>
                <w:iCs/>
              </w:rPr>
              <w:t xml:space="preserve"> (Cinquième rapport annuel du CCIG au Conseil); </w:t>
            </w:r>
            <w:hyperlink r:id="rId17" w:history="1">
              <w:r w:rsidR="000F42C9" w:rsidRPr="00030BEA">
                <w:rPr>
                  <w:rStyle w:val="Hyperlink"/>
                  <w:i/>
                  <w:iCs/>
                </w:rPr>
                <w:t>Document C17/22</w:t>
              </w:r>
            </w:hyperlink>
            <w:r w:rsidR="000F42C9" w:rsidRPr="00030BEA">
              <w:rPr>
                <w:i/>
                <w:iCs/>
              </w:rPr>
              <w:t xml:space="preserve"> (Sixième rapport annuel du CCIG au Conseil); </w:t>
            </w:r>
            <w:hyperlink r:id="rId18" w:history="1">
              <w:r w:rsidR="000F42C9" w:rsidRPr="00030BEA">
                <w:rPr>
                  <w:rStyle w:val="Hyperlink"/>
                  <w:i/>
                  <w:iCs/>
                </w:rPr>
                <w:t>Document C18/22 + Add.1</w:t>
              </w:r>
            </w:hyperlink>
            <w:r w:rsidR="000F42C9" w:rsidRPr="00030BEA">
              <w:rPr>
                <w:i/>
                <w:iCs/>
              </w:rPr>
              <w:t xml:space="preserve"> (Septième rapport annuel du CCIG au Conseil); </w:t>
            </w:r>
            <w:r w:rsidR="000F42C9" w:rsidRPr="00030BEA">
              <w:rPr>
                <w:i/>
                <w:iCs/>
              </w:rPr>
              <w:br/>
            </w:r>
            <w:hyperlink r:id="rId19" w:history="1">
              <w:r w:rsidR="00691B99" w:rsidRPr="00030BEA">
                <w:rPr>
                  <w:rStyle w:val="Hyperlink"/>
                  <w:i/>
                  <w:iCs/>
                </w:rPr>
                <w:t>Document C19/22</w:t>
              </w:r>
            </w:hyperlink>
            <w:r w:rsidR="000F42C9" w:rsidRPr="00030BEA">
              <w:rPr>
                <w:i/>
                <w:iCs/>
              </w:rPr>
              <w:t xml:space="preserve"> (Huitième rapport annuel du CCIG au Conseil);</w:t>
            </w:r>
            <w:r w:rsidR="00AF4E79" w:rsidRPr="00030BEA">
              <w:rPr>
                <w:i/>
                <w:iCs/>
              </w:rPr>
              <w:br/>
            </w:r>
            <w:hyperlink r:id="rId20" w:history="1">
              <w:r w:rsidR="00691B99" w:rsidRPr="00030BEA">
                <w:rPr>
                  <w:rStyle w:val="Hyperlink1"/>
                  <w:lang w:val="fr-FR"/>
                </w:rPr>
                <w:t>Document C20/22</w:t>
              </w:r>
              <w:r w:rsidR="00AF4E79" w:rsidRPr="00030BEA">
                <w:rPr>
                  <w:rStyle w:val="Hyperlink1"/>
                  <w:lang w:val="fr-FR"/>
                </w:rPr>
                <w:t>(</w:t>
              </w:r>
              <w:r w:rsidR="00691B99" w:rsidRPr="00030BEA">
                <w:rPr>
                  <w:rStyle w:val="Hyperlink1"/>
                  <w:lang w:val="fr-FR"/>
                </w:rPr>
                <w:t>Rév.1</w:t>
              </w:r>
            </w:hyperlink>
            <w:r w:rsidR="00AF4E79" w:rsidRPr="00030BEA">
              <w:rPr>
                <w:rStyle w:val="Hyperlink1"/>
                <w:lang w:val="fr-FR"/>
              </w:rPr>
              <w:t>)</w:t>
            </w:r>
            <w:r w:rsidR="000F42C9" w:rsidRPr="00030BEA">
              <w:rPr>
                <w:rStyle w:val="Ohne"/>
                <w:i/>
                <w:iCs/>
              </w:rPr>
              <w:t xml:space="preserve"> (</w:t>
            </w:r>
            <w:r w:rsidR="001F6FD0" w:rsidRPr="00030BEA">
              <w:rPr>
                <w:rStyle w:val="Ohne"/>
                <w:i/>
                <w:iCs/>
              </w:rPr>
              <w:t>Neuvième</w:t>
            </w:r>
            <w:r w:rsidR="000F42C9" w:rsidRPr="00030BEA">
              <w:rPr>
                <w:rStyle w:val="Ohne"/>
                <w:i/>
                <w:iCs/>
              </w:rPr>
              <w:t xml:space="preserve"> </w:t>
            </w:r>
            <w:r w:rsidR="001F6FD0" w:rsidRPr="00030BEA">
              <w:rPr>
                <w:i/>
                <w:iCs/>
              </w:rPr>
              <w:t>rapport annuel du CCIG au Conseil</w:t>
            </w:r>
            <w:r w:rsidR="000F42C9" w:rsidRPr="00030BEA">
              <w:rPr>
                <w:rStyle w:val="Ohne"/>
                <w:i/>
                <w:iCs/>
              </w:rPr>
              <w:t>)</w:t>
            </w:r>
          </w:p>
        </w:tc>
      </w:tr>
    </w:tbl>
    <w:p w14:paraId="18D2277A" w14:textId="3E646C39" w:rsidR="00897553" w:rsidRPr="00030BEA" w:rsidRDefault="000F42C9" w:rsidP="00AF4E79">
      <w:pPr>
        <w:pStyle w:val="Heading1"/>
      </w:pPr>
      <w:r w:rsidRPr="00030BEA">
        <w:t>1</w:t>
      </w:r>
      <w:r w:rsidRPr="00030BEA">
        <w:tab/>
        <w:t>Introduction</w:t>
      </w:r>
    </w:p>
    <w:p w14:paraId="2D98A305" w14:textId="4FE503F0" w:rsidR="000F42C9" w:rsidRPr="00030BEA" w:rsidRDefault="000F42C9" w:rsidP="00AF4E79">
      <w:r w:rsidRPr="00030BEA">
        <w:t>1.1</w:t>
      </w:r>
      <w:r w:rsidRPr="00030BEA">
        <w:tab/>
        <w:t>Le CCIG exerce, de manière indépendante, des fonctions consultatives spécialisées, afin d'aider le Conseil et le Secrétaire général à s'acquitter de leurs responsabilités en matière de gouvernance pour ce qui est de l'établissement de rapports financiers, des modalités relatives aux contrôles internes, des procédures de gestion des risques et des procédures de gouvernance, ainsi que d'autres questions relatives aux audits, conformément à son mandat. Le CCIG contribue donc à améliorer la transparence, à renforcer le principe de responsabilité et à favoriser une bonne gouvernance. Le CCIG ne procède à aucun audit, et ses fonctions ne font pas double emploi avec les fonctions de responsabilité ou d'audit, internes ou externes. Il veille à garantir une utilisation optimale des ressources affectées aux audits ou autres, conformément au cadre général de l'UIT en matière de garanties.</w:t>
      </w:r>
    </w:p>
    <w:p w14:paraId="48D8838E" w14:textId="77777777" w:rsidR="000F42C9" w:rsidRPr="00030BEA" w:rsidRDefault="000F42C9" w:rsidP="00AF4E79">
      <w:pPr>
        <w:pStyle w:val="Heading1"/>
      </w:pPr>
      <w:r w:rsidRPr="00030BEA">
        <w:lastRenderedPageBreak/>
        <w:t>2</w:t>
      </w:r>
      <w:r w:rsidRPr="00030BEA">
        <w:tab/>
        <w:t>Composition et activités du CCIG</w:t>
      </w:r>
    </w:p>
    <w:p w14:paraId="353BC012" w14:textId="555D4D08" w:rsidR="000F42C9" w:rsidRPr="00030BEA" w:rsidRDefault="000F42C9" w:rsidP="00AF4E79">
      <w:r w:rsidRPr="00030BEA">
        <w:t>2.1</w:t>
      </w:r>
      <w:r w:rsidRPr="00030BEA">
        <w:tab/>
      </w:r>
      <w:r w:rsidR="00205B31" w:rsidRPr="00030BEA">
        <w:t>Le</w:t>
      </w:r>
      <w:r w:rsidRPr="00030BEA">
        <w:t xml:space="preserve"> </w:t>
      </w:r>
      <w:r w:rsidR="00205B31" w:rsidRPr="00030BEA">
        <w:t>CCIG</w:t>
      </w:r>
      <w:r w:rsidRPr="00030BEA">
        <w:t xml:space="preserve"> est </w:t>
      </w:r>
      <w:r w:rsidR="00205B31" w:rsidRPr="00030BEA">
        <w:t xml:space="preserve">actuellement composé des membres </w:t>
      </w:r>
      <w:proofErr w:type="gramStart"/>
      <w:r w:rsidR="00205B31" w:rsidRPr="00030BEA">
        <w:t>suivants</w:t>
      </w:r>
      <w:r w:rsidRPr="00030BEA">
        <w:t>:</w:t>
      </w:r>
      <w:proofErr w:type="gramEnd"/>
    </w:p>
    <w:p w14:paraId="50443214" w14:textId="77777777" w:rsidR="000F42C9" w:rsidRPr="00030BEA" w:rsidRDefault="000F42C9" w:rsidP="00AF4E79">
      <w:pPr>
        <w:pStyle w:val="enumlev1"/>
      </w:pPr>
      <w:r w:rsidRPr="00030BEA">
        <w:t>–</w:t>
      </w:r>
      <w:r w:rsidRPr="00030BEA">
        <w:tab/>
        <w:t>M. Kamlesh Vikamsey (Président)</w:t>
      </w:r>
    </w:p>
    <w:p w14:paraId="6342044D" w14:textId="77777777" w:rsidR="000F42C9" w:rsidRPr="00030BEA" w:rsidRDefault="000F42C9" w:rsidP="00AF4E79">
      <w:pPr>
        <w:pStyle w:val="enumlev1"/>
      </w:pPr>
      <w:r w:rsidRPr="00030BEA">
        <w:t>–</w:t>
      </w:r>
      <w:r w:rsidRPr="00030BEA">
        <w:tab/>
        <w:t>Mme Sarah Hammer</w:t>
      </w:r>
    </w:p>
    <w:p w14:paraId="76ABF269" w14:textId="77777777" w:rsidR="000F42C9" w:rsidRPr="009A76C7" w:rsidRDefault="000F42C9" w:rsidP="00AF4E79">
      <w:pPr>
        <w:pStyle w:val="enumlev1"/>
        <w:rPr>
          <w:lang w:val="en-US"/>
        </w:rPr>
      </w:pPr>
      <w:r w:rsidRPr="009A76C7">
        <w:rPr>
          <w:lang w:val="en-US"/>
        </w:rPr>
        <w:t>–</w:t>
      </w:r>
      <w:r w:rsidRPr="009A76C7">
        <w:rPr>
          <w:lang w:val="en-US"/>
        </w:rPr>
        <w:tab/>
        <w:t>M. Alexander Narukavnikov</w:t>
      </w:r>
    </w:p>
    <w:p w14:paraId="3D7F8A53" w14:textId="77777777" w:rsidR="000F42C9" w:rsidRPr="009A76C7" w:rsidRDefault="000F42C9" w:rsidP="00AF4E79">
      <w:pPr>
        <w:pStyle w:val="enumlev1"/>
        <w:rPr>
          <w:lang w:val="en-US"/>
        </w:rPr>
      </w:pPr>
      <w:r w:rsidRPr="009A76C7">
        <w:rPr>
          <w:lang w:val="en-US"/>
        </w:rPr>
        <w:t>–</w:t>
      </w:r>
      <w:r w:rsidRPr="009A76C7">
        <w:rPr>
          <w:lang w:val="en-US"/>
        </w:rPr>
        <w:tab/>
        <w:t>M. Honore Ndoko</w:t>
      </w:r>
    </w:p>
    <w:p w14:paraId="60EA6672" w14:textId="77777777" w:rsidR="000F42C9" w:rsidRPr="00030BEA" w:rsidRDefault="000F42C9" w:rsidP="00AF4E79">
      <w:pPr>
        <w:pStyle w:val="enumlev1"/>
      </w:pPr>
      <w:r w:rsidRPr="00030BEA">
        <w:t>–</w:t>
      </w:r>
      <w:r w:rsidRPr="00030BEA">
        <w:tab/>
        <w:t>M. Henrique Schneider</w:t>
      </w:r>
    </w:p>
    <w:p w14:paraId="0EE2AA1E" w14:textId="64B386B5" w:rsidR="00414903" w:rsidRPr="00030BEA" w:rsidRDefault="00414903" w:rsidP="00AF4E79">
      <w:r w:rsidRPr="00030BEA">
        <w:t>2.2</w:t>
      </w:r>
      <w:r w:rsidRPr="00030BEA">
        <w:tab/>
      </w:r>
      <w:r w:rsidR="00540933" w:rsidRPr="00030BEA">
        <w:t xml:space="preserve">Le dernier rapport annuel du CCIG </w:t>
      </w:r>
      <w:r w:rsidR="007B7920" w:rsidRPr="00030BEA">
        <w:t>à l'intention du</w:t>
      </w:r>
      <w:r w:rsidR="00540933" w:rsidRPr="00030BEA">
        <w:t xml:space="preserve"> Conseil a été présenté</w:t>
      </w:r>
      <w:r w:rsidRPr="00030BEA">
        <w:t xml:space="preserve"> </w:t>
      </w:r>
      <w:r w:rsidR="00540933" w:rsidRPr="00030BEA">
        <w:t>à la seconde</w:t>
      </w:r>
      <w:r w:rsidR="00AF4E79" w:rsidRPr="00030BEA">
        <w:t> </w:t>
      </w:r>
      <w:r w:rsidR="00540933" w:rsidRPr="00030BEA">
        <w:t xml:space="preserve">consultation virtuelle des Conseillers </w:t>
      </w:r>
      <w:r w:rsidR="00182F94" w:rsidRPr="00030BEA">
        <w:t xml:space="preserve">de </w:t>
      </w:r>
      <w:r w:rsidR="00540933" w:rsidRPr="00030BEA">
        <w:t>novembre</w:t>
      </w:r>
      <w:r w:rsidR="00182F94" w:rsidRPr="00030BEA">
        <w:t xml:space="preserve"> 2020</w:t>
      </w:r>
      <w:r w:rsidRPr="00030BEA">
        <w:t xml:space="preserve">. </w:t>
      </w:r>
      <w:r w:rsidR="00540933" w:rsidRPr="00030BEA">
        <w:t xml:space="preserve">En raison des restrictions </w:t>
      </w:r>
      <w:r w:rsidR="00FF06A2" w:rsidRPr="00030BEA">
        <w:t>de voyage liées à</w:t>
      </w:r>
      <w:r w:rsidR="00540933" w:rsidRPr="00030BEA">
        <w:t xml:space="preserve"> la pandémie de COVID-19,</w:t>
      </w:r>
      <w:r w:rsidRPr="00030BEA">
        <w:t xml:space="preserve"> </w:t>
      </w:r>
      <w:r w:rsidR="00540933" w:rsidRPr="00030BEA">
        <w:t xml:space="preserve">les réunions </w:t>
      </w:r>
      <w:r w:rsidR="007F6D8F" w:rsidRPr="00030BEA">
        <w:t xml:space="preserve">tenues par le </w:t>
      </w:r>
      <w:r w:rsidR="007B7B5C" w:rsidRPr="00030BEA">
        <w:t>Comité</w:t>
      </w:r>
      <w:r w:rsidR="007F6D8F" w:rsidRPr="00030BEA">
        <w:t xml:space="preserve"> en 2021</w:t>
      </w:r>
      <w:r w:rsidR="00540933" w:rsidRPr="00030BEA">
        <w:t xml:space="preserve"> </w:t>
      </w:r>
      <w:r w:rsidR="007F6D8F" w:rsidRPr="00030BEA">
        <w:t>(</w:t>
      </w:r>
      <w:r w:rsidR="006D67CD" w:rsidRPr="00030BEA">
        <w:t>15</w:t>
      </w:r>
      <w:r w:rsidR="007F6D8F" w:rsidRPr="00030BEA">
        <w:t>-</w:t>
      </w:r>
      <w:r w:rsidRPr="00030BEA">
        <w:t xml:space="preserve">17 </w:t>
      </w:r>
      <w:r w:rsidR="00540933" w:rsidRPr="00030BEA">
        <w:t>mars</w:t>
      </w:r>
      <w:r w:rsidRPr="00030BEA">
        <w:t xml:space="preserve"> </w:t>
      </w:r>
      <w:r w:rsidR="00540933" w:rsidRPr="00030BEA">
        <w:t>e</w:t>
      </w:r>
      <w:r w:rsidR="009A76C7">
        <w:t>t </w:t>
      </w:r>
      <w:r w:rsidR="006D67CD" w:rsidRPr="00030BEA">
        <w:t>3</w:t>
      </w:r>
      <w:r w:rsidR="007F6D8F" w:rsidRPr="00030BEA">
        <w:t>-</w:t>
      </w:r>
      <w:r w:rsidRPr="00030BEA">
        <w:t xml:space="preserve">5 </w:t>
      </w:r>
      <w:r w:rsidR="00540933" w:rsidRPr="00030BEA">
        <w:t>mai</w:t>
      </w:r>
      <w:r w:rsidR="007B7B5C" w:rsidRPr="00030BEA">
        <w:t xml:space="preserve"> 2021</w:t>
      </w:r>
      <w:r w:rsidR="007F6D8F" w:rsidRPr="00030BEA">
        <w:t>)</w:t>
      </w:r>
      <w:r w:rsidR="005E0818" w:rsidRPr="00030BEA">
        <w:t xml:space="preserve"> se sont déroulées en ligne</w:t>
      </w:r>
      <w:r w:rsidRPr="00030BEA">
        <w:t>.</w:t>
      </w:r>
    </w:p>
    <w:p w14:paraId="4A39786F" w14:textId="17E74270" w:rsidR="00414903" w:rsidRPr="00030BEA" w:rsidRDefault="00414903" w:rsidP="00AF4E79">
      <w:r w:rsidRPr="00030BEA">
        <w:t>2.3</w:t>
      </w:r>
      <w:r w:rsidRPr="00030BEA">
        <w:tab/>
      </w:r>
      <w:r w:rsidR="001863D6" w:rsidRPr="00030BEA">
        <w:t xml:space="preserve">Depuis </w:t>
      </w:r>
      <w:r w:rsidR="00CF415E" w:rsidRPr="00030BEA">
        <w:t xml:space="preserve">la </w:t>
      </w:r>
      <w:r w:rsidR="00863040" w:rsidRPr="00030BEA">
        <w:t>soumission</w:t>
      </w:r>
      <w:r w:rsidR="001863D6" w:rsidRPr="00030BEA">
        <w:t xml:space="preserve"> de son</w:t>
      </w:r>
      <w:r w:rsidR="003B0B99" w:rsidRPr="00030BEA">
        <w:t xml:space="preserve"> dernier rapport annuel, le Comité</w:t>
      </w:r>
      <w:r w:rsidRPr="00030BEA">
        <w:t xml:space="preserve"> a </w:t>
      </w:r>
      <w:r w:rsidR="001455D4" w:rsidRPr="00030BEA">
        <w:t>travaillé</w:t>
      </w:r>
      <w:r w:rsidRPr="00030BEA">
        <w:t xml:space="preserve"> dans tous ses domaines de compétence, à savoir la fonction d'audit interne, la gestion des risques, les contrôles internes, l'évaluation, l'éthique, les états financiers et l'établissement de rapports financiers ainsi que la vérification extérieure des comptes.</w:t>
      </w:r>
    </w:p>
    <w:p w14:paraId="129A98EA" w14:textId="096BC559" w:rsidR="00414903" w:rsidRPr="00030BEA" w:rsidRDefault="00414903" w:rsidP="00AF4E79">
      <w:r w:rsidRPr="00030BEA">
        <w:t>2.4</w:t>
      </w:r>
      <w:r w:rsidRPr="00030BEA">
        <w:tab/>
        <w:t xml:space="preserve">Au cours de ses réunions, le CCIG a eu des discussions sur les questions de fond avec le Secrétaire général et le Vice-Secrétaire général, la Directrice du Bureau de développement des télécommunications, le Département de la gestion des ressources financières, l'Auditeur interne, le Vérificateur extérieur des comptes, le Conseiller juridique, le Responsable de l'éthique, </w:t>
      </w:r>
      <w:r w:rsidR="00C83DBC" w:rsidRPr="00030BEA">
        <w:t>le Département de la planification stratégique et des relations avec les Membres</w:t>
      </w:r>
      <w:r w:rsidRPr="00030BEA">
        <w:t xml:space="preserve">, le Département de la gestion des ressources humaines, </w:t>
      </w:r>
      <w:r w:rsidR="00C55904" w:rsidRPr="00030BEA">
        <w:t>la Division responsable du projet de bâtiment</w:t>
      </w:r>
      <w:r w:rsidRPr="00030BEA">
        <w:t xml:space="preserve"> et d'autres représentants de la direction, selon les besoins.</w:t>
      </w:r>
    </w:p>
    <w:p w14:paraId="4FE90912" w14:textId="7FDE6AEF" w:rsidR="00414903" w:rsidRPr="00030BEA" w:rsidRDefault="00414903" w:rsidP="00AF4E79">
      <w:r w:rsidRPr="00030BEA">
        <w:t>2.5</w:t>
      </w:r>
      <w:r w:rsidRPr="00030BEA">
        <w:tab/>
        <w:t xml:space="preserve">Tous les rapports des réunions du Comité, ainsi que ses rapports annuels et d'autres documents essentiels, peuvent être consultés par les membres de l'UIT sur le site web public de l'UIT, dans la </w:t>
      </w:r>
      <w:hyperlink r:id="rId21" w:history="1">
        <w:r w:rsidRPr="00030BEA">
          <w:rPr>
            <w:rStyle w:val="Hyperlink"/>
          </w:rPr>
          <w:t>partie consacrée au CCIG</w:t>
        </w:r>
      </w:hyperlink>
      <w:r w:rsidRPr="00030BEA">
        <w:t xml:space="preserve">, ainsi que sur la page web du </w:t>
      </w:r>
      <w:hyperlink r:id="rId22" w:history="1">
        <w:r w:rsidRPr="00030BEA">
          <w:rPr>
            <w:rStyle w:val="Hyperlink"/>
          </w:rPr>
          <w:t>Conseil de l'UIT</w:t>
        </w:r>
      </w:hyperlink>
      <w:r w:rsidRPr="00030BEA">
        <w:t>.</w:t>
      </w:r>
    </w:p>
    <w:p w14:paraId="3A0DDCFE" w14:textId="16A1896F" w:rsidR="00414903" w:rsidRPr="00030BEA" w:rsidRDefault="00414903" w:rsidP="00AF4E79">
      <w:r w:rsidRPr="00030BEA">
        <w:t>2.6</w:t>
      </w:r>
      <w:r w:rsidRPr="00030BEA">
        <w:tab/>
      </w:r>
      <w:r w:rsidR="00CD16BB" w:rsidRPr="00030BEA">
        <w:t>L</w:t>
      </w:r>
      <w:r w:rsidRPr="00030BEA">
        <w:t xml:space="preserve">es réunions virtuelles du CCIG ont dû être condensées, afin de permettre à tous les membres de participer depuis leur pays respectif. En conséquence, </w:t>
      </w:r>
      <w:r w:rsidR="006640D6" w:rsidRPr="00030BEA">
        <w:t xml:space="preserve">la </w:t>
      </w:r>
      <w:r w:rsidR="00C55AA1" w:rsidRPr="00030BEA">
        <w:t xml:space="preserve">durée de la </w:t>
      </w:r>
      <w:r w:rsidR="00DB2BDF" w:rsidRPr="00030BEA">
        <w:t xml:space="preserve">prochaine réunion </w:t>
      </w:r>
      <w:r w:rsidR="008A221B" w:rsidRPr="00030BEA">
        <w:t xml:space="preserve">physique, </w:t>
      </w:r>
      <w:r w:rsidR="00B74F65" w:rsidRPr="00030BEA">
        <w:t xml:space="preserve">qui aura lieu </w:t>
      </w:r>
      <w:r w:rsidR="008A221B" w:rsidRPr="00030BEA">
        <w:t xml:space="preserve">lorsque </w:t>
      </w:r>
      <w:r w:rsidR="00C55AA1" w:rsidRPr="00030BEA">
        <w:t>les conditions sanitaires le permettront</w:t>
      </w:r>
      <w:r w:rsidR="008A221B" w:rsidRPr="00030BEA">
        <w:t xml:space="preserve">, </w:t>
      </w:r>
      <w:r w:rsidR="00B74F65" w:rsidRPr="00030BEA">
        <w:t xml:space="preserve">sera allongée </w:t>
      </w:r>
      <w:r w:rsidR="008A221B" w:rsidRPr="00030BEA">
        <w:t xml:space="preserve">pour </w:t>
      </w:r>
      <w:r w:rsidR="00796C0D" w:rsidRPr="00030BEA">
        <w:t xml:space="preserve">garantir </w:t>
      </w:r>
      <w:r w:rsidR="00E057C4" w:rsidRPr="00030BEA">
        <w:t>une étude de suivi approfondie</w:t>
      </w:r>
      <w:r w:rsidR="008A221B" w:rsidRPr="00030BEA">
        <w:t xml:space="preserve"> </w:t>
      </w:r>
      <w:r w:rsidR="00EF658B" w:rsidRPr="00030BEA">
        <w:t>des</w:t>
      </w:r>
      <w:r w:rsidRPr="00030BEA">
        <w:t xml:space="preserve"> questions confiées au CCIG.</w:t>
      </w:r>
    </w:p>
    <w:p w14:paraId="40E3D3DD" w14:textId="1A068E03" w:rsidR="00414903" w:rsidRPr="00030BEA" w:rsidRDefault="00414903" w:rsidP="00AF4E79">
      <w:r w:rsidRPr="00030BEA">
        <w:t>2.7</w:t>
      </w:r>
      <w:r w:rsidRPr="00030BEA">
        <w:tab/>
        <w:t xml:space="preserve">Les membres du CCIG se félicitent dans l'ensemble </w:t>
      </w:r>
      <w:r w:rsidR="0096051A" w:rsidRPr="00030BEA">
        <w:t>des interactions entre la</w:t>
      </w:r>
      <w:r w:rsidRPr="00030BEA">
        <w:t xml:space="preserve"> direction de l'UIT </w:t>
      </w:r>
      <w:r w:rsidR="0096051A" w:rsidRPr="00030BEA">
        <w:t>et</w:t>
      </w:r>
      <w:r w:rsidRPr="00030BEA">
        <w:t xml:space="preserve"> le CCIG dans le cadre d'un processus constructif, </w:t>
      </w:r>
      <w:r w:rsidR="00F50782" w:rsidRPr="00030BEA">
        <w:t xml:space="preserve">de </w:t>
      </w:r>
      <w:r w:rsidRPr="00030BEA">
        <w:t xml:space="preserve">la capacité d'adaptation et </w:t>
      </w:r>
      <w:r w:rsidR="00F50782" w:rsidRPr="00030BEA">
        <w:t xml:space="preserve">de </w:t>
      </w:r>
      <w:r w:rsidRPr="00030BEA">
        <w:t xml:space="preserve">la disponibilité de la direction pour traiter les questions du CCIG, ainsi que </w:t>
      </w:r>
      <w:r w:rsidR="00F50782" w:rsidRPr="00030BEA">
        <w:t xml:space="preserve">de </w:t>
      </w:r>
      <w:r w:rsidRPr="00030BEA">
        <w:t xml:space="preserve">la réactivité dont la direction fait preuve en sollicitant l'avis du CCIG sur plusieurs questions relevant de son </w:t>
      </w:r>
      <w:r w:rsidR="0096051A" w:rsidRPr="00030BEA">
        <w:t xml:space="preserve">champ d'action et de son </w:t>
      </w:r>
      <w:r w:rsidRPr="00030BEA">
        <w:t xml:space="preserve">domaine de compétence. On trouvera </w:t>
      </w:r>
      <w:r w:rsidR="006C6DB5" w:rsidRPr="00030BEA">
        <w:t xml:space="preserve">les observations et </w:t>
      </w:r>
      <w:r w:rsidRPr="00030BEA">
        <w:t>les recommandations se rapportant plus particulièrement aux sujets relevant de la compétence du CCIG dans les sections correspondantes du présent rapport.</w:t>
      </w:r>
    </w:p>
    <w:p w14:paraId="513D28D4" w14:textId="0FDA22D6" w:rsidR="00414903" w:rsidRPr="00030BEA" w:rsidRDefault="006C6DB5" w:rsidP="00AF4E79">
      <w:pPr>
        <w:pStyle w:val="Headingb"/>
        <w:tabs>
          <w:tab w:val="clear" w:pos="567"/>
        </w:tabs>
        <w:ind w:left="0" w:firstLine="0"/>
      </w:pPr>
      <w:r w:rsidRPr="00030BEA">
        <w:t>Participation à la cinquième réunion annuelle des Comités de contrôle du système des Nations</w:t>
      </w:r>
      <w:r w:rsidR="00AF4E79" w:rsidRPr="00030BEA">
        <w:t> </w:t>
      </w:r>
      <w:r w:rsidRPr="00030BEA">
        <w:t>Unies</w:t>
      </w:r>
    </w:p>
    <w:p w14:paraId="78E86B68" w14:textId="7CCCEF4E" w:rsidR="00414903" w:rsidRPr="00030BEA" w:rsidRDefault="00414903" w:rsidP="00AF4E79">
      <w:r w:rsidRPr="00030BEA">
        <w:t>2.8</w:t>
      </w:r>
      <w:r w:rsidRPr="00030BEA">
        <w:tab/>
      </w:r>
      <w:r w:rsidR="006D3A29" w:rsidRPr="00030BEA">
        <w:t xml:space="preserve">La cinquième réunion </w:t>
      </w:r>
      <w:r w:rsidR="00F50782" w:rsidRPr="00030BEA">
        <w:t>annuelle</w:t>
      </w:r>
      <w:r w:rsidR="006D3A29" w:rsidRPr="00030BEA">
        <w:t xml:space="preserve"> des Comités de contrôle du système des Nations Unies a eu lieu en ligne les 8 et 9 décembre</w:t>
      </w:r>
      <w:r w:rsidRPr="00030BEA">
        <w:t xml:space="preserve"> 2020. </w:t>
      </w:r>
      <w:r w:rsidR="006D3A29" w:rsidRPr="00030BEA">
        <w:t>Le CCIG était représenté par</w:t>
      </w:r>
      <w:r w:rsidRPr="00030BEA">
        <w:t xml:space="preserve"> </w:t>
      </w:r>
      <w:r w:rsidR="006D3A29" w:rsidRPr="00030BEA">
        <w:t xml:space="preserve">M. Honore Ndoko et </w:t>
      </w:r>
      <w:r w:rsidR="00796C0D" w:rsidRPr="00030BEA">
        <w:t xml:space="preserve">s'est penché sur </w:t>
      </w:r>
      <w:r w:rsidR="006D3A29" w:rsidRPr="00030BEA">
        <w:t xml:space="preserve">certaines activités de suivi, notamment les </w:t>
      </w:r>
      <w:proofErr w:type="gramStart"/>
      <w:r w:rsidR="006D3A29" w:rsidRPr="00030BEA">
        <w:t>suivantes</w:t>
      </w:r>
      <w:r w:rsidRPr="00030BEA">
        <w:t>:</w:t>
      </w:r>
      <w:proofErr w:type="gramEnd"/>
    </w:p>
    <w:p w14:paraId="076D6BD9" w14:textId="582147CD" w:rsidR="00414903" w:rsidRPr="00030BEA" w:rsidRDefault="00414903" w:rsidP="00AF4E79">
      <w:pPr>
        <w:pStyle w:val="enumlev1"/>
      </w:pPr>
      <w:r w:rsidRPr="00030BEA">
        <w:lastRenderedPageBreak/>
        <w:t>–</w:t>
      </w:r>
      <w:r w:rsidRPr="00030BEA">
        <w:tab/>
      </w:r>
      <w:r w:rsidR="003058ED" w:rsidRPr="00030BEA">
        <w:t>En raison de</w:t>
      </w:r>
      <w:r w:rsidR="001E5A90" w:rsidRPr="00030BEA">
        <w:t xml:space="preserve"> </w:t>
      </w:r>
      <w:r w:rsidR="00796C0D" w:rsidRPr="00030BEA">
        <w:t xml:space="preserve">la rapidité </w:t>
      </w:r>
      <w:r w:rsidR="001E5A90" w:rsidRPr="00030BEA">
        <w:t>de la transformation numérique</w:t>
      </w:r>
      <w:r w:rsidR="00796C0D" w:rsidRPr="00030BEA">
        <w:t>,</w:t>
      </w:r>
      <w:r w:rsidR="001E5A90" w:rsidRPr="00030BEA">
        <w:t xml:space="preserve"> </w:t>
      </w:r>
      <w:r w:rsidR="001E3A3B" w:rsidRPr="00030BEA">
        <w:t xml:space="preserve">accélérée </w:t>
      </w:r>
      <w:r w:rsidR="00E23020">
        <w:t>par la pandémie de </w:t>
      </w:r>
      <w:r w:rsidR="001E5A90" w:rsidRPr="00030BEA">
        <w:t>COVID-19</w:t>
      </w:r>
      <w:r w:rsidRPr="00030BEA">
        <w:t xml:space="preserve">, </w:t>
      </w:r>
      <w:r w:rsidR="001E5A90" w:rsidRPr="00030BEA">
        <w:t>le CCIG examinerait les aspects de la gestion des risques</w:t>
      </w:r>
      <w:r w:rsidRPr="00030BEA">
        <w:t xml:space="preserve">, </w:t>
      </w:r>
      <w:r w:rsidR="001E5A90" w:rsidRPr="00030BEA">
        <w:t xml:space="preserve">en particulier </w:t>
      </w:r>
      <w:r w:rsidR="001E3A3B" w:rsidRPr="00030BEA">
        <w:t>la</w:t>
      </w:r>
      <w:r w:rsidR="00343952" w:rsidRPr="00030BEA">
        <w:t xml:space="preserve"> cybersécurité</w:t>
      </w:r>
      <w:r w:rsidR="00F41C0B" w:rsidRPr="00030BEA">
        <w:t xml:space="preserve"> </w:t>
      </w:r>
      <w:r w:rsidR="001E5A90" w:rsidRPr="00030BEA">
        <w:t xml:space="preserve">et la manière dont l'UIT gère </w:t>
      </w:r>
      <w:r w:rsidR="001E3A3B" w:rsidRPr="00030BEA">
        <w:t xml:space="preserve">les </w:t>
      </w:r>
      <w:r w:rsidR="00F41C0B" w:rsidRPr="00030BEA">
        <w:t>risques</w:t>
      </w:r>
      <w:r w:rsidR="001E3A3B" w:rsidRPr="00030BEA">
        <w:t xml:space="preserve"> associés</w:t>
      </w:r>
      <w:r w:rsidR="00AF4E79" w:rsidRPr="00030BEA">
        <w:t>.</w:t>
      </w:r>
    </w:p>
    <w:p w14:paraId="0BCF0913" w14:textId="35EED38C" w:rsidR="00414903" w:rsidRPr="00030BEA" w:rsidRDefault="00414903" w:rsidP="00AF4E79">
      <w:pPr>
        <w:pStyle w:val="enumlev1"/>
      </w:pPr>
      <w:r w:rsidRPr="00030BEA">
        <w:t>–</w:t>
      </w:r>
      <w:r w:rsidRPr="00030BEA">
        <w:tab/>
      </w:r>
      <w:r w:rsidR="003E6D05" w:rsidRPr="00030BEA">
        <w:t xml:space="preserve">Soulignant l'importance de l'alignement </w:t>
      </w:r>
      <w:r w:rsidR="00F41C0B" w:rsidRPr="00030BEA">
        <w:t>sur le Programme</w:t>
      </w:r>
      <w:r w:rsidRPr="00030BEA">
        <w:t xml:space="preserve"> </w:t>
      </w:r>
      <w:r w:rsidR="00F41C0B" w:rsidRPr="00030BEA">
        <w:t>de développement durable à l'horizon 2030 et les ODD et des progrès accomplis pour parvenir à leur réalisation</w:t>
      </w:r>
      <w:r w:rsidRPr="00030BEA">
        <w:t xml:space="preserve">, </w:t>
      </w:r>
      <w:r w:rsidR="00F41C0B" w:rsidRPr="00030BEA">
        <w:t xml:space="preserve">le CCIG ajouterait aussi ce thème </w:t>
      </w:r>
      <w:r w:rsidR="001E3A3B" w:rsidRPr="00030BEA">
        <w:t xml:space="preserve">à son </w:t>
      </w:r>
      <w:r w:rsidR="00F41C0B" w:rsidRPr="00030BEA">
        <w:t xml:space="preserve">programme </w:t>
      </w:r>
      <w:r w:rsidR="001E3A3B" w:rsidRPr="00030BEA">
        <w:t>de travail</w:t>
      </w:r>
      <w:r w:rsidRPr="00030BEA">
        <w:t xml:space="preserve">, </w:t>
      </w:r>
      <w:r w:rsidR="005F2D2A" w:rsidRPr="00030BEA">
        <w:t xml:space="preserve">et </w:t>
      </w:r>
      <w:r w:rsidR="00E1327D" w:rsidRPr="00030BEA">
        <w:t>examinerait et donnerait un avis sur la contribution de l'UIT</w:t>
      </w:r>
      <w:r w:rsidR="00AF4E79" w:rsidRPr="00030BEA">
        <w:t>.</w:t>
      </w:r>
    </w:p>
    <w:p w14:paraId="209BDBF2" w14:textId="26366080" w:rsidR="00414903" w:rsidRPr="00030BEA" w:rsidRDefault="00414903" w:rsidP="00AF4E79">
      <w:pPr>
        <w:pStyle w:val="enumlev1"/>
      </w:pPr>
      <w:r w:rsidRPr="00030BEA">
        <w:t>–</w:t>
      </w:r>
      <w:r w:rsidRPr="00030BEA">
        <w:tab/>
      </w:r>
      <w:r w:rsidR="00C92349" w:rsidRPr="00030BEA">
        <w:t xml:space="preserve">En ce qui concerne l'analyse et l'évaluation des travaux du Comité, le CCIG </w:t>
      </w:r>
      <w:r w:rsidR="00D81824" w:rsidRPr="00030BEA">
        <w:t xml:space="preserve">est convenu </w:t>
      </w:r>
      <w:r w:rsidR="00EF4A2B" w:rsidRPr="00030BEA">
        <w:t xml:space="preserve">de </w:t>
      </w:r>
      <w:r w:rsidR="00B7407D" w:rsidRPr="00030BEA">
        <w:t>se soumettre</w:t>
      </w:r>
      <w:r w:rsidR="00EF4A2B" w:rsidRPr="00030BEA">
        <w:t xml:space="preserve"> à un</w:t>
      </w:r>
      <w:r w:rsidR="00C92349" w:rsidRPr="00030BEA">
        <w:t xml:space="preserve"> questionnaire d'évaluation</w:t>
      </w:r>
      <w:r w:rsidRPr="00030BEA">
        <w:t xml:space="preserve">, </w:t>
      </w:r>
      <w:r w:rsidR="00320D23" w:rsidRPr="00030BEA">
        <w:t xml:space="preserve">et </w:t>
      </w:r>
      <w:r w:rsidR="001E3A3B" w:rsidRPr="00030BEA">
        <w:t xml:space="preserve">a </w:t>
      </w:r>
      <w:r w:rsidR="0019213A" w:rsidRPr="00030BEA">
        <w:t>réfléchi à</w:t>
      </w:r>
      <w:r w:rsidR="00320D23" w:rsidRPr="00030BEA">
        <w:t xml:space="preserve"> la possibilité </w:t>
      </w:r>
      <w:r w:rsidR="0019213A" w:rsidRPr="00030BEA">
        <w:t>d'organiser un</w:t>
      </w:r>
      <w:r w:rsidR="00EF4A2B" w:rsidRPr="00030BEA">
        <w:t xml:space="preserve"> </w:t>
      </w:r>
      <w:r w:rsidR="00320D23" w:rsidRPr="00030BEA">
        <w:t xml:space="preserve">examen par les pairs et une évaluation </w:t>
      </w:r>
      <w:r w:rsidR="001E0747" w:rsidRPr="00030BEA">
        <w:t xml:space="preserve">conjointe avec </w:t>
      </w:r>
      <w:r w:rsidR="00320D23" w:rsidRPr="00030BEA">
        <w:t>un autre comité du système des Nations Unies</w:t>
      </w:r>
      <w:r w:rsidRPr="00030BEA">
        <w:t xml:space="preserve">. </w:t>
      </w:r>
      <w:r w:rsidR="00EF4A2B" w:rsidRPr="00030BEA">
        <w:t>Le CCIG a déjà procédé à une auto-évaluation</w:t>
      </w:r>
      <w:r w:rsidR="00555079" w:rsidRPr="00030BEA">
        <w:t xml:space="preserve">, </w:t>
      </w:r>
      <w:r w:rsidR="00EF4A2B" w:rsidRPr="00030BEA">
        <w:t xml:space="preserve">dont </w:t>
      </w:r>
      <w:r w:rsidR="00320D23" w:rsidRPr="00030BEA">
        <w:t>les principaux résultats et éléments sont présentés dans la section ci-dessous</w:t>
      </w:r>
      <w:r w:rsidRPr="00030BEA">
        <w:t>.</w:t>
      </w:r>
    </w:p>
    <w:p w14:paraId="165195AE" w14:textId="22D0083E" w:rsidR="00414903" w:rsidRPr="00030BEA" w:rsidRDefault="00414903" w:rsidP="00AF4E79">
      <w:r w:rsidRPr="00030BEA">
        <w:t>2.9</w:t>
      </w:r>
      <w:r w:rsidRPr="00030BEA">
        <w:tab/>
      </w:r>
      <w:r w:rsidR="00320D23" w:rsidRPr="00030BEA">
        <w:t xml:space="preserve">Le CCIG reconnaît l'importance de </w:t>
      </w:r>
      <w:r w:rsidR="00122FEF" w:rsidRPr="00030BEA">
        <w:t xml:space="preserve">ce cadre </w:t>
      </w:r>
      <w:r w:rsidR="00320D23" w:rsidRPr="00030BEA">
        <w:t xml:space="preserve">pour les présidents des Comités de </w:t>
      </w:r>
      <w:r w:rsidR="001E3A3B" w:rsidRPr="00030BEA">
        <w:t xml:space="preserve">contrôle </w:t>
      </w:r>
      <w:r w:rsidR="00320D23" w:rsidRPr="00030BEA">
        <w:t xml:space="preserve">du système des Nations Unies et </w:t>
      </w:r>
      <w:r w:rsidR="00AC21E7" w:rsidRPr="00030BEA">
        <w:t xml:space="preserve">se </w:t>
      </w:r>
      <w:r w:rsidR="00A23D9D" w:rsidRPr="00030BEA">
        <w:t>félicite</w:t>
      </w:r>
      <w:r w:rsidR="00AC21E7" w:rsidRPr="00030BEA">
        <w:t xml:space="preserve"> de la poursuite </w:t>
      </w:r>
      <w:r w:rsidR="00015880" w:rsidRPr="00030BEA">
        <w:t>des discussions constructives</w:t>
      </w:r>
      <w:r w:rsidRPr="00030BEA">
        <w:t xml:space="preserve"> </w:t>
      </w:r>
      <w:r w:rsidR="00AC21E7" w:rsidRPr="00030BEA">
        <w:t>tenu</w:t>
      </w:r>
      <w:r w:rsidR="00015880" w:rsidRPr="00030BEA">
        <w:t>es</w:t>
      </w:r>
      <w:r w:rsidR="00AC21E7" w:rsidRPr="00030BEA">
        <w:t xml:space="preserve"> </w:t>
      </w:r>
      <w:r w:rsidR="00320D23" w:rsidRPr="00030BEA">
        <w:t>au cours des réunions</w:t>
      </w:r>
      <w:r w:rsidRPr="00030BEA">
        <w:t>.</w:t>
      </w:r>
    </w:p>
    <w:p w14:paraId="52E7E19E" w14:textId="0D6629FA" w:rsidR="00414903" w:rsidRPr="00030BEA" w:rsidRDefault="0043667D" w:rsidP="00AF4E79">
      <w:pPr>
        <w:pStyle w:val="Headingb"/>
      </w:pPr>
      <w:r w:rsidRPr="00030BEA">
        <w:t>Auto-évaluation du CCIG</w:t>
      </w:r>
    </w:p>
    <w:p w14:paraId="24C74716" w14:textId="0F20E2A6" w:rsidR="00414903" w:rsidRPr="00030BEA" w:rsidRDefault="00414903" w:rsidP="00AF4E79">
      <w:r w:rsidRPr="00030BEA">
        <w:t>2.10</w:t>
      </w:r>
      <w:r w:rsidRPr="00030BEA">
        <w:tab/>
      </w:r>
      <w:r w:rsidR="0043667D" w:rsidRPr="00030BEA">
        <w:t xml:space="preserve">Le Comité a </w:t>
      </w:r>
      <w:r w:rsidR="00B139F5" w:rsidRPr="00030BEA">
        <w:t>répondu à</w:t>
      </w:r>
      <w:r w:rsidR="0043667D" w:rsidRPr="00030BEA">
        <w:t xml:space="preserve"> un questionnaire d'auto-évaluation couvrant un grand nombre de thèmes</w:t>
      </w:r>
      <w:r w:rsidRPr="00030BEA">
        <w:t xml:space="preserve">, </w:t>
      </w:r>
      <w:r w:rsidR="00380C38" w:rsidRPr="00030BEA">
        <w:t>conformément à</w:t>
      </w:r>
      <w:r w:rsidR="00F9543B" w:rsidRPr="00030BEA">
        <w:t xml:space="preserve"> la</w:t>
      </w:r>
      <w:r w:rsidRPr="00030BEA">
        <w:t xml:space="preserve"> </w:t>
      </w:r>
      <w:r w:rsidR="00F9543B" w:rsidRPr="00030BEA">
        <w:t xml:space="preserve">bonne pratique </w:t>
      </w:r>
      <w:r w:rsidR="001E3A3B" w:rsidRPr="00030BEA">
        <w:t xml:space="preserve">examinée </w:t>
      </w:r>
      <w:r w:rsidR="0043667D" w:rsidRPr="00030BEA">
        <w:t>lors de la</w:t>
      </w:r>
      <w:r w:rsidRPr="00030BEA">
        <w:t xml:space="preserve"> </w:t>
      </w:r>
      <w:r w:rsidR="0043667D" w:rsidRPr="00030BEA">
        <w:t>cinquième réunion annuelle des Comités de contrôle du système des Nations Unies</w:t>
      </w:r>
      <w:r w:rsidRPr="00030BEA">
        <w:t xml:space="preserve"> </w:t>
      </w:r>
      <w:r w:rsidR="00F9543B" w:rsidRPr="00030BEA">
        <w:t>et</w:t>
      </w:r>
      <w:r w:rsidR="00380C38" w:rsidRPr="00030BEA">
        <w:t xml:space="preserve"> à</w:t>
      </w:r>
      <w:r w:rsidR="00F9543B" w:rsidRPr="00030BEA">
        <w:t xml:space="preserve"> la recommandation du CCI correspondante</w:t>
      </w:r>
      <w:r w:rsidRPr="00030BEA">
        <w:t>.</w:t>
      </w:r>
    </w:p>
    <w:p w14:paraId="0BFEE4EC" w14:textId="0D046C26" w:rsidR="00414903" w:rsidRPr="00030BEA" w:rsidRDefault="00414903" w:rsidP="00AF4E79">
      <w:r w:rsidRPr="00030BEA">
        <w:t>2.11</w:t>
      </w:r>
      <w:r w:rsidRPr="00030BEA">
        <w:tab/>
      </w:r>
      <w:r w:rsidR="00F9543B" w:rsidRPr="00030BEA">
        <w:t xml:space="preserve">Les membres du Comité </w:t>
      </w:r>
      <w:r w:rsidR="001E3A3B" w:rsidRPr="00030BEA">
        <w:t>estiment que,</w:t>
      </w:r>
      <w:r w:rsidR="00F9543B" w:rsidRPr="00030BEA">
        <w:t xml:space="preserve"> collectivement</w:t>
      </w:r>
      <w:r w:rsidR="001E3A3B" w:rsidRPr="00030BEA">
        <w:t>, ils disposent</w:t>
      </w:r>
      <w:r w:rsidR="00F9543B" w:rsidRPr="00030BEA">
        <w:t xml:space="preserve"> de l'ensemble de</w:t>
      </w:r>
      <w:r w:rsidR="00995D04" w:rsidRPr="00030BEA">
        <w:t>s</w:t>
      </w:r>
      <w:r w:rsidR="00F9543B" w:rsidRPr="00030BEA">
        <w:t xml:space="preserve"> compétences et de</w:t>
      </w:r>
      <w:r w:rsidR="00995D04" w:rsidRPr="00030BEA">
        <w:t>s</w:t>
      </w:r>
      <w:r w:rsidR="00F9543B" w:rsidRPr="00030BEA">
        <w:t xml:space="preserve"> qualifications professionnelles </w:t>
      </w:r>
      <w:r w:rsidR="00797813" w:rsidRPr="00030BEA">
        <w:t xml:space="preserve">leur </w:t>
      </w:r>
      <w:r w:rsidR="009316E1" w:rsidRPr="00030BEA">
        <w:t>permettant</w:t>
      </w:r>
      <w:r w:rsidRPr="00030BEA">
        <w:t xml:space="preserve"> </w:t>
      </w:r>
      <w:r w:rsidR="009316E1" w:rsidRPr="00030BEA">
        <w:t>d'</w:t>
      </w:r>
      <w:r w:rsidR="00F9543B" w:rsidRPr="00030BEA">
        <w:t xml:space="preserve">assurer la </w:t>
      </w:r>
      <w:r w:rsidR="003906CE" w:rsidRPr="00030BEA">
        <w:t xml:space="preserve">fonction de </w:t>
      </w:r>
      <w:r w:rsidR="00F9543B" w:rsidRPr="00030BEA">
        <w:t xml:space="preserve">supervision et </w:t>
      </w:r>
      <w:r w:rsidR="009316E1" w:rsidRPr="00030BEA">
        <w:t xml:space="preserve">de </w:t>
      </w:r>
      <w:r w:rsidR="00F9543B" w:rsidRPr="00030BEA">
        <w:t>veiller à ce que le Secrétaire général</w:t>
      </w:r>
      <w:r w:rsidRPr="00030BEA">
        <w:t xml:space="preserve">, </w:t>
      </w:r>
      <w:r w:rsidR="00F9543B" w:rsidRPr="00030BEA">
        <w:t>les fonctionnaires élus</w:t>
      </w:r>
      <w:r w:rsidRPr="00030BEA">
        <w:t xml:space="preserve">, </w:t>
      </w:r>
      <w:r w:rsidR="00F9543B" w:rsidRPr="00030BEA">
        <w:t>le Secré</w:t>
      </w:r>
      <w:r w:rsidRPr="00030BEA">
        <w:t xml:space="preserve">tariat </w:t>
      </w:r>
      <w:r w:rsidR="00F9543B" w:rsidRPr="00030BEA">
        <w:t>et le Conseil</w:t>
      </w:r>
      <w:r w:rsidRPr="00030BEA">
        <w:t xml:space="preserve"> </w:t>
      </w:r>
      <w:r w:rsidR="00F9543B" w:rsidRPr="00030BEA">
        <w:t xml:space="preserve">reçoivent des </w:t>
      </w:r>
      <w:r w:rsidR="00995D04" w:rsidRPr="00030BEA">
        <w:t>avis</w:t>
      </w:r>
      <w:r w:rsidRPr="00030BEA">
        <w:t xml:space="preserve"> </w:t>
      </w:r>
      <w:r w:rsidR="00F9543B" w:rsidRPr="00030BEA">
        <w:t xml:space="preserve">indépendants et </w:t>
      </w:r>
      <w:r w:rsidR="008D0602" w:rsidRPr="00030BEA">
        <w:t>pertinents</w:t>
      </w:r>
      <w:r w:rsidRPr="00030BEA">
        <w:t xml:space="preserve"> </w:t>
      </w:r>
      <w:r w:rsidR="00F9543B" w:rsidRPr="00030BEA">
        <w:t>sur la gouvernance</w:t>
      </w:r>
      <w:r w:rsidRPr="00030BEA">
        <w:t xml:space="preserve">, </w:t>
      </w:r>
      <w:r w:rsidR="00F9543B" w:rsidRPr="00030BEA">
        <w:t>l'efficacité</w:t>
      </w:r>
      <w:r w:rsidRPr="00030BEA">
        <w:t xml:space="preserve">, </w:t>
      </w:r>
      <w:r w:rsidR="00F9543B" w:rsidRPr="00030BEA">
        <w:t>la gestion des risques</w:t>
      </w:r>
      <w:r w:rsidRPr="00030BEA">
        <w:t xml:space="preserve">, </w:t>
      </w:r>
      <w:r w:rsidR="00F9543B" w:rsidRPr="00030BEA">
        <w:t>les contrôles internes</w:t>
      </w:r>
      <w:r w:rsidRPr="00030BEA">
        <w:t xml:space="preserve">, </w:t>
      </w:r>
      <w:r w:rsidR="00F9543B" w:rsidRPr="00030BEA">
        <w:t>l'</w:t>
      </w:r>
      <w:r w:rsidRPr="00030BEA">
        <w:t xml:space="preserve">audit </w:t>
      </w:r>
      <w:r w:rsidR="00F9543B" w:rsidRPr="00030BEA">
        <w:t>et l'intégrité</w:t>
      </w:r>
      <w:r w:rsidRPr="00030BEA">
        <w:t>.</w:t>
      </w:r>
    </w:p>
    <w:p w14:paraId="4CA0E19D" w14:textId="00E0DB7A" w:rsidR="00414903" w:rsidRPr="00030BEA" w:rsidRDefault="00414903" w:rsidP="00AF4E79">
      <w:r w:rsidRPr="00030BEA">
        <w:t>2.12</w:t>
      </w:r>
      <w:r w:rsidRPr="00030BEA">
        <w:tab/>
      </w:r>
      <w:r w:rsidR="00C93E31" w:rsidRPr="00030BEA">
        <w:t>Les principales conclusions relatives aux domaines</w:t>
      </w:r>
      <w:r w:rsidRPr="00030BEA">
        <w:t xml:space="preserve"> </w:t>
      </w:r>
      <w:r w:rsidR="00C93E31" w:rsidRPr="00030BEA">
        <w:t xml:space="preserve">dans lesquels de nouvelles améliorations </w:t>
      </w:r>
      <w:r w:rsidR="003255A7" w:rsidRPr="00030BEA">
        <w:t xml:space="preserve">pourraient être envisagées </w:t>
      </w:r>
      <w:r w:rsidR="00C93E31" w:rsidRPr="00030BEA">
        <w:t xml:space="preserve">sont les </w:t>
      </w:r>
      <w:proofErr w:type="gramStart"/>
      <w:r w:rsidR="00C93E31" w:rsidRPr="00030BEA">
        <w:t>suivantes</w:t>
      </w:r>
      <w:r w:rsidRPr="00030BEA">
        <w:t>:</w:t>
      </w:r>
      <w:proofErr w:type="gramEnd"/>
    </w:p>
    <w:p w14:paraId="52FC207F" w14:textId="5134C47E" w:rsidR="00414903" w:rsidRPr="00030BEA" w:rsidRDefault="00414903" w:rsidP="00AF4E79">
      <w:pPr>
        <w:pStyle w:val="enumlev1"/>
      </w:pPr>
      <w:r w:rsidRPr="00030BEA">
        <w:t>–</w:t>
      </w:r>
      <w:r w:rsidRPr="00030BEA">
        <w:tab/>
      </w:r>
      <w:r w:rsidR="00C93E31" w:rsidRPr="00030BEA">
        <w:t>Renforcer le processus de déclaration de</w:t>
      </w:r>
      <w:r w:rsidR="001E3A3B" w:rsidRPr="00030BEA">
        <w:t>s</w:t>
      </w:r>
      <w:r w:rsidR="00C93E31" w:rsidRPr="00030BEA">
        <w:t xml:space="preserve"> </w:t>
      </w:r>
      <w:r w:rsidR="001E3A3B" w:rsidRPr="00030BEA">
        <w:t>éventuels</w:t>
      </w:r>
      <w:r w:rsidR="00C93E31" w:rsidRPr="00030BEA">
        <w:t xml:space="preserve"> conflits d'intérêt</w:t>
      </w:r>
      <w:r w:rsidRPr="00030BEA">
        <w:t xml:space="preserve"> </w:t>
      </w:r>
      <w:r w:rsidR="001C74D0" w:rsidRPr="00030BEA">
        <w:t>des</w:t>
      </w:r>
      <w:r w:rsidR="00C93E31" w:rsidRPr="00030BEA">
        <w:t xml:space="preserve"> membres du CCIG</w:t>
      </w:r>
      <w:r w:rsidRPr="00030BEA">
        <w:t xml:space="preserve">, </w:t>
      </w:r>
      <w:r w:rsidR="006D18D2" w:rsidRPr="00030BEA">
        <w:t xml:space="preserve">en leur demandant de remplir et de signer </w:t>
      </w:r>
      <w:r w:rsidR="00383D90" w:rsidRPr="00030BEA">
        <w:t>un</w:t>
      </w:r>
      <w:r w:rsidR="006D18D2" w:rsidRPr="00030BEA">
        <w:t xml:space="preserve"> formulaire </w:t>
      </w:r>
      <w:r w:rsidR="008E1E8F" w:rsidRPr="00030BEA">
        <w:t xml:space="preserve">non seulement </w:t>
      </w:r>
      <w:r w:rsidR="006D18D2" w:rsidRPr="00030BEA">
        <w:t>chaque année</w:t>
      </w:r>
      <w:r w:rsidR="00C93E31" w:rsidRPr="00030BEA">
        <w:t xml:space="preserve">, mais </w:t>
      </w:r>
      <w:r w:rsidR="008E1E8F" w:rsidRPr="00030BEA">
        <w:t>aussi</w:t>
      </w:r>
      <w:r w:rsidR="006D18D2" w:rsidRPr="00030BEA">
        <w:t xml:space="preserve"> </w:t>
      </w:r>
      <w:r w:rsidR="00C93E31" w:rsidRPr="00030BEA">
        <w:t>au début de chaque réunion du CCIG</w:t>
      </w:r>
      <w:r w:rsidR="00AF4E79" w:rsidRPr="00030BEA">
        <w:t>.</w:t>
      </w:r>
    </w:p>
    <w:p w14:paraId="2D778786" w14:textId="20BF0C62" w:rsidR="00414903" w:rsidRPr="00030BEA" w:rsidRDefault="00414903" w:rsidP="00AF4E79">
      <w:pPr>
        <w:pStyle w:val="enumlev1"/>
      </w:pPr>
      <w:r w:rsidRPr="00030BEA">
        <w:t>–</w:t>
      </w:r>
      <w:r w:rsidRPr="00030BEA">
        <w:tab/>
      </w:r>
      <w:r w:rsidR="001C74D0" w:rsidRPr="00030BEA">
        <w:t>Établi</w:t>
      </w:r>
      <w:r w:rsidR="001E3A3B" w:rsidRPr="00030BEA">
        <w:t xml:space="preserve">r </w:t>
      </w:r>
      <w:r w:rsidR="001C74D0" w:rsidRPr="00030BEA">
        <w:t xml:space="preserve">un processus visant à </w:t>
      </w:r>
      <w:r w:rsidR="001E3A3B" w:rsidRPr="00030BEA">
        <w:t xml:space="preserve">informer </w:t>
      </w:r>
      <w:r w:rsidR="001C74D0" w:rsidRPr="00030BEA">
        <w:t>le CCIG</w:t>
      </w:r>
      <w:r w:rsidRPr="00030BEA">
        <w:t xml:space="preserve"> </w:t>
      </w:r>
      <w:r w:rsidR="00C413DD" w:rsidRPr="00030BEA">
        <w:t xml:space="preserve">du lancement d'une nouvelle </w:t>
      </w:r>
      <w:r w:rsidR="001C74D0" w:rsidRPr="00030BEA">
        <w:t>enquête formelle pour fraude</w:t>
      </w:r>
      <w:r w:rsidRPr="00030BEA">
        <w:t xml:space="preserve">, </w:t>
      </w:r>
      <w:r w:rsidR="001C74D0" w:rsidRPr="00030BEA">
        <w:t xml:space="preserve">ainsi </w:t>
      </w:r>
      <w:r w:rsidR="001E3A3B" w:rsidRPr="00030BEA">
        <w:t>que</w:t>
      </w:r>
      <w:r w:rsidR="001C74D0" w:rsidRPr="00030BEA">
        <w:t xml:space="preserve"> </w:t>
      </w:r>
      <w:r w:rsidR="00C413DD" w:rsidRPr="00030BEA">
        <w:t>de la conclusion, des résultats et d</w:t>
      </w:r>
      <w:r w:rsidR="001C74D0" w:rsidRPr="00030BEA">
        <w:t>es suites</w:t>
      </w:r>
      <w:r w:rsidRPr="00030BEA">
        <w:t xml:space="preserve"> </w:t>
      </w:r>
      <w:r w:rsidR="001C74D0" w:rsidRPr="00030BEA">
        <w:t>des enquêtes</w:t>
      </w:r>
      <w:r w:rsidRPr="00030BEA">
        <w:t xml:space="preserve"> (</w:t>
      </w:r>
      <w:r w:rsidR="00C413DD" w:rsidRPr="00030BEA">
        <w:t>dans le respect du</w:t>
      </w:r>
      <w:r w:rsidR="001C74D0" w:rsidRPr="00030BEA">
        <w:t xml:space="preserve"> cadre juridique de l'organisation</w:t>
      </w:r>
      <w:r w:rsidRPr="00030BEA">
        <w:t xml:space="preserve"> </w:t>
      </w:r>
      <w:r w:rsidR="001C74D0" w:rsidRPr="00030BEA">
        <w:t>et</w:t>
      </w:r>
      <w:r w:rsidRPr="00030BEA">
        <w:t xml:space="preserve"> </w:t>
      </w:r>
      <w:r w:rsidR="001C74D0" w:rsidRPr="00030BEA">
        <w:t xml:space="preserve">en donnant au CCIG les informations lui permettant </w:t>
      </w:r>
      <w:r w:rsidR="00131FDC" w:rsidRPr="00030BEA">
        <w:t xml:space="preserve">de s'acquitter de ses </w:t>
      </w:r>
      <w:r w:rsidR="00E37303" w:rsidRPr="00030BEA">
        <w:t>responsabilités</w:t>
      </w:r>
      <w:r w:rsidRPr="00030BEA">
        <w:t>)</w:t>
      </w:r>
      <w:r w:rsidR="00CF11DC" w:rsidRPr="00030BEA">
        <w:t>.</w:t>
      </w:r>
    </w:p>
    <w:p w14:paraId="5D96DBEC" w14:textId="0BF1E20D" w:rsidR="00414903" w:rsidRPr="00030BEA" w:rsidRDefault="00414903" w:rsidP="00AF4E79">
      <w:pPr>
        <w:pStyle w:val="enumlev1"/>
        <w:rPr>
          <w:rStyle w:val="Ohne"/>
        </w:rPr>
      </w:pPr>
      <w:r w:rsidRPr="00030BEA">
        <w:t>–</w:t>
      </w:r>
      <w:r w:rsidRPr="00030BEA">
        <w:tab/>
      </w:r>
      <w:r w:rsidR="00E54733" w:rsidRPr="00030BEA">
        <w:t>Mener chaque année des discussions approfondies sur d</w:t>
      </w:r>
      <w:r w:rsidR="005E0174" w:rsidRPr="00030BEA">
        <w:t>es thèmes spécifiques avec les c</w:t>
      </w:r>
      <w:r w:rsidR="00E54733" w:rsidRPr="00030BEA">
        <w:t>hefs de</w:t>
      </w:r>
      <w:r w:rsidR="0005111B" w:rsidRPr="00030BEA">
        <w:t xml:space="preserve"> d</w:t>
      </w:r>
      <w:r w:rsidR="00E54733" w:rsidRPr="00030BEA">
        <w:t>épartement</w:t>
      </w:r>
      <w:r w:rsidRPr="00030BEA">
        <w:t xml:space="preserve"> </w:t>
      </w:r>
      <w:r w:rsidR="00CB0B4D" w:rsidRPr="00030BEA">
        <w:t>ou</w:t>
      </w:r>
      <w:r w:rsidR="00F43834" w:rsidRPr="00030BEA">
        <w:t xml:space="preserve"> de division/service</w:t>
      </w:r>
      <w:r w:rsidRPr="00030BEA">
        <w:t>.</w:t>
      </w:r>
    </w:p>
    <w:p w14:paraId="7F7FC812" w14:textId="7F88B4D3" w:rsidR="00414903" w:rsidRPr="00030BEA" w:rsidRDefault="00F872C7" w:rsidP="00AF4E79">
      <w:pPr>
        <w:pStyle w:val="Headingb"/>
      </w:pPr>
      <w:r w:rsidRPr="00030BEA">
        <w:t>Propositions de modification du mandat du CCIG</w:t>
      </w:r>
    </w:p>
    <w:p w14:paraId="642B447C" w14:textId="2AD528E9" w:rsidR="00414903" w:rsidRPr="00030BEA" w:rsidRDefault="00000A0D" w:rsidP="00AF4E79">
      <w:r w:rsidRPr="00030BEA">
        <w:t>2.13</w:t>
      </w:r>
      <w:r w:rsidRPr="00030BEA">
        <w:tab/>
      </w:r>
      <w:r w:rsidR="00F872C7" w:rsidRPr="00030BEA">
        <w:t xml:space="preserve">Le Comité a débuté les travaux </w:t>
      </w:r>
      <w:r w:rsidR="001E3A3B" w:rsidRPr="00030BEA">
        <w:t>en vue de</w:t>
      </w:r>
      <w:r w:rsidR="00F872C7" w:rsidRPr="00030BEA">
        <w:t xml:space="preserve"> proposer des modifications </w:t>
      </w:r>
      <w:r w:rsidR="00140F04" w:rsidRPr="00030BEA">
        <w:t>d</w:t>
      </w:r>
      <w:r w:rsidR="001E3A3B" w:rsidRPr="00030BEA">
        <w:t>e son</w:t>
      </w:r>
      <w:r w:rsidR="00F872C7" w:rsidRPr="00030BEA">
        <w:t xml:space="preserve"> mandat</w:t>
      </w:r>
      <w:r w:rsidR="00414903" w:rsidRPr="00030BEA">
        <w:t xml:space="preserve">, </w:t>
      </w:r>
      <w:r w:rsidR="00F872C7" w:rsidRPr="00030BEA">
        <w:t xml:space="preserve">conformément aux dispositions du paragraphe 6 </w:t>
      </w:r>
      <w:r w:rsidR="001E3A3B" w:rsidRPr="00030BEA">
        <w:t>dudit</w:t>
      </w:r>
      <w:r w:rsidR="00F872C7" w:rsidRPr="00030BEA">
        <w:t xml:space="preserve"> mandat</w:t>
      </w:r>
      <w:r w:rsidR="00414903" w:rsidRPr="00030BEA">
        <w:t xml:space="preserve"> (Annex</w:t>
      </w:r>
      <w:r w:rsidR="00F872C7" w:rsidRPr="00030BEA">
        <w:t>e</w:t>
      </w:r>
      <w:r w:rsidR="00414903" w:rsidRPr="00030BEA">
        <w:t xml:space="preserve"> </w:t>
      </w:r>
      <w:r w:rsidR="00F872C7" w:rsidRPr="00030BEA">
        <w:t>de la</w:t>
      </w:r>
      <w:r w:rsidR="00414903" w:rsidRPr="00030BEA">
        <w:t xml:space="preserve"> </w:t>
      </w:r>
      <w:r w:rsidR="00F872C7" w:rsidRPr="00030BEA">
        <w:t>Résolution 162 (Ré</w:t>
      </w:r>
      <w:r w:rsidR="00414903" w:rsidRPr="00030BEA">
        <w:t>v.</w:t>
      </w:r>
      <w:r w:rsidR="00CF11DC" w:rsidRPr="00030BEA">
        <w:t> </w:t>
      </w:r>
      <w:r w:rsidR="00414903" w:rsidRPr="00030BEA">
        <w:t>Busan, 2014)</w:t>
      </w:r>
      <w:r w:rsidR="006A6760" w:rsidRPr="00030BEA">
        <w:t xml:space="preserve"> de la Conférence de plénipotentiaires</w:t>
      </w:r>
      <w:r w:rsidR="00414903" w:rsidRPr="00030BEA">
        <w:t xml:space="preserve">). </w:t>
      </w:r>
      <w:r w:rsidR="00BC6EA1" w:rsidRPr="00030BEA">
        <w:t>Ces modifications seront présentées par le C</w:t>
      </w:r>
      <w:r w:rsidR="00140F04" w:rsidRPr="00030BEA">
        <w:t>CIG après sa prochaine réunion</w:t>
      </w:r>
      <w:r w:rsidR="00BD59B5" w:rsidRPr="00030BEA">
        <w:t>,</w:t>
      </w:r>
      <w:r w:rsidR="00140F04" w:rsidRPr="00030BEA">
        <w:t xml:space="preserve"> en vue </w:t>
      </w:r>
      <w:r w:rsidR="001E3A3B" w:rsidRPr="00030BEA">
        <w:t>de leur soumission</w:t>
      </w:r>
      <w:r w:rsidR="00140F04" w:rsidRPr="00030BEA">
        <w:t xml:space="preserve"> </w:t>
      </w:r>
      <w:r w:rsidR="00BC6EA1" w:rsidRPr="00030BEA">
        <w:t>avec suffisamment d'avance au Conseil à sa session de 2022 pour approbation</w:t>
      </w:r>
      <w:r w:rsidR="004D51FF" w:rsidRPr="00030BEA">
        <w:t>,</w:t>
      </w:r>
      <w:r w:rsidR="00A270A2" w:rsidRPr="00030BEA">
        <w:t xml:space="preserve"> </w:t>
      </w:r>
      <w:r w:rsidR="00BD59B5" w:rsidRPr="00030BEA">
        <w:t>puis pour examen</w:t>
      </w:r>
      <w:r w:rsidR="00425B36" w:rsidRPr="00030BEA">
        <w:t xml:space="preserve"> par les É</w:t>
      </w:r>
      <w:r w:rsidR="00BC6EA1" w:rsidRPr="00030BEA">
        <w:t>tats Membres à la Conférence de plénipotentiaires de l'UIT de 2022</w:t>
      </w:r>
      <w:r w:rsidR="00414903" w:rsidRPr="00030BEA">
        <w:t>.</w:t>
      </w:r>
    </w:p>
    <w:p w14:paraId="5DFE1E97" w14:textId="6C19D5D9" w:rsidR="00414903" w:rsidRPr="00030BEA" w:rsidRDefault="00000A0D" w:rsidP="00AF4E79">
      <w:r w:rsidRPr="00030BEA">
        <w:lastRenderedPageBreak/>
        <w:t>2.14</w:t>
      </w:r>
      <w:r w:rsidRPr="00030BEA">
        <w:tab/>
      </w:r>
      <w:r w:rsidR="004D51FF" w:rsidRPr="00030BEA">
        <w:t>Dans le cadre de cet</w:t>
      </w:r>
      <w:r w:rsidR="00D21D93" w:rsidRPr="00030BEA">
        <w:t xml:space="preserve"> examen</w:t>
      </w:r>
      <w:r w:rsidR="00414903" w:rsidRPr="00030BEA">
        <w:t xml:space="preserve">, </w:t>
      </w:r>
      <w:r w:rsidR="00A270A2" w:rsidRPr="00030BEA">
        <w:t>le CCIG a comparé son mandat</w:t>
      </w:r>
      <w:r w:rsidR="00E23020">
        <w:t xml:space="preserve"> aux conditions définies par le </w:t>
      </w:r>
      <w:r w:rsidR="00A270A2" w:rsidRPr="00030BEA">
        <w:t>CCI</w:t>
      </w:r>
      <w:r w:rsidR="00414903" w:rsidRPr="00030BEA">
        <w:t xml:space="preserve"> </w:t>
      </w:r>
      <w:r w:rsidR="00A270A2" w:rsidRPr="00030BEA">
        <w:t>et aux</w:t>
      </w:r>
      <w:r w:rsidR="00414903" w:rsidRPr="00030BEA">
        <w:t xml:space="preserve"> </w:t>
      </w:r>
      <w:r w:rsidR="00A270A2" w:rsidRPr="00030BEA">
        <w:t>bonnes pra</w:t>
      </w:r>
      <w:r w:rsidR="001B7603" w:rsidRPr="00030BEA">
        <w:t>tiques d'autres comités d'audit/</w:t>
      </w:r>
      <w:r w:rsidR="00A270A2" w:rsidRPr="00030BEA">
        <w:t xml:space="preserve">de contrôle </w:t>
      </w:r>
      <w:r w:rsidR="001B7603" w:rsidRPr="00030BEA">
        <w:t xml:space="preserve">des entités </w:t>
      </w:r>
      <w:r w:rsidR="00A270A2" w:rsidRPr="00030BEA">
        <w:t>des Nations Unies</w:t>
      </w:r>
      <w:r w:rsidR="00414903" w:rsidRPr="00030BEA">
        <w:t xml:space="preserve">. </w:t>
      </w:r>
      <w:r w:rsidR="00A270A2" w:rsidRPr="00030BEA">
        <w:t>Les conclusions</w:t>
      </w:r>
      <w:r w:rsidR="00414903" w:rsidRPr="00030BEA">
        <w:t xml:space="preserve"> </w:t>
      </w:r>
      <w:r w:rsidR="00A270A2" w:rsidRPr="00030BEA">
        <w:t>des</w:t>
      </w:r>
      <w:r w:rsidR="00414903" w:rsidRPr="00030BEA">
        <w:t xml:space="preserve"> </w:t>
      </w:r>
      <w:r w:rsidR="004818DB" w:rsidRPr="00030BEA">
        <w:t>rapports suivants du CCI sur le rôle</w:t>
      </w:r>
      <w:r w:rsidR="00A270A2" w:rsidRPr="00030BEA">
        <w:t xml:space="preserve"> et les responsabilités des comités d'audit et de contrôle</w:t>
      </w:r>
      <w:r w:rsidR="00414903" w:rsidRPr="00030BEA">
        <w:t xml:space="preserve"> </w:t>
      </w:r>
      <w:r w:rsidR="00A270A2" w:rsidRPr="00030BEA">
        <w:t xml:space="preserve">font l'objet d'un </w:t>
      </w:r>
      <w:proofErr w:type="gramStart"/>
      <w:r w:rsidR="00A270A2" w:rsidRPr="00030BEA">
        <w:t>examen</w:t>
      </w:r>
      <w:r w:rsidR="00414903" w:rsidRPr="00030BEA">
        <w:t>:</w:t>
      </w:r>
      <w:proofErr w:type="gramEnd"/>
    </w:p>
    <w:p w14:paraId="2FBCFA45" w14:textId="227AF968" w:rsidR="00414903" w:rsidRPr="00030BEA" w:rsidRDefault="00965F3D" w:rsidP="00AF4E79">
      <w:pPr>
        <w:pStyle w:val="enumlev1"/>
      </w:pPr>
      <w:r w:rsidRPr="00030BEA">
        <w:t>–</w:t>
      </w:r>
      <w:r w:rsidRPr="00030BEA">
        <w:tab/>
        <w:t>R</w:t>
      </w:r>
      <w:r w:rsidR="0028190F" w:rsidRPr="00030BEA">
        <w:t>apport du CCI sur les</w:t>
      </w:r>
      <w:r w:rsidR="00000A0D" w:rsidRPr="00030BEA">
        <w:t xml:space="preserve"> comités d'audit et de contrôle des entités des Nations Unies (</w:t>
      </w:r>
      <w:hyperlink r:id="rId23" w:history="1">
        <w:r w:rsidR="00000A0D" w:rsidRPr="00030BEA">
          <w:rPr>
            <w:rStyle w:val="Hyperlink"/>
          </w:rPr>
          <w:t>JIU/REP/2019/6</w:t>
        </w:r>
      </w:hyperlink>
      <w:r w:rsidR="0028190F" w:rsidRPr="00030BEA">
        <w:t>)</w:t>
      </w:r>
      <w:r w:rsidRPr="00030BEA">
        <w:t>, qui</w:t>
      </w:r>
      <w:r w:rsidR="00000A0D" w:rsidRPr="00030BEA">
        <w:t xml:space="preserve"> </w:t>
      </w:r>
      <w:r w:rsidR="0028190F" w:rsidRPr="00030BEA">
        <w:t xml:space="preserve">contient des recommandations spécifiques sur le mandat des comités </w:t>
      </w:r>
      <w:r w:rsidR="00D21D93" w:rsidRPr="00030BEA">
        <w:t>à l'intention des</w:t>
      </w:r>
      <w:r w:rsidR="0028190F" w:rsidRPr="00030BEA">
        <w:t xml:space="preserve"> organes </w:t>
      </w:r>
      <w:r w:rsidR="00D21D93" w:rsidRPr="00030BEA">
        <w:t>délibérants</w:t>
      </w:r>
      <w:r w:rsidR="00CF11DC" w:rsidRPr="00030BEA">
        <w:t>.</w:t>
      </w:r>
    </w:p>
    <w:p w14:paraId="0299FB3C" w14:textId="25B65232" w:rsidR="00000A0D" w:rsidRPr="00030BEA" w:rsidRDefault="00000A0D" w:rsidP="00AF4E79">
      <w:pPr>
        <w:pStyle w:val="enumlev1"/>
      </w:pPr>
      <w:r w:rsidRPr="00030BEA">
        <w:t>–</w:t>
      </w:r>
      <w:r w:rsidRPr="00030BEA">
        <w:tab/>
        <w:t>Examen des progrès accomplis par les entités des Nations Unies dans le renforcement de la fonction d'enquête (</w:t>
      </w:r>
      <w:hyperlink r:id="rId24" w:history="1">
        <w:r w:rsidRPr="00030BEA">
          <w:rPr>
            <w:rStyle w:val="Hyperlink"/>
          </w:rPr>
          <w:t>JIU/REP/2020/1</w:t>
        </w:r>
      </w:hyperlink>
      <w:r w:rsidR="00AC1931" w:rsidRPr="00030BEA">
        <w:t>)</w:t>
      </w:r>
      <w:r w:rsidRPr="00030BEA">
        <w:t xml:space="preserve">, </w:t>
      </w:r>
      <w:r w:rsidR="0028190F" w:rsidRPr="00030BEA">
        <w:t xml:space="preserve">en </w:t>
      </w:r>
      <w:r w:rsidR="00D9170B" w:rsidRPr="00030BEA">
        <w:t>particulier la Recommandation</w:t>
      </w:r>
      <w:r w:rsidR="0028190F" w:rsidRPr="00030BEA">
        <w:t> </w:t>
      </w:r>
      <w:r w:rsidRPr="00030BEA">
        <w:t xml:space="preserve">6 </w:t>
      </w:r>
      <w:r w:rsidR="00D9170B" w:rsidRPr="00030BEA">
        <w:t>relative au rôle du</w:t>
      </w:r>
      <w:r w:rsidR="0028190F" w:rsidRPr="00030BEA">
        <w:t xml:space="preserve"> </w:t>
      </w:r>
      <w:r w:rsidR="00D9170B" w:rsidRPr="00030BEA">
        <w:t>comité</w:t>
      </w:r>
      <w:r w:rsidR="0028190F" w:rsidRPr="00030BEA">
        <w:t xml:space="preserve"> d'audit et de contrôle</w:t>
      </w:r>
      <w:r w:rsidRPr="00030BEA">
        <w:t xml:space="preserve"> </w:t>
      </w:r>
      <w:r w:rsidR="00E329A9" w:rsidRPr="00030BEA">
        <w:t>en ce qui concerne</w:t>
      </w:r>
      <w:r w:rsidRPr="00030BEA">
        <w:t xml:space="preserve"> </w:t>
      </w:r>
      <w:r w:rsidR="0028190F" w:rsidRPr="00030BEA">
        <w:t>la fonction</w:t>
      </w:r>
      <w:r w:rsidRPr="00030BEA">
        <w:t xml:space="preserve"> </w:t>
      </w:r>
      <w:r w:rsidR="00E329A9" w:rsidRPr="00030BEA">
        <w:t>d'enquête</w:t>
      </w:r>
      <w:r w:rsidRPr="00030BEA">
        <w:t>.</w:t>
      </w:r>
    </w:p>
    <w:p w14:paraId="7A79FB02" w14:textId="32441F40" w:rsidR="00000A0D" w:rsidRPr="00030BEA" w:rsidRDefault="004D0507" w:rsidP="00AF4E79">
      <w:pPr>
        <w:pStyle w:val="Headingb"/>
      </w:pPr>
      <w:r w:rsidRPr="00030BEA">
        <w:t>Situation des recommandations formulées par le CCIG</w:t>
      </w:r>
    </w:p>
    <w:p w14:paraId="6849DFFD" w14:textId="5238E9B5" w:rsidR="00414903" w:rsidRPr="00030BEA" w:rsidRDefault="00000A0D" w:rsidP="00AF4E79">
      <w:r w:rsidRPr="00030BEA">
        <w:t>2.15</w:t>
      </w:r>
      <w:r w:rsidRPr="00030BEA">
        <w:tab/>
        <w:t xml:space="preserve">Conformément à </w:t>
      </w:r>
      <w:r w:rsidR="005E1FB1" w:rsidRPr="00030BEA">
        <w:t>la pratique habituelle</w:t>
      </w:r>
      <w:r w:rsidRPr="00030BEA">
        <w:t>, et afin d'aider le Conseil à suivre les mesures prises en application des recommandations du CCIG, le Comité a examiné l'état d'avancement de la mise en œuvre des recommandations qu'il avait formulées précédemment, qui est présenté dans l'Annexe 1.</w:t>
      </w:r>
    </w:p>
    <w:p w14:paraId="201B52A4" w14:textId="57F6764E" w:rsidR="00000A0D" w:rsidRPr="00030BEA" w:rsidRDefault="00000A0D" w:rsidP="00AF4E79">
      <w:r w:rsidRPr="00030BEA">
        <w:t>2.16</w:t>
      </w:r>
      <w:r w:rsidRPr="00030BEA">
        <w:tab/>
        <w:t>À ce jour, 85% des recommandations d</w:t>
      </w:r>
      <w:r w:rsidR="004D0507" w:rsidRPr="00030BEA">
        <w:t>u CCIG ont été appliquées, et 9</w:t>
      </w:r>
      <w:r w:rsidRPr="00030BEA">
        <w:t xml:space="preserve"> recommandations (~15%) sont actuellement mises en œuvre par le secrétariat.</w:t>
      </w:r>
    </w:p>
    <w:p w14:paraId="53FB70BB" w14:textId="14C5099B" w:rsidR="00414903" w:rsidRPr="00030BEA" w:rsidRDefault="00000A0D" w:rsidP="00AF4E79">
      <w:pPr>
        <w:pStyle w:val="Heading1"/>
      </w:pPr>
      <w:r w:rsidRPr="00030BEA">
        <w:t>3</w:t>
      </w:r>
      <w:r w:rsidRPr="00030BEA">
        <w:tab/>
      </w:r>
      <w:r w:rsidR="004D0507" w:rsidRPr="00030BEA">
        <w:t>Leadership mondial et rôle de l'UIT</w:t>
      </w:r>
      <w:r w:rsidRPr="00030BEA">
        <w:t xml:space="preserve"> </w:t>
      </w:r>
      <w:r w:rsidR="00E03D2D" w:rsidRPr="00030BEA">
        <w:t>dans le monde de l'après-</w:t>
      </w:r>
      <w:r w:rsidRPr="00030BEA">
        <w:t>COVID-19</w:t>
      </w:r>
    </w:p>
    <w:p w14:paraId="622DA9EC" w14:textId="68013050" w:rsidR="00414903" w:rsidRPr="00030BEA" w:rsidRDefault="00414903" w:rsidP="00AF4E79">
      <w:r w:rsidRPr="00030BEA">
        <w:t>3.1</w:t>
      </w:r>
      <w:r w:rsidRPr="00030BEA">
        <w:tab/>
        <w:t xml:space="preserve">Le Comité </w:t>
      </w:r>
      <w:r w:rsidR="00916259" w:rsidRPr="00030BEA">
        <w:t>a accueilli avec satisfaction</w:t>
      </w:r>
      <w:r w:rsidR="005B756E" w:rsidRPr="00030BEA">
        <w:t xml:space="preserve"> la</w:t>
      </w:r>
      <w:r w:rsidRPr="00030BEA">
        <w:t xml:space="preserve"> note d'information </w:t>
      </w:r>
      <w:r w:rsidR="00E03D2D" w:rsidRPr="00030BEA">
        <w:t>qu'il a reçue</w:t>
      </w:r>
      <w:r w:rsidR="005B756E" w:rsidRPr="00030BEA">
        <w:t xml:space="preserve"> </w:t>
      </w:r>
      <w:r w:rsidR="0062667D" w:rsidRPr="00030BEA">
        <w:t>au sujet des</w:t>
      </w:r>
      <w:r w:rsidRPr="00030BEA">
        <w:t xml:space="preserve"> conséquences de la pandémie actuelle de COVID-19 sur le fonctionnement et les activités de l'UIT, </w:t>
      </w:r>
      <w:r w:rsidR="001E3230" w:rsidRPr="00030BEA">
        <w:t>sous la forme d'</w:t>
      </w:r>
      <w:r w:rsidR="00916259" w:rsidRPr="00030BEA">
        <w:t xml:space="preserve">un résumé </w:t>
      </w:r>
      <w:r w:rsidR="0053521A" w:rsidRPr="00030BEA">
        <w:t xml:space="preserve">d'une analyse </w:t>
      </w:r>
      <w:r w:rsidR="00916259" w:rsidRPr="00030BEA">
        <w:t xml:space="preserve">préliminaire </w:t>
      </w:r>
      <w:r w:rsidR="0053521A" w:rsidRPr="00030BEA">
        <w:t>d</w:t>
      </w:r>
      <w:r w:rsidR="001E3230" w:rsidRPr="00030BEA">
        <w:t xml:space="preserve">es incidences </w:t>
      </w:r>
      <w:r w:rsidR="0053521A" w:rsidRPr="00030BEA">
        <w:t>présentant</w:t>
      </w:r>
      <w:r w:rsidR="001E3230" w:rsidRPr="00030BEA">
        <w:t xml:space="preserve"> </w:t>
      </w:r>
      <w:r w:rsidR="00916259" w:rsidRPr="00030BEA">
        <w:t xml:space="preserve">les </w:t>
      </w:r>
      <w:r w:rsidR="00D822D4" w:rsidRPr="00030BEA">
        <w:t>données</w:t>
      </w:r>
      <w:r w:rsidR="00916259" w:rsidRPr="00030BEA">
        <w:t xml:space="preserve"> disponibles, les enseignements tirés et les principaux aspects à examiner ultérieurement</w:t>
      </w:r>
      <w:r w:rsidRPr="00030BEA">
        <w:t>.</w:t>
      </w:r>
    </w:p>
    <w:p w14:paraId="0654950F" w14:textId="178C03FD" w:rsidR="007419D5" w:rsidRPr="00030BEA" w:rsidRDefault="007419D5" w:rsidP="00AF4E79">
      <w:r w:rsidRPr="00030BEA">
        <w:t>3.2</w:t>
      </w:r>
      <w:r w:rsidRPr="00030BEA">
        <w:tab/>
      </w:r>
      <w:r w:rsidR="00D822D4" w:rsidRPr="00030BEA">
        <w:t>La pandémie</w:t>
      </w:r>
      <w:r w:rsidRPr="00030BEA">
        <w:t xml:space="preserve"> </w:t>
      </w:r>
      <w:r w:rsidR="00D822D4" w:rsidRPr="00030BEA">
        <w:t>a mis en lumière la triste réalité de la fracture numérique dans le monde.</w:t>
      </w:r>
      <w:r w:rsidRPr="00030BEA">
        <w:t xml:space="preserve"> </w:t>
      </w:r>
      <w:r w:rsidR="0045607E" w:rsidRPr="00030BEA">
        <w:t>Alors que le monde a pris conscience de cette fracture numérique</w:t>
      </w:r>
      <w:r w:rsidRPr="00030BEA">
        <w:t xml:space="preserve">, </w:t>
      </w:r>
      <w:r w:rsidR="00D822D4" w:rsidRPr="00030BEA">
        <w:t>il est capital que chaque être humain dispose d'un accès à l'Internet</w:t>
      </w:r>
      <w:r w:rsidRPr="00030BEA">
        <w:t xml:space="preserve">, </w:t>
      </w:r>
      <w:r w:rsidR="001D13E8" w:rsidRPr="00030BEA">
        <w:t xml:space="preserve">le mandat </w:t>
      </w:r>
      <w:r w:rsidR="0062667D" w:rsidRPr="00030BEA">
        <w:t xml:space="preserve">de l'UIT </w:t>
      </w:r>
      <w:r w:rsidR="00D822D4" w:rsidRPr="00030BEA">
        <w:t xml:space="preserve">confié </w:t>
      </w:r>
      <w:r w:rsidR="0062667D" w:rsidRPr="00030BEA">
        <w:t xml:space="preserve">par </w:t>
      </w:r>
      <w:r w:rsidR="00D822D4" w:rsidRPr="00030BEA">
        <w:t>la communauté internationale et qui consiste à "réduire la fracture numérique"</w:t>
      </w:r>
      <w:r w:rsidRPr="00030BEA">
        <w:t xml:space="preserve"> </w:t>
      </w:r>
      <w:r w:rsidR="0045607E" w:rsidRPr="00030BEA">
        <w:t xml:space="preserve">devenant de ce fait </w:t>
      </w:r>
      <w:r w:rsidR="001D13E8" w:rsidRPr="00030BEA">
        <w:t>plus</w:t>
      </w:r>
      <w:r w:rsidRPr="00030BEA">
        <w:t xml:space="preserve"> </w:t>
      </w:r>
      <w:r w:rsidR="001D13E8" w:rsidRPr="00030BEA">
        <w:t>pertinent et vital que jamais</w:t>
      </w:r>
      <w:r w:rsidRPr="00030BEA">
        <w:t xml:space="preserve">. </w:t>
      </w:r>
      <w:r w:rsidR="003E78A4" w:rsidRPr="00030BEA">
        <w:t>L'UIT</w:t>
      </w:r>
      <w:r w:rsidRPr="00030BEA">
        <w:t xml:space="preserve"> </w:t>
      </w:r>
      <w:r w:rsidR="008E33BF" w:rsidRPr="00030BEA">
        <w:t>a joué un rôle moteur</w:t>
      </w:r>
      <w:r w:rsidRPr="00030BEA">
        <w:t xml:space="preserve"> </w:t>
      </w:r>
      <w:r w:rsidR="008E33BF" w:rsidRPr="00030BEA">
        <w:t xml:space="preserve">pour </w:t>
      </w:r>
      <w:r w:rsidR="0043165F" w:rsidRPr="00030BEA">
        <w:t>définir, en partant de ce constat, ce qui doit être fait pour réduire la fracture numérique</w:t>
      </w:r>
      <w:r w:rsidRPr="00030BEA">
        <w:t xml:space="preserve">. </w:t>
      </w:r>
      <w:r w:rsidR="003E78A4" w:rsidRPr="00030BEA">
        <w:t>Le CCIG se félicite du rôle que joue l'UIT dans le monde</w:t>
      </w:r>
      <w:r w:rsidRPr="00030BEA">
        <w:t xml:space="preserve"> </w:t>
      </w:r>
      <w:r w:rsidR="003E78A4" w:rsidRPr="00030BEA">
        <w:t>de plus en plus numérique dans lequel nous vivons</w:t>
      </w:r>
      <w:r w:rsidRPr="00030BEA">
        <w:t xml:space="preserve"> </w:t>
      </w:r>
      <w:r w:rsidR="003E78A4" w:rsidRPr="00030BEA">
        <w:t xml:space="preserve">et recommande </w:t>
      </w:r>
      <w:r w:rsidR="00044B53" w:rsidRPr="00030BEA">
        <w:t>à l'U</w:t>
      </w:r>
      <w:r w:rsidR="0043165F" w:rsidRPr="00030BEA">
        <w:t>nion</w:t>
      </w:r>
      <w:r w:rsidR="00044B53" w:rsidRPr="00030BEA">
        <w:t xml:space="preserve"> de c</w:t>
      </w:r>
      <w:r w:rsidR="003E78A4" w:rsidRPr="00030BEA">
        <w:t>ontinue</w:t>
      </w:r>
      <w:r w:rsidR="00044B53" w:rsidRPr="00030BEA">
        <w:t>r</w:t>
      </w:r>
      <w:r w:rsidR="003E78A4" w:rsidRPr="00030BEA">
        <w:t xml:space="preserve"> de </w:t>
      </w:r>
      <w:r w:rsidR="0043165F" w:rsidRPr="00030BEA">
        <w:t xml:space="preserve">chercher </w:t>
      </w:r>
      <w:r w:rsidR="003E78A4" w:rsidRPr="00030BEA">
        <w:t>des moyens d'établir la connectivité dans le monde entier</w:t>
      </w:r>
      <w:r w:rsidRPr="00030BEA">
        <w:t xml:space="preserve">, </w:t>
      </w:r>
      <w:r w:rsidR="003E78A4" w:rsidRPr="00030BEA">
        <w:t xml:space="preserve">en s'appuyant sur </w:t>
      </w:r>
      <w:r w:rsidR="00B76B4F" w:rsidRPr="00030BEA">
        <w:t>son rôle de</w:t>
      </w:r>
      <w:r w:rsidR="003E78A4" w:rsidRPr="00030BEA">
        <w:t xml:space="preserve"> </w:t>
      </w:r>
      <w:r w:rsidR="0043165F" w:rsidRPr="00030BEA">
        <w:t xml:space="preserve">promoteur </w:t>
      </w:r>
      <w:r w:rsidR="003E78A4" w:rsidRPr="00030BEA">
        <w:t>de la transformation numérique</w:t>
      </w:r>
      <w:r w:rsidRPr="00030BEA">
        <w:t>.</w:t>
      </w:r>
    </w:p>
    <w:p w14:paraId="29D0E2BB" w14:textId="584987E3" w:rsidR="00414903" w:rsidRPr="00030BEA" w:rsidRDefault="007419D5" w:rsidP="00AF4E79">
      <w:pPr>
        <w:pStyle w:val="Heading1"/>
        <w:tabs>
          <w:tab w:val="left" w:pos="4277"/>
        </w:tabs>
      </w:pPr>
      <w:r w:rsidRPr="00030BEA">
        <w:t>4</w:t>
      </w:r>
      <w:r w:rsidR="00414903" w:rsidRPr="00030BEA">
        <w:tab/>
        <w:t>Gestion financière</w:t>
      </w:r>
    </w:p>
    <w:p w14:paraId="4D96E278" w14:textId="3D630DA5" w:rsidR="00414903" w:rsidRPr="00030BEA" w:rsidRDefault="007419D5" w:rsidP="00AF4E79">
      <w:r w:rsidRPr="00030BEA">
        <w:t>4</w:t>
      </w:r>
      <w:r w:rsidR="00414903" w:rsidRPr="00030BEA">
        <w:t>.1</w:t>
      </w:r>
      <w:r w:rsidR="00414903" w:rsidRPr="00030BEA">
        <w:tab/>
        <w:t xml:space="preserve">Le CCIG a continué de suivre les questions financières et s'est entretenu avec le Département de la gestion des ressources financières au sujet des faits nouveaux survenus en la matière. Depuis la soumission de son dernier rapport au Conseil, le Comité a été informé en particulier </w:t>
      </w:r>
      <w:r w:rsidR="00B47F69" w:rsidRPr="00030BEA">
        <w:t xml:space="preserve">de l'établissement du projet de budget pour </w:t>
      </w:r>
      <w:r w:rsidR="00863040" w:rsidRPr="00030BEA">
        <w:t xml:space="preserve">la période </w:t>
      </w:r>
      <w:r w:rsidR="00B47F69" w:rsidRPr="00030BEA">
        <w:t>2022-2023</w:t>
      </w:r>
      <w:r w:rsidR="00414903" w:rsidRPr="00030BEA">
        <w:t xml:space="preserve">, de l'évolution des discussions sur le financement des engagements au titre de l'Assurance maladie après la cessation de service (ASHI) </w:t>
      </w:r>
      <w:r w:rsidR="00414903" w:rsidRPr="00030BEA">
        <w:rPr>
          <w:color w:val="000000"/>
        </w:rPr>
        <w:t>à l'échelle</w:t>
      </w:r>
      <w:r w:rsidR="00414903" w:rsidRPr="00030BEA">
        <w:t xml:space="preserve"> des Nations Unies, ainsi que </w:t>
      </w:r>
      <w:r w:rsidR="00CF059D" w:rsidRPr="00030BEA">
        <w:t>des risques financiers liés à la pandémie de COVID-19</w:t>
      </w:r>
      <w:r w:rsidR="00414903" w:rsidRPr="00030BEA">
        <w:t>.</w:t>
      </w:r>
    </w:p>
    <w:p w14:paraId="71BF5D67" w14:textId="18B2A2F9" w:rsidR="00414903" w:rsidRPr="00030BEA" w:rsidRDefault="007419D5" w:rsidP="00AF4E79">
      <w:r w:rsidRPr="00030BEA">
        <w:lastRenderedPageBreak/>
        <w:t>4.2</w:t>
      </w:r>
      <w:r w:rsidR="00414903" w:rsidRPr="00030BEA">
        <w:tab/>
        <w:t>Le Comité s'est particulièrement interrogé sur la situation de trésorerie de l'organisation, ainsi que sur les conséquences financières à long terme de la pandémie</w:t>
      </w:r>
      <w:r w:rsidR="001B3B05" w:rsidRPr="00030BEA">
        <w:t xml:space="preserve">, et a mis en avant les risques </w:t>
      </w:r>
      <w:r w:rsidR="0015626A" w:rsidRPr="00030BEA">
        <w:t>liés</w:t>
      </w:r>
      <w:r w:rsidR="001B3B05" w:rsidRPr="00030BEA">
        <w:t xml:space="preserve"> à la situation actuelle, en particulier au niveau des liquidités, ainsi que le processus de re</w:t>
      </w:r>
      <w:r w:rsidR="00990400" w:rsidRPr="00030BEA">
        <w:t xml:space="preserve">stitution du matériel fourni aux fonctionnaires </w:t>
      </w:r>
      <w:r w:rsidR="001B3B05" w:rsidRPr="00030BEA">
        <w:t xml:space="preserve">pour </w:t>
      </w:r>
      <w:r w:rsidR="00990400" w:rsidRPr="00030BEA">
        <w:t>leur permettre de</w:t>
      </w:r>
      <w:r w:rsidR="001B3B05" w:rsidRPr="00030BEA">
        <w:t xml:space="preserve"> travailler à distance</w:t>
      </w:r>
      <w:r w:rsidR="00414903" w:rsidRPr="00030BEA">
        <w:t xml:space="preserve">. </w:t>
      </w:r>
      <w:r w:rsidR="001B3B05" w:rsidRPr="00030BEA">
        <w:t xml:space="preserve">Toutefois, il convient de noter </w:t>
      </w:r>
      <w:r w:rsidR="008974ED" w:rsidRPr="00030BEA">
        <w:t>que la direction</w:t>
      </w:r>
      <w:r w:rsidR="001B3B05" w:rsidRPr="00030BEA">
        <w:t xml:space="preserve"> </w:t>
      </w:r>
      <w:r w:rsidR="0043165F" w:rsidRPr="00030BEA">
        <w:t>con</w:t>
      </w:r>
      <w:r w:rsidR="00990400" w:rsidRPr="00030BEA">
        <w:t>firme</w:t>
      </w:r>
      <w:r w:rsidR="001B3B05" w:rsidRPr="00030BEA">
        <w:t xml:space="preserve"> </w:t>
      </w:r>
      <w:r w:rsidR="008974ED" w:rsidRPr="00030BEA">
        <w:t>qu'à ce stade,</w:t>
      </w:r>
      <w:r w:rsidR="001B3B05" w:rsidRPr="00030BEA">
        <w:t xml:space="preserve"> près de 96% des contributions</w:t>
      </w:r>
      <w:r w:rsidR="00990400" w:rsidRPr="00030BEA">
        <w:t xml:space="preserve"> dues ont été perçue</w:t>
      </w:r>
      <w:r w:rsidR="008974ED" w:rsidRPr="00030BEA">
        <w:t xml:space="preserve">s en 2020, et </w:t>
      </w:r>
      <w:r w:rsidR="00990400" w:rsidRPr="00030BEA">
        <w:t>la tendance se confirme également pour 2021</w:t>
      </w:r>
      <w:r w:rsidR="008974ED" w:rsidRPr="00030BEA">
        <w:t xml:space="preserve">, ce qui atténue le risque </w:t>
      </w:r>
      <w:r w:rsidR="0043165F" w:rsidRPr="00030BEA">
        <w:t xml:space="preserve">lié aux </w:t>
      </w:r>
      <w:r w:rsidR="008974ED" w:rsidRPr="00030BEA">
        <w:t>liquidité</w:t>
      </w:r>
      <w:r w:rsidR="0043165F" w:rsidRPr="00030BEA">
        <w:t>s</w:t>
      </w:r>
      <w:r w:rsidR="009560E2" w:rsidRPr="00030BEA">
        <w:t xml:space="preserve"> à court terme</w:t>
      </w:r>
      <w:r w:rsidR="008974ED" w:rsidRPr="00030BEA">
        <w:t>.</w:t>
      </w:r>
    </w:p>
    <w:p w14:paraId="17B2B682" w14:textId="691C5FBD" w:rsidR="007419D5" w:rsidRPr="00030BEA" w:rsidRDefault="007419D5" w:rsidP="00AF4E79">
      <w:r w:rsidRPr="00030BEA">
        <w:t>4.3</w:t>
      </w:r>
      <w:r w:rsidRPr="00030BEA">
        <w:tab/>
      </w:r>
      <w:r w:rsidR="00B250DD" w:rsidRPr="00030BEA">
        <w:t>En ce qui concerne</w:t>
      </w:r>
      <w:r w:rsidRPr="00030BEA">
        <w:t xml:space="preserve"> </w:t>
      </w:r>
      <w:r w:rsidR="00B250DD" w:rsidRPr="00030BEA">
        <w:t>l'</w:t>
      </w:r>
      <w:r w:rsidRPr="00030BEA">
        <w:t xml:space="preserve">ASHI, </w:t>
      </w:r>
      <w:r w:rsidR="00B250DD" w:rsidRPr="00030BEA">
        <w:t xml:space="preserve">le CCIG a pris note de la décision de la direction </w:t>
      </w:r>
      <w:r w:rsidR="007D7ED9" w:rsidRPr="00030BEA">
        <w:t>de prévoir des ressources</w:t>
      </w:r>
      <w:r w:rsidR="00B250DD" w:rsidRPr="00030BEA">
        <w:t xml:space="preserve"> </w:t>
      </w:r>
      <w:r w:rsidR="007D7ED9" w:rsidRPr="00030BEA">
        <w:t>budgétaires</w:t>
      </w:r>
      <w:r w:rsidRPr="00030BEA">
        <w:t xml:space="preserve"> </w:t>
      </w:r>
      <w:r w:rsidR="00B250DD" w:rsidRPr="00030BEA">
        <w:t xml:space="preserve">à compter de 2022 </w:t>
      </w:r>
      <w:r w:rsidR="007D7ED9" w:rsidRPr="00030BEA">
        <w:t>pour</w:t>
      </w:r>
      <w:r w:rsidR="00B250DD" w:rsidRPr="00030BEA">
        <w:t xml:space="preserve"> le système de financement des nouveaux recrutements</w:t>
      </w:r>
      <w:r w:rsidRPr="00030BEA">
        <w:t>.</w:t>
      </w:r>
    </w:p>
    <w:p w14:paraId="34A29B1C" w14:textId="1AA4F24E" w:rsidR="007419D5" w:rsidRPr="00030BEA" w:rsidRDefault="007419D5" w:rsidP="00AF4E79">
      <w:r w:rsidRPr="00030BEA">
        <w:t>4.4</w:t>
      </w:r>
      <w:r w:rsidRPr="00030BEA">
        <w:tab/>
      </w:r>
      <w:r w:rsidR="001C32DE" w:rsidRPr="00030BEA">
        <w:t xml:space="preserve">Le CCIG continuera </w:t>
      </w:r>
      <w:r w:rsidR="005379FE" w:rsidRPr="00030BEA">
        <w:t>de dialoguer</w:t>
      </w:r>
      <w:r w:rsidR="001C32DE" w:rsidRPr="00030BEA">
        <w:t xml:space="preserve"> avec le Département de la gestion des ressources financières</w:t>
      </w:r>
      <w:r w:rsidR="005379FE" w:rsidRPr="00030BEA">
        <w:t xml:space="preserve"> sur ces questions</w:t>
      </w:r>
      <w:r w:rsidRPr="00030BEA">
        <w:t>.</w:t>
      </w:r>
    </w:p>
    <w:p w14:paraId="59298FD8" w14:textId="145644C0" w:rsidR="00C22A3F" w:rsidRPr="00030BEA" w:rsidRDefault="00C22A3F" w:rsidP="00AF4E79">
      <w:pPr>
        <w:pStyle w:val="Heading1"/>
      </w:pPr>
      <w:r w:rsidRPr="00030BEA">
        <w:t>5</w:t>
      </w:r>
      <w:r w:rsidRPr="00030BEA">
        <w:tab/>
        <w:t>Vérification extérieure des comptes</w:t>
      </w:r>
    </w:p>
    <w:p w14:paraId="281576EF" w14:textId="1822FC5B" w:rsidR="00C22A3F" w:rsidRPr="00030BEA" w:rsidRDefault="00C22A3F" w:rsidP="00AF4E79">
      <w:r w:rsidRPr="00030BEA">
        <w:t>5.1</w:t>
      </w:r>
      <w:r w:rsidRPr="00030BEA">
        <w:tab/>
      </w:r>
      <w:r w:rsidR="00614121" w:rsidRPr="00030BEA">
        <w:t>Le CCIG a continué de dialoguer régulièrement avec le Vérificateur extérieur des comptes</w:t>
      </w:r>
      <w:r w:rsidRPr="00030BEA">
        <w:t xml:space="preserve">, </w:t>
      </w:r>
      <w:r w:rsidR="00614121" w:rsidRPr="00030BEA">
        <w:t>en tenant à la fois des réunions à huis clos avec</w:t>
      </w:r>
      <w:r w:rsidR="00166E21" w:rsidRPr="00030BEA">
        <w:t xml:space="preserve"> </w:t>
      </w:r>
      <w:r w:rsidR="00F362C1" w:rsidRPr="00030BEA">
        <w:t xml:space="preserve">la Cour des comptes italienne </w:t>
      </w:r>
      <w:r w:rsidR="00166E21" w:rsidRPr="00030BEA">
        <w:t>et</w:t>
      </w:r>
      <w:r w:rsidR="00614121" w:rsidRPr="00030BEA">
        <w:t xml:space="preserve"> des</w:t>
      </w:r>
      <w:r w:rsidRPr="00030BEA">
        <w:t xml:space="preserve"> </w:t>
      </w:r>
      <w:r w:rsidR="00166E21" w:rsidRPr="00030BEA">
        <w:t>séances</w:t>
      </w:r>
      <w:r w:rsidRPr="00030BEA">
        <w:t xml:space="preserve"> </w:t>
      </w:r>
      <w:r w:rsidR="00614121" w:rsidRPr="00030BEA">
        <w:t>en présence de</w:t>
      </w:r>
      <w:r w:rsidR="00D5156C" w:rsidRPr="00030BEA">
        <w:t>s membres de</w:t>
      </w:r>
      <w:r w:rsidR="00614121" w:rsidRPr="00030BEA">
        <w:t xml:space="preserve"> la direction de l'UIT</w:t>
      </w:r>
      <w:r w:rsidRPr="00030BEA">
        <w:t xml:space="preserve">. </w:t>
      </w:r>
      <w:r w:rsidR="00614121" w:rsidRPr="00030BEA">
        <w:t xml:space="preserve">Plusieurs points et questions ont été étudiés en profondeur avec le Vérificateur extérieur des comptes pendant ces </w:t>
      </w:r>
      <w:r w:rsidR="007D726E" w:rsidRPr="00030BEA">
        <w:t>séances</w:t>
      </w:r>
      <w:r w:rsidRPr="00030BEA">
        <w:t>.</w:t>
      </w:r>
    </w:p>
    <w:p w14:paraId="5A806A51" w14:textId="2A3F0B48" w:rsidR="00C22A3F" w:rsidRPr="00030BEA" w:rsidRDefault="00C22A3F" w:rsidP="00AF4E79">
      <w:r w:rsidRPr="00030BEA">
        <w:t>5.2.</w:t>
      </w:r>
      <w:r w:rsidRPr="00030BEA">
        <w:tab/>
      </w:r>
      <w:r w:rsidR="00D5156C" w:rsidRPr="00030BEA">
        <w:t xml:space="preserve">Le CCIG </w:t>
      </w:r>
      <w:r w:rsidR="00E25BE5" w:rsidRPr="00030BEA">
        <w:t>s'est entretenu avec</w:t>
      </w:r>
      <w:r w:rsidRPr="00030BEA">
        <w:t xml:space="preserve"> </w:t>
      </w:r>
      <w:r w:rsidR="0099074A" w:rsidRPr="00030BEA">
        <w:t>la Cour des comptes italienne</w:t>
      </w:r>
      <w:r w:rsidR="0091345F" w:rsidRPr="00030BEA">
        <w:t xml:space="preserve">, </w:t>
      </w:r>
      <w:r w:rsidR="00D5156C" w:rsidRPr="00030BEA">
        <w:t xml:space="preserve">notamment </w:t>
      </w:r>
      <w:r w:rsidR="005113B2" w:rsidRPr="00030BEA">
        <w:t>au sujet du</w:t>
      </w:r>
      <w:r w:rsidR="00D5156C" w:rsidRPr="00030BEA">
        <w:t xml:space="preserve"> suivi du cas de fraude dans un bureau régional révélé en</w:t>
      </w:r>
      <w:r w:rsidRPr="00030BEA">
        <w:t xml:space="preserve"> 2018, </w:t>
      </w:r>
      <w:r w:rsidR="005113B2" w:rsidRPr="00030BEA">
        <w:t>d</w:t>
      </w:r>
      <w:r w:rsidR="00D5156C" w:rsidRPr="00030BEA">
        <w:t>es mesures de suivi prises par le secrétariat</w:t>
      </w:r>
      <w:r w:rsidRPr="00030BEA">
        <w:t xml:space="preserve"> </w:t>
      </w:r>
      <w:r w:rsidR="005113B2" w:rsidRPr="00030BEA">
        <w:t>et d</w:t>
      </w:r>
      <w:r w:rsidR="00D5156C" w:rsidRPr="00030BEA">
        <w:t>es progrès accomplis</w:t>
      </w:r>
      <w:r w:rsidRPr="00030BEA">
        <w:t xml:space="preserve"> </w:t>
      </w:r>
      <w:r w:rsidR="00F362C1" w:rsidRPr="00030BEA">
        <w:t>en vue de</w:t>
      </w:r>
      <w:r w:rsidR="00D5156C" w:rsidRPr="00030BEA">
        <w:t xml:space="preserve"> remédier aux</w:t>
      </w:r>
      <w:r w:rsidRPr="00030BEA">
        <w:t xml:space="preserve"> </w:t>
      </w:r>
      <w:r w:rsidR="00C9647A" w:rsidRPr="00030BEA">
        <w:t xml:space="preserve">déficiences </w:t>
      </w:r>
      <w:r w:rsidR="0091345F" w:rsidRPr="00030BEA">
        <w:t xml:space="preserve">qui ont </w:t>
      </w:r>
      <w:r w:rsidR="00C9647A" w:rsidRPr="00030BEA">
        <w:t>conduit le</w:t>
      </w:r>
      <w:r w:rsidR="0091345F" w:rsidRPr="00030BEA">
        <w:t xml:space="preserve"> Vérificateur extérieur des comptes</w:t>
      </w:r>
      <w:r w:rsidR="00C9647A" w:rsidRPr="00030BEA">
        <w:t xml:space="preserve"> à formuler une opinion avec réserve</w:t>
      </w:r>
      <w:r w:rsidR="0091345F" w:rsidRPr="00030BEA">
        <w:t xml:space="preserve"> pour les</w:t>
      </w:r>
      <w:r w:rsidRPr="00030BEA">
        <w:t xml:space="preserve"> </w:t>
      </w:r>
      <w:r w:rsidR="0091345F" w:rsidRPr="00030BEA">
        <w:t>états financiers de</w:t>
      </w:r>
      <w:r w:rsidRPr="00030BEA">
        <w:t xml:space="preserve"> 2018 </w:t>
      </w:r>
      <w:r w:rsidR="0091345F" w:rsidRPr="00030BEA">
        <w:t>et</w:t>
      </w:r>
      <w:r w:rsidRPr="00030BEA">
        <w:t xml:space="preserve"> 2019.</w:t>
      </w:r>
    </w:p>
    <w:p w14:paraId="0B7B87CF" w14:textId="25A49709" w:rsidR="00C22A3F" w:rsidRPr="00030BEA" w:rsidRDefault="00C22A3F" w:rsidP="00AF4E79">
      <w:r w:rsidRPr="00030BEA">
        <w:t>5.3</w:t>
      </w:r>
      <w:r w:rsidRPr="00030BEA">
        <w:tab/>
      </w:r>
      <w:r w:rsidR="0012687B" w:rsidRPr="00030BEA">
        <w:t>Lors des sessions à huis clos</w:t>
      </w:r>
      <w:r w:rsidRPr="00030BEA">
        <w:t xml:space="preserve">, </w:t>
      </w:r>
      <w:r w:rsidR="0012687B" w:rsidRPr="00030BEA">
        <w:t>le CCIG a notamment obtenu la confirmation de l'indépendance de</w:t>
      </w:r>
      <w:r w:rsidRPr="00030BEA">
        <w:t xml:space="preserve"> </w:t>
      </w:r>
      <w:r w:rsidR="00F362C1" w:rsidRPr="00030BEA">
        <w:t>la Cour des comptes italienne</w:t>
      </w:r>
      <w:r w:rsidR="00521A01" w:rsidRPr="00030BEA">
        <w:t xml:space="preserve">. </w:t>
      </w:r>
      <w:r w:rsidR="00911645" w:rsidRPr="00030BEA">
        <w:t>Le Comité avait formulé cette</w:t>
      </w:r>
      <w:r w:rsidR="00521A01" w:rsidRPr="00030BEA">
        <w:t xml:space="preserve"> demande de confirmation </w:t>
      </w:r>
      <w:r w:rsidR="002D0BF2" w:rsidRPr="00030BEA">
        <w:t>en vertu de</w:t>
      </w:r>
      <w:r w:rsidR="00911645" w:rsidRPr="00030BEA">
        <w:t xml:space="preserve"> son</w:t>
      </w:r>
      <w:r w:rsidR="00521A01" w:rsidRPr="00030BEA">
        <w:t xml:space="preserve"> principe</w:t>
      </w:r>
      <w:r w:rsidR="0012687B" w:rsidRPr="00030BEA">
        <w:t xml:space="preserve"> de diligence due</w:t>
      </w:r>
      <w:r w:rsidRPr="00030BEA">
        <w:t>.</w:t>
      </w:r>
    </w:p>
    <w:p w14:paraId="4C9825BC" w14:textId="25F1575C" w:rsidR="00C22A3F" w:rsidRPr="00030BEA" w:rsidRDefault="00C22A3F" w:rsidP="00AF4E79">
      <w:r w:rsidRPr="00030BEA">
        <w:t>5.4</w:t>
      </w:r>
      <w:r w:rsidRPr="00030BEA">
        <w:tab/>
      </w:r>
      <w:r w:rsidR="00521A01" w:rsidRPr="00030BEA">
        <w:t xml:space="preserve">Le CCIG a eu </w:t>
      </w:r>
      <w:r w:rsidR="00C9647A" w:rsidRPr="00030BEA">
        <w:t xml:space="preserve">la possibilité </w:t>
      </w:r>
      <w:r w:rsidR="00521A01" w:rsidRPr="00030BEA">
        <w:t xml:space="preserve">d'examiner </w:t>
      </w:r>
      <w:r w:rsidR="00C9647A" w:rsidRPr="00030BEA">
        <w:t xml:space="preserve">le calendrier </w:t>
      </w:r>
      <w:r w:rsidR="00521A01" w:rsidRPr="00030BEA">
        <w:t xml:space="preserve">et les thèmes/domaines </w:t>
      </w:r>
      <w:r w:rsidR="007025DF" w:rsidRPr="00030BEA">
        <w:t>du</w:t>
      </w:r>
      <w:r w:rsidR="00521A01" w:rsidRPr="00030BEA">
        <w:t xml:space="preserve"> programme de travail </w:t>
      </w:r>
      <w:r w:rsidR="00CC748C" w:rsidRPr="00030BEA">
        <w:t>relatif à</w:t>
      </w:r>
      <w:r w:rsidR="00521A01" w:rsidRPr="00030BEA">
        <w:t xml:space="preserve"> la proposition de plan d'audit pour </w:t>
      </w:r>
      <w:r w:rsidR="00A51E77" w:rsidRPr="00030BEA">
        <w:t>2021,</w:t>
      </w:r>
      <w:r w:rsidRPr="00030BEA">
        <w:t xml:space="preserve"> </w:t>
      </w:r>
      <w:r w:rsidR="00521A01" w:rsidRPr="00030BEA">
        <w:t>et se réjouit d'avance de recevoir</w:t>
      </w:r>
      <w:r w:rsidRPr="00030BEA">
        <w:t xml:space="preserve"> </w:t>
      </w:r>
      <w:r w:rsidR="00521A01" w:rsidRPr="00030BEA">
        <w:t>le rapport du Vérificateur extérieur des comptes sur les états financiers</w:t>
      </w:r>
      <w:r w:rsidRPr="00030BEA">
        <w:t xml:space="preserve"> </w:t>
      </w:r>
      <w:r w:rsidR="00521A01" w:rsidRPr="00030BEA">
        <w:t>pour l'exercice</w:t>
      </w:r>
      <w:r w:rsidRPr="00030BEA">
        <w:t xml:space="preserve"> 2020</w:t>
      </w:r>
      <w:r w:rsidR="00A51E77" w:rsidRPr="00030BEA">
        <w:t>,</w:t>
      </w:r>
      <w:r w:rsidRPr="00030BEA">
        <w:t xml:space="preserve"> </w:t>
      </w:r>
      <w:r w:rsidR="00A51E77" w:rsidRPr="00030BEA">
        <w:t>lorsqu</w:t>
      </w:r>
      <w:r w:rsidR="00C9647A" w:rsidRPr="00030BEA">
        <w:t xml:space="preserve">'il </w:t>
      </w:r>
      <w:r w:rsidR="00521A01" w:rsidRPr="00030BEA">
        <w:t>sera disponible</w:t>
      </w:r>
      <w:r w:rsidRPr="00030BEA">
        <w:t>.</w:t>
      </w:r>
    </w:p>
    <w:p w14:paraId="556F3FAA" w14:textId="77777777" w:rsidR="00414903" w:rsidRPr="00030BEA" w:rsidRDefault="00414903" w:rsidP="00AF4E79">
      <w:pPr>
        <w:pStyle w:val="Heading1"/>
      </w:pPr>
      <w:r w:rsidRPr="00030BEA">
        <w:t>6</w:t>
      </w:r>
      <w:r w:rsidRPr="00030BEA">
        <w:tab/>
        <w:t>Audit interne</w:t>
      </w:r>
    </w:p>
    <w:p w14:paraId="27EA315B" w14:textId="45C023C4" w:rsidR="00414903" w:rsidRPr="00030BEA" w:rsidRDefault="00414903" w:rsidP="00AF4E79">
      <w:r w:rsidRPr="00030BEA">
        <w:t>6.1</w:t>
      </w:r>
      <w:r w:rsidRPr="00030BEA">
        <w:tab/>
        <w:t>Le CCIG a</w:t>
      </w:r>
      <w:r w:rsidR="006710B8" w:rsidRPr="00030BEA">
        <w:t xml:space="preserve"> continué de </w:t>
      </w:r>
      <w:r w:rsidR="00C9647A" w:rsidRPr="00030BEA">
        <w:t>formuler des avis</w:t>
      </w:r>
      <w:r w:rsidR="006710B8" w:rsidRPr="00030BEA">
        <w:t xml:space="preserve"> sur la fonction d'audit interne</w:t>
      </w:r>
      <w:r w:rsidR="00CC2FE8" w:rsidRPr="00030BEA">
        <w:t xml:space="preserve"> et </w:t>
      </w:r>
      <w:r w:rsidR="006625E1" w:rsidRPr="00030BEA">
        <w:t xml:space="preserve">de </w:t>
      </w:r>
      <w:r w:rsidR="002E0C3E" w:rsidRPr="00030BEA">
        <w:t xml:space="preserve">collaborer </w:t>
      </w:r>
      <w:r w:rsidR="006625E1" w:rsidRPr="00030BEA">
        <w:t xml:space="preserve">avec </w:t>
      </w:r>
      <w:r w:rsidR="007B2CEB" w:rsidRPr="00030BEA">
        <w:t>l'Unité de l'audit interne</w:t>
      </w:r>
      <w:r w:rsidRPr="00030BEA">
        <w:t>.</w:t>
      </w:r>
    </w:p>
    <w:p w14:paraId="5E74264E" w14:textId="420F1AA5" w:rsidR="00414903" w:rsidRPr="00030BEA" w:rsidRDefault="00414903" w:rsidP="00AF4E79">
      <w:r w:rsidRPr="00030BEA">
        <w:t>6.2</w:t>
      </w:r>
      <w:r w:rsidRPr="00030BEA">
        <w:tab/>
        <w:t xml:space="preserve">Le Comité a </w:t>
      </w:r>
      <w:r w:rsidR="00CC2FE8" w:rsidRPr="00030BEA">
        <w:t xml:space="preserve">reçu </w:t>
      </w:r>
      <w:r w:rsidR="00875442" w:rsidRPr="00030BEA">
        <w:t xml:space="preserve">à intervalles réguliers </w:t>
      </w:r>
      <w:r w:rsidR="00CC2FE8" w:rsidRPr="00030BEA">
        <w:t>des informations du Chef de</w:t>
      </w:r>
      <w:r w:rsidRPr="00030BEA">
        <w:t xml:space="preserve"> l'Unité de l'</w:t>
      </w:r>
      <w:r w:rsidR="00875442" w:rsidRPr="00030BEA">
        <w:t>audit interne</w:t>
      </w:r>
      <w:r w:rsidR="00CC2FE8" w:rsidRPr="00030BEA">
        <w:t xml:space="preserve"> sur l'état d'avancement actuel des travaux de l'Unité de l'audit interne, le plan d'audit interne </w:t>
      </w:r>
      <w:r w:rsidR="00E23020">
        <w:t>pour </w:t>
      </w:r>
      <w:r w:rsidR="00875442" w:rsidRPr="00030BEA">
        <w:t xml:space="preserve">2021 </w:t>
      </w:r>
      <w:r w:rsidR="00CC2FE8" w:rsidRPr="00030BEA">
        <w:t>et l'exercice de vérifi</w:t>
      </w:r>
      <w:r w:rsidR="00875442" w:rsidRPr="00030BEA">
        <w:t>cation juricomptable mené par Pw</w:t>
      </w:r>
      <w:r w:rsidR="00CC2FE8" w:rsidRPr="00030BEA">
        <w:t>C.</w:t>
      </w:r>
    </w:p>
    <w:p w14:paraId="1F8CB741" w14:textId="496A2E60" w:rsidR="007419D5" w:rsidRPr="00030BEA" w:rsidRDefault="007419D5" w:rsidP="00AF4E79">
      <w:pPr>
        <w:rPr>
          <w:bCs/>
        </w:rPr>
      </w:pPr>
      <w:r w:rsidRPr="00030BEA">
        <w:t>6.3</w:t>
      </w:r>
      <w:r w:rsidRPr="00030BEA">
        <w:tab/>
      </w:r>
      <w:r w:rsidR="00E055E5" w:rsidRPr="00030BEA">
        <w:rPr>
          <w:bCs/>
        </w:rPr>
        <w:t>Dans son rapport annuel de 2020 à l'intention du Conseil, l</w:t>
      </w:r>
      <w:r w:rsidRPr="00030BEA">
        <w:rPr>
          <w:bCs/>
        </w:rPr>
        <w:t xml:space="preserve">e CCIG </w:t>
      </w:r>
      <w:r w:rsidR="00CC2FE8" w:rsidRPr="00030BEA">
        <w:rPr>
          <w:bCs/>
        </w:rPr>
        <w:t xml:space="preserve">avait recommandé </w:t>
      </w:r>
      <w:r w:rsidRPr="00030BEA">
        <w:rPr>
          <w:bCs/>
        </w:rPr>
        <w:t xml:space="preserve">que l'Unité de l'audit interne </w:t>
      </w:r>
      <w:r w:rsidR="00DF0AB3" w:rsidRPr="00030BEA">
        <w:rPr>
          <w:bCs/>
        </w:rPr>
        <w:t>soit</w:t>
      </w:r>
      <w:r w:rsidR="005F1ADB" w:rsidRPr="00030BEA">
        <w:rPr>
          <w:bCs/>
        </w:rPr>
        <w:t xml:space="preserve"> considérablement</w:t>
      </w:r>
      <w:r w:rsidR="00DF0AB3" w:rsidRPr="00030BEA">
        <w:rPr>
          <w:bCs/>
        </w:rPr>
        <w:t xml:space="preserve"> renforcée</w:t>
      </w:r>
      <w:r w:rsidRPr="00030BEA">
        <w:rPr>
          <w:bCs/>
        </w:rPr>
        <w:t xml:space="preserve"> sur le plan des ressources, de la portée et de l'adéquation des processus.</w:t>
      </w:r>
    </w:p>
    <w:p w14:paraId="651BBDF9" w14:textId="77777777" w:rsidR="00CF11DC" w:rsidRPr="00030BEA" w:rsidRDefault="00CF11DC" w:rsidP="00AF4E79">
      <w:pPr>
        <w:rPr>
          <w:bCs/>
        </w:rPr>
      </w:pPr>
      <w:r w:rsidRPr="00030BEA">
        <w:rPr>
          <w:bCs/>
        </w:rPr>
        <w:br w:type="page"/>
      </w:r>
    </w:p>
    <w:p w14:paraId="5A9C2F76" w14:textId="0EEAE9E5" w:rsidR="005105B1" w:rsidRPr="00030BEA" w:rsidRDefault="005105B1" w:rsidP="00AF4E79">
      <w:r w:rsidRPr="00030BEA">
        <w:rPr>
          <w:bCs/>
        </w:rPr>
        <w:lastRenderedPageBreak/>
        <w:t>6.4</w:t>
      </w:r>
      <w:r w:rsidRPr="00030BEA">
        <w:rPr>
          <w:bCs/>
        </w:rPr>
        <w:tab/>
      </w:r>
      <w:r w:rsidR="00CC2FE8" w:rsidRPr="00030BEA">
        <w:t xml:space="preserve">Le Comité se félicite </w:t>
      </w:r>
      <w:r w:rsidR="00DF24AB" w:rsidRPr="00030BEA">
        <w:t xml:space="preserve">donc </w:t>
      </w:r>
      <w:r w:rsidR="00CC2FE8" w:rsidRPr="00030BEA">
        <w:t>du renforcement des ressources de l'Unité de l'audit interne</w:t>
      </w:r>
      <w:r w:rsidR="00E74EC3" w:rsidRPr="00030BEA">
        <w:t xml:space="preserve">, </w:t>
      </w:r>
      <w:r w:rsidR="00A26A62" w:rsidRPr="00030BEA">
        <w:t>avec la création d'</w:t>
      </w:r>
      <w:r w:rsidR="00F91C99" w:rsidRPr="00030BEA">
        <w:t xml:space="preserve">un </w:t>
      </w:r>
      <w:r w:rsidR="00CC2FE8" w:rsidRPr="00030BEA">
        <w:t xml:space="preserve">poste d'auditeur interne principal </w:t>
      </w:r>
      <w:r w:rsidR="00AA7F49" w:rsidRPr="00030BEA">
        <w:t xml:space="preserve">pour </w:t>
      </w:r>
      <w:r w:rsidR="00A26A62" w:rsidRPr="00030BEA">
        <w:t>remplacer le</w:t>
      </w:r>
      <w:r w:rsidR="00CC2FE8" w:rsidRPr="00030BEA">
        <w:t xml:space="preserve"> poste</w:t>
      </w:r>
      <w:r w:rsidRPr="00030BEA">
        <w:t xml:space="preserve"> </w:t>
      </w:r>
      <w:r w:rsidR="00CC2FE8" w:rsidRPr="00030BEA">
        <w:t>d'assistant d'audit</w:t>
      </w:r>
      <w:r w:rsidR="00A26A62" w:rsidRPr="00030BEA">
        <w:t>, dont le titulaire est parti à la retraite</w:t>
      </w:r>
      <w:r w:rsidR="00F91C99" w:rsidRPr="00030BEA">
        <w:t xml:space="preserve">. Le CCIG espère que </w:t>
      </w:r>
      <w:r w:rsidR="00A26A62" w:rsidRPr="00030BEA">
        <w:t>c</w:t>
      </w:r>
      <w:r w:rsidR="00F91C99" w:rsidRPr="00030BEA">
        <w:t xml:space="preserve">e poste sera pourvu rapidement, </w:t>
      </w:r>
      <w:proofErr w:type="gramStart"/>
      <w:r w:rsidR="00F91C99" w:rsidRPr="00030BEA">
        <w:t xml:space="preserve">de </w:t>
      </w:r>
      <w:r w:rsidR="002F2B6B" w:rsidRPr="00030BEA">
        <w:t>manière</w:t>
      </w:r>
      <w:r w:rsidR="0070469A" w:rsidRPr="00030BEA">
        <w:t xml:space="preserve"> à ce</w:t>
      </w:r>
      <w:proofErr w:type="gramEnd"/>
      <w:r w:rsidR="0070469A" w:rsidRPr="00030BEA">
        <w:t xml:space="preserve"> qu'une plus grande attention soit portée sur</w:t>
      </w:r>
      <w:r w:rsidR="00F91C99" w:rsidRPr="00030BEA">
        <w:t xml:space="preserve"> les travaux d</w:t>
      </w:r>
      <w:r w:rsidR="0070469A" w:rsidRPr="00030BEA">
        <w:t>'audit directs</w:t>
      </w:r>
      <w:r w:rsidRPr="00030BEA">
        <w:t xml:space="preserve">. </w:t>
      </w:r>
      <w:r w:rsidR="00F91C99" w:rsidRPr="00030BEA">
        <w:t xml:space="preserve">Le Comité va donc continuer à </w:t>
      </w:r>
      <w:r w:rsidR="00A26A62" w:rsidRPr="00030BEA">
        <w:t>suivre les progrès accomplis concernant</w:t>
      </w:r>
      <w:r w:rsidR="00F91C99" w:rsidRPr="00030BEA">
        <w:t xml:space="preserve"> la mise en œuvre de sa recommandation </w:t>
      </w:r>
      <w:r w:rsidR="00DF24AB" w:rsidRPr="00030BEA">
        <w:t>à cet égard</w:t>
      </w:r>
      <w:r w:rsidRPr="00030BEA">
        <w:t>.</w:t>
      </w:r>
    </w:p>
    <w:p w14:paraId="6577D04A" w14:textId="7453D3BE" w:rsidR="005105B1" w:rsidRPr="00030BEA" w:rsidRDefault="005105B1" w:rsidP="00AF4E79">
      <w:pPr>
        <w:rPr>
          <w:bCs/>
        </w:rPr>
      </w:pPr>
      <w:r w:rsidRPr="00030BEA">
        <w:rPr>
          <w:bCs/>
        </w:rPr>
        <w:t>6.5</w:t>
      </w:r>
      <w:r w:rsidRPr="00030BEA">
        <w:rPr>
          <w:bCs/>
        </w:rPr>
        <w:tab/>
      </w:r>
      <w:r w:rsidR="00485DD4" w:rsidRPr="00030BEA">
        <w:rPr>
          <w:bCs/>
        </w:rPr>
        <w:t xml:space="preserve">Le CCIG </w:t>
      </w:r>
      <w:r w:rsidR="00C20B34" w:rsidRPr="00030BEA">
        <w:rPr>
          <w:bCs/>
        </w:rPr>
        <w:t xml:space="preserve">a </w:t>
      </w:r>
      <w:r w:rsidR="00F72286" w:rsidRPr="00030BEA">
        <w:rPr>
          <w:bCs/>
        </w:rPr>
        <w:t xml:space="preserve">également </w:t>
      </w:r>
      <w:r w:rsidR="00C20B34" w:rsidRPr="00030BEA">
        <w:rPr>
          <w:bCs/>
        </w:rPr>
        <w:t>demandé quel était</w:t>
      </w:r>
      <w:r w:rsidR="00485DD4" w:rsidRPr="00030BEA">
        <w:rPr>
          <w:bCs/>
        </w:rPr>
        <w:t xml:space="preserve"> le processus</w:t>
      </w:r>
      <w:r w:rsidRPr="00030BEA">
        <w:rPr>
          <w:bCs/>
        </w:rPr>
        <w:t xml:space="preserve"> </w:t>
      </w:r>
      <w:r w:rsidR="00485DD4" w:rsidRPr="00030BEA">
        <w:rPr>
          <w:bCs/>
        </w:rPr>
        <w:t xml:space="preserve">suivi pour </w:t>
      </w:r>
      <w:r w:rsidR="00F72286" w:rsidRPr="00030BEA">
        <w:rPr>
          <w:bCs/>
        </w:rPr>
        <w:t>élaborer</w:t>
      </w:r>
      <w:r w:rsidR="00485DD4" w:rsidRPr="00030BEA">
        <w:rPr>
          <w:bCs/>
        </w:rPr>
        <w:t xml:space="preserve"> le plan d'audit</w:t>
      </w:r>
      <w:r w:rsidRPr="00030BEA">
        <w:rPr>
          <w:bCs/>
        </w:rPr>
        <w:t xml:space="preserve">. </w:t>
      </w:r>
      <w:r w:rsidR="00485DD4" w:rsidRPr="00030BEA">
        <w:rPr>
          <w:bCs/>
        </w:rPr>
        <w:t xml:space="preserve">Le Comité a </w:t>
      </w:r>
      <w:r w:rsidR="00C20B34" w:rsidRPr="00030BEA">
        <w:rPr>
          <w:bCs/>
        </w:rPr>
        <w:t xml:space="preserve">recommandé </w:t>
      </w:r>
      <w:r w:rsidR="00485DD4" w:rsidRPr="00030BEA">
        <w:rPr>
          <w:bCs/>
        </w:rPr>
        <w:t xml:space="preserve">de continuer à </w:t>
      </w:r>
      <w:r w:rsidR="00C20B34" w:rsidRPr="00030BEA">
        <w:rPr>
          <w:bCs/>
        </w:rPr>
        <w:t xml:space="preserve">appliquer </w:t>
      </w:r>
      <w:r w:rsidR="00485DD4" w:rsidRPr="00030BEA">
        <w:rPr>
          <w:bCs/>
        </w:rPr>
        <w:t>une approche d'audit fondée sur les risques</w:t>
      </w:r>
      <w:r w:rsidRPr="00030BEA">
        <w:rPr>
          <w:bCs/>
        </w:rPr>
        <w:t xml:space="preserve"> </w:t>
      </w:r>
      <w:r w:rsidR="00485DD4" w:rsidRPr="00030BEA">
        <w:rPr>
          <w:bCs/>
        </w:rPr>
        <w:t>pour mettre au point le plan d'audit</w:t>
      </w:r>
      <w:r w:rsidRPr="00030BEA">
        <w:rPr>
          <w:bCs/>
        </w:rPr>
        <w:t xml:space="preserve">, </w:t>
      </w:r>
      <w:r w:rsidR="00485DD4" w:rsidRPr="00030BEA">
        <w:rPr>
          <w:bCs/>
        </w:rPr>
        <w:t xml:space="preserve">qui </w:t>
      </w:r>
      <w:r w:rsidR="00C20B34" w:rsidRPr="00030BEA">
        <w:rPr>
          <w:bCs/>
        </w:rPr>
        <w:t>compren</w:t>
      </w:r>
      <w:r w:rsidR="007B40FB" w:rsidRPr="00030BEA">
        <w:rPr>
          <w:bCs/>
        </w:rPr>
        <w:t>ant</w:t>
      </w:r>
      <w:r w:rsidR="00C20B34" w:rsidRPr="00030BEA">
        <w:rPr>
          <w:bCs/>
        </w:rPr>
        <w:t xml:space="preserve"> l'évaluation des</w:t>
      </w:r>
      <w:r w:rsidR="00485DD4" w:rsidRPr="00030BEA">
        <w:rPr>
          <w:bCs/>
        </w:rPr>
        <w:t xml:space="preserve"> risques</w:t>
      </w:r>
      <w:r w:rsidRPr="00030BEA">
        <w:rPr>
          <w:bCs/>
        </w:rPr>
        <w:t xml:space="preserve"> </w:t>
      </w:r>
      <w:r w:rsidR="00F85128" w:rsidRPr="00030BEA">
        <w:rPr>
          <w:bCs/>
        </w:rPr>
        <w:t>dans le domaine de l</w:t>
      </w:r>
      <w:r w:rsidR="00AD79C0" w:rsidRPr="00030BEA">
        <w:rPr>
          <w:bCs/>
        </w:rPr>
        <w:t>'audit interne</w:t>
      </w:r>
      <w:r w:rsidRPr="00030BEA">
        <w:rPr>
          <w:bCs/>
        </w:rPr>
        <w:t xml:space="preserve">, </w:t>
      </w:r>
      <w:r w:rsidR="007B40FB" w:rsidRPr="00030BEA">
        <w:rPr>
          <w:bCs/>
        </w:rPr>
        <w:t>ce qui permet de garantir que</w:t>
      </w:r>
      <w:r w:rsidR="00E42C24" w:rsidRPr="00030BEA">
        <w:rPr>
          <w:bCs/>
        </w:rPr>
        <w:t xml:space="preserve"> l'audit </w:t>
      </w:r>
      <w:r w:rsidR="007B40FB" w:rsidRPr="00030BEA">
        <w:rPr>
          <w:bCs/>
        </w:rPr>
        <w:t>couvre l</w:t>
      </w:r>
      <w:r w:rsidR="000A094D" w:rsidRPr="00030BEA">
        <w:rPr>
          <w:bCs/>
        </w:rPr>
        <w:t>es</w:t>
      </w:r>
      <w:r w:rsidR="00E42C24" w:rsidRPr="00030BEA">
        <w:rPr>
          <w:bCs/>
        </w:rPr>
        <w:t xml:space="preserve"> principaux </w:t>
      </w:r>
      <w:r w:rsidR="007B40FB" w:rsidRPr="00030BEA">
        <w:rPr>
          <w:bCs/>
        </w:rPr>
        <w:t xml:space="preserve">domaines de </w:t>
      </w:r>
      <w:r w:rsidR="00E42C24" w:rsidRPr="00030BEA">
        <w:rPr>
          <w:bCs/>
        </w:rPr>
        <w:t xml:space="preserve">risques </w:t>
      </w:r>
      <w:r w:rsidR="007B40FB" w:rsidRPr="00030BEA">
        <w:rPr>
          <w:bCs/>
        </w:rPr>
        <w:t xml:space="preserve">pour </w:t>
      </w:r>
      <w:r w:rsidR="00E42C24" w:rsidRPr="00030BEA">
        <w:rPr>
          <w:bCs/>
        </w:rPr>
        <w:t>une période</w:t>
      </w:r>
      <w:r w:rsidR="007B40FB" w:rsidRPr="00030BEA">
        <w:rPr>
          <w:bCs/>
        </w:rPr>
        <w:t xml:space="preserve"> donnée</w:t>
      </w:r>
      <w:r w:rsidR="00CF11DC" w:rsidRPr="00030BEA">
        <w:rPr>
          <w:bCs/>
        </w:rPr>
        <w:t xml:space="preserve"> </w:t>
      </w:r>
      <w:r w:rsidR="007B40FB" w:rsidRPr="00030BEA">
        <w:rPr>
          <w:bCs/>
        </w:rPr>
        <w:t>(</w:t>
      </w:r>
      <w:r w:rsidR="00E42C24" w:rsidRPr="00030BEA">
        <w:rPr>
          <w:bCs/>
        </w:rPr>
        <w:t>par exemple de 3 à 5 ans</w:t>
      </w:r>
      <w:r w:rsidR="007B40FB" w:rsidRPr="00030BEA">
        <w:rPr>
          <w:bCs/>
        </w:rPr>
        <w:t>)</w:t>
      </w:r>
      <w:r w:rsidRPr="00030BEA">
        <w:rPr>
          <w:bCs/>
        </w:rPr>
        <w:t xml:space="preserve">. </w:t>
      </w:r>
      <w:r w:rsidR="00AD79C0" w:rsidRPr="00030BEA">
        <w:rPr>
          <w:bCs/>
        </w:rPr>
        <w:t xml:space="preserve">Le CCIG </w:t>
      </w:r>
      <w:r w:rsidR="00956ECC" w:rsidRPr="00030BEA">
        <w:rPr>
          <w:bCs/>
        </w:rPr>
        <w:t xml:space="preserve">recommande </w:t>
      </w:r>
      <w:r w:rsidR="00AD79C0" w:rsidRPr="00030BEA">
        <w:rPr>
          <w:bCs/>
        </w:rPr>
        <w:t xml:space="preserve">que les travaux </w:t>
      </w:r>
      <w:r w:rsidR="00956ECC" w:rsidRPr="00030BEA">
        <w:rPr>
          <w:bCs/>
        </w:rPr>
        <w:t xml:space="preserve">concernant la </w:t>
      </w:r>
      <w:r w:rsidR="00AD79C0" w:rsidRPr="00030BEA">
        <w:rPr>
          <w:bCs/>
        </w:rPr>
        <w:t xml:space="preserve">conformité et </w:t>
      </w:r>
      <w:r w:rsidR="00956ECC" w:rsidRPr="00030BEA">
        <w:rPr>
          <w:bCs/>
        </w:rPr>
        <w:t xml:space="preserve">la formulation d'avis soient </w:t>
      </w:r>
      <w:r w:rsidR="00AD79C0" w:rsidRPr="00030BEA">
        <w:rPr>
          <w:bCs/>
        </w:rPr>
        <w:t xml:space="preserve">fondés sur l'évaluation des risques et </w:t>
      </w:r>
      <w:r w:rsidR="00956ECC" w:rsidRPr="00030BEA">
        <w:rPr>
          <w:bCs/>
        </w:rPr>
        <w:t>l</w:t>
      </w:r>
      <w:r w:rsidR="00AD79C0" w:rsidRPr="00030BEA">
        <w:rPr>
          <w:bCs/>
        </w:rPr>
        <w:t>es besoins de contrôle spécifiques</w:t>
      </w:r>
      <w:r w:rsidRPr="00030BEA">
        <w:rPr>
          <w:bCs/>
        </w:rPr>
        <w:t xml:space="preserve">, </w:t>
      </w:r>
      <w:r w:rsidR="00AD79C0" w:rsidRPr="00030BEA">
        <w:rPr>
          <w:bCs/>
        </w:rPr>
        <w:t>et que</w:t>
      </w:r>
      <w:r w:rsidR="00956ECC" w:rsidRPr="00030BEA">
        <w:rPr>
          <w:bCs/>
        </w:rPr>
        <w:t xml:space="preserve"> l'on continue de se concentrer principalement sur</w:t>
      </w:r>
      <w:r w:rsidR="00AD79C0" w:rsidRPr="00030BEA">
        <w:rPr>
          <w:bCs/>
        </w:rPr>
        <w:t xml:space="preserve"> les travaux d'audit directs </w:t>
      </w:r>
      <w:r w:rsidR="00956ECC" w:rsidRPr="00030BEA">
        <w:rPr>
          <w:bCs/>
        </w:rPr>
        <w:t>définir et mettre en œuvre le</w:t>
      </w:r>
      <w:r w:rsidR="003A4CAC" w:rsidRPr="00030BEA">
        <w:rPr>
          <w:bCs/>
        </w:rPr>
        <w:t xml:space="preserve"> programme de travail</w:t>
      </w:r>
      <w:r w:rsidRPr="00030BEA">
        <w:rPr>
          <w:bCs/>
        </w:rPr>
        <w:t>.</w:t>
      </w:r>
    </w:p>
    <w:p w14:paraId="407E92A1" w14:textId="4EEF1B81" w:rsidR="005105B1" w:rsidRPr="00030BEA" w:rsidRDefault="005105B1" w:rsidP="00AF4E79">
      <w:pPr>
        <w:rPr>
          <w:bCs/>
        </w:rPr>
      </w:pPr>
      <w:r w:rsidRPr="00030BEA">
        <w:rPr>
          <w:bCs/>
        </w:rPr>
        <w:t>6.6</w:t>
      </w:r>
      <w:r w:rsidRPr="00030BEA">
        <w:rPr>
          <w:bCs/>
        </w:rPr>
        <w:tab/>
      </w:r>
      <w:r w:rsidR="00364678" w:rsidRPr="00030BEA">
        <w:rPr>
          <w:bCs/>
        </w:rPr>
        <w:t>Dans son huitième rapport annuel soumis au Conseil à sa session de 2019</w:t>
      </w:r>
      <w:r w:rsidRPr="00030BEA">
        <w:rPr>
          <w:bCs/>
        </w:rPr>
        <w:t xml:space="preserve">, </w:t>
      </w:r>
      <w:r w:rsidR="00364678" w:rsidRPr="00030BEA">
        <w:rPr>
          <w:bCs/>
        </w:rPr>
        <w:t xml:space="preserve">le CCIG avait souligné que le secrétariat avait </w:t>
      </w:r>
      <w:r w:rsidR="007009AD" w:rsidRPr="00030BEA">
        <w:rPr>
          <w:bCs/>
        </w:rPr>
        <w:t xml:space="preserve">rejeté </w:t>
      </w:r>
      <w:r w:rsidR="00956ECC" w:rsidRPr="00030BEA">
        <w:rPr>
          <w:bCs/>
        </w:rPr>
        <w:t>s</w:t>
      </w:r>
      <w:r w:rsidR="004F3561" w:rsidRPr="00030BEA">
        <w:rPr>
          <w:bCs/>
        </w:rPr>
        <w:t>a demande</w:t>
      </w:r>
      <w:r w:rsidR="00364678" w:rsidRPr="00030BEA">
        <w:rPr>
          <w:bCs/>
        </w:rPr>
        <w:t xml:space="preserve"> </w:t>
      </w:r>
      <w:r w:rsidR="005C3932" w:rsidRPr="00030BEA">
        <w:rPr>
          <w:bCs/>
        </w:rPr>
        <w:t>d'obtention</w:t>
      </w:r>
      <w:r w:rsidR="004F3561" w:rsidRPr="00030BEA">
        <w:rPr>
          <w:bCs/>
        </w:rPr>
        <w:t xml:space="preserve"> </w:t>
      </w:r>
      <w:r w:rsidR="005C3932" w:rsidRPr="00030BEA">
        <w:rPr>
          <w:bCs/>
        </w:rPr>
        <w:t>d'</w:t>
      </w:r>
      <w:r w:rsidR="004F3561" w:rsidRPr="00030BEA">
        <w:rPr>
          <w:bCs/>
        </w:rPr>
        <w:t>un exemplaire du</w:t>
      </w:r>
      <w:r w:rsidRPr="00030BEA">
        <w:rPr>
          <w:bCs/>
        </w:rPr>
        <w:t xml:space="preserve"> </w:t>
      </w:r>
      <w:r w:rsidR="004F3561" w:rsidRPr="00030BEA">
        <w:rPr>
          <w:bCs/>
        </w:rPr>
        <w:t>rapport d'enquête complet et de tous les documents pertinents</w:t>
      </w:r>
      <w:r w:rsidRPr="00030BEA">
        <w:rPr>
          <w:bCs/>
        </w:rPr>
        <w:t xml:space="preserve"> </w:t>
      </w:r>
      <w:r w:rsidR="00956ECC" w:rsidRPr="00030BEA">
        <w:rPr>
          <w:bCs/>
        </w:rPr>
        <w:t>à la</w:t>
      </w:r>
      <w:r w:rsidR="005C3932" w:rsidRPr="00030BEA">
        <w:rPr>
          <w:bCs/>
        </w:rPr>
        <w:t xml:space="preserve"> </w:t>
      </w:r>
      <w:r w:rsidR="007009AD" w:rsidRPr="00030BEA">
        <w:rPr>
          <w:bCs/>
        </w:rPr>
        <w:t xml:space="preserve">suite </w:t>
      </w:r>
      <w:r w:rsidR="004F3561" w:rsidRPr="00030BEA">
        <w:rPr>
          <w:bCs/>
        </w:rPr>
        <w:t>du cas de fraude dans un bureau régional</w:t>
      </w:r>
      <w:r w:rsidRPr="00030BEA">
        <w:rPr>
          <w:bCs/>
        </w:rPr>
        <w:t xml:space="preserve">, </w:t>
      </w:r>
      <w:r w:rsidR="00956ECC" w:rsidRPr="00030BEA">
        <w:rPr>
          <w:bCs/>
        </w:rPr>
        <w:t>qui lui</w:t>
      </w:r>
      <w:r w:rsidR="004F3561" w:rsidRPr="00030BEA">
        <w:rPr>
          <w:bCs/>
        </w:rPr>
        <w:t xml:space="preserve"> aurait permis de</w:t>
      </w:r>
      <w:r w:rsidRPr="00030BEA">
        <w:rPr>
          <w:bCs/>
        </w:rPr>
        <w:t xml:space="preserve"> </w:t>
      </w:r>
      <w:r w:rsidR="004F3561" w:rsidRPr="00030BEA">
        <w:rPr>
          <w:bCs/>
        </w:rPr>
        <w:t>s'acquitter de ses responsabilités aux termes de la Résolution</w:t>
      </w:r>
      <w:r w:rsidRPr="00030BEA">
        <w:rPr>
          <w:bCs/>
        </w:rPr>
        <w:t xml:space="preserve"> </w:t>
      </w:r>
      <w:r w:rsidR="004F3561" w:rsidRPr="00030BEA">
        <w:rPr>
          <w:bCs/>
        </w:rPr>
        <w:t>162 (Ré</w:t>
      </w:r>
      <w:r w:rsidRPr="00030BEA">
        <w:rPr>
          <w:bCs/>
        </w:rPr>
        <w:t>v. Busan, 2014)</w:t>
      </w:r>
      <w:r w:rsidR="004F3561" w:rsidRPr="00030BEA">
        <w:rPr>
          <w:bCs/>
        </w:rPr>
        <w:t xml:space="preserve"> de la </w:t>
      </w:r>
      <w:r w:rsidR="006A6760" w:rsidRPr="00030BEA">
        <w:rPr>
          <w:bCs/>
        </w:rPr>
        <w:t>Conférence de plénipotentiaires</w:t>
      </w:r>
      <w:r w:rsidRPr="00030BEA">
        <w:rPr>
          <w:bCs/>
        </w:rPr>
        <w:t xml:space="preserve">, </w:t>
      </w:r>
      <w:r w:rsidR="00A4045F" w:rsidRPr="00030BEA">
        <w:rPr>
          <w:bCs/>
        </w:rPr>
        <w:t>en donnant un avis au Conseil sur l'efficacité des systèmes de contrôle interne de l'UIT</w:t>
      </w:r>
      <w:r w:rsidRPr="00030BEA">
        <w:rPr>
          <w:bCs/>
        </w:rPr>
        <w:t xml:space="preserve">. </w:t>
      </w:r>
      <w:r w:rsidRPr="00030BEA">
        <w:t>Le CCIG a finalement pu consulter une version caviardée du rapport d'enquête, quelque 14 mois après la date à laquelle la fraude a été identifiée.</w:t>
      </w:r>
    </w:p>
    <w:p w14:paraId="41392FA0" w14:textId="004FE126" w:rsidR="005105B1" w:rsidRPr="00030BEA" w:rsidRDefault="005105B1" w:rsidP="00AF4E79">
      <w:pPr>
        <w:rPr>
          <w:bCs/>
        </w:rPr>
      </w:pPr>
      <w:r w:rsidRPr="00030BEA">
        <w:rPr>
          <w:bCs/>
        </w:rPr>
        <w:t>6.7</w:t>
      </w:r>
      <w:r w:rsidRPr="00030BEA">
        <w:rPr>
          <w:bCs/>
        </w:rPr>
        <w:tab/>
      </w:r>
      <w:r w:rsidR="00EE6394" w:rsidRPr="00030BEA">
        <w:rPr>
          <w:bCs/>
        </w:rPr>
        <w:t xml:space="preserve">Le Comité se félicite des mesures prises par le secrétariat </w:t>
      </w:r>
      <w:r w:rsidR="00870CF8" w:rsidRPr="00030BEA">
        <w:rPr>
          <w:bCs/>
        </w:rPr>
        <w:t>en</w:t>
      </w:r>
      <w:r w:rsidRPr="00030BEA">
        <w:rPr>
          <w:bCs/>
        </w:rPr>
        <w:t xml:space="preserve"> </w:t>
      </w:r>
      <w:r w:rsidR="00870CF8" w:rsidRPr="00030BEA">
        <w:rPr>
          <w:bCs/>
        </w:rPr>
        <w:t>vue d'</w:t>
      </w:r>
      <w:r w:rsidR="00EE6394" w:rsidRPr="00030BEA">
        <w:rPr>
          <w:bCs/>
        </w:rPr>
        <w:t xml:space="preserve">améliorer </w:t>
      </w:r>
      <w:r w:rsidR="00870CF8" w:rsidRPr="00030BEA">
        <w:rPr>
          <w:bCs/>
        </w:rPr>
        <w:t>le processus</w:t>
      </w:r>
      <w:r w:rsidR="00EE6394" w:rsidRPr="00030BEA">
        <w:rPr>
          <w:bCs/>
        </w:rPr>
        <w:t xml:space="preserve"> d'échange d'informations </w:t>
      </w:r>
      <w:r w:rsidR="00870CF8" w:rsidRPr="00030BEA">
        <w:rPr>
          <w:bCs/>
        </w:rPr>
        <w:t>rapide</w:t>
      </w:r>
      <w:r w:rsidRPr="00030BEA">
        <w:rPr>
          <w:bCs/>
        </w:rPr>
        <w:t xml:space="preserve">, </w:t>
      </w:r>
      <w:r w:rsidR="00EE6394" w:rsidRPr="00030BEA">
        <w:rPr>
          <w:bCs/>
        </w:rPr>
        <w:t>qui permettront au CCIG de s'acquitter de ses responsabilités</w:t>
      </w:r>
      <w:r w:rsidRPr="00030BEA">
        <w:rPr>
          <w:bCs/>
        </w:rPr>
        <w:t xml:space="preserve"> </w:t>
      </w:r>
      <w:r w:rsidR="00EE6394" w:rsidRPr="00030BEA">
        <w:rPr>
          <w:bCs/>
        </w:rPr>
        <w:t>dans le respect du cadre juridique de l'UIT</w:t>
      </w:r>
      <w:r w:rsidRPr="00030BEA">
        <w:rPr>
          <w:bCs/>
        </w:rPr>
        <w:t>.</w:t>
      </w:r>
    </w:p>
    <w:p w14:paraId="44BBE1F7" w14:textId="44EFA05C" w:rsidR="005105B1" w:rsidRPr="00030BEA" w:rsidRDefault="005105B1" w:rsidP="00AF4E79">
      <w:pPr>
        <w:pStyle w:val="Heading1"/>
      </w:pPr>
      <w:r w:rsidRPr="00030BEA">
        <w:t>7</w:t>
      </w:r>
      <w:r w:rsidRPr="00030BEA">
        <w:tab/>
      </w:r>
      <w:r w:rsidR="004E4C80" w:rsidRPr="00030BEA">
        <w:t>Suites données au cas de fraude dans un bureau régional</w:t>
      </w:r>
      <w:r w:rsidRPr="00030BEA">
        <w:t>/</w:t>
      </w:r>
      <w:r w:rsidR="004E4C80" w:rsidRPr="00030BEA">
        <w:t>Groupe de travail sur les contrôles internes</w:t>
      </w:r>
    </w:p>
    <w:p w14:paraId="76D89D1D" w14:textId="7393E67F" w:rsidR="005105B1" w:rsidRPr="00030BEA" w:rsidRDefault="005105B1" w:rsidP="00AF4E79">
      <w:r w:rsidRPr="00030BEA">
        <w:t>7.1</w:t>
      </w:r>
      <w:r w:rsidRPr="00030BEA">
        <w:tab/>
      </w:r>
      <w:r w:rsidR="00D7232F" w:rsidRPr="00030BEA">
        <w:t>Le Comité a continué de recevoir des informations détaillées sur toutes les mesures de suivi liées au cas de fraude dans un bureau régional</w:t>
      </w:r>
      <w:r w:rsidRPr="00030BEA">
        <w:t xml:space="preserve"> </w:t>
      </w:r>
      <w:r w:rsidR="00D7232F" w:rsidRPr="00030BEA">
        <w:t>émanant du Président du Groupe de travail sur les contrôles internes</w:t>
      </w:r>
      <w:r w:rsidRPr="00030BEA">
        <w:t xml:space="preserve">, </w:t>
      </w:r>
      <w:r w:rsidR="00D7232F" w:rsidRPr="00030BEA">
        <w:t>de la Directrice du BDT et de l'équipe de</w:t>
      </w:r>
      <w:r w:rsidR="00994400" w:rsidRPr="00030BEA">
        <w:t xml:space="preserve"> la haute</w:t>
      </w:r>
      <w:r w:rsidR="00D7232F" w:rsidRPr="00030BEA">
        <w:t xml:space="preserve"> direction</w:t>
      </w:r>
      <w:r w:rsidRPr="00030BEA">
        <w:t xml:space="preserve"> </w:t>
      </w:r>
      <w:r w:rsidR="00994400" w:rsidRPr="00030BEA">
        <w:t>dont le Groupe fait partie</w:t>
      </w:r>
      <w:r w:rsidRPr="00030BEA">
        <w:t>.</w:t>
      </w:r>
    </w:p>
    <w:p w14:paraId="6F106050" w14:textId="4175925E" w:rsidR="005105B1" w:rsidRPr="00030BEA" w:rsidRDefault="005105B1" w:rsidP="00AF4E79">
      <w:r w:rsidRPr="00030BEA">
        <w:t>7.2</w:t>
      </w:r>
      <w:r w:rsidRPr="00030BEA">
        <w:tab/>
      </w:r>
      <w:r w:rsidR="00457824" w:rsidRPr="00030BEA">
        <w:t>Le CCIG</w:t>
      </w:r>
      <w:r w:rsidRPr="00030BEA">
        <w:t xml:space="preserve"> </w:t>
      </w:r>
      <w:r w:rsidR="00457824" w:rsidRPr="00030BEA">
        <w:t>a accueilli avec satisfaction le plan soumis par le Groupe</w:t>
      </w:r>
      <w:r w:rsidRPr="00030BEA">
        <w:t xml:space="preserve"> </w:t>
      </w:r>
      <w:r w:rsidR="00457824" w:rsidRPr="00030BEA">
        <w:t xml:space="preserve">et </w:t>
      </w:r>
      <w:r w:rsidR="00C328F0" w:rsidRPr="00030BEA">
        <w:t xml:space="preserve">s'est félicité de </w:t>
      </w:r>
      <w:r w:rsidR="00457824" w:rsidRPr="00030BEA">
        <w:t xml:space="preserve">la mobilisation </w:t>
      </w:r>
      <w:r w:rsidR="00994400" w:rsidRPr="00030BEA">
        <w:t xml:space="preserve">importante </w:t>
      </w:r>
      <w:r w:rsidR="00457824" w:rsidRPr="00030BEA">
        <w:t>de ressources au sein des différentes entités du secrétariat</w:t>
      </w:r>
      <w:r w:rsidRPr="00030BEA">
        <w:t xml:space="preserve">, </w:t>
      </w:r>
      <w:r w:rsidR="00457824" w:rsidRPr="00030BEA">
        <w:t>qui ont pris en charge un volume de travail considérable</w:t>
      </w:r>
      <w:r w:rsidR="00954E9D" w:rsidRPr="00030BEA">
        <w:t xml:space="preserve"> et appliqué des mesures allant </w:t>
      </w:r>
      <w:r w:rsidR="00BC5DB0" w:rsidRPr="00030BEA">
        <w:t xml:space="preserve">toutes </w:t>
      </w:r>
      <w:r w:rsidR="00954E9D" w:rsidRPr="00030BEA">
        <w:t>dans la bonne direction</w:t>
      </w:r>
      <w:r w:rsidRPr="00030BEA">
        <w:t>.</w:t>
      </w:r>
    </w:p>
    <w:p w14:paraId="624BC3CA" w14:textId="5FD031FD" w:rsidR="005105B1" w:rsidRPr="00030BEA" w:rsidRDefault="005105B1" w:rsidP="00AF4E79">
      <w:r w:rsidRPr="00030BEA">
        <w:t>7.3</w:t>
      </w:r>
      <w:r w:rsidRPr="00030BEA">
        <w:tab/>
      </w:r>
      <w:r w:rsidR="00A34AF6" w:rsidRPr="00030BEA">
        <w:t xml:space="preserve">Le Comité </w:t>
      </w:r>
      <w:r w:rsidR="006E751B" w:rsidRPr="00030BEA">
        <w:t>s'est réjoui</w:t>
      </w:r>
      <w:r w:rsidR="00A34AF6" w:rsidRPr="00030BEA">
        <w:t xml:space="preserve"> </w:t>
      </w:r>
      <w:r w:rsidR="00BA0734" w:rsidRPr="00030BEA">
        <w:t>des progrès considérables accomplis en vue d'améliorer l</w:t>
      </w:r>
      <w:r w:rsidR="00A34AF6" w:rsidRPr="00030BEA">
        <w:t>es contrôles internes à l'échelle de l'organisation</w:t>
      </w:r>
      <w:r w:rsidR="00111A1F" w:rsidRPr="00030BEA">
        <w:t>, qui ont d'abord été</w:t>
      </w:r>
      <w:r w:rsidRPr="00030BEA">
        <w:t xml:space="preserve"> </w:t>
      </w:r>
      <w:r w:rsidR="00983C13" w:rsidRPr="00030BEA">
        <w:t>établis au sein du</w:t>
      </w:r>
      <w:r w:rsidR="00FE1B62" w:rsidRPr="00030BEA">
        <w:t xml:space="preserve"> Bureau de développement des télécommunications</w:t>
      </w:r>
      <w:r w:rsidRPr="00030BEA">
        <w:t xml:space="preserve"> </w:t>
      </w:r>
      <w:r w:rsidR="00FE1B62" w:rsidRPr="00030BEA">
        <w:t xml:space="preserve">et </w:t>
      </w:r>
      <w:r w:rsidR="00111A1F" w:rsidRPr="00030BEA">
        <w:t>des bureaux régionaux, puis appliqués à l'organisation tout entière</w:t>
      </w:r>
      <w:r w:rsidR="0025747A" w:rsidRPr="00030BEA">
        <w:t xml:space="preserve">: </w:t>
      </w:r>
      <w:r w:rsidR="006E751B" w:rsidRPr="00030BEA">
        <w:t>renforcement des procédures de contrôle interne du</w:t>
      </w:r>
      <w:r w:rsidRPr="00030BEA">
        <w:t xml:space="preserve"> BDT </w:t>
      </w:r>
      <w:r w:rsidR="006E751B" w:rsidRPr="00030BEA">
        <w:t>(renforcement des contrôles des bourses</w:t>
      </w:r>
      <w:r w:rsidRPr="00030BEA">
        <w:t xml:space="preserve">, </w:t>
      </w:r>
      <w:r w:rsidR="006E751B" w:rsidRPr="00030BEA">
        <w:t>plans de voyages</w:t>
      </w:r>
      <w:r w:rsidRPr="00030BEA">
        <w:t xml:space="preserve">, </w:t>
      </w:r>
      <w:r w:rsidR="006E751B" w:rsidRPr="00030BEA">
        <w:t xml:space="preserve">contrôle </w:t>
      </w:r>
      <w:r w:rsidR="00111A1F" w:rsidRPr="00030BEA">
        <w:t>du travail</w:t>
      </w:r>
      <w:r w:rsidR="006E751B" w:rsidRPr="00030BEA">
        <w:t xml:space="preserve"> des consultants</w:t>
      </w:r>
      <w:r w:rsidRPr="00030BEA">
        <w:t xml:space="preserve">, </w:t>
      </w:r>
      <w:r w:rsidR="006E751B" w:rsidRPr="00030BEA">
        <w:t xml:space="preserve">renforcement des procédures </w:t>
      </w:r>
      <w:r w:rsidR="00BB6270" w:rsidRPr="00030BEA">
        <w:t>en matière de</w:t>
      </w:r>
      <w:r w:rsidR="006E751B" w:rsidRPr="00030BEA">
        <w:t xml:space="preserve"> voyages</w:t>
      </w:r>
      <w:r w:rsidRPr="00030BEA">
        <w:t xml:space="preserve">, </w:t>
      </w:r>
      <w:r w:rsidR="006E751B" w:rsidRPr="00030BEA">
        <w:t>supervision renforcée au niveau des projets</w:t>
      </w:r>
      <w:r w:rsidRPr="00030BEA">
        <w:t xml:space="preserve"> – </w:t>
      </w:r>
      <w:r w:rsidR="006E751B" w:rsidRPr="00030BEA">
        <w:t>et création d'un</w:t>
      </w:r>
      <w:r w:rsidRPr="00030BEA">
        <w:t xml:space="preserve"> </w:t>
      </w:r>
      <w:r w:rsidR="006E751B" w:rsidRPr="00030BEA">
        <w:t xml:space="preserve">Comité directeur des projets du </w:t>
      </w:r>
      <w:r w:rsidRPr="00030BEA">
        <w:t xml:space="preserve">BDT, </w:t>
      </w:r>
      <w:r w:rsidR="00D344C1" w:rsidRPr="00030BEA">
        <w:t>gestion des actifs pour les projets</w:t>
      </w:r>
      <w:r w:rsidR="0025747A" w:rsidRPr="00030BEA">
        <w:t xml:space="preserve">); </w:t>
      </w:r>
      <w:r w:rsidR="0023236B" w:rsidRPr="00030BEA">
        <w:t>renforcement des procédures</w:t>
      </w:r>
      <w:r w:rsidRPr="00030BEA">
        <w:t xml:space="preserve"> </w:t>
      </w:r>
      <w:r w:rsidR="0023236B" w:rsidRPr="00030BEA">
        <w:t>financières et de passation des marchés</w:t>
      </w:r>
      <w:r w:rsidRPr="00030BEA">
        <w:t xml:space="preserve"> (</w:t>
      </w:r>
      <w:r w:rsidR="0023236B" w:rsidRPr="00030BEA">
        <w:t xml:space="preserve">nouvelles procédures pour la passation des </w:t>
      </w:r>
      <w:r w:rsidR="0023236B" w:rsidRPr="00030BEA">
        <w:lastRenderedPageBreak/>
        <w:t>marchés d'un montant inférieur à 20 000 CHF</w:t>
      </w:r>
      <w:r w:rsidRPr="00030BEA">
        <w:t xml:space="preserve">, </w:t>
      </w:r>
      <w:r w:rsidR="0023236B" w:rsidRPr="00030BEA">
        <w:t>manuel sur la passation des marchés</w:t>
      </w:r>
      <w:r w:rsidRPr="00030BEA">
        <w:t xml:space="preserve">, </w:t>
      </w:r>
      <w:r w:rsidR="00D344C1" w:rsidRPr="00030BEA">
        <w:t>suivi des montants cumulés des bons de commande par fournisseur</w:t>
      </w:r>
      <w:r w:rsidRPr="00030BEA">
        <w:t xml:space="preserve">, </w:t>
      </w:r>
      <w:r w:rsidR="00BB6270" w:rsidRPr="00030BEA">
        <w:t>contrôle renforcé de la petite caisse</w:t>
      </w:r>
      <w:r w:rsidRPr="00030BEA">
        <w:t xml:space="preserve">, </w:t>
      </w:r>
      <w:r w:rsidR="002D28C4" w:rsidRPr="00030BEA">
        <w:t>g</w:t>
      </w:r>
      <w:r w:rsidR="00D344C1" w:rsidRPr="00030BEA">
        <w:t>estion des comptes bancaires et des liquidités au sein des bureaux régionaux et des bureaux de zone de l'UIT</w:t>
      </w:r>
      <w:r w:rsidR="0025747A" w:rsidRPr="00030BEA">
        <w:t>);</w:t>
      </w:r>
      <w:r w:rsidRPr="00030BEA">
        <w:t xml:space="preserve"> </w:t>
      </w:r>
      <w:r w:rsidR="00BB6270" w:rsidRPr="00030BEA">
        <w:t xml:space="preserve">et mesures </w:t>
      </w:r>
      <w:r w:rsidR="00111A1F" w:rsidRPr="00030BEA">
        <w:t>mises en place concernant</w:t>
      </w:r>
      <w:r w:rsidR="00BB6270" w:rsidRPr="00030BEA">
        <w:t xml:space="preserve"> la gouvernance, l'éthique et la détection des fraudes</w:t>
      </w:r>
      <w:r w:rsidRPr="00030BEA">
        <w:t xml:space="preserve"> (</w:t>
      </w:r>
      <w:r w:rsidR="00BB6270" w:rsidRPr="00030BEA">
        <w:t xml:space="preserve">politiques de lutte contre la fraude, la </w:t>
      </w:r>
      <w:r w:rsidRPr="00030BEA">
        <w:t xml:space="preserve">corruption </w:t>
      </w:r>
      <w:r w:rsidR="00BB6270" w:rsidRPr="00030BEA">
        <w:t xml:space="preserve">et d'autres pratiques </w:t>
      </w:r>
      <w:r w:rsidR="00111A1F" w:rsidRPr="00030BEA">
        <w:t>prohibées</w:t>
      </w:r>
      <w:r w:rsidRPr="00030BEA">
        <w:t xml:space="preserve">, </w:t>
      </w:r>
      <w:r w:rsidR="00BB6270" w:rsidRPr="00030BEA">
        <w:t>lignes directrices en matière d'enquête</w:t>
      </w:r>
      <w:r w:rsidRPr="00030BEA">
        <w:t xml:space="preserve">, </w:t>
      </w:r>
      <w:r w:rsidR="006328F9" w:rsidRPr="00030BEA">
        <w:t>disposition relative à la garantie d'une procédure régulière en cas de fraude dans les accords relatifs à des projets</w:t>
      </w:r>
      <w:r w:rsidRPr="00030BEA">
        <w:t xml:space="preserve">, </w:t>
      </w:r>
      <w:r w:rsidR="00AC26B5" w:rsidRPr="00030BEA">
        <w:t>inspection des projets des bureaux régionaux</w:t>
      </w:r>
      <w:r w:rsidRPr="00030BEA">
        <w:t xml:space="preserve">, </w:t>
      </w:r>
      <w:r w:rsidR="00AE2EAE" w:rsidRPr="00030BEA">
        <w:t>politiques renforcées en matière de parrainage</w:t>
      </w:r>
      <w:r w:rsidRPr="00030BEA">
        <w:t xml:space="preserve">, </w:t>
      </w:r>
      <w:r w:rsidR="00AE2EAE" w:rsidRPr="00030BEA">
        <w:t>Ordre de service relatif à la</w:t>
      </w:r>
      <w:r w:rsidRPr="00030BEA">
        <w:t xml:space="preserve"> protection </w:t>
      </w:r>
      <w:r w:rsidR="00AE2EAE" w:rsidRPr="00030BEA">
        <w:t>des dénonciateurs</w:t>
      </w:r>
      <w:r w:rsidRPr="00030BEA">
        <w:t xml:space="preserve">, </w:t>
      </w:r>
      <w:r w:rsidR="006328F9" w:rsidRPr="00030BEA">
        <w:t>amélioration</w:t>
      </w:r>
      <w:r w:rsidRPr="00030BEA">
        <w:t xml:space="preserve"> </w:t>
      </w:r>
      <w:r w:rsidR="006328F9" w:rsidRPr="00030BEA">
        <w:t>des déclarations de situation financière</w:t>
      </w:r>
      <w:r w:rsidRPr="00030BEA">
        <w:t xml:space="preserve">, </w:t>
      </w:r>
      <w:r w:rsidR="006328F9" w:rsidRPr="00030BEA">
        <w:t>politique de mobilité du personnel</w:t>
      </w:r>
      <w:r w:rsidRPr="00030BEA">
        <w:t>).</w:t>
      </w:r>
    </w:p>
    <w:p w14:paraId="0FA2F76D" w14:textId="03E7EA9D" w:rsidR="005105B1" w:rsidRPr="00030BEA" w:rsidRDefault="005105B1" w:rsidP="00AF4E79">
      <w:r w:rsidRPr="00030BEA">
        <w:t>7.4</w:t>
      </w:r>
      <w:r w:rsidRPr="00030BEA">
        <w:tab/>
      </w:r>
      <w:r w:rsidR="00264295" w:rsidRPr="00030BEA">
        <w:t xml:space="preserve">Le CCIG salue la participation de l'équipe de direction à l'intégralité du processus et </w:t>
      </w:r>
      <w:r w:rsidR="00111A1F" w:rsidRPr="00030BEA">
        <w:t xml:space="preserve">note </w:t>
      </w:r>
      <w:r w:rsidR="00264295" w:rsidRPr="00030BEA">
        <w:t>les améliorations résultant des travaux menés et des contrôles mis en place</w:t>
      </w:r>
      <w:r w:rsidRPr="00030BEA">
        <w:t>.</w:t>
      </w:r>
    </w:p>
    <w:p w14:paraId="79FAB84E" w14:textId="732038D6" w:rsidR="005105B1" w:rsidRPr="00030BEA" w:rsidRDefault="005105B1" w:rsidP="00AF4E79">
      <w:r w:rsidRPr="00030BEA">
        <w:t>7.5</w:t>
      </w:r>
      <w:r w:rsidRPr="00030BEA">
        <w:tab/>
      </w:r>
      <w:r w:rsidR="00E43352" w:rsidRPr="00030BEA">
        <w:t xml:space="preserve">Le CCIG prend note du fait que les résultats de ces travaux </w:t>
      </w:r>
      <w:r w:rsidR="00983C13" w:rsidRPr="00030BEA">
        <w:t>représentent un pas important vers la</w:t>
      </w:r>
      <w:r w:rsidR="00A76E11" w:rsidRPr="00030BEA">
        <w:t xml:space="preserve"> </w:t>
      </w:r>
      <w:r w:rsidR="00983C13" w:rsidRPr="00030BEA">
        <w:t>clôture du</w:t>
      </w:r>
      <w:r w:rsidR="00E43352" w:rsidRPr="00030BEA">
        <w:t xml:space="preserve"> </w:t>
      </w:r>
      <w:r w:rsidR="00B64928" w:rsidRPr="00030BEA">
        <w:t xml:space="preserve">cas de fraude </w:t>
      </w:r>
      <w:r w:rsidR="00E43352" w:rsidRPr="00030BEA">
        <w:t xml:space="preserve">et </w:t>
      </w:r>
      <w:r w:rsidR="00983C13" w:rsidRPr="00030BEA">
        <w:t>l'élimination des</w:t>
      </w:r>
      <w:r w:rsidR="00E43352" w:rsidRPr="00030BEA">
        <w:t xml:space="preserve"> lacunes identifiées auparavant</w:t>
      </w:r>
      <w:r w:rsidRPr="00030BEA">
        <w:t xml:space="preserve">, </w:t>
      </w:r>
      <w:r w:rsidR="00E43352" w:rsidRPr="00030BEA">
        <w:t>et encourage la direction à</w:t>
      </w:r>
      <w:r w:rsidRPr="00030BEA">
        <w:t xml:space="preserve"> </w:t>
      </w:r>
      <w:r w:rsidR="00725626" w:rsidRPr="00030BEA">
        <w:t>mettre</w:t>
      </w:r>
      <w:r w:rsidR="00E43352" w:rsidRPr="00030BEA">
        <w:t xml:space="preserve"> </w:t>
      </w:r>
      <w:r w:rsidR="00725626" w:rsidRPr="00030BEA">
        <w:t xml:space="preserve">en œuvre pleinement </w:t>
      </w:r>
      <w:r w:rsidR="00F64B0A" w:rsidRPr="00030BEA">
        <w:t xml:space="preserve">et </w:t>
      </w:r>
      <w:r w:rsidR="00E43352" w:rsidRPr="00030BEA">
        <w:t>sans tarder les quelques mesures correctives en suspens</w:t>
      </w:r>
      <w:r w:rsidRPr="00030BEA">
        <w:t xml:space="preserve"> </w:t>
      </w:r>
      <w:r w:rsidR="00E43352" w:rsidRPr="00030BEA">
        <w:t>et en cours</w:t>
      </w:r>
      <w:r w:rsidR="008903DA" w:rsidRPr="00030BEA">
        <w:t xml:space="preserve"> de mise en œuvre</w:t>
      </w:r>
      <w:r w:rsidRPr="00030BEA">
        <w:t>.</w:t>
      </w:r>
    </w:p>
    <w:p w14:paraId="227D92E1" w14:textId="1E6C3BE2" w:rsidR="005105B1" w:rsidRPr="00030BEA" w:rsidRDefault="005105B1" w:rsidP="00AF4E79">
      <w:pPr>
        <w:pStyle w:val="Heading1"/>
      </w:pPr>
      <w:r w:rsidRPr="00030BEA">
        <w:t>8</w:t>
      </w:r>
      <w:r w:rsidRPr="00030BEA">
        <w:tab/>
      </w:r>
      <w:r w:rsidR="00823F50" w:rsidRPr="00030BEA">
        <w:t>Suivi de l'examen de la présence régionale</w:t>
      </w:r>
    </w:p>
    <w:p w14:paraId="46789608" w14:textId="27754818" w:rsidR="005105B1" w:rsidRPr="00030BEA" w:rsidRDefault="005105B1" w:rsidP="00AF4E79">
      <w:r w:rsidRPr="00030BEA">
        <w:t>8.1</w:t>
      </w:r>
      <w:r w:rsidRPr="00030BEA">
        <w:tab/>
      </w:r>
      <w:r w:rsidR="00823F50" w:rsidRPr="00030BEA">
        <w:t>Le CCIG</w:t>
      </w:r>
      <w:r w:rsidRPr="00030BEA">
        <w:t xml:space="preserve"> </w:t>
      </w:r>
      <w:r w:rsidR="00823F50" w:rsidRPr="00030BEA">
        <w:t xml:space="preserve">a </w:t>
      </w:r>
      <w:r w:rsidR="005B4990" w:rsidRPr="00030BEA">
        <w:t xml:space="preserve">reçu des informations détaillées </w:t>
      </w:r>
      <w:r w:rsidR="00B64928" w:rsidRPr="00030BEA">
        <w:t xml:space="preserve">présentées par </w:t>
      </w:r>
      <w:r w:rsidR="00823F50" w:rsidRPr="00030BEA">
        <w:t>la Directrice du</w:t>
      </w:r>
      <w:r w:rsidRPr="00030BEA">
        <w:t xml:space="preserve"> BDT </w:t>
      </w:r>
      <w:r w:rsidR="00823F50" w:rsidRPr="00030BEA">
        <w:t>et l'Adjoint à la Directrice au s</w:t>
      </w:r>
      <w:r w:rsidR="006905D8" w:rsidRPr="00030BEA">
        <w:t>ujet des r</w:t>
      </w:r>
      <w:r w:rsidR="00823F50" w:rsidRPr="00030BEA">
        <w:t>ecomma</w:t>
      </w:r>
      <w:r w:rsidRPr="00030BEA">
        <w:t xml:space="preserve">ndations </w:t>
      </w:r>
      <w:r w:rsidR="00823F50" w:rsidRPr="00030BEA">
        <w:t>formulées par Pw</w:t>
      </w:r>
      <w:r w:rsidRPr="00030BEA">
        <w:t xml:space="preserve">C </w:t>
      </w:r>
      <w:r w:rsidR="006905D8" w:rsidRPr="00030BEA">
        <w:t>dans son rapport sur l'e</w:t>
      </w:r>
      <w:r w:rsidR="00823F50" w:rsidRPr="00030BEA">
        <w:t>xamen de la présence régionale de l'UIT</w:t>
      </w:r>
      <w:r w:rsidRPr="00030BEA">
        <w:t>.</w:t>
      </w:r>
    </w:p>
    <w:p w14:paraId="1B209803" w14:textId="3548CA06" w:rsidR="005105B1" w:rsidRPr="00030BEA" w:rsidRDefault="005105B1" w:rsidP="00AF4E79">
      <w:r w:rsidRPr="00030BEA">
        <w:t>8.2</w:t>
      </w:r>
      <w:r w:rsidRPr="00030BEA">
        <w:tab/>
      </w:r>
      <w:r w:rsidR="00823F50" w:rsidRPr="00030BEA">
        <w:t>Le Comité salue la décision d'établir un Groupe ad hoc du GTC-FHR pour se concentrer sur le sujet important que constitue la présence régionale de l'UIT</w:t>
      </w:r>
      <w:r w:rsidRPr="00030BEA">
        <w:t xml:space="preserve">. </w:t>
      </w:r>
      <w:r w:rsidR="00823F50" w:rsidRPr="00030BEA">
        <w:t xml:space="preserve">Le </w:t>
      </w:r>
      <w:r w:rsidR="00FD5E22" w:rsidRPr="00030BEA">
        <w:t>CCIG</w:t>
      </w:r>
      <w:r w:rsidR="00823F50" w:rsidRPr="00030BEA">
        <w:t xml:space="preserve"> a examiné le mandat du Groupe ad hoc et a suivi ses travaux</w:t>
      </w:r>
      <w:r w:rsidRPr="00030BEA">
        <w:t>.</w:t>
      </w:r>
    </w:p>
    <w:p w14:paraId="4C745C2B" w14:textId="595B9B75" w:rsidR="005105B1" w:rsidRPr="00030BEA" w:rsidRDefault="005105B1" w:rsidP="00AF4E79">
      <w:r w:rsidRPr="00030BEA">
        <w:t>8.3</w:t>
      </w:r>
      <w:r w:rsidRPr="00030BEA">
        <w:tab/>
      </w:r>
      <w:r w:rsidR="00D564F9" w:rsidRPr="00030BEA">
        <w:t>Le CCIG aurait aimé que le rapport de PwC soit davantage axé sur une approche stratégique</w:t>
      </w:r>
      <w:r w:rsidRPr="00030BEA">
        <w:t xml:space="preserve"> </w:t>
      </w:r>
      <w:r w:rsidR="00D564F9" w:rsidRPr="00030BEA">
        <w:t xml:space="preserve">et </w:t>
      </w:r>
      <w:r w:rsidR="00B64928" w:rsidRPr="00030BEA">
        <w:t>l</w:t>
      </w:r>
      <w:r w:rsidR="00D564F9" w:rsidRPr="00030BEA">
        <w:t>es réponses</w:t>
      </w:r>
      <w:r w:rsidRPr="00030BEA">
        <w:t xml:space="preserve"> </w:t>
      </w:r>
      <w:r w:rsidR="00D564F9" w:rsidRPr="00030BEA">
        <w:t>conceptuell</w:t>
      </w:r>
      <w:r w:rsidR="007737E6" w:rsidRPr="00030BEA">
        <w:t xml:space="preserve">es </w:t>
      </w:r>
      <w:r w:rsidR="00B64928" w:rsidRPr="00030BEA">
        <w:t xml:space="preserve">à apporter </w:t>
      </w:r>
      <w:r w:rsidR="007737E6" w:rsidRPr="00030BEA">
        <w:t xml:space="preserve">aux questions sur le rôle, </w:t>
      </w:r>
      <w:r w:rsidR="00D564F9" w:rsidRPr="00030BEA">
        <w:t xml:space="preserve">l'efficacité </w:t>
      </w:r>
      <w:r w:rsidR="007737E6" w:rsidRPr="00030BEA">
        <w:t xml:space="preserve">et l'efficience </w:t>
      </w:r>
      <w:r w:rsidR="00D564F9" w:rsidRPr="00030BEA">
        <w:t>de la présence régionale de l'UIT</w:t>
      </w:r>
      <w:r w:rsidRPr="00030BEA">
        <w:t>.</w:t>
      </w:r>
    </w:p>
    <w:p w14:paraId="2700B67D" w14:textId="2A67B012" w:rsidR="005105B1" w:rsidRPr="00030BEA" w:rsidRDefault="005105B1" w:rsidP="00AF4E79">
      <w:r w:rsidRPr="00030BEA">
        <w:t>8.4</w:t>
      </w:r>
      <w:r w:rsidRPr="00030BEA">
        <w:tab/>
      </w:r>
      <w:r w:rsidR="00D564F9" w:rsidRPr="00030BEA">
        <w:t>Le Comité apprécie</w:t>
      </w:r>
      <w:r w:rsidRPr="00030BEA">
        <w:t xml:space="preserve"> </w:t>
      </w:r>
      <w:r w:rsidR="00D564F9" w:rsidRPr="00030BEA">
        <w:t xml:space="preserve">l'approche de la direction et le mécanisme interne mis en place pour </w:t>
      </w:r>
      <w:r w:rsidR="00B64928" w:rsidRPr="00030BEA">
        <w:t xml:space="preserve">donner </w:t>
      </w:r>
      <w:r w:rsidR="00D564F9" w:rsidRPr="00030BEA">
        <w:t>rapidement</w:t>
      </w:r>
      <w:r w:rsidR="00B64928" w:rsidRPr="00030BEA">
        <w:t xml:space="preserve"> suite</w:t>
      </w:r>
      <w:r w:rsidR="00D564F9" w:rsidRPr="00030BEA">
        <w:t xml:space="preserve"> aux recommandations spécifiques</w:t>
      </w:r>
      <w:r w:rsidRPr="00030BEA">
        <w:t xml:space="preserve">, </w:t>
      </w:r>
      <w:r w:rsidR="00D564F9" w:rsidRPr="00030BEA">
        <w:t xml:space="preserve">qui </w:t>
      </w:r>
      <w:r w:rsidR="00BF491B" w:rsidRPr="00030BEA">
        <w:t>appuient</w:t>
      </w:r>
      <w:r w:rsidR="00D564F9" w:rsidRPr="00030BEA">
        <w:t xml:space="preserve"> et renforce</w:t>
      </w:r>
      <w:r w:rsidR="00BF491B" w:rsidRPr="00030BEA">
        <w:t>nt</w:t>
      </w:r>
      <w:r w:rsidR="00D564F9" w:rsidRPr="00030BEA">
        <w:t xml:space="preserve"> le programme de</w:t>
      </w:r>
      <w:r w:rsidR="00B64928" w:rsidRPr="00030BEA">
        <w:t>s</w:t>
      </w:r>
      <w:r w:rsidR="00D564F9" w:rsidRPr="00030BEA">
        <w:t xml:space="preserve"> réformes de l'UIT</w:t>
      </w:r>
      <w:r w:rsidRPr="00030BEA">
        <w:t>.</w:t>
      </w:r>
    </w:p>
    <w:p w14:paraId="61659D38" w14:textId="40371EDF" w:rsidR="005105B1" w:rsidRPr="00030BEA" w:rsidRDefault="005105B1" w:rsidP="00AF4E79">
      <w:r w:rsidRPr="00030BEA">
        <w:t>8.5</w:t>
      </w:r>
      <w:r w:rsidRPr="00030BEA">
        <w:tab/>
      </w:r>
      <w:r w:rsidR="004B310F" w:rsidRPr="00030BEA">
        <w:t>Le CCIG aimerait que le Groupe ad hoc du GTC-FHR</w:t>
      </w:r>
      <w:r w:rsidRPr="00030BEA">
        <w:t xml:space="preserve"> </w:t>
      </w:r>
      <w:r w:rsidR="00635257" w:rsidRPr="00030BEA">
        <w:t xml:space="preserve">examine </w:t>
      </w:r>
      <w:r w:rsidR="003A3FA0" w:rsidRPr="00030BEA">
        <w:t>surtout</w:t>
      </w:r>
      <w:r w:rsidRPr="00030BEA">
        <w:t xml:space="preserve"> </w:t>
      </w:r>
      <w:r w:rsidR="00635257" w:rsidRPr="00030BEA">
        <w:t>les aspects stratégiques de la présence régionale de l'UIT pour</w:t>
      </w:r>
      <w:r w:rsidRPr="00030BEA">
        <w:t xml:space="preserve"> </w:t>
      </w:r>
      <w:r w:rsidR="00B64928" w:rsidRPr="00030BEA">
        <w:t>améliorer l'exécution</w:t>
      </w:r>
      <w:r w:rsidR="00635257" w:rsidRPr="00030BEA">
        <w:t xml:space="preserve"> du mandat de l'UIT dans le monde</w:t>
      </w:r>
      <w:r w:rsidRPr="00030BEA">
        <w:t xml:space="preserve">. </w:t>
      </w:r>
      <w:r w:rsidR="00635257" w:rsidRPr="00030BEA">
        <w:t>Compte tenu de l'importance de ce sujet</w:t>
      </w:r>
      <w:r w:rsidRPr="00030BEA">
        <w:t xml:space="preserve">, </w:t>
      </w:r>
      <w:r w:rsidR="00635257" w:rsidRPr="00030BEA">
        <w:t>le CCIG encourage le Groupe ad hoc à prendre</w:t>
      </w:r>
      <w:r w:rsidRPr="00030BEA">
        <w:t xml:space="preserve"> </w:t>
      </w:r>
      <w:r w:rsidR="00635257" w:rsidRPr="00030BEA">
        <w:t>des décisions</w:t>
      </w:r>
      <w:r w:rsidRPr="00030BEA">
        <w:t xml:space="preserve"> </w:t>
      </w:r>
      <w:r w:rsidR="00B64928" w:rsidRPr="00030BEA">
        <w:t>audacieuses</w:t>
      </w:r>
      <w:r w:rsidR="00635257" w:rsidRPr="00030BEA">
        <w:t>, même si elles sont susceptibles d'avoir des incidences financières</w:t>
      </w:r>
      <w:r w:rsidRPr="00030BEA">
        <w:t>.</w:t>
      </w:r>
    </w:p>
    <w:p w14:paraId="124D55F2" w14:textId="4858A6D3" w:rsidR="005105B1" w:rsidRPr="00030BEA" w:rsidRDefault="005105B1" w:rsidP="00AF4E79">
      <w:r w:rsidRPr="00030BEA">
        <w:t>8.6</w:t>
      </w:r>
      <w:r w:rsidRPr="00030BEA">
        <w:tab/>
      </w:r>
      <w:r w:rsidR="00746BE4" w:rsidRPr="00030BEA">
        <w:t xml:space="preserve">Le CCIG souhaite donc inviter le Conseil à prendre part au processus et à examiner </w:t>
      </w:r>
      <w:r w:rsidR="00B64928" w:rsidRPr="00030BEA">
        <w:t>la question</w:t>
      </w:r>
      <w:r w:rsidR="00746BE4" w:rsidRPr="00030BEA">
        <w:t xml:space="preserve"> </w:t>
      </w:r>
      <w:r w:rsidR="00EF01AD" w:rsidRPr="00030BEA">
        <w:t>non seulement du point de vue</w:t>
      </w:r>
      <w:r w:rsidR="00746BE4" w:rsidRPr="00030BEA">
        <w:t xml:space="preserve"> financier et des coûts,</w:t>
      </w:r>
      <w:r w:rsidRPr="00030BEA">
        <w:t xml:space="preserve"> </w:t>
      </w:r>
      <w:r w:rsidR="00746BE4" w:rsidRPr="00030BEA">
        <w:t xml:space="preserve">mais aussi </w:t>
      </w:r>
      <w:r w:rsidR="00EF01AD" w:rsidRPr="00030BEA">
        <w:t>du point de vue</w:t>
      </w:r>
      <w:r w:rsidR="007764DA" w:rsidRPr="00030BEA">
        <w:t xml:space="preserve"> stratégique</w:t>
      </w:r>
      <w:r w:rsidRPr="00030BEA">
        <w:t xml:space="preserve">, </w:t>
      </w:r>
      <w:r w:rsidR="007764DA" w:rsidRPr="00030BEA">
        <w:t xml:space="preserve">afin de prendre les décisions </w:t>
      </w:r>
      <w:r w:rsidR="00D61CF1" w:rsidRPr="00030BEA">
        <w:t>judicieuses</w:t>
      </w:r>
      <w:r w:rsidR="00D22E3A" w:rsidRPr="00030BEA">
        <w:t xml:space="preserve"> </w:t>
      </w:r>
      <w:r w:rsidR="00D61CF1" w:rsidRPr="00030BEA">
        <w:t xml:space="preserve">attendues </w:t>
      </w:r>
      <w:r w:rsidR="008E5A64" w:rsidRPr="00030BEA">
        <w:t xml:space="preserve">qui </w:t>
      </w:r>
      <w:r w:rsidR="00D61CF1" w:rsidRPr="00030BEA">
        <w:t>donneront</w:t>
      </w:r>
      <w:r w:rsidR="005B1C9B" w:rsidRPr="00030BEA">
        <w:t xml:space="preserve"> </w:t>
      </w:r>
      <w:r w:rsidR="004E1D2C" w:rsidRPr="00030BEA">
        <w:t>des orientations stratégiques au</w:t>
      </w:r>
      <w:r w:rsidR="00D22E3A" w:rsidRPr="00030BEA">
        <w:t xml:space="preserve"> secrétariat</w:t>
      </w:r>
      <w:r w:rsidRPr="00030BEA">
        <w:t xml:space="preserve"> </w:t>
      </w:r>
      <w:r w:rsidR="007764DA" w:rsidRPr="00030BEA">
        <w:t xml:space="preserve">et permettront </w:t>
      </w:r>
      <w:r w:rsidR="008E5A64" w:rsidRPr="00030BEA">
        <w:t>de mettre</w:t>
      </w:r>
      <w:r w:rsidR="007764DA" w:rsidRPr="00030BEA">
        <w:t xml:space="preserve"> en œuvre efficace</w:t>
      </w:r>
      <w:r w:rsidR="008E5A64" w:rsidRPr="00030BEA">
        <w:t>ment l</w:t>
      </w:r>
      <w:r w:rsidR="007764DA" w:rsidRPr="00030BEA">
        <w:t xml:space="preserve">es recommandations </w:t>
      </w:r>
      <w:r w:rsidR="00B64928" w:rsidRPr="00030BEA">
        <w:t xml:space="preserve">qui </w:t>
      </w:r>
      <w:r w:rsidR="008525E8" w:rsidRPr="00030BEA">
        <w:t>améliorer</w:t>
      </w:r>
      <w:r w:rsidR="00B64928" w:rsidRPr="00030BEA">
        <w:t>ont</w:t>
      </w:r>
      <w:r w:rsidR="008525E8" w:rsidRPr="00030BEA">
        <w:t xml:space="preserve"> et </w:t>
      </w:r>
      <w:r w:rsidR="00922A41" w:rsidRPr="00030BEA">
        <w:t>moderniseront</w:t>
      </w:r>
      <w:r w:rsidR="007764DA" w:rsidRPr="00030BEA">
        <w:t xml:space="preserve"> la présence régionale de l'UIT</w:t>
      </w:r>
      <w:r w:rsidRPr="00030BEA">
        <w:t>.</w:t>
      </w:r>
    </w:p>
    <w:p w14:paraId="791E6347" w14:textId="2D3D4649" w:rsidR="00414903" w:rsidRPr="00030BEA" w:rsidRDefault="008D4FA1" w:rsidP="00AF4E79">
      <w:pPr>
        <w:pStyle w:val="Heading1"/>
      </w:pPr>
      <w:r w:rsidRPr="00030BEA">
        <w:lastRenderedPageBreak/>
        <w:t>9</w:t>
      </w:r>
      <w:r w:rsidR="00414903" w:rsidRPr="00030BEA">
        <w:tab/>
        <w:t>Projet de construction des locaux du siège de l'UIT</w:t>
      </w:r>
    </w:p>
    <w:p w14:paraId="1DD39574" w14:textId="6883FD2D" w:rsidR="00414903" w:rsidRPr="00030BEA" w:rsidRDefault="008D4FA1" w:rsidP="00AF4E79">
      <w:r w:rsidRPr="00030BEA">
        <w:t>9</w:t>
      </w:r>
      <w:r w:rsidR="00414903" w:rsidRPr="00030BEA">
        <w:t>.1</w:t>
      </w:r>
      <w:r w:rsidR="00414903" w:rsidRPr="00030BEA">
        <w:tab/>
        <w:t>Le CCIG a continué de recevoir à intervalles réguliers des informations du Chef de la Division de la gestion des installations et du projet de bâtiment au sujet des progrès accomplis et des faits nouveaux survenus dans le cadre du projet de construction des locaux du siège de l'UIT.</w:t>
      </w:r>
    </w:p>
    <w:p w14:paraId="084080A8" w14:textId="2737F996" w:rsidR="008D4FA1" w:rsidRPr="00030BEA" w:rsidRDefault="008D4FA1" w:rsidP="00AF4E79">
      <w:r w:rsidRPr="00030BEA">
        <w:t>9</w:t>
      </w:r>
      <w:r w:rsidR="00414903" w:rsidRPr="00030BEA">
        <w:t>.2</w:t>
      </w:r>
      <w:r w:rsidR="00414903" w:rsidRPr="00030BEA">
        <w:tab/>
        <w:t xml:space="preserve">Le CCIG </w:t>
      </w:r>
      <w:r w:rsidR="00BA7D8E" w:rsidRPr="00030BEA">
        <w:t>constate avec satisfaction</w:t>
      </w:r>
      <w:r w:rsidR="00BF4202" w:rsidRPr="00030BEA">
        <w:t xml:space="preserve"> que la mise en œuvre du projet est jusqu'à maintenant maîtrisée et que le plan de financement est achevé</w:t>
      </w:r>
      <w:r w:rsidRPr="00030BEA">
        <w:t>.</w:t>
      </w:r>
    </w:p>
    <w:p w14:paraId="2D94720B" w14:textId="0C04D6AE" w:rsidR="008D4FA1" w:rsidRPr="00030BEA" w:rsidRDefault="008D4FA1" w:rsidP="00AF4E79">
      <w:r w:rsidRPr="00030BEA">
        <w:t>9.3</w:t>
      </w:r>
      <w:r w:rsidRPr="00030BEA">
        <w:tab/>
      </w:r>
      <w:r w:rsidR="00BF4202" w:rsidRPr="00030BEA">
        <w:t>L</w:t>
      </w:r>
      <w:r w:rsidR="00380963" w:rsidRPr="00030BEA">
        <w:t xml:space="preserve">e CCIG continuera de suivre </w:t>
      </w:r>
      <w:r w:rsidR="002C3814" w:rsidRPr="00030BEA">
        <w:t xml:space="preserve">l'avancement </w:t>
      </w:r>
      <w:r w:rsidR="00380963" w:rsidRPr="00030BEA">
        <w:t xml:space="preserve">du projet, compte tenu de son </w:t>
      </w:r>
      <w:r w:rsidR="00BF4202" w:rsidRPr="00030BEA">
        <w:t xml:space="preserve">importance et des risques </w:t>
      </w:r>
      <w:r w:rsidR="00EA7FD7" w:rsidRPr="00030BEA">
        <w:t>qu'il implique</w:t>
      </w:r>
      <w:r w:rsidRPr="00030BEA">
        <w:t>.</w:t>
      </w:r>
    </w:p>
    <w:p w14:paraId="5EC68CC0" w14:textId="041DCDA0" w:rsidR="008D4FA1" w:rsidRPr="00030BEA" w:rsidRDefault="008D4FA1" w:rsidP="00AF4E79">
      <w:pPr>
        <w:pStyle w:val="Heading1"/>
      </w:pPr>
      <w:r w:rsidRPr="00030BEA">
        <w:t>10</w:t>
      </w:r>
      <w:r w:rsidRPr="00030BEA">
        <w:tab/>
      </w:r>
      <w:r w:rsidR="008713CD" w:rsidRPr="00030BEA">
        <w:t xml:space="preserve">Initiative </w:t>
      </w:r>
      <w:r w:rsidR="008512EE" w:rsidRPr="00030BEA">
        <w:t>en faveur de la</w:t>
      </w:r>
      <w:r w:rsidR="008713CD" w:rsidRPr="00030BEA">
        <w:t xml:space="preserve"> transformation numérique</w:t>
      </w:r>
    </w:p>
    <w:p w14:paraId="23A5AB1F" w14:textId="3443A44E" w:rsidR="008D4FA1" w:rsidRPr="00030BEA" w:rsidRDefault="008D4FA1" w:rsidP="00AF4E79">
      <w:r w:rsidRPr="00030BEA">
        <w:t>10.1</w:t>
      </w:r>
      <w:r w:rsidRPr="00030BEA">
        <w:tab/>
      </w:r>
      <w:r w:rsidR="008512EE" w:rsidRPr="00030BEA">
        <w:t xml:space="preserve">Le Comité a reçu </w:t>
      </w:r>
      <w:r w:rsidR="000B4474" w:rsidRPr="00030BEA">
        <w:t>des informations détaillées</w:t>
      </w:r>
      <w:r w:rsidR="008512EE" w:rsidRPr="00030BEA">
        <w:t xml:space="preserve"> du Vice-Secrétaire général</w:t>
      </w:r>
      <w:r w:rsidRPr="00030BEA">
        <w:t xml:space="preserve"> </w:t>
      </w:r>
      <w:r w:rsidR="008512EE" w:rsidRPr="00030BEA">
        <w:t>concernant l'Initiative en faveur de la transformation numérique</w:t>
      </w:r>
      <w:r w:rsidRPr="00030BEA">
        <w:t xml:space="preserve">, </w:t>
      </w:r>
      <w:r w:rsidR="008512EE" w:rsidRPr="00030BEA">
        <w:t>qui a été créée en tant que</w:t>
      </w:r>
      <w:r w:rsidRPr="00030BEA">
        <w:t xml:space="preserve"> </w:t>
      </w:r>
      <w:r w:rsidR="008512EE" w:rsidRPr="00030BEA">
        <w:t>projet-cadre</w:t>
      </w:r>
      <w:r w:rsidRPr="00030BEA">
        <w:t xml:space="preserve"> </w:t>
      </w:r>
      <w:r w:rsidR="008512EE" w:rsidRPr="00030BEA">
        <w:t>à mettre en œuvre selon une approche échelonnée, en commençant par savoir "ce qu'il faut transformer"</w:t>
      </w:r>
      <w:r w:rsidRPr="00030BEA">
        <w:t xml:space="preserve">, </w:t>
      </w:r>
      <w:r w:rsidR="008512EE" w:rsidRPr="00030BEA">
        <w:t>puis e</w:t>
      </w:r>
      <w:r w:rsidR="000B4474" w:rsidRPr="00030BEA">
        <w:t xml:space="preserve">n déterminant </w:t>
      </w:r>
      <w:r w:rsidR="008512EE" w:rsidRPr="00030BEA">
        <w:t>"</w:t>
      </w:r>
      <w:r w:rsidR="000B4474" w:rsidRPr="00030BEA">
        <w:t xml:space="preserve">la </w:t>
      </w:r>
      <w:r w:rsidR="008512EE" w:rsidRPr="00030BEA">
        <w:t>façon de procéder à cette transformation"</w:t>
      </w:r>
      <w:r w:rsidRPr="00030BEA">
        <w:t>.</w:t>
      </w:r>
    </w:p>
    <w:p w14:paraId="25A29962" w14:textId="1A88EBEA" w:rsidR="008D4FA1" w:rsidRPr="00030BEA" w:rsidRDefault="008D4FA1" w:rsidP="00AF4E79">
      <w:r w:rsidRPr="00030BEA">
        <w:t>10.2</w:t>
      </w:r>
      <w:r w:rsidRPr="00030BEA">
        <w:tab/>
      </w:r>
      <w:r w:rsidR="00630AA1" w:rsidRPr="00030BEA">
        <w:t xml:space="preserve">Le CCIG </w:t>
      </w:r>
      <w:r w:rsidR="00726E50" w:rsidRPr="00030BEA">
        <w:t>souscrit aussi largement</w:t>
      </w:r>
      <w:r w:rsidR="00630AA1" w:rsidRPr="00030BEA">
        <w:t xml:space="preserve"> à la nécessité de faire de l'UIT un </w:t>
      </w:r>
      <w:r w:rsidR="005247C5" w:rsidRPr="00030BEA">
        <w:t xml:space="preserve">chef de file </w:t>
      </w:r>
      <w:r w:rsidR="00630AA1" w:rsidRPr="00030BEA">
        <w:t>dans ce domaine au sein du système des Nations Unies</w:t>
      </w:r>
      <w:r w:rsidRPr="00030BEA">
        <w:t xml:space="preserve">. </w:t>
      </w:r>
      <w:r w:rsidR="00630AA1" w:rsidRPr="00030BEA">
        <w:t xml:space="preserve">Le Comité a fait remarquer que la transformation numérique devrait être un processus continu et constant et une priorité pour l'UIT, et </w:t>
      </w:r>
      <w:r w:rsidR="002C3814" w:rsidRPr="00030BEA">
        <w:t xml:space="preserve">a </w:t>
      </w:r>
      <w:r w:rsidR="000E366B" w:rsidRPr="00030BEA">
        <w:t>soulign</w:t>
      </w:r>
      <w:r w:rsidR="002C3814" w:rsidRPr="00030BEA">
        <w:t>é</w:t>
      </w:r>
      <w:r w:rsidR="00630AA1" w:rsidRPr="00030BEA">
        <w:t xml:space="preserve"> </w:t>
      </w:r>
      <w:r w:rsidR="002C3814" w:rsidRPr="00030BEA">
        <w:t xml:space="preserve">combien </w:t>
      </w:r>
      <w:r w:rsidR="000E366B" w:rsidRPr="00030BEA">
        <w:t>il est</w:t>
      </w:r>
      <w:r w:rsidR="00B21040" w:rsidRPr="00030BEA">
        <w:t xml:space="preserve"> important </w:t>
      </w:r>
      <w:r w:rsidR="002C3814" w:rsidRPr="00030BEA">
        <w:t xml:space="preserve">qu'il concerne </w:t>
      </w:r>
      <w:r w:rsidR="00B21040" w:rsidRPr="00030BEA">
        <w:t>toute l'organisation</w:t>
      </w:r>
      <w:r w:rsidRPr="00030BEA">
        <w:t>.</w:t>
      </w:r>
    </w:p>
    <w:p w14:paraId="646B90FD" w14:textId="63B8F33C" w:rsidR="008D4FA1" w:rsidRPr="00030BEA" w:rsidRDefault="008D4FA1" w:rsidP="00A85762">
      <w:pPr>
        <w:spacing w:after="240"/>
      </w:pPr>
      <w:r w:rsidRPr="00030BEA">
        <w:t>10.3</w:t>
      </w:r>
      <w:r w:rsidRPr="00030BEA">
        <w:tab/>
      </w:r>
      <w:r w:rsidR="00B21040" w:rsidRPr="00030BEA">
        <w:t xml:space="preserve">Le Comité </w:t>
      </w:r>
      <w:r w:rsidR="002C3814" w:rsidRPr="00030BEA">
        <w:t xml:space="preserve">a </w:t>
      </w:r>
      <w:r w:rsidR="007278C9" w:rsidRPr="00030BEA">
        <w:t>rappel</w:t>
      </w:r>
      <w:r w:rsidR="002C3814" w:rsidRPr="00030BEA">
        <w:t>é</w:t>
      </w:r>
      <w:r w:rsidR="007278C9" w:rsidRPr="00030BEA">
        <w:t xml:space="preserve"> combien</w:t>
      </w:r>
      <w:r w:rsidR="00B21040" w:rsidRPr="00030BEA">
        <w:t xml:space="preserve"> la transformation numérique contribue</w:t>
      </w:r>
      <w:r w:rsidRPr="00030BEA">
        <w:t xml:space="preserve"> </w:t>
      </w:r>
      <w:r w:rsidR="00672742" w:rsidRPr="00030BEA">
        <w:t>à la concrétisation</w:t>
      </w:r>
      <w:r w:rsidRPr="00030BEA">
        <w:t xml:space="preserve"> </w:t>
      </w:r>
      <w:r w:rsidR="00672742" w:rsidRPr="00030BEA">
        <w:t xml:space="preserve">du concept d'une </w:t>
      </w:r>
      <w:r w:rsidR="00B21040" w:rsidRPr="00030BEA">
        <w:t>UIT unie dans l'action</w:t>
      </w:r>
      <w:r w:rsidRPr="00030BEA">
        <w:t xml:space="preserve">, </w:t>
      </w:r>
      <w:r w:rsidR="00B21040" w:rsidRPr="00030BEA">
        <w:t xml:space="preserve">et </w:t>
      </w:r>
      <w:r w:rsidR="002C3814" w:rsidRPr="00030BEA">
        <w:t xml:space="preserve">a recommandé </w:t>
      </w:r>
      <w:r w:rsidR="00B21040" w:rsidRPr="00030BEA">
        <w:t xml:space="preserve">que des ressources </w:t>
      </w:r>
      <w:r w:rsidR="002C3814" w:rsidRPr="00030BEA">
        <w:t>soient</w:t>
      </w:r>
      <w:r w:rsidR="00B21040" w:rsidRPr="00030BEA">
        <w:t xml:space="preserve"> </w:t>
      </w:r>
      <w:r w:rsidR="00672742" w:rsidRPr="00030BEA">
        <w:t>allouées</w:t>
      </w:r>
      <w:r w:rsidR="00B21040" w:rsidRPr="00030BEA">
        <w:t xml:space="preserve"> </w:t>
      </w:r>
      <w:r w:rsidR="008222E9" w:rsidRPr="00030BEA">
        <w:t xml:space="preserve">spécifiquement </w:t>
      </w:r>
      <w:r w:rsidR="00B21040" w:rsidRPr="00030BEA">
        <w:t>à cette initiative</w:t>
      </w:r>
      <w:r w:rsidRPr="00030BEA">
        <w:t>.</w:t>
      </w:r>
    </w:p>
    <w:tbl>
      <w:tblPr>
        <w:tblStyle w:val="TableGrid"/>
        <w:tblW w:w="0" w:type="auto"/>
        <w:tblLook w:val="04A0" w:firstRow="1" w:lastRow="0" w:firstColumn="1" w:lastColumn="0" w:noHBand="0" w:noVBand="1"/>
      </w:tblPr>
      <w:tblGrid>
        <w:gridCol w:w="9629"/>
      </w:tblGrid>
      <w:tr w:rsidR="00A85762" w:rsidRPr="00030BEA" w14:paraId="19251219" w14:textId="77777777" w:rsidTr="00A85762">
        <w:tc>
          <w:tcPr>
            <w:tcW w:w="9629" w:type="dxa"/>
          </w:tcPr>
          <w:p w14:paraId="127477D0" w14:textId="3E341103" w:rsidR="00A85762" w:rsidRPr="00030BEA" w:rsidRDefault="00A85762" w:rsidP="00A85762">
            <w:pPr>
              <w:spacing w:after="120"/>
            </w:pPr>
            <w:r w:rsidRPr="00030BEA">
              <w:rPr>
                <w:b/>
                <w:bCs/>
              </w:rPr>
              <w:t>Recommandation 1 (2021</w:t>
            </w:r>
            <w:proofErr w:type="gramStart"/>
            <w:r w:rsidRPr="00030BEA">
              <w:rPr>
                <w:b/>
                <w:bCs/>
              </w:rPr>
              <w:t>)</w:t>
            </w:r>
            <w:r w:rsidRPr="006C2F86">
              <w:rPr>
                <w:bCs/>
              </w:rPr>
              <w:t>:</w:t>
            </w:r>
            <w:proofErr w:type="gramEnd"/>
            <w:r w:rsidRPr="00030BEA">
              <w:t xml:space="preserve"> Le CCIG recommande que l'UIT poursuive l'Initiative en faveur de la transformation numérique et encourage l'UIT à mobiliser des ressources pour devenir un chef de file dans ce domaine au sein du système des Nations Unies et à montrer l'exemple aux autres institutions.</w:t>
            </w:r>
          </w:p>
        </w:tc>
      </w:tr>
    </w:tbl>
    <w:p w14:paraId="3BC5AB14" w14:textId="71546631" w:rsidR="008D4FA1" w:rsidRPr="00030BEA" w:rsidRDefault="008D4FA1" w:rsidP="00AF4E79">
      <w:pPr>
        <w:pStyle w:val="Heading1"/>
      </w:pPr>
      <w:r w:rsidRPr="00030BEA">
        <w:t>11</w:t>
      </w:r>
      <w:r w:rsidRPr="00030BEA">
        <w:tab/>
      </w:r>
      <w:r w:rsidR="00B712CC" w:rsidRPr="00030BEA">
        <w:t>Bureau de l'éthique</w:t>
      </w:r>
    </w:p>
    <w:p w14:paraId="68FB33E1" w14:textId="594BF881" w:rsidR="008D4FA1" w:rsidRPr="00030BEA" w:rsidRDefault="008D4FA1" w:rsidP="00AF4E79">
      <w:r w:rsidRPr="00030BEA">
        <w:t>11.1</w:t>
      </w:r>
      <w:r w:rsidRPr="00030BEA">
        <w:tab/>
      </w:r>
      <w:r w:rsidR="00B712CC" w:rsidRPr="00030BEA">
        <w:t>Le CCIG a continué de s'entretenir avec</w:t>
      </w:r>
      <w:r w:rsidRPr="00030BEA">
        <w:t xml:space="preserve"> </w:t>
      </w:r>
      <w:r w:rsidR="00C81DCF" w:rsidRPr="00030BEA">
        <w:t xml:space="preserve">le Responsable de l'éthique et </w:t>
      </w:r>
      <w:r w:rsidR="00B712CC" w:rsidRPr="00030BEA">
        <w:t xml:space="preserve">de recevoir régulièrement des </w:t>
      </w:r>
      <w:r w:rsidR="00C81DCF" w:rsidRPr="00030BEA">
        <w:t>informations de sa part</w:t>
      </w:r>
      <w:r w:rsidRPr="00030BEA">
        <w:t xml:space="preserve">, </w:t>
      </w:r>
      <w:r w:rsidR="00C81DCF" w:rsidRPr="00030BEA">
        <w:t xml:space="preserve">et </w:t>
      </w:r>
      <w:r w:rsidR="00B712CC" w:rsidRPr="00030BEA">
        <w:t>de discuter des faits nouveaux et de l'avancée des travaux</w:t>
      </w:r>
      <w:r w:rsidRPr="00030BEA">
        <w:t xml:space="preserve">. </w:t>
      </w:r>
      <w:r w:rsidR="00B712CC" w:rsidRPr="00030BEA">
        <w:t xml:space="preserve">Parmi les sujets </w:t>
      </w:r>
      <w:r w:rsidR="002F0EC6" w:rsidRPr="00030BEA">
        <w:t>abordés</w:t>
      </w:r>
      <w:r w:rsidR="00B712CC" w:rsidRPr="00030BEA">
        <w:t xml:space="preserve"> figuraient la gestion des</w:t>
      </w:r>
      <w:r w:rsidRPr="00030BEA">
        <w:t xml:space="preserve"> </w:t>
      </w:r>
      <w:r w:rsidR="00B34477" w:rsidRPr="00030BEA">
        <w:t>déclarations</w:t>
      </w:r>
      <w:r w:rsidR="00B712CC" w:rsidRPr="00030BEA">
        <w:t xml:space="preserve"> de situation financière</w:t>
      </w:r>
      <w:r w:rsidRPr="00030BEA">
        <w:t xml:space="preserve"> </w:t>
      </w:r>
      <w:r w:rsidR="00B34477" w:rsidRPr="00030BEA">
        <w:t>de tous les fonctionnaires</w:t>
      </w:r>
      <w:r w:rsidRPr="00030BEA">
        <w:t xml:space="preserve">, </w:t>
      </w:r>
      <w:r w:rsidR="00B34477" w:rsidRPr="00030BEA">
        <w:t>le rôle du Bureau de l'éthique</w:t>
      </w:r>
      <w:r w:rsidRPr="00030BEA">
        <w:t xml:space="preserve"> </w:t>
      </w:r>
      <w:r w:rsidR="00B34477" w:rsidRPr="00030BEA">
        <w:t>en matière de gestion</w:t>
      </w:r>
      <w:r w:rsidRPr="00030BEA">
        <w:t xml:space="preserve"> </w:t>
      </w:r>
      <w:r w:rsidR="00B34477" w:rsidRPr="00030BEA">
        <w:t xml:space="preserve">des examens préliminaires des </w:t>
      </w:r>
      <w:r w:rsidR="00156440" w:rsidRPr="00030BEA">
        <w:t>allégations</w:t>
      </w:r>
      <w:r w:rsidRPr="00030BEA">
        <w:t xml:space="preserve"> </w:t>
      </w:r>
      <w:r w:rsidR="00156440" w:rsidRPr="00030BEA">
        <w:t>de</w:t>
      </w:r>
      <w:r w:rsidRPr="00030BEA">
        <w:t xml:space="preserve"> </w:t>
      </w:r>
      <w:r w:rsidR="00156440" w:rsidRPr="00030BEA">
        <w:t>faute</w:t>
      </w:r>
      <w:r w:rsidRPr="00030BEA">
        <w:t xml:space="preserve">, </w:t>
      </w:r>
      <w:r w:rsidR="00156440" w:rsidRPr="00030BEA">
        <w:t>l'objectif de</w:t>
      </w:r>
      <w:r w:rsidRPr="00030BEA">
        <w:t xml:space="preserve"> </w:t>
      </w:r>
      <w:r w:rsidR="00C81DCF" w:rsidRPr="00030BEA">
        <w:t>renforcement d</w:t>
      </w:r>
      <w:r w:rsidR="00156440" w:rsidRPr="00030BEA">
        <w:t xml:space="preserve">es cadres et de </w:t>
      </w:r>
      <w:r w:rsidR="00C81DCF" w:rsidRPr="00030BEA">
        <w:t>simplification du</w:t>
      </w:r>
      <w:r w:rsidR="00156440" w:rsidRPr="00030BEA">
        <w:t xml:space="preserve"> processus d'établissement de rapports</w:t>
      </w:r>
      <w:r w:rsidRPr="00030BEA">
        <w:t xml:space="preserve">, </w:t>
      </w:r>
      <w:r w:rsidR="00156440" w:rsidRPr="00030BEA">
        <w:t xml:space="preserve">les formations en cours et la nouvelle politique relative </w:t>
      </w:r>
      <w:r w:rsidR="003E025C" w:rsidRPr="00030BEA">
        <w:t xml:space="preserve">à la protection des </w:t>
      </w:r>
      <w:r w:rsidR="00156440" w:rsidRPr="00030BEA">
        <w:t>dénonciateurs</w:t>
      </w:r>
      <w:r w:rsidRPr="00030BEA">
        <w:t>.</w:t>
      </w:r>
    </w:p>
    <w:p w14:paraId="08022B63" w14:textId="52894820" w:rsidR="008D4FA1" w:rsidRPr="00030BEA" w:rsidRDefault="008D4FA1" w:rsidP="00AF4E79">
      <w:r w:rsidRPr="00030BEA">
        <w:t>11.2</w:t>
      </w:r>
      <w:r w:rsidRPr="00030BEA">
        <w:tab/>
      </w:r>
      <w:r w:rsidR="002F0EC6" w:rsidRPr="00030BEA">
        <w:t xml:space="preserve">Le Comité </w:t>
      </w:r>
      <w:r w:rsidR="00234E8E" w:rsidRPr="00030BEA">
        <w:t>s'est félicité des travaux menés par le</w:t>
      </w:r>
      <w:r w:rsidR="002F0EC6" w:rsidRPr="00030BEA">
        <w:t xml:space="preserve"> Bureau et a </w:t>
      </w:r>
      <w:r w:rsidR="003E025C" w:rsidRPr="00030BEA">
        <w:t>formulé des avis</w:t>
      </w:r>
      <w:r w:rsidRPr="00030BEA">
        <w:t xml:space="preserve"> </w:t>
      </w:r>
      <w:r w:rsidR="002F0EC6" w:rsidRPr="00030BEA">
        <w:t>relatifs à la charge de travail liée au traitement des déclarations de situation financière</w:t>
      </w:r>
      <w:r w:rsidRPr="00030BEA">
        <w:t>.</w:t>
      </w:r>
    </w:p>
    <w:p w14:paraId="564736FA" w14:textId="456F0014" w:rsidR="008D4FA1" w:rsidRPr="00030BEA" w:rsidRDefault="008D4FA1" w:rsidP="00AF4E79">
      <w:r w:rsidRPr="00030BEA">
        <w:t>11.3</w:t>
      </w:r>
      <w:r w:rsidRPr="00030BEA">
        <w:tab/>
      </w:r>
      <w:r w:rsidR="00CB59FC" w:rsidRPr="00030BEA">
        <w:t xml:space="preserve">Le CCIG a soulevé plusieurs questions au sujet du rôle </w:t>
      </w:r>
      <w:r w:rsidR="003706CA" w:rsidRPr="00030BEA">
        <w:t>que joue le</w:t>
      </w:r>
      <w:r w:rsidR="00CB59FC" w:rsidRPr="00030BEA">
        <w:t xml:space="preserve"> Bureau de l'éthique </w:t>
      </w:r>
      <w:r w:rsidR="003706CA" w:rsidRPr="00030BEA">
        <w:t>dans la</w:t>
      </w:r>
      <w:r w:rsidRPr="00030BEA">
        <w:t xml:space="preserve"> </w:t>
      </w:r>
      <w:r w:rsidR="003E025C" w:rsidRPr="00030BEA">
        <w:t xml:space="preserve">conduite </w:t>
      </w:r>
      <w:r w:rsidR="00CB59FC" w:rsidRPr="00030BEA">
        <w:t xml:space="preserve">des examens préliminaires des </w:t>
      </w:r>
      <w:r w:rsidR="00574055" w:rsidRPr="00030BEA">
        <w:t>allégations</w:t>
      </w:r>
      <w:r w:rsidR="00CB59FC" w:rsidRPr="00030BEA">
        <w:t xml:space="preserve"> </w:t>
      </w:r>
      <w:r w:rsidR="00574055" w:rsidRPr="00030BEA">
        <w:t>signalées</w:t>
      </w:r>
      <w:r w:rsidR="003E025C" w:rsidRPr="00030BEA">
        <w:t>, concernant</w:t>
      </w:r>
      <w:r w:rsidR="003706CA" w:rsidRPr="00030BEA">
        <w:t xml:space="preserve"> les ressources disponibles</w:t>
      </w:r>
      <w:r w:rsidRPr="00030BEA">
        <w:t xml:space="preserve"> </w:t>
      </w:r>
      <w:r w:rsidR="00EE03FF" w:rsidRPr="00030BEA">
        <w:t xml:space="preserve">pour </w:t>
      </w:r>
      <w:r w:rsidR="003E025C" w:rsidRPr="00030BEA">
        <w:t>le travail courant</w:t>
      </w:r>
      <w:r w:rsidR="003706CA" w:rsidRPr="00030BEA">
        <w:t xml:space="preserve">, la </w:t>
      </w:r>
      <w:r w:rsidR="003E025C" w:rsidRPr="00030BEA">
        <w:t xml:space="preserve">surveillance </w:t>
      </w:r>
      <w:r w:rsidR="003706CA" w:rsidRPr="00030BEA">
        <w:t xml:space="preserve">et </w:t>
      </w:r>
      <w:r w:rsidR="003E025C" w:rsidRPr="00030BEA">
        <w:t>le</w:t>
      </w:r>
      <w:r w:rsidR="003706CA" w:rsidRPr="00030BEA">
        <w:t xml:space="preserve"> suivi</w:t>
      </w:r>
      <w:r w:rsidR="003E025C" w:rsidRPr="00030BEA">
        <w:t xml:space="preserve"> </w:t>
      </w:r>
      <w:r w:rsidR="00A539E0" w:rsidRPr="00030BEA">
        <w:t>dans le domaine de l'éthique</w:t>
      </w:r>
      <w:r w:rsidRPr="00030BEA">
        <w:t>.</w:t>
      </w:r>
    </w:p>
    <w:p w14:paraId="3E71FED9" w14:textId="5FEA4304" w:rsidR="008D4FA1" w:rsidRPr="00030BEA" w:rsidRDefault="008D4FA1" w:rsidP="00AF4E79">
      <w:r w:rsidRPr="00030BEA">
        <w:lastRenderedPageBreak/>
        <w:t>11.4</w:t>
      </w:r>
      <w:r w:rsidRPr="00030BEA">
        <w:tab/>
      </w:r>
      <w:r w:rsidR="00EE03FF" w:rsidRPr="00030BEA">
        <w:t>Le Comité insiste</w:t>
      </w:r>
      <w:r w:rsidR="003E025C" w:rsidRPr="00030BEA">
        <w:t xml:space="preserve"> à nouveau</w:t>
      </w:r>
      <w:r w:rsidR="00EE03FF" w:rsidRPr="00030BEA">
        <w:t xml:space="preserve"> sur l'importance de la fonction d'éthique et </w:t>
      </w:r>
      <w:r w:rsidR="003E025C" w:rsidRPr="00030BEA">
        <w:t>s'attend à ce que</w:t>
      </w:r>
      <w:r w:rsidR="00721EE9" w:rsidRPr="00030BEA">
        <w:t xml:space="preserve"> </w:t>
      </w:r>
      <w:r w:rsidR="003E025C" w:rsidRPr="00030BEA">
        <w:t>l</w:t>
      </w:r>
      <w:r w:rsidR="00721EE9" w:rsidRPr="00030BEA">
        <w:t>es ressources</w:t>
      </w:r>
      <w:r w:rsidR="00077198" w:rsidRPr="00030BEA">
        <w:t xml:space="preserve"> </w:t>
      </w:r>
      <w:r w:rsidR="003E025C" w:rsidRPr="00030BEA">
        <w:t>affectées continuent d'être adéquate</w:t>
      </w:r>
      <w:r w:rsidR="00081B56" w:rsidRPr="00030BEA">
        <w:t>s</w:t>
      </w:r>
      <w:r w:rsidR="003E025C" w:rsidRPr="00030BEA">
        <w:t xml:space="preserve"> </w:t>
      </w:r>
      <w:r w:rsidR="00077198" w:rsidRPr="00030BEA">
        <w:t>pour</w:t>
      </w:r>
      <w:r w:rsidRPr="00030BEA">
        <w:t xml:space="preserve"> </w:t>
      </w:r>
      <w:r w:rsidR="003E025C" w:rsidRPr="00030BEA">
        <w:t xml:space="preserve">financer </w:t>
      </w:r>
      <w:r w:rsidR="005159C9" w:rsidRPr="00030BEA">
        <w:t>la mise en œuvre de</w:t>
      </w:r>
      <w:r w:rsidR="00077198" w:rsidRPr="00030BEA">
        <w:t xml:space="preserve"> l</w:t>
      </w:r>
      <w:r w:rsidR="00D865F2" w:rsidRPr="00030BEA">
        <w:t xml:space="preserve">'ensemble </w:t>
      </w:r>
      <w:r w:rsidR="00077198" w:rsidRPr="00030BEA">
        <w:t>du programme de travail du Bureau de l'éthique</w:t>
      </w:r>
      <w:r w:rsidRPr="00030BEA">
        <w:t>.</w:t>
      </w:r>
    </w:p>
    <w:p w14:paraId="69B2FF9C" w14:textId="3954B6D7" w:rsidR="008D4FA1" w:rsidRPr="00030BEA" w:rsidRDefault="008D4FA1" w:rsidP="00AF4E79">
      <w:pPr>
        <w:pStyle w:val="Heading1"/>
      </w:pPr>
      <w:r w:rsidRPr="00030BEA">
        <w:t>12</w:t>
      </w:r>
      <w:r w:rsidRPr="00030BEA">
        <w:tab/>
      </w:r>
      <w:r w:rsidR="00077198" w:rsidRPr="00030BEA">
        <w:t>Fonction d'investigation</w:t>
      </w:r>
    </w:p>
    <w:p w14:paraId="7155C420" w14:textId="78559FAD" w:rsidR="008D4FA1" w:rsidRPr="00030BEA" w:rsidRDefault="00BF2467" w:rsidP="00AF4E79">
      <w:r w:rsidRPr="00030BEA">
        <w:t>12.1</w:t>
      </w:r>
      <w:r w:rsidRPr="00030BEA">
        <w:tab/>
      </w:r>
      <w:r w:rsidR="007079BB" w:rsidRPr="00030BEA">
        <w:t>Dans son neuvième r</w:t>
      </w:r>
      <w:r w:rsidR="00EC22D5" w:rsidRPr="00030BEA">
        <w:t xml:space="preserve">apport annuel soumis au Conseil </w:t>
      </w:r>
      <w:r w:rsidR="007079BB" w:rsidRPr="00030BEA">
        <w:t>à sa session de 2020, le Comité avait</w:t>
      </w:r>
      <w:r w:rsidR="008D4FA1" w:rsidRPr="00030BEA">
        <w:t xml:space="preserve"> </w:t>
      </w:r>
      <w:r w:rsidR="007079BB" w:rsidRPr="00030BEA">
        <w:t xml:space="preserve">indiqué que la </w:t>
      </w:r>
      <w:r w:rsidR="00EC22D5" w:rsidRPr="00030BEA">
        <w:t>mise en place</w:t>
      </w:r>
      <w:r w:rsidR="007079BB" w:rsidRPr="00030BEA">
        <w:t xml:space="preserve"> d'une ressource </w:t>
      </w:r>
      <w:r w:rsidR="00EC22D5" w:rsidRPr="00030BEA">
        <w:t>spécifique pour les enquêtes</w:t>
      </w:r>
      <w:r w:rsidR="007079BB" w:rsidRPr="00030BEA">
        <w:t xml:space="preserve"> constituait une priorité</w:t>
      </w:r>
      <w:r w:rsidR="008D4FA1" w:rsidRPr="00030BEA">
        <w:t xml:space="preserve">. </w:t>
      </w:r>
      <w:r w:rsidR="007079BB" w:rsidRPr="00030BEA">
        <w:t xml:space="preserve">Le CCIG </w:t>
      </w:r>
      <w:r w:rsidR="00EC22D5" w:rsidRPr="00030BEA">
        <w:t>se félicite de</w:t>
      </w:r>
      <w:r w:rsidR="008B710A" w:rsidRPr="00030BEA">
        <w:t xml:space="preserve"> la création </w:t>
      </w:r>
      <w:r w:rsidR="00081B56" w:rsidRPr="00030BEA">
        <w:t xml:space="preserve">du </w:t>
      </w:r>
      <w:r w:rsidR="007079BB" w:rsidRPr="00030BEA">
        <w:t xml:space="preserve">poste </w:t>
      </w:r>
      <w:r w:rsidR="00081B56" w:rsidRPr="00030BEA">
        <w:t>correspondant</w:t>
      </w:r>
      <w:r w:rsidR="008B710A" w:rsidRPr="00030BEA">
        <w:t xml:space="preserve"> </w:t>
      </w:r>
      <w:r w:rsidR="003D751E" w:rsidRPr="00030BEA">
        <w:t xml:space="preserve">et espère qu'il sera </w:t>
      </w:r>
      <w:r w:rsidR="00081B56" w:rsidRPr="00030BEA">
        <w:t>pourvu</w:t>
      </w:r>
      <w:r w:rsidR="0044376D" w:rsidRPr="00030BEA">
        <w:t xml:space="preserve"> dans les meilleurs délais</w:t>
      </w:r>
      <w:r w:rsidR="00081B56" w:rsidRPr="00030BEA">
        <w:t xml:space="preserve"> </w:t>
      </w:r>
      <w:r w:rsidR="000E4FE9" w:rsidRPr="00030BEA">
        <w:t>et produira les résultats escomptés</w:t>
      </w:r>
      <w:r w:rsidR="008D4FA1" w:rsidRPr="00030BEA">
        <w:t>.</w:t>
      </w:r>
    </w:p>
    <w:p w14:paraId="3FF736A1" w14:textId="265C567D" w:rsidR="008D4FA1" w:rsidRPr="00030BEA" w:rsidRDefault="008D4FA1" w:rsidP="00AF4E79">
      <w:pPr>
        <w:pStyle w:val="Heading1"/>
      </w:pPr>
      <w:r w:rsidRPr="00030BEA">
        <w:t>13</w:t>
      </w:r>
      <w:r w:rsidRPr="00030BEA">
        <w:tab/>
      </w:r>
      <w:r w:rsidR="008E4375" w:rsidRPr="00030BEA">
        <w:t>Gestion des risques</w:t>
      </w:r>
      <w:r w:rsidRPr="00030BEA">
        <w:t xml:space="preserve"> </w:t>
      </w:r>
      <w:r w:rsidR="008E4375" w:rsidRPr="00030BEA">
        <w:t>et tableau de bord de la conformité à l'échelle de l'UIT</w:t>
      </w:r>
    </w:p>
    <w:p w14:paraId="18FE3757" w14:textId="57A8A638" w:rsidR="00BF2467" w:rsidRPr="00030BEA" w:rsidRDefault="00BF2467" w:rsidP="00AF4E79">
      <w:r w:rsidRPr="00030BEA">
        <w:t>13.1</w:t>
      </w:r>
      <w:r w:rsidRPr="00030BEA">
        <w:tab/>
      </w:r>
      <w:r w:rsidR="00D8707A" w:rsidRPr="00030BEA">
        <w:t xml:space="preserve">Le CCIG a continué de suivre de près les </w:t>
      </w:r>
      <w:r w:rsidR="002935B7" w:rsidRPr="00030BEA">
        <w:t>évolutions concernant</w:t>
      </w:r>
      <w:r w:rsidR="00D8707A" w:rsidRPr="00030BEA">
        <w:t xml:space="preserve"> les mesures de gestion des risques à l'UIT et la mise en œuvre du plan d'action </w:t>
      </w:r>
      <w:r w:rsidR="0042583B" w:rsidRPr="00030BEA">
        <w:t>visant à</w:t>
      </w:r>
      <w:r w:rsidR="00D8707A" w:rsidRPr="00030BEA">
        <w:t xml:space="preserve"> les renforcer</w:t>
      </w:r>
      <w:r w:rsidRPr="00030BEA">
        <w:t>.</w:t>
      </w:r>
    </w:p>
    <w:p w14:paraId="6B9DB8FA" w14:textId="23BD2A4F" w:rsidR="00BF2467" w:rsidRPr="00030BEA" w:rsidRDefault="00BF2467" w:rsidP="00AF4E79">
      <w:r w:rsidRPr="00030BEA">
        <w:t>13.2</w:t>
      </w:r>
      <w:r w:rsidRPr="00030BEA">
        <w:tab/>
      </w:r>
      <w:r w:rsidR="007C776F" w:rsidRPr="00030BEA">
        <w:t xml:space="preserve">Le Comité </w:t>
      </w:r>
      <w:r w:rsidR="00C60C72" w:rsidRPr="00030BEA">
        <w:t>s'est félicité</w:t>
      </w:r>
      <w:r w:rsidR="007C776F" w:rsidRPr="00030BEA">
        <w:t xml:space="preserve"> des progrès accomplis </w:t>
      </w:r>
      <w:r w:rsidR="000E4FE9" w:rsidRPr="00030BEA">
        <w:t>concernant la mise en œuvre</w:t>
      </w:r>
      <w:r w:rsidR="007C776F" w:rsidRPr="00030BEA">
        <w:t xml:space="preserve"> du plan</w:t>
      </w:r>
      <w:r w:rsidRPr="00030BEA">
        <w:t xml:space="preserve"> </w:t>
      </w:r>
      <w:r w:rsidR="007C776F" w:rsidRPr="00030BEA">
        <w:t>d'action et de son achèvement</w:t>
      </w:r>
      <w:r w:rsidRPr="00030BEA">
        <w:t xml:space="preserve">, </w:t>
      </w:r>
      <w:r w:rsidR="007C776F" w:rsidRPr="00030BEA">
        <w:t xml:space="preserve">et a insisté sur le fait qu'il </w:t>
      </w:r>
      <w:r w:rsidR="00C60C72" w:rsidRPr="00030BEA">
        <w:t>était</w:t>
      </w:r>
      <w:r w:rsidR="007C776F" w:rsidRPr="00030BEA">
        <w:t xml:space="preserve"> nécessaire que </w:t>
      </w:r>
      <w:r w:rsidR="00882289" w:rsidRPr="00030BEA">
        <w:t>le registre des risques et le tableau de bord de la gestion des risques</w:t>
      </w:r>
      <w:r w:rsidRPr="00030BEA">
        <w:t xml:space="preserve"> </w:t>
      </w:r>
      <w:r w:rsidR="00882289" w:rsidRPr="00030BEA">
        <w:t>soient utilisés par une masse critique au sein de l'organisation</w:t>
      </w:r>
      <w:r w:rsidRPr="00030BEA">
        <w:t xml:space="preserve">, </w:t>
      </w:r>
      <w:r w:rsidR="00882289" w:rsidRPr="00030BEA">
        <w:t xml:space="preserve">qu'ils </w:t>
      </w:r>
      <w:r w:rsidR="000E4FE9" w:rsidRPr="00030BEA">
        <w:t>fassent l'objet d'une surveillance active</w:t>
      </w:r>
      <w:r w:rsidR="00882289" w:rsidRPr="00030BEA">
        <w:t xml:space="preserve"> et qu'ils ne deviennent pas</w:t>
      </w:r>
      <w:r w:rsidRPr="00030BEA">
        <w:t xml:space="preserve"> </w:t>
      </w:r>
      <w:r w:rsidR="00882289" w:rsidRPr="00030BEA">
        <w:t>des outils statiques</w:t>
      </w:r>
      <w:r w:rsidRPr="00030BEA">
        <w:t>.</w:t>
      </w:r>
    </w:p>
    <w:p w14:paraId="1CCE4DC0" w14:textId="6E7D8850" w:rsidR="00BF2467" w:rsidRPr="00030BEA" w:rsidRDefault="00BF2467" w:rsidP="00AF4E79">
      <w:r w:rsidRPr="00030BEA">
        <w:t>13.3</w:t>
      </w:r>
      <w:r w:rsidRPr="00030BEA">
        <w:tab/>
      </w:r>
      <w:r w:rsidR="006D78E3" w:rsidRPr="00030BEA">
        <w:t>Le Comité a également pris note de la mise en place du tableau de bord de la conformité à l'échelle de l'UIT</w:t>
      </w:r>
      <w:r w:rsidR="000E4FE9" w:rsidRPr="00030BEA">
        <w:t>. Il</w:t>
      </w:r>
      <w:r w:rsidR="005D6168" w:rsidRPr="00030BEA">
        <w:t xml:space="preserve"> </w:t>
      </w:r>
      <w:r w:rsidR="00C60C72" w:rsidRPr="00030BEA">
        <w:t>s'</w:t>
      </w:r>
      <w:r w:rsidR="008D4BE7" w:rsidRPr="00030BEA">
        <w:t xml:space="preserve">en </w:t>
      </w:r>
      <w:r w:rsidR="005D6168" w:rsidRPr="00030BEA">
        <w:t>est félicité</w:t>
      </w:r>
      <w:r w:rsidR="000E4FE9" w:rsidRPr="00030BEA">
        <w:t xml:space="preserve"> et</w:t>
      </w:r>
      <w:r w:rsidR="00A85762" w:rsidRPr="00030BEA">
        <w:t xml:space="preserve"> </w:t>
      </w:r>
      <w:r w:rsidR="00CD0681" w:rsidRPr="00030BEA">
        <w:t>a souligné qu'il</w:t>
      </w:r>
      <w:r w:rsidR="006D78E3" w:rsidRPr="00030BEA">
        <w:t xml:space="preserve"> </w:t>
      </w:r>
      <w:r w:rsidR="00AD607C" w:rsidRPr="00030BEA">
        <w:t>importait</w:t>
      </w:r>
      <w:r w:rsidR="00CD0681" w:rsidRPr="00030BEA">
        <w:t xml:space="preserve"> </w:t>
      </w:r>
      <w:r w:rsidR="006D6172" w:rsidRPr="00030BEA">
        <w:t xml:space="preserve">de garantir </w:t>
      </w:r>
      <w:r w:rsidR="00E068F0" w:rsidRPr="00030BEA">
        <w:t>que tous les responsables s'approprient cet outil</w:t>
      </w:r>
      <w:r w:rsidR="006D78E3" w:rsidRPr="00030BEA">
        <w:t xml:space="preserve"> et </w:t>
      </w:r>
      <w:r w:rsidR="00E068F0" w:rsidRPr="00030BEA">
        <w:t>acceptent de l'utiliser</w:t>
      </w:r>
      <w:r w:rsidRPr="00030BEA">
        <w:t xml:space="preserve"> </w:t>
      </w:r>
      <w:r w:rsidR="00E068F0" w:rsidRPr="00030BEA">
        <w:t>pour en faire un outil exploitable</w:t>
      </w:r>
      <w:r w:rsidRPr="00030BEA">
        <w:t xml:space="preserve">. </w:t>
      </w:r>
      <w:r w:rsidR="00CD0681" w:rsidRPr="00030BEA">
        <w:t>Le Comité</w:t>
      </w:r>
      <w:r w:rsidRPr="00030BEA">
        <w:t xml:space="preserve"> </w:t>
      </w:r>
      <w:r w:rsidR="00CD0681" w:rsidRPr="00030BEA">
        <w:t xml:space="preserve">a </w:t>
      </w:r>
      <w:r w:rsidR="000E4FE9" w:rsidRPr="00030BEA">
        <w:t xml:space="preserve">recommandé </w:t>
      </w:r>
      <w:r w:rsidR="00CD0681" w:rsidRPr="00030BEA">
        <w:t>d'évaluer l'utilisation de l'outil dans un an</w:t>
      </w:r>
      <w:r w:rsidRPr="00030BEA">
        <w:t>.</w:t>
      </w:r>
    </w:p>
    <w:p w14:paraId="31898D33" w14:textId="1C8C88FF" w:rsidR="00BF2467" w:rsidRPr="00030BEA" w:rsidRDefault="00BF2467" w:rsidP="00AF4E79">
      <w:pPr>
        <w:pStyle w:val="Heading1"/>
      </w:pPr>
      <w:r w:rsidRPr="00030BEA">
        <w:t>14</w:t>
      </w:r>
      <w:r w:rsidRPr="00030BEA">
        <w:tab/>
      </w:r>
      <w:r w:rsidR="00CC0CBC" w:rsidRPr="00030BEA">
        <w:t>Mise en œuvre d</w:t>
      </w:r>
      <w:r w:rsidR="000E4FE9" w:rsidRPr="00030BEA">
        <w:t>e</w:t>
      </w:r>
      <w:r w:rsidR="00CC0CBC" w:rsidRPr="00030BEA">
        <w:t xml:space="preserve"> projet</w:t>
      </w:r>
      <w:r w:rsidR="000E4FE9" w:rsidRPr="00030BEA">
        <w:t>s</w:t>
      </w:r>
      <w:r w:rsidR="00CC0CBC" w:rsidRPr="00030BEA">
        <w:t xml:space="preserve"> par le Bureau de développement des télécommunications</w:t>
      </w:r>
    </w:p>
    <w:p w14:paraId="04FABE30" w14:textId="328300BD" w:rsidR="00BF2467" w:rsidRPr="00030BEA" w:rsidRDefault="00BF2467" w:rsidP="00AF4E79">
      <w:r w:rsidRPr="00030BEA">
        <w:t>14.1</w:t>
      </w:r>
      <w:r w:rsidRPr="00030BEA">
        <w:tab/>
      </w:r>
      <w:r w:rsidR="009878AC" w:rsidRPr="00030BEA">
        <w:t xml:space="preserve">Le CCIG a reçu </w:t>
      </w:r>
      <w:r w:rsidR="009D46FF" w:rsidRPr="00030BEA">
        <w:t>des informations détaillées et exhaustives</w:t>
      </w:r>
      <w:r w:rsidR="009878AC" w:rsidRPr="00030BEA">
        <w:t xml:space="preserve"> sur </w:t>
      </w:r>
      <w:r w:rsidR="005B5E7D" w:rsidRPr="00030BEA">
        <w:t>la mise en place</w:t>
      </w:r>
      <w:r w:rsidR="009878AC" w:rsidRPr="00030BEA">
        <w:t xml:space="preserve"> de pratiques </w:t>
      </w:r>
      <w:r w:rsidR="007078D7" w:rsidRPr="00030BEA">
        <w:t xml:space="preserve">plus solides </w:t>
      </w:r>
      <w:r w:rsidR="005B5E7D" w:rsidRPr="00030BEA">
        <w:t xml:space="preserve">en matière </w:t>
      </w:r>
      <w:r w:rsidR="009878AC" w:rsidRPr="00030BEA">
        <w:t>de gestion de projet</w:t>
      </w:r>
      <w:r w:rsidR="005B5E7D" w:rsidRPr="00030BEA">
        <w:t>s</w:t>
      </w:r>
      <w:r w:rsidR="009878AC" w:rsidRPr="00030BEA">
        <w:t xml:space="preserve"> dans le Secteur du développement des télécommunications</w:t>
      </w:r>
      <w:r w:rsidRPr="00030BEA">
        <w:t xml:space="preserve">, </w:t>
      </w:r>
      <w:r w:rsidR="00176A79" w:rsidRPr="00030BEA">
        <w:t>avec notamment</w:t>
      </w:r>
      <w:r w:rsidR="001B0F21" w:rsidRPr="00030BEA">
        <w:t xml:space="preserve"> la création du</w:t>
      </w:r>
      <w:r w:rsidR="00752C36" w:rsidRPr="00030BEA">
        <w:t xml:space="preserve"> </w:t>
      </w:r>
      <w:r w:rsidR="009878AC" w:rsidRPr="00030BEA">
        <w:t>Comité de gestion de projets</w:t>
      </w:r>
      <w:r w:rsidRPr="00030BEA">
        <w:t xml:space="preserve">, </w:t>
      </w:r>
      <w:r w:rsidR="00176A79" w:rsidRPr="00030BEA">
        <w:t>le</w:t>
      </w:r>
      <w:r w:rsidR="001B0F21" w:rsidRPr="00030BEA">
        <w:t xml:space="preserve"> renforcement d</w:t>
      </w:r>
      <w:r w:rsidR="00752C36" w:rsidRPr="00030BEA">
        <w:t>es</w:t>
      </w:r>
      <w:r w:rsidR="009878AC" w:rsidRPr="00030BEA">
        <w:t xml:space="preserve"> compétences en gestion de projets et </w:t>
      </w:r>
      <w:r w:rsidR="001B0F21" w:rsidRPr="00030BEA">
        <w:t>l'amélioration des</w:t>
      </w:r>
      <w:r w:rsidR="009878AC" w:rsidRPr="00030BEA">
        <w:t xml:space="preserve"> mécanismes de contrôle et de suivi</w:t>
      </w:r>
      <w:r w:rsidRPr="00030BEA">
        <w:t xml:space="preserve">. </w:t>
      </w:r>
      <w:r w:rsidR="009878AC" w:rsidRPr="00030BEA">
        <w:t xml:space="preserve">Le Comité a eu aussi </w:t>
      </w:r>
      <w:r w:rsidR="000E4FE9" w:rsidRPr="00030BEA">
        <w:t xml:space="preserve">la possibilité </w:t>
      </w:r>
      <w:r w:rsidR="009878AC" w:rsidRPr="00030BEA">
        <w:t>de discuter de certains des problèmes qui subsistent</w:t>
      </w:r>
      <w:r w:rsidRPr="00030BEA">
        <w:t xml:space="preserve"> </w:t>
      </w:r>
      <w:r w:rsidR="009878AC" w:rsidRPr="00030BEA">
        <w:t xml:space="preserve">en ce qui concerne l'évaluation, </w:t>
      </w:r>
      <w:r w:rsidR="000E4FE9" w:rsidRPr="00030BEA">
        <w:t xml:space="preserve">la clôture </w:t>
      </w:r>
      <w:r w:rsidR="009878AC" w:rsidRPr="00030BEA">
        <w:t>des projets et l'application de nouvelles lignes directrices relatives à la passation des marchés</w:t>
      </w:r>
      <w:r w:rsidRPr="00030BEA">
        <w:t>.</w:t>
      </w:r>
    </w:p>
    <w:p w14:paraId="225EF70E" w14:textId="71112EDD" w:rsidR="00BF2467" w:rsidRPr="00030BEA" w:rsidRDefault="00BF2467" w:rsidP="00AF4E79">
      <w:r w:rsidRPr="00030BEA">
        <w:t>14.2</w:t>
      </w:r>
      <w:r w:rsidRPr="00030BEA">
        <w:tab/>
      </w:r>
      <w:r w:rsidR="00DF5A46" w:rsidRPr="00030BEA">
        <w:t>Le Comité a salué les efforts déployés par le secrétariat et a donné un avis sur la manière de surmonter certaines des difficultés</w:t>
      </w:r>
      <w:r w:rsidRPr="00030BEA">
        <w:t xml:space="preserve">. </w:t>
      </w:r>
      <w:r w:rsidR="00DF5A46" w:rsidRPr="00030BEA">
        <w:t xml:space="preserve">Le CCIG a notamment </w:t>
      </w:r>
      <w:r w:rsidR="000E4FE9" w:rsidRPr="00030BEA">
        <w:t>recommandé</w:t>
      </w:r>
      <w:r w:rsidR="00DF5A46" w:rsidRPr="00030BEA">
        <w:t xml:space="preserve">, dans le cas des </w:t>
      </w:r>
      <w:r w:rsidR="00176A79" w:rsidRPr="00030BEA">
        <w:t xml:space="preserve">plus grands </w:t>
      </w:r>
      <w:r w:rsidR="00DF5A46" w:rsidRPr="00030BEA">
        <w:t>projets,</w:t>
      </w:r>
      <w:r w:rsidRPr="00030BEA">
        <w:t xml:space="preserve"> </w:t>
      </w:r>
      <w:r w:rsidR="00DF5A46" w:rsidRPr="00030BEA">
        <w:t xml:space="preserve">d'envisager la mise en place de processus </w:t>
      </w:r>
      <w:r w:rsidR="002613B2" w:rsidRPr="00030BEA">
        <w:t>de garantie</w:t>
      </w:r>
      <w:r w:rsidR="00DF5A46" w:rsidRPr="00030BEA">
        <w:t xml:space="preserve"> </w:t>
      </w:r>
      <w:r w:rsidR="002D4E0B" w:rsidRPr="00030BEA">
        <w:t>pour une mise en œuvre au niveau local</w:t>
      </w:r>
      <w:r w:rsidRPr="00030BEA">
        <w:t xml:space="preserve">, </w:t>
      </w:r>
      <w:r w:rsidR="002D4E0B" w:rsidRPr="00030BEA">
        <w:t xml:space="preserve">d'instaurer des </w:t>
      </w:r>
      <w:r w:rsidR="00A81840" w:rsidRPr="00030BEA">
        <w:t xml:space="preserve">freins et contrepoids </w:t>
      </w:r>
      <w:r w:rsidR="002D4E0B" w:rsidRPr="00030BEA">
        <w:t>supplémentaires</w:t>
      </w:r>
      <w:r w:rsidRPr="00030BEA">
        <w:t xml:space="preserve"> </w:t>
      </w:r>
      <w:r w:rsidR="002D4E0B" w:rsidRPr="00030BEA">
        <w:t>et de présenter des rapports sur la qualité et les coûts du projet</w:t>
      </w:r>
      <w:r w:rsidRPr="00030BEA">
        <w:t xml:space="preserve">. </w:t>
      </w:r>
      <w:r w:rsidR="00273814" w:rsidRPr="00030BEA">
        <w:t>Par ailleurs</w:t>
      </w:r>
      <w:r w:rsidRPr="00030BEA">
        <w:t xml:space="preserve">, </w:t>
      </w:r>
      <w:r w:rsidR="002D4E0B" w:rsidRPr="00030BEA">
        <w:t xml:space="preserve">le Comité a </w:t>
      </w:r>
      <w:r w:rsidR="00EF3485" w:rsidRPr="00030BEA">
        <w:t>insisté sur</w:t>
      </w:r>
      <w:r w:rsidRPr="00030BEA">
        <w:t xml:space="preserve"> </w:t>
      </w:r>
      <w:r w:rsidR="002D4E0B" w:rsidRPr="00030BEA">
        <w:t>la nécessité d'adopter une stratégie d'évaluation globale, qui</w:t>
      </w:r>
      <w:r w:rsidRPr="00030BEA">
        <w:t xml:space="preserve"> </w:t>
      </w:r>
      <w:r w:rsidR="002D4E0B" w:rsidRPr="00030BEA">
        <w:t>devrait également devenir ensuite une initiative à l'échelle de l'organisation</w:t>
      </w:r>
      <w:r w:rsidRPr="00030BEA">
        <w:t xml:space="preserve">, </w:t>
      </w:r>
      <w:r w:rsidR="002D4E0B" w:rsidRPr="00030BEA">
        <w:t xml:space="preserve">et qui </w:t>
      </w:r>
      <w:r w:rsidR="00A94780" w:rsidRPr="00030BEA">
        <w:t>permettrait à l'organisation</w:t>
      </w:r>
      <w:r w:rsidR="002D4E0B" w:rsidRPr="00030BEA">
        <w:t xml:space="preserve"> de tirer des enseignements des expériences passées et </w:t>
      </w:r>
      <w:r w:rsidR="006E5436" w:rsidRPr="00030BEA">
        <w:t>de garantir aux</w:t>
      </w:r>
      <w:r w:rsidR="002D4E0B" w:rsidRPr="00030BEA">
        <w:t xml:space="preserve"> donateurs </w:t>
      </w:r>
      <w:r w:rsidR="006E5436" w:rsidRPr="00030BEA">
        <w:t>que les projets qu'ils financent produisent des effets</w:t>
      </w:r>
      <w:r w:rsidRPr="00030BEA">
        <w:t xml:space="preserve">. </w:t>
      </w:r>
      <w:r w:rsidR="002D4E0B" w:rsidRPr="00030BEA">
        <w:t xml:space="preserve">Ces mesures pourraient être intégrées </w:t>
      </w:r>
      <w:r w:rsidR="00D6492E" w:rsidRPr="00030BEA">
        <w:t>dans le cadre des</w:t>
      </w:r>
      <w:r w:rsidR="002D4E0B" w:rsidRPr="00030BEA">
        <w:t xml:space="preserve"> enveloppes financières des projets</w:t>
      </w:r>
      <w:r w:rsidRPr="00030BEA">
        <w:t>.</w:t>
      </w:r>
    </w:p>
    <w:p w14:paraId="30388FBB" w14:textId="27F8A0A5" w:rsidR="00BF2467" w:rsidRPr="00030BEA" w:rsidRDefault="00BF2467" w:rsidP="00AF4E79">
      <w:pPr>
        <w:pStyle w:val="Heading1"/>
      </w:pPr>
      <w:r w:rsidRPr="00030BEA">
        <w:lastRenderedPageBreak/>
        <w:t>15</w:t>
      </w:r>
      <w:r w:rsidRPr="00030BEA">
        <w:tab/>
      </w:r>
      <w:r w:rsidR="002D4E0B" w:rsidRPr="00030BEA">
        <w:t>Fonction d'évaluation</w:t>
      </w:r>
    </w:p>
    <w:p w14:paraId="04EEC2E4" w14:textId="4849E000" w:rsidR="00BF2467" w:rsidRPr="00030BEA" w:rsidRDefault="00BF2467" w:rsidP="00AF4E79">
      <w:r w:rsidRPr="00030BEA">
        <w:t>15.1</w:t>
      </w:r>
      <w:r w:rsidRPr="00030BEA">
        <w:tab/>
      </w:r>
      <w:r w:rsidR="002D4E0B" w:rsidRPr="00030BEA">
        <w:t xml:space="preserve">Le Comité a </w:t>
      </w:r>
      <w:r w:rsidR="00AB5E26" w:rsidRPr="00030BEA">
        <w:t>étudié</w:t>
      </w:r>
      <w:r w:rsidRPr="00030BEA">
        <w:t xml:space="preserve"> </w:t>
      </w:r>
      <w:r w:rsidR="00620F76" w:rsidRPr="00030BEA">
        <w:t>les évolutions précédentes et l'élaboration de la politique et des lignes directrices relatives à l'évaluation e</w:t>
      </w:r>
      <w:r w:rsidRPr="00030BEA">
        <w:t xml:space="preserve">n 2017, </w:t>
      </w:r>
      <w:r w:rsidR="00AB5E26" w:rsidRPr="00030BEA">
        <w:t xml:space="preserve">ainsi que </w:t>
      </w:r>
      <w:r w:rsidR="00620F76" w:rsidRPr="00030BEA">
        <w:t xml:space="preserve">les progrès accomplis </w:t>
      </w:r>
      <w:r w:rsidR="00AB5E26" w:rsidRPr="00030BEA">
        <w:t xml:space="preserve">en matière d'évaluation </w:t>
      </w:r>
      <w:r w:rsidR="00620F76" w:rsidRPr="00030BEA">
        <w:t xml:space="preserve">et l'état actuel </w:t>
      </w:r>
      <w:r w:rsidR="00AB5E26" w:rsidRPr="00030BEA">
        <w:t>de celle-ci</w:t>
      </w:r>
      <w:r w:rsidR="00620F76" w:rsidRPr="00030BEA">
        <w:t xml:space="preserve"> dans</w:t>
      </w:r>
      <w:r w:rsidRPr="00030BEA">
        <w:t xml:space="preserve"> </w:t>
      </w:r>
      <w:r w:rsidR="00620F76" w:rsidRPr="00030BEA">
        <w:t>l'organisation</w:t>
      </w:r>
      <w:r w:rsidRPr="00030BEA">
        <w:t>.</w:t>
      </w:r>
    </w:p>
    <w:p w14:paraId="56B76304" w14:textId="6B9BA3E0" w:rsidR="00BF2467" w:rsidRPr="00030BEA" w:rsidRDefault="00BF2467" w:rsidP="00AF4E79">
      <w:r w:rsidRPr="00030BEA">
        <w:t>15.2</w:t>
      </w:r>
      <w:r w:rsidRPr="00030BEA">
        <w:tab/>
      </w:r>
      <w:r w:rsidR="00E20C42" w:rsidRPr="00030BEA">
        <w:t>Comme indiqué</w:t>
      </w:r>
      <w:r w:rsidR="00A81840" w:rsidRPr="00030BEA">
        <w:t xml:space="preserve"> également</w:t>
      </w:r>
      <w:r w:rsidR="00E20C42" w:rsidRPr="00030BEA">
        <w:t xml:space="preserve"> dans la section précédente</w:t>
      </w:r>
      <w:r w:rsidRPr="00030BEA">
        <w:t xml:space="preserve">, </w:t>
      </w:r>
      <w:r w:rsidR="00E20C42" w:rsidRPr="00030BEA">
        <w:t xml:space="preserve">le CCIG souhaite </w:t>
      </w:r>
      <w:r w:rsidR="007D4BA5" w:rsidRPr="00030BEA">
        <w:t>insister</w:t>
      </w:r>
      <w:r w:rsidR="00A81840" w:rsidRPr="00030BEA">
        <w:t xml:space="preserve"> de nouveau</w:t>
      </w:r>
      <w:r w:rsidR="007D4BA5" w:rsidRPr="00030BEA">
        <w:t xml:space="preserve"> sur</w:t>
      </w:r>
      <w:r w:rsidR="00E20C42" w:rsidRPr="00030BEA">
        <w:t xml:space="preserve"> l'importance de l'évaluation et </w:t>
      </w:r>
      <w:r w:rsidR="00191501" w:rsidRPr="00030BEA">
        <w:t xml:space="preserve">sur </w:t>
      </w:r>
      <w:r w:rsidR="00E20C42" w:rsidRPr="00030BEA">
        <w:t xml:space="preserve">la nécessité pour l'organisation de </w:t>
      </w:r>
      <w:r w:rsidR="00AB5E26" w:rsidRPr="00030BEA">
        <w:t>la poursuivre</w:t>
      </w:r>
      <w:r w:rsidR="00E20C42" w:rsidRPr="00030BEA">
        <w:t xml:space="preserve"> de façon plus ciblée</w:t>
      </w:r>
      <w:r w:rsidRPr="00030BEA">
        <w:t xml:space="preserve">, </w:t>
      </w:r>
      <w:r w:rsidR="007D4BA5" w:rsidRPr="00030BEA">
        <w:t xml:space="preserve">en </w:t>
      </w:r>
      <w:r w:rsidR="00A81840" w:rsidRPr="00030BEA">
        <w:t xml:space="preserve">renforçant </w:t>
      </w:r>
      <w:r w:rsidR="00E20C42" w:rsidRPr="00030BEA">
        <w:t xml:space="preserve">la culture de l'évaluation </w:t>
      </w:r>
      <w:r w:rsidR="00A81840" w:rsidRPr="00030BEA">
        <w:t>au</w:t>
      </w:r>
      <w:r w:rsidR="007D4BA5" w:rsidRPr="00030BEA">
        <w:t xml:space="preserve"> sein</w:t>
      </w:r>
      <w:r w:rsidR="00A81840" w:rsidRPr="00030BEA">
        <w:t xml:space="preserve"> de l'Union</w:t>
      </w:r>
      <w:r w:rsidR="00A7770E" w:rsidRPr="00030BEA">
        <w:t xml:space="preserve">, </w:t>
      </w:r>
      <w:r w:rsidR="00A81840" w:rsidRPr="00030BEA">
        <w:t>avec une</w:t>
      </w:r>
      <w:r w:rsidR="00E20C42" w:rsidRPr="00030BEA">
        <w:t xml:space="preserve"> direction</w:t>
      </w:r>
      <w:r w:rsidR="00A81840" w:rsidRPr="00030BEA">
        <w:t xml:space="preserve"> qui</w:t>
      </w:r>
      <w:r w:rsidR="00E20C42" w:rsidRPr="00030BEA">
        <w:t xml:space="preserve"> montre </w:t>
      </w:r>
      <w:r w:rsidR="00A81840" w:rsidRPr="00030BEA">
        <w:t>l'exemple</w:t>
      </w:r>
      <w:r w:rsidRPr="00030BEA">
        <w:t xml:space="preserve">, </w:t>
      </w:r>
      <w:r w:rsidR="00E20C42" w:rsidRPr="00030BEA">
        <w:t>et</w:t>
      </w:r>
      <w:r w:rsidR="00C50121" w:rsidRPr="00030BEA">
        <w:t xml:space="preserve"> </w:t>
      </w:r>
      <w:r w:rsidR="007D4BA5" w:rsidRPr="00030BEA">
        <w:t xml:space="preserve">en </w:t>
      </w:r>
      <w:r w:rsidR="00A81840" w:rsidRPr="00030BEA">
        <w:t xml:space="preserve">intégrant </w:t>
      </w:r>
      <w:r w:rsidR="00C50121" w:rsidRPr="00030BEA">
        <w:t xml:space="preserve">progressivement l'évaluation </w:t>
      </w:r>
      <w:r w:rsidR="00A81840" w:rsidRPr="00030BEA">
        <w:t>dans</w:t>
      </w:r>
      <w:r w:rsidR="00C50121" w:rsidRPr="00030BEA">
        <w:t xml:space="preserve"> chaque initiative ou projet de grande ampleur</w:t>
      </w:r>
      <w:r w:rsidRPr="00030BEA">
        <w:t>.</w:t>
      </w:r>
    </w:p>
    <w:p w14:paraId="01D82C88" w14:textId="77777777" w:rsidR="00BF2467" w:rsidRPr="00030BEA" w:rsidRDefault="00BF2467" w:rsidP="00AF4E79">
      <w:pPr>
        <w:pStyle w:val="Heading1"/>
      </w:pPr>
      <w:r w:rsidRPr="00030BEA">
        <w:t>16</w:t>
      </w:r>
      <w:r w:rsidRPr="00030BEA">
        <w:tab/>
        <w:t>Une UIT unie dans l'action</w:t>
      </w:r>
    </w:p>
    <w:p w14:paraId="49819E7B" w14:textId="1EC76D2B" w:rsidR="00BF2467" w:rsidRPr="00030BEA" w:rsidRDefault="00BF2467" w:rsidP="00AF4E79">
      <w:r w:rsidRPr="00030BEA">
        <w:t>16.1</w:t>
      </w:r>
      <w:r w:rsidRPr="00030BEA">
        <w:tab/>
      </w:r>
      <w:r w:rsidR="0008447D" w:rsidRPr="00030BEA">
        <w:t>Comme indiqué dans son neuvième rapport annuel soumis au Conseil à sa session de 2020, le CCIG continuera</w:t>
      </w:r>
      <w:r w:rsidRPr="00030BEA">
        <w:t xml:space="preserve"> </w:t>
      </w:r>
      <w:r w:rsidR="0008447D" w:rsidRPr="00030BEA">
        <w:t>d'</w:t>
      </w:r>
      <w:r w:rsidR="005E4B78" w:rsidRPr="00030BEA">
        <w:t>assurer</w:t>
      </w:r>
      <w:r w:rsidR="0008447D" w:rsidRPr="00030BEA">
        <w:t xml:space="preserve"> un suivi du concept</w:t>
      </w:r>
      <w:r w:rsidRPr="00030BEA">
        <w:t xml:space="preserve"> </w:t>
      </w:r>
      <w:r w:rsidR="0008447D" w:rsidRPr="00030BEA">
        <w:t>"Une UIT unie dans l'action"</w:t>
      </w:r>
      <w:r w:rsidRPr="00030BEA">
        <w:t xml:space="preserve">, </w:t>
      </w:r>
      <w:r w:rsidR="0008447D" w:rsidRPr="00030BEA">
        <w:t xml:space="preserve">afin de </w:t>
      </w:r>
      <w:r w:rsidR="00A81840" w:rsidRPr="00030BEA">
        <w:t xml:space="preserve">formuler </w:t>
      </w:r>
      <w:r w:rsidR="00324935" w:rsidRPr="00030BEA">
        <w:t>les</w:t>
      </w:r>
      <w:r w:rsidR="00A81840" w:rsidRPr="00030BEA">
        <w:t xml:space="preserve"> </w:t>
      </w:r>
      <w:r w:rsidR="00324935" w:rsidRPr="00030BEA">
        <w:t xml:space="preserve">éventuels </w:t>
      </w:r>
      <w:r w:rsidR="00A81840" w:rsidRPr="00030BEA">
        <w:t>avis</w:t>
      </w:r>
      <w:r w:rsidR="00324935" w:rsidRPr="00030BEA">
        <w:t xml:space="preserve"> nécessaires</w:t>
      </w:r>
      <w:r w:rsidR="00A81840" w:rsidRPr="00030BEA">
        <w:t xml:space="preserve"> concernant l'amélioration des</w:t>
      </w:r>
      <w:r w:rsidR="0008447D" w:rsidRPr="00030BEA">
        <w:t xml:space="preserve"> processus de gestion</w:t>
      </w:r>
      <w:r w:rsidRPr="00030BEA">
        <w:t xml:space="preserve"> </w:t>
      </w:r>
      <w:r w:rsidR="00324935" w:rsidRPr="00030BEA">
        <w:t>pour aller dans ce</w:t>
      </w:r>
      <w:r w:rsidR="0008447D" w:rsidRPr="00030BEA">
        <w:t xml:space="preserve"> sens</w:t>
      </w:r>
      <w:r w:rsidRPr="00030BEA">
        <w:t>.</w:t>
      </w:r>
    </w:p>
    <w:p w14:paraId="0CA9B21F" w14:textId="21CBFFBC" w:rsidR="00BF2467" w:rsidRPr="00030BEA" w:rsidRDefault="00BF2467" w:rsidP="00AF4E79">
      <w:r w:rsidRPr="00030BEA">
        <w:t>16.2</w:t>
      </w:r>
      <w:r w:rsidRPr="00030BEA">
        <w:tab/>
      </w:r>
      <w:r w:rsidR="0008447D" w:rsidRPr="00030BEA">
        <w:t>Dans l'ensemble</w:t>
      </w:r>
      <w:r w:rsidRPr="00030BEA">
        <w:t xml:space="preserve">, </w:t>
      </w:r>
      <w:r w:rsidR="0008447D" w:rsidRPr="00030BEA">
        <w:t xml:space="preserve">le Comité a pris note des initiatives menées à l'échelle de l'organisation </w:t>
      </w:r>
      <w:r w:rsidR="00EB4464" w:rsidRPr="00030BEA">
        <w:t>en</w:t>
      </w:r>
      <w:r w:rsidR="0008447D" w:rsidRPr="00030BEA">
        <w:t xml:space="preserve"> ce sens</w:t>
      </w:r>
      <w:r w:rsidRPr="00030BEA">
        <w:t xml:space="preserve"> </w:t>
      </w:r>
      <w:r w:rsidR="0008447D" w:rsidRPr="00030BEA">
        <w:t>e</w:t>
      </w:r>
      <w:r w:rsidR="00F91661" w:rsidRPr="00030BEA">
        <w:t>t s'en félicite</w:t>
      </w:r>
      <w:r w:rsidRPr="00030BEA">
        <w:t>.</w:t>
      </w:r>
    </w:p>
    <w:p w14:paraId="65231624" w14:textId="13E8EB34" w:rsidR="00BF2467" w:rsidRPr="00030BEA" w:rsidRDefault="00BF2467" w:rsidP="00AF4E79">
      <w:pPr>
        <w:pStyle w:val="Heading1"/>
      </w:pPr>
      <w:r w:rsidRPr="00030BEA">
        <w:t>17</w:t>
      </w:r>
      <w:r w:rsidRPr="00030BEA">
        <w:tab/>
      </w:r>
      <w:r w:rsidR="00E71E5F" w:rsidRPr="00030BEA">
        <w:t>D</w:t>
      </w:r>
      <w:r w:rsidR="001E469C" w:rsidRPr="00030BEA">
        <w:t>iscussions avec la direction de l'UIT/divers</w:t>
      </w:r>
    </w:p>
    <w:p w14:paraId="0E155CD7" w14:textId="73DA74C9" w:rsidR="00BF2467" w:rsidRPr="00030BEA" w:rsidRDefault="00BF2467" w:rsidP="00AF4E79">
      <w:r w:rsidRPr="00030BEA">
        <w:t>17.1</w:t>
      </w:r>
      <w:r w:rsidRPr="00030BEA">
        <w:tab/>
      </w:r>
      <w:r w:rsidR="003C52F7" w:rsidRPr="00030BEA">
        <w:t>Conformément à ses pratiques habituelles</w:t>
      </w:r>
      <w:r w:rsidRPr="00030BEA">
        <w:t xml:space="preserve">, </w:t>
      </w:r>
      <w:r w:rsidR="003C52F7" w:rsidRPr="00030BEA">
        <w:t xml:space="preserve">le CCIG a continué d'échanger avec le Secrétaire général de l'UIT </w:t>
      </w:r>
      <w:r w:rsidR="001C7033" w:rsidRPr="00030BEA">
        <w:t>sur les délibérations et l</w:t>
      </w:r>
      <w:r w:rsidR="003C52F7" w:rsidRPr="00030BEA">
        <w:t xml:space="preserve">es observations </w:t>
      </w:r>
      <w:r w:rsidR="00324935" w:rsidRPr="00030BEA">
        <w:t>à</w:t>
      </w:r>
      <w:r w:rsidR="003C52F7" w:rsidRPr="00030BEA">
        <w:t xml:space="preserve"> la réunion du Comité</w:t>
      </w:r>
      <w:r w:rsidRPr="00030BEA">
        <w:t xml:space="preserve">, </w:t>
      </w:r>
      <w:r w:rsidR="00E0318A" w:rsidRPr="00030BEA">
        <w:t>notamment</w:t>
      </w:r>
      <w:r w:rsidR="003C52F7" w:rsidRPr="00030BEA">
        <w:t xml:space="preserve"> sur les </w:t>
      </w:r>
      <w:r w:rsidR="00324935" w:rsidRPr="00030BEA">
        <w:t xml:space="preserve">domaines </w:t>
      </w:r>
      <w:r w:rsidR="003C52F7" w:rsidRPr="00030BEA">
        <w:t>auxquels la direction devra peut-être accorder une attention particulière</w:t>
      </w:r>
      <w:r w:rsidRPr="00030BEA">
        <w:t xml:space="preserve">. </w:t>
      </w:r>
      <w:r w:rsidR="003C52F7" w:rsidRPr="00030BEA">
        <w:t xml:space="preserve">Le CCIG prend note des discussions ouvertes et </w:t>
      </w:r>
      <w:r w:rsidR="00324935" w:rsidRPr="00030BEA">
        <w:t xml:space="preserve">constructives </w:t>
      </w:r>
      <w:r w:rsidR="003C52F7" w:rsidRPr="00030BEA">
        <w:t>avec le Secrétaire général</w:t>
      </w:r>
      <w:r w:rsidRPr="00030BEA">
        <w:t xml:space="preserve">, </w:t>
      </w:r>
      <w:r w:rsidR="003C52F7" w:rsidRPr="00030BEA">
        <w:t xml:space="preserve">et </w:t>
      </w:r>
      <w:r w:rsidR="003A3D2B" w:rsidRPr="00030BEA">
        <w:t>se réjouit vivement de</w:t>
      </w:r>
      <w:r w:rsidR="003C52F7" w:rsidRPr="00030BEA">
        <w:t xml:space="preserve"> son implication, </w:t>
      </w:r>
      <w:r w:rsidR="003A3D2B" w:rsidRPr="00030BEA">
        <w:t xml:space="preserve">de </w:t>
      </w:r>
      <w:r w:rsidR="003C52F7" w:rsidRPr="00030BEA">
        <w:t xml:space="preserve">son engagement et </w:t>
      </w:r>
      <w:r w:rsidR="003A3D2B" w:rsidRPr="00030BEA">
        <w:t xml:space="preserve">de </w:t>
      </w:r>
      <w:r w:rsidR="003C52F7" w:rsidRPr="00030BEA">
        <w:t>son action</w:t>
      </w:r>
      <w:r w:rsidRPr="00030BEA">
        <w:t xml:space="preserve"> </w:t>
      </w:r>
      <w:r w:rsidR="003A3D2B" w:rsidRPr="00030BEA">
        <w:t>en vue de</w:t>
      </w:r>
      <w:r w:rsidR="003C52F7" w:rsidRPr="00030BEA">
        <w:t xml:space="preserve"> remédier aux problèmes soulevés par le Comité</w:t>
      </w:r>
      <w:r w:rsidRPr="00030BEA">
        <w:t>.</w:t>
      </w:r>
    </w:p>
    <w:p w14:paraId="64975DF3" w14:textId="6993E3CF" w:rsidR="00BF2467" w:rsidRPr="00030BEA" w:rsidRDefault="00BF2467" w:rsidP="00AF4E79">
      <w:r w:rsidRPr="00030BEA">
        <w:t>17.2</w:t>
      </w:r>
      <w:r w:rsidRPr="00030BEA">
        <w:tab/>
      </w:r>
      <w:r w:rsidR="00D44F60" w:rsidRPr="00030BEA">
        <w:t xml:space="preserve">Les membres du CCIG tiennent à renouveler l'expression de leur gratitude au Vice-Secrétaire général, aux Directeurs des Bureaux et aux fonctionnaires de l'UIT pour leur appui, leur coopération et leur attitude constructive en vue de favoriser le fonctionnement efficace du Comité. En particulier, le Comité est reconnaissant </w:t>
      </w:r>
      <w:r w:rsidR="003C52F7" w:rsidRPr="00030BEA">
        <w:t xml:space="preserve">de l'appui louable du secrétariat et </w:t>
      </w:r>
      <w:r w:rsidR="00D44F60" w:rsidRPr="00030BEA">
        <w:t>de</w:t>
      </w:r>
      <w:r w:rsidR="00324935" w:rsidRPr="00030BEA">
        <w:t>s moyens</w:t>
      </w:r>
      <w:r w:rsidR="00B219C2" w:rsidRPr="00030BEA">
        <w:t xml:space="preserve"> de téléconférence et vidéo mis à disposition</w:t>
      </w:r>
      <w:r w:rsidR="00D44F60" w:rsidRPr="00030BEA">
        <w:t xml:space="preserve"> et de l'appui </w:t>
      </w:r>
      <w:r w:rsidR="00B219C2" w:rsidRPr="00030BEA">
        <w:t xml:space="preserve">correspondant </w:t>
      </w:r>
      <w:r w:rsidR="00D44F60" w:rsidRPr="00030BEA">
        <w:t xml:space="preserve">fourni </w:t>
      </w:r>
      <w:r w:rsidR="00B219C2" w:rsidRPr="00030BEA">
        <w:t>pour</w:t>
      </w:r>
      <w:r w:rsidR="00D44F60" w:rsidRPr="00030BEA">
        <w:t xml:space="preserve"> ses </w:t>
      </w:r>
      <w:r w:rsidR="003C52F7" w:rsidRPr="00030BEA">
        <w:t>réunions virtuelles qui ont eu lieu pendant la pandémie de COVID-19</w:t>
      </w:r>
      <w:r w:rsidR="00D44F60" w:rsidRPr="00030BEA">
        <w:t>.</w:t>
      </w:r>
    </w:p>
    <w:p w14:paraId="1DFC15CF" w14:textId="3A8927FF" w:rsidR="00BF2467" w:rsidRPr="00030BEA" w:rsidRDefault="00BF2467" w:rsidP="00AF4E79">
      <w:r w:rsidRPr="00030BEA">
        <w:t>17.3</w:t>
      </w:r>
      <w:r w:rsidRPr="00030BEA">
        <w:tab/>
      </w:r>
      <w:r w:rsidR="003C52F7" w:rsidRPr="00030BEA">
        <w:t xml:space="preserve">Le Comité souhaite aussi </w:t>
      </w:r>
      <w:r w:rsidR="00D22CAE" w:rsidRPr="00030BEA">
        <w:t>remercier les</w:t>
      </w:r>
      <w:r w:rsidR="003C52F7" w:rsidRPr="00030BEA">
        <w:t xml:space="preserve"> États Membres et </w:t>
      </w:r>
      <w:r w:rsidR="00D22CAE" w:rsidRPr="00030BEA">
        <w:t>le</w:t>
      </w:r>
      <w:r w:rsidR="003C52F7" w:rsidRPr="00030BEA">
        <w:t xml:space="preserve"> Conseil</w:t>
      </w:r>
      <w:r w:rsidRPr="00030BEA">
        <w:t xml:space="preserve"> </w:t>
      </w:r>
      <w:r w:rsidR="00D22CAE" w:rsidRPr="00030BEA">
        <w:t>d'avoir confié ces responsabilités importantes aux membres du CCIG</w:t>
      </w:r>
      <w:r w:rsidRPr="00030BEA">
        <w:t>.</w:t>
      </w:r>
    </w:p>
    <w:p w14:paraId="4D70AC5F" w14:textId="7691A335" w:rsidR="00D44F60" w:rsidRPr="00030BEA" w:rsidRDefault="00BF2467" w:rsidP="00AF4E79">
      <w:pPr>
        <w:rPr>
          <w:rStyle w:val="Hyperlink"/>
          <w:color w:val="auto"/>
          <w:u w:val="none"/>
        </w:rPr>
      </w:pPr>
      <w:r w:rsidRPr="00030BEA">
        <w:t>17.4</w:t>
      </w:r>
      <w:r w:rsidRPr="00030BEA">
        <w:tab/>
      </w:r>
      <w:r w:rsidR="00D44F60" w:rsidRPr="00030BEA">
        <w:t xml:space="preserve">La composition du CCIG, ses responsabilités, son mandat et ses rapports sont disponibles sur le site web public de l'UIT, dans la partie consacrée au </w:t>
      </w:r>
      <w:proofErr w:type="gramStart"/>
      <w:r w:rsidR="00D44F60" w:rsidRPr="00030BEA">
        <w:t>CCIG:</w:t>
      </w:r>
      <w:proofErr w:type="gramEnd"/>
      <w:r w:rsidR="00D44F60" w:rsidRPr="00030BEA">
        <w:t xml:space="preserve"> </w:t>
      </w:r>
      <w:hyperlink r:id="rId25" w:history="1">
        <w:r w:rsidR="00D44F60" w:rsidRPr="00030BEA">
          <w:rPr>
            <w:rStyle w:val="Hyperlink"/>
            <w:u w:color="0000FF"/>
          </w:rPr>
          <w:t>http://www.itu.int/imac</w:t>
        </w:r>
      </w:hyperlink>
      <w:r w:rsidR="00D44F60" w:rsidRPr="00030BEA">
        <w:rPr>
          <w:rStyle w:val="Hyperlink"/>
          <w:color w:val="auto"/>
          <w:u w:val="none"/>
        </w:rPr>
        <w:t>.</w:t>
      </w:r>
    </w:p>
    <w:p w14:paraId="4C2F1B45" w14:textId="77777777" w:rsidR="00D44F60" w:rsidRPr="00030BEA" w:rsidRDefault="00D44F60" w:rsidP="00AF4E79">
      <w:pPr>
        <w:rPr>
          <w:rStyle w:val="Hyperlink"/>
          <w:color w:val="auto"/>
          <w:u w:val="none"/>
        </w:rPr>
      </w:pPr>
    </w:p>
    <w:p w14:paraId="72560199" w14:textId="68883BF2" w:rsidR="00D44F60" w:rsidRPr="00030BEA" w:rsidRDefault="00D44F60" w:rsidP="00AF4E79">
      <w:pPr>
        <w:rPr>
          <w:rStyle w:val="Hyperlink"/>
          <w:color w:val="auto"/>
          <w:u w:val="none"/>
        </w:rPr>
        <w:sectPr w:rsidR="00D44F60" w:rsidRPr="00030BEA" w:rsidSect="005C3890">
          <w:headerReference w:type="even" r:id="rId26"/>
          <w:headerReference w:type="default" r:id="rId27"/>
          <w:footerReference w:type="even" r:id="rId28"/>
          <w:footerReference w:type="default" r:id="rId29"/>
          <w:footerReference w:type="first" r:id="rId30"/>
          <w:pgSz w:w="11907" w:h="16840" w:code="9"/>
          <w:pgMar w:top="1418" w:right="1134" w:bottom="1418" w:left="1134" w:header="720" w:footer="720" w:gutter="0"/>
          <w:paperSrc w:first="261" w:other="261"/>
          <w:cols w:space="720"/>
          <w:titlePg/>
        </w:sectPr>
      </w:pPr>
    </w:p>
    <w:p w14:paraId="14091AAF" w14:textId="47832DDA" w:rsidR="00D44F60" w:rsidRPr="00030BEA" w:rsidRDefault="00817E2A" w:rsidP="00AF4E79">
      <w:pPr>
        <w:pStyle w:val="Annextitle"/>
        <w:spacing w:before="120" w:after="120"/>
      </w:pPr>
      <w:r w:rsidRPr="00030BEA">
        <w:rPr>
          <w:noProof/>
          <w:lang w:val="en-US"/>
        </w:rPr>
        <w:lastRenderedPageBreak/>
        <mc:AlternateContent>
          <mc:Choice Requires="wps">
            <w:drawing>
              <wp:anchor distT="45720" distB="45720" distL="114300" distR="114300" simplePos="0" relativeHeight="251667456" behindDoc="0" locked="0" layoutInCell="1" allowOverlap="1" wp14:anchorId="025973F5" wp14:editId="75289D45">
                <wp:simplePos x="0" y="0"/>
                <wp:positionH relativeFrom="column">
                  <wp:posOffset>5543550</wp:posOffset>
                </wp:positionH>
                <wp:positionV relativeFrom="margin">
                  <wp:posOffset>371475</wp:posOffset>
                </wp:positionV>
                <wp:extent cx="3638550" cy="27622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276225"/>
                        </a:xfrm>
                        <a:prstGeom prst="rect">
                          <a:avLst/>
                        </a:prstGeom>
                        <a:solidFill>
                          <a:srgbClr val="4AA3DA"/>
                        </a:solidFill>
                        <a:ln w="9525">
                          <a:noFill/>
                          <a:miter lim="800000"/>
                          <a:headEnd/>
                          <a:tailEnd/>
                        </a:ln>
                      </wps:spPr>
                      <wps:txbx>
                        <w:txbxContent>
                          <w:p w14:paraId="46FB6E30" w14:textId="77777777" w:rsidR="00817E2A" w:rsidRPr="00007559" w:rsidRDefault="00817E2A" w:rsidP="00817E2A">
                            <w:pPr>
                              <w:spacing w:before="80"/>
                              <w:rPr>
                                <w:sz w:val="16"/>
                                <w:szCs w:val="16"/>
                              </w:rPr>
                            </w:pPr>
                            <w:proofErr w:type="gramStart"/>
                            <w:r w:rsidRPr="00007559">
                              <w:rPr>
                                <w:color w:val="FFFFFF" w:themeColor="background1"/>
                                <w:sz w:val="16"/>
                                <w:szCs w:val="16"/>
                              </w:rPr>
                              <w:t>Source:</w:t>
                            </w:r>
                            <w:proofErr w:type="gramEnd"/>
                            <w:r w:rsidRPr="00007559">
                              <w:rPr>
                                <w:color w:val="FFFFFF" w:themeColor="background1"/>
                                <w:sz w:val="16"/>
                                <w:szCs w:val="16"/>
                              </w:rPr>
                              <w:t xml:space="preserve"> Outil de suivi de la conformité de l'UIT – Dernière mise à jour: </w:t>
                            </w:r>
                            <w:r w:rsidRPr="00007559">
                              <w:rPr>
                                <w:b/>
                                <w:bCs/>
                                <w:color w:val="FFFFFF" w:themeColor="background1"/>
                                <w:sz w:val="16"/>
                                <w:szCs w:val="16"/>
                              </w:rPr>
                              <w:t>6 mai 2021</w:t>
                            </w:r>
                          </w:p>
                          <w:p w14:paraId="36BEF7E9" w14:textId="77777777" w:rsidR="00817E2A" w:rsidRPr="00007559" w:rsidRDefault="00817E2A" w:rsidP="00817E2A">
                            <w:pPr>
                              <w:rPr>
                                <w:b/>
                                <w:bCs/>
                                <w:color w:val="FFFFFF" w:themeColor="background1"/>
                                <w:sz w:val="16"/>
                                <w:szCs w:val="16"/>
                              </w:rPr>
                            </w:pP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973F5" id="_x0000_t202" coordsize="21600,21600" o:spt="202" path="m,l,21600r21600,l21600,xe">
                <v:stroke joinstyle="miter"/>
                <v:path gradientshapeok="t" o:connecttype="rect"/>
              </v:shapetype>
              <v:shape id="Text Box 9" o:spid="_x0000_s1026" type="#_x0000_t202" style="position:absolute;left:0;text-align:left;margin-left:436.5pt;margin-top:29.25pt;width:286.5pt;height:2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" fillcolor="#4aa3da" stroked="f">
                <v:textbox inset="1mm,.5mm,1mm,.5mm">
                  <w:txbxContent>
                    <w:p w14:paraId="46FB6E30" w14:textId="77777777" w:rsidR="00817E2A" w:rsidRPr="00007559" w:rsidRDefault="00817E2A" w:rsidP="00817E2A">
                      <w:pPr>
                        <w:spacing w:before="80"/>
                        <w:rPr>
                          <w:sz w:val="16"/>
                          <w:szCs w:val="16"/>
                        </w:rPr>
                      </w:pPr>
                      <w:r w:rsidRPr="00007559">
                        <w:rPr>
                          <w:color w:val="FFFFFF" w:themeColor="background1"/>
                          <w:sz w:val="16"/>
                          <w:szCs w:val="16"/>
                        </w:rPr>
                        <w:t xml:space="preserve">Source: Outil de suivi de la conformité de l'UIT – Dernière mise à jour: </w:t>
                      </w:r>
                      <w:r w:rsidRPr="00007559">
                        <w:rPr>
                          <w:b/>
                          <w:bCs/>
                          <w:color w:val="FFFFFF" w:themeColor="background1"/>
                          <w:sz w:val="16"/>
                          <w:szCs w:val="16"/>
                        </w:rPr>
                        <w:t>6 mai 2021</w:t>
                      </w:r>
                    </w:p>
                    <w:p w14:paraId="36BEF7E9" w14:textId="77777777" w:rsidR="00817E2A" w:rsidRPr="00007559" w:rsidRDefault="00817E2A" w:rsidP="00817E2A">
                      <w:pPr>
                        <w:rPr>
                          <w:b/>
                          <w:bCs/>
                          <w:color w:val="FFFFFF" w:themeColor="background1"/>
                          <w:sz w:val="16"/>
                          <w:szCs w:val="16"/>
                        </w:rPr>
                      </w:pPr>
                    </w:p>
                  </w:txbxContent>
                </v:textbox>
                <w10:wrap anchory="margin"/>
              </v:shape>
            </w:pict>
          </mc:Fallback>
        </mc:AlternateContent>
      </w:r>
      <w:r w:rsidRPr="00030BEA">
        <w:rPr>
          <w:noProof/>
          <w:lang w:val="en-US"/>
        </w:rPr>
        <mc:AlternateContent>
          <mc:Choice Requires="wps">
            <w:drawing>
              <wp:anchor distT="45720" distB="45720" distL="114300" distR="114300" simplePos="0" relativeHeight="251664384" behindDoc="0" locked="0" layoutInCell="1" allowOverlap="1" wp14:anchorId="00AEF056" wp14:editId="71D10931">
                <wp:simplePos x="0" y="0"/>
                <wp:positionH relativeFrom="column">
                  <wp:posOffset>295275</wp:posOffset>
                </wp:positionH>
                <wp:positionV relativeFrom="margin">
                  <wp:posOffset>371475</wp:posOffset>
                </wp:positionV>
                <wp:extent cx="5734050" cy="2762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76225"/>
                        </a:xfrm>
                        <a:prstGeom prst="rect">
                          <a:avLst/>
                        </a:prstGeom>
                        <a:solidFill>
                          <a:srgbClr val="4AA3DA"/>
                        </a:solidFill>
                        <a:ln w="9525">
                          <a:noFill/>
                          <a:miter lim="800000"/>
                          <a:headEnd/>
                          <a:tailEnd/>
                        </a:ln>
                      </wps:spPr>
                      <wps:txbx>
                        <w:txbxContent>
                          <w:p w14:paraId="54554449" w14:textId="77777777" w:rsidR="00817E2A" w:rsidRPr="00007559" w:rsidRDefault="00817E2A" w:rsidP="00817E2A">
                            <w:pPr>
                              <w:spacing w:before="40"/>
                              <w:rPr>
                                <w:b/>
                                <w:bCs/>
                                <w:color w:val="FFFFFF" w:themeColor="background1"/>
                                <w:sz w:val="22"/>
                                <w:szCs w:val="22"/>
                              </w:rPr>
                            </w:pPr>
                            <w:r w:rsidRPr="00007559">
                              <w:rPr>
                                <w:b/>
                                <w:bCs/>
                                <w:color w:val="FFFFFF" w:themeColor="background1"/>
                                <w:sz w:val="22"/>
                                <w:szCs w:val="22"/>
                              </w:rPr>
                              <w:t>Tableau de bord de la conformité à l'échelle de l'UIT – Mise en œuvre des Rec. du CCIG</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EF056" id="Text Box 7" o:spid="_x0000_s1027" type="#_x0000_t202" style="position:absolute;left:0;text-align:left;margin-left:23.25pt;margin-top:29.25pt;width:451.5pt;height:2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" fillcolor="#4aa3da" stroked="f">
                <v:textbox inset="1mm,.5mm,1mm,.5mm">
                  <w:txbxContent>
                    <w:p w14:paraId="54554449" w14:textId="77777777" w:rsidR="00817E2A" w:rsidRPr="00007559" w:rsidRDefault="00817E2A" w:rsidP="00817E2A">
                      <w:pPr>
                        <w:spacing w:before="40"/>
                        <w:rPr>
                          <w:b/>
                          <w:bCs/>
                          <w:color w:val="FFFFFF" w:themeColor="background1"/>
                          <w:sz w:val="22"/>
                          <w:szCs w:val="22"/>
                        </w:rPr>
                      </w:pPr>
                      <w:r w:rsidRPr="00007559">
                        <w:rPr>
                          <w:b/>
                          <w:bCs/>
                          <w:color w:val="FFFFFF" w:themeColor="background1"/>
                          <w:sz w:val="22"/>
                          <w:szCs w:val="22"/>
                        </w:rPr>
                        <w:t>Tableau de bord de la conformité à l'échelle de l'UIT – Mise en œuvre des Rec. du CCIG</w:t>
                      </w:r>
                    </w:p>
                  </w:txbxContent>
                </v:textbox>
                <w10:wrap anchory="margin"/>
              </v:shape>
            </w:pict>
          </mc:Fallback>
        </mc:AlternateContent>
      </w:r>
      <w:r w:rsidR="000C59CA" w:rsidRPr="00030BEA">
        <w:t xml:space="preserve">Annexe </w:t>
      </w:r>
      <w:proofErr w:type="gramStart"/>
      <w:r w:rsidR="000C59CA" w:rsidRPr="00030BEA">
        <w:t>1:</w:t>
      </w:r>
      <w:proofErr w:type="gramEnd"/>
      <w:r w:rsidR="00D44F60" w:rsidRPr="00030BEA">
        <w:t xml:space="preserve"> </w:t>
      </w:r>
      <w:r w:rsidR="003F7C20" w:rsidRPr="00030BEA">
        <w:t>Mise</w:t>
      </w:r>
      <w:r w:rsidR="00D44F60" w:rsidRPr="00030BEA">
        <w:t xml:space="preserve"> en œuvre des recommandations du CCIG</w:t>
      </w:r>
    </w:p>
    <w:p w14:paraId="2A91455A" w14:textId="23F564D3" w:rsidR="00817E2A" w:rsidRPr="00030BEA" w:rsidRDefault="00817E2A" w:rsidP="00817E2A">
      <w:r w:rsidRPr="00030BEA">
        <w:rPr>
          <w:noProof/>
          <w:lang w:val="en-US"/>
        </w:rPr>
        <mc:AlternateContent>
          <mc:Choice Requires="wps">
            <w:drawing>
              <wp:anchor distT="45720" distB="45720" distL="114300" distR="114300" simplePos="0" relativeHeight="251666432" behindDoc="0" locked="0" layoutInCell="1" allowOverlap="1" wp14:anchorId="00988EA4" wp14:editId="3D4A5D41">
                <wp:simplePos x="0" y="0"/>
                <wp:positionH relativeFrom="margin">
                  <wp:posOffset>219075</wp:posOffset>
                </wp:positionH>
                <wp:positionV relativeFrom="topMargin">
                  <wp:posOffset>2828925</wp:posOffset>
                </wp:positionV>
                <wp:extent cx="733425" cy="219075"/>
                <wp:effectExtent l="0" t="0"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19075"/>
                        </a:xfrm>
                        <a:prstGeom prst="rect">
                          <a:avLst/>
                        </a:prstGeom>
                        <a:solidFill>
                          <a:schemeClr val="bg1"/>
                        </a:solidFill>
                        <a:ln w="9525">
                          <a:noFill/>
                          <a:miter lim="800000"/>
                          <a:headEnd/>
                          <a:tailEnd/>
                        </a:ln>
                      </wps:spPr>
                      <wps:txbx>
                        <w:txbxContent>
                          <w:p w14:paraId="639EC189" w14:textId="77777777" w:rsidR="00817E2A" w:rsidRPr="000766EB" w:rsidRDefault="00817E2A" w:rsidP="00817E2A">
                            <w:pPr>
                              <w:spacing w:before="0"/>
                              <w:rPr>
                                <w:color w:val="00B0F0"/>
                                <w:sz w:val="18"/>
                                <w:szCs w:val="18"/>
                                <w:lang w:val="fr-CH"/>
                              </w:rPr>
                            </w:pPr>
                            <w:r w:rsidRPr="00007559">
                              <w:rPr>
                                <w:color w:val="00B0F0"/>
                                <w:sz w:val="18"/>
                                <w:szCs w:val="18"/>
                              </w:rPr>
                              <w:t>En cours</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88EA4" id="Text Box 2" o:spid="_x0000_s1028" type="#_x0000_t202" style="position:absolute;margin-left:17.25pt;margin-top:222.75pt;width:57.75pt;height:17.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" fillcolor="white [3212]" stroked="f">
                <v:textbox inset="1mm,.5mm,1mm,.5mm">
                  <w:txbxContent>
                    <w:p w14:paraId="639EC189" w14:textId="77777777" w:rsidR="00817E2A" w:rsidRPr="000766EB" w:rsidRDefault="00817E2A" w:rsidP="00817E2A">
                      <w:pPr>
                        <w:spacing w:before="0"/>
                        <w:rPr>
                          <w:color w:val="00B0F0"/>
                          <w:sz w:val="18"/>
                          <w:szCs w:val="18"/>
                          <w:lang w:val="fr-CH"/>
                        </w:rPr>
                      </w:pPr>
                      <w:r w:rsidRPr="00007559">
                        <w:rPr>
                          <w:color w:val="00B0F0"/>
                          <w:sz w:val="18"/>
                          <w:szCs w:val="18"/>
                        </w:rPr>
                        <w:t>En cours</w:t>
                      </w:r>
                    </w:p>
                  </w:txbxContent>
                </v:textbox>
                <w10:wrap anchorx="margin" anchory="margin"/>
              </v:shape>
            </w:pict>
          </mc:Fallback>
        </mc:AlternateContent>
      </w:r>
      <w:r w:rsidRPr="00030BEA">
        <w:rPr>
          <w:noProof/>
          <w:lang w:val="en-US"/>
        </w:rPr>
        <mc:AlternateContent>
          <mc:Choice Requires="wps">
            <w:drawing>
              <wp:anchor distT="45720" distB="45720" distL="114300" distR="114300" simplePos="0" relativeHeight="251669504" behindDoc="0" locked="0" layoutInCell="1" allowOverlap="1" wp14:anchorId="5792AC58" wp14:editId="53D6EC2A">
                <wp:simplePos x="0" y="0"/>
                <wp:positionH relativeFrom="margin">
                  <wp:posOffset>1071245</wp:posOffset>
                </wp:positionH>
                <wp:positionV relativeFrom="topMargin">
                  <wp:posOffset>2609850</wp:posOffset>
                </wp:positionV>
                <wp:extent cx="447675" cy="219075"/>
                <wp:effectExtent l="0" t="0" r="952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19075"/>
                        </a:xfrm>
                        <a:prstGeom prst="rect">
                          <a:avLst/>
                        </a:prstGeom>
                        <a:solidFill>
                          <a:schemeClr val="bg1"/>
                        </a:solidFill>
                        <a:ln w="9525">
                          <a:noFill/>
                          <a:miter lim="800000"/>
                          <a:headEnd/>
                          <a:tailEnd/>
                        </a:ln>
                      </wps:spPr>
                      <wps:txbx>
                        <w:txbxContent>
                          <w:p w14:paraId="54143937" w14:textId="70818B02" w:rsidR="00817E2A" w:rsidRPr="006C2F86" w:rsidRDefault="00817E2A" w:rsidP="00817E2A">
                            <w:pPr>
                              <w:spacing w:before="0"/>
                              <w:rPr>
                                <w:b/>
                                <w:color w:val="00B0F0"/>
                                <w:sz w:val="18"/>
                                <w:szCs w:val="18"/>
                                <w:lang w:val="fr-CH"/>
                              </w:rPr>
                            </w:pPr>
                            <w:r w:rsidRPr="006C2F86">
                              <w:rPr>
                                <w:b/>
                                <w:sz w:val="18"/>
                                <w:szCs w:val="18"/>
                                <w:lang w:val="fr-CH"/>
                              </w:rPr>
                              <w:t>85,25%</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2AC58" id="_x0000_t202" coordsize="21600,21600" o:spt="202" path="m,l,21600r21600,l21600,xe">
                <v:stroke joinstyle="miter"/>
                <v:path gradientshapeok="t" o:connecttype="rect"/>
              </v:shapetype>
              <v:shape id="_x0000_s1029" type="#_x0000_t202" style="position:absolute;margin-left:84.35pt;margin-top:205.5pt;width:35.25pt;height:17.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" fillcolor="white [3212]" stroked="f">
                <v:textbox inset="1mm,.5mm,1mm,.5mm">
                  <w:txbxContent>
                    <w:p w14:paraId="54143937" w14:textId="70818B02" w:rsidR="00817E2A" w:rsidRPr="006C2F86" w:rsidRDefault="00817E2A" w:rsidP="00817E2A">
                      <w:pPr>
                        <w:spacing w:before="0"/>
                        <w:rPr>
                          <w:b/>
                          <w:color w:val="00B0F0"/>
                          <w:sz w:val="18"/>
                          <w:szCs w:val="18"/>
                          <w:lang w:val="fr-CH"/>
                        </w:rPr>
                      </w:pPr>
                      <w:r w:rsidRPr="006C2F86">
                        <w:rPr>
                          <w:b/>
                          <w:sz w:val="18"/>
                          <w:szCs w:val="18"/>
                          <w:lang w:val="fr-CH"/>
                        </w:rPr>
                        <w:t>85,25%</w:t>
                      </w:r>
                    </w:p>
                  </w:txbxContent>
                </v:textbox>
                <w10:wrap anchorx="margin" anchory="margin"/>
              </v:shape>
            </w:pict>
          </mc:Fallback>
        </mc:AlternateContent>
      </w:r>
      <w:r w:rsidRPr="00030BEA">
        <w:rPr>
          <w:noProof/>
          <w:lang w:val="en-US"/>
        </w:rPr>
        <mc:AlternateContent>
          <mc:Choice Requires="wps">
            <w:drawing>
              <wp:anchor distT="45720" distB="45720" distL="114300" distR="114300" simplePos="0" relativeHeight="251671552" behindDoc="0" locked="0" layoutInCell="1" allowOverlap="1" wp14:anchorId="4771E31A" wp14:editId="53713E54">
                <wp:simplePos x="0" y="0"/>
                <wp:positionH relativeFrom="margin">
                  <wp:posOffset>1071245</wp:posOffset>
                </wp:positionH>
                <wp:positionV relativeFrom="topMargin">
                  <wp:posOffset>3038475</wp:posOffset>
                </wp:positionV>
                <wp:extent cx="447675" cy="219075"/>
                <wp:effectExtent l="0" t="0" r="9525"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19075"/>
                        </a:xfrm>
                        <a:prstGeom prst="rect">
                          <a:avLst/>
                        </a:prstGeom>
                        <a:solidFill>
                          <a:schemeClr val="bg1"/>
                        </a:solidFill>
                        <a:ln w="9525">
                          <a:noFill/>
                          <a:miter lim="800000"/>
                          <a:headEnd/>
                          <a:tailEnd/>
                        </a:ln>
                      </wps:spPr>
                      <wps:txbx>
                        <w:txbxContent>
                          <w:p w14:paraId="2464924E" w14:textId="6277837B" w:rsidR="00817E2A" w:rsidRPr="006C2F86" w:rsidRDefault="00817E2A" w:rsidP="00817E2A">
                            <w:pPr>
                              <w:spacing w:before="0"/>
                              <w:rPr>
                                <w:b/>
                                <w:color w:val="00B0F0"/>
                                <w:sz w:val="18"/>
                                <w:szCs w:val="18"/>
                                <w:lang w:val="fr-CH"/>
                              </w:rPr>
                            </w:pPr>
                            <w:r w:rsidRPr="006C2F86">
                              <w:rPr>
                                <w:b/>
                                <w:sz w:val="18"/>
                                <w:szCs w:val="18"/>
                                <w:lang w:val="fr-CH"/>
                              </w:rPr>
                              <w:t>14,75%</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1E31A" id="_x0000_s1030" type="#_x0000_t202" style="position:absolute;margin-left:84.35pt;margin-top:239.25pt;width:35.25pt;height:17.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" fillcolor="white [3212]" stroked="f">
                <v:textbox inset="1mm,.5mm,1mm,.5mm">
                  <w:txbxContent>
                    <w:p w14:paraId="2464924E" w14:textId="6277837B" w:rsidR="00817E2A" w:rsidRPr="006C2F86" w:rsidRDefault="00817E2A" w:rsidP="00817E2A">
                      <w:pPr>
                        <w:spacing w:before="0"/>
                        <w:rPr>
                          <w:b/>
                          <w:color w:val="00B0F0"/>
                          <w:sz w:val="18"/>
                          <w:szCs w:val="18"/>
                          <w:lang w:val="fr-CH"/>
                        </w:rPr>
                      </w:pPr>
                      <w:r w:rsidRPr="006C2F86">
                        <w:rPr>
                          <w:b/>
                          <w:sz w:val="18"/>
                          <w:szCs w:val="18"/>
                          <w:lang w:val="fr-CH"/>
                        </w:rPr>
                        <w:t>14,75%</w:t>
                      </w:r>
                    </w:p>
                  </w:txbxContent>
                </v:textbox>
                <w10:wrap anchorx="margin" anchory="margin"/>
              </v:shape>
            </w:pict>
          </mc:Fallback>
        </mc:AlternateContent>
      </w:r>
      <w:r w:rsidRPr="00030BEA">
        <w:rPr>
          <w:noProof/>
          <w:lang w:val="en-US"/>
        </w:rPr>
        <mc:AlternateContent>
          <mc:Choice Requires="wps">
            <w:drawing>
              <wp:anchor distT="45720" distB="45720" distL="114300" distR="114300" simplePos="0" relativeHeight="251665408" behindDoc="0" locked="0" layoutInCell="1" allowOverlap="1" wp14:anchorId="0B200F7F" wp14:editId="4B721347">
                <wp:simplePos x="0" y="0"/>
                <wp:positionH relativeFrom="margin">
                  <wp:posOffset>180975</wp:posOffset>
                </wp:positionH>
                <wp:positionV relativeFrom="topMargin">
                  <wp:posOffset>2400300</wp:posOffset>
                </wp:positionV>
                <wp:extent cx="1457325" cy="209550"/>
                <wp:effectExtent l="0" t="0" r="952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09550"/>
                        </a:xfrm>
                        <a:prstGeom prst="rect">
                          <a:avLst/>
                        </a:prstGeom>
                        <a:solidFill>
                          <a:schemeClr val="bg1"/>
                        </a:solidFill>
                        <a:ln w="9525">
                          <a:noFill/>
                          <a:miter lim="800000"/>
                          <a:headEnd/>
                          <a:tailEnd/>
                        </a:ln>
                      </wps:spPr>
                      <wps:txbx>
                        <w:txbxContent>
                          <w:p w14:paraId="5A4504DF" w14:textId="77777777" w:rsidR="00817E2A" w:rsidRPr="000766EB" w:rsidRDefault="00817E2A" w:rsidP="00817E2A">
                            <w:pPr>
                              <w:spacing w:before="0"/>
                              <w:rPr>
                                <w:color w:val="00B0F0"/>
                                <w:sz w:val="18"/>
                                <w:szCs w:val="18"/>
                                <w:lang w:val="fr-CH"/>
                              </w:rPr>
                            </w:pPr>
                            <w:r w:rsidRPr="00007559">
                              <w:rPr>
                                <w:color w:val="00B0F0"/>
                                <w:sz w:val="18"/>
                                <w:szCs w:val="18"/>
                                <w:lang w:val="fr-CH"/>
                              </w:rPr>
                              <w:t>Mise en œuvre achevée</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00F7F" id="_x0000_s1031" type="#_x0000_t202" style="position:absolute;margin-left:14.25pt;margin-top:189pt;width:114.75pt;height:1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" fillcolor="white [3212]" stroked="f">
                <v:textbox inset="1mm,.5mm,1mm,.5mm">
                  <w:txbxContent>
                    <w:p w14:paraId="5A4504DF" w14:textId="77777777" w:rsidR="00817E2A" w:rsidRPr="000766EB" w:rsidRDefault="00817E2A" w:rsidP="00817E2A">
                      <w:pPr>
                        <w:spacing w:before="0"/>
                        <w:rPr>
                          <w:color w:val="00B0F0"/>
                          <w:sz w:val="18"/>
                          <w:szCs w:val="18"/>
                          <w:lang w:val="fr-CH"/>
                        </w:rPr>
                      </w:pPr>
                      <w:r w:rsidRPr="00007559">
                        <w:rPr>
                          <w:color w:val="00B0F0"/>
                          <w:sz w:val="18"/>
                          <w:szCs w:val="18"/>
                          <w:lang w:val="fr-CH"/>
                        </w:rPr>
                        <w:t>Mise en œuvre achevée</w:t>
                      </w:r>
                    </w:p>
                  </w:txbxContent>
                </v:textbox>
                <w10:wrap anchorx="margin" anchory="margin"/>
              </v:shape>
            </w:pict>
          </mc:Fallback>
        </mc:AlternateContent>
      </w:r>
      <w:r w:rsidRPr="00030BEA">
        <w:rPr>
          <w:noProof/>
          <w:lang w:val="en-US"/>
        </w:rPr>
        <mc:AlternateContent>
          <mc:Choice Requires="wps">
            <w:drawing>
              <wp:anchor distT="45720" distB="45720" distL="114300" distR="114300" simplePos="0" relativeHeight="251659264" behindDoc="0" locked="0" layoutInCell="1" allowOverlap="1" wp14:anchorId="2734996B" wp14:editId="7931872F">
                <wp:simplePos x="0" y="0"/>
                <wp:positionH relativeFrom="column">
                  <wp:posOffset>137795</wp:posOffset>
                </wp:positionH>
                <wp:positionV relativeFrom="topMargin">
                  <wp:posOffset>1428751</wp:posOffset>
                </wp:positionV>
                <wp:extent cx="1752600" cy="190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90500"/>
                        </a:xfrm>
                        <a:prstGeom prst="rect">
                          <a:avLst/>
                        </a:prstGeom>
                        <a:solidFill>
                          <a:schemeClr val="bg1"/>
                        </a:solidFill>
                        <a:ln w="9525">
                          <a:noFill/>
                          <a:miter lim="800000"/>
                          <a:headEnd/>
                          <a:tailEnd/>
                        </a:ln>
                      </wps:spPr>
                      <wps:txbx>
                        <w:txbxContent>
                          <w:p w14:paraId="7A8CF0CC" w14:textId="77777777" w:rsidR="00817E2A" w:rsidRPr="00007559" w:rsidRDefault="00817E2A" w:rsidP="00817E2A">
                            <w:pPr>
                              <w:spacing w:before="0"/>
                              <w:rPr>
                                <w:b/>
                                <w:bCs/>
                                <w:color w:val="404040" w:themeColor="text1" w:themeTint="BF"/>
                                <w:sz w:val="16"/>
                                <w:szCs w:val="16"/>
                              </w:rPr>
                            </w:pPr>
                            <w:r w:rsidRPr="00007559">
                              <w:rPr>
                                <w:b/>
                                <w:bCs/>
                                <w:color w:val="404040" w:themeColor="text1" w:themeTint="BF"/>
                                <w:sz w:val="16"/>
                                <w:szCs w:val="16"/>
                              </w:rPr>
                              <w:t>Mises en œuvre/Nombre total de Rec.</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4996B" id="_x0000_s1032" type="#_x0000_t202" style="position:absolute;margin-left:10.85pt;margin-top:112.5pt;width:138pt;height: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" fillcolor="white [3212]" stroked="f">
                <v:textbox inset="1mm,.5mm,1mm,.5mm">
                  <w:txbxContent>
                    <w:p w14:paraId="7A8CF0CC" w14:textId="77777777" w:rsidR="00817E2A" w:rsidRPr="00007559" w:rsidRDefault="00817E2A" w:rsidP="00817E2A">
                      <w:pPr>
                        <w:spacing w:before="0"/>
                        <w:rPr>
                          <w:b/>
                          <w:bCs/>
                          <w:color w:val="404040" w:themeColor="text1" w:themeTint="BF"/>
                          <w:sz w:val="16"/>
                          <w:szCs w:val="16"/>
                        </w:rPr>
                      </w:pPr>
                      <w:r w:rsidRPr="00007559">
                        <w:rPr>
                          <w:b/>
                          <w:bCs/>
                          <w:color w:val="404040" w:themeColor="text1" w:themeTint="BF"/>
                          <w:sz w:val="16"/>
                          <w:szCs w:val="16"/>
                        </w:rPr>
                        <w:t>Mises en œuvre/Nombre total de Rec.</w:t>
                      </w:r>
                    </w:p>
                  </w:txbxContent>
                </v:textbox>
                <w10:wrap anchory="margin"/>
              </v:shape>
            </w:pict>
          </mc:Fallback>
        </mc:AlternateContent>
      </w:r>
      <w:r w:rsidRPr="00030BEA">
        <w:rPr>
          <w:noProof/>
          <w:lang w:val="en-US"/>
        </w:rPr>
        <mc:AlternateContent>
          <mc:Choice Requires="wps">
            <w:drawing>
              <wp:anchor distT="45720" distB="45720" distL="114300" distR="114300" simplePos="0" relativeHeight="251660288" behindDoc="0" locked="0" layoutInCell="1" allowOverlap="1" wp14:anchorId="7786DD43" wp14:editId="21687842">
                <wp:simplePos x="0" y="0"/>
                <wp:positionH relativeFrom="column">
                  <wp:posOffset>2104390</wp:posOffset>
                </wp:positionH>
                <wp:positionV relativeFrom="topMargin">
                  <wp:posOffset>1447800</wp:posOffset>
                </wp:positionV>
                <wp:extent cx="2619375" cy="45720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457200"/>
                        </a:xfrm>
                        <a:prstGeom prst="rect">
                          <a:avLst/>
                        </a:prstGeom>
                        <a:solidFill>
                          <a:schemeClr val="bg1"/>
                        </a:solidFill>
                        <a:ln w="9525">
                          <a:noFill/>
                          <a:miter lim="800000"/>
                          <a:headEnd/>
                          <a:tailEnd/>
                        </a:ln>
                      </wps:spPr>
                      <wps:txbx>
                        <w:txbxContent>
                          <w:p w14:paraId="74AB7A61" w14:textId="77777777" w:rsidR="00817E2A" w:rsidRPr="00007559" w:rsidRDefault="00817E2A" w:rsidP="00817E2A">
                            <w:pPr>
                              <w:spacing w:before="0"/>
                              <w:rPr>
                                <w:b/>
                                <w:bCs/>
                                <w:color w:val="404040" w:themeColor="text1" w:themeTint="BF"/>
                                <w:sz w:val="20"/>
                              </w:rPr>
                            </w:pPr>
                            <w:r w:rsidRPr="00007559">
                              <w:rPr>
                                <w:b/>
                                <w:bCs/>
                                <w:sz w:val="20"/>
                              </w:rPr>
                              <w:t>Rec. par année et par état d'avancement</w:t>
                            </w:r>
                          </w:p>
                          <w:p w14:paraId="7182C4BC" w14:textId="77777777" w:rsidR="00817E2A" w:rsidRPr="00007559" w:rsidRDefault="00817E2A" w:rsidP="00817E2A">
                            <w:pPr>
                              <w:rPr>
                                <w:b/>
                                <w:bCs/>
                                <w:sz w:val="20"/>
                              </w:rPr>
                            </w:pPr>
                            <w:r w:rsidRPr="00007559">
                              <w:rPr>
                                <w:sz w:val="18"/>
                                <w:szCs w:val="18"/>
                              </w:rPr>
                              <w:t xml:space="preserve">État </w:t>
                            </w:r>
                            <w:proofErr w:type="gramStart"/>
                            <w:r w:rsidRPr="00007559">
                              <w:rPr>
                                <w:sz w:val="18"/>
                                <w:szCs w:val="18"/>
                              </w:rPr>
                              <w:t>d'avancement:</w:t>
                            </w:r>
                            <w:proofErr w:type="gramEnd"/>
                            <w:r w:rsidRPr="00007559">
                              <w:rPr>
                                <w:sz w:val="18"/>
                                <w:szCs w:val="18"/>
                              </w:rPr>
                              <w:t xml:space="preserve"> </w:t>
                            </w:r>
                            <w:r w:rsidRPr="003C0E35">
                              <w:rPr>
                                <w:rFonts w:ascii="Wingdings" w:hAnsi="Wingdings"/>
                                <w:color w:val="92D050"/>
                                <w:sz w:val="18"/>
                                <w:szCs w:val="18"/>
                              </w:rPr>
                              <w:t></w:t>
                            </w:r>
                            <w:r w:rsidRPr="00007559">
                              <w:rPr>
                                <w:sz w:val="18"/>
                                <w:szCs w:val="18"/>
                              </w:rPr>
                              <w:t xml:space="preserve"> Mise en œuvre </w:t>
                            </w:r>
                            <w:r w:rsidRPr="003C0E35">
                              <w:rPr>
                                <w:rFonts w:ascii="Wingdings" w:hAnsi="Wingdings"/>
                                <w:color w:val="BFBFBF" w:themeColor="background1" w:themeShade="BF"/>
                                <w:sz w:val="18"/>
                                <w:szCs w:val="18"/>
                              </w:rPr>
                              <w:t></w:t>
                            </w:r>
                            <w:r w:rsidRPr="00007559">
                              <w:rPr>
                                <w:sz w:val="18"/>
                                <w:szCs w:val="18"/>
                              </w:rPr>
                              <w:t xml:space="preserve"> En suspens</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6DD43" id="Text Box 6" o:spid="_x0000_s1033" type="#_x0000_t202" style="position:absolute;margin-left:165.7pt;margin-top:114pt;width:206.2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" fillcolor="white [3212]" stroked="f">
                <v:textbox inset="1mm,.5mm,1mm,.5mm">
                  <w:txbxContent>
                    <w:p w14:paraId="74AB7A61" w14:textId="77777777" w:rsidR="00817E2A" w:rsidRPr="00007559" w:rsidRDefault="00817E2A" w:rsidP="00817E2A">
                      <w:pPr>
                        <w:spacing w:before="0"/>
                        <w:rPr>
                          <w:b/>
                          <w:bCs/>
                          <w:color w:val="404040" w:themeColor="text1" w:themeTint="BF"/>
                          <w:sz w:val="20"/>
                        </w:rPr>
                      </w:pPr>
                      <w:r w:rsidRPr="00007559">
                        <w:rPr>
                          <w:b/>
                          <w:bCs/>
                          <w:sz w:val="20"/>
                        </w:rPr>
                        <w:t>Rec. par année et par état d'avancement</w:t>
                      </w:r>
                    </w:p>
                    <w:p w14:paraId="7182C4BC" w14:textId="77777777" w:rsidR="00817E2A" w:rsidRPr="00007559" w:rsidRDefault="00817E2A" w:rsidP="00817E2A">
                      <w:pPr>
                        <w:rPr>
                          <w:b/>
                          <w:bCs/>
                          <w:sz w:val="20"/>
                        </w:rPr>
                      </w:pPr>
                      <w:r w:rsidRPr="00007559">
                        <w:rPr>
                          <w:sz w:val="18"/>
                          <w:szCs w:val="18"/>
                        </w:rPr>
                        <w:t xml:space="preserve">État d'avancement: </w:t>
                      </w:r>
                      <w:r w:rsidRPr="003C0E35">
                        <w:rPr>
                          <w:rFonts w:ascii="Wingdings" w:hAnsi="Wingdings"/>
                          <w:color w:val="92D050"/>
                          <w:sz w:val="18"/>
                          <w:szCs w:val="18"/>
                        </w:rPr>
                        <w:t>l</w:t>
                      </w:r>
                      <w:r w:rsidRPr="00007559">
                        <w:rPr>
                          <w:sz w:val="18"/>
                          <w:szCs w:val="18"/>
                        </w:rPr>
                        <w:t xml:space="preserve"> Mise en œuvre </w:t>
                      </w:r>
                      <w:r w:rsidRPr="003C0E35">
                        <w:rPr>
                          <w:rFonts w:ascii="Wingdings" w:hAnsi="Wingdings"/>
                          <w:color w:val="BFBFBF" w:themeColor="background1" w:themeShade="BF"/>
                          <w:sz w:val="18"/>
                          <w:szCs w:val="18"/>
                        </w:rPr>
                        <w:t>l</w:t>
                      </w:r>
                      <w:r w:rsidRPr="00007559">
                        <w:rPr>
                          <w:sz w:val="18"/>
                          <w:szCs w:val="18"/>
                        </w:rPr>
                        <w:t xml:space="preserve"> En suspens</w:t>
                      </w:r>
                    </w:p>
                  </w:txbxContent>
                </v:textbox>
                <w10:wrap anchory="margin"/>
              </v:shape>
            </w:pict>
          </mc:Fallback>
        </mc:AlternateContent>
      </w:r>
      <w:r w:rsidRPr="00030BEA">
        <w:rPr>
          <w:noProof/>
          <w:lang w:val="en-US"/>
        </w:rPr>
        <mc:AlternateContent>
          <mc:Choice Requires="wps">
            <w:drawing>
              <wp:anchor distT="45720" distB="45720" distL="114300" distR="114300" simplePos="0" relativeHeight="251662336" behindDoc="0" locked="0" layoutInCell="1" allowOverlap="1" wp14:anchorId="7D37675B" wp14:editId="6A3F996C">
                <wp:simplePos x="0" y="0"/>
                <wp:positionH relativeFrom="column">
                  <wp:posOffset>5357495</wp:posOffset>
                </wp:positionH>
                <wp:positionV relativeFrom="topMargin">
                  <wp:posOffset>1428750</wp:posOffset>
                </wp:positionV>
                <wp:extent cx="2914650" cy="533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33400"/>
                        </a:xfrm>
                        <a:prstGeom prst="rect">
                          <a:avLst/>
                        </a:prstGeom>
                        <a:solidFill>
                          <a:schemeClr val="bg1"/>
                        </a:solidFill>
                        <a:ln w="9525">
                          <a:noFill/>
                          <a:miter lim="800000"/>
                          <a:headEnd/>
                          <a:tailEnd/>
                        </a:ln>
                      </wps:spPr>
                      <wps:txbx>
                        <w:txbxContent>
                          <w:p w14:paraId="51F8A074" w14:textId="77777777" w:rsidR="00817E2A" w:rsidRPr="00007559" w:rsidRDefault="00817E2A" w:rsidP="00817E2A">
                            <w:pPr>
                              <w:spacing w:before="0"/>
                              <w:rPr>
                                <w:b/>
                                <w:bCs/>
                              </w:rPr>
                            </w:pPr>
                            <w:r w:rsidRPr="00007559">
                              <w:rPr>
                                <w:b/>
                                <w:bCs/>
                                <w:sz w:val="20"/>
                              </w:rPr>
                              <w:t>Recommandations par domaine</w:t>
                            </w:r>
                          </w:p>
                          <w:p w14:paraId="4A305217" w14:textId="77777777" w:rsidR="00817E2A" w:rsidRPr="00007559" w:rsidRDefault="00817E2A" w:rsidP="00817E2A">
                            <w:pPr>
                              <w:rPr>
                                <w:sz w:val="18"/>
                                <w:szCs w:val="18"/>
                              </w:rPr>
                            </w:pPr>
                            <w:r w:rsidRPr="00007559">
                              <w:rPr>
                                <w:sz w:val="18"/>
                                <w:szCs w:val="18"/>
                              </w:rPr>
                              <w:t xml:space="preserve">État </w:t>
                            </w:r>
                            <w:proofErr w:type="gramStart"/>
                            <w:r w:rsidRPr="00007559">
                              <w:rPr>
                                <w:sz w:val="18"/>
                                <w:szCs w:val="18"/>
                              </w:rPr>
                              <w:t>d'avancement:</w:t>
                            </w:r>
                            <w:proofErr w:type="gramEnd"/>
                            <w:r w:rsidRPr="00007559">
                              <w:rPr>
                                <w:sz w:val="18"/>
                                <w:szCs w:val="18"/>
                              </w:rPr>
                              <w:t xml:space="preserve"> </w:t>
                            </w:r>
                            <w:r w:rsidRPr="003C0E35">
                              <w:rPr>
                                <w:rFonts w:ascii="Wingdings" w:hAnsi="Wingdings"/>
                                <w:color w:val="92D050"/>
                                <w:sz w:val="18"/>
                                <w:szCs w:val="18"/>
                              </w:rPr>
                              <w:t></w:t>
                            </w:r>
                            <w:r w:rsidRPr="00007559">
                              <w:rPr>
                                <w:sz w:val="18"/>
                                <w:szCs w:val="18"/>
                              </w:rPr>
                              <w:t xml:space="preserve"> Mise en œuvre </w:t>
                            </w:r>
                            <w:r w:rsidRPr="003C0E35">
                              <w:rPr>
                                <w:rFonts w:ascii="Wingdings" w:hAnsi="Wingdings"/>
                                <w:color w:val="BFBFBF" w:themeColor="background1" w:themeShade="BF"/>
                                <w:sz w:val="18"/>
                                <w:szCs w:val="18"/>
                              </w:rPr>
                              <w:t></w:t>
                            </w:r>
                            <w:r w:rsidRPr="00007559">
                              <w:rPr>
                                <w:sz w:val="18"/>
                                <w:szCs w:val="18"/>
                              </w:rPr>
                              <w:t xml:space="preserve"> En suspens</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7675B" id="Text Box 4" o:spid="_x0000_s1034" type="#_x0000_t202" style="position:absolute;margin-left:421.85pt;margin-top:112.5pt;width:229.5pt;height:4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" fillcolor="white [3212]" stroked="f">
                <v:textbox inset="1mm,.5mm,1mm,.5mm">
                  <w:txbxContent>
                    <w:p w14:paraId="51F8A074" w14:textId="77777777" w:rsidR="00817E2A" w:rsidRPr="00007559" w:rsidRDefault="00817E2A" w:rsidP="00817E2A">
                      <w:pPr>
                        <w:spacing w:before="0"/>
                        <w:rPr>
                          <w:b/>
                          <w:bCs/>
                        </w:rPr>
                      </w:pPr>
                      <w:r w:rsidRPr="00007559">
                        <w:rPr>
                          <w:b/>
                          <w:bCs/>
                          <w:sz w:val="20"/>
                        </w:rPr>
                        <w:t>Recommandations par domaine</w:t>
                      </w:r>
                    </w:p>
                    <w:p w14:paraId="4A305217" w14:textId="77777777" w:rsidR="00817E2A" w:rsidRPr="00007559" w:rsidRDefault="00817E2A" w:rsidP="00817E2A">
                      <w:pPr>
                        <w:rPr>
                          <w:sz w:val="18"/>
                          <w:szCs w:val="18"/>
                        </w:rPr>
                      </w:pPr>
                      <w:r w:rsidRPr="00007559">
                        <w:rPr>
                          <w:sz w:val="18"/>
                          <w:szCs w:val="18"/>
                        </w:rPr>
                        <w:t xml:space="preserve">État d'avancement: </w:t>
                      </w:r>
                      <w:r w:rsidRPr="003C0E35">
                        <w:rPr>
                          <w:rFonts w:ascii="Wingdings" w:hAnsi="Wingdings"/>
                          <w:color w:val="92D050"/>
                          <w:sz w:val="18"/>
                          <w:szCs w:val="18"/>
                        </w:rPr>
                        <w:t>l</w:t>
                      </w:r>
                      <w:r w:rsidRPr="00007559">
                        <w:rPr>
                          <w:sz w:val="18"/>
                          <w:szCs w:val="18"/>
                        </w:rPr>
                        <w:t xml:space="preserve"> Mise en œuvre </w:t>
                      </w:r>
                      <w:r w:rsidRPr="003C0E35">
                        <w:rPr>
                          <w:rFonts w:ascii="Wingdings" w:hAnsi="Wingdings"/>
                          <w:color w:val="BFBFBF" w:themeColor="background1" w:themeShade="BF"/>
                          <w:sz w:val="18"/>
                          <w:szCs w:val="18"/>
                        </w:rPr>
                        <w:t>l</w:t>
                      </w:r>
                      <w:r w:rsidRPr="00007559">
                        <w:rPr>
                          <w:sz w:val="18"/>
                          <w:szCs w:val="18"/>
                        </w:rPr>
                        <w:t xml:space="preserve"> En suspens</w:t>
                      </w:r>
                    </w:p>
                  </w:txbxContent>
                </v:textbox>
                <w10:wrap anchory="margin"/>
              </v:shape>
            </w:pict>
          </mc:Fallback>
        </mc:AlternateContent>
      </w:r>
      <w:r w:rsidRPr="00030BEA">
        <w:rPr>
          <w:noProof/>
          <w:lang w:val="en-US"/>
        </w:rPr>
        <mc:AlternateContent>
          <mc:Choice Requires="wps">
            <w:drawing>
              <wp:anchor distT="45720" distB="45720" distL="114300" distR="114300" simplePos="0" relativeHeight="251663360" behindDoc="0" locked="0" layoutInCell="1" allowOverlap="1" wp14:anchorId="7B47E2F3" wp14:editId="5FC7ADC8">
                <wp:simplePos x="0" y="0"/>
                <wp:positionH relativeFrom="column">
                  <wp:posOffset>5353050</wp:posOffset>
                </wp:positionH>
                <wp:positionV relativeFrom="margin">
                  <wp:posOffset>1228725</wp:posOffset>
                </wp:positionV>
                <wp:extent cx="1009650" cy="42481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8150"/>
                        </a:xfrm>
                        <a:prstGeom prst="rect">
                          <a:avLst/>
                        </a:prstGeom>
                        <a:solidFill>
                          <a:schemeClr val="bg1"/>
                        </a:solidFill>
                        <a:ln w="9525">
                          <a:noFill/>
                          <a:miter lim="800000"/>
                          <a:headEnd/>
                          <a:tailEnd/>
                        </a:ln>
                      </wps:spPr>
                      <wps:txbx>
                        <w:txbxContent>
                          <w:p w14:paraId="291C8EF8" w14:textId="77777777" w:rsidR="00817E2A" w:rsidRPr="00007559" w:rsidRDefault="00817E2A" w:rsidP="00817E2A">
                            <w:pPr>
                              <w:spacing w:after="80"/>
                              <w:rPr>
                                <w:color w:val="808080" w:themeColor="background1" w:themeShade="80"/>
                                <w:sz w:val="16"/>
                                <w:szCs w:val="16"/>
                              </w:rPr>
                            </w:pPr>
                            <w:r w:rsidRPr="00007559">
                              <w:rPr>
                                <w:color w:val="808080" w:themeColor="background1" w:themeShade="80"/>
                                <w:sz w:val="16"/>
                                <w:szCs w:val="16"/>
                              </w:rPr>
                              <w:t>Fonction d'audit interne</w:t>
                            </w:r>
                          </w:p>
                          <w:p w14:paraId="47A57DD6" w14:textId="77777777" w:rsidR="00817E2A" w:rsidRPr="00007559" w:rsidRDefault="00817E2A" w:rsidP="00817E2A">
                            <w:pPr>
                              <w:spacing w:after="200"/>
                              <w:rPr>
                                <w:color w:val="808080" w:themeColor="background1" w:themeShade="80"/>
                                <w:sz w:val="16"/>
                                <w:szCs w:val="16"/>
                              </w:rPr>
                            </w:pPr>
                            <w:r>
                              <w:rPr>
                                <w:color w:val="808080" w:themeColor="background1" w:themeShade="80"/>
                                <w:sz w:val="16"/>
                                <w:szCs w:val="16"/>
                              </w:rPr>
                              <w:t>G</w:t>
                            </w:r>
                            <w:r w:rsidRPr="00007559">
                              <w:rPr>
                                <w:color w:val="808080" w:themeColor="background1" w:themeShade="80"/>
                                <w:sz w:val="16"/>
                                <w:szCs w:val="16"/>
                              </w:rPr>
                              <w:t>estion des risques</w:t>
                            </w:r>
                          </w:p>
                          <w:p w14:paraId="32D947FF" w14:textId="77777777" w:rsidR="00817E2A" w:rsidRPr="00007559" w:rsidRDefault="00817E2A" w:rsidP="00817E2A">
                            <w:pPr>
                              <w:spacing w:after="200"/>
                              <w:rPr>
                                <w:color w:val="808080" w:themeColor="background1" w:themeShade="80"/>
                                <w:sz w:val="16"/>
                                <w:szCs w:val="16"/>
                              </w:rPr>
                            </w:pPr>
                            <w:r>
                              <w:rPr>
                                <w:color w:val="808080" w:themeColor="background1" w:themeShade="80"/>
                                <w:sz w:val="16"/>
                                <w:szCs w:val="16"/>
                              </w:rPr>
                              <w:t>C</w:t>
                            </w:r>
                            <w:r w:rsidRPr="00007559">
                              <w:rPr>
                                <w:color w:val="808080" w:themeColor="background1" w:themeShade="80"/>
                                <w:sz w:val="16"/>
                                <w:szCs w:val="16"/>
                              </w:rPr>
                              <w:t>ontrôles internes</w:t>
                            </w:r>
                          </w:p>
                          <w:p w14:paraId="54ABBF87" w14:textId="77777777" w:rsidR="00817E2A" w:rsidRPr="00007559" w:rsidRDefault="00817E2A" w:rsidP="00817E2A">
                            <w:pPr>
                              <w:spacing w:after="120"/>
                              <w:rPr>
                                <w:color w:val="808080" w:themeColor="background1" w:themeShade="80"/>
                                <w:sz w:val="16"/>
                                <w:szCs w:val="16"/>
                              </w:rPr>
                            </w:pPr>
                            <w:r>
                              <w:rPr>
                                <w:color w:val="808080" w:themeColor="background1" w:themeShade="80"/>
                                <w:sz w:val="16"/>
                                <w:szCs w:val="16"/>
                              </w:rPr>
                              <w:t>É</w:t>
                            </w:r>
                            <w:r w:rsidRPr="00007559">
                              <w:rPr>
                                <w:color w:val="808080" w:themeColor="background1" w:themeShade="80"/>
                                <w:sz w:val="16"/>
                                <w:szCs w:val="16"/>
                              </w:rPr>
                              <w:t>tats financiers</w:t>
                            </w:r>
                          </w:p>
                          <w:p w14:paraId="5BDF793B" w14:textId="77777777" w:rsidR="00817E2A" w:rsidRPr="00007559" w:rsidRDefault="00817E2A" w:rsidP="00817E2A">
                            <w:pPr>
                              <w:spacing w:after="80"/>
                              <w:rPr>
                                <w:color w:val="808080" w:themeColor="background1" w:themeShade="80"/>
                                <w:sz w:val="16"/>
                                <w:szCs w:val="16"/>
                              </w:rPr>
                            </w:pPr>
                            <w:r>
                              <w:rPr>
                                <w:color w:val="808080" w:themeColor="background1" w:themeShade="80"/>
                                <w:sz w:val="16"/>
                                <w:szCs w:val="16"/>
                              </w:rPr>
                              <w:t>P</w:t>
                            </w:r>
                            <w:r w:rsidRPr="00007559">
                              <w:rPr>
                                <w:color w:val="808080" w:themeColor="background1" w:themeShade="80"/>
                                <w:sz w:val="16"/>
                                <w:szCs w:val="16"/>
                              </w:rPr>
                              <w:t>rojet de bâtiment du siège</w:t>
                            </w:r>
                          </w:p>
                          <w:p w14:paraId="273AA873" w14:textId="77777777" w:rsidR="00817E2A" w:rsidRPr="00007559" w:rsidRDefault="00817E2A" w:rsidP="00817E2A">
                            <w:pPr>
                              <w:spacing w:after="200"/>
                              <w:rPr>
                                <w:color w:val="808080" w:themeColor="background1" w:themeShade="80"/>
                                <w:sz w:val="16"/>
                                <w:szCs w:val="16"/>
                              </w:rPr>
                            </w:pPr>
                            <w:r>
                              <w:rPr>
                                <w:color w:val="808080" w:themeColor="background1" w:themeShade="80"/>
                                <w:sz w:val="16"/>
                                <w:szCs w:val="16"/>
                              </w:rPr>
                              <w:t>É</w:t>
                            </w:r>
                            <w:r w:rsidRPr="00007559">
                              <w:rPr>
                                <w:color w:val="808080" w:themeColor="background1" w:themeShade="80"/>
                                <w:sz w:val="16"/>
                                <w:szCs w:val="16"/>
                              </w:rPr>
                              <w:t>thique</w:t>
                            </w:r>
                          </w:p>
                          <w:p w14:paraId="105CF95B" w14:textId="77777777" w:rsidR="00817E2A" w:rsidRPr="00007559" w:rsidRDefault="00817E2A" w:rsidP="00817E2A">
                            <w:pPr>
                              <w:spacing w:after="200"/>
                              <w:rPr>
                                <w:color w:val="808080" w:themeColor="background1" w:themeShade="80"/>
                                <w:sz w:val="16"/>
                                <w:szCs w:val="16"/>
                              </w:rPr>
                            </w:pPr>
                            <w:r>
                              <w:rPr>
                                <w:color w:val="808080" w:themeColor="background1" w:themeShade="80"/>
                                <w:sz w:val="16"/>
                                <w:szCs w:val="16"/>
                              </w:rPr>
                              <w:t>P</w:t>
                            </w:r>
                            <w:r w:rsidRPr="00007559">
                              <w:rPr>
                                <w:color w:val="808080" w:themeColor="background1" w:themeShade="80"/>
                                <w:sz w:val="16"/>
                                <w:szCs w:val="16"/>
                              </w:rPr>
                              <w:t>assifs de l'ASHI</w:t>
                            </w:r>
                          </w:p>
                          <w:p w14:paraId="59D6C6AA" w14:textId="77777777" w:rsidR="00817E2A" w:rsidRPr="00007559" w:rsidRDefault="00817E2A" w:rsidP="00817E2A">
                            <w:pPr>
                              <w:spacing w:after="200"/>
                              <w:rPr>
                                <w:color w:val="808080" w:themeColor="background1" w:themeShade="80"/>
                                <w:sz w:val="16"/>
                                <w:szCs w:val="16"/>
                              </w:rPr>
                            </w:pPr>
                            <w:r w:rsidRPr="00007559">
                              <w:rPr>
                                <w:color w:val="808080" w:themeColor="background1" w:themeShade="80"/>
                                <w:sz w:val="16"/>
                                <w:szCs w:val="16"/>
                              </w:rPr>
                              <w:t>CCIG</w:t>
                            </w:r>
                          </w:p>
                          <w:p w14:paraId="1F9040DA" w14:textId="77777777" w:rsidR="00817E2A" w:rsidRPr="00007559" w:rsidRDefault="00817E2A" w:rsidP="00817E2A">
                            <w:pPr>
                              <w:spacing w:after="200"/>
                              <w:rPr>
                                <w:color w:val="808080" w:themeColor="background1" w:themeShade="80"/>
                                <w:sz w:val="16"/>
                                <w:szCs w:val="16"/>
                              </w:rPr>
                            </w:pPr>
                            <w:r>
                              <w:rPr>
                                <w:color w:val="808080" w:themeColor="background1" w:themeShade="80"/>
                                <w:sz w:val="16"/>
                                <w:szCs w:val="16"/>
                              </w:rPr>
                              <w:t>P</w:t>
                            </w:r>
                            <w:r w:rsidRPr="00007559">
                              <w:rPr>
                                <w:color w:val="808080" w:themeColor="background1" w:themeShade="80"/>
                                <w:sz w:val="16"/>
                                <w:szCs w:val="16"/>
                              </w:rPr>
                              <w:t>assation de marchés</w:t>
                            </w:r>
                          </w:p>
                          <w:p w14:paraId="7C149D8B" w14:textId="77777777" w:rsidR="00817E2A" w:rsidRPr="00007559" w:rsidRDefault="00817E2A" w:rsidP="00817E2A">
                            <w:pPr>
                              <w:spacing w:after="200"/>
                              <w:rPr>
                                <w:color w:val="808080" w:themeColor="background1" w:themeShade="80"/>
                                <w:sz w:val="16"/>
                                <w:szCs w:val="16"/>
                              </w:rPr>
                            </w:pPr>
                            <w:r w:rsidRPr="00007559">
                              <w:rPr>
                                <w:color w:val="808080" w:themeColor="background1" w:themeShade="80"/>
                                <w:sz w:val="16"/>
                                <w:szCs w:val="16"/>
                              </w:rPr>
                              <w:t>Stratégie</w:t>
                            </w:r>
                          </w:p>
                          <w:p w14:paraId="3DECE019" w14:textId="77777777" w:rsidR="00817E2A" w:rsidRPr="00007559" w:rsidRDefault="00817E2A" w:rsidP="00817E2A">
                            <w:pPr>
                              <w:spacing w:after="200"/>
                              <w:rPr>
                                <w:color w:val="808080" w:themeColor="background1" w:themeShade="80"/>
                                <w:sz w:val="16"/>
                                <w:szCs w:val="16"/>
                              </w:rPr>
                            </w:pPr>
                            <w:r>
                              <w:rPr>
                                <w:color w:val="808080" w:themeColor="background1" w:themeShade="80"/>
                                <w:sz w:val="16"/>
                                <w:szCs w:val="16"/>
                              </w:rPr>
                              <w:t>A</w:t>
                            </w:r>
                            <w:r w:rsidRPr="00007559">
                              <w:rPr>
                                <w:color w:val="808080" w:themeColor="background1" w:themeShade="80"/>
                                <w:sz w:val="16"/>
                                <w:szCs w:val="16"/>
                              </w:rPr>
                              <w:t>udit externe</w:t>
                            </w:r>
                          </w:p>
                          <w:p w14:paraId="435DE9A3" w14:textId="77777777" w:rsidR="00817E2A" w:rsidRPr="00007559" w:rsidRDefault="00817E2A" w:rsidP="00817E2A">
                            <w:pPr>
                              <w:spacing w:after="200"/>
                              <w:rPr>
                                <w:color w:val="808080" w:themeColor="background1" w:themeShade="80"/>
                                <w:sz w:val="16"/>
                                <w:szCs w:val="16"/>
                              </w:rPr>
                            </w:pPr>
                            <w:r>
                              <w:rPr>
                                <w:color w:val="808080" w:themeColor="background1" w:themeShade="80"/>
                                <w:sz w:val="16"/>
                                <w:szCs w:val="16"/>
                              </w:rPr>
                              <w:t>A</w:t>
                            </w:r>
                            <w:r w:rsidRPr="00007559">
                              <w:rPr>
                                <w:color w:val="808080" w:themeColor="background1" w:themeShade="80"/>
                                <w:sz w:val="16"/>
                                <w:szCs w:val="16"/>
                              </w:rPr>
                              <w:t>ccord de pays hôte</w:t>
                            </w:r>
                            <w:r>
                              <w:rPr>
                                <w:color w:val="808080" w:themeColor="background1" w:themeShade="80"/>
                                <w:sz w:val="16"/>
                                <w:szCs w:val="16"/>
                              </w:rPr>
                              <w:t>...</w:t>
                            </w:r>
                          </w:p>
                          <w:p w14:paraId="04D8E1CB" w14:textId="77777777" w:rsidR="00817E2A" w:rsidRPr="00007559" w:rsidRDefault="00817E2A" w:rsidP="00817E2A">
                            <w:pPr>
                              <w:spacing w:after="200"/>
                              <w:rPr>
                                <w:color w:val="808080" w:themeColor="background1" w:themeShade="80"/>
                                <w:sz w:val="16"/>
                                <w:szCs w:val="16"/>
                              </w:rPr>
                            </w:pPr>
                            <w:r>
                              <w:rPr>
                                <w:color w:val="808080" w:themeColor="background1" w:themeShade="80"/>
                                <w:sz w:val="16"/>
                                <w:szCs w:val="16"/>
                              </w:rPr>
                              <w:t>R</w:t>
                            </w:r>
                            <w:r w:rsidRPr="00007559">
                              <w:rPr>
                                <w:color w:val="808080" w:themeColor="background1" w:themeShade="80"/>
                                <w:sz w:val="16"/>
                                <w:szCs w:val="16"/>
                              </w:rPr>
                              <w:t>essources humaines</w:t>
                            </w:r>
                          </w:p>
                          <w:p w14:paraId="0F5AD87B" w14:textId="77777777" w:rsidR="00817E2A" w:rsidRPr="00007559" w:rsidRDefault="00817E2A" w:rsidP="00817E2A">
                            <w:pPr>
                              <w:spacing w:after="200"/>
                              <w:rPr>
                                <w:color w:val="808080" w:themeColor="background1" w:themeShade="80"/>
                                <w:sz w:val="16"/>
                                <w:szCs w:val="16"/>
                              </w:rPr>
                            </w:pPr>
                            <w:r>
                              <w:rPr>
                                <w:color w:val="808080" w:themeColor="background1" w:themeShade="80"/>
                                <w:sz w:val="16"/>
                                <w:szCs w:val="16"/>
                              </w:rPr>
                              <w:t>S</w:t>
                            </w:r>
                            <w:r w:rsidRPr="00007559">
                              <w:rPr>
                                <w:color w:val="808080" w:themeColor="background1" w:themeShade="80"/>
                                <w:sz w:val="16"/>
                                <w:szCs w:val="16"/>
                              </w:rPr>
                              <w:t>ecrétariat du CCIG</w:t>
                            </w:r>
                          </w:p>
                          <w:p w14:paraId="2B2F8ED9" w14:textId="77777777" w:rsidR="00817E2A" w:rsidRPr="00007559" w:rsidRDefault="00817E2A" w:rsidP="00817E2A">
                            <w:pPr>
                              <w:spacing w:after="200"/>
                              <w:rPr>
                                <w:color w:val="808080" w:themeColor="background1" w:themeShade="80"/>
                                <w:sz w:val="16"/>
                                <w:szCs w:val="16"/>
                              </w:rPr>
                            </w:pPr>
                            <w:r>
                              <w:rPr>
                                <w:color w:val="808080" w:themeColor="background1" w:themeShade="80"/>
                                <w:sz w:val="16"/>
                                <w:szCs w:val="16"/>
                              </w:rPr>
                              <w:t>P</w:t>
                            </w:r>
                            <w:r w:rsidRPr="00007559">
                              <w:rPr>
                                <w:color w:val="808080" w:themeColor="background1" w:themeShade="80"/>
                                <w:sz w:val="16"/>
                                <w:szCs w:val="16"/>
                              </w:rPr>
                              <w:t>résence régionale</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7E2F3" id="Text Box 5" o:spid="_x0000_s1035" type="#_x0000_t202" style="position:absolute;margin-left:421.5pt;margin-top:96.75pt;width:79.5pt;height:33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" fillcolor="white [3212]" stroked="f">
                <v:textbox inset="1mm,.5mm,1mm,.5mm">
                  <w:txbxContent>
                    <w:p w14:paraId="291C8EF8" w14:textId="77777777" w:rsidR="00817E2A" w:rsidRPr="00007559" w:rsidRDefault="00817E2A" w:rsidP="00817E2A">
                      <w:pPr>
                        <w:spacing w:after="80"/>
                        <w:rPr>
                          <w:color w:val="808080" w:themeColor="background1" w:themeShade="80"/>
                          <w:sz w:val="16"/>
                          <w:szCs w:val="16"/>
                        </w:rPr>
                      </w:pPr>
                      <w:r w:rsidRPr="00007559">
                        <w:rPr>
                          <w:color w:val="808080" w:themeColor="background1" w:themeShade="80"/>
                          <w:sz w:val="16"/>
                          <w:szCs w:val="16"/>
                        </w:rPr>
                        <w:t>Fonction d'audit interne</w:t>
                      </w:r>
                    </w:p>
                    <w:p w14:paraId="47A57DD6" w14:textId="77777777" w:rsidR="00817E2A" w:rsidRPr="00007559" w:rsidRDefault="00817E2A" w:rsidP="00817E2A">
                      <w:pPr>
                        <w:spacing w:after="200"/>
                        <w:rPr>
                          <w:color w:val="808080" w:themeColor="background1" w:themeShade="80"/>
                          <w:sz w:val="16"/>
                          <w:szCs w:val="16"/>
                        </w:rPr>
                      </w:pPr>
                      <w:r>
                        <w:rPr>
                          <w:color w:val="808080" w:themeColor="background1" w:themeShade="80"/>
                          <w:sz w:val="16"/>
                          <w:szCs w:val="16"/>
                        </w:rPr>
                        <w:t>G</w:t>
                      </w:r>
                      <w:r w:rsidRPr="00007559">
                        <w:rPr>
                          <w:color w:val="808080" w:themeColor="background1" w:themeShade="80"/>
                          <w:sz w:val="16"/>
                          <w:szCs w:val="16"/>
                        </w:rPr>
                        <w:t>estion des risques</w:t>
                      </w:r>
                    </w:p>
                    <w:p w14:paraId="32D947FF" w14:textId="77777777" w:rsidR="00817E2A" w:rsidRPr="00007559" w:rsidRDefault="00817E2A" w:rsidP="00817E2A">
                      <w:pPr>
                        <w:spacing w:after="200"/>
                        <w:rPr>
                          <w:color w:val="808080" w:themeColor="background1" w:themeShade="80"/>
                          <w:sz w:val="16"/>
                          <w:szCs w:val="16"/>
                        </w:rPr>
                      </w:pPr>
                      <w:r>
                        <w:rPr>
                          <w:color w:val="808080" w:themeColor="background1" w:themeShade="80"/>
                          <w:sz w:val="16"/>
                          <w:szCs w:val="16"/>
                        </w:rPr>
                        <w:t>C</w:t>
                      </w:r>
                      <w:r w:rsidRPr="00007559">
                        <w:rPr>
                          <w:color w:val="808080" w:themeColor="background1" w:themeShade="80"/>
                          <w:sz w:val="16"/>
                          <w:szCs w:val="16"/>
                        </w:rPr>
                        <w:t>ontrôles internes</w:t>
                      </w:r>
                    </w:p>
                    <w:p w14:paraId="54ABBF87" w14:textId="77777777" w:rsidR="00817E2A" w:rsidRPr="00007559" w:rsidRDefault="00817E2A" w:rsidP="00817E2A">
                      <w:pPr>
                        <w:spacing w:after="120"/>
                        <w:rPr>
                          <w:color w:val="808080" w:themeColor="background1" w:themeShade="80"/>
                          <w:sz w:val="16"/>
                          <w:szCs w:val="16"/>
                        </w:rPr>
                      </w:pPr>
                      <w:r>
                        <w:rPr>
                          <w:color w:val="808080" w:themeColor="background1" w:themeShade="80"/>
                          <w:sz w:val="16"/>
                          <w:szCs w:val="16"/>
                        </w:rPr>
                        <w:t>É</w:t>
                      </w:r>
                      <w:r w:rsidRPr="00007559">
                        <w:rPr>
                          <w:color w:val="808080" w:themeColor="background1" w:themeShade="80"/>
                          <w:sz w:val="16"/>
                          <w:szCs w:val="16"/>
                        </w:rPr>
                        <w:t>tats financiers</w:t>
                      </w:r>
                    </w:p>
                    <w:p w14:paraId="5BDF793B" w14:textId="77777777" w:rsidR="00817E2A" w:rsidRPr="00007559" w:rsidRDefault="00817E2A" w:rsidP="00817E2A">
                      <w:pPr>
                        <w:spacing w:after="80"/>
                        <w:rPr>
                          <w:color w:val="808080" w:themeColor="background1" w:themeShade="80"/>
                          <w:sz w:val="16"/>
                          <w:szCs w:val="16"/>
                        </w:rPr>
                      </w:pPr>
                      <w:r>
                        <w:rPr>
                          <w:color w:val="808080" w:themeColor="background1" w:themeShade="80"/>
                          <w:sz w:val="16"/>
                          <w:szCs w:val="16"/>
                        </w:rPr>
                        <w:t>P</w:t>
                      </w:r>
                      <w:r w:rsidRPr="00007559">
                        <w:rPr>
                          <w:color w:val="808080" w:themeColor="background1" w:themeShade="80"/>
                          <w:sz w:val="16"/>
                          <w:szCs w:val="16"/>
                        </w:rPr>
                        <w:t>rojet de bâtiment du siège</w:t>
                      </w:r>
                    </w:p>
                    <w:p w14:paraId="273AA873" w14:textId="77777777" w:rsidR="00817E2A" w:rsidRPr="00007559" w:rsidRDefault="00817E2A" w:rsidP="00817E2A">
                      <w:pPr>
                        <w:spacing w:after="200"/>
                        <w:rPr>
                          <w:color w:val="808080" w:themeColor="background1" w:themeShade="80"/>
                          <w:sz w:val="16"/>
                          <w:szCs w:val="16"/>
                        </w:rPr>
                      </w:pPr>
                      <w:r>
                        <w:rPr>
                          <w:color w:val="808080" w:themeColor="background1" w:themeShade="80"/>
                          <w:sz w:val="16"/>
                          <w:szCs w:val="16"/>
                        </w:rPr>
                        <w:t>É</w:t>
                      </w:r>
                      <w:r w:rsidRPr="00007559">
                        <w:rPr>
                          <w:color w:val="808080" w:themeColor="background1" w:themeShade="80"/>
                          <w:sz w:val="16"/>
                          <w:szCs w:val="16"/>
                        </w:rPr>
                        <w:t>thique</w:t>
                      </w:r>
                    </w:p>
                    <w:p w14:paraId="105CF95B" w14:textId="77777777" w:rsidR="00817E2A" w:rsidRPr="00007559" w:rsidRDefault="00817E2A" w:rsidP="00817E2A">
                      <w:pPr>
                        <w:spacing w:after="200"/>
                        <w:rPr>
                          <w:color w:val="808080" w:themeColor="background1" w:themeShade="80"/>
                          <w:sz w:val="16"/>
                          <w:szCs w:val="16"/>
                        </w:rPr>
                      </w:pPr>
                      <w:r>
                        <w:rPr>
                          <w:color w:val="808080" w:themeColor="background1" w:themeShade="80"/>
                          <w:sz w:val="16"/>
                          <w:szCs w:val="16"/>
                        </w:rPr>
                        <w:t>P</w:t>
                      </w:r>
                      <w:r w:rsidRPr="00007559">
                        <w:rPr>
                          <w:color w:val="808080" w:themeColor="background1" w:themeShade="80"/>
                          <w:sz w:val="16"/>
                          <w:szCs w:val="16"/>
                        </w:rPr>
                        <w:t>assifs de l'ASHI</w:t>
                      </w:r>
                    </w:p>
                    <w:p w14:paraId="59D6C6AA" w14:textId="77777777" w:rsidR="00817E2A" w:rsidRPr="00007559" w:rsidRDefault="00817E2A" w:rsidP="00817E2A">
                      <w:pPr>
                        <w:spacing w:after="200"/>
                        <w:rPr>
                          <w:color w:val="808080" w:themeColor="background1" w:themeShade="80"/>
                          <w:sz w:val="16"/>
                          <w:szCs w:val="16"/>
                        </w:rPr>
                      </w:pPr>
                      <w:r w:rsidRPr="00007559">
                        <w:rPr>
                          <w:color w:val="808080" w:themeColor="background1" w:themeShade="80"/>
                          <w:sz w:val="16"/>
                          <w:szCs w:val="16"/>
                        </w:rPr>
                        <w:t>CCIG</w:t>
                      </w:r>
                    </w:p>
                    <w:p w14:paraId="1F9040DA" w14:textId="77777777" w:rsidR="00817E2A" w:rsidRPr="00007559" w:rsidRDefault="00817E2A" w:rsidP="00817E2A">
                      <w:pPr>
                        <w:spacing w:after="200"/>
                        <w:rPr>
                          <w:color w:val="808080" w:themeColor="background1" w:themeShade="80"/>
                          <w:sz w:val="16"/>
                          <w:szCs w:val="16"/>
                        </w:rPr>
                      </w:pPr>
                      <w:r>
                        <w:rPr>
                          <w:color w:val="808080" w:themeColor="background1" w:themeShade="80"/>
                          <w:sz w:val="16"/>
                          <w:szCs w:val="16"/>
                        </w:rPr>
                        <w:t>P</w:t>
                      </w:r>
                      <w:r w:rsidRPr="00007559">
                        <w:rPr>
                          <w:color w:val="808080" w:themeColor="background1" w:themeShade="80"/>
                          <w:sz w:val="16"/>
                          <w:szCs w:val="16"/>
                        </w:rPr>
                        <w:t>assation de marchés</w:t>
                      </w:r>
                    </w:p>
                    <w:p w14:paraId="7C149D8B" w14:textId="77777777" w:rsidR="00817E2A" w:rsidRPr="00007559" w:rsidRDefault="00817E2A" w:rsidP="00817E2A">
                      <w:pPr>
                        <w:spacing w:after="200"/>
                        <w:rPr>
                          <w:color w:val="808080" w:themeColor="background1" w:themeShade="80"/>
                          <w:sz w:val="16"/>
                          <w:szCs w:val="16"/>
                        </w:rPr>
                      </w:pPr>
                      <w:r w:rsidRPr="00007559">
                        <w:rPr>
                          <w:color w:val="808080" w:themeColor="background1" w:themeShade="80"/>
                          <w:sz w:val="16"/>
                          <w:szCs w:val="16"/>
                        </w:rPr>
                        <w:t>Stratégie</w:t>
                      </w:r>
                    </w:p>
                    <w:p w14:paraId="3DECE019" w14:textId="77777777" w:rsidR="00817E2A" w:rsidRPr="00007559" w:rsidRDefault="00817E2A" w:rsidP="00817E2A">
                      <w:pPr>
                        <w:spacing w:after="200"/>
                        <w:rPr>
                          <w:color w:val="808080" w:themeColor="background1" w:themeShade="80"/>
                          <w:sz w:val="16"/>
                          <w:szCs w:val="16"/>
                        </w:rPr>
                      </w:pPr>
                      <w:r>
                        <w:rPr>
                          <w:color w:val="808080" w:themeColor="background1" w:themeShade="80"/>
                          <w:sz w:val="16"/>
                          <w:szCs w:val="16"/>
                        </w:rPr>
                        <w:t>A</w:t>
                      </w:r>
                      <w:r w:rsidRPr="00007559">
                        <w:rPr>
                          <w:color w:val="808080" w:themeColor="background1" w:themeShade="80"/>
                          <w:sz w:val="16"/>
                          <w:szCs w:val="16"/>
                        </w:rPr>
                        <w:t>udit externe</w:t>
                      </w:r>
                    </w:p>
                    <w:p w14:paraId="435DE9A3" w14:textId="77777777" w:rsidR="00817E2A" w:rsidRPr="00007559" w:rsidRDefault="00817E2A" w:rsidP="00817E2A">
                      <w:pPr>
                        <w:spacing w:after="200"/>
                        <w:rPr>
                          <w:color w:val="808080" w:themeColor="background1" w:themeShade="80"/>
                          <w:sz w:val="16"/>
                          <w:szCs w:val="16"/>
                        </w:rPr>
                      </w:pPr>
                      <w:r>
                        <w:rPr>
                          <w:color w:val="808080" w:themeColor="background1" w:themeShade="80"/>
                          <w:sz w:val="16"/>
                          <w:szCs w:val="16"/>
                        </w:rPr>
                        <w:t>A</w:t>
                      </w:r>
                      <w:r w:rsidRPr="00007559">
                        <w:rPr>
                          <w:color w:val="808080" w:themeColor="background1" w:themeShade="80"/>
                          <w:sz w:val="16"/>
                          <w:szCs w:val="16"/>
                        </w:rPr>
                        <w:t>ccord de pays hôte</w:t>
                      </w:r>
                      <w:r>
                        <w:rPr>
                          <w:color w:val="808080" w:themeColor="background1" w:themeShade="80"/>
                          <w:sz w:val="16"/>
                          <w:szCs w:val="16"/>
                        </w:rPr>
                        <w:t>...</w:t>
                      </w:r>
                    </w:p>
                    <w:p w14:paraId="04D8E1CB" w14:textId="77777777" w:rsidR="00817E2A" w:rsidRPr="00007559" w:rsidRDefault="00817E2A" w:rsidP="00817E2A">
                      <w:pPr>
                        <w:spacing w:after="200"/>
                        <w:rPr>
                          <w:color w:val="808080" w:themeColor="background1" w:themeShade="80"/>
                          <w:sz w:val="16"/>
                          <w:szCs w:val="16"/>
                        </w:rPr>
                      </w:pPr>
                      <w:r>
                        <w:rPr>
                          <w:color w:val="808080" w:themeColor="background1" w:themeShade="80"/>
                          <w:sz w:val="16"/>
                          <w:szCs w:val="16"/>
                        </w:rPr>
                        <w:t>R</w:t>
                      </w:r>
                      <w:r w:rsidRPr="00007559">
                        <w:rPr>
                          <w:color w:val="808080" w:themeColor="background1" w:themeShade="80"/>
                          <w:sz w:val="16"/>
                          <w:szCs w:val="16"/>
                        </w:rPr>
                        <w:t>essources humaines</w:t>
                      </w:r>
                    </w:p>
                    <w:p w14:paraId="0F5AD87B" w14:textId="77777777" w:rsidR="00817E2A" w:rsidRPr="00007559" w:rsidRDefault="00817E2A" w:rsidP="00817E2A">
                      <w:pPr>
                        <w:spacing w:after="200"/>
                        <w:rPr>
                          <w:color w:val="808080" w:themeColor="background1" w:themeShade="80"/>
                          <w:sz w:val="16"/>
                          <w:szCs w:val="16"/>
                        </w:rPr>
                      </w:pPr>
                      <w:r>
                        <w:rPr>
                          <w:color w:val="808080" w:themeColor="background1" w:themeShade="80"/>
                          <w:sz w:val="16"/>
                          <w:szCs w:val="16"/>
                        </w:rPr>
                        <w:t>S</w:t>
                      </w:r>
                      <w:r w:rsidRPr="00007559">
                        <w:rPr>
                          <w:color w:val="808080" w:themeColor="background1" w:themeShade="80"/>
                          <w:sz w:val="16"/>
                          <w:szCs w:val="16"/>
                        </w:rPr>
                        <w:t>ecrétariat du CCIG</w:t>
                      </w:r>
                    </w:p>
                    <w:p w14:paraId="2B2F8ED9" w14:textId="77777777" w:rsidR="00817E2A" w:rsidRPr="00007559" w:rsidRDefault="00817E2A" w:rsidP="00817E2A">
                      <w:pPr>
                        <w:spacing w:after="200"/>
                        <w:rPr>
                          <w:color w:val="808080" w:themeColor="background1" w:themeShade="80"/>
                          <w:sz w:val="16"/>
                          <w:szCs w:val="16"/>
                        </w:rPr>
                      </w:pPr>
                      <w:r>
                        <w:rPr>
                          <w:color w:val="808080" w:themeColor="background1" w:themeShade="80"/>
                          <w:sz w:val="16"/>
                          <w:szCs w:val="16"/>
                        </w:rPr>
                        <w:t>P</w:t>
                      </w:r>
                      <w:r w:rsidRPr="00007559">
                        <w:rPr>
                          <w:color w:val="808080" w:themeColor="background1" w:themeShade="80"/>
                          <w:sz w:val="16"/>
                          <w:szCs w:val="16"/>
                        </w:rPr>
                        <w:t>résence régionale</w:t>
                      </w:r>
                    </w:p>
                  </w:txbxContent>
                </v:textbox>
                <w10:wrap anchory="margin"/>
              </v:shape>
            </w:pict>
          </mc:Fallback>
        </mc:AlternateContent>
      </w:r>
      <w:r w:rsidRPr="00030BEA">
        <w:rPr>
          <w:noProof/>
          <w:lang w:val="en-US"/>
        </w:rPr>
        <mc:AlternateContent>
          <mc:Choice Requires="wps">
            <w:drawing>
              <wp:anchor distT="45720" distB="45720" distL="114300" distR="114300" simplePos="0" relativeHeight="251661312" behindDoc="0" locked="0" layoutInCell="1" allowOverlap="1" wp14:anchorId="4E2D2804" wp14:editId="6FB5A4DC">
                <wp:simplePos x="0" y="0"/>
                <wp:positionH relativeFrom="column">
                  <wp:posOffset>123190</wp:posOffset>
                </wp:positionH>
                <wp:positionV relativeFrom="margin">
                  <wp:posOffset>2924175</wp:posOffset>
                </wp:positionV>
                <wp:extent cx="4886325" cy="2381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238125"/>
                        </a:xfrm>
                        <a:prstGeom prst="rect">
                          <a:avLst/>
                        </a:prstGeom>
                        <a:solidFill>
                          <a:schemeClr val="bg1"/>
                        </a:solidFill>
                        <a:ln w="9525">
                          <a:noFill/>
                          <a:miter lim="800000"/>
                          <a:headEnd/>
                          <a:tailEnd/>
                        </a:ln>
                      </wps:spPr>
                      <wps:txbx>
                        <w:txbxContent>
                          <w:p w14:paraId="29136694" w14:textId="77777777" w:rsidR="00817E2A" w:rsidRPr="00007559" w:rsidRDefault="00817E2A" w:rsidP="00817E2A">
                            <w:pPr>
                              <w:spacing w:before="0"/>
                              <w:rPr>
                                <w:b/>
                                <w:bCs/>
                                <w:sz w:val="20"/>
                              </w:rPr>
                            </w:pPr>
                            <w:r w:rsidRPr="00007559">
                              <w:rPr>
                                <w:b/>
                                <w:bCs/>
                                <w:sz w:val="20"/>
                              </w:rPr>
                              <w:t>Évolution du taux de Rec. mises en œuvre dans le temps, par année – Rec. de l'année</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D2804" id="Text Box 3" o:spid="_x0000_s1036" type="#_x0000_t202" style="position:absolute;margin-left:9.7pt;margin-top:230.25pt;width:384.75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" fillcolor="white [3212]" stroked="f">
                <v:textbox inset="1mm,.5mm,1mm,.5mm">
                  <w:txbxContent>
                    <w:p w14:paraId="29136694" w14:textId="77777777" w:rsidR="00817E2A" w:rsidRPr="00007559" w:rsidRDefault="00817E2A" w:rsidP="00817E2A">
                      <w:pPr>
                        <w:spacing w:before="0"/>
                        <w:rPr>
                          <w:b/>
                          <w:bCs/>
                          <w:sz w:val="20"/>
                        </w:rPr>
                      </w:pPr>
                      <w:r w:rsidRPr="00007559">
                        <w:rPr>
                          <w:b/>
                          <w:bCs/>
                          <w:sz w:val="20"/>
                        </w:rPr>
                        <w:t>Évolution du taux de Rec. mises en œuvre dans le temps, par année – Rec. de l'année</w:t>
                      </w:r>
                    </w:p>
                  </w:txbxContent>
                </v:textbox>
                <w10:wrap anchory="margin"/>
              </v:shape>
            </w:pict>
          </mc:Fallback>
        </mc:AlternateContent>
      </w:r>
      <w:r w:rsidRPr="00030BEA">
        <w:rPr>
          <w:noProof/>
          <w:lang w:val="en-US"/>
        </w:rPr>
        <w:drawing>
          <wp:inline distT="0" distB="0" distL="0" distR="0" wp14:anchorId="42365F85" wp14:editId="3AFB495C">
            <wp:extent cx="9251048" cy="51720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9256356" cy="5175043"/>
                    </a:xfrm>
                    <a:prstGeom prst="rect">
                      <a:avLst/>
                    </a:prstGeom>
                  </pic:spPr>
                </pic:pic>
              </a:graphicData>
            </a:graphic>
          </wp:inline>
        </w:drawing>
      </w:r>
    </w:p>
    <w:p w14:paraId="221E44EB" w14:textId="228E5802" w:rsidR="00817E2A" w:rsidRPr="00030BEA" w:rsidRDefault="00817E2A" w:rsidP="00817E2A">
      <w:r w:rsidRPr="00030BEA">
        <w:br w:type="page"/>
      </w:r>
    </w:p>
    <w:p w14:paraId="24FAD489" w14:textId="139FF197" w:rsidR="00D44F60" w:rsidRPr="00030BEA" w:rsidRDefault="00B219C2" w:rsidP="00913828">
      <w:pPr>
        <w:pStyle w:val="Headingb"/>
        <w:spacing w:after="120"/>
        <w:rPr>
          <w:rStyle w:val="Ohne"/>
        </w:rPr>
      </w:pPr>
      <w:r w:rsidRPr="00030BEA">
        <w:rPr>
          <w:rStyle w:val="Ohne"/>
        </w:rPr>
        <w:lastRenderedPageBreak/>
        <w:t>Situation</w:t>
      </w:r>
      <w:r w:rsidR="000317B5" w:rsidRPr="00030BEA">
        <w:rPr>
          <w:rStyle w:val="Ohne"/>
        </w:rPr>
        <w:t xml:space="preserve"> des Recommandations en suspens du CCIG</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
        <w:gridCol w:w="3685"/>
        <w:gridCol w:w="1512"/>
        <w:gridCol w:w="6864"/>
        <w:gridCol w:w="874"/>
        <w:gridCol w:w="1141"/>
      </w:tblGrid>
      <w:tr w:rsidR="00F66E69" w:rsidRPr="00030BEA" w14:paraId="635724F8" w14:textId="77777777" w:rsidTr="00054F2C">
        <w:trPr>
          <w:trHeight w:val="265"/>
          <w:jc w:val="center"/>
        </w:trPr>
        <w:tc>
          <w:tcPr>
            <w:tcW w:w="980" w:type="dxa"/>
            <w:shd w:val="clear" w:color="auto" w:fill="FFFFFF"/>
            <w:noWrap/>
            <w:tcMar>
              <w:top w:w="0" w:type="dxa"/>
              <w:left w:w="108" w:type="dxa"/>
              <w:bottom w:w="0" w:type="dxa"/>
              <w:right w:w="108" w:type="dxa"/>
            </w:tcMar>
            <w:hideMark/>
          </w:tcPr>
          <w:p w14:paraId="4AE138AE" w14:textId="589CAF12" w:rsidR="00F66E69" w:rsidRPr="00030BEA" w:rsidRDefault="00F67F47" w:rsidP="00AF4E79">
            <w:pPr>
              <w:pStyle w:val="Tablehead"/>
            </w:pPr>
            <w:r w:rsidRPr="00030BEA">
              <w:t>ID Rec.</w:t>
            </w:r>
          </w:p>
        </w:tc>
        <w:tc>
          <w:tcPr>
            <w:tcW w:w="3685" w:type="dxa"/>
            <w:shd w:val="clear" w:color="auto" w:fill="FFFFFF"/>
            <w:noWrap/>
            <w:tcMar>
              <w:top w:w="0" w:type="dxa"/>
              <w:left w:w="108" w:type="dxa"/>
              <w:bottom w:w="0" w:type="dxa"/>
              <w:right w:w="108" w:type="dxa"/>
            </w:tcMar>
            <w:hideMark/>
          </w:tcPr>
          <w:p w14:paraId="3D484EB7" w14:textId="3AD3A197" w:rsidR="00F66E69" w:rsidRPr="00030BEA" w:rsidRDefault="000317B5" w:rsidP="00AF4E79">
            <w:pPr>
              <w:pStyle w:val="Tablehead"/>
            </w:pPr>
            <w:r w:rsidRPr="00030BEA">
              <w:t>Recomma</w:t>
            </w:r>
            <w:r w:rsidR="00F66E69" w:rsidRPr="00030BEA">
              <w:t>ndation</w:t>
            </w:r>
          </w:p>
        </w:tc>
        <w:tc>
          <w:tcPr>
            <w:tcW w:w="1512" w:type="dxa"/>
            <w:shd w:val="clear" w:color="auto" w:fill="FFFFFF"/>
            <w:noWrap/>
            <w:tcMar>
              <w:top w:w="0" w:type="dxa"/>
              <w:left w:w="108" w:type="dxa"/>
              <w:bottom w:w="0" w:type="dxa"/>
              <w:right w:w="108" w:type="dxa"/>
            </w:tcMar>
            <w:hideMark/>
          </w:tcPr>
          <w:p w14:paraId="1A00A4B7" w14:textId="7A2C4C91" w:rsidR="00F66E69" w:rsidRPr="00030BEA" w:rsidRDefault="000317B5" w:rsidP="00AF4E79">
            <w:pPr>
              <w:pStyle w:val="Tablehead"/>
            </w:pPr>
            <w:r w:rsidRPr="00030BEA">
              <w:rPr>
                <w:rStyle w:val="Ohne"/>
              </w:rPr>
              <w:t>État d'avancement</w:t>
            </w:r>
          </w:p>
        </w:tc>
        <w:tc>
          <w:tcPr>
            <w:tcW w:w="6864" w:type="dxa"/>
            <w:shd w:val="clear" w:color="auto" w:fill="FFFFFF"/>
            <w:noWrap/>
            <w:tcMar>
              <w:top w:w="0" w:type="dxa"/>
              <w:left w:w="108" w:type="dxa"/>
              <w:bottom w:w="0" w:type="dxa"/>
              <w:right w:w="108" w:type="dxa"/>
            </w:tcMar>
            <w:hideMark/>
          </w:tcPr>
          <w:p w14:paraId="25BBB8FA" w14:textId="476D33F4" w:rsidR="00F66E69" w:rsidRPr="00030BEA" w:rsidRDefault="000317B5" w:rsidP="00AF4E79">
            <w:pPr>
              <w:pStyle w:val="Tablehead"/>
            </w:pPr>
            <w:r w:rsidRPr="00030BEA">
              <w:t>Mesures prises par la direction</w:t>
            </w:r>
          </w:p>
        </w:tc>
        <w:tc>
          <w:tcPr>
            <w:tcW w:w="874" w:type="dxa"/>
            <w:shd w:val="clear" w:color="auto" w:fill="FFFFFF"/>
            <w:noWrap/>
            <w:tcMar>
              <w:top w:w="0" w:type="dxa"/>
              <w:left w:w="108" w:type="dxa"/>
              <w:bottom w:w="0" w:type="dxa"/>
              <w:right w:w="108" w:type="dxa"/>
            </w:tcMar>
            <w:hideMark/>
          </w:tcPr>
          <w:p w14:paraId="2DB42703" w14:textId="5EE3CF37" w:rsidR="00F66E69" w:rsidRPr="00030BEA" w:rsidRDefault="000317B5" w:rsidP="00AF4E79">
            <w:pPr>
              <w:pStyle w:val="Tablehead"/>
            </w:pPr>
            <w:r w:rsidRPr="00030BEA">
              <w:t>Dé</w:t>
            </w:r>
            <w:r w:rsidR="00F66E69" w:rsidRPr="00030BEA">
              <w:t>pt.</w:t>
            </w:r>
          </w:p>
        </w:tc>
        <w:tc>
          <w:tcPr>
            <w:tcW w:w="1111" w:type="dxa"/>
            <w:shd w:val="clear" w:color="auto" w:fill="FFFFFF"/>
            <w:noWrap/>
            <w:tcMar>
              <w:top w:w="0" w:type="dxa"/>
              <w:left w:w="108" w:type="dxa"/>
              <w:bottom w:w="0" w:type="dxa"/>
              <w:right w:w="108" w:type="dxa"/>
            </w:tcMar>
            <w:hideMark/>
          </w:tcPr>
          <w:p w14:paraId="73496FE9" w14:textId="17593ACF" w:rsidR="00F66E69" w:rsidRPr="00030BEA" w:rsidRDefault="000317B5" w:rsidP="00AF4E79">
            <w:pPr>
              <w:pStyle w:val="Tablehead"/>
            </w:pPr>
            <w:r w:rsidRPr="00030BEA">
              <w:t>Date Rec.</w:t>
            </w:r>
          </w:p>
        </w:tc>
      </w:tr>
      <w:tr w:rsidR="00F66E69" w:rsidRPr="00030BEA" w14:paraId="3C6EB4E4" w14:textId="77777777" w:rsidTr="00054F2C">
        <w:trPr>
          <w:trHeight w:val="1431"/>
          <w:jc w:val="center"/>
        </w:trPr>
        <w:tc>
          <w:tcPr>
            <w:tcW w:w="980" w:type="dxa"/>
            <w:shd w:val="clear" w:color="auto" w:fill="D9E2F3"/>
            <w:noWrap/>
            <w:tcMar>
              <w:top w:w="0" w:type="dxa"/>
              <w:left w:w="108" w:type="dxa"/>
              <w:bottom w:w="0" w:type="dxa"/>
              <w:right w:w="108" w:type="dxa"/>
            </w:tcMar>
            <w:hideMark/>
          </w:tcPr>
          <w:p w14:paraId="21322A84" w14:textId="77777777" w:rsidR="00F66E69" w:rsidRPr="00030BEA" w:rsidRDefault="00F66E69" w:rsidP="00AF4E79">
            <w:pPr>
              <w:pStyle w:val="Tabletext"/>
              <w:rPr>
                <w:b/>
                <w:bCs/>
              </w:rPr>
            </w:pPr>
            <w:r w:rsidRPr="00030BEA">
              <w:rPr>
                <w:b/>
                <w:bCs/>
              </w:rPr>
              <w:t>IMAC 2013/6</w:t>
            </w:r>
          </w:p>
        </w:tc>
        <w:tc>
          <w:tcPr>
            <w:tcW w:w="3685" w:type="dxa"/>
            <w:shd w:val="clear" w:color="auto" w:fill="D9E2F3"/>
            <w:tcMar>
              <w:top w:w="0" w:type="dxa"/>
              <w:left w:w="108" w:type="dxa"/>
              <w:bottom w:w="0" w:type="dxa"/>
              <w:right w:w="108" w:type="dxa"/>
            </w:tcMar>
            <w:hideMark/>
          </w:tcPr>
          <w:p w14:paraId="1C95DD6D" w14:textId="0D550504" w:rsidR="00F66E69" w:rsidRPr="00030BEA" w:rsidRDefault="00F66E69" w:rsidP="00AF4E79">
            <w:pPr>
              <w:pStyle w:val="Tabletext"/>
            </w:pPr>
            <w:r w:rsidRPr="00030BEA">
              <w:t>Le CCIG recommande que l'UIT envisage de fixer et de faire respecter un délai clair et sans ambiguïté pour la négociation et la signature d'accords de pays hôte pour ses bureaux régionaux</w:t>
            </w:r>
            <w:r w:rsidR="00270F3E" w:rsidRPr="00030BEA">
              <w:t xml:space="preserve"> et de zone</w:t>
            </w:r>
            <w:r w:rsidRPr="00030BEA">
              <w:t>, faute de quoi d'autres mesures devraient être envisagées.</w:t>
            </w:r>
          </w:p>
        </w:tc>
        <w:tc>
          <w:tcPr>
            <w:tcW w:w="1512" w:type="dxa"/>
            <w:shd w:val="clear" w:color="auto" w:fill="FBE4D5"/>
            <w:noWrap/>
            <w:tcMar>
              <w:top w:w="0" w:type="dxa"/>
              <w:left w:w="108" w:type="dxa"/>
              <w:bottom w:w="0" w:type="dxa"/>
              <w:right w:w="108" w:type="dxa"/>
            </w:tcMar>
            <w:hideMark/>
          </w:tcPr>
          <w:p w14:paraId="3C5C5F69" w14:textId="1BFE91E6" w:rsidR="00F66E69" w:rsidRPr="00030BEA" w:rsidRDefault="000317B5" w:rsidP="00AF4E79">
            <w:pPr>
              <w:pStyle w:val="Tabletext"/>
            </w:pPr>
            <w:r w:rsidRPr="00030BEA">
              <w:t>En cours</w:t>
            </w:r>
          </w:p>
        </w:tc>
        <w:tc>
          <w:tcPr>
            <w:tcW w:w="6864" w:type="dxa"/>
            <w:shd w:val="clear" w:color="auto" w:fill="D9E2F3"/>
            <w:tcMar>
              <w:top w:w="0" w:type="dxa"/>
              <w:left w:w="108" w:type="dxa"/>
              <w:bottom w:w="0" w:type="dxa"/>
              <w:right w:w="108" w:type="dxa"/>
            </w:tcMar>
            <w:hideMark/>
          </w:tcPr>
          <w:p w14:paraId="3EC51D8E" w14:textId="79C7C8D3" w:rsidR="00F66E69" w:rsidRPr="00030BEA" w:rsidRDefault="00F66E69" w:rsidP="00AF4E79">
            <w:pPr>
              <w:pStyle w:val="Tabletext"/>
            </w:pPr>
            <w:r w:rsidRPr="00030BEA">
              <w:t>Un accord de pays hôte formel a été signé pour le Bureau de zone d'Indonésie (pour lequel il n'existait aucun accord formel)</w:t>
            </w:r>
            <w:r w:rsidR="00C512C4" w:rsidRPr="00030BEA">
              <w:t xml:space="preserve"> </w:t>
            </w:r>
            <w:r w:rsidRPr="00030BEA">
              <w:t xml:space="preserve">en avril 2017 après huit années de négociation. </w:t>
            </w:r>
            <w:r w:rsidR="0090690E" w:rsidRPr="00030BEA">
              <w:t>Une révision de l'accord de pays hôte a</w:t>
            </w:r>
            <w:r w:rsidR="009F20E8" w:rsidRPr="00030BEA">
              <w:t>ctuellement en vigueur pour le B</w:t>
            </w:r>
            <w:r w:rsidR="0090690E" w:rsidRPr="00030BEA">
              <w:t>ureau régional de Bangkok pourrait également être achevée sous peu</w:t>
            </w:r>
            <w:r w:rsidR="00C512C4" w:rsidRPr="00030BEA">
              <w:t xml:space="preserve"> </w:t>
            </w:r>
            <w:r w:rsidRPr="00030BEA">
              <w:t xml:space="preserve">– </w:t>
            </w:r>
            <w:r w:rsidR="005D2393" w:rsidRPr="00030BEA">
              <w:t>la mesure de suivi la plus récente a été l'envoi d'une lettre</w:t>
            </w:r>
            <w:r w:rsidRPr="00030BEA">
              <w:t xml:space="preserve"> </w:t>
            </w:r>
            <w:r w:rsidR="005D2393" w:rsidRPr="00030BEA">
              <w:t>aux</w:t>
            </w:r>
            <w:r w:rsidRPr="00030BEA">
              <w:t xml:space="preserve"> </w:t>
            </w:r>
            <w:r w:rsidR="005D2393" w:rsidRPr="00030BEA">
              <w:t>autorités thaïlandaises</w:t>
            </w:r>
            <w:r w:rsidRPr="00030BEA">
              <w:t xml:space="preserve"> </w:t>
            </w:r>
            <w:r w:rsidR="005D2393" w:rsidRPr="00030BEA">
              <w:t>par la</w:t>
            </w:r>
            <w:r w:rsidRPr="00030BEA">
              <w:t xml:space="preserve"> </w:t>
            </w:r>
            <w:r w:rsidR="005D2393" w:rsidRPr="00030BEA">
              <w:t>Directrice du</w:t>
            </w:r>
            <w:r w:rsidR="00EB0E71">
              <w:t> </w:t>
            </w:r>
            <w:r w:rsidRPr="00030BEA">
              <w:t>BDT. Enfin, les négociations relatives à la conclusion d'un accord de pays hôte pou</w:t>
            </w:r>
            <w:r w:rsidR="009F20E8" w:rsidRPr="00030BEA">
              <w:t>r le B</w:t>
            </w:r>
            <w:r w:rsidRPr="00030BEA">
              <w:t>ureau de zone du Chili restent en suspens.</w:t>
            </w:r>
          </w:p>
        </w:tc>
        <w:tc>
          <w:tcPr>
            <w:tcW w:w="874" w:type="dxa"/>
            <w:shd w:val="clear" w:color="auto" w:fill="D9E2F3"/>
            <w:noWrap/>
            <w:tcMar>
              <w:top w:w="0" w:type="dxa"/>
              <w:left w:w="108" w:type="dxa"/>
              <w:bottom w:w="0" w:type="dxa"/>
              <w:right w:w="108" w:type="dxa"/>
            </w:tcMar>
            <w:hideMark/>
          </w:tcPr>
          <w:p w14:paraId="2B0BA555" w14:textId="77777777" w:rsidR="00F66E69" w:rsidRPr="00030BEA" w:rsidRDefault="00F66E69" w:rsidP="00AF4E79">
            <w:pPr>
              <w:pStyle w:val="Tabletext"/>
            </w:pPr>
            <w:r w:rsidRPr="00030BEA">
              <w:t>BDT</w:t>
            </w:r>
          </w:p>
        </w:tc>
        <w:tc>
          <w:tcPr>
            <w:tcW w:w="1111" w:type="dxa"/>
            <w:shd w:val="clear" w:color="auto" w:fill="D9E2F3"/>
            <w:noWrap/>
            <w:tcMar>
              <w:top w:w="0" w:type="dxa"/>
              <w:left w:w="108" w:type="dxa"/>
              <w:bottom w:w="0" w:type="dxa"/>
              <w:right w:w="108" w:type="dxa"/>
            </w:tcMar>
            <w:hideMark/>
          </w:tcPr>
          <w:p w14:paraId="78D2720F" w14:textId="5B011415" w:rsidR="00F66E69" w:rsidRPr="00030BEA" w:rsidRDefault="00C512C4" w:rsidP="00AF4E79">
            <w:pPr>
              <w:pStyle w:val="Tabletext"/>
            </w:pPr>
            <w:r w:rsidRPr="00030BEA">
              <w:t xml:space="preserve">Juin </w:t>
            </w:r>
            <w:r w:rsidR="00F66E69" w:rsidRPr="00030BEA">
              <w:t>2013</w:t>
            </w:r>
          </w:p>
        </w:tc>
      </w:tr>
      <w:tr w:rsidR="00F66E69" w:rsidRPr="00030BEA" w14:paraId="6FB56DD1" w14:textId="77777777" w:rsidTr="00054F2C">
        <w:trPr>
          <w:trHeight w:val="2084"/>
          <w:jc w:val="center"/>
        </w:trPr>
        <w:tc>
          <w:tcPr>
            <w:tcW w:w="980" w:type="dxa"/>
            <w:shd w:val="clear" w:color="auto" w:fill="auto"/>
            <w:noWrap/>
            <w:tcMar>
              <w:top w:w="0" w:type="dxa"/>
              <w:left w:w="108" w:type="dxa"/>
              <w:bottom w:w="0" w:type="dxa"/>
              <w:right w:w="108" w:type="dxa"/>
            </w:tcMar>
            <w:hideMark/>
          </w:tcPr>
          <w:p w14:paraId="7E1E6A03" w14:textId="77777777" w:rsidR="00F66E69" w:rsidRPr="00030BEA" w:rsidRDefault="00F66E69" w:rsidP="00AF4E79">
            <w:pPr>
              <w:pStyle w:val="Tabletext"/>
              <w:rPr>
                <w:b/>
                <w:bCs/>
              </w:rPr>
            </w:pPr>
            <w:r w:rsidRPr="00030BEA">
              <w:rPr>
                <w:b/>
                <w:bCs/>
              </w:rPr>
              <w:t>IMAC 2016/4</w:t>
            </w:r>
          </w:p>
        </w:tc>
        <w:tc>
          <w:tcPr>
            <w:tcW w:w="3685" w:type="dxa"/>
            <w:shd w:val="clear" w:color="auto" w:fill="auto"/>
            <w:tcMar>
              <w:top w:w="0" w:type="dxa"/>
              <w:left w:w="108" w:type="dxa"/>
              <w:bottom w:w="0" w:type="dxa"/>
              <w:right w:w="108" w:type="dxa"/>
            </w:tcMar>
            <w:hideMark/>
          </w:tcPr>
          <w:p w14:paraId="6FD5F776" w14:textId="75373394" w:rsidR="00F66E69" w:rsidRPr="00030BEA" w:rsidRDefault="0033283D" w:rsidP="00AF4E79">
            <w:pPr>
              <w:pStyle w:val="Tabletext"/>
            </w:pPr>
            <w:r w:rsidRPr="00030BEA">
              <w:t>Le CCIG recommande que la direction de l'UIT suive les discussions du Groupe de travail des Nations Unies sur l'ASHI et élabore un plan de financement de ce passif pour l'avenir.</w:t>
            </w:r>
          </w:p>
        </w:tc>
        <w:tc>
          <w:tcPr>
            <w:tcW w:w="1512" w:type="dxa"/>
            <w:shd w:val="clear" w:color="auto" w:fill="FBE5D5"/>
            <w:noWrap/>
            <w:tcMar>
              <w:top w:w="0" w:type="dxa"/>
              <w:left w:w="108" w:type="dxa"/>
              <w:bottom w:w="0" w:type="dxa"/>
              <w:right w:w="108" w:type="dxa"/>
            </w:tcMar>
            <w:hideMark/>
          </w:tcPr>
          <w:p w14:paraId="7E836C2A" w14:textId="2A4751EF" w:rsidR="00F66E69" w:rsidRPr="00030BEA" w:rsidRDefault="000317B5" w:rsidP="00AF4E79">
            <w:pPr>
              <w:pStyle w:val="Tabletext"/>
            </w:pPr>
            <w:r w:rsidRPr="00030BEA">
              <w:t>En cours</w:t>
            </w:r>
          </w:p>
        </w:tc>
        <w:tc>
          <w:tcPr>
            <w:tcW w:w="6864" w:type="dxa"/>
            <w:shd w:val="clear" w:color="auto" w:fill="auto"/>
            <w:tcMar>
              <w:top w:w="0" w:type="dxa"/>
              <w:left w:w="108" w:type="dxa"/>
              <w:bottom w:w="0" w:type="dxa"/>
              <w:right w:w="108" w:type="dxa"/>
            </w:tcMar>
            <w:hideMark/>
          </w:tcPr>
          <w:p w14:paraId="1CBC07D2" w14:textId="77777777" w:rsidR="00360FFC" w:rsidRPr="00030BEA" w:rsidRDefault="00EE4955" w:rsidP="00AF4E79">
            <w:pPr>
              <w:pStyle w:val="Tabletext"/>
            </w:pPr>
            <w:r w:rsidRPr="00030BEA">
              <w:t>L'UIT a participé aux travaux du Groupe de travail des Nations Unies sur l'ASHI</w:t>
            </w:r>
            <w:r w:rsidR="0033283D" w:rsidRPr="00030BEA">
              <w:t>. L'examen de cette question a été mené à bien et les résultats ont été transmis au Secrétaire général de l'ONU. Toutes les observations soumises par les membres du Comité de haut niveau sur la gestion (HLCM) dans le cadre de l'examen du projet de rapport ont été intégrées dans le rapport final dans toute la mesure possible.</w:t>
            </w:r>
          </w:p>
          <w:p w14:paraId="4B766F3E" w14:textId="610AFD61" w:rsidR="00360FFC" w:rsidRPr="00030BEA" w:rsidRDefault="00E07A94" w:rsidP="00AF4E79">
            <w:pPr>
              <w:pStyle w:val="Tabletext"/>
            </w:pPr>
            <w:r w:rsidRPr="00030BEA">
              <w:t>Le rapport n'a pas été soumis à l'Assemblée générale des Nations Unies comme prévu initialement</w:t>
            </w:r>
            <w:r w:rsidR="00F66E69" w:rsidRPr="00030BEA">
              <w:t xml:space="preserve">. </w:t>
            </w:r>
            <w:r w:rsidRPr="00030BEA">
              <w:t>Pour remplacer le Groupe de travail des Nations Unies</w:t>
            </w:r>
            <w:r w:rsidR="00F66E69" w:rsidRPr="00030BEA">
              <w:t xml:space="preserve"> </w:t>
            </w:r>
            <w:r w:rsidRPr="00030BEA">
              <w:t>sur l'</w:t>
            </w:r>
            <w:r w:rsidR="00F66E69" w:rsidRPr="00030BEA">
              <w:t xml:space="preserve">ASHI, </w:t>
            </w:r>
            <w:r w:rsidR="009E2BC5" w:rsidRPr="00030BEA">
              <w:t xml:space="preserve">des discussions sont </w:t>
            </w:r>
            <w:proofErr w:type="gramStart"/>
            <w:r w:rsidR="009E2BC5" w:rsidRPr="00030BEA">
              <w:t>actuellement en cours</w:t>
            </w:r>
            <w:proofErr w:type="gramEnd"/>
            <w:r w:rsidRPr="00030BEA">
              <w:t xml:space="preserve"> </w:t>
            </w:r>
            <w:r w:rsidR="009E2BC5" w:rsidRPr="00030BEA">
              <w:t>en vue de</w:t>
            </w:r>
            <w:r w:rsidRPr="00030BEA">
              <w:t xml:space="preserve"> créer</w:t>
            </w:r>
            <w:r w:rsidR="00F66E69" w:rsidRPr="00030BEA">
              <w:t xml:space="preserve"> </w:t>
            </w:r>
            <w:r w:rsidR="00CE5D62" w:rsidRPr="00030BEA">
              <w:t>un nouveau</w:t>
            </w:r>
            <w:r w:rsidR="00DA329D" w:rsidRPr="00030BEA">
              <w:t xml:space="preserve"> groupe des Nations Unies sur le</w:t>
            </w:r>
            <w:r w:rsidR="00CE5D62" w:rsidRPr="00030BEA">
              <w:t xml:space="preserve"> régime d'assurance maladie</w:t>
            </w:r>
            <w:r w:rsidRPr="00030BEA">
              <w:t>, mais aucune décision n'a été prise jusqu'à maintenant</w:t>
            </w:r>
            <w:r w:rsidR="00F66E69" w:rsidRPr="00030BEA">
              <w:t xml:space="preserve">. </w:t>
            </w:r>
            <w:r w:rsidRPr="00030BEA">
              <w:t>L'UIT suit toujours les discussions</w:t>
            </w:r>
            <w:r w:rsidR="00F66E69" w:rsidRPr="00030BEA">
              <w:t xml:space="preserve"> </w:t>
            </w:r>
            <w:r w:rsidRPr="00030BEA">
              <w:t>au sein du Groupe d'action des Nations Unies pour la mise en œuvre</w:t>
            </w:r>
            <w:r w:rsidR="00EB0E71">
              <w:t xml:space="preserve"> des normes IPSAS et tiendra le </w:t>
            </w:r>
            <w:r w:rsidRPr="00030BEA">
              <w:t>CCIG informé des faits nouveaux</w:t>
            </w:r>
            <w:r w:rsidR="00F66E69" w:rsidRPr="00030BEA">
              <w:t>.</w:t>
            </w:r>
          </w:p>
          <w:p w14:paraId="12D982AB" w14:textId="09F26E00" w:rsidR="00F66E69" w:rsidRPr="00030BEA" w:rsidRDefault="00E07A94" w:rsidP="00AF4E79">
            <w:pPr>
              <w:pStyle w:val="Tabletext"/>
            </w:pPr>
            <w:r w:rsidRPr="00030BEA">
              <w:t xml:space="preserve">Il convient de mentionner ici que le </w:t>
            </w:r>
            <w:r w:rsidR="00DA329D" w:rsidRPr="00030BEA">
              <w:t>F</w:t>
            </w:r>
            <w:r w:rsidR="00EB0E71">
              <w:t>onds ASHI a été établi le </w:t>
            </w:r>
            <w:r w:rsidRPr="00030BEA">
              <w:t>1er</w:t>
            </w:r>
            <w:r w:rsidR="00360FFC" w:rsidRPr="00030BEA">
              <w:t> </w:t>
            </w:r>
            <w:r w:rsidRPr="00030BEA">
              <w:t>janvier</w:t>
            </w:r>
            <w:r w:rsidR="00360FFC" w:rsidRPr="00030BEA">
              <w:t> </w:t>
            </w:r>
            <w:r w:rsidRPr="00030BEA">
              <w:t>2014 et</w:t>
            </w:r>
            <w:r w:rsidR="00F66E69" w:rsidRPr="00030BEA">
              <w:t xml:space="preserve"> </w:t>
            </w:r>
            <w:r w:rsidRPr="00030BEA">
              <w:t>que son solde</w:t>
            </w:r>
            <w:r w:rsidR="00F66E69" w:rsidRPr="00030BEA">
              <w:t xml:space="preserve"> </w:t>
            </w:r>
            <w:r w:rsidRPr="00030BEA">
              <w:t>au 31 décembre</w:t>
            </w:r>
            <w:r w:rsidR="00F66E69" w:rsidRPr="00030BEA">
              <w:t xml:space="preserve"> 2020 </w:t>
            </w:r>
            <w:r w:rsidR="002528A4" w:rsidRPr="00030BEA">
              <w:t>s'élevait</w:t>
            </w:r>
            <w:r w:rsidRPr="00030BEA">
              <w:t xml:space="preserve"> à</w:t>
            </w:r>
            <w:r w:rsidR="00EB0E71">
              <w:t> </w:t>
            </w:r>
            <w:r w:rsidRPr="00030BEA">
              <w:t>13</w:t>
            </w:r>
            <w:r w:rsidR="00360FFC" w:rsidRPr="00030BEA">
              <w:t> </w:t>
            </w:r>
            <w:r w:rsidRPr="00030BEA">
              <w:t>millions CHF</w:t>
            </w:r>
            <w:r w:rsidR="00F66E69" w:rsidRPr="00030BEA">
              <w:t>.</w:t>
            </w:r>
          </w:p>
        </w:tc>
        <w:tc>
          <w:tcPr>
            <w:tcW w:w="874" w:type="dxa"/>
            <w:shd w:val="clear" w:color="auto" w:fill="auto"/>
            <w:noWrap/>
            <w:tcMar>
              <w:top w:w="0" w:type="dxa"/>
              <w:left w:w="108" w:type="dxa"/>
              <w:bottom w:w="0" w:type="dxa"/>
              <w:right w:w="108" w:type="dxa"/>
            </w:tcMar>
            <w:hideMark/>
          </w:tcPr>
          <w:p w14:paraId="3D7693E4" w14:textId="77777777" w:rsidR="00F66E69" w:rsidRPr="00030BEA" w:rsidRDefault="00F66E69" w:rsidP="00AF4E79">
            <w:pPr>
              <w:pStyle w:val="Tabletext"/>
            </w:pPr>
            <w:r w:rsidRPr="00030BEA">
              <w:t>FRMD</w:t>
            </w:r>
          </w:p>
        </w:tc>
        <w:tc>
          <w:tcPr>
            <w:tcW w:w="1111" w:type="dxa"/>
            <w:shd w:val="clear" w:color="auto" w:fill="auto"/>
            <w:noWrap/>
            <w:tcMar>
              <w:top w:w="0" w:type="dxa"/>
              <w:left w:w="108" w:type="dxa"/>
              <w:bottom w:w="0" w:type="dxa"/>
              <w:right w:w="108" w:type="dxa"/>
            </w:tcMar>
            <w:hideMark/>
          </w:tcPr>
          <w:p w14:paraId="09146D65" w14:textId="123E908B" w:rsidR="00F66E69" w:rsidRPr="00030BEA" w:rsidRDefault="00AD5617" w:rsidP="00AF4E79">
            <w:pPr>
              <w:pStyle w:val="Tabletext"/>
            </w:pPr>
            <w:r w:rsidRPr="00030BEA">
              <w:t xml:space="preserve">Juin </w:t>
            </w:r>
            <w:r w:rsidR="00F66E69" w:rsidRPr="00030BEA">
              <w:t>2016</w:t>
            </w:r>
          </w:p>
        </w:tc>
      </w:tr>
      <w:tr w:rsidR="00F66E69" w:rsidRPr="00030BEA" w14:paraId="32866852" w14:textId="77777777" w:rsidTr="00054F2C">
        <w:trPr>
          <w:trHeight w:val="2280"/>
          <w:jc w:val="center"/>
        </w:trPr>
        <w:tc>
          <w:tcPr>
            <w:tcW w:w="980" w:type="dxa"/>
            <w:shd w:val="clear" w:color="auto" w:fill="DAE3F3"/>
            <w:noWrap/>
            <w:tcMar>
              <w:top w:w="0" w:type="dxa"/>
              <w:left w:w="108" w:type="dxa"/>
              <w:bottom w:w="0" w:type="dxa"/>
              <w:right w:w="108" w:type="dxa"/>
            </w:tcMar>
            <w:hideMark/>
          </w:tcPr>
          <w:p w14:paraId="1E42D8A0" w14:textId="77777777" w:rsidR="00F66E69" w:rsidRPr="00030BEA" w:rsidRDefault="00F66E69" w:rsidP="00AF4E79">
            <w:pPr>
              <w:pStyle w:val="Tabletext"/>
              <w:rPr>
                <w:b/>
                <w:bCs/>
              </w:rPr>
            </w:pPr>
            <w:r w:rsidRPr="00030BEA">
              <w:rPr>
                <w:b/>
                <w:bCs/>
              </w:rPr>
              <w:lastRenderedPageBreak/>
              <w:t>IMAC 2016/13</w:t>
            </w:r>
          </w:p>
        </w:tc>
        <w:tc>
          <w:tcPr>
            <w:tcW w:w="3685" w:type="dxa"/>
            <w:shd w:val="clear" w:color="auto" w:fill="DAE3F3"/>
            <w:tcMar>
              <w:top w:w="0" w:type="dxa"/>
              <w:left w:w="108" w:type="dxa"/>
              <w:bottom w:w="0" w:type="dxa"/>
              <w:right w:w="108" w:type="dxa"/>
            </w:tcMar>
            <w:hideMark/>
          </w:tcPr>
          <w:p w14:paraId="5B2B491F" w14:textId="77777777" w:rsidR="00360FFC" w:rsidRPr="00030BEA" w:rsidRDefault="004F1586" w:rsidP="00AF4E79">
            <w:pPr>
              <w:pStyle w:val="Tabletext"/>
            </w:pPr>
            <w:r w:rsidRPr="00030BEA">
              <w:t>Le CCIG recommande que l'UIT examine les avantages qu'offrirait le recours aux services d'un expert professionnel indépendant lors du processus d'évaluation de la valeur marchande la vente de la Tour de l'UIT et des négociations sur cette vente.</w:t>
            </w:r>
          </w:p>
          <w:p w14:paraId="057D229C" w14:textId="22F63A67" w:rsidR="00F66E69" w:rsidRPr="00030BEA" w:rsidRDefault="004F1586" w:rsidP="00AF4E79">
            <w:pPr>
              <w:pStyle w:val="Tabletext"/>
            </w:pPr>
            <w:r w:rsidRPr="00030BEA">
              <w:t xml:space="preserve">Le Comité recommande qu'il soit fait appel à des experts spécialisés, internes ou de l'extérieur, en matière de projets et de gestion des risques, pour la mise en </w:t>
            </w:r>
            <w:r w:rsidR="00EC78B6" w:rsidRPr="00030BEA">
              <w:t>œuvre</w:t>
            </w:r>
            <w:r w:rsidRPr="00030BEA">
              <w:t xml:space="preserve"> de ce projet.</w:t>
            </w:r>
          </w:p>
        </w:tc>
        <w:tc>
          <w:tcPr>
            <w:tcW w:w="1512" w:type="dxa"/>
            <w:shd w:val="clear" w:color="auto" w:fill="FBE5D5"/>
            <w:noWrap/>
            <w:tcMar>
              <w:top w:w="0" w:type="dxa"/>
              <w:left w:w="108" w:type="dxa"/>
              <w:bottom w:w="0" w:type="dxa"/>
              <w:right w:w="108" w:type="dxa"/>
            </w:tcMar>
            <w:hideMark/>
          </w:tcPr>
          <w:p w14:paraId="2CA55BCB" w14:textId="119157AE" w:rsidR="00F66E69" w:rsidRPr="00030BEA" w:rsidRDefault="00C512C4" w:rsidP="00AF4E79">
            <w:pPr>
              <w:pStyle w:val="Tabletext"/>
            </w:pPr>
            <w:r w:rsidRPr="00030BEA">
              <w:t>En cours</w:t>
            </w:r>
          </w:p>
        </w:tc>
        <w:tc>
          <w:tcPr>
            <w:tcW w:w="6864" w:type="dxa"/>
            <w:shd w:val="clear" w:color="auto" w:fill="DAE3F3"/>
            <w:tcMar>
              <w:top w:w="0" w:type="dxa"/>
              <w:left w:w="108" w:type="dxa"/>
              <w:bottom w:w="0" w:type="dxa"/>
              <w:right w:w="108" w:type="dxa"/>
            </w:tcMar>
            <w:hideMark/>
          </w:tcPr>
          <w:p w14:paraId="0B83A933" w14:textId="7FE3F507" w:rsidR="00360FFC" w:rsidRPr="00030BEA" w:rsidRDefault="007731C0" w:rsidP="00AF4E79">
            <w:pPr>
              <w:pStyle w:val="Tabletext"/>
            </w:pPr>
            <w:r w:rsidRPr="00030BEA">
              <w:t xml:space="preserve">Conformément au </w:t>
            </w:r>
            <w:r w:rsidR="00EC78B6" w:rsidRPr="00030BEA">
              <w:t xml:space="preserve">point 11 du </w:t>
            </w:r>
            <w:r w:rsidR="00EC78B6" w:rsidRPr="00030BEA">
              <w:rPr>
                <w:i/>
                <w:iCs/>
              </w:rPr>
              <w:t xml:space="preserve">charge le Secrétaire </w:t>
            </w:r>
            <w:r w:rsidR="004B5D7D" w:rsidRPr="00030BEA">
              <w:rPr>
                <w:i/>
                <w:iCs/>
              </w:rPr>
              <w:t>général</w:t>
            </w:r>
            <w:r w:rsidRPr="00030BEA">
              <w:t xml:space="preserve"> de la D</w:t>
            </w:r>
            <w:r w:rsidR="00EB0E71">
              <w:t>écision </w:t>
            </w:r>
            <w:r w:rsidRPr="00030BEA">
              <w:t xml:space="preserve">588 du Conseil </w:t>
            </w:r>
            <w:r w:rsidR="00DA329D" w:rsidRPr="00030BEA">
              <w:t>(</w:t>
            </w:r>
            <w:r w:rsidRPr="00030BEA">
              <w:t>session de 2016</w:t>
            </w:r>
            <w:r w:rsidR="00DA329D" w:rsidRPr="00030BEA">
              <w:t>)</w:t>
            </w:r>
            <w:r w:rsidR="0013792A" w:rsidRPr="00030BEA">
              <w:t xml:space="preserve">, </w:t>
            </w:r>
            <w:r w:rsidR="004B5D7D" w:rsidRPr="00030BEA">
              <w:t>la valeur marchande de la Tour</w:t>
            </w:r>
            <w:r w:rsidR="00F66E69" w:rsidRPr="00030BEA">
              <w:t xml:space="preserve"> </w:t>
            </w:r>
            <w:r w:rsidR="004B5D7D" w:rsidRPr="00030BEA">
              <w:t>sera évaluée une fois que la Suisse</w:t>
            </w:r>
            <w:r w:rsidR="00F66E69" w:rsidRPr="00030BEA">
              <w:t xml:space="preserve"> </w:t>
            </w:r>
            <w:r w:rsidR="00BA24F4" w:rsidRPr="00030BEA">
              <w:t xml:space="preserve">aura répondu </w:t>
            </w:r>
            <w:r w:rsidR="004B5D7D" w:rsidRPr="00030BEA">
              <w:t>à la demande de l'UIT concernant la seconde tranche du prêt et avant</w:t>
            </w:r>
            <w:r w:rsidR="00F66E69" w:rsidRPr="00030BEA">
              <w:t xml:space="preserve"> </w:t>
            </w:r>
            <w:r w:rsidR="004B5D7D" w:rsidRPr="00030BEA">
              <w:t xml:space="preserve">l'éventuelle </w:t>
            </w:r>
            <w:r w:rsidR="000D2057" w:rsidRPr="00030BEA">
              <w:t>cession</w:t>
            </w:r>
            <w:r w:rsidR="004B5D7D" w:rsidRPr="00030BEA">
              <w:t xml:space="preserve"> de la Tour</w:t>
            </w:r>
            <w:r w:rsidR="00F66E69" w:rsidRPr="00030BEA">
              <w:t xml:space="preserve">, </w:t>
            </w:r>
            <w:r w:rsidR="000D2057" w:rsidRPr="00030BEA">
              <w:t xml:space="preserve">en </w:t>
            </w:r>
            <w:r w:rsidR="00E72BD8" w:rsidRPr="00030BEA">
              <w:t>trouvant un juste équilibre entre c</w:t>
            </w:r>
            <w:r w:rsidR="000D2057" w:rsidRPr="00030BEA">
              <w:t>es informations d'évaluation</w:t>
            </w:r>
            <w:r w:rsidR="00F66E69" w:rsidRPr="00030BEA">
              <w:t xml:space="preserve"> </w:t>
            </w:r>
            <w:r w:rsidR="00E72BD8" w:rsidRPr="00030BEA">
              <w:t>obtenues précédemment</w:t>
            </w:r>
            <w:r w:rsidR="0027424D" w:rsidRPr="00030BEA">
              <w:t xml:space="preserve"> </w:t>
            </w:r>
            <w:r w:rsidR="000D2057" w:rsidRPr="00030BEA">
              <w:t xml:space="preserve">et leur cohérence </w:t>
            </w:r>
            <w:r w:rsidR="00E72BD8" w:rsidRPr="00030BEA">
              <w:t>avec</w:t>
            </w:r>
            <w:r w:rsidR="000D2057" w:rsidRPr="00030BEA">
              <w:t xml:space="preserve"> le dynamisme du marché</w:t>
            </w:r>
            <w:r w:rsidR="00F66E69" w:rsidRPr="00030BEA">
              <w:t xml:space="preserve">. </w:t>
            </w:r>
            <w:r w:rsidR="0013792A" w:rsidRPr="00030BEA">
              <w:t xml:space="preserve">Le processus d'évaluation sera </w:t>
            </w:r>
            <w:r w:rsidR="00E72BD8" w:rsidRPr="00030BEA">
              <w:t xml:space="preserve">mené </w:t>
            </w:r>
            <w:r w:rsidR="0013792A" w:rsidRPr="00030BEA">
              <w:t>par un</w:t>
            </w:r>
            <w:r w:rsidR="00F66E69" w:rsidRPr="00030BEA">
              <w:t xml:space="preserve"> </w:t>
            </w:r>
            <w:r w:rsidR="0013792A" w:rsidRPr="00030BEA">
              <w:t xml:space="preserve">expert </w:t>
            </w:r>
            <w:r w:rsidR="00DC1481" w:rsidRPr="00030BEA">
              <w:t>extérieur</w:t>
            </w:r>
            <w:r w:rsidR="0013792A" w:rsidRPr="00030BEA">
              <w:t xml:space="preserve"> indépendant</w:t>
            </w:r>
            <w:r w:rsidR="00E72BD8" w:rsidRPr="00030BEA">
              <w:t xml:space="preserve"> placé</w:t>
            </w:r>
            <w:r w:rsidR="00F66E69" w:rsidRPr="00030BEA">
              <w:t xml:space="preserve"> </w:t>
            </w:r>
            <w:r w:rsidR="0013792A" w:rsidRPr="00030BEA">
              <w:t>sous la responsabilité de la direction de l'UIT</w:t>
            </w:r>
            <w:r w:rsidR="00F66E69" w:rsidRPr="00030BEA">
              <w:t xml:space="preserve">. </w:t>
            </w:r>
            <w:r w:rsidR="00E72BD8" w:rsidRPr="00030BEA">
              <w:t>De même, u</w:t>
            </w:r>
            <w:r w:rsidR="0013792A" w:rsidRPr="00030BEA">
              <w:t xml:space="preserve">n cabinet </w:t>
            </w:r>
            <w:r w:rsidR="003D2812" w:rsidRPr="00030BEA">
              <w:t xml:space="preserve">spécialisé </w:t>
            </w:r>
            <w:r w:rsidR="00DC1481" w:rsidRPr="00030BEA">
              <w:t>extérieur</w:t>
            </w:r>
            <w:r w:rsidR="0013792A" w:rsidRPr="00030BEA">
              <w:t xml:space="preserve"> indépendant </w:t>
            </w:r>
            <w:r w:rsidR="003D2812" w:rsidRPr="00030BEA">
              <w:t xml:space="preserve">s'occupera des éventuelles démarches auprès des </w:t>
            </w:r>
            <w:r w:rsidR="00FD51D8" w:rsidRPr="00030BEA">
              <w:t>acquéreurs potentiels et</w:t>
            </w:r>
            <w:r w:rsidR="0013792A" w:rsidRPr="00030BEA">
              <w:t xml:space="preserve"> de </w:t>
            </w:r>
            <w:r w:rsidR="003D2812" w:rsidRPr="00030BEA">
              <w:t xml:space="preserve">la cession de </w:t>
            </w:r>
            <w:r w:rsidR="0013792A" w:rsidRPr="00030BEA">
              <w:t>la Tour</w:t>
            </w:r>
            <w:r w:rsidR="00F66E69" w:rsidRPr="00030BEA">
              <w:t>.</w:t>
            </w:r>
          </w:p>
          <w:p w14:paraId="5EBF3929" w14:textId="54FECB17" w:rsidR="00F66E69" w:rsidRPr="00030BEA" w:rsidRDefault="0013792A" w:rsidP="00AF4E79">
            <w:pPr>
              <w:pStyle w:val="Tabletext"/>
            </w:pPr>
            <w:r w:rsidRPr="00030BEA">
              <w:t>Une équipe</w:t>
            </w:r>
            <w:r w:rsidR="00F66E69" w:rsidRPr="00030BEA">
              <w:t xml:space="preserve"> </w:t>
            </w:r>
            <w:r w:rsidR="003D2812" w:rsidRPr="00030BEA">
              <w:t>de</w:t>
            </w:r>
            <w:r w:rsidRPr="00030BEA">
              <w:t xml:space="preserve"> projet </w:t>
            </w:r>
            <w:r w:rsidR="003D2812" w:rsidRPr="00030BEA">
              <w:t xml:space="preserve">dédiée </w:t>
            </w:r>
            <w:r w:rsidRPr="00030BEA">
              <w:t>a été constituée et est en place</w:t>
            </w:r>
            <w:r w:rsidR="00F66E69" w:rsidRPr="00030BEA">
              <w:t xml:space="preserve"> (</w:t>
            </w:r>
            <w:r w:rsidRPr="00030BEA">
              <w:t>un registre des risques a été élaboré et</w:t>
            </w:r>
            <w:r w:rsidR="003D2812" w:rsidRPr="00030BEA">
              <w:t xml:space="preserve"> est</w:t>
            </w:r>
            <w:r w:rsidRPr="00030BEA">
              <w:t xml:space="preserve"> tenu à jour</w:t>
            </w:r>
            <w:r w:rsidR="00F66E69" w:rsidRPr="00030BEA">
              <w:t xml:space="preserve">, </w:t>
            </w:r>
            <w:r w:rsidRPr="00030BEA">
              <w:t xml:space="preserve">à la fois par des ressources internes et </w:t>
            </w:r>
            <w:r w:rsidR="00B72712" w:rsidRPr="00030BEA">
              <w:t>de l'extérieur</w:t>
            </w:r>
            <w:r w:rsidR="00F66E69" w:rsidRPr="00030BEA">
              <w:t>).</w:t>
            </w:r>
          </w:p>
        </w:tc>
        <w:tc>
          <w:tcPr>
            <w:tcW w:w="874" w:type="dxa"/>
            <w:shd w:val="clear" w:color="auto" w:fill="DAE3F3"/>
            <w:noWrap/>
            <w:tcMar>
              <w:top w:w="0" w:type="dxa"/>
              <w:left w:w="108" w:type="dxa"/>
              <w:bottom w:w="0" w:type="dxa"/>
              <w:right w:w="108" w:type="dxa"/>
            </w:tcMar>
            <w:hideMark/>
          </w:tcPr>
          <w:p w14:paraId="6900BF7F" w14:textId="724C7712" w:rsidR="00F66E69" w:rsidRPr="00030BEA" w:rsidRDefault="00F66E69" w:rsidP="00AF4E79">
            <w:pPr>
              <w:pStyle w:val="Tabletext"/>
            </w:pPr>
            <w:r w:rsidRPr="00030BEA">
              <w:t>FMBP</w:t>
            </w:r>
            <w:r w:rsidR="009B4657" w:rsidRPr="00030BEA">
              <w:t>D</w:t>
            </w:r>
          </w:p>
        </w:tc>
        <w:tc>
          <w:tcPr>
            <w:tcW w:w="1111" w:type="dxa"/>
            <w:shd w:val="clear" w:color="auto" w:fill="DAE3F3"/>
            <w:noWrap/>
            <w:tcMar>
              <w:top w:w="0" w:type="dxa"/>
              <w:left w:w="108" w:type="dxa"/>
              <w:bottom w:w="0" w:type="dxa"/>
              <w:right w:w="108" w:type="dxa"/>
            </w:tcMar>
            <w:hideMark/>
          </w:tcPr>
          <w:p w14:paraId="5CBF50AA" w14:textId="6A1458E9" w:rsidR="00F66E69" w:rsidRPr="00030BEA" w:rsidRDefault="00107E31" w:rsidP="00AF4E79">
            <w:pPr>
              <w:pStyle w:val="Tabletext"/>
            </w:pPr>
            <w:r w:rsidRPr="00030BEA">
              <w:t xml:space="preserve">Juin </w:t>
            </w:r>
            <w:r w:rsidR="00F66E69" w:rsidRPr="00030BEA">
              <w:t>2016</w:t>
            </w:r>
          </w:p>
        </w:tc>
      </w:tr>
      <w:tr w:rsidR="00F66E69" w:rsidRPr="00030BEA" w14:paraId="3E0E1E1D" w14:textId="77777777" w:rsidTr="00054F2C">
        <w:trPr>
          <w:trHeight w:val="339"/>
          <w:jc w:val="center"/>
        </w:trPr>
        <w:tc>
          <w:tcPr>
            <w:tcW w:w="980" w:type="dxa"/>
            <w:noWrap/>
            <w:tcMar>
              <w:top w:w="0" w:type="dxa"/>
              <w:left w:w="108" w:type="dxa"/>
              <w:bottom w:w="0" w:type="dxa"/>
              <w:right w:w="108" w:type="dxa"/>
            </w:tcMar>
            <w:hideMark/>
          </w:tcPr>
          <w:p w14:paraId="695CCE1B" w14:textId="77777777" w:rsidR="00F66E69" w:rsidRPr="00030BEA" w:rsidRDefault="00F66E69" w:rsidP="00AF4E79">
            <w:pPr>
              <w:pStyle w:val="Tabletext"/>
              <w:rPr>
                <w:b/>
                <w:bCs/>
              </w:rPr>
            </w:pPr>
            <w:r w:rsidRPr="00030BEA">
              <w:rPr>
                <w:b/>
                <w:bCs/>
              </w:rPr>
              <w:t>IMAC 2017/7</w:t>
            </w:r>
          </w:p>
        </w:tc>
        <w:tc>
          <w:tcPr>
            <w:tcW w:w="3685" w:type="dxa"/>
            <w:tcMar>
              <w:top w:w="0" w:type="dxa"/>
              <w:left w:w="108" w:type="dxa"/>
              <w:bottom w:w="0" w:type="dxa"/>
              <w:right w:w="108" w:type="dxa"/>
            </w:tcMar>
            <w:hideMark/>
          </w:tcPr>
          <w:p w14:paraId="285BC41E" w14:textId="6D20F865" w:rsidR="00F66E69" w:rsidRPr="00030BEA" w:rsidRDefault="004F1586" w:rsidP="00AF4E79">
            <w:pPr>
              <w:pStyle w:val="Tabletext"/>
            </w:pPr>
            <w:r w:rsidRPr="00030BEA">
              <w:t>Le CCIG recommande à l'UIT d'examiner les avantages qu'il y aurait à se doter d'une capacité d'audit, en faisant appel à des experts dotés de compétences spéciales dans ce domaine et, en temps utile, à procéder à un audit indépendant des comptes établis pour la construction du bâtiment.</w:t>
            </w:r>
          </w:p>
        </w:tc>
        <w:tc>
          <w:tcPr>
            <w:tcW w:w="1512" w:type="dxa"/>
            <w:shd w:val="clear" w:color="auto" w:fill="FBE5D5"/>
            <w:noWrap/>
            <w:tcMar>
              <w:top w:w="0" w:type="dxa"/>
              <w:left w:w="108" w:type="dxa"/>
              <w:bottom w:w="0" w:type="dxa"/>
              <w:right w:w="108" w:type="dxa"/>
            </w:tcMar>
            <w:hideMark/>
          </w:tcPr>
          <w:p w14:paraId="637F725C" w14:textId="043DBE35" w:rsidR="00F66E69" w:rsidRPr="00030BEA" w:rsidRDefault="00C512C4" w:rsidP="00AF4E79">
            <w:pPr>
              <w:pStyle w:val="Tabletext"/>
            </w:pPr>
            <w:r w:rsidRPr="00030BEA">
              <w:t>En cours</w:t>
            </w:r>
          </w:p>
        </w:tc>
        <w:tc>
          <w:tcPr>
            <w:tcW w:w="6864" w:type="dxa"/>
            <w:tcMar>
              <w:top w:w="0" w:type="dxa"/>
              <w:left w:w="108" w:type="dxa"/>
              <w:bottom w:w="0" w:type="dxa"/>
              <w:right w:w="108" w:type="dxa"/>
            </w:tcMar>
            <w:hideMark/>
          </w:tcPr>
          <w:p w14:paraId="42AD9ABD" w14:textId="77777777" w:rsidR="00360FFC" w:rsidRPr="00030BEA" w:rsidRDefault="003D2812" w:rsidP="00AF4E79">
            <w:pPr>
              <w:pStyle w:val="Tabletext"/>
            </w:pPr>
            <w:r w:rsidRPr="00030BEA">
              <w:t>La structure adoptée pour la gestion</w:t>
            </w:r>
            <w:r w:rsidR="00E33098" w:rsidRPr="00030BEA">
              <w:t xml:space="preserve"> du projet</w:t>
            </w:r>
            <w:r w:rsidR="00F66E69" w:rsidRPr="00030BEA">
              <w:t xml:space="preserve"> </w:t>
            </w:r>
            <w:r w:rsidRPr="00030BEA">
              <w:t>prévoit</w:t>
            </w:r>
            <w:r w:rsidR="00F66E69" w:rsidRPr="00030BEA">
              <w:t xml:space="preserve"> </w:t>
            </w:r>
            <w:r w:rsidR="00E33098" w:rsidRPr="00030BEA">
              <w:t xml:space="preserve">un mécanisme de </w:t>
            </w:r>
            <w:r w:rsidRPr="00030BEA">
              <w:t xml:space="preserve">surveillance </w:t>
            </w:r>
            <w:r w:rsidR="00E33098" w:rsidRPr="00030BEA">
              <w:t>global</w:t>
            </w:r>
            <w:r w:rsidRPr="00030BEA">
              <w:t>e, comprenant</w:t>
            </w:r>
            <w:r w:rsidR="00F66E69" w:rsidRPr="00030BEA">
              <w:t xml:space="preserve"> </w:t>
            </w:r>
            <w:r w:rsidR="00E33098" w:rsidRPr="00030BEA">
              <w:t>les États Membres</w:t>
            </w:r>
            <w:r w:rsidR="00F66E69" w:rsidRPr="00030BEA">
              <w:t xml:space="preserve"> </w:t>
            </w:r>
            <w:r w:rsidR="00E33098" w:rsidRPr="00030BEA">
              <w:t>et des fonctions internes de l'UIT</w:t>
            </w:r>
            <w:r w:rsidR="00F66E69" w:rsidRPr="00030BEA">
              <w:t xml:space="preserve">. </w:t>
            </w:r>
            <w:r w:rsidRPr="00030BEA">
              <w:t>Ainsi</w:t>
            </w:r>
            <w:r w:rsidR="00F66E69" w:rsidRPr="00030BEA">
              <w:t xml:space="preserve">, </w:t>
            </w:r>
            <w:r w:rsidR="00E33098" w:rsidRPr="00030BEA">
              <w:t xml:space="preserve">une nouvelle </w:t>
            </w:r>
            <w:r w:rsidR="00F66E69" w:rsidRPr="00030BEA">
              <w:t xml:space="preserve">division </w:t>
            </w:r>
            <w:r w:rsidR="00E33098" w:rsidRPr="00030BEA">
              <w:t>dénommée</w:t>
            </w:r>
            <w:r w:rsidR="00F66E69" w:rsidRPr="00030BEA">
              <w:t xml:space="preserve"> "</w:t>
            </w:r>
            <w:r w:rsidR="00E33098" w:rsidRPr="00030BEA">
              <w:t>Division responsable du projet de nouveau bâtiment</w:t>
            </w:r>
            <w:r w:rsidR="00F66E69" w:rsidRPr="00030BEA">
              <w:t xml:space="preserve">" </w:t>
            </w:r>
            <w:r w:rsidR="00E33098" w:rsidRPr="00030BEA">
              <w:t>a été créée</w:t>
            </w:r>
            <w:r w:rsidR="00F66E69" w:rsidRPr="00030BEA">
              <w:t xml:space="preserve"> </w:t>
            </w:r>
            <w:r w:rsidR="001775C7" w:rsidRPr="00030BEA">
              <w:t>au sein</w:t>
            </w:r>
            <w:r w:rsidR="00E33098" w:rsidRPr="00030BEA">
              <w:t xml:space="preserve"> Bureau du Secrétaire général et </w:t>
            </w:r>
            <w:r w:rsidR="001775C7" w:rsidRPr="00030BEA">
              <w:t>placée sous la supervision du</w:t>
            </w:r>
            <w:r w:rsidR="00E33098" w:rsidRPr="00030BEA">
              <w:t xml:space="preserve"> Vice-Secrétaire général</w:t>
            </w:r>
            <w:r w:rsidR="00F66E69" w:rsidRPr="00030BEA">
              <w:t>.</w:t>
            </w:r>
          </w:p>
          <w:p w14:paraId="382BFB09" w14:textId="77777777" w:rsidR="00360FFC" w:rsidRPr="00030BEA" w:rsidRDefault="00ED05E6" w:rsidP="00AF4E79">
            <w:pPr>
              <w:pStyle w:val="Tabletext"/>
            </w:pPr>
            <w:r w:rsidRPr="00030BEA">
              <w:t xml:space="preserve">L'équipe </w:t>
            </w:r>
            <w:r w:rsidR="00DC4CE0" w:rsidRPr="00030BEA">
              <w:t>de</w:t>
            </w:r>
            <w:r w:rsidRPr="00030BEA">
              <w:t xml:space="preserve"> projet</w:t>
            </w:r>
            <w:r w:rsidR="00DC4CE0" w:rsidRPr="00030BEA">
              <w:t xml:space="preserve"> dédiée</w:t>
            </w:r>
            <w:r w:rsidRPr="00030BEA">
              <w:t xml:space="preserve"> est dirigée par</w:t>
            </w:r>
            <w:r w:rsidR="00F66E69" w:rsidRPr="00030BEA">
              <w:t xml:space="preserve"> </w:t>
            </w:r>
            <w:r w:rsidRPr="00030BEA">
              <w:t>le conseiller principal pour le projet de construction au grade P5, qui supervise une équipe composée d'un</w:t>
            </w:r>
            <w:r w:rsidR="00F66E69" w:rsidRPr="00030BEA">
              <w:t xml:space="preserve"> </w:t>
            </w:r>
            <w:r w:rsidRPr="00030BEA">
              <w:t>coordonnateur chargé de l'architecture et de l'ingénierie (P3)</w:t>
            </w:r>
            <w:r w:rsidR="0089738D" w:rsidRPr="00030BEA">
              <w:t xml:space="preserve"> </w:t>
            </w:r>
            <w:r w:rsidR="006673A3" w:rsidRPr="00030BEA">
              <w:t>possédant une</w:t>
            </w:r>
            <w:r w:rsidR="0089738D" w:rsidRPr="00030BEA">
              <w:t xml:space="preserve"> </w:t>
            </w:r>
            <w:r w:rsidR="006673A3" w:rsidRPr="00030BEA">
              <w:t>expérience</w:t>
            </w:r>
            <w:r w:rsidR="0089738D" w:rsidRPr="00030BEA">
              <w:t xml:space="preserve"> dans le domaine </w:t>
            </w:r>
            <w:r w:rsidRPr="00030BEA">
              <w:t xml:space="preserve">technique </w:t>
            </w:r>
            <w:r w:rsidR="0089738D" w:rsidRPr="00030BEA">
              <w:t>et</w:t>
            </w:r>
            <w:r w:rsidRPr="00030BEA">
              <w:t xml:space="preserve"> de la construction,</w:t>
            </w:r>
            <w:r w:rsidR="00F66E69" w:rsidRPr="00030BEA">
              <w:t xml:space="preserve"> </w:t>
            </w:r>
            <w:r w:rsidRPr="00030BEA">
              <w:t xml:space="preserve">et </w:t>
            </w:r>
            <w:r w:rsidR="006D59A4" w:rsidRPr="00030BEA">
              <w:t>d'</w:t>
            </w:r>
            <w:r w:rsidRPr="00030BEA">
              <w:t>un assistant administratif</w:t>
            </w:r>
            <w:r w:rsidR="00F66E69" w:rsidRPr="00030BEA">
              <w:t xml:space="preserve"> (G6). </w:t>
            </w:r>
            <w:r w:rsidR="006F26C7" w:rsidRPr="00030BEA">
              <w:t>Le</w:t>
            </w:r>
            <w:r w:rsidR="00F66E69" w:rsidRPr="00030BEA">
              <w:t xml:space="preserve"> </w:t>
            </w:r>
            <w:r w:rsidRPr="00030BEA">
              <w:t>responsable des achats</w:t>
            </w:r>
            <w:r w:rsidR="00F66E69" w:rsidRPr="00030BEA">
              <w:t xml:space="preserve"> (P4) </w:t>
            </w:r>
            <w:r w:rsidR="006F26C7" w:rsidRPr="00030BEA">
              <w:t xml:space="preserve">recruté récemment à l'extérieur </w:t>
            </w:r>
            <w:r w:rsidR="00DC4CE0" w:rsidRPr="00030BEA">
              <w:t xml:space="preserve">avec </w:t>
            </w:r>
            <w:r w:rsidRPr="00030BEA">
              <w:t xml:space="preserve">une expérience </w:t>
            </w:r>
            <w:r w:rsidR="006D59A4" w:rsidRPr="00030BEA">
              <w:t xml:space="preserve">spécifique </w:t>
            </w:r>
            <w:r w:rsidRPr="00030BEA">
              <w:t>dans le domaine</w:t>
            </w:r>
            <w:r w:rsidR="00F66E69" w:rsidRPr="00030BEA">
              <w:t xml:space="preserve"> </w:t>
            </w:r>
            <w:r w:rsidRPr="00030BEA">
              <w:t>des achats pour les projets de construction</w:t>
            </w:r>
            <w:r w:rsidR="00F66E69" w:rsidRPr="00030BEA">
              <w:t xml:space="preserve"> </w:t>
            </w:r>
            <w:r w:rsidR="00DC4CE0" w:rsidRPr="00030BEA">
              <w:t>affecté spécialement au</w:t>
            </w:r>
            <w:r w:rsidR="006F26C7" w:rsidRPr="00030BEA">
              <w:t xml:space="preserve"> projet, </w:t>
            </w:r>
            <w:r w:rsidRPr="00030BEA">
              <w:t>mais travaille sous la supervision</w:t>
            </w:r>
            <w:r w:rsidR="00F66E69" w:rsidRPr="00030BEA">
              <w:t xml:space="preserve"> </w:t>
            </w:r>
            <w:r w:rsidRPr="00030BEA">
              <w:t>du</w:t>
            </w:r>
            <w:r w:rsidR="00F66E69" w:rsidRPr="00030BEA">
              <w:t xml:space="preserve"> </w:t>
            </w:r>
            <w:r w:rsidR="006F26C7" w:rsidRPr="00030BEA">
              <w:t>Chef de la Division des achats</w:t>
            </w:r>
            <w:r w:rsidR="00F66E69" w:rsidRPr="00030BEA">
              <w:t xml:space="preserve">. </w:t>
            </w:r>
            <w:r w:rsidR="006F26C7" w:rsidRPr="00030BEA">
              <w:t xml:space="preserve">La Division responsable du projet de nouveau bâtiment est </w:t>
            </w:r>
            <w:r w:rsidR="006E696A" w:rsidRPr="00030BEA">
              <w:t>opérationnelle</w:t>
            </w:r>
            <w:r w:rsidR="00F66E69" w:rsidRPr="00030BEA">
              <w:t xml:space="preserve"> </w:t>
            </w:r>
            <w:r w:rsidR="006F26C7" w:rsidRPr="00030BEA">
              <w:t>depuis le 1er avril</w:t>
            </w:r>
            <w:r w:rsidR="00F66E69" w:rsidRPr="00030BEA">
              <w:t xml:space="preserve"> 2019.</w:t>
            </w:r>
          </w:p>
          <w:p w14:paraId="2B532DDB" w14:textId="0A4A530D" w:rsidR="00F66E69" w:rsidRPr="00030BEA" w:rsidRDefault="006F26C7" w:rsidP="00AF4E79">
            <w:pPr>
              <w:pStyle w:val="Tabletext"/>
            </w:pPr>
            <w:r w:rsidRPr="00030BEA">
              <w:t>Le Vérificateur extérieur des comptes</w:t>
            </w:r>
            <w:r w:rsidR="00F66E69" w:rsidRPr="00030BEA">
              <w:t xml:space="preserve"> </w:t>
            </w:r>
            <w:r w:rsidRPr="00030BEA">
              <w:t>se concentrera sur l'audit financier des comptes établis</w:t>
            </w:r>
            <w:r w:rsidR="00F66E69" w:rsidRPr="00030BEA">
              <w:t xml:space="preserve">, </w:t>
            </w:r>
            <w:r w:rsidR="005F0417" w:rsidRPr="00030BEA">
              <w:t>alors que le projet fait partie de la liste des points</w:t>
            </w:r>
            <w:r w:rsidR="00F66E69" w:rsidRPr="00030BEA">
              <w:t xml:space="preserve"> </w:t>
            </w:r>
            <w:r w:rsidR="005F0417" w:rsidRPr="00030BEA">
              <w:t xml:space="preserve">que </w:t>
            </w:r>
            <w:r w:rsidR="00176B4B" w:rsidRPr="00030BEA">
              <w:t>les vérificateurs extérieurs</w:t>
            </w:r>
            <w:r w:rsidR="00F66E69" w:rsidRPr="00030BEA">
              <w:t xml:space="preserve"> </w:t>
            </w:r>
            <w:r w:rsidR="005F0417" w:rsidRPr="00030BEA">
              <w:t>e</w:t>
            </w:r>
            <w:r w:rsidR="00176B4B" w:rsidRPr="00030BEA">
              <w:t>xamineront</w:t>
            </w:r>
            <w:r w:rsidR="005F0417" w:rsidRPr="00030BEA">
              <w:t xml:space="preserve"> dans leur plan d'audit cette année</w:t>
            </w:r>
            <w:r w:rsidR="00F66E69" w:rsidRPr="00030BEA">
              <w:t>.</w:t>
            </w:r>
          </w:p>
        </w:tc>
        <w:tc>
          <w:tcPr>
            <w:tcW w:w="874" w:type="dxa"/>
            <w:noWrap/>
            <w:tcMar>
              <w:top w:w="0" w:type="dxa"/>
              <w:left w:w="108" w:type="dxa"/>
              <w:bottom w:w="0" w:type="dxa"/>
              <w:right w:w="108" w:type="dxa"/>
            </w:tcMar>
            <w:hideMark/>
          </w:tcPr>
          <w:p w14:paraId="3112FCC2" w14:textId="77777777" w:rsidR="00F66E69" w:rsidRPr="00030BEA" w:rsidRDefault="00F66E69" w:rsidP="00AF4E79">
            <w:pPr>
              <w:pStyle w:val="Tabletext"/>
            </w:pPr>
            <w:r w:rsidRPr="00030BEA">
              <w:t>IAU</w:t>
            </w:r>
          </w:p>
        </w:tc>
        <w:tc>
          <w:tcPr>
            <w:tcW w:w="1111" w:type="dxa"/>
            <w:noWrap/>
            <w:tcMar>
              <w:top w:w="0" w:type="dxa"/>
              <w:left w:w="108" w:type="dxa"/>
              <w:bottom w:w="0" w:type="dxa"/>
              <w:right w:w="108" w:type="dxa"/>
            </w:tcMar>
            <w:hideMark/>
          </w:tcPr>
          <w:p w14:paraId="40775BEB" w14:textId="45CBA4B3" w:rsidR="00F66E69" w:rsidRPr="00030BEA" w:rsidRDefault="0063184C" w:rsidP="00AF4E79">
            <w:pPr>
              <w:pStyle w:val="Tabletext"/>
            </w:pPr>
            <w:r w:rsidRPr="00030BEA">
              <w:t xml:space="preserve">Juin </w:t>
            </w:r>
            <w:r w:rsidR="00F66E69" w:rsidRPr="00030BEA">
              <w:t>2017</w:t>
            </w:r>
          </w:p>
        </w:tc>
      </w:tr>
      <w:tr w:rsidR="00F66E69" w:rsidRPr="00030BEA" w14:paraId="16C66E4C" w14:textId="77777777" w:rsidTr="00054F2C">
        <w:trPr>
          <w:trHeight w:val="2451"/>
          <w:jc w:val="center"/>
        </w:trPr>
        <w:tc>
          <w:tcPr>
            <w:tcW w:w="980" w:type="dxa"/>
            <w:shd w:val="clear" w:color="auto" w:fill="D9E2F3"/>
            <w:noWrap/>
            <w:tcMar>
              <w:top w:w="0" w:type="dxa"/>
              <w:left w:w="108" w:type="dxa"/>
              <w:bottom w:w="0" w:type="dxa"/>
              <w:right w:w="108" w:type="dxa"/>
            </w:tcMar>
            <w:hideMark/>
          </w:tcPr>
          <w:p w14:paraId="3EA60CE9" w14:textId="77777777" w:rsidR="00F66E69" w:rsidRPr="00030BEA" w:rsidRDefault="00F66E69" w:rsidP="00AF4E79">
            <w:pPr>
              <w:pStyle w:val="Tabletext"/>
              <w:rPr>
                <w:b/>
                <w:bCs/>
              </w:rPr>
            </w:pPr>
            <w:r w:rsidRPr="00030BEA">
              <w:rPr>
                <w:b/>
                <w:bCs/>
              </w:rPr>
              <w:lastRenderedPageBreak/>
              <w:t>IMAC 2018/2</w:t>
            </w:r>
          </w:p>
        </w:tc>
        <w:tc>
          <w:tcPr>
            <w:tcW w:w="3685" w:type="dxa"/>
            <w:shd w:val="clear" w:color="auto" w:fill="D9E2F3"/>
            <w:tcMar>
              <w:top w:w="0" w:type="dxa"/>
              <w:left w:w="108" w:type="dxa"/>
              <w:bottom w:w="0" w:type="dxa"/>
              <w:right w:w="108" w:type="dxa"/>
            </w:tcMar>
            <w:hideMark/>
          </w:tcPr>
          <w:p w14:paraId="034A2056" w14:textId="6060D7D6" w:rsidR="00F66E69" w:rsidRPr="00030BEA" w:rsidRDefault="00792D11" w:rsidP="00AF4E79">
            <w:pPr>
              <w:pStyle w:val="Tabletext"/>
            </w:pPr>
            <w:r w:rsidRPr="00030BEA">
              <w:t>Le CCIG recommande que l'UIT s'emploie à harmoniser son modèle de fonctionnement, sa stratégie en matière de ressources humaines et ses principaux domaines d'action avec la vision stratégique de l'Union, afin d'être une organisation adaptée aux besoins, compte tenu de l'accélération de la transformation numérique et du développement de la société de l'information. Le CCIG est prêt à fournir des avis à cet égard</w:t>
            </w:r>
            <w:r w:rsidR="00360FFC" w:rsidRPr="00030BEA">
              <w:t>.</w:t>
            </w:r>
          </w:p>
        </w:tc>
        <w:tc>
          <w:tcPr>
            <w:tcW w:w="1512" w:type="dxa"/>
            <w:shd w:val="clear" w:color="auto" w:fill="FBE4D5"/>
            <w:noWrap/>
            <w:tcMar>
              <w:top w:w="0" w:type="dxa"/>
              <w:left w:w="108" w:type="dxa"/>
              <w:bottom w:w="0" w:type="dxa"/>
              <w:right w:w="108" w:type="dxa"/>
            </w:tcMar>
            <w:hideMark/>
          </w:tcPr>
          <w:p w14:paraId="4DC746FA" w14:textId="359DAC55" w:rsidR="00F66E69" w:rsidRPr="00030BEA" w:rsidRDefault="00C512C4" w:rsidP="00AF4E79">
            <w:pPr>
              <w:pStyle w:val="Tabletext"/>
            </w:pPr>
            <w:r w:rsidRPr="00030BEA">
              <w:t>En cours</w:t>
            </w:r>
          </w:p>
        </w:tc>
        <w:tc>
          <w:tcPr>
            <w:tcW w:w="6864" w:type="dxa"/>
            <w:shd w:val="clear" w:color="auto" w:fill="D9E2F3"/>
            <w:tcMar>
              <w:top w:w="0" w:type="dxa"/>
              <w:left w:w="108" w:type="dxa"/>
              <w:bottom w:w="0" w:type="dxa"/>
              <w:right w:w="108" w:type="dxa"/>
            </w:tcMar>
            <w:hideMark/>
          </w:tcPr>
          <w:p w14:paraId="3C700D64" w14:textId="77777777" w:rsidR="00360FFC" w:rsidRPr="00030BEA" w:rsidRDefault="009C39B9" w:rsidP="00AF4E79">
            <w:pPr>
              <w:pStyle w:val="Tabletext"/>
            </w:pPr>
            <w:r w:rsidRPr="00030BEA">
              <w:t xml:space="preserve">Le Département </w:t>
            </w:r>
            <w:r w:rsidR="00F66E69" w:rsidRPr="00030BEA">
              <w:t xml:space="preserve">HRMD </w:t>
            </w:r>
            <w:r w:rsidRPr="00030BEA">
              <w:t>a élaboré et applique</w:t>
            </w:r>
            <w:r w:rsidR="00F66E69" w:rsidRPr="00030BEA">
              <w:t xml:space="preserve"> </w:t>
            </w:r>
            <w:r w:rsidRPr="00030BEA">
              <w:t>la Stratégie de l'UIT centrée sur le personnel pour la période 2020-2023 et le plan stratégique pour les ressources humaines</w:t>
            </w:r>
            <w:r w:rsidR="00F66E69" w:rsidRPr="00030BEA">
              <w:t>.</w:t>
            </w:r>
          </w:p>
          <w:p w14:paraId="0F0961EA" w14:textId="127ACE99" w:rsidR="00360FFC" w:rsidRPr="00030BEA" w:rsidRDefault="00F36918" w:rsidP="00AF4E79">
            <w:pPr>
              <w:pStyle w:val="Tabletext"/>
            </w:pPr>
            <w:r w:rsidRPr="00030BEA">
              <w:t xml:space="preserve">Compte tenu des travaux du </w:t>
            </w:r>
            <w:r w:rsidR="009C39B9" w:rsidRPr="00030BEA">
              <w:t>Comité de haut niveau sur la gestion</w:t>
            </w:r>
            <w:r w:rsidR="00F66E69" w:rsidRPr="00030BEA">
              <w:t xml:space="preserve">, </w:t>
            </w:r>
            <w:r w:rsidRPr="00030BEA">
              <w:t>du</w:t>
            </w:r>
            <w:r w:rsidR="009C39B9" w:rsidRPr="00030BEA">
              <w:t xml:space="preserve"> rapport </w:t>
            </w:r>
            <w:r w:rsidR="00F66E69" w:rsidRPr="00030BEA">
              <w:t xml:space="preserve">JIU/REP/2019/4 </w:t>
            </w:r>
            <w:r w:rsidR="009C39B9" w:rsidRPr="00030BEA">
              <w:t>e</w:t>
            </w:r>
            <w:r w:rsidRPr="00030BEA">
              <w:t>t des bouleversements</w:t>
            </w:r>
            <w:r w:rsidR="009C39B9" w:rsidRPr="00030BEA">
              <w:t xml:space="preserve"> </w:t>
            </w:r>
            <w:r w:rsidR="00EB0E71">
              <w:t>provoqués par le </w:t>
            </w:r>
            <w:r w:rsidRPr="00030BEA">
              <w:t>COVID</w:t>
            </w:r>
            <w:r w:rsidR="00360FFC" w:rsidRPr="00030BEA">
              <w:noBreakHyphen/>
            </w:r>
            <w:r w:rsidRPr="00030BEA">
              <w:t>19</w:t>
            </w:r>
            <w:r w:rsidR="009C39B9" w:rsidRPr="00030BEA">
              <w:t>, le programme d'analyse des lacunes en matière de compétences et d'évaluation de la culture à l'UIT et le programme d'évaluation de la culture en matière de leadership</w:t>
            </w:r>
            <w:r w:rsidR="00F66E69" w:rsidRPr="00030BEA">
              <w:t xml:space="preserve"> </w:t>
            </w:r>
            <w:r w:rsidR="009C39B9" w:rsidRPr="00030BEA">
              <w:t>visent à renforcer les capacités de l'UIT, pour veiller à ce que l'U</w:t>
            </w:r>
            <w:r w:rsidR="00DC4CE0" w:rsidRPr="00030BEA">
              <w:t>nion</w:t>
            </w:r>
            <w:r w:rsidR="009C39B9" w:rsidRPr="00030BEA">
              <w:t xml:space="preserve"> reste le chef de file de l'écosystème des TIC</w:t>
            </w:r>
            <w:r w:rsidR="00F66E69" w:rsidRPr="00030BEA">
              <w:t xml:space="preserve">. </w:t>
            </w:r>
            <w:r w:rsidR="009C39B9" w:rsidRPr="00030BEA">
              <w:t>Les deux</w:t>
            </w:r>
            <w:r w:rsidR="00F66E69" w:rsidRPr="00030BEA">
              <w:t xml:space="preserve"> programmes </w:t>
            </w:r>
            <w:r w:rsidR="009C39B9" w:rsidRPr="00030BEA">
              <w:t>porten</w:t>
            </w:r>
            <w:r w:rsidR="006A5A2C" w:rsidRPr="00030BEA">
              <w:t xml:space="preserve">t sur les capacités internes </w:t>
            </w:r>
            <w:r w:rsidR="00F66E69" w:rsidRPr="00030BEA">
              <w:t>(</w:t>
            </w:r>
            <w:r w:rsidR="009C39B9" w:rsidRPr="00030BEA">
              <w:t>direction et personnel de l'UIT</w:t>
            </w:r>
            <w:r w:rsidR="00F66E69" w:rsidRPr="00030BEA">
              <w:t xml:space="preserve">) </w:t>
            </w:r>
            <w:r w:rsidR="009C39B9" w:rsidRPr="00030BEA">
              <w:t>et les capacités extérieures</w:t>
            </w:r>
            <w:r w:rsidR="00F66E69" w:rsidRPr="00030BEA">
              <w:t xml:space="preserve"> (</w:t>
            </w:r>
            <w:r w:rsidR="00EB0E71">
              <w:t>la </w:t>
            </w:r>
            <w:r w:rsidR="00CC57AC" w:rsidRPr="00030BEA">
              <w:t>manière dont</w:t>
            </w:r>
            <w:r w:rsidR="009C39B9" w:rsidRPr="00030BEA">
              <w:t xml:space="preserve"> les membres et le personnel de l'UIT</w:t>
            </w:r>
            <w:r w:rsidR="00CC57AC" w:rsidRPr="00030BEA">
              <w:t xml:space="preserve"> interagissent avec</w:t>
            </w:r>
            <w:r w:rsidR="009C39B9" w:rsidRPr="00030BEA">
              <w:t xml:space="preserve"> les parties prenantes extérieures</w:t>
            </w:r>
            <w:r w:rsidR="00CC57AC" w:rsidRPr="00030BEA">
              <w:t xml:space="preserve"> et les Membres</w:t>
            </w:r>
            <w:r w:rsidR="00F66E69" w:rsidRPr="00030BEA">
              <w:t>).</w:t>
            </w:r>
          </w:p>
          <w:p w14:paraId="2292C112" w14:textId="77777777" w:rsidR="00360FFC" w:rsidRPr="00030BEA" w:rsidRDefault="00CD6646" w:rsidP="00AF4E79">
            <w:pPr>
              <w:pStyle w:val="Tabletext"/>
            </w:pPr>
            <w:r w:rsidRPr="00030BEA">
              <w:t xml:space="preserve">Le programme d'analyse des lacunes en matière de compétences et d'évaluation de la culture à l'UIT et le programme d'évaluation de la culture en matière de leadership </w:t>
            </w:r>
            <w:r w:rsidR="006A5A2C" w:rsidRPr="00030BEA">
              <w:t xml:space="preserve">de l'UIT </w:t>
            </w:r>
            <w:r w:rsidR="00F36918" w:rsidRPr="00030BEA">
              <w:t>sont</w:t>
            </w:r>
            <w:r w:rsidR="006C6B50" w:rsidRPr="00030BEA">
              <w:t xml:space="preserve"> </w:t>
            </w:r>
            <w:r w:rsidR="00CC57AC" w:rsidRPr="00030BEA">
              <w:t xml:space="preserve">conçus </w:t>
            </w:r>
            <w:r w:rsidR="006C6B50" w:rsidRPr="00030BEA">
              <w:t xml:space="preserve">et </w:t>
            </w:r>
            <w:r w:rsidR="008116DF" w:rsidRPr="00030BEA">
              <w:t>mis en œuvre</w:t>
            </w:r>
            <w:r w:rsidR="006C6B50" w:rsidRPr="00030BEA">
              <w:t xml:space="preserve"> selon une méthode</w:t>
            </w:r>
            <w:r w:rsidR="00F36918" w:rsidRPr="00030BEA">
              <w:t xml:space="preserve"> consultative et inclusive</w:t>
            </w:r>
            <w:r w:rsidR="00F66E69" w:rsidRPr="00030BEA">
              <w:t xml:space="preserve"> </w:t>
            </w:r>
            <w:r w:rsidR="006C6B50" w:rsidRPr="00030BEA">
              <w:t xml:space="preserve">appliquée </w:t>
            </w:r>
            <w:r w:rsidR="00CC57AC" w:rsidRPr="00030BEA">
              <w:t>à l'échelle</w:t>
            </w:r>
            <w:r w:rsidR="00F36918" w:rsidRPr="00030BEA">
              <w:t xml:space="preserve"> de l'Union</w:t>
            </w:r>
            <w:r w:rsidR="00F66E69" w:rsidRPr="00030BEA">
              <w:t>.</w:t>
            </w:r>
          </w:p>
          <w:p w14:paraId="70FAC674" w14:textId="73059837" w:rsidR="00F66E69" w:rsidRPr="00030BEA" w:rsidRDefault="00F36918" w:rsidP="00AF4E79">
            <w:pPr>
              <w:pStyle w:val="Tabletext"/>
            </w:pPr>
            <w:r w:rsidRPr="00030BEA">
              <w:t>Le plan d'action et les recommandations découlant des projets seront examinés par la direction début mai 2021</w:t>
            </w:r>
            <w:r w:rsidR="00F66E69" w:rsidRPr="00030BEA">
              <w:t>.</w:t>
            </w:r>
          </w:p>
        </w:tc>
        <w:tc>
          <w:tcPr>
            <w:tcW w:w="874" w:type="dxa"/>
            <w:shd w:val="clear" w:color="auto" w:fill="D9E2F3"/>
            <w:noWrap/>
            <w:tcMar>
              <w:top w:w="0" w:type="dxa"/>
              <w:left w:w="108" w:type="dxa"/>
              <w:bottom w:w="0" w:type="dxa"/>
              <w:right w:w="108" w:type="dxa"/>
            </w:tcMar>
            <w:hideMark/>
          </w:tcPr>
          <w:p w14:paraId="5F9C349E" w14:textId="77777777" w:rsidR="00F66E69" w:rsidRPr="00030BEA" w:rsidRDefault="00F66E69" w:rsidP="00AF4E79">
            <w:pPr>
              <w:pStyle w:val="Tabletext"/>
            </w:pPr>
            <w:r w:rsidRPr="00030BEA">
              <w:t>SPM</w:t>
            </w:r>
          </w:p>
        </w:tc>
        <w:tc>
          <w:tcPr>
            <w:tcW w:w="1111" w:type="dxa"/>
            <w:shd w:val="clear" w:color="auto" w:fill="D9E2F3"/>
            <w:noWrap/>
            <w:tcMar>
              <w:top w:w="0" w:type="dxa"/>
              <w:left w:w="108" w:type="dxa"/>
              <w:bottom w:w="0" w:type="dxa"/>
              <w:right w:w="108" w:type="dxa"/>
            </w:tcMar>
            <w:hideMark/>
          </w:tcPr>
          <w:p w14:paraId="069B8192" w14:textId="13BE6E47" w:rsidR="00F66E69" w:rsidRPr="00030BEA" w:rsidRDefault="00176B4B" w:rsidP="00AF4E79">
            <w:pPr>
              <w:pStyle w:val="Tabletext"/>
            </w:pPr>
            <w:r w:rsidRPr="00030BEA">
              <w:t xml:space="preserve">Juin </w:t>
            </w:r>
            <w:r w:rsidR="00F66E69" w:rsidRPr="00030BEA">
              <w:t>2018</w:t>
            </w:r>
          </w:p>
        </w:tc>
      </w:tr>
      <w:tr w:rsidR="00F66E69" w:rsidRPr="00030BEA" w14:paraId="465BF60A" w14:textId="77777777" w:rsidTr="00054F2C">
        <w:trPr>
          <w:trHeight w:val="2132"/>
          <w:jc w:val="center"/>
        </w:trPr>
        <w:tc>
          <w:tcPr>
            <w:tcW w:w="980" w:type="dxa"/>
            <w:noWrap/>
            <w:tcMar>
              <w:top w:w="0" w:type="dxa"/>
              <w:left w:w="108" w:type="dxa"/>
              <w:bottom w:w="0" w:type="dxa"/>
              <w:right w:w="108" w:type="dxa"/>
            </w:tcMar>
            <w:hideMark/>
          </w:tcPr>
          <w:p w14:paraId="55820C2F" w14:textId="77777777" w:rsidR="00F66E69" w:rsidRPr="00030BEA" w:rsidRDefault="00F66E69" w:rsidP="00AF4E79">
            <w:pPr>
              <w:pStyle w:val="Tabletext"/>
              <w:rPr>
                <w:b/>
                <w:bCs/>
              </w:rPr>
            </w:pPr>
            <w:r w:rsidRPr="00030BEA">
              <w:rPr>
                <w:b/>
                <w:bCs/>
              </w:rPr>
              <w:t>IMAC 2019/1</w:t>
            </w:r>
          </w:p>
        </w:tc>
        <w:tc>
          <w:tcPr>
            <w:tcW w:w="3685" w:type="dxa"/>
            <w:tcMar>
              <w:top w:w="0" w:type="dxa"/>
              <w:left w:w="108" w:type="dxa"/>
              <w:bottom w:w="0" w:type="dxa"/>
              <w:right w:w="108" w:type="dxa"/>
            </w:tcMar>
            <w:hideMark/>
          </w:tcPr>
          <w:p w14:paraId="791A5836" w14:textId="26F6C332" w:rsidR="00F66E69" w:rsidRPr="00030BEA" w:rsidRDefault="00792D11" w:rsidP="00AF4E79">
            <w:pPr>
              <w:pStyle w:val="Tabletext"/>
            </w:pPr>
            <w:r w:rsidRPr="00030BEA">
              <w:t>Afin de réduire le risque de fraude, d'irrégularités et d'atteinte à la réputation de l'organisation, le CCIG recommande à l'UIT de procéder à des améliorations et de mettre en place des mécanismes de contrôle adaptés, de façon à permettre une supervision efficace et à garantir la responsabilisation lorsque les processus applicables en matière de supervision et de contrôle par l'encadrement sont négligés. Cette question devrait se voir accorder un rang de priorité élevé.</w:t>
            </w:r>
          </w:p>
        </w:tc>
        <w:tc>
          <w:tcPr>
            <w:tcW w:w="1512" w:type="dxa"/>
            <w:shd w:val="clear" w:color="auto" w:fill="FBE4D5"/>
            <w:noWrap/>
            <w:tcMar>
              <w:top w:w="0" w:type="dxa"/>
              <w:left w:w="108" w:type="dxa"/>
              <w:bottom w:w="0" w:type="dxa"/>
              <w:right w:w="108" w:type="dxa"/>
            </w:tcMar>
            <w:hideMark/>
          </w:tcPr>
          <w:p w14:paraId="02B71A77" w14:textId="602E4E2E" w:rsidR="00F66E69" w:rsidRPr="00030BEA" w:rsidRDefault="00C512C4" w:rsidP="00AF4E79">
            <w:pPr>
              <w:pStyle w:val="Tabletext"/>
            </w:pPr>
            <w:r w:rsidRPr="00030BEA">
              <w:t>En cours</w:t>
            </w:r>
          </w:p>
        </w:tc>
        <w:tc>
          <w:tcPr>
            <w:tcW w:w="6864" w:type="dxa"/>
            <w:tcMar>
              <w:top w:w="0" w:type="dxa"/>
              <w:left w:w="108" w:type="dxa"/>
              <w:bottom w:w="0" w:type="dxa"/>
              <w:right w:w="108" w:type="dxa"/>
            </w:tcMar>
            <w:hideMark/>
          </w:tcPr>
          <w:p w14:paraId="457EEAAC" w14:textId="6BB9B866" w:rsidR="00F66E69" w:rsidRPr="00030BEA" w:rsidRDefault="00A506C2" w:rsidP="00AF4E79">
            <w:pPr>
              <w:pStyle w:val="Tabletext"/>
            </w:pPr>
            <w:r w:rsidRPr="00030BEA">
              <w:t>La Directrice du BDT a créé un Groupe de travail</w:t>
            </w:r>
            <w:r w:rsidR="00F66E69" w:rsidRPr="00030BEA">
              <w:t xml:space="preserve"> </w:t>
            </w:r>
            <w:r w:rsidRPr="00030BEA">
              <w:t>de la haute direction pour examiner et renforcer les contrôles internes sur la gouvernance, l'éthique</w:t>
            </w:r>
            <w:r w:rsidR="00CC57AC" w:rsidRPr="00030BEA">
              <w:t>/</w:t>
            </w:r>
            <w:r w:rsidRPr="00030BEA">
              <w:t>la détection des fraudes et les procédures</w:t>
            </w:r>
            <w:r w:rsidR="00CC57AC" w:rsidRPr="00030BEA">
              <w:t xml:space="preserve"> essentielles</w:t>
            </w:r>
            <w:r w:rsidR="00F66E69" w:rsidRPr="00030BEA">
              <w:t xml:space="preserve">. </w:t>
            </w:r>
            <w:r w:rsidRPr="00030BEA">
              <w:t>Un grand nombre de mesures, de lignes directrices</w:t>
            </w:r>
            <w:r w:rsidR="00F66E69" w:rsidRPr="00030BEA">
              <w:t xml:space="preserve"> </w:t>
            </w:r>
            <w:r w:rsidRPr="00030BEA">
              <w:t>et de politiques relatives au contrôle ont été appliquées en</w:t>
            </w:r>
            <w:r w:rsidR="00F66E69" w:rsidRPr="00030BEA">
              <w:t xml:space="preserve"> 2019 </w:t>
            </w:r>
            <w:r w:rsidRPr="00030BEA">
              <w:t>et</w:t>
            </w:r>
            <w:r w:rsidR="00F66E69" w:rsidRPr="00030BEA">
              <w:t xml:space="preserve"> 2020. </w:t>
            </w:r>
            <w:r w:rsidRPr="00030BEA">
              <w:t xml:space="preserve">Les mesures à </w:t>
            </w:r>
            <w:r w:rsidR="00CC57AC" w:rsidRPr="00030BEA">
              <w:t xml:space="preserve">mener à bien </w:t>
            </w:r>
            <w:r w:rsidRPr="00030BEA">
              <w:t>e</w:t>
            </w:r>
            <w:r w:rsidR="00F66E69" w:rsidRPr="00030BEA">
              <w:t xml:space="preserve">n 2021 </w:t>
            </w:r>
            <w:r w:rsidRPr="00030BEA">
              <w:t xml:space="preserve">sont les </w:t>
            </w:r>
            <w:proofErr w:type="gramStart"/>
            <w:r w:rsidRPr="00030BEA">
              <w:t>suivantes</w:t>
            </w:r>
            <w:r w:rsidR="000B652B" w:rsidRPr="00030BEA">
              <w:t>:</w:t>
            </w:r>
            <w:proofErr w:type="gramEnd"/>
            <w:r w:rsidR="000B652B" w:rsidRPr="00030BEA">
              <w:t xml:space="preserve"> nouveau système et nouvelles procédures de recrutement </w:t>
            </w:r>
            <w:r w:rsidR="00CC57AC" w:rsidRPr="00030BEA">
              <w:t>électronique</w:t>
            </w:r>
            <w:r w:rsidR="000B652B" w:rsidRPr="00030BEA">
              <w:t>; inté</w:t>
            </w:r>
            <w:r w:rsidR="00F66E69" w:rsidRPr="00030BEA">
              <w:t xml:space="preserve">gration </w:t>
            </w:r>
            <w:r w:rsidR="000B652B" w:rsidRPr="00030BEA">
              <w:t xml:space="preserve">de fonctions </w:t>
            </w:r>
            <w:r w:rsidR="00CC57AC" w:rsidRPr="00030BEA">
              <w:t xml:space="preserve">essentielles </w:t>
            </w:r>
            <w:r w:rsidR="000B652B" w:rsidRPr="00030BEA">
              <w:t xml:space="preserve">dans le système </w:t>
            </w:r>
            <w:r w:rsidR="00F66E69" w:rsidRPr="00030BEA">
              <w:t xml:space="preserve">SAP; </w:t>
            </w:r>
            <w:r w:rsidR="000B652B" w:rsidRPr="00030BEA">
              <w:t>déclaration d'intérêts et formation sur la dénonciation</w:t>
            </w:r>
            <w:r w:rsidR="00CC57AC" w:rsidRPr="00030BEA">
              <w:t xml:space="preserve"> d'un manquement</w:t>
            </w:r>
            <w:r w:rsidR="00F66E69" w:rsidRPr="00030BEA">
              <w:t xml:space="preserve">; </w:t>
            </w:r>
            <w:r w:rsidR="000B652B" w:rsidRPr="00030BEA">
              <w:t xml:space="preserve">et examen du cadre </w:t>
            </w:r>
            <w:r w:rsidR="00CC57AC" w:rsidRPr="00030BEA">
              <w:t>en matière de responsabilisation</w:t>
            </w:r>
            <w:r w:rsidR="00F66E69" w:rsidRPr="00030BEA">
              <w:t>.</w:t>
            </w:r>
          </w:p>
        </w:tc>
        <w:tc>
          <w:tcPr>
            <w:tcW w:w="874" w:type="dxa"/>
            <w:noWrap/>
            <w:tcMar>
              <w:top w:w="0" w:type="dxa"/>
              <w:left w:w="108" w:type="dxa"/>
              <w:bottom w:w="0" w:type="dxa"/>
              <w:right w:w="108" w:type="dxa"/>
            </w:tcMar>
            <w:hideMark/>
          </w:tcPr>
          <w:p w14:paraId="30FD9F1B" w14:textId="77777777" w:rsidR="00F66E69" w:rsidRPr="00030BEA" w:rsidRDefault="00F66E69" w:rsidP="00AF4E79">
            <w:pPr>
              <w:pStyle w:val="Tabletext"/>
            </w:pPr>
            <w:r w:rsidRPr="00030BEA">
              <w:t>BDT</w:t>
            </w:r>
          </w:p>
        </w:tc>
        <w:tc>
          <w:tcPr>
            <w:tcW w:w="1111" w:type="dxa"/>
            <w:noWrap/>
            <w:tcMar>
              <w:top w:w="0" w:type="dxa"/>
              <w:left w:w="108" w:type="dxa"/>
              <w:bottom w:w="0" w:type="dxa"/>
              <w:right w:w="108" w:type="dxa"/>
            </w:tcMar>
            <w:hideMark/>
          </w:tcPr>
          <w:p w14:paraId="0CCD9864" w14:textId="64AFD7BD" w:rsidR="00F66E69" w:rsidRPr="00030BEA" w:rsidRDefault="00A506C2" w:rsidP="00AF4E79">
            <w:pPr>
              <w:pStyle w:val="Tabletext"/>
            </w:pPr>
            <w:r w:rsidRPr="00030BEA">
              <w:t xml:space="preserve">Juin </w:t>
            </w:r>
            <w:r w:rsidR="00F66E69" w:rsidRPr="00030BEA">
              <w:t>2019</w:t>
            </w:r>
          </w:p>
        </w:tc>
      </w:tr>
      <w:tr w:rsidR="00F66E69" w:rsidRPr="00030BEA" w14:paraId="16A51AB2" w14:textId="77777777" w:rsidTr="00054F2C">
        <w:trPr>
          <w:trHeight w:val="1425"/>
          <w:jc w:val="center"/>
        </w:trPr>
        <w:tc>
          <w:tcPr>
            <w:tcW w:w="980" w:type="dxa"/>
            <w:shd w:val="clear" w:color="auto" w:fill="D9E2F3"/>
            <w:noWrap/>
            <w:tcMar>
              <w:top w:w="0" w:type="dxa"/>
              <w:left w:w="108" w:type="dxa"/>
              <w:bottom w:w="0" w:type="dxa"/>
              <w:right w:w="108" w:type="dxa"/>
            </w:tcMar>
            <w:hideMark/>
          </w:tcPr>
          <w:p w14:paraId="50FAC2EF" w14:textId="77777777" w:rsidR="00F66E69" w:rsidRPr="00030BEA" w:rsidRDefault="00F66E69" w:rsidP="00AF4E79">
            <w:pPr>
              <w:pStyle w:val="Tabletext"/>
              <w:rPr>
                <w:b/>
                <w:bCs/>
              </w:rPr>
            </w:pPr>
            <w:r w:rsidRPr="00030BEA">
              <w:rPr>
                <w:b/>
                <w:bCs/>
              </w:rPr>
              <w:lastRenderedPageBreak/>
              <w:t>IMAC 2019/4</w:t>
            </w:r>
          </w:p>
        </w:tc>
        <w:tc>
          <w:tcPr>
            <w:tcW w:w="3685" w:type="dxa"/>
            <w:shd w:val="clear" w:color="auto" w:fill="D9E2F3"/>
            <w:tcMar>
              <w:top w:w="0" w:type="dxa"/>
              <w:left w:w="108" w:type="dxa"/>
              <w:bottom w:w="0" w:type="dxa"/>
              <w:right w:w="108" w:type="dxa"/>
            </w:tcMar>
            <w:hideMark/>
          </w:tcPr>
          <w:p w14:paraId="3F153AD8" w14:textId="65F68AF8" w:rsidR="00F66E69" w:rsidRPr="00030BEA" w:rsidRDefault="00792D11" w:rsidP="00AF4E79">
            <w:pPr>
              <w:pStyle w:val="Tabletext"/>
            </w:pPr>
            <w:r w:rsidRPr="00030BEA">
              <w:t>Le CCIG recommande à l'UIT d'appliquer avec rigueur les prescriptions figurant dans ses lignes directrices relatives à la passation de marchés ainsi que toutes les directives architecturales applicables en ce qui concerne l'ensemble des éléments de construction financés par des parrainages ou des dons dans le cadre du projet.</w:t>
            </w:r>
          </w:p>
        </w:tc>
        <w:tc>
          <w:tcPr>
            <w:tcW w:w="1512" w:type="dxa"/>
            <w:shd w:val="clear" w:color="auto" w:fill="FBE4D5"/>
            <w:noWrap/>
            <w:tcMar>
              <w:top w:w="0" w:type="dxa"/>
              <w:left w:w="108" w:type="dxa"/>
              <w:bottom w:w="0" w:type="dxa"/>
              <w:right w:w="108" w:type="dxa"/>
            </w:tcMar>
            <w:hideMark/>
          </w:tcPr>
          <w:p w14:paraId="2C7F3927" w14:textId="6938C13E" w:rsidR="00F66E69" w:rsidRPr="00030BEA" w:rsidRDefault="00C512C4" w:rsidP="00AF4E79">
            <w:pPr>
              <w:pStyle w:val="Tabletext"/>
            </w:pPr>
            <w:r w:rsidRPr="00030BEA">
              <w:t>En cours</w:t>
            </w:r>
          </w:p>
        </w:tc>
        <w:tc>
          <w:tcPr>
            <w:tcW w:w="6864" w:type="dxa"/>
            <w:shd w:val="clear" w:color="auto" w:fill="D9E2F3"/>
            <w:tcMar>
              <w:top w:w="0" w:type="dxa"/>
              <w:left w:w="108" w:type="dxa"/>
              <w:bottom w:w="0" w:type="dxa"/>
              <w:right w:w="108" w:type="dxa"/>
            </w:tcMar>
            <w:hideMark/>
          </w:tcPr>
          <w:p w14:paraId="27C047FD" w14:textId="4C167747" w:rsidR="00F66E69" w:rsidRPr="00030BEA" w:rsidRDefault="00BD6FDB" w:rsidP="00AF4E79">
            <w:pPr>
              <w:pStyle w:val="Tabletext"/>
            </w:pPr>
            <w:r w:rsidRPr="00030BEA">
              <w:t>Aux termes</w:t>
            </w:r>
            <w:r w:rsidR="005D4634" w:rsidRPr="00030BEA">
              <w:t xml:space="preserve"> du point 10 du </w:t>
            </w:r>
            <w:r w:rsidR="005D4634" w:rsidRPr="00030BEA">
              <w:rPr>
                <w:i/>
                <w:iCs/>
              </w:rPr>
              <w:t>charge le Secrétaire général</w:t>
            </w:r>
            <w:r w:rsidRPr="00030BEA">
              <w:t xml:space="preserve"> de la Décision</w:t>
            </w:r>
            <w:r w:rsidR="00F66E69" w:rsidRPr="00030BEA">
              <w:t xml:space="preserve"> 619</w:t>
            </w:r>
            <w:r w:rsidRPr="00030BEA">
              <w:t xml:space="preserve"> </w:t>
            </w:r>
            <w:r w:rsidR="00CC57AC" w:rsidRPr="00030BEA">
              <w:t xml:space="preserve">adoptée par le </w:t>
            </w:r>
            <w:r w:rsidRPr="00030BEA">
              <w:t xml:space="preserve">Conseil à sa session </w:t>
            </w:r>
            <w:r w:rsidR="00CC57AC" w:rsidRPr="00030BEA">
              <w:t xml:space="preserve">additionnelle </w:t>
            </w:r>
            <w:r w:rsidRPr="00030BEA">
              <w:t>de 2019</w:t>
            </w:r>
            <w:r w:rsidR="00F66E69" w:rsidRPr="00030BEA">
              <w:t xml:space="preserve">, </w:t>
            </w:r>
            <w:r w:rsidRPr="00030BEA">
              <w:t xml:space="preserve">le Secrétaire général est chargé </w:t>
            </w:r>
            <w:r w:rsidR="00052511" w:rsidRPr="00030BEA">
              <w:t>de continuer de respecter les normes les plus strictes en matière d'éthique et de passation de marchés dans le cadre de toutes les procédures d'appel d'offres qui seront organisées pendant toute la durée du projet</w:t>
            </w:r>
            <w:r w:rsidR="00F66E69" w:rsidRPr="00030BEA">
              <w:t xml:space="preserve">. </w:t>
            </w:r>
            <w:r w:rsidRPr="00030BEA">
              <w:t>Le processus de passation de marchés</w:t>
            </w:r>
            <w:r w:rsidR="00F66E69" w:rsidRPr="00030BEA">
              <w:t xml:space="preserve"> </w:t>
            </w:r>
            <w:r w:rsidR="00D00930" w:rsidRPr="00030BEA">
              <w:t>relatif</w:t>
            </w:r>
            <w:r w:rsidRPr="00030BEA">
              <w:t xml:space="preserve"> à l'établissement</w:t>
            </w:r>
            <w:r w:rsidR="00F66E69" w:rsidRPr="00030BEA">
              <w:t xml:space="preserve"> </w:t>
            </w:r>
            <w:r w:rsidRPr="00030BEA">
              <w:t xml:space="preserve">du Contrat d'entreprise </w:t>
            </w:r>
            <w:r w:rsidR="00E65549" w:rsidRPr="00030BEA">
              <w:t>général</w:t>
            </w:r>
            <w:r w:rsidR="00F66E69" w:rsidRPr="00030BEA">
              <w:t xml:space="preserve"> </w:t>
            </w:r>
            <w:r w:rsidRPr="00030BEA">
              <w:t xml:space="preserve">sera exécuté conformément </w:t>
            </w:r>
            <w:r w:rsidR="005D4634" w:rsidRPr="00030BEA">
              <w:t xml:space="preserve">à ces </w:t>
            </w:r>
            <w:r w:rsidRPr="00030BEA">
              <w:t>instructions</w:t>
            </w:r>
            <w:r w:rsidR="00F66E69" w:rsidRPr="00030BEA">
              <w:t xml:space="preserve"> </w:t>
            </w:r>
            <w:r w:rsidR="005D4634" w:rsidRPr="00030BEA">
              <w:t xml:space="preserve">en appliquant le </w:t>
            </w:r>
            <w:r w:rsidR="000E2C37" w:rsidRPr="00030BEA">
              <w:t>Manuel sur la passation des marchés et</w:t>
            </w:r>
            <w:r w:rsidR="00F66E69" w:rsidRPr="00030BEA">
              <w:t xml:space="preserve"> </w:t>
            </w:r>
            <w:r w:rsidR="005D4634" w:rsidRPr="00030BEA">
              <w:t xml:space="preserve">le </w:t>
            </w:r>
            <w:r w:rsidR="000E2C37" w:rsidRPr="00030BEA">
              <w:t xml:space="preserve">Règlement financier et </w:t>
            </w:r>
            <w:r w:rsidR="005D4634" w:rsidRPr="00030BEA">
              <w:t>l</w:t>
            </w:r>
            <w:r w:rsidR="000E2C37" w:rsidRPr="00030BEA">
              <w:t>es Règles financières de l'UIT</w:t>
            </w:r>
            <w:r w:rsidR="00F66E69" w:rsidRPr="00030BEA">
              <w:t>.</w:t>
            </w:r>
          </w:p>
        </w:tc>
        <w:tc>
          <w:tcPr>
            <w:tcW w:w="874" w:type="dxa"/>
            <w:shd w:val="clear" w:color="auto" w:fill="D9E2F3"/>
            <w:noWrap/>
            <w:tcMar>
              <w:top w:w="0" w:type="dxa"/>
              <w:left w:w="108" w:type="dxa"/>
              <w:bottom w:w="0" w:type="dxa"/>
              <w:right w:w="108" w:type="dxa"/>
            </w:tcMar>
            <w:hideMark/>
          </w:tcPr>
          <w:p w14:paraId="16967EF1" w14:textId="77777777" w:rsidR="00F66E69" w:rsidRPr="00030BEA" w:rsidRDefault="00F66E69" w:rsidP="00AF4E79">
            <w:pPr>
              <w:pStyle w:val="Tabletext"/>
            </w:pPr>
            <w:r w:rsidRPr="00030BEA">
              <w:t>FRMD</w:t>
            </w:r>
          </w:p>
        </w:tc>
        <w:tc>
          <w:tcPr>
            <w:tcW w:w="1111" w:type="dxa"/>
            <w:shd w:val="clear" w:color="auto" w:fill="D9E2F3"/>
            <w:noWrap/>
            <w:tcMar>
              <w:top w:w="0" w:type="dxa"/>
              <w:left w:w="108" w:type="dxa"/>
              <w:bottom w:w="0" w:type="dxa"/>
              <w:right w:w="108" w:type="dxa"/>
            </w:tcMar>
            <w:hideMark/>
          </w:tcPr>
          <w:p w14:paraId="2690A8B6" w14:textId="11CAFF82" w:rsidR="00F66E69" w:rsidRPr="00030BEA" w:rsidRDefault="00BD6FDB" w:rsidP="00AF4E79">
            <w:pPr>
              <w:pStyle w:val="Tabletext"/>
            </w:pPr>
            <w:r w:rsidRPr="00030BEA">
              <w:t xml:space="preserve">Juin </w:t>
            </w:r>
            <w:r w:rsidR="00F66E69" w:rsidRPr="00030BEA">
              <w:t>2019</w:t>
            </w:r>
          </w:p>
        </w:tc>
      </w:tr>
      <w:tr w:rsidR="00F66E69" w:rsidRPr="00030BEA" w14:paraId="5B0A33D7" w14:textId="77777777" w:rsidTr="00054F2C">
        <w:trPr>
          <w:trHeight w:val="1140"/>
          <w:jc w:val="center"/>
        </w:trPr>
        <w:tc>
          <w:tcPr>
            <w:tcW w:w="980" w:type="dxa"/>
            <w:noWrap/>
            <w:tcMar>
              <w:top w:w="0" w:type="dxa"/>
              <w:left w:w="108" w:type="dxa"/>
              <w:bottom w:w="0" w:type="dxa"/>
              <w:right w:w="108" w:type="dxa"/>
            </w:tcMar>
            <w:hideMark/>
          </w:tcPr>
          <w:p w14:paraId="56FDEA91" w14:textId="77777777" w:rsidR="00F66E69" w:rsidRPr="00030BEA" w:rsidRDefault="00F66E69" w:rsidP="00AF4E79">
            <w:pPr>
              <w:pStyle w:val="Tabletext"/>
              <w:rPr>
                <w:b/>
                <w:bCs/>
              </w:rPr>
            </w:pPr>
            <w:r w:rsidRPr="00030BEA">
              <w:rPr>
                <w:b/>
                <w:bCs/>
              </w:rPr>
              <w:t>IMAC 2020/1</w:t>
            </w:r>
          </w:p>
        </w:tc>
        <w:tc>
          <w:tcPr>
            <w:tcW w:w="3685" w:type="dxa"/>
            <w:tcMar>
              <w:top w:w="0" w:type="dxa"/>
              <w:left w:w="108" w:type="dxa"/>
              <w:bottom w:w="0" w:type="dxa"/>
              <w:right w:w="108" w:type="dxa"/>
            </w:tcMar>
            <w:hideMark/>
          </w:tcPr>
          <w:p w14:paraId="661C9696" w14:textId="44819D29" w:rsidR="00F66E69" w:rsidRPr="00030BEA" w:rsidRDefault="00792D11" w:rsidP="00AF4E79">
            <w:pPr>
              <w:pStyle w:val="Tabletext"/>
            </w:pPr>
            <w:r w:rsidRPr="00030BEA">
              <w:t>Au sein de toute organisation, l'audit interne constitue la troisième ligne de défense pour fournir des garanties quant à la gestion des risques et aux processus de contrôle interne de l'organisation. Le CCIG recommande que l'Unité de l'audit interne soit considérablement renforcée sur le plan des ressources, de la portée et de l'adéquation des processus.</w:t>
            </w:r>
          </w:p>
        </w:tc>
        <w:tc>
          <w:tcPr>
            <w:tcW w:w="1512" w:type="dxa"/>
            <w:shd w:val="clear" w:color="auto" w:fill="FBE4D5"/>
            <w:noWrap/>
            <w:tcMar>
              <w:top w:w="0" w:type="dxa"/>
              <w:left w:w="108" w:type="dxa"/>
              <w:bottom w:w="0" w:type="dxa"/>
              <w:right w:w="108" w:type="dxa"/>
            </w:tcMar>
            <w:hideMark/>
          </w:tcPr>
          <w:p w14:paraId="71C9F77E" w14:textId="7F6A80EA" w:rsidR="00F66E69" w:rsidRPr="00030BEA" w:rsidRDefault="00C512C4" w:rsidP="00AF4E79">
            <w:pPr>
              <w:pStyle w:val="Tabletext"/>
            </w:pPr>
            <w:r w:rsidRPr="00030BEA">
              <w:t>En cours</w:t>
            </w:r>
          </w:p>
        </w:tc>
        <w:tc>
          <w:tcPr>
            <w:tcW w:w="6864" w:type="dxa"/>
            <w:tcMar>
              <w:top w:w="0" w:type="dxa"/>
              <w:left w:w="108" w:type="dxa"/>
              <w:bottom w:w="0" w:type="dxa"/>
              <w:right w:w="108" w:type="dxa"/>
            </w:tcMar>
            <w:hideMark/>
          </w:tcPr>
          <w:p w14:paraId="6C289867" w14:textId="24C520D7" w:rsidR="00F66E69" w:rsidRPr="00030BEA" w:rsidRDefault="00B756C7" w:rsidP="00AF4E79">
            <w:pPr>
              <w:pStyle w:val="Tabletext"/>
            </w:pPr>
            <w:r w:rsidRPr="00030BEA">
              <w:t>Avis de vacance</w:t>
            </w:r>
            <w:r w:rsidR="009E519A" w:rsidRPr="00030BEA">
              <w:t xml:space="preserve"> publié</w:t>
            </w:r>
            <w:r w:rsidR="00F66E69" w:rsidRPr="00030BEA">
              <w:t xml:space="preserve"> </w:t>
            </w:r>
            <w:r w:rsidR="00E65549" w:rsidRPr="00030BEA">
              <w:t>le 15 février</w:t>
            </w:r>
            <w:r w:rsidR="009E519A" w:rsidRPr="00030BEA">
              <w:t xml:space="preserve"> 2021</w:t>
            </w:r>
            <w:r w:rsidRPr="00030BEA">
              <w:t>,</w:t>
            </w:r>
            <w:r w:rsidR="00EA6BCB" w:rsidRPr="00030BEA">
              <w:t xml:space="preserve"> </w:t>
            </w:r>
            <w:r w:rsidR="009E519A" w:rsidRPr="00030BEA">
              <w:t>processus de sélection</w:t>
            </w:r>
            <w:r w:rsidR="00F66E69" w:rsidRPr="00030BEA">
              <w:t xml:space="preserve"> </w:t>
            </w:r>
            <w:r w:rsidR="00EA6BCB" w:rsidRPr="00030BEA">
              <w:t xml:space="preserve">en cours </w:t>
            </w:r>
            <w:r w:rsidR="009E519A" w:rsidRPr="00030BEA">
              <w:t>tout au long des deuxième et troisième trimestres de 2021, conformément aux procédures de recrutement des ressources humaines</w:t>
            </w:r>
            <w:r w:rsidR="00F66E69" w:rsidRPr="00030BEA">
              <w:t>.</w:t>
            </w:r>
          </w:p>
        </w:tc>
        <w:tc>
          <w:tcPr>
            <w:tcW w:w="874" w:type="dxa"/>
            <w:noWrap/>
            <w:tcMar>
              <w:top w:w="0" w:type="dxa"/>
              <w:left w:w="108" w:type="dxa"/>
              <w:bottom w:w="0" w:type="dxa"/>
              <w:right w:w="108" w:type="dxa"/>
            </w:tcMar>
            <w:hideMark/>
          </w:tcPr>
          <w:p w14:paraId="6C6B9C87" w14:textId="77777777" w:rsidR="00F66E69" w:rsidRPr="00030BEA" w:rsidRDefault="00F66E69" w:rsidP="00AF4E79">
            <w:pPr>
              <w:pStyle w:val="Tabletext"/>
            </w:pPr>
            <w:r w:rsidRPr="00030BEA">
              <w:t>IAU</w:t>
            </w:r>
          </w:p>
        </w:tc>
        <w:tc>
          <w:tcPr>
            <w:tcW w:w="1111" w:type="dxa"/>
            <w:noWrap/>
            <w:tcMar>
              <w:top w:w="0" w:type="dxa"/>
              <w:left w:w="108" w:type="dxa"/>
              <w:bottom w:w="0" w:type="dxa"/>
              <w:right w:w="108" w:type="dxa"/>
            </w:tcMar>
            <w:hideMark/>
          </w:tcPr>
          <w:p w14:paraId="7760E3A5" w14:textId="77209B5B" w:rsidR="00F66E69" w:rsidRPr="00030BEA" w:rsidRDefault="00D700B7" w:rsidP="00AF4E79">
            <w:pPr>
              <w:pStyle w:val="Tabletext"/>
            </w:pPr>
            <w:r w:rsidRPr="00030BEA">
              <w:t xml:space="preserve">Décembre </w:t>
            </w:r>
            <w:r w:rsidR="00F66E69" w:rsidRPr="00030BEA">
              <w:t>2020</w:t>
            </w:r>
          </w:p>
        </w:tc>
      </w:tr>
      <w:tr w:rsidR="00F66E69" w:rsidRPr="00030BEA" w14:paraId="7FB9B1D3" w14:textId="77777777" w:rsidTr="00054F2C">
        <w:trPr>
          <w:trHeight w:val="2749"/>
          <w:jc w:val="center"/>
        </w:trPr>
        <w:tc>
          <w:tcPr>
            <w:tcW w:w="980" w:type="dxa"/>
            <w:shd w:val="clear" w:color="auto" w:fill="D9E2F3"/>
            <w:noWrap/>
            <w:tcMar>
              <w:top w:w="0" w:type="dxa"/>
              <w:left w:w="108" w:type="dxa"/>
              <w:bottom w:w="0" w:type="dxa"/>
              <w:right w:w="108" w:type="dxa"/>
            </w:tcMar>
            <w:hideMark/>
          </w:tcPr>
          <w:p w14:paraId="3173A589" w14:textId="77777777" w:rsidR="00F66E69" w:rsidRPr="00030BEA" w:rsidRDefault="00F66E69" w:rsidP="0086096C">
            <w:pPr>
              <w:pStyle w:val="Tabletext"/>
              <w:keepNext/>
              <w:keepLines/>
              <w:rPr>
                <w:b/>
                <w:bCs/>
              </w:rPr>
            </w:pPr>
            <w:r w:rsidRPr="00030BEA">
              <w:rPr>
                <w:b/>
                <w:bCs/>
              </w:rPr>
              <w:lastRenderedPageBreak/>
              <w:t>IMAC 2020/2</w:t>
            </w:r>
          </w:p>
        </w:tc>
        <w:tc>
          <w:tcPr>
            <w:tcW w:w="3685" w:type="dxa"/>
            <w:shd w:val="clear" w:color="auto" w:fill="D9E2F3"/>
            <w:tcMar>
              <w:top w:w="0" w:type="dxa"/>
              <w:left w:w="108" w:type="dxa"/>
              <w:bottom w:w="0" w:type="dxa"/>
              <w:right w:w="108" w:type="dxa"/>
            </w:tcMar>
            <w:hideMark/>
          </w:tcPr>
          <w:p w14:paraId="3CA237DC" w14:textId="125C9C4E" w:rsidR="00F66E69" w:rsidRPr="00030BEA" w:rsidRDefault="00792D11" w:rsidP="0086096C">
            <w:pPr>
              <w:pStyle w:val="Tabletext"/>
              <w:keepNext/>
              <w:keepLines/>
            </w:pPr>
            <w:r w:rsidRPr="00030BEA">
              <w:t>Le CCIG recommande à la direction d'examiner le processus actuel concernant le renforcement du système ERP du Département HRMD et d'étudier cette question à titre prioritaire, afin de trouver la solution la plus adaptée.</w:t>
            </w:r>
          </w:p>
        </w:tc>
        <w:tc>
          <w:tcPr>
            <w:tcW w:w="1512" w:type="dxa"/>
            <w:shd w:val="clear" w:color="auto" w:fill="FBE4D5"/>
            <w:noWrap/>
            <w:tcMar>
              <w:top w:w="0" w:type="dxa"/>
              <w:left w:w="108" w:type="dxa"/>
              <w:bottom w:w="0" w:type="dxa"/>
              <w:right w:w="108" w:type="dxa"/>
            </w:tcMar>
            <w:hideMark/>
          </w:tcPr>
          <w:p w14:paraId="3645CA84" w14:textId="6FF885ED" w:rsidR="00F66E69" w:rsidRPr="00030BEA" w:rsidRDefault="00C512C4" w:rsidP="0086096C">
            <w:pPr>
              <w:pStyle w:val="Tabletext"/>
              <w:keepNext/>
              <w:keepLines/>
            </w:pPr>
            <w:r w:rsidRPr="00030BEA">
              <w:t>En cours</w:t>
            </w:r>
          </w:p>
        </w:tc>
        <w:tc>
          <w:tcPr>
            <w:tcW w:w="6864" w:type="dxa"/>
            <w:shd w:val="clear" w:color="auto" w:fill="D9E2F3"/>
            <w:tcMar>
              <w:top w:w="0" w:type="dxa"/>
              <w:left w:w="108" w:type="dxa"/>
              <w:bottom w:w="0" w:type="dxa"/>
              <w:right w:w="108" w:type="dxa"/>
            </w:tcMar>
            <w:hideMark/>
          </w:tcPr>
          <w:p w14:paraId="2E76EA65" w14:textId="2878772B" w:rsidR="00F66E69" w:rsidRPr="00030BEA" w:rsidRDefault="00E65900" w:rsidP="0086096C">
            <w:pPr>
              <w:pStyle w:val="Tabletext"/>
              <w:keepNext/>
              <w:keepLines/>
            </w:pPr>
            <w:r w:rsidRPr="00030BEA">
              <w:t>L'UIT appuie les recommandations visant à renforcer l'intégration des processus opérationnels existants dans le système ERP pour réduire le traitement manuel</w:t>
            </w:r>
            <w:r w:rsidR="009F2B47" w:rsidRPr="00030BEA">
              <w:t xml:space="preserve"> et introduire davantage de fonctions d'automatisation, à des fins de simplification, de réduction du temps de traitement et de réduction des risques. Tous les bogues (découlant des changements et des nouvelles règles introduits par la CFPI) ont été résolus, </w:t>
            </w:r>
            <w:r w:rsidR="00502854" w:rsidRPr="00030BEA">
              <w:t xml:space="preserve">les dernières corrections devant être reflétées sur les états de paie d'avril 2021. De nouvelles fonctionnalités ont été </w:t>
            </w:r>
            <w:proofErr w:type="gramStart"/>
            <w:r w:rsidR="00502854" w:rsidRPr="00030BEA">
              <w:t>déployées:</w:t>
            </w:r>
            <w:proofErr w:type="gramEnd"/>
            <w:r w:rsidR="00502854" w:rsidRPr="00030BEA">
              <w:t xml:space="preserve"> nouveaux rapports de l'UNSMIS, génération automatique des lettres de nomination et prolongations de contrat, modules RH pour les indemnités pour frais d'études. La comptabilisation des indemnités pour frais d'études dans le module de comptabilité devrait être déployée d'ici à juin 2021. La mise en œuvre de nouvelles fonctionnalités identifiées se </w:t>
            </w:r>
            <w:proofErr w:type="gramStart"/>
            <w:r w:rsidR="00502854" w:rsidRPr="00030BEA">
              <w:t>poursuit:</w:t>
            </w:r>
            <w:proofErr w:type="gramEnd"/>
            <w:r w:rsidR="00502854" w:rsidRPr="00030BEA">
              <w:t xml:space="preserve"> mise en œuvre de l'identifiant universel de la CCPPNU, nouvelle version des rapports annuels de la CCPPNU. De nouveaux projets prioritaires qui n'étaient pas sur la liste de 2020 ont été lancés (a</w:t>
            </w:r>
            <w:r w:rsidR="0051025C" w:rsidRPr="00030BEA">
              <w:t>vec un délai fixé à fin 2021</w:t>
            </w:r>
            <w:proofErr w:type="gramStart"/>
            <w:r w:rsidR="0051025C" w:rsidRPr="00030BEA">
              <w:t>):</w:t>
            </w:r>
            <w:proofErr w:type="gramEnd"/>
            <w:r w:rsidR="0051025C" w:rsidRPr="00030BEA">
              <w:t xml:space="preserve"> n</w:t>
            </w:r>
            <w:r w:rsidR="00502854" w:rsidRPr="00030BEA">
              <w:t>ouveau système de ge</w:t>
            </w:r>
            <w:r w:rsidR="0051025C" w:rsidRPr="00030BEA">
              <w:t xml:space="preserve">stion des recrutements de l'UIT, nouveau système de gestion de l'apprentissage </w:t>
            </w:r>
            <w:r w:rsidR="00143D8D" w:rsidRPr="00030BEA">
              <w:t xml:space="preserve">de l'UIT </w:t>
            </w:r>
            <w:r w:rsidR="00502854" w:rsidRPr="00030BEA">
              <w:t>et migration du système de gestion des experts du BDT vers le système SAP-ERP.</w:t>
            </w:r>
          </w:p>
        </w:tc>
        <w:tc>
          <w:tcPr>
            <w:tcW w:w="874" w:type="dxa"/>
            <w:shd w:val="clear" w:color="auto" w:fill="D9E2F3"/>
            <w:noWrap/>
            <w:tcMar>
              <w:top w:w="0" w:type="dxa"/>
              <w:left w:w="108" w:type="dxa"/>
              <w:bottom w:w="0" w:type="dxa"/>
              <w:right w:w="108" w:type="dxa"/>
            </w:tcMar>
            <w:hideMark/>
          </w:tcPr>
          <w:p w14:paraId="230AE043" w14:textId="77777777" w:rsidR="00F66E69" w:rsidRPr="00030BEA" w:rsidRDefault="00F66E69" w:rsidP="0086096C">
            <w:pPr>
              <w:pStyle w:val="Tabletext"/>
              <w:keepNext/>
              <w:keepLines/>
            </w:pPr>
            <w:r w:rsidRPr="00030BEA">
              <w:t>HRMD</w:t>
            </w:r>
          </w:p>
        </w:tc>
        <w:tc>
          <w:tcPr>
            <w:tcW w:w="1111" w:type="dxa"/>
            <w:shd w:val="clear" w:color="auto" w:fill="D9E2F3"/>
            <w:noWrap/>
            <w:tcMar>
              <w:top w:w="0" w:type="dxa"/>
              <w:left w:w="108" w:type="dxa"/>
              <w:bottom w:w="0" w:type="dxa"/>
              <w:right w:w="108" w:type="dxa"/>
            </w:tcMar>
            <w:hideMark/>
          </w:tcPr>
          <w:p w14:paraId="734A2D53" w14:textId="00207719" w:rsidR="00F66E69" w:rsidRPr="00030BEA" w:rsidRDefault="00E65900" w:rsidP="0086096C">
            <w:pPr>
              <w:pStyle w:val="Tabletext"/>
              <w:keepNext/>
              <w:keepLines/>
            </w:pPr>
            <w:r w:rsidRPr="00030BEA">
              <w:t xml:space="preserve">Décembre </w:t>
            </w:r>
            <w:r w:rsidR="00F66E69" w:rsidRPr="00030BEA">
              <w:t>2020</w:t>
            </w:r>
          </w:p>
        </w:tc>
      </w:tr>
    </w:tbl>
    <w:p w14:paraId="1F6D036F" w14:textId="77777777" w:rsidR="00EB0E71" w:rsidRDefault="00EB0E71" w:rsidP="00EB0E71"/>
    <w:p w14:paraId="41A11432" w14:textId="636471C2" w:rsidR="00F66E69" w:rsidRPr="00030BEA" w:rsidRDefault="00F66E69" w:rsidP="00AF4E79">
      <w:pPr>
        <w:jc w:val="center"/>
      </w:pPr>
      <w:r w:rsidRPr="00030BEA">
        <w:t>______________</w:t>
      </w:r>
    </w:p>
    <w:sectPr w:rsidR="00F66E69" w:rsidRPr="00030BEA" w:rsidSect="00CC2FE8">
      <w:headerReference w:type="default" r:id="rId32"/>
      <w:footerReference w:type="default" r:id="rId33"/>
      <w:pgSz w:w="16840" w:h="11907" w:orient="landscape" w:code="9"/>
      <w:pgMar w:top="1134" w:right="1418" w:bottom="1134" w:left="1418" w:header="720" w:footer="720" w:gutter="0"/>
      <w:paperSrc w:first="261" w:other="26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E25E3" w14:textId="77777777" w:rsidR="003C52F7" w:rsidRDefault="003C52F7">
      <w:r>
        <w:separator/>
      </w:r>
    </w:p>
  </w:endnote>
  <w:endnote w:type="continuationSeparator" w:id="0">
    <w:p w14:paraId="186A234F" w14:textId="77777777" w:rsidR="003C52F7" w:rsidRDefault="003C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B553" w14:textId="1D0AE952" w:rsidR="003C52F7" w:rsidRDefault="00CD1866">
    <w:pPr>
      <w:pStyle w:val="Footer"/>
    </w:pPr>
    <w:r>
      <w:fldChar w:fldCharType="begin"/>
    </w:r>
    <w:r>
      <w:instrText xml:space="preserve"> FILENAME \p \* MERGEFORMAT </w:instrText>
    </w:r>
    <w:r>
      <w:fldChar w:fldCharType="separate"/>
    </w:r>
    <w:r w:rsidR="00054F2C">
      <w:t>P:\FRA\SG\CONSEIL\C21\000\022F.docx</w:t>
    </w:r>
    <w:r>
      <w:fldChar w:fldCharType="end"/>
    </w:r>
    <w:r w:rsidR="003C52F7">
      <w:tab/>
    </w:r>
    <w:r w:rsidR="003C52F7">
      <w:fldChar w:fldCharType="begin"/>
    </w:r>
    <w:r w:rsidR="003C52F7">
      <w:instrText xml:space="preserve"> savedate \@ dd.MM.yy </w:instrText>
    </w:r>
    <w:r w:rsidR="003C52F7">
      <w:fldChar w:fldCharType="separate"/>
    </w:r>
    <w:r>
      <w:t>25.05.21</w:t>
    </w:r>
    <w:r w:rsidR="003C52F7">
      <w:fldChar w:fldCharType="end"/>
    </w:r>
    <w:r w:rsidR="003C52F7">
      <w:tab/>
    </w:r>
    <w:r w:rsidR="003C52F7">
      <w:fldChar w:fldCharType="begin"/>
    </w:r>
    <w:r w:rsidR="003C52F7">
      <w:instrText xml:space="preserve"> printdate \@ dd.MM.yy </w:instrText>
    </w:r>
    <w:r w:rsidR="003C52F7">
      <w:fldChar w:fldCharType="separate"/>
    </w:r>
    <w:r w:rsidR="00054F2C">
      <w:t>18.07.00</w:t>
    </w:r>
    <w:r w:rsidR="003C52F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239E" w14:textId="28EF28AC" w:rsidR="003C52F7" w:rsidRDefault="00AE1C8B" w:rsidP="007419D5">
    <w:pPr>
      <w:pStyle w:val="Footer"/>
    </w:pPr>
    <w:r w:rsidRPr="00CD1866">
      <w:rPr>
        <w:color w:val="F2F2F2" w:themeColor="background1" w:themeShade="F2"/>
      </w:rPr>
      <w:fldChar w:fldCharType="begin"/>
    </w:r>
    <w:r w:rsidRPr="00CD1866">
      <w:rPr>
        <w:color w:val="F2F2F2" w:themeColor="background1" w:themeShade="F2"/>
      </w:rPr>
      <w:instrText xml:space="preserve"> FILENAME \p  \* MERGEFORMAT </w:instrText>
    </w:r>
    <w:r w:rsidRPr="00CD1866">
      <w:rPr>
        <w:color w:val="F2F2F2" w:themeColor="background1" w:themeShade="F2"/>
      </w:rPr>
      <w:fldChar w:fldCharType="separate"/>
    </w:r>
    <w:r w:rsidR="00054F2C" w:rsidRPr="00CD1866">
      <w:rPr>
        <w:color w:val="F2F2F2" w:themeColor="background1" w:themeShade="F2"/>
      </w:rPr>
      <w:t>P:\FRA\SG\CONSEIL\C21\000\022F.docx</w:t>
    </w:r>
    <w:r w:rsidRPr="00CD1866">
      <w:rPr>
        <w:color w:val="F2F2F2" w:themeColor="background1" w:themeShade="F2"/>
      </w:rPr>
      <w:fldChar w:fldCharType="end"/>
    </w:r>
    <w:r w:rsidR="00030BEA" w:rsidRPr="00CD1866">
      <w:rPr>
        <w:color w:val="F2F2F2" w:themeColor="background1" w:themeShade="F2"/>
      </w:rPr>
      <w:t xml:space="preserve"> (483215)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3541" w14:textId="77777777" w:rsidR="003C52F7" w:rsidRDefault="003C52F7">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C176" w14:textId="3C0839AD" w:rsidR="00030BEA" w:rsidRDefault="00CD1866" w:rsidP="007419D5">
    <w:pPr>
      <w:pStyle w:val="Footer"/>
    </w:pPr>
    <w:r w:rsidRPr="00CD1866">
      <w:rPr>
        <w:color w:val="F2F2F2" w:themeColor="background1" w:themeShade="F2"/>
      </w:rPr>
      <w:fldChar w:fldCharType="begin"/>
    </w:r>
    <w:r w:rsidRPr="00CD1866">
      <w:rPr>
        <w:color w:val="F2F2F2" w:themeColor="background1" w:themeShade="F2"/>
      </w:rPr>
      <w:instrText xml:space="preserve"> FILENAME \p  \* MERGEFORMAT </w:instrText>
    </w:r>
    <w:r w:rsidRPr="00CD1866">
      <w:rPr>
        <w:color w:val="F2F2F2" w:themeColor="background1" w:themeShade="F2"/>
      </w:rPr>
      <w:fldChar w:fldCharType="separate"/>
    </w:r>
    <w:r w:rsidR="00054F2C" w:rsidRPr="00CD1866">
      <w:rPr>
        <w:color w:val="F2F2F2" w:themeColor="background1" w:themeShade="F2"/>
      </w:rPr>
      <w:t>P:\FRA\SG\CONSEIL\C21\000\022F.docx</w:t>
    </w:r>
    <w:r w:rsidRPr="00CD1866">
      <w:rPr>
        <w:color w:val="F2F2F2" w:themeColor="background1" w:themeShade="F2"/>
      </w:rPr>
      <w:fldChar w:fldCharType="end"/>
    </w:r>
    <w:r w:rsidR="00030BEA" w:rsidRPr="00CD1866">
      <w:rPr>
        <w:color w:val="F2F2F2" w:themeColor="background1" w:themeShade="F2"/>
      </w:rPr>
      <w:t xml:space="preserve"> (483215)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C141" w14:textId="77777777" w:rsidR="003C52F7" w:rsidRDefault="003C52F7">
      <w:r>
        <w:t>____________________</w:t>
      </w:r>
    </w:p>
  </w:footnote>
  <w:footnote w:type="continuationSeparator" w:id="0">
    <w:p w14:paraId="0894E9AA" w14:textId="77777777" w:rsidR="003C52F7" w:rsidRDefault="003C5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8F89" w14:textId="77777777" w:rsidR="003C52F7" w:rsidRDefault="003C52F7">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27D04147" w14:textId="77777777" w:rsidR="003C52F7" w:rsidRDefault="003C52F7">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6F91" w14:textId="6D5627D5" w:rsidR="003C52F7" w:rsidRDefault="003C52F7" w:rsidP="00475FB3">
    <w:pPr>
      <w:pStyle w:val="Header"/>
    </w:pPr>
    <w:r>
      <w:fldChar w:fldCharType="begin"/>
    </w:r>
    <w:r>
      <w:instrText>PAGE</w:instrText>
    </w:r>
    <w:r>
      <w:fldChar w:fldCharType="separate"/>
    </w:r>
    <w:r w:rsidR="00AE1C8B">
      <w:rPr>
        <w:noProof/>
      </w:rPr>
      <w:t>11</w:t>
    </w:r>
    <w:r>
      <w:rPr>
        <w:noProof/>
      </w:rPr>
      <w:fldChar w:fldCharType="end"/>
    </w:r>
  </w:p>
  <w:p w14:paraId="1903EE69" w14:textId="0057B388" w:rsidR="003C52F7" w:rsidRDefault="003C52F7" w:rsidP="00106B19">
    <w:pPr>
      <w:pStyle w:val="Header"/>
    </w:pPr>
    <w:r>
      <w:t>C21/22-F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6613" w14:textId="7C433D42" w:rsidR="00030BEA" w:rsidRDefault="00030BEA" w:rsidP="00475FB3">
    <w:pPr>
      <w:pStyle w:val="Header"/>
    </w:pPr>
    <w:r>
      <w:fldChar w:fldCharType="begin"/>
    </w:r>
    <w:r>
      <w:instrText>PAGE</w:instrText>
    </w:r>
    <w:r>
      <w:fldChar w:fldCharType="separate"/>
    </w:r>
    <w:r w:rsidR="00AE1C8B">
      <w:rPr>
        <w:noProof/>
      </w:rPr>
      <w:t>17</w:t>
    </w:r>
    <w:r>
      <w:rPr>
        <w:noProof/>
      </w:rPr>
      <w:fldChar w:fldCharType="end"/>
    </w:r>
  </w:p>
  <w:p w14:paraId="4A429B47" w14:textId="77777777" w:rsidR="00030BEA" w:rsidRDefault="00030BEA" w:rsidP="00106B19">
    <w:pPr>
      <w:pStyle w:val="Header"/>
    </w:pPr>
    <w:r>
      <w:t>C21/22-F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C49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6AC2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3C9B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AC05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0419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7AE0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C20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4E0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F893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1448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F49AD"/>
    <w:multiLevelType w:val="multilevel"/>
    <w:tmpl w:val="E3B8961A"/>
    <w:styleLink w:val="ImportierterSti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571"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D554A72"/>
    <w:multiLevelType w:val="hybridMultilevel"/>
    <w:tmpl w:val="6F9C170E"/>
    <w:numStyleLink w:val="ImportierterStil2"/>
  </w:abstractNum>
  <w:abstractNum w:abstractNumId="12" w15:restartNumberingAfterBreak="0">
    <w:nsid w:val="44510AD5"/>
    <w:multiLevelType w:val="hybridMultilevel"/>
    <w:tmpl w:val="6F9C170E"/>
    <w:styleLink w:val="ImportierterStil2"/>
    <w:lvl w:ilvl="0" w:tplc="F3300310">
      <w:start w:val="1"/>
      <w:numFmt w:val="bullet"/>
      <w:lvlText w:val="-"/>
      <w:lvlJc w:val="left"/>
      <w:pPr>
        <w:tabs>
          <w:tab w:val="num" w:pos="1440"/>
        </w:tabs>
        <w:ind w:left="7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3B67752">
      <w:start w:val="1"/>
      <w:numFmt w:val="bullet"/>
      <w:lvlText w:val="o"/>
      <w:lvlJc w:val="left"/>
      <w:pPr>
        <w:tabs>
          <w:tab w:val="num" w:pos="2160"/>
        </w:tabs>
        <w:ind w:left="14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07ED5FC">
      <w:start w:val="1"/>
      <w:numFmt w:val="bullet"/>
      <w:lvlText w:val="▪"/>
      <w:lvlJc w:val="left"/>
      <w:pPr>
        <w:tabs>
          <w:tab w:val="num" w:pos="2880"/>
        </w:tabs>
        <w:ind w:left="21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04A8F7A">
      <w:start w:val="1"/>
      <w:numFmt w:val="bullet"/>
      <w:lvlText w:val="•"/>
      <w:lvlJc w:val="left"/>
      <w:pPr>
        <w:tabs>
          <w:tab w:val="num" w:pos="3600"/>
        </w:tabs>
        <w:ind w:left="28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636CDF8">
      <w:start w:val="1"/>
      <w:numFmt w:val="bullet"/>
      <w:lvlText w:val="o"/>
      <w:lvlJc w:val="left"/>
      <w:pPr>
        <w:tabs>
          <w:tab w:val="num" w:pos="4320"/>
        </w:tabs>
        <w:ind w:left="360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6ECF1DA">
      <w:start w:val="1"/>
      <w:numFmt w:val="bullet"/>
      <w:lvlText w:val="▪"/>
      <w:lvlJc w:val="left"/>
      <w:pPr>
        <w:tabs>
          <w:tab w:val="num" w:pos="5040"/>
        </w:tabs>
        <w:ind w:left="43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A4AABBC">
      <w:start w:val="1"/>
      <w:numFmt w:val="bullet"/>
      <w:lvlText w:val="•"/>
      <w:lvlJc w:val="left"/>
      <w:pPr>
        <w:tabs>
          <w:tab w:val="num" w:pos="5760"/>
        </w:tabs>
        <w:ind w:left="50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18E823E">
      <w:start w:val="1"/>
      <w:numFmt w:val="bullet"/>
      <w:lvlText w:val="o"/>
      <w:lvlJc w:val="left"/>
      <w:pPr>
        <w:tabs>
          <w:tab w:val="num" w:pos="6480"/>
        </w:tabs>
        <w:ind w:left="57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A00DBAA">
      <w:start w:val="1"/>
      <w:numFmt w:val="bullet"/>
      <w:lvlText w:val="▪"/>
      <w:lvlJc w:val="left"/>
      <w:pPr>
        <w:tabs>
          <w:tab w:val="num" w:pos="7200"/>
        </w:tabs>
        <w:ind w:left="64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A030924"/>
    <w:multiLevelType w:val="multilevel"/>
    <w:tmpl w:val="E3B8961A"/>
    <w:numStyleLink w:val="ImportierterStil1"/>
  </w:abstractNum>
  <w:abstractNum w:abstractNumId="14" w15:restartNumberingAfterBreak="0">
    <w:nsid w:val="6A033F59"/>
    <w:multiLevelType w:val="hybridMultilevel"/>
    <w:tmpl w:val="D40A2B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F94"/>
    <w:rsid w:val="00000A0D"/>
    <w:rsid w:val="000147D1"/>
    <w:rsid w:val="00015880"/>
    <w:rsid w:val="00030BEA"/>
    <w:rsid w:val="00030D5C"/>
    <w:rsid w:val="000317B5"/>
    <w:rsid w:val="00044B53"/>
    <w:rsid w:val="0005111B"/>
    <w:rsid w:val="00052511"/>
    <w:rsid w:val="00054F2C"/>
    <w:rsid w:val="00074AF0"/>
    <w:rsid w:val="00077198"/>
    <w:rsid w:val="00081B56"/>
    <w:rsid w:val="0008447D"/>
    <w:rsid w:val="000A094D"/>
    <w:rsid w:val="000B4474"/>
    <w:rsid w:val="000B652B"/>
    <w:rsid w:val="000C59CA"/>
    <w:rsid w:val="000D0D0A"/>
    <w:rsid w:val="000D2057"/>
    <w:rsid w:val="000E2C37"/>
    <w:rsid w:val="000E366B"/>
    <w:rsid w:val="000E4FE9"/>
    <w:rsid w:val="000F42C9"/>
    <w:rsid w:val="00103163"/>
    <w:rsid w:val="00106B19"/>
    <w:rsid w:val="00107E31"/>
    <w:rsid w:val="00111A1F"/>
    <w:rsid w:val="00115D93"/>
    <w:rsid w:val="00122FEF"/>
    <w:rsid w:val="001247A8"/>
    <w:rsid w:val="0012687B"/>
    <w:rsid w:val="00131FDC"/>
    <w:rsid w:val="001378C0"/>
    <w:rsid w:val="0013792A"/>
    <w:rsid w:val="00140F04"/>
    <w:rsid w:val="00143D8D"/>
    <w:rsid w:val="001455D4"/>
    <w:rsid w:val="0015626A"/>
    <w:rsid w:val="00156440"/>
    <w:rsid w:val="00166E21"/>
    <w:rsid w:val="00176A79"/>
    <w:rsid w:val="00176B4B"/>
    <w:rsid w:val="001775C7"/>
    <w:rsid w:val="00182F94"/>
    <w:rsid w:val="001863D6"/>
    <w:rsid w:val="0018694A"/>
    <w:rsid w:val="00191501"/>
    <w:rsid w:val="0019213A"/>
    <w:rsid w:val="0019399F"/>
    <w:rsid w:val="00195A52"/>
    <w:rsid w:val="001A3287"/>
    <w:rsid w:val="001A6508"/>
    <w:rsid w:val="001B0F21"/>
    <w:rsid w:val="001B3B05"/>
    <w:rsid w:val="001B7603"/>
    <w:rsid w:val="001C32DE"/>
    <w:rsid w:val="001C7033"/>
    <w:rsid w:val="001C74D0"/>
    <w:rsid w:val="001D13E8"/>
    <w:rsid w:val="001D4C31"/>
    <w:rsid w:val="001E0747"/>
    <w:rsid w:val="001E3230"/>
    <w:rsid w:val="001E3A3B"/>
    <w:rsid w:val="001E469C"/>
    <w:rsid w:val="001E4D21"/>
    <w:rsid w:val="001E5A90"/>
    <w:rsid w:val="001F6FD0"/>
    <w:rsid w:val="00205B31"/>
    <w:rsid w:val="00207CD1"/>
    <w:rsid w:val="002259D9"/>
    <w:rsid w:val="00230092"/>
    <w:rsid w:val="00230C66"/>
    <w:rsid w:val="0023236B"/>
    <w:rsid w:val="00234E8E"/>
    <w:rsid w:val="00237541"/>
    <w:rsid w:val="002477A2"/>
    <w:rsid w:val="002528A4"/>
    <w:rsid w:val="0025747A"/>
    <w:rsid w:val="002613B2"/>
    <w:rsid w:val="00263A51"/>
    <w:rsid w:val="00264295"/>
    <w:rsid w:val="00267E02"/>
    <w:rsid w:val="00270F3E"/>
    <w:rsid w:val="00273814"/>
    <w:rsid w:val="0027424D"/>
    <w:rsid w:val="00280A3D"/>
    <w:rsid w:val="0028190F"/>
    <w:rsid w:val="002935B7"/>
    <w:rsid w:val="002961F8"/>
    <w:rsid w:val="002A5D44"/>
    <w:rsid w:val="002C0F21"/>
    <w:rsid w:val="002C3814"/>
    <w:rsid w:val="002D0BF2"/>
    <w:rsid w:val="002D28C4"/>
    <w:rsid w:val="002D4E0B"/>
    <w:rsid w:val="002E0BC4"/>
    <w:rsid w:val="002E0C3E"/>
    <w:rsid w:val="002F0EC6"/>
    <w:rsid w:val="002F1B76"/>
    <w:rsid w:val="002F2B6B"/>
    <w:rsid w:val="003058ED"/>
    <w:rsid w:val="00320D23"/>
    <w:rsid w:val="00324935"/>
    <w:rsid w:val="003255A7"/>
    <w:rsid w:val="0033283D"/>
    <w:rsid w:val="0033568E"/>
    <w:rsid w:val="00343952"/>
    <w:rsid w:val="00355FF5"/>
    <w:rsid w:val="00360FFC"/>
    <w:rsid w:val="00361350"/>
    <w:rsid w:val="00364678"/>
    <w:rsid w:val="00366E8D"/>
    <w:rsid w:val="003706CA"/>
    <w:rsid w:val="00380963"/>
    <w:rsid w:val="00380C38"/>
    <w:rsid w:val="00383D90"/>
    <w:rsid w:val="003906CE"/>
    <w:rsid w:val="003A3D2B"/>
    <w:rsid w:val="003A3FA0"/>
    <w:rsid w:val="003A4CAC"/>
    <w:rsid w:val="003B0B99"/>
    <w:rsid w:val="003C3FAE"/>
    <w:rsid w:val="003C52F7"/>
    <w:rsid w:val="003D2812"/>
    <w:rsid w:val="003D751E"/>
    <w:rsid w:val="003E025C"/>
    <w:rsid w:val="003E0FFF"/>
    <w:rsid w:val="003E6D05"/>
    <w:rsid w:val="003E78A4"/>
    <w:rsid w:val="003F5A66"/>
    <w:rsid w:val="003F7C20"/>
    <w:rsid w:val="004038CB"/>
    <w:rsid w:val="0040546F"/>
    <w:rsid w:val="00414903"/>
    <w:rsid w:val="004163B5"/>
    <w:rsid w:val="0042404A"/>
    <w:rsid w:val="0042583B"/>
    <w:rsid w:val="00425B36"/>
    <w:rsid w:val="00430545"/>
    <w:rsid w:val="0043165F"/>
    <w:rsid w:val="0043667D"/>
    <w:rsid w:val="004407EA"/>
    <w:rsid w:val="00440D0C"/>
    <w:rsid w:val="0044376D"/>
    <w:rsid w:val="0044618F"/>
    <w:rsid w:val="0045607E"/>
    <w:rsid w:val="00457824"/>
    <w:rsid w:val="0046769A"/>
    <w:rsid w:val="00475FB3"/>
    <w:rsid w:val="004818DB"/>
    <w:rsid w:val="00485DD4"/>
    <w:rsid w:val="004A012E"/>
    <w:rsid w:val="004B310F"/>
    <w:rsid w:val="004B5D7D"/>
    <w:rsid w:val="004C37A9"/>
    <w:rsid w:val="004D0507"/>
    <w:rsid w:val="004D1D50"/>
    <w:rsid w:val="004D51FF"/>
    <w:rsid w:val="004E1D2C"/>
    <w:rsid w:val="004E4C80"/>
    <w:rsid w:val="004F1586"/>
    <w:rsid w:val="004F259E"/>
    <w:rsid w:val="004F3561"/>
    <w:rsid w:val="00502854"/>
    <w:rsid w:val="0051025C"/>
    <w:rsid w:val="005105B1"/>
    <w:rsid w:val="005113B2"/>
    <w:rsid w:val="00511F1D"/>
    <w:rsid w:val="00513A7A"/>
    <w:rsid w:val="005159C9"/>
    <w:rsid w:val="00520F36"/>
    <w:rsid w:val="00521A01"/>
    <w:rsid w:val="005247C5"/>
    <w:rsid w:val="0053521A"/>
    <w:rsid w:val="005379FE"/>
    <w:rsid w:val="00540615"/>
    <w:rsid w:val="00540933"/>
    <w:rsid w:val="00540A6D"/>
    <w:rsid w:val="0054719B"/>
    <w:rsid w:val="00555079"/>
    <w:rsid w:val="005556CF"/>
    <w:rsid w:val="00571EEA"/>
    <w:rsid w:val="00574055"/>
    <w:rsid w:val="00575417"/>
    <w:rsid w:val="005768E1"/>
    <w:rsid w:val="0058218B"/>
    <w:rsid w:val="005B1938"/>
    <w:rsid w:val="005B1C9B"/>
    <w:rsid w:val="005B4990"/>
    <w:rsid w:val="005B5E7D"/>
    <w:rsid w:val="005B756E"/>
    <w:rsid w:val="005C3890"/>
    <w:rsid w:val="005C3932"/>
    <w:rsid w:val="005D2393"/>
    <w:rsid w:val="005D4634"/>
    <w:rsid w:val="005D6168"/>
    <w:rsid w:val="005E0174"/>
    <w:rsid w:val="005E0818"/>
    <w:rsid w:val="005E1FB1"/>
    <w:rsid w:val="005E3E16"/>
    <w:rsid w:val="005E4B78"/>
    <w:rsid w:val="005F0417"/>
    <w:rsid w:val="005F1ADB"/>
    <w:rsid w:val="005F2A3F"/>
    <w:rsid w:val="005F2D2A"/>
    <w:rsid w:val="005F7BFE"/>
    <w:rsid w:val="00600017"/>
    <w:rsid w:val="00611F2A"/>
    <w:rsid w:val="00614121"/>
    <w:rsid w:val="00620F76"/>
    <w:rsid w:val="006235CA"/>
    <w:rsid w:val="0062667D"/>
    <w:rsid w:val="00630AA1"/>
    <w:rsid w:val="0063184C"/>
    <w:rsid w:val="006328F9"/>
    <w:rsid w:val="00635257"/>
    <w:rsid w:val="0066036D"/>
    <w:rsid w:val="006625E1"/>
    <w:rsid w:val="006640D6"/>
    <w:rsid w:val="006643AB"/>
    <w:rsid w:val="006673A3"/>
    <w:rsid w:val="006710B8"/>
    <w:rsid w:val="00672742"/>
    <w:rsid w:val="006905D8"/>
    <w:rsid w:val="00691B99"/>
    <w:rsid w:val="006A5A2C"/>
    <w:rsid w:val="006A6760"/>
    <w:rsid w:val="006C2F86"/>
    <w:rsid w:val="006C407C"/>
    <w:rsid w:val="006C6B50"/>
    <w:rsid w:val="006C6DB5"/>
    <w:rsid w:val="006D18D2"/>
    <w:rsid w:val="006D3A29"/>
    <w:rsid w:val="006D59A4"/>
    <w:rsid w:val="006D6172"/>
    <w:rsid w:val="006D67CD"/>
    <w:rsid w:val="006D78E3"/>
    <w:rsid w:val="006E5436"/>
    <w:rsid w:val="006E6888"/>
    <w:rsid w:val="006E696A"/>
    <w:rsid w:val="006E751B"/>
    <w:rsid w:val="006F26C7"/>
    <w:rsid w:val="007009AD"/>
    <w:rsid w:val="007025DF"/>
    <w:rsid w:val="0070469A"/>
    <w:rsid w:val="007078D7"/>
    <w:rsid w:val="007079BB"/>
    <w:rsid w:val="00712DAA"/>
    <w:rsid w:val="00714334"/>
    <w:rsid w:val="007210CD"/>
    <w:rsid w:val="00721EE9"/>
    <w:rsid w:val="00725626"/>
    <w:rsid w:val="00726E50"/>
    <w:rsid w:val="007278C9"/>
    <w:rsid w:val="00732045"/>
    <w:rsid w:val="007369DB"/>
    <w:rsid w:val="007419D5"/>
    <w:rsid w:val="00746BE4"/>
    <w:rsid w:val="00752C36"/>
    <w:rsid w:val="007557F2"/>
    <w:rsid w:val="0077264A"/>
    <w:rsid w:val="007731C0"/>
    <w:rsid w:val="007737E6"/>
    <w:rsid w:val="007764DA"/>
    <w:rsid w:val="00792D11"/>
    <w:rsid w:val="007956C2"/>
    <w:rsid w:val="00796C0D"/>
    <w:rsid w:val="00797813"/>
    <w:rsid w:val="007A187E"/>
    <w:rsid w:val="007B2CEB"/>
    <w:rsid w:val="007B40FB"/>
    <w:rsid w:val="007B7920"/>
    <w:rsid w:val="007B7B5C"/>
    <w:rsid w:val="007C0377"/>
    <w:rsid w:val="007C72C2"/>
    <w:rsid w:val="007C776F"/>
    <w:rsid w:val="007D4436"/>
    <w:rsid w:val="007D4BA5"/>
    <w:rsid w:val="007D726E"/>
    <w:rsid w:val="007D7ED9"/>
    <w:rsid w:val="007F257A"/>
    <w:rsid w:val="007F3665"/>
    <w:rsid w:val="007F6D8F"/>
    <w:rsid w:val="00800037"/>
    <w:rsid w:val="008116DF"/>
    <w:rsid w:val="00817E2A"/>
    <w:rsid w:val="008222E9"/>
    <w:rsid w:val="00823F50"/>
    <w:rsid w:val="00841A97"/>
    <w:rsid w:val="008512EE"/>
    <w:rsid w:val="00852521"/>
    <w:rsid w:val="008525E8"/>
    <w:rsid w:val="00853212"/>
    <w:rsid w:val="0086096C"/>
    <w:rsid w:val="00861D73"/>
    <w:rsid w:val="00863040"/>
    <w:rsid w:val="00866895"/>
    <w:rsid w:val="00870CF8"/>
    <w:rsid w:val="008713CD"/>
    <w:rsid w:val="00875442"/>
    <w:rsid w:val="00882289"/>
    <w:rsid w:val="008903DA"/>
    <w:rsid w:val="0089738D"/>
    <w:rsid w:val="008974ED"/>
    <w:rsid w:val="00897553"/>
    <w:rsid w:val="008A221B"/>
    <w:rsid w:val="008A4E87"/>
    <w:rsid w:val="008B710A"/>
    <w:rsid w:val="008C4A11"/>
    <w:rsid w:val="008D0602"/>
    <w:rsid w:val="008D4BE7"/>
    <w:rsid w:val="008D4FA1"/>
    <w:rsid w:val="008D76E6"/>
    <w:rsid w:val="008E1E8F"/>
    <w:rsid w:val="008E33BF"/>
    <w:rsid w:val="008E4030"/>
    <w:rsid w:val="008E4375"/>
    <w:rsid w:val="008E5A64"/>
    <w:rsid w:val="0090690E"/>
    <w:rsid w:val="00911645"/>
    <w:rsid w:val="0091345F"/>
    <w:rsid w:val="00913828"/>
    <w:rsid w:val="00916259"/>
    <w:rsid w:val="00922A41"/>
    <w:rsid w:val="0092392D"/>
    <w:rsid w:val="009316E1"/>
    <w:rsid w:val="0093234A"/>
    <w:rsid w:val="00954E9D"/>
    <w:rsid w:val="00954EBE"/>
    <w:rsid w:val="009560E2"/>
    <w:rsid w:val="00956ECC"/>
    <w:rsid w:val="0096051A"/>
    <w:rsid w:val="00965F3D"/>
    <w:rsid w:val="00966C6E"/>
    <w:rsid w:val="009714E4"/>
    <w:rsid w:val="0097363B"/>
    <w:rsid w:val="009800F1"/>
    <w:rsid w:val="00983C13"/>
    <w:rsid w:val="009878AC"/>
    <w:rsid w:val="00990400"/>
    <w:rsid w:val="0099074A"/>
    <w:rsid w:val="00994400"/>
    <w:rsid w:val="00995D04"/>
    <w:rsid w:val="009A76C7"/>
    <w:rsid w:val="009B4657"/>
    <w:rsid w:val="009C0B99"/>
    <w:rsid w:val="009C307F"/>
    <w:rsid w:val="009C353C"/>
    <w:rsid w:val="009C39B9"/>
    <w:rsid w:val="009D1F94"/>
    <w:rsid w:val="009D46FF"/>
    <w:rsid w:val="009E2BC5"/>
    <w:rsid w:val="009E519A"/>
    <w:rsid w:val="009F20E8"/>
    <w:rsid w:val="009F2B47"/>
    <w:rsid w:val="00A075F4"/>
    <w:rsid w:val="00A15051"/>
    <w:rsid w:val="00A2113E"/>
    <w:rsid w:val="00A23A51"/>
    <w:rsid w:val="00A23D9D"/>
    <w:rsid w:val="00A24607"/>
    <w:rsid w:val="00A25CD3"/>
    <w:rsid w:val="00A26A62"/>
    <w:rsid w:val="00A270A2"/>
    <w:rsid w:val="00A34AF6"/>
    <w:rsid w:val="00A36BB5"/>
    <w:rsid w:val="00A4045F"/>
    <w:rsid w:val="00A506C2"/>
    <w:rsid w:val="00A51E77"/>
    <w:rsid w:val="00A539E0"/>
    <w:rsid w:val="00A709FE"/>
    <w:rsid w:val="00A76E11"/>
    <w:rsid w:val="00A7770E"/>
    <w:rsid w:val="00A81840"/>
    <w:rsid w:val="00A82767"/>
    <w:rsid w:val="00A85762"/>
    <w:rsid w:val="00A94780"/>
    <w:rsid w:val="00AA135F"/>
    <w:rsid w:val="00AA332F"/>
    <w:rsid w:val="00AA7BBB"/>
    <w:rsid w:val="00AA7F49"/>
    <w:rsid w:val="00AA7F80"/>
    <w:rsid w:val="00AB5E26"/>
    <w:rsid w:val="00AB64A8"/>
    <w:rsid w:val="00AC0266"/>
    <w:rsid w:val="00AC1931"/>
    <w:rsid w:val="00AC21E7"/>
    <w:rsid w:val="00AC26B5"/>
    <w:rsid w:val="00AD24EC"/>
    <w:rsid w:val="00AD5617"/>
    <w:rsid w:val="00AD607C"/>
    <w:rsid w:val="00AD79C0"/>
    <w:rsid w:val="00AE1C8B"/>
    <w:rsid w:val="00AE2EAE"/>
    <w:rsid w:val="00AF4E79"/>
    <w:rsid w:val="00B139F5"/>
    <w:rsid w:val="00B140E8"/>
    <w:rsid w:val="00B21040"/>
    <w:rsid w:val="00B219C2"/>
    <w:rsid w:val="00B250DD"/>
    <w:rsid w:val="00B309F9"/>
    <w:rsid w:val="00B32B60"/>
    <w:rsid w:val="00B34477"/>
    <w:rsid w:val="00B47F69"/>
    <w:rsid w:val="00B61619"/>
    <w:rsid w:val="00B64928"/>
    <w:rsid w:val="00B712CC"/>
    <w:rsid w:val="00B72712"/>
    <w:rsid w:val="00B7407D"/>
    <w:rsid w:val="00B74F65"/>
    <w:rsid w:val="00B756C7"/>
    <w:rsid w:val="00B76B4F"/>
    <w:rsid w:val="00B829C2"/>
    <w:rsid w:val="00BA0734"/>
    <w:rsid w:val="00BA24F4"/>
    <w:rsid w:val="00BA7D8E"/>
    <w:rsid w:val="00BB4545"/>
    <w:rsid w:val="00BB6270"/>
    <w:rsid w:val="00BB75F9"/>
    <w:rsid w:val="00BC5DB0"/>
    <w:rsid w:val="00BC6EA1"/>
    <w:rsid w:val="00BD3265"/>
    <w:rsid w:val="00BD5873"/>
    <w:rsid w:val="00BD59B5"/>
    <w:rsid w:val="00BD6FDB"/>
    <w:rsid w:val="00BE1607"/>
    <w:rsid w:val="00BF2467"/>
    <w:rsid w:val="00BF4202"/>
    <w:rsid w:val="00BF491B"/>
    <w:rsid w:val="00C04BE3"/>
    <w:rsid w:val="00C20B34"/>
    <w:rsid w:val="00C22A3F"/>
    <w:rsid w:val="00C25D29"/>
    <w:rsid w:val="00C27A7C"/>
    <w:rsid w:val="00C328F0"/>
    <w:rsid w:val="00C413DD"/>
    <w:rsid w:val="00C42EC6"/>
    <w:rsid w:val="00C50121"/>
    <w:rsid w:val="00C504B4"/>
    <w:rsid w:val="00C512C4"/>
    <w:rsid w:val="00C54138"/>
    <w:rsid w:val="00C55904"/>
    <w:rsid w:val="00C55AA1"/>
    <w:rsid w:val="00C56438"/>
    <w:rsid w:val="00C60C72"/>
    <w:rsid w:val="00C642F6"/>
    <w:rsid w:val="00C65B8E"/>
    <w:rsid w:val="00C81DCF"/>
    <w:rsid w:val="00C83DBC"/>
    <w:rsid w:val="00C92349"/>
    <w:rsid w:val="00C93E31"/>
    <w:rsid w:val="00C9647A"/>
    <w:rsid w:val="00CA08ED"/>
    <w:rsid w:val="00CB0B4D"/>
    <w:rsid w:val="00CB59FC"/>
    <w:rsid w:val="00CC0CBC"/>
    <w:rsid w:val="00CC2FE8"/>
    <w:rsid w:val="00CC57AC"/>
    <w:rsid w:val="00CC748C"/>
    <w:rsid w:val="00CD0681"/>
    <w:rsid w:val="00CD16BB"/>
    <w:rsid w:val="00CD1866"/>
    <w:rsid w:val="00CD6646"/>
    <w:rsid w:val="00CE5D62"/>
    <w:rsid w:val="00CF059D"/>
    <w:rsid w:val="00CF11DC"/>
    <w:rsid w:val="00CF183B"/>
    <w:rsid w:val="00CF415E"/>
    <w:rsid w:val="00D00930"/>
    <w:rsid w:val="00D13F00"/>
    <w:rsid w:val="00D21D93"/>
    <w:rsid w:val="00D22CAE"/>
    <w:rsid w:val="00D22E3A"/>
    <w:rsid w:val="00D344C1"/>
    <w:rsid w:val="00D375CD"/>
    <w:rsid w:val="00D37A6B"/>
    <w:rsid w:val="00D44F60"/>
    <w:rsid w:val="00D47D7B"/>
    <w:rsid w:val="00D5156C"/>
    <w:rsid w:val="00D553A2"/>
    <w:rsid w:val="00D564F9"/>
    <w:rsid w:val="00D61CF1"/>
    <w:rsid w:val="00D62584"/>
    <w:rsid w:val="00D6492E"/>
    <w:rsid w:val="00D700B7"/>
    <w:rsid w:val="00D7232F"/>
    <w:rsid w:val="00D774D3"/>
    <w:rsid w:val="00D811F7"/>
    <w:rsid w:val="00D81824"/>
    <w:rsid w:val="00D822D4"/>
    <w:rsid w:val="00D865F2"/>
    <w:rsid w:val="00D8707A"/>
    <w:rsid w:val="00D87E02"/>
    <w:rsid w:val="00D904E8"/>
    <w:rsid w:val="00D9170B"/>
    <w:rsid w:val="00D93B17"/>
    <w:rsid w:val="00DA08C3"/>
    <w:rsid w:val="00DA329D"/>
    <w:rsid w:val="00DB2127"/>
    <w:rsid w:val="00DB2BDF"/>
    <w:rsid w:val="00DB5A3E"/>
    <w:rsid w:val="00DC1481"/>
    <w:rsid w:val="00DC22AA"/>
    <w:rsid w:val="00DC4CE0"/>
    <w:rsid w:val="00DF0AB3"/>
    <w:rsid w:val="00DF24AB"/>
    <w:rsid w:val="00DF5A46"/>
    <w:rsid w:val="00DF74DD"/>
    <w:rsid w:val="00E0318A"/>
    <w:rsid w:val="00E03D2D"/>
    <w:rsid w:val="00E055E5"/>
    <w:rsid w:val="00E057C4"/>
    <w:rsid w:val="00E068F0"/>
    <w:rsid w:val="00E07A94"/>
    <w:rsid w:val="00E1327D"/>
    <w:rsid w:val="00E20C42"/>
    <w:rsid w:val="00E23020"/>
    <w:rsid w:val="00E25AD0"/>
    <w:rsid w:val="00E25BE5"/>
    <w:rsid w:val="00E329A9"/>
    <w:rsid w:val="00E33098"/>
    <w:rsid w:val="00E37303"/>
    <w:rsid w:val="00E42C24"/>
    <w:rsid w:val="00E43352"/>
    <w:rsid w:val="00E54733"/>
    <w:rsid w:val="00E65549"/>
    <w:rsid w:val="00E65900"/>
    <w:rsid w:val="00E71E5F"/>
    <w:rsid w:val="00E72BD8"/>
    <w:rsid w:val="00E74EC3"/>
    <w:rsid w:val="00E949E0"/>
    <w:rsid w:val="00EA0CD3"/>
    <w:rsid w:val="00EA6BCB"/>
    <w:rsid w:val="00EA7FD7"/>
    <w:rsid w:val="00EB0E71"/>
    <w:rsid w:val="00EB4464"/>
    <w:rsid w:val="00EB6350"/>
    <w:rsid w:val="00EC22D5"/>
    <w:rsid w:val="00EC6E17"/>
    <w:rsid w:val="00EC78B6"/>
    <w:rsid w:val="00ED05E6"/>
    <w:rsid w:val="00EE03FF"/>
    <w:rsid w:val="00EE4955"/>
    <w:rsid w:val="00EE6394"/>
    <w:rsid w:val="00EF01AD"/>
    <w:rsid w:val="00EF3485"/>
    <w:rsid w:val="00EF4A2B"/>
    <w:rsid w:val="00EF658B"/>
    <w:rsid w:val="00F15B57"/>
    <w:rsid w:val="00F362C1"/>
    <w:rsid w:val="00F36918"/>
    <w:rsid w:val="00F41ADB"/>
    <w:rsid w:val="00F41C0B"/>
    <w:rsid w:val="00F427DB"/>
    <w:rsid w:val="00F43834"/>
    <w:rsid w:val="00F50782"/>
    <w:rsid w:val="00F61B58"/>
    <w:rsid w:val="00F64B0A"/>
    <w:rsid w:val="00F66E69"/>
    <w:rsid w:val="00F67F47"/>
    <w:rsid w:val="00F72286"/>
    <w:rsid w:val="00F85128"/>
    <w:rsid w:val="00F872C7"/>
    <w:rsid w:val="00F90877"/>
    <w:rsid w:val="00F91661"/>
    <w:rsid w:val="00F91C99"/>
    <w:rsid w:val="00F9543B"/>
    <w:rsid w:val="00FA5EB1"/>
    <w:rsid w:val="00FA7439"/>
    <w:rsid w:val="00FB6880"/>
    <w:rsid w:val="00FC4EC0"/>
    <w:rsid w:val="00FD51D8"/>
    <w:rsid w:val="00FD5E22"/>
    <w:rsid w:val="00FE1B62"/>
    <w:rsid w:val="00FF0181"/>
    <w:rsid w:val="00FF06A2"/>
    <w:rsid w:val="00FF14AB"/>
    <w:rsid w:val="00FF20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0AF5517"/>
  <w15:docId w15:val="{1C02D5B2-3A26-4B09-9A80-99F4AE24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732045"/>
    <w:pPr>
      <w:spacing w:before="320"/>
      <w:outlineLvl w:val="1"/>
    </w:pPr>
    <w:rPr>
      <w:sz w:val="24"/>
    </w:rPr>
  </w:style>
  <w:style w:type="paragraph" w:styleId="Heading3">
    <w:name w:val="heading 3"/>
    <w:basedOn w:val="Heading1"/>
    <w:next w:val="Normal"/>
    <w:link w:val="Heading3Char"/>
    <w:uiPriority w:val="9"/>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Ohne">
    <w:name w:val="Ohne"/>
    <w:rsid w:val="000F42C9"/>
  </w:style>
  <w:style w:type="character" w:customStyle="1" w:styleId="Hyperlink1">
    <w:name w:val="Hyperlink.1"/>
    <w:basedOn w:val="Ohne"/>
    <w:rsid w:val="000F42C9"/>
    <w:rPr>
      <w:rFonts w:ascii="Calibri" w:eastAsia="Calibri" w:hAnsi="Calibri" w:cs="Calibri"/>
      <w:i/>
      <w:iCs/>
      <w:color w:val="0000FF"/>
      <w:u w:val="single" w:color="0000FF"/>
      <w:lang w:val="en-US"/>
    </w:rPr>
  </w:style>
  <w:style w:type="table" w:styleId="TableGrid">
    <w:name w:val="Table Grid"/>
    <w:basedOn w:val="TableNormal"/>
    <w:rsid w:val="00414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
    <w:name w:val="Numbered Heading"/>
    <w:rsid w:val="00414903"/>
    <w:pPr>
      <w:keepNext/>
      <w:pBdr>
        <w:top w:val="nil"/>
        <w:left w:val="nil"/>
        <w:bottom w:val="nil"/>
        <w:right w:val="nil"/>
        <w:between w:val="nil"/>
        <w:bar w:val="nil"/>
      </w:pBdr>
      <w:spacing w:before="480"/>
      <w:jc w:val="both"/>
    </w:pPr>
    <w:rPr>
      <w:rFonts w:ascii="Calibri" w:eastAsia="Calibri" w:hAnsi="Calibri" w:cs="Calibri"/>
      <w:b/>
      <w:bCs/>
      <w:color w:val="000000"/>
      <w:sz w:val="24"/>
      <w:szCs w:val="24"/>
      <w:u w:color="000000"/>
      <w:bdr w:val="nil"/>
    </w:rPr>
  </w:style>
  <w:style w:type="numbering" w:customStyle="1" w:styleId="ImportierterStil1">
    <w:name w:val="Importierter Stil: 1"/>
    <w:rsid w:val="00414903"/>
    <w:pPr>
      <w:numPr>
        <w:numId w:val="11"/>
      </w:numPr>
    </w:pPr>
  </w:style>
  <w:style w:type="paragraph" w:customStyle="1" w:styleId="Normalnumbered">
    <w:name w:val="Normal (numbered)"/>
    <w:rsid w:val="00414903"/>
    <w:pPr>
      <w:pBdr>
        <w:top w:val="nil"/>
        <w:left w:val="nil"/>
        <w:bottom w:val="nil"/>
        <w:right w:val="nil"/>
        <w:between w:val="nil"/>
        <w:bar w:val="nil"/>
      </w:pBdr>
      <w:spacing w:before="180" w:after="120"/>
      <w:jc w:val="both"/>
    </w:pPr>
    <w:rPr>
      <w:rFonts w:ascii="Calibri" w:eastAsia="Calibri" w:hAnsi="Calibri" w:cs="Calibri"/>
      <w:color w:val="000000"/>
      <w:sz w:val="24"/>
      <w:szCs w:val="24"/>
      <w:u w:color="000000"/>
      <w:bdr w:val="nil"/>
    </w:rPr>
  </w:style>
  <w:style w:type="numbering" w:customStyle="1" w:styleId="ImportierterStil2">
    <w:name w:val="Importierter Stil: 2"/>
    <w:rsid w:val="00414903"/>
    <w:pPr>
      <w:numPr>
        <w:numId w:val="12"/>
      </w:numPr>
    </w:pPr>
  </w:style>
  <w:style w:type="paragraph" w:styleId="ListParagraph">
    <w:name w:val="List Paragraph"/>
    <w:basedOn w:val="Normal"/>
    <w:uiPriority w:val="34"/>
    <w:qFormat/>
    <w:rsid w:val="005105B1"/>
    <w:pPr>
      <w:ind w:left="720"/>
      <w:contextualSpacing/>
    </w:pPr>
  </w:style>
  <w:style w:type="paragraph" w:customStyle="1" w:styleId="Heading">
    <w:name w:val="Heading"/>
    <w:basedOn w:val="Normal"/>
    <w:rsid w:val="00F66E69"/>
    <w:pPr>
      <w:spacing w:line="480" w:lineRule="auto"/>
    </w:pPr>
    <w:rPr>
      <w:caps/>
    </w:rPr>
  </w:style>
  <w:style w:type="paragraph" w:customStyle="1" w:styleId="Heaidngb">
    <w:name w:val="Heaidng_b"/>
    <w:basedOn w:val="Heading"/>
    <w:rsid w:val="00F66E69"/>
  </w:style>
  <w:style w:type="character" w:styleId="CommentReference">
    <w:name w:val="annotation reference"/>
    <w:basedOn w:val="DefaultParagraphFont"/>
    <w:semiHidden/>
    <w:unhideWhenUsed/>
    <w:rsid w:val="00502854"/>
    <w:rPr>
      <w:sz w:val="16"/>
      <w:szCs w:val="16"/>
    </w:rPr>
  </w:style>
  <w:style w:type="paragraph" w:styleId="CommentText">
    <w:name w:val="annotation text"/>
    <w:basedOn w:val="Normal"/>
    <w:link w:val="CommentTextChar"/>
    <w:semiHidden/>
    <w:unhideWhenUsed/>
    <w:rsid w:val="00502854"/>
    <w:rPr>
      <w:sz w:val="20"/>
    </w:rPr>
  </w:style>
  <w:style w:type="character" w:customStyle="1" w:styleId="CommentTextChar">
    <w:name w:val="Comment Text Char"/>
    <w:basedOn w:val="DefaultParagraphFont"/>
    <w:link w:val="CommentText"/>
    <w:semiHidden/>
    <w:rsid w:val="00502854"/>
    <w:rPr>
      <w:rFonts w:ascii="Calibri" w:hAnsi="Calibri"/>
      <w:lang w:val="fr-FR" w:eastAsia="en-US"/>
    </w:rPr>
  </w:style>
  <w:style w:type="paragraph" w:styleId="CommentSubject">
    <w:name w:val="annotation subject"/>
    <w:basedOn w:val="CommentText"/>
    <w:next w:val="CommentText"/>
    <w:link w:val="CommentSubjectChar"/>
    <w:semiHidden/>
    <w:unhideWhenUsed/>
    <w:rsid w:val="00502854"/>
    <w:rPr>
      <w:b/>
      <w:bCs/>
    </w:rPr>
  </w:style>
  <w:style w:type="character" w:customStyle="1" w:styleId="CommentSubjectChar">
    <w:name w:val="Comment Subject Char"/>
    <w:basedOn w:val="CommentTextChar"/>
    <w:link w:val="CommentSubject"/>
    <w:semiHidden/>
    <w:rsid w:val="00502854"/>
    <w:rPr>
      <w:rFonts w:ascii="Calibri" w:hAnsi="Calibri"/>
      <w:b/>
      <w:bCs/>
      <w:lang w:val="fr-FR" w:eastAsia="en-US"/>
    </w:rPr>
  </w:style>
  <w:style w:type="character" w:customStyle="1" w:styleId="Heading2Char">
    <w:name w:val="Heading 2 Char"/>
    <w:basedOn w:val="DefaultParagraphFont"/>
    <w:link w:val="Heading2"/>
    <w:uiPriority w:val="9"/>
    <w:rsid w:val="00502854"/>
    <w:rPr>
      <w:rFonts w:ascii="Calibri" w:hAnsi="Calibri"/>
      <w:b/>
      <w:sz w:val="24"/>
      <w:lang w:val="fr-FR" w:eastAsia="en-US"/>
    </w:rPr>
  </w:style>
  <w:style w:type="character" w:customStyle="1" w:styleId="Heading3Char">
    <w:name w:val="Heading 3 Char"/>
    <w:basedOn w:val="DefaultParagraphFont"/>
    <w:link w:val="Heading3"/>
    <w:uiPriority w:val="9"/>
    <w:rsid w:val="00502854"/>
    <w:rPr>
      <w:rFonts w:ascii="Calibri" w:hAnsi="Calibri"/>
      <w:b/>
      <w:sz w:val="24"/>
      <w:lang w:val="fr-FR" w:eastAsia="en-US"/>
    </w:rPr>
  </w:style>
  <w:style w:type="character" w:customStyle="1" w:styleId="UnresolvedMention1">
    <w:name w:val="Unresolved Mention1"/>
    <w:basedOn w:val="DefaultParagraphFont"/>
    <w:uiPriority w:val="99"/>
    <w:semiHidden/>
    <w:unhideWhenUsed/>
    <w:rsid w:val="0058218B"/>
    <w:rPr>
      <w:color w:val="605E5C"/>
      <w:shd w:val="clear" w:color="auto" w:fill="E1DFDD"/>
    </w:rPr>
  </w:style>
  <w:style w:type="paragraph" w:styleId="Revision">
    <w:name w:val="Revision"/>
    <w:hidden/>
    <w:uiPriority w:val="99"/>
    <w:semiHidden/>
    <w:rsid w:val="001E3A3B"/>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3-CL-C-0065/fr" TargetMode="External"/><Relationship Id="rId18" Type="http://schemas.openxmlformats.org/officeDocument/2006/relationships/hyperlink" Target="https://www.itu.int/md/S18-CL-C-0022/f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en/council/Pages/imac.asp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S12-CL-C-0044/fr" TargetMode="External"/><Relationship Id="rId17" Type="http://schemas.openxmlformats.org/officeDocument/2006/relationships/hyperlink" Target="https://www.itu.int/md/S17-CL-C-0022/fr" TargetMode="External"/><Relationship Id="rId25" Type="http://schemas.openxmlformats.org/officeDocument/2006/relationships/hyperlink" Target="http://www.itu.int/imac"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itu.int/md/S16-CL-C-0022/fr" TargetMode="External"/><Relationship Id="rId20" Type="http://schemas.openxmlformats.org/officeDocument/2006/relationships/hyperlink" Target="https://www.itu.int/md/S20-CL-C-0022/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C-0044/fr" TargetMode="External"/><Relationship Id="rId24" Type="http://schemas.openxmlformats.org/officeDocument/2006/relationships/hyperlink" Target="https://www.unjiu.org/sites/www.unjiu.org/files/jiu_rep_2020_1_french_0.pdf"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md/S15-CL-C-0022/fr" TargetMode="External"/><Relationship Id="rId23" Type="http://schemas.openxmlformats.org/officeDocument/2006/relationships/hyperlink" Target="https://www.unjiu.org/sites/www.unjiu.org/files/jiu_rep_2019_6_french_0.pdf" TargetMode="External"/><Relationship Id="rId28" Type="http://schemas.openxmlformats.org/officeDocument/2006/relationships/footer" Target="footer1.xml"/><Relationship Id="rId10" Type="http://schemas.openxmlformats.org/officeDocument/2006/relationships/hyperlink" Target="https://www.itu.int/md/S19-CL-C-0132/en" TargetMode="External"/><Relationship Id="rId19" Type="http://schemas.openxmlformats.org/officeDocument/2006/relationships/hyperlink" Target="https://www.itu.int/md/S19-CL-C-0022/en"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u.int/en/council/Documents/basic-texts/RES-162-F.pdf" TargetMode="External"/><Relationship Id="rId14" Type="http://schemas.openxmlformats.org/officeDocument/2006/relationships/hyperlink" Target="http://www.itu.int/md/S14-CL-C-0022/fr" TargetMode="External"/><Relationship Id="rId22" Type="http://schemas.openxmlformats.org/officeDocument/2006/relationships/hyperlink" Target="https://www.itu.int/fr/council/2018/Pages/default.aspx"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Desktop\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F5078-AE4A-47E6-A5E6-2A5C0A73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PF_C21.dotx</Template>
  <TotalTime>1</TotalTime>
  <Pages>17</Pages>
  <Words>6665</Words>
  <Characters>36559</Characters>
  <Application>Microsoft Office Word</Application>
  <DocSecurity>4</DocSecurity>
  <Lines>304</Lines>
  <Paragraphs>86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43138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Dixième rapport annuel du Comité consultatif indépendant pour les questions de gestion (CCIG)</dc:title>
  <dc:subject>Council 2021, Virtual consultation of councillors</dc:subject>
  <dc:creator>Collonge, Marion</dc:creator>
  <cp:keywords>C2021, C21, VCC, C21-VCC-1</cp:keywords>
  <dc:description/>
  <cp:lastModifiedBy>Xue, Kun</cp:lastModifiedBy>
  <cp:revision>2</cp:revision>
  <cp:lastPrinted>2000-07-18T08:55:00Z</cp:lastPrinted>
  <dcterms:created xsi:type="dcterms:W3CDTF">2021-05-25T12:10:00Z</dcterms:created>
  <dcterms:modified xsi:type="dcterms:W3CDTF">2021-05-25T12:10:00Z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