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22E6929" w14:textId="77777777" w:rsidTr="00464B6C">
        <w:trPr>
          <w:cantSplit/>
        </w:trPr>
        <w:tc>
          <w:tcPr>
            <w:tcW w:w="6911" w:type="dxa"/>
          </w:tcPr>
          <w:p w14:paraId="422E6927" w14:textId="02797D7D" w:rsidR="002A2188" w:rsidRPr="00BE39B5" w:rsidRDefault="002A2188" w:rsidP="00FB1279">
            <w:pPr>
              <w:spacing w:before="360" w:after="48" w:line="240" w:lineRule="atLeast"/>
              <w:rPr>
                <w:rFonts w:asciiTheme="minorHAnsi" w:hAnsiTheme="minorHAnsi" w:cstheme="minorHAnsi"/>
                <w:position w:val="6"/>
              </w:rPr>
            </w:pPr>
            <w:bookmarkStart w:id="0" w:name="dc06"/>
            <w:bookmarkEnd w:id="0"/>
            <w:r w:rsidRPr="00BE39B5">
              <w:rPr>
                <w:rFonts w:asciiTheme="minorHAnsi" w:hAnsiTheme="minorHAnsi" w:cstheme="minorHAnsi"/>
                <w:b/>
                <w:bCs/>
                <w:position w:val="6"/>
                <w:sz w:val="30"/>
                <w:szCs w:val="30"/>
              </w:rPr>
              <w:t xml:space="preserve">Council </w:t>
            </w:r>
            <w:r w:rsidR="003E7E5F" w:rsidRPr="00BE39B5">
              <w:rPr>
                <w:rFonts w:asciiTheme="minorHAnsi" w:hAnsiTheme="minorHAnsi" w:cstheme="minorHAnsi"/>
                <w:b/>
                <w:bCs/>
                <w:position w:val="6"/>
                <w:sz w:val="30"/>
                <w:szCs w:val="30"/>
              </w:rPr>
              <w:t>202</w:t>
            </w:r>
            <w:r w:rsidR="00E45802">
              <w:rPr>
                <w:rFonts w:asciiTheme="minorHAnsi" w:hAnsiTheme="minorHAnsi" w:cstheme="minorHAnsi"/>
                <w:b/>
                <w:bCs/>
                <w:position w:val="6"/>
                <w:sz w:val="30"/>
                <w:szCs w:val="30"/>
              </w:rPr>
              <w:t>1</w:t>
            </w:r>
            <w:r w:rsidRPr="00BE39B5">
              <w:rPr>
                <w:rFonts w:asciiTheme="minorHAnsi" w:hAnsiTheme="minorHAnsi" w:cstheme="minorHAnsi"/>
                <w:b/>
                <w:position w:val="6"/>
                <w:sz w:val="26"/>
                <w:szCs w:val="26"/>
              </w:rPr>
              <w:br/>
            </w:r>
            <w:r w:rsidR="00D666EA" w:rsidRPr="00D666EA">
              <w:rPr>
                <w:rFonts w:asciiTheme="minorHAnsi" w:hAnsiTheme="minorHAnsi" w:cstheme="minorHAnsi"/>
                <w:b/>
                <w:bCs/>
                <w:position w:val="6"/>
              </w:rPr>
              <w:t>Virtual consultation of councillors, 8-18 June 2021</w:t>
            </w:r>
          </w:p>
        </w:tc>
        <w:tc>
          <w:tcPr>
            <w:tcW w:w="3120" w:type="dxa"/>
          </w:tcPr>
          <w:p w14:paraId="422E6928" w14:textId="77777777" w:rsidR="002A2188" w:rsidRPr="00BE39B5" w:rsidRDefault="003E7E5F" w:rsidP="001E7144">
            <w:pPr>
              <w:spacing w:line="240" w:lineRule="atLeast"/>
              <w:rPr>
                <w:rFonts w:asciiTheme="minorHAnsi" w:hAnsiTheme="minorHAnsi" w:cstheme="minorHAnsi"/>
              </w:rPr>
            </w:pPr>
            <w:bookmarkStart w:id="1" w:name="ditulogo"/>
            <w:bookmarkEnd w:id="1"/>
            <w:r w:rsidRPr="00BE39B5">
              <w:rPr>
                <w:rFonts w:asciiTheme="minorHAnsi" w:hAnsiTheme="minorHAnsi" w:cstheme="minorHAnsi"/>
                <w:noProof/>
                <w:lang w:eastAsia="zh-CN"/>
              </w:rPr>
              <w:drawing>
                <wp:inline distT="0" distB="0" distL="0" distR="0" wp14:anchorId="422E69AD" wp14:editId="422E69A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422E692C" w14:textId="77777777" w:rsidTr="00464B6C">
        <w:trPr>
          <w:cantSplit/>
        </w:trPr>
        <w:tc>
          <w:tcPr>
            <w:tcW w:w="6911" w:type="dxa"/>
            <w:tcBorders>
              <w:bottom w:val="single" w:sz="12" w:space="0" w:color="auto"/>
            </w:tcBorders>
          </w:tcPr>
          <w:p w14:paraId="422E692A" w14:textId="77777777" w:rsidR="002A2188" w:rsidRPr="00BE39B5" w:rsidRDefault="002A2188" w:rsidP="00464B6C">
            <w:pPr>
              <w:spacing w:after="48" w:line="240" w:lineRule="atLeast"/>
              <w:rPr>
                <w:rFonts w:asciiTheme="minorHAnsi" w:hAnsiTheme="minorHAnsi" w:cstheme="minorHAnsi"/>
                <w:b/>
                <w:smallCaps/>
              </w:rPr>
            </w:pPr>
          </w:p>
        </w:tc>
        <w:tc>
          <w:tcPr>
            <w:tcW w:w="3120" w:type="dxa"/>
            <w:tcBorders>
              <w:bottom w:val="single" w:sz="12" w:space="0" w:color="auto"/>
            </w:tcBorders>
          </w:tcPr>
          <w:p w14:paraId="422E692B" w14:textId="77777777" w:rsidR="002A2188" w:rsidRPr="00BE39B5" w:rsidRDefault="002A2188" w:rsidP="00464B6C">
            <w:pPr>
              <w:spacing w:line="240" w:lineRule="atLeast"/>
              <w:rPr>
                <w:rFonts w:asciiTheme="minorHAnsi" w:hAnsiTheme="minorHAnsi" w:cstheme="minorHAnsi"/>
              </w:rPr>
            </w:pPr>
          </w:p>
        </w:tc>
      </w:tr>
      <w:tr w:rsidR="002A2188" w:rsidRPr="00813E5E" w14:paraId="422E692F" w14:textId="77777777" w:rsidTr="00464B6C">
        <w:trPr>
          <w:cantSplit/>
        </w:trPr>
        <w:tc>
          <w:tcPr>
            <w:tcW w:w="6911" w:type="dxa"/>
            <w:tcBorders>
              <w:top w:val="single" w:sz="12" w:space="0" w:color="auto"/>
            </w:tcBorders>
          </w:tcPr>
          <w:p w14:paraId="422E692D" w14:textId="77777777" w:rsidR="002A2188" w:rsidRPr="00BE39B5" w:rsidRDefault="002A2188" w:rsidP="004F1EE3">
            <w:pPr>
              <w:spacing w:line="240" w:lineRule="atLeast"/>
              <w:rPr>
                <w:rFonts w:asciiTheme="minorHAnsi" w:hAnsiTheme="minorHAnsi" w:cstheme="minorHAnsi"/>
                <w:b/>
                <w:smallCaps/>
              </w:rPr>
            </w:pPr>
          </w:p>
        </w:tc>
        <w:tc>
          <w:tcPr>
            <w:tcW w:w="3120" w:type="dxa"/>
            <w:tcBorders>
              <w:top w:val="single" w:sz="12" w:space="0" w:color="auto"/>
            </w:tcBorders>
          </w:tcPr>
          <w:p w14:paraId="422E692E" w14:textId="77777777" w:rsidR="002A2188" w:rsidRPr="00BE39B5" w:rsidRDefault="002A2188" w:rsidP="004F1EE3">
            <w:pPr>
              <w:spacing w:line="240" w:lineRule="atLeast"/>
              <w:rPr>
                <w:rFonts w:asciiTheme="minorHAnsi" w:hAnsiTheme="minorHAnsi" w:cstheme="minorHAnsi"/>
              </w:rPr>
            </w:pPr>
          </w:p>
        </w:tc>
      </w:tr>
      <w:tr w:rsidR="002A2188" w:rsidRPr="00813E5E" w14:paraId="422E6932" w14:textId="77777777" w:rsidTr="00464B6C">
        <w:trPr>
          <w:cantSplit/>
          <w:trHeight w:val="23"/>
        </w:trPr>
        <w:tc>
          <w:tcPr>
            <w:tcW w:w="6911" w:type="dxa"/>
            <w:vMerge w:val="restart"/>
          </w:tcPr>
          <w:p w14:paraId="422E6930" w14:textId="77777777" w:rsidR="002A2188" w:rsidRPr="00BE39B5" w:rsidRDefault="002A2188" w:rsidP="004F1EE3">
            <w:pPr>
              <w:tabs>
                <w:tab w:val="left" w:pos="851"/>
              </w:tabs>
              <w:spacing w:line="240" w:lineRule="atLeast"/>
              <w:rPr>
                <w:rFonts w:asciiTheme="minorHAnsi" w:hAnsiTheme="minorHAnsi" w:cstheme="minorHAnsi"/>
                <w:b/>
              </w:rPr>
            </w:pPr>
            <w:bookmarkStart w:id="2" w:name="dmeeting" w:colFirst="0" w:colLast="0"/>
            <w:bookmarkStart w:id="3" w:name="dnum" w:colFirst="1" w:colLast="1"/>
          </w:p>
        </w:tc>
        <w:tc>
          <w:tcPr>
            <w:tcW w:w="3120" w:type="dxa"/>
          </w:tcPr>
          <w:p w14:paraId="422E6931" w14:textId="63DA1DDB" w:rsidR="002A2188" w:rsidRPr="004E3628" w:rsidRDefault="002A2188" w:rsidP="004F1EE3">
            <w:pPr>
              <w:tabs>
                <w:tab w:val="left" w:pos="851"/>
              </w:tabs>
              <w:spacing w:line="240" w:lineRule="atLeast"/>
              <w:rPr>
                <w:rFonts w:asciiTheme="minorHAnsi" w:hAnsiTheme="minorHAnsi" w:cstheme="minorHAnsi"/>
                <w:b/>
              </w:rPr>
            </w:pPr>
            <w:r w:rsidRPr="004E3628">
              <w:rPr>
                <w:rFonts w:asciiTheme="minorHAnsi" w:hAnsiTheme="minorHAnsi" w:cstheme="minorHAnsi"/>
                <w:b/>
              </w:rPr>
              <w:t xml:space="preserve">Document </w:t>
            </w:r>
            <w:r w:rsidR="00887E27" w:rsidRPr="004E3628">
              <w:rPr>
                <w:rFonts w:asciiTheme="minorHAnsi" w:hAnsiTheme="minorHAnsi" w:cstheme="minorHAnsi"/>
                <w:b/>
              </w:rPr>
              <w:t>C2</w:t>
            </w:r>
            <w:r w:rsidR="00621769">
              <w:rPr>
                <w:rFonts w:asciiTheme="minorHAnsi" w:hAnsiTheme="minorHAnsi" w:cstheme="minorHAnsi"/>
                <w:b/>
              </w:rPr>
              <w:t>1</w:t>
            </w:r>
            <w:r w:rsidR="00887E27" w:rsidRPr="004E3628">
              <w:rPr>
                <w:rFonts w:asciiTheme="minorHAnsi" w:hAnsiTheme="minorHAnsi" w:cstheme="minorHAnsi"/>
                <w:b/>
              </w:rPr>
              <w:t>/22-E</w:t>
            </w:r>
          </w:p>
        </w:tc>
      </w:tr>
      <w:tr w:rsidR="002A2188" w:rsidRPr="00813E5E" w14:paraId="422E6935" w14:textId="77777777" w:rsidTr="00464B6C">
        <w:trPr>
          <w:cantSplit/>
          <w:trHeight w:val="23"/>
        </w:trPr>
        <w:tc>
          <w:tcPr>
            <w:tcW w:w="6911" w:type="dxa"/>
            <w:vMerge/>
          </w:tcPr>
          <w:p w14:paraId="422E6933" w14:textId="77777777" w:rsidR="002A2188" w:rsidRPr="00BE39B5" w:rsidRDefault="002A2188" w:rsidP="00464B6C">
            <w:pPr>
              <w:tabs>
                <w:tab w:val="left" w:pos="851"/>
              </w:tabs>
              <w:spacing w:line="240" w:lineRule="atLeast"/>
              <w:rPr>
                <w:rFonts w:asciiTheme="minorHAnsi" w:hAnsiTheme="minorHAnsi" w:cstheme="minorHAnsi"/>
                <w:b/>
              </w:rPr>
            </w:pPr>
            <w:bookmarkStart w:id="4" w:name="ddate" w:colFirst="1" w:colLast="1"/>
            <w:bookmarkEnd w:id="2"/>
            <w:bookmarkEnd w:id="3"/>
          </w:p>
        </w:tc>
        <w:tc>
          <w:tcPr>
            <w:tcW w:w="3120" w:type="dxa"/>
          </w:tcPr>
          <w:p w14:paraId="422E6934" w14:textId="60BE4654" w:rsidR="002A2188" w:rsidRPr="00621769" w:rsidRDefault="00140621" w:rsidP="00FB1279">
            <w:pPr>
              <w:tabs>
                <w:tab w:val="left" w:pos="993"/>
              </w:tabs>
              <w:rPr>
                <w:rFonts w:asciiTheme="minorHAnsi" w:hAnsiTheme="minorHAnsi" w:cstheme="minorHAnsi"/>
                <w:b/>
              </w:rPr>
            </w:pPr>
            <w:r>
              <w:rPr>
                <w:rFonts w:asciiTheme="minorHAnsi" w:hAnsiTheme="minorHAnsi" w:cstheme="minorHAnsi"/>
                <w:b/>
              </w:rPr>
              <w:t>1</w:t>
            </w:r>
            <w:r w:rsidR="009F72A4">
              <w:rPr>
                <w:rFonts w:asciiTheme="minorHAnsi" w:hAnsiTheme="minorHAnsi" w:cstheme="minorHAnsi"/>
                <w:b/>
              </w:rPr>
              <w:t>2</w:t>
            </w:r>
            <w:r w:rsidRPr="004E3628">
              <w:rPr>
                <w:rFonts w:asciiTheme="minorHAnsi" w:hAnsiTheme="minorHAnsi" w:cstheme="minorHAnsi"/>
                <w:b/>
              </w:rPr>
              <w:t xml:space="preserve"> </w:t>
            </w:r>
            <w:r w:rsidR="00621769">
              <w:rPr>
                <w:rFonts w:asciiTheme="minorHAnsi" w:hAnsiTheme="minorHAnsi" w:cstheme="minorHAnsi"/>
                <w:b/>
              </w:rPr>
              <w:t>May</w:t>
            </w:r>
            <w:r w:rsidR="002A2188" w:rsidRPr="004E3628">
              <w:rPr>
                <w:rFonts w:asciiTheme="minorHAnsi" w:hAnsiTheme="minorHAnsi" w:cstheme="minorHAnsi"/>
                <w:b/>
              </w:rPr>
              <w:t xml:space="preserve"> </w:t>
            </w:r>
            <w:r w:rsidR="003E7E5F" w:rsidRPr="004E3628">
              <w:rPr>
                <w:rFonts w:asciiTheme="minorHAnsi" w:hAnsiTheme="minorHAnsi" w:cstheme="minorHAnsi"/>
                <w:b/>
              </w:rPr>
              <w:t>202</w:t>
            </w:r>
            <w:r w:rsidR="00621769">
              <w:rPr>
                <w:rFonts w:asciiTheme="minorHAnsi" w:hAnsiTheme="minorHAnsi" w:cstheme="minorHAnsi"/>
                <w:b/>
              </w:rPr>
              <w:t>1</w:t>
            </w:r>
          </w:p>
        </w:tc>
      </w:tr>
      <w:tr w:rsidR="002A2188" w:rsidRPr="00813E5E" w14:paraId="422E6938" w14:textId="77777777" w:rsidTr="00464B6C">
        <w:trPr>
          <w:cantSplit/>
          <w:trHeight w:val="23"/>
        </w:trPr>
        <w:tc>
          <w:tcPr>
            <w:tcW w:w="6911" w:type="dxa"/>
            <w:vMerge/>
          </w:tcPr>
          <w:p w14:paraId="422E6936" w14:textId="77777777" w:rsidR="002A2188" w:rsidRPr="00BE39B5" w:rsidRDefault="002A2188" w:rsidP="00464B6C">
            <w:pPr>
              <w:tabs>
                <w:tab w:val="left" w:pos="851"/>
              </w:tabs>
              <w:spacing w:line="240" w:lineRule="atLeast"/>
              <w:rPr>
                <w:rFonts w:asciiTheme="minorHAnsi" w:hAnsiTheme="minorHAnsi" w:cstheme="minorHAnsi"/>
                <w:b/>
              </w:rPr>
            </w:pPr>
            <w:bookmarkStart w:id="5" w:name="dorlang" w:colFirst="1" w:colLast="1"/>
            <w:bookmarkEnd w:id="4"/>
          </w:p>
        </w:tc>
        <w:tc>
          <w:tcPr>
            <w:tcW w:w="3120" w:type="dxa"/>
          </w:tcPr>
          <w:p w14:paraId="422E6937" w14:textId="77777777" w:rsidR="002A2188" w:rsidRPr="00BE39B5" w:rsidRDefault="002A2188" w:rsidP="00464B6C">
            <w:pPr>
              <w:tabs>
                <w:tab w:val="left" w:pos="993"/>
              </w:tabs>
              <w:rPr>
                <w:rFonts w:asciiTheme="minorHAnsi" w:hAnsiTheme="minorHAnsi" w:cstheme="minorHAnsi"/>
                <w:b/>
              </w:rPr>
            </w:pPr>
            <w:r w:rsidRPr="00BE39B5">
              <w:rPr>
                <w:rFonts w:asciiTheme="minorHAnsi" w:hAnsiTheme="minorHAnsi" w:cstheme="minorHAnsi"/>
                <w:b/>
              </w:rPr>
              <w:t>Original: English</w:t>
            </w:r>
          </w:p>
        </w:tc>
      </w:tr>
      <w:tr w:rsidR="002A2188" w:rsidRPr="00813E5E" w14:paraId="422E693A" w14:textId="77777777" w:rsidTr="00464B6C">
        <w:trPr>
          <w:cantSplit/>
        </w:trPr>
        <w:tc>
          <w:tcPr>
            <w:tcW w:w="10031" w:type="dxa"/>
            <w:gridSpan w:val="2"/>
          </w:tcPr>
          <w:p w14:paraId="422E6939" w14:textId="77777777" w:rsidR="002A2188" w:rsidRPr="00BE39B5" w:rsidRDefault="007D2A52" w:rsidP="00464B6C">
            <w:pPr>
              <w:pStyle w:val="Source"/>
              <w:rPr>
                <w:rFonts w:asciiTheme="minorHAnsi" w:hAnsiTheme="minorHAnsi" w:cstheme="minorHAnsi"/>
              </w:rPr>
            </w:pPr>
            <w:bookmarkStart w:id="6" w:name="dsource" w:colFirst="0" w:colLast="0"/>
            <w:bookmarkEnd w:id="5"/>
            <w:r w:rsidRPr="00BE39B5">
              <w:rPr>
                <w:rFonts w:asciiTheme="minorHAnsi" w:hAnsiTheme="minorHAnsi" w:cstheme="minorHAnsi"/>
              </w:rPr>
              <w:t>Report by the Secretary-General</w:t>
            </w:r>
          </w:p>
        </w:tc>
      </w:tr>
      <w:tr w:rsidR="002A2188" w:rsidRPr="00813E5E" w14:paraId="422E693C" w14:textId="77777777" w:rsidTr="00464B6C">
        <w:trPr>
          <w:cantSplit/>
        </w:trPr>
        <w:tc>
          <w:tcPr>
            <w:tcW w:w="10031" w:type="dxa"/>
            <w:gridSpan w:val="2"/>
          </w:tcPr>
          <w:p w14:paraId="422E693B" w14:textId="4F7670BD" w:rsidR="002A2188" w:rsidRPr="00BE39B5" w:rsidRDefault="00D61C73" w:rsidP="004F1EE3">
            <w:pPr>
              <w:pStyle w:val="Title1"/>
              <w:rPr>
                <w:rFonts w:asciiTheme="minorHAnsi" w:hAnsiTheme="minorHAnsi" w:cstheme="minorHAnsi"/>
              </w:rPr>
            </w:pPr>
            <w:bookmarkStart w:id="7" w:name="dtitle1" w:colFirst="0" w:colLast="0"/>
            <w:bookmarkEnd w:id="6"/>
            <w:r>
              <w:rPr>
                <w:rFonts w:asciiTheme="minorHAnsi" w:hAnsiTheme="minorHAnsi" w:cstheme="minorHAnsi"/>
              </w:rPr>
              <w:t>Tenth</w:t>
            </w:r>
            <w:r w:rsidR="004F1EE3" w:rsidRPr="00BE39B5">
              <w:rPr>
                <w:rFonts w:asciiTheme="minorHAnsi" w:hAnsiTheme="minorHAnsi" w:cstheme="minorHAnsi"/>
              </w:rPr>
              <w:t xml:space="preserve"> ANNUAL REPORT OF THE </w:t>
            </w:r>
            <w:r w:rsidR="004F1EE3" w:rsidRPr="00BE39B5">
              <w:rPr>
                <w:rFonts w:asciiTheme="minorHAnsi" w:hAnsiTheme="minorHAnsi" w:cstheme="minorHAnsi"/>
              </w:rPr>
              <w:br/>
              <w:t>INDEPENDENT MANAGEMENT ADVISORY COMMITTEE (IMAC)</w:t>
            </w:r>
          </w:p>
        </w:tc>
      </w:tr>
      <w:bookmarkEnd w:id="7"/>
    </w:tbl>
    <w:p w14:paraId="422E693D" w14:textId="77777777" w:rsidR="002A2188" w:rsidRPr="00813E5E" w:rsidRDefault="002A2188" w:rsidP="002A2188"/>
    <w:p w14:paraId="422E693E" w14:textId="77777777" w:rsidR="004F1EE3" w:rsidRDefault="004F1EE3" w:rsidP="004F1EE3">
      <w:pPr>
        <w:pStyle w:val="TextA"/>
        <w:tabs>
          <w:tab w:val="clear" w:pos="567"/>
          <w:tab w:val="clear" w:pos="1134"/>
          <w:tab w:val="clear" w:pos="1701"/>
          <w:tab w:val="clear" w:pos="2268"/>
          <w:tab w:val="clear" w:pos="2835"/>
        </w:tabs>
        <w:spacing w:before="960" w:after="200"/>
        <w:rPr>
          <w:rStyle w:val="Ohne"/>
          <w:b/>
          <w:bCs/>
        </w:rPr>
      </w:pPr>
      <w:bookmarkStart w:id="8" w:name="dstart"/>
      <w:bookmarkStart w:id="9" w:name="dbreak"/>
      <w:bookmarkEnd w:id="8"/>
      <w:bookmarkEnd w:id="9"/>
      <w:r>
        <w:t xml:space="preserve">I have the </w:t>
      </w:r>
      <w:proofErr w:type="spellStart"/>
      <w:r>
        <w:t>honour</w:t>
      </w:r>
      <w:proofErr w:type="spellEnd"/>
      <w:r>
        <w:t xml:space="preserve"> to transmit to the Member States of the Council a report from the Chair of the Independent Management Advisory Committee (IMAC).</w:t>
      </w:r>
    </w:p>
    <w:p w14:paraId="422E693F" w14:textId="77777777" w:rsidR="004F1EE3" w:rsidRDefault="004F1EE3" w:rsidP="004F1EE3">
      <w:pPr>
        <w:pStyle w:val="TextA"/>
        <w:tabs>
          <w:tab w:val="clear" w:pos="567"/>
          <w:tab w:val="clear" w:pos="1134"/>
          <w:tab w:val="clear" w:pos="1701"/>
          <w:tab w:val="clear" w:pos="2268"/>
          <w:tab w:val="clear" w:pos="2835"/>
          <w:tab w:val="center" w:pos="7088"/>
        </w:tabs>
        <w:spacing w:before="840" w:line="276" w:lineRule="auto"/>
      </w:pPr>
      <w:r>
        <w:tab/>
        <w:t>Houlin ZHAO</w:t>
      </w:r>
      <w:r>
        <w:br/>
      </w:r>
      <w:r>
        <w:tab/>
        <w:t>Secretary-General</w:t>
      </w:r>
    </w:p>
    <w:p w14:paraId="422E6940" w14:textId="77777777" w:rsidR="004F1EE3" w:rsidRPr="00DE1306" w:rsidRDefault="004F1EE3" w:rsidP="004F1EE3">
      <w:pPr>
        <w:pStyle w:val="TextA"/>
        <w:tabs>
          <w:tab w:val="clear" w:pos="567"/>
          <w:tab w:val="clear" w:pos="1134"/>
          <w:tab w:val="clear" w:pos="1701"/>
          <w:tab w:val="clear" w:pos="2268"/>
          <w:tab w:val="clear" w:pos="2835"/>
          <w:tab w:val="center" w:pos="7088"/>
        </w:tabs>
        <w:spacing w:before="840" w:line="276" w:lineRule="auto"/>
      </w:pPr>
      <w:r>
        <w:br w:type="page"/>
      </w:r>
    </w:p>
    <w:p w14:paraId="422E6941" w14:textId="2474B0E2" w:rsidR="004F1EE3" w:rsidRDefault="002303F7" w:rsidP="004F1EE3">
      <w:pPr>
        <w:pStyle w:val="TextA"/>
        <w:tabs>
          <w:tab w:val="center" w:pos="4819"/>
        </w:tabs>
        <w:spacing w:after="600"/>
        <w:jc w:val="center"/>
      </w:pPr>
      <w:r>
        <w:rPr>
          <w:rStyle w:val="Ohne"/>
          <w:sz w:val="28"/>
          <w:szCs w:val="28"/>
        </w:rPr>
        <w:lastRenderedPageBreak/>
        <w:t>TENTH</w:t>
      </w:r>
      <w:r w:rsidR="004F1EE3">
        <w:rPr>
          <w:rStyle w:val="Ohne"/>
          <w:sz w:val="28"/>
          <w:szCs w:val="28"/>
        </w:rPr>
        <w:t xml:space="preserve"> ANNUAL REPORT OF THE </w:t>
      </w:r>
      <w:r w:rsidR="004F1EE3">
        <w:rPr>
          <w:rStyle w:val="Ohne"/>
          <w:sz w:val="28"/>
          <w:szCs w:val="28"/>
        </w:rPr>
        <w:br/>
        <w:t>INDEPENDENT MANAGEMENT ADVISORY COMMITTEE (IMAC)</w:t>
      </w:r>
    </w:p>
    <w:tbl>
      <w:tblPr>
        <w:tblW w:w="89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16"/>
      </w:tblGrid>
      <w:tr w:rsidR="004F1EE3" w14:paraId="422E694A" w14:textId="77777777" w:rsidTr="0098687B">
        <w:trPr>
          <w:trHeight w:val="7813"/>
          <w:jc w:val="center"/>
        </w:trPr>
        <w:tc>
          <w:tcPr>
            <w:tcW w:w="8916"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647" w:type="dxa"/>
              <w:bottom w:w="80" w:type="dxa"/>
              <w:right w:w="80" w:type="dxa"/>
            </w:tcMar>
          </w:tcPr>
          <w:p w14:paraId="422E6942" w14:textId="7FD75EC8" w:rsidR="004F1EE3" w:rsidRPr="00B10EEA" w:rsidRDefault="00B10EEA" w:rsidP="009C7D12">
            <w:pPr>
              <w:pStyle w:val="Headingb"/>
              <w:rPr>
                <w:rStyle w:val="Ohne"/>
                <w:rFonts w:asciiTheme="minorHAnsi" w:hAnsiTheme="minorHAnsi" w:cstheme="minorHAnsi"/>
              </w:rPr>
            </w:pPr>
            <w:r>
              <w:rPr>
                <w:rStyle w:val="Ohne"/>
                <w:rFonts w:asciiTheme="minorHAnsi" w:hAnsiTheme="minorHAnsi" w:cstheme="minorHAnsi"/>
              </w:rPr>
              <w:t>Summary</w:t>
            </w:r>
          </w:p>
          <w:p w14:paraId="422E6943" w14:textId="7D2415A5" w:rsidR="004F1EE3" w:rsidRPr="00BE39B5" w:rsidRDefault="004F1EE3" w:rsidP="009C7D12">
            <w:pPr>
              <w:pStyle w:val="TextA"/>
              <w:spacing w:after="120"/>
              <w:ind w:right="345"/>
              <w:jc w:val="both"/>
              <w:rPr>
                <w:rStyle w:val="Ohne"/>
                <w:rFonts w:asciiTheme="minorHAnsi" w:hAnsiTheme="minorHAnsi" w:cstheme="minorHAnsi"/>
              </w:rPr>
            </w:pPr>
            <w:r w:rsidRPr="00BE39B5">
              <w:rPr>
                <w:rStyle w:val="Ohne"/>
                <w:rFonts w:asciiTheme="minorHAnsi" w:hAnsiTheme="minorHAnsi" w:cstheme="minorHAnsi"/>
              </w:rPr>
              <w:t xml:space="preserve">This </w:t>
            </w:r>
            <w:r w:rsidR="00F547E1">
              <w:rPr>
                <w:rStyle w:val="Ohne"/>
                <w:rFonts w:asciiTheme="minorHAnsi" w:hAnsiTheme="minorHAnsi" w:cstheme="minorHAnsi"/>
              </w:rPr>
              <w:t>tenth</w:t>
            </w:r>
            <w:r w:rsidR="00887E27">
              <w:rPr>
                <w:rStyle w:val="Ohne"/>
                <w:rFonts w:asciiTheme="minorHAnsi" w:hAnsiTheme="minorHAnsi" w:cstheme="minorHAnsi"/>
              </w:rPr>
              <w:t xml:space="preserve"> </w:t>
            </w:r>
            <w:r w:rsidRPr="00BE39B5">
              <w:rPr>
                <w:rStyle w:val="Ohne"/>
                <w:rFonts w:asciiTheme="minorHAnsi" w:hAnsiTheme="minorHAnsi" w:cstheme="minorHAnsi"/>
              </w:rPr>
              <w:t>annual report of the Independent Management Advisory Committee (IMAC) to the ITU Council contains conclusions and recommendations for the Council’s consideration in compliance with IMAC’s terms of reference.</w:t>
            </w:r>
          </w:p>
          <w:p w14:paraId="422E6944" w14:textId="2345D59E" w:rsidR="003E7E5F" w:rsidRPr="00BE39B5" w:rsidRDefault="00120F59" w:rsidP="004502DB">
            <w:pPr>
              <w:pStyle w:val="TextA"/>
              <w:spacing w:after="120"/>
              <w:ind w:right="345"/>
              <w:jc w:val="both"/>
              <w:rPr>
                <w:rStyle w:val="Ohne"/>
                <w:rFonts w:asciiTheme="minorHAnsi" w:hAnsiTheme="minorHAnsi" w:cstheme="minorHAnsi"/>
              </w:rPr>
            </w:pPr>
            <w:r w:rsidRPr="00120F59">
              <w:rPr>
                <w:rStyle w:val="Ohne"/>
                <w:rFonts w:asciiTheme="minorHAnsi" w:hAnsiTheme="minorHAnsi" w:cstheme="minorHAnsi"/>
              </w:rPr>
              <w:t xml:space="preserve">As the </w:t>
            </w:r>
            <w:r w:rsidR="004502DB" w:rsidRPr="00120F59">
              <w:rPr>
                <w:rStyle w:val="Ohne"/>
                <w:rFonts w:asciiTheme="minorHAnsi" w:hAnsiTheme="minorHAnsi" w:cstheme="minorHAnsi"/>
              </w:rPr>
              <w:t>External Audit</w:t>
            </w:r>
            <w:r w:rsidRPr="00120F59">
              <w:rPr>
                <w:rStyle w:val="Ohne"/>
                <w:rFonts w:asciiTheme="minorHAnsi" w:hAnsiTheme="minorHAnsi" w:cstheme="minorHAnsi"/>
              </w:rPr>
              <w:t>or’s</w:t>
            </w:r>
            <w:r w:rsidR="004502DB" w:rsidRPr="00120F59">
              <w:rPr>
                <w:rStyle w:val="Ohne"/>
                <w:rFonts w:asciiTheme="minorHAnsi" w:hAnsiTheme="minorHAnsi" w:cstheme="minorHAnsi"/>
              </w:rPr>
              <w:t xml:space="preserve"> report was unavailable for review at the time of the </w:t>
            </w:r>
            <w:r w:rsidR="00A60132">
              <w:rPr>
                <w:rStyle w:val="Ohne"/>
                <w:rFonts w:asciiTheme="minorHAnsi" w:hAnsiTheme="minorHAnsi" w:cstheme="minorHAnsi"/>
              </w:rPr>
              <w:t>29</w:t>
            </w:r>
            <w:r w:rsidR="00A60132" w:rsidRPr="00927F38">
              <w:rPr>
                <w:rStyle w:val="Ohne"/>
                <w:rFonts w:asciiTheme="minorHAnsi" w:hAnsiTheme="minorHAnsi" w:cstheme="minorHAnsi"/>
              </w:rPr>
              <w:t>th</w:t>
            </w:r>
            <w:r w:rsidR="00A60132">
              <w:rPr>
                <w:rStyle w:val="Ohne"/>
                <w:rFonts w:asciiTheme="minorHAnsi" w:hAnsiTheme="minorHAnsi" w:cstheme="minorHAnsi"/>
              </w:rPr>
              <w:t xml:space="preserve"> IMAC </w:t>
            </w:r>
            <w:r w:rsidR="00A91D43">
              <w:rPr>
                <w:rStyle w:val="Ohne"/>
                <w:rFonts w:asciiTheme="minorHAnsi" w:hAnsiTheme="minorHAnsi" w:cstheme="minorHAnsi"/>
              </w:rPr>
              <w:t xml:space="preserve">virtual </w:t>
            </w:r>
            <w:r w:rsidR="00A60132">
              <w:rPr>
                <w:rStyle w:val="Ohne"/>
                <w:rFonts w:asciiTheme="minorHAnsi" w:hAnsiTheme="minorHAnsi" w:cstheme="minorHAnsi"/>
              </w:rPr>
              <w:t xml:space="preserve">meeting </w:t>
            </w:r>
            <w:r w:rsidR="004502DB" w:rsidRPr="004502DB">
              <w:rPr>
                <w:rStyle w:val="Ohne"/>
                <w:rFonts w:asciiTheme="minorHAnsi" w:hAnsiTheme="minorHAnsi" w:cstheme="minorHAnsi"/>
              </w:rPr>
              <w:t>(</w:t>
            </w:r>
            <w:r w:rsidR="00A60132">
              <w:rPr>
                <w:rStyle w:val="Ohne"/>
                <w:rFonts w:asciiTheme="minorHAnsi" w:hAnsiTheme="minorHAnsi" w:cstheme="minorHAnsi"/>
              </w:rPr>
              <w:t>3</w:t>
            </w:r>
            <w:r w:rsidR="004502DB" w:rsidRPr="004502DB">
              <w:rPr>
                <w:rStyle w:val="Ohne"/>
                <w:rFonts w:asciiTheme="minorHAnsi" w:hAnsiTheme="minorHAnsi" w:cstheme="minorHAnsi"/>
              </w:rPr>
              <w:t>-</w:t>
            </w:r>
            <w:r w:rsidR="00A60132">
              <w:rPr>
                <w:rStyle w:val="Ohne"/>
                <w:rFonts w:asciiTheme="minorHAnsi" w:hAnsiTheme="minorHAnsi" w:cstheme="minorHAnsi"/>
              </w:rPr>
              <w:t>5</w:t>
            </w:r>
            <w:r w:rsidR="004502DB" w:rsidRPr="004502DB">
              <w:rPr>
                <w:rStyle w:val="Ohne"/>
                <w:rFonts w:asciiTheme="minorHAnsi" w:hAnsiTheme="minorHAnsi" w:cstheme="minorHAnsi"/>
              </w:rPr>
              <w:t xml:space="preserve"> May 20</w:t>
            </w:r>
            <w:r w:rsidR="00A60132">
              <w:rPr>
                <w:rStyle w:val="Ohne"/>
                <w:rFonts w:asciiTheme="minorHAnsi" w:hAnsiTheme="minorHAnsi" w:cstheme="minorHAnsi"/>
              </w:rPr>
              <w:t>21</w:t>
            </w:r>
            <w:r w:rsidR="004502DB" w:rsidRPr="004502DB">
              <w:rPr>
                <w:rStyle w:val="Ohne"/>
                <w:rFonts w:asciiTheme="minorHAnsi" w:hAnsiTheme="minorHAnsi" w:cstheme="minorHAnsi"/>
              </w:rPr>
              <w:t>)</w:t>
            </w:r>
            <w:r w:rsidR="00A60132">
              <w:rPr>
                <w:rStyle w:val="Ohne"/>
                <w:rFonts w:asciiTheme="minorHAnsi" w:hAnsiTheme="minorHAnsi" w:cstheme="minorHAnsi"/>
              </w:rPr>
              <w:t xml:space="preserve">, IMAC’s comments and advice on the External Auditor’s Report </w:t>
            </w:r>
            <w:r w:rsidR="007A77F7">
              <w:rPr>
                <w:rStyle w:val="Ohne"/>
                <w:rFonts w:asciiTheme="minorHAnsi" w:hAnsiTheme="minorHAnsi" w:cstheme="minorHAnsi"/>
              </w:rPr>
              <w:t xml:space="preserve">on the </w:t>
            </w:r>
            <w:r w:rsidR="00DA2435">
              <w:rPr>
                <w:rStyle w:val="Ohne"/>
                <w:rFonts w:asciiTheme="minorHAnsi" w:hAnsiTheme="minorHAnsi" w:cstheme="minorHAnsi"/>
              </w:rPr>
              <w:t xml:space="preserve">2020 </w:t>
            </w:r>
            <w:r w:rsidR="007A77F7">
              <w:rPr>
                <w:rStyle w:val="Ohne"/>
                <w:rFonts w:asciiTheme="minorHAnsi" w:hAnsiTheme="minorHAnsi" w:cstheme="minorHAnsi"/>
              </w:rPr>
              <w:t xml:space="preserve">Financial Statements </w:t>
            </w:r>
            <w:r w:rsidR="00A60132">
              <w:rPr>
                <w:rStyle w:val="Ohne"/>
                <w:rFonts w:asciiTheme="minorHAnsi" w:hAnsiTheme="minorHAnsi" w:cstheme="minorHAnsi"/>
              </w:rPr>
              <w:t xml:space="preserve">will be presented as </w:t>
            </w:r>
            <w:r w:rsidR="004502DB" w:rsidRPr="004502DB">
              <w:rPr>
                <w:rStyle w:val="Ohne"/>
                <w:rFonts w:asciiTheme="minorHAnsi" w:hAnsiTheme="minorHAnsi" w:cstheme="minorHAnsi"/>
              </w:rPr>
              <w:t>an addendum to this report</w:t>
            </w:r>
            <w:r w:rsidR="00887E27">
              <w:rPr>
                <w:rStyle w:val="Ohne"/>
                <w:rFonts w:asciiTheme="minorHAnsi" w:hAnsiTheme="minorHAnsi" w:cstheme="minorHAnsi"/>
              </w:rPr>
              <w:t>.</w:t>
            </w:r>
          </w:p>
          <w:p w14:paraId="422E6945" w14:textId="77777777" w:rsidR="004F1EE3" w:rsidRPr="00BE39B5" w:rsidRDefault="004F1EE3" w:rsidP="004F1EE3">
            <w:pPr>
              <w:pStyle w:val="Headingb"/>
              <w:spacing w:before="360"/>
              <w:ind w:right="345"/>
              <w:rPr>
                <w:rStyle w:val="Ohne"/>
                <w:rFonts w:asciiTheme="minorHAnsi" w:hAnsiTheme="minorHAnsi" w:cstheme="minorHAnsi"/>
              </w:rPr>
            </w:pPr>
            <w:r w:rsidRPr="00BE39B5">
              <w:rPr>
                <w:rStyle w:val="Ohne"/>
                <w:rFonts w:asciiTheme="minorHAnsi" w:hAnsiTheme="minorHAnsi" w:cstheme="minorHAnsi"/>
              </w:rPr>
              <w:t>Action required</w:t>
            </w:r>
          </w:p>
          <w:p w14:paraId="422E6946" w14:textId="77777777" w:rsidR="004F1EE3" w:rsidRPr="00BE39B5" w:rsidRDefault="004F1EE3" w:rsidP="004F1EE3">
            <w:pPr>
              <w:pStyle w:val="TextA"/>
              <w:spacing w:after="120"/>
              <w:ind w:right="345"/>
              <w:jc w:val="both"/>
              <w:rPr>
                <w:rStyle w:val="Ohne"/>
                <w:rFonts w:asciiTheme="minorHAnsi" w:hAnsiTheme="minorHAnsi" w:cstheme="minorHAnsi"/>
              </w:rPr>
            </w:pPr>
            <w:r w:rsidRPr="00BE39B5">
              <w:rPr>
                <w:rStyle w:val="Ohne"/>
                <w:rFonts w:asciiTheme="minorHAnsi" w:hAnsiTheme="minorHAnsi" w:cstheme="minorHAnsi"/>
              </w:rPr>
              <w:t xml:space="preserve">The Council is </w:t>
            </w:r>
            <w:r w:rsidR="0077580F">
              <w:rPr>
                <w:rStyle w:val="Ohne"/>
                <w:rFonts w:asciiTheme="minorHAnsi" w:hAnsiTheme="minorHAnsi" w:cstheme="minorHAnsi"/>
              </w:rPr>
              <w:t xml:space="preserve">invited </w:t>
            </w:r>
            <w:r w:rsidRPr="00BE39B5">
              <w:rPr>
                <w:rStyle w:val="Ohne"/>
                <w:rFonts w:asciiTheme="minorHAnsi" w:hAnsiTheme="minorHAnsi" w:cstheme="minorHAnsi"/>
                <w:b/>
                <w:bCs/>
              </w:rPr>
              <w:t>to approve</w:t>
            </w:r>
            <w:r w:rsidRPr="00BE39B5">
              <w:rPr>
                <w:rStyle w:val="Ohne"/>
                <w:rFonts w:asciiTheme="minorHAnsi" w:hAnsiTheme="minorHAnsi" w:cstheme="minorHAnsi"/>
              </w:rPr>
              <w:t xml:space="preserve"> the IMAC report and its recommendations for action by the secretariat.</w:t>
            </w:r>
          </w:p>
          <w:p w14:paraId="422E6947" w14:textId="77777777" w:rsidR="004F1EE3" w:rsidRPr="00BE39B5" w:rsidRDefault="004F1EE3" w:rsidP="009C7D12">
            <w:pPr>
              <w:pStyle w:val="Table"/>
              <w:keepNext w:val="0"/>
              <w:spacing w:before="0" w:after="0"/>
              <w:rPr>
                <w:rStyle w:val="Ohne"/>
                <w:rFonts w:asciiTheme="minorHAnsi" w:eastAsia="Calibri" w:hAnsiTheme="minorHAnsi" w:cstheme="minorHAnsi"/>
                <w:caps w:val="0"/>
              </w:rPr>
            </w:pPr>
            <w:r w:rsidRPr="00BE39B5">
              <w:rPr>
                <w:rStyle w:val="Ohne"/>
                <w:rFonts w:asciiTheme="minorHAnsi" w:eastAsia="Calibri" w:hAnsiTheme="minorHAnsi" w:cstheme="minorHAnsi"/>
                <w:caps w:val="0"/>
              </w:rPr>
              <w:t>____________</w:t>
            </w:r>
          </w:p>
          <w:p w14:paraId="422E6948" w14:textId="77777777" w:rsidR="004F1EE3" w:rsidRPr="00BE39B5" w:rsidRDefault="004F1EE3" w:rsidP="009C7D12">
            <w:pPr>
              <w:pStyle w:val="Headingb"/>
              <w:rPr>
                <w:rStyle w:val="Ohne"/>
                <w:rFonts w:asciiTheme="minorHAnsi" w:hAnsiTheme="minorHAnsi" w:cstheme="minorHAnsi"/>
              </w:rPr>
            </w:pPr>
            <w:r w:rsidRPr="00BE39B5">
              <w:rPr>
                <w:rStyle w:val="Ohne"/>
                <w:rFonts w:asciiTheme="minorHAnsi" w:hAnsiTheme="minorHAnsi" w:cstheme="minorHAnsi"/>
              </w:rPr>
              <w:t>References</w:t>
            </w:r>
          </w:p>
          <w:p w14:paraId="422E6949" w14:textId="2E49F07D" w:rsidR="005C7183" w:rsidRPr="005C7183" w:rsidRDefault="006A7F5A" w:rsidP="0098687B">
            <w:pPr>
              <w:pStyle w:val="TextA"/>
              <w:spacing w:after="120"/>
              <w:rPr>
                <w:i/>
                <w:iCs/>
              </w:rPr>
            </w:pPr>
            <w:hyperlink r:id="rId9" w:history="1">
              <w:r w:rsidR="004F1EE3">
                <w:rPr>
                  <w:rStyle w:val="Hyperlink1"/>
                </w:rPr>
                <w:t>Resolution 162</w:t>
              </w:r>
            </w:hyperlink>
            <w:r w:rsidR="004F1EE3">
              <w:rPr>
                <w:rStyle w:val="Ohne"/>
                <w:i/>
                <w:iCs/>
              </w:rPr>
              <w:t xml:space="preserve"> (Rev. Busan, 2014); Council </w:t>
            </w:r>
            <w:hyperlink r:id="rId10" w:history="1">
              <w:r w:rsidR="004F1EE3">
                <w:rPr>
                  <w:rStyle w:val="Hyperlink1"/>
                </w:rPr>
                <w:t xml:space="preserve">Decision </w:t>
              </w:r>
              <w:r w:rsidR="00505C0D">
                <w:rPr>
                  <w:rStyle w:val="Hyperlink1"/>
                </w:rPr>
                <w:t>615</w:t>
              </w:r>
            </w:hyperlink>
            <w:r w:rsidR="004F1EE3">
              <w:rPr>
                <w:rStyle w:val="Ohne"/>
                <w:i/>
                <w:iCs/>
              </w:rPr>
              <w:t>;</w:t>
            </w:r>
            <w:r w:rsidR="004F1EE3">
              <w:rPr>
                <w:rStyle w:val="Ohne"/>
                <w:i/>
                <w:iCs/>
              </w:rPr>
              <w:br/>
            </w:r>
            <w:r w:rsidR="00505C0D">
              <w:rPr>
                <w:rStyle w:val="Ohne"/>
                <w:i/>
                <w:iCs/>
              </w:rPr>
              <w:t>IMAC Annual Reports</w:t>
            </w:r>
            <w:r w:rsidR="004F1EE3">
              <w:rPr>
                <w:rStyle w:val="Ohne"/>
                <w:i/>
                <w:iCs/>
              </w:rPr>
              <w:t>:</w:t>
            </w:r>
            <w:r w:rsidR="00505C0D">
              <w:rPr>
                <w:rStyle w:val="Ohne"/>
                <w:i/>
                <w:iCs/>
              </w:rPr>
              <w:br/>
            </w:r>
            <w:hyperlink r:id="rId11" w:history="1">
              <w:r w:rsidR="004F1EE3">
                <w:rPr>
                  <w:rStyle w:val="Hyperlink1"/>
                </w:rPr>
                <w:t>C12/44</w:t>
              </w:r>
            </w:hyperlink>
            <w:r w:rsidR="004F1EE3">
              <w:rPr>
                <w:rStyle w:val="Ohne"/>
                <w:i/>
                <w:iCs/>
              </w:rPr>
              <w:t xml:space="preserve"> (First annual report of IMAC to the Council);</w:t>
            </w:r>
            <w:r w:rsidR="004F1EE3">
              <w:rPr>
                <w:rStyle w:val="Ohne"/>
                <w:i/>
                <w:iCs/>
              </w:rPr>
              <w:br/>
            </w:r>
            <w:hyperlink r:id="rId12" w:history="1">
              <w:r w:rsidR="004F1EE3">
                <w:rPr>
                  <w:rStyle w:val="Hyperlink1"/>
                </w:rPr>
                <w:t>C13/65 + Corr. 1</w:t>
              </w:r>
            </w:hyperlink>
            <w:r w:rsidR="004F1EE3">
              <w:rPr>
                <w:rStyle w:val="Ohne"/>
                <w:i/>
                <w:iCs/>
              </w:rPr>
              <w:t xml:space="preserve"> (Second annual report of IMAC to the Council);</w:t>
            </w:r>
            <w:r w:rsidR="004F1EE3">
              <w:rPr>
                <w:rStyle w:val="Ohne"/>
                <w:i/>
                <w:iCs/>
              </w:rPr>
              <w:br/>
            </w:r>
            <w:hyperlink r:id="rId13" w:history="1">
              <w:r w:rsidR="004F1EE3">
                <w:rPr>
                  <w:rStyle w:val="Hyperlink1"/>
                </w:rPr>
                <w:t>C14/22 + Add.1</w:t>
              </w:r>
            </w:hyperlink>
            <w:r w:rsidR="004F1EE3">
              <w:rPr>
                <w:rStyle w:val="Ohne"/>
                <w:i/>
                <w:iCs/>
              </w:rPr>
              <w:t xml:space="preserve"> (Third annual report of IMAC to the Council);</w:t>
            </w:r>
            <w:r w:rsidR="004F1EE3">
              <w:rPr>
                <w:rStyle w:val="Ohne"/>
                <w:i/>
                <w:iCs/>
              </w:rPr>
              <w:br/>
            </w:r>
            <w:hyperlink r:id="rId14" w:history="1">
              <w:r w:rsidR="004F1EE3">
                <w:rPr>
                  <w:rStyle w:val="Hyperlink1"/>
                </w:rPr>
                <w:t>C15/22 + Add.1-2</w:t>
              </w:r>
            </w:hyperlink>
            <w:r w:rsidR="004F1EE3">
              <w:rPr>
                <w:rStyle w:val="Ohne"/>
                <w:i/>
                <w:iCs/>
              </w:rPr>
              <w:t xml:space="preserve"> (Fourth annual report of IMAC to the Council);</w:t>
            </w:r>
            <w:r w:rsidR="004F1EE3">
              <w:rPr>
                <w:rStyle w:val="Ohne"/>
                <w:i/>
                <w:iCs/>
              </w:rPr>
              <w:br/>
            </w:r>
            <w:hyperlink r:id="rId15" w:history="1">
              <w:r w:rsidR="004F1EE3">
                <w:rPr>
                  <w:rStyle w:val="Hyperlink1"/>
                </w:rPr>
                <w:t>C16/22 + Add.1</w:t>
              </w:r>
            </w:hyperlink>
            <w:r w:rsidR="004F1EE3">
              <w:rPr>
                <w:rStyle w:val="Ohne"/>
                <w:i/>
                <w:iCs/>
              </w:rPr>
              <w:t xml:space="preserve"> (Fifth annual report of IMAC to the Council);</w:t>
            </w:r>
            <w:r w:rsidR="004F1EE3">
              <w:rPr>
                <w:rStyle w:val="Ohne"/>
                <w:i/>
                <w:iCs/>
              </w:rPr>
              <w:br/>
            </w:r>
            <w:hyperlink r:id="rId16" w:history="1">
              <w:r w:rsidR="004F1EE3">
                <w:rPr>
                  <w:rStyle w:val="Hyperlink1"/>
                </w:rPr>
                <w:t>C17/22</w:t>
              </w:r>
            </w:hyperlink>
            <w:r w:rsidR="004F1EE3">
              <w:rPr>
                <w:rStyle w:val="Ohne"/>
                <w:i/>
                <w:iCs/>
              </w:rPr>
              <w:t xml:space="preserve"> (Sixth annual report of IMAC to the Council);</w:t>
            </w:r>
            <w:r w:rsidR="004F1EE3">
              <w:rPr>
                <w:rStyle w:val="Ohne"/>
                <w:i/>
                <w:iCs/>
              </w:rPr>
              <w:br/>
            </w:r>
            <w:hyperlink r:id="rId17" w:history="1">
              <w:r w:rsidR="004F1EE3">
                <w:rPr>
                  <w:rStyle w:val="Hyperlink1"/>
                </w:rPr>
                <w:t>C18/22 + Add.1</w:t>
              </w:r>
            </w:hyperlink>
            <w:r w:rsidR="004F1EE3">
              <w:rPr>
                <w:rStyle w:val="Ohne"/>
                <w:i/>
                <w:iCs/>
              </w:rPr>
              <w:t xml:space="preserve"> (Seventh annual report of IMAC to the Council)</w:t>
            </w:r>
            <w:r w:rsidR="0098687B">
              <w:rPr>
                <w:rStyle w:val="Ohne"/>
                <w:i/>
                <w:iCs/>
              </w:rPr>
              <w:br/>
            </w:r>
            <w:hyperlink r:id="rId18" w:history="1">
              <w:r w:rsidR="0098687B">
                <w:rPr>
                  <w:rStyle w:val="Hyperlink1"/>
                </w:rPr>
                <w:t>C1</w:t>
              </w:r>
              <w:r w:rsidR="00A2410B">
                <w:rPr>
                  <w:rStyle w:val="Hyperlink1"/>
                </w:rPr>
                <w:t>9</w:t>
              </w:r>
              <w:r w:rsidR="0098687B">
                <w:rPr>
                  <w:rStyle w:val="Hyperlink1"/>
                </w:rPr>
                <w:t>/22</w:t>
              </w:r>
            </w:hyperlink>
            <w:r w:rsidR="0098687B">
              <w:rPr>
                <w:rStyle w:val="Ohne"/>
                <w:i/>
                <w:iCs/>
              </w:rPr>
              <w:t xml:space="preserve"> (</w:t>
            </w:r>
            <w:r w:rsidR="00505C0D">
              <w:rPr>
                <w:rStyle w:val="Ohne"/>
                <w:i/>
                <w:iCs/>
              </w:rPr>
              <w:t>Eighth</w:t>
            </w:r>
            <w:r w:rsidR="0098687B">
              <w:rPr>
                <w:rStyle w:val="Ohne"/>
                <w:i/>
                <w:iCs/>
              </w:rPr>
              <w:t xml:space="preserve"> annual report of IMAC to the Council)</w:t>
            </w:r>
            <w:r w:rsidR="005C7183">
              <w:rPr>
                <w:rStyle w:val="Ohne"/>
                <w:i/>
                <w:iCs/>
              </w:rPr>
              <w:br/>
            </w:r>
            <w:hyperlink r:id="rId19" w:history="1">
              <w:r w:rsidR="005C7183">
                <w:rPr>
                  <w:rStyle w:val="Hyperlink1"/>
                </w:rPr>
                <w:t>C20/2</w:t>
              </w:r>
              <w:r w:rsidR="000B0803">
                <w:rPr>
                  <w:rStyle w:val="Hyperlink1"/>
                </w:rPr>
                <w:t>2 Rev.1</w:t>
              </w:r>
            </w:hyperlink>
            <w:r w:rsidR="005C7183">
              <w:rPr>
                <w:rStyle w:val="Ohne"/>
                <w:i/>
                <w:iCs/>
              </w:rPr>
              <w:t xml:space="preserve"> (Ninth annual report of IMAC to the Council)</w:t>
            </w:r>
          </w:p>
        </w:tc>
      </w:tr>
    </w:tbl>
    <w:p w14:paraId="422E694B" w14:textId="77777777" w:rsidR="004F1EE3" w:rsidRDefault="004F1EE3" w:rsidP="004F1EE3">
      <w:pPr>
        <w:pStyle w:val="TextA"/>
        <w:widowControl w:val="0"/>
        <w:tabs>
          <w:tab w:val="center" w:pos="4819"/>
        </w:tabs>
        <w:spacing w:after="600"/>
        <w:jc w:val="center"/>
      </w:pPr>
    </w:p>
    <w:p w14:paraId="422E694C" w14:textId="77777777" w:rsidR="004F1EE3" w:rsidRDefault="004F1EE3" w:rsidP="004F1EE3">
      <w:pPr>
        <w:pStyle w:val="NumberedHeading"/>
        <w:numPr>
          <w:ilvl w:val="0"/>
          <w:numId w:val="4"/>
        </w:numPr>
      </w:pPr>
      <w:r>
        <w:rPr>
          <w:rStyle w:val="Ohne"/>
          <w:caps/>
        </w:rPr>
        <w:t>Introduction</w:t>
      </w:r>
    </w:p>
    <w:p w14:paraId="422E694D" w14:textId="3088D542" w:rsidR="004F1EE3" w:rsidRDefault="00887E27" w:rsidP="00887E27">
      <w:pPr>
        <w:pStyle w:val="Normalnumbered"/>
        <w:numPr>
          <w:ilvl w:val="1"/>
          <w:numId w:val="4"/>
        </w:numPr>
        <w:ind w:left="0" w:firstLine="0"/>
      </w:pPr>
      <w:r w:rsidRPr="00887E27">
        <w:t>IMAC serves in an independent expert advisory capacity to assist the Council and the Secretary-General in exercising their governance responsibilities for financial reporting, internal control arrangements, risk management and governance processes, and other audit-related matters mandated by the IMAC Terms of Reference. IMAC therefore assists in enhancing transparency, strengthening accountability</w:t>
      </w:r>
      <w:r w:rsidR="00FF4CBF">
        <w:t>,</w:t>
      </w:r>
      <w:r w:rsidRPr="00887E27">
        <w:t xml:space="preserve"> and supporting good governance. IMAC does not carry out audit, nor duplicate any executive or audit functions, internal or external, but helps to ensure the best use of audit and other resources within the ITU’s overall assurance framework</w:t>
      </w:r>
      <w:r w:rsidR="004F1EE3">
        <w:t>.</w:t>
      </w:r>
    </w:p>
    <w:p w14:paraId="422E694E" w14:textId="77777777" w:rsidR="00887E27" w:rsidRDefault="00887E27" w:rsidP="00887E27">
      <w:pPr>
        <w:pStyle w:val="NumberedHeading"/>
        <w:numPr>
          <w:ilvl w:val="0"/>
          <w:numId w:val="4"/>
        </w:numPr>
      </w:pPr>
      <w:r>
        <w:rPr>
          <w:rStyle w:val="Ohne"/>
          <w:caps/>
        </w:rPr>
        <w:lastRenderedPageBreak/>
        <w:t>MEMBERSHIP and activities of imac</w:t>
      </w:r>
    </w:p>
    <w:p w14:paraId="422E694F" w14:textId="72189A7C" w:rsidR="00887E27" w:rsidRDefault="00887E27" w:rsidP="00887E27">
      <w:pPr>
        <w:pStyle w:val="Normalnumbered"/>
        <w:numPr>
          <w:ilvl w:val="1"/>
          <w:numId w:val="4"/>
        </w:numPr>
        <w:ind w:left="0" w:firstLine="0"/>
      </w:pPr>
      <w:r>
        <w:t xml:space="preserve">The </w:t>
      </w:r>
      <w:r w:rsidR="00884927">
        <w:t>current</w:t>
      </w:r>
      <w:r>
        <w:t xml:space="preserve"> composition of </w:t>
      </w:r>
      <w:r w:rsidR="006214FA">
        <w:t>IMAC comprises the following members</w:t>
      </w:r>
      <w:r>
        <w:t>:</w:t>
      </w:r>
    </w:p>
    <w:p w14:paraId="422E6950" w14:textId="3E8EF6D4" w:rsidR="00887E27" w:rsidRDefault="00887E27" w:rsidP="000E2C37">
      <w:pPr>
        <w:pStyle w:val="Normalnumbered"/>
        <w:numPr>
          <w:ilvl w:val="0"/>
          <w:numId w:val="6"/>
        </w:numPr>
        <w:spacing w:before="60"/>
        <w:ind w:firstLine="272"/>
      </w:pPr>
      <w:r>
        <w:t xml:space="preserve">Mr Kamlesh </w:t>
      </w:r>
      <w:proofErr w:type="spellStart"/>
      <w:r>
        <w:t>Vikamsey</w:t>
      </w:r>
      <w:proofErr w:type="spellEnd"/>
      <w:r>
        <w:t xml:space="preserve"> (Chair)</w:t>
      </w:r>
    </w:p>
    <w:p w14:paraId="422E6951" w14:textId="0DA003AD" w:rsidR="00887E27" w:rsidRDefault="00887E27" w:rsidP="000E2C37">
      <w:pPr>
        <w:pStyle w:val="Normalnumbered"/>
        <w:numPr>
          <w:ilvl w:val="0"/>
          <w:numId w:val="6"/>
        </w:numPr>
        <w:spacing w:before="60"/>
        <w:ind w:firstLine="272"/>
      </w:pPr>
      <w:proofErr w:type="spellStart"/>
      <w:r>
        <w:t>Ms</w:t>
      </w:r>
      <w:proofErr w:type="spellEnd"/>
      <w:r>
        <w:t xml:space="preserve"> Sarah Hammer</w:t>
      </w:r>
    </w:p>
    <w:p w14:paraId="422E6952" w14:textId="4EB9C376" w:rsidR="00887E27" w:rsidRDefault="00887E27" w:rsidP="000E2C37">
      <w:pPr>
        <w:pStyle w:val="Normalnumbered"/>
        <w:numPr>
          <w:ilvl w:val="0"/>
          <w:numId w:val="6"/>
        </w:numPr>
        <w:spacing w:before="60"/>
        <w:ind w:firstLine="272"/>
      </w:pPr>
      <w:r>
        <w:t xml:space="preserve">Mr Alexander </w:t>
      </w:r>
      <w:proofErr w:type="spellStart"/>
      <w:r>
        <w:t>Narukavnikov</w:t>
      </w:r>
      <w:proofErr w:type="spellEnd"/>
    </w:p>
    <w:p w14:paraId="422E6953" w14:textId="478C67E0" w:rsidR="00887E27" w:rsidRDefault="00887E27" w:rsidP="000E2C37">
      <w:pPr>
        <w:pStyle w:val="Normalnumbered"/>
        <w:numPr>
          <w:ilvl w:val="0"/>
          <w:numId w:val="6"/>
        </w:numPr>
        <w:spacing w:before="60"/>
        <w:ind w:firstLine="272"/>
      </w:pPr>
      <w:r>
        <w:t xml:space="preserve">Mr </w:t>
      </w:r>
      <w:proofErr w:type="spellStart"/>
      <w:r>
        <w:t>Honore</w:t>
      </w:r>
      <w:proofErr w:type="spellEnd"/>
      <w:r>
        <w:t xml:space="preserve"> </w:t>
      </w:r>
      <w:proofErr w:type="spellStart"/>
      <w:r>
        <w:t>Ndoko</w:t>
      </w:r>
      <w:proofErr w:type="spellEnd"/>
    </w:p>
    <w:p w14:paraId="422E6954" w14:textId="7079C654" w:rsidR="00887E27" w:rsidRDefault="00887E27" w:rsidP="000E2C37">
      <w:pPr>
        <w:pStyle w:val="Normalnumbered"/>
        <w:numPr>
          <w:ilvl w:val="0"/>
          <w:numId w:val="6"/>
        </w:numPr>
        <w:spacing w:before="60"/>
        <w:ind w:firstLine="272"/>
      </w:pPr>
      <w:r>
        <w:t>Mr Henrique Schneider</w:t>
      </w:r>
    </w:p>
    <w:p w14:paraId="003D1807" w14:textId="7751C35A" w:rsidR="00B803E2" w:rsidRDefault="00595D14" w:rsidP="00B803E2">
      <w:pPr>
        <w:pStyle w:val="Normalnumbered"/>
        <w:numPr>
          <w:ilvl w:val="1"/>
          <w:numId w:val="4"/>
        </w:numPr>
        <w:ind w:left="0" w:firstLine="0"/>
      </w:pPr>
      <w:r>
        <w:t>IMAC’s last a</w:t>
      </w:r>
      <w:r w:rsidR="00832AE2">
        <w:t>nnual report to the Council</w:t>
      </w:r>
      <w:r w:rsidR="001A795A">
        <w:t xml:space="preserve"> </w:t>
      </w:r>
      <w:r w:rsidR="002670C5">
        <w:t xml:space="preserve">was </w:t>
      </w:r>
      <w:r w:rsidR="009D4BA0">
        <w:t xml:space="preserve">presented at </w:t>
      </w:r>
      <w:r w:rsidR="00832AE2">
        <w:t>the</w:t>
      </w:r>
      <w:r w:rsidR="002670C5">
        <w:t xml:space="preserve"> </w:t>
      </w:r>
      <w:r w:rsidR="002670C5" w:rsidRPr="00927F38">
        <w:t>2nd</w:t>
      </w:r>
      <w:r w:rsidR="002670C5">
        <w:t xml:space="preserve"> </w:t>
      </w:r>
      <w:r w:rsidR="00832AE2">
        <w:t>Virtual consultation of councillors</w:t>
      </w:r>
      <w:r w:rsidR="009D4BA0">
        <w:t xml:space="preserve"> </w:t>
      </w:r>
      <w:r w:rsidR="0055477C">
        <w:t>(</w:t>
      </w:r>
      <w:r w:rsidR="008F08CB">
        <w:t>November 2020</w:t>
      </w:r>
      <w:r w:rsidR="0055477C">
        <w:t>)</w:t>
      </w:r>
      <w:r w:rsidR="001A795A">
        <w:t>. D</w:t>
      </w:r>
      <w:r w:rsidR="00917B24">
        <w:t>ue to the</w:t>
      </w:r>
      <w:r w:rsidR="00917B24" w:rsidRPr="00917B24">
        <w:t xml:space="preserve"> </w:t>
      </w:r>
      <w:r w:rsidR="00917B24" w:rsidRPr="0084707D">
        <w:t>COVID-19 pandemic resulting in restrictions on travel</w:t>
      </w:r>
      <w:r w:rsidR="001A795A">
        <w:t xml:space="preserve">, the </w:t>
      </w:r>
      <w:r w:rsidR="001A795A" w:rsidRPr="00927F38">
        <w:rPr>
          <w:spacing w:val="2"/>
        </w:rPr>
        <w:t xml:space="preserve">meetings </w:t>
      </w:r>
      <w:r w:rsidR="008D6D1B" w:rsidRPr="00927F38">
        <w:rPr>
          <w:spacing w:val="2"/>
        </w:rPr>
        <w:t xml:space="preserve">of the Committee for 2021 have been </w:t>
      </w:r>
      <w:r w:rsidR="00B803E2" w:rsidRPr="00927F38">
        <w:rPr>
          <w:spacing w:val="2"/>
        </w:rPr>
        <w:t>organized</w:t>
      </w:r>
      <w:r w:rsidR="008D6D1B" w:rsidRPr="00927F38">
        <w:rPr>
          <w:spacing w:val="2"/>
        </w:rPr>
        <w:t xml:space="preserve"> virtually, on </w:t>
      </w:r>
      <w:r w:rsidR="00DB6419" w:rsidRPr="00927F38">
        <w:rPr>
          <w:spacing w:val="2"/>
        </w:rPr>
        <w:t xml:space="preserve">15-17 </w:t>
      </w:r>
      <w:r w:rsidR="008D6D1B" w:rsidRPr="00927F38">
        <w:rPr>
          <w:spacing w:val="2"/>
        </w:rPr>
        <w:t>March</w:t>
      </w:r>
      <w:r w:rsidR="00D51B66" w:rsidRPr="00927F38">
        <w:rPr>
          <w:spacing w:val="2"/>
        </w:rPr>
        <w:t xml:space="preserve"> 2021</w:t>
      </w:r>
      <w:r w:rsidR="008D6D1B" w:rsidRPr="00927F38">
        <w:rPr>
          <w:spacing w:val="2"/>
        </w:rPr>
        <w:t xml:space="preserve"> and on</w:t>
      </w:r>
      <w:r w:rsidR="008D6D1B">
        <w:t xml:space="preserve"> </w:t>
      </w:r>
      <w:r w:rsidR="00DB6419">
        <w:t>3-</w:t>
      </w:r>
      <w:r w:rsidR="00DB6419" w:rsidRPr="00DB6419">
        <w:t>5</w:t>
      </w:r>
      <w:r w:rsidR="004807B1">
        <w:rPr>
          <w:lang w:val="el-GR"/>
        </w:rPr>
        <w:t xml:space="preserve"> </w:t>
      </w:r>
      <w:r w:rsidR="008D6D1B" w:rsidRPr="00DB6419">
        <w:t>May</w:t>
      </w:r>
      <w:r w:rsidR="008D6D1B">
        <w:t xml:space="preserve"> 2021.</w:t>
      </w:r>
    </w:p>
    <w:p w14:paraId="422E695C" w14:textId="15AD6C3D" w:rsidR="00887E27" w:rsidRDefault="008F766F" w:rsidP="00B803E2">
      <w:pPr>
        <w:pStyle w:val="Normalnumbered"/>
        <w:numPr>
          <w:ilvl w:val="1"/>
          <w:numId w:val="4"/>
        </w:numPr>
        <w:ind w:left="0" w:firstLine="0"/>
        <w:rPr>
          <w:rStyle w:val="Ohne"/>
        </w:rPr>
      </w:pPr>
      <w:r>
        <w:rPr>
          <w:rStyle w:val="Ohne"/>
        </w:rPr>
        <w:t>T</w:t>
      </w:r>
      <w:r w:rsidR="00887E27">
        <w:rPr>
          <w:rStyle w:val="Ohne"/>
        </w:rPr>
        <w:t xml:space="preserve">he Committee </w:t>
      </w:r>
      <w:r>
        <w:rPr>
          <w:rStyle w:val="Ohne"/>
        </w:rPr>
        <w:t xml:space="preserve">has since the last annual report </w:t>
      </w:r>
      <w:r w:rsidR="00887E27">
        <w:rPr>
          <w:rStyle w:val="Ohne"/>
        </w:rPr>
        <w:t xml:space="preserve">engaged with all areas of its responsibilities, including internal audit; risk management; internal control; </w:t>
      </w:r>
      <w:r w:rsidR="00887E27" w:rsidRPr="004C0477">
        <w:rPr>
          <w:rStyle w:val="Ohne"/>
        </w:rPr>
        <w:t>evaluation</w:t>
      </w:r>
      <w:r w:rsidR="00887E27">
        <w:rPr>
          <w:rStyle w:val="Ohne"/>
        </w:rPr>
        <w:t>; ethics; the financial statements and financial reporting; and external audi</w:t>
      </w:r>
      <w:r w:rsidR="00887E27" w:rsidRPr="003E7E5F">
        <w:rPr>
          <w:rStyle w:val="Ohne"/>
        </w:rPr>
        <w:t>t.</w:t>
      </w:r>
    </w:p>
    <w:p w14:paraId="422E695E" w14:textId="3BAA6BAF" w:rsidR="00887E27" w:rsidRDefault="00887E27" w:rsidP="00887E27">
      <w:pPr>
        <w:pStyle w:val="Normalnumbered"/>
        <w:numPr>
          <w:ilvl w:val="1"/>
          <w:numId w:val="7"/>
        </w:numPr>
        <w:ind w:left="0" w:firstLine="0"/>
      </w:pPr>
      <w:proofErr w:type="gramStart"/>
      <w:r>
        <w:t>In the course of</w:t>
      </w:r>
      <w:proofErr w:type="gramEnd"/>
      <w:r>
        <w:t xml:space="preserve"> its meetings, IMAC held substantive discussions with the Secretary-General and Deputy Secretary-General, the Director of the Telecommunication Development Bureau, the Financial Resources Management Department, the Internal Auditor, the External Auditor, the Legal Advisor,</w:t>
      </w:r>
      <w:r w:rsidR="008914F9">
        <w:t xml:space="preserve"> </w:t>
      </w:r>
      <w:r>
        <w:t>the Ethics Officer,</w:t>
      </w:r>
      <w:r w:rsidR="008914F9">
        <w:t xml:space="preserve"> the Strategic Planning and Membership Department</w:t>
      </w:r>
      <w:r w:rsidR="00F164FE">
        <w:t xml:space="preserve">, the Human Resources Management Department, </w:t>
      </w:r>
      <w:r>
        <w:t>the Building Project Division, and other management representatives as appropriate.</w:t>
      </w:r>
    </w:p>
    <w:p w14:paraId="422E695F" w14:textId="77777777" w:rsidR="00887E27" w:rsidRDefault="00887E27" w:rsidP="00887E27">
      <w:pPr>
        <w:pStyle w:val="Normalnumbered"/>
        <w:numPr>
          <w:ilvl w:val="1"/>
          <w:numId w:val="7"/>
        </w:numPr>
        <w:ind w:left="0" w:firstLine="0"/>
      </w:pPr>
      <w:r>
        <w:t xml:space="preserve">All reports of the Committee’s meetings and its annual reports, as well as other key documents, are available to the ITU membership on </w:t>
      </w:r>
      <w:hyperlink r:id="rId20" w:history="1">
        <w:r>
          <w:t>IMAC’s area</w:t>
        </w:r>
      </w:hyperlink>
      <w:r>
        <w:t xml:space="preserve"> of the </w:t>
      </w:r>
      <w:hyperlink r:id="rId21" w:history="1">
        <w:r w:rsidRPr="001043AE">
          <w:rPr>
            <w:rStyle w:val="Hyperlink"/>
          </w:rPr>
          <w:t>ITU public website</w:t>
        </w:r>
      </w:hyperlink>
      <w:r>
        <w:t xml:space="preserve">, accessible also via the </w:t>
      </w:r>
      <w:hyperlink r:id="rId22" w:history="1">
        <w:r>
          <w:t>ITU Council</w:t>
        </w:r>
      </w:hyperlink>
      <w:r>
        <w:t xml:space="preserve"> web page.</w:t>
      </w:r>
    </w:p>
    <w:p w14:paraId="422E6960" w14:textId="2011B76E" w:rsidR="006C1BEE" w:rsidRPr="00A40457" w:rsidRDefault="006C1BEE" w:rsidP="004F7B42">
      <w:pPr>
        <w:pStyle w:val="Normalnumbered"/>
        <w:numPr>
          <w:ilvl w:val="1"/>
          <w:numId w:val="7"/>
        </w:numPr>
        <w:ind w:left="0" w:firstLine="0"/>
      </w:pPr>
      <w:r w:rsidRPr="00A40457">
        <w:t xml:space="preserve">IMAC virtual meetings had to be compressed in terms of timing, to be able to accommodate all members participating around the globe, therefore additional </w:t>
      </w:r>
      <w:r w:rsidR="00C92AFF">
        <w:t>time</w:t>
      </w:r>
      <w:r w:rsidRPr="00A40457">
        <w:t xml:space="preserve"> </w:t>
      </w:r>
      <w:r w:rsidR="0003068C" w:rsidRPr="00A40457">
        <w:t xml:space="preserve">will </w:t>
      </w:r>
      <w:r w:rsidRPr="00A40457">
        <w:t xml:space="preserve">be </w:t>
      </w:r>
      <w:r w:rsidR="00C92AFF">
        <w:t xml:space="preserve">allocated </w:t>
      </w:r>
      <w:r w:rsidR="008B0211">
        <w:t xml:space="preserve">during </w:t>
      </w:r>
      <w:r w:rsidR="00B27DEF">
        <w:t>the</w:t>
      </w:r>
      <w:r w:rsidR="008B0211">
        <w:t xml:space="preserve"> next </w:t>
      </w:r>
      <w:r w:rsidR="00B27DEF">
        <w:t>physical meeting</w:t>
      </w:r>
      <w:r w:rsidR="00024F46">
        <w:t xml:space="preserve"> </w:t>
      </w:r>
      <w:r w:rsidR="00FF4CBF">
        <w:t xml:space="preserve">– </w:t>
      </w:r>
      <w:r w:rsidR="00024F46">
        <w:t>when the pandemic situation will allow</w:t>
      </w:r>
      <w:r w:rsidR="00FF4CBF">
        <w:t xml:space="preserve"> –</w:t>
      </w:r>
      <w:r w:rsidR="00024F46">
        <w:t xml:space="preserve"> </w:t>
      </w:r>
      <w:r w:rsidRPr="00A40457">
        <w:t xml:space="preserve">to </w:t>
      </w:r>
      <w:r w:rsidR="00BF5314">
        <w:t>ensure</w:t>
      </w:r>
      <w:r w:rsidRPr="00A40457">
        <w:t xml:space="preserve"> in</w:t>
      </w:r>
      <w:r w:rsidR="00FF4CBF">
        <w:t>-</w:t>
      </w:r>
      <w:r w:rsidRPr="00A40457">
        <w:t xml:space="preserve">depth </w:t>
      </w:r>
      <w:r w:rsidR="00D2672E">
        <w:t xml:space="preserve">follow up </w:t>
      </w:r>
      <w:r w:rsidR="00332A3D">
        <w:t xml:space="preserve">study of </w:t>
      </w:r>
      <w:r w:rsidRPr="00A40457">
        <w:t>the topics entrusted to IMAC.</w:t>
      </w:r>
    </w:p>
    <w:p w14:paraId="7057A84E" w14:textId="25C1631C" w:rsidR="00087CEC" w:rsidRDefault="006C1BEE" w:rsidP="00087CEC">
      <w:pPr>
        <w:pStyle w:val="Normalnumbered"/>
        <w:numPr>
          <w:ilvl w:val="1"/>
          <w:numId w:val="7"/>
        </w:numPr>
        <w:ind w:left="0" w:firstLine="0"/>
      </w:pPr>
      <w:r w:rsidRPr="009150D3">
        <w:t>IMAC members commend overall ITU management</w:t>
      </w:r>
      <w:r w:rsidR="001929C3">
        <w:t xml:space="preserve">’s engagement </w:t>
      </w:r>
      <w:r w:rsidRPr="009150D3">
        <w:t>with IMAC in a fruitful process</w:t>
      </w:r>
      <w:r w:rsidR="000073A7" w:rsidRPr="009150D3">
        <w:t xml:space="preserve">; </w:t>
      </w:r>
      <w:r w:rsidR="002D051E" w:rsidRPr="009150D3">
        <w:t xml:space="preserve">the </w:t>
      </w:r>
      <w:r w:rsidRPr="009150D3">
        <w:t>readiness and responsiveness of management to address IMAC’s questions, as well as the proactive</w:t>
      </w:r>
      <w:r w:rsidR="000073A7" w:rsidRPr="009150D3">
        <w:t xml:space="preserve">ness in </w:t>
      </w:r>
      <w:r w:rsidRPr="009150D3">
        <w:t>seek</w:t>
      </w:r>
      <w:r w:rsidR="000073A7" w:rsidRPr="009150D3">
        <w:t>ing</w:t>
      </w:r>
      <w:r w:rsidRPr="009150D3">
        <w:t xml:space="preserve"> IMAC’s advice </w:t>
      </w:r>
      <w:r w:rsidR="000073A7" w:rsidRPr="009150D3">
        <w:t xml:space="preserve">in several </w:t>
      </w:r>
      <w:r w:rsidRPr="009150D3">
        <w:t xml:space="preserve">topics of </w:t>
      </w:r>
      <w:r w:rsidR="000073A7" w:rsidRPr="009150D3">
        <w:t>IMAC’s</w:t>
      </w:r>
      <w:r w:rsidR="00D2672E">
        <w:t xml:space="preserve"> scope and </w:t>
      </w:r>
      <w:r w:rsidRPr="009150D3">
        <w:t>expertise.</w:t>
      </w:r>
      <w:r w:rsidR="00A40457" w:rsidRPr="009150D3">
        <w:t xml:space="preserve"> Specific </w:t>
      </w:r>
      <w:r w:rsidR="009150D3" w:rsidRPr="009150D3">
        <w:t xml:space="preserve">observations and </w:t>
      </w:r>
      <w:r w:rsidR="00A40457" w:rsidRPr="009150D3">
        <w:t xml:space="preserve">recommendations on the areas of IMAC’s </w:t>
      </w:r>
      <w:r w:rsidR="00884927" w:rsidRPr="009150D3">
        <w:t>responsibility</w:t>
      </w:r>
      <w:r w:rsidR="00A40457" w:rsidRPr="009150D3">
        <w:t xml:space="preserve"> are included within the relevant sections of this report.</w:t>
      </w:r>
    </w:p>
    <w:p w14:paraId="3F020F87" w14:textId="4C0F3676" w:rsidR="00087CEC" w:rsidRPr="00087CEC" w:rsidRDefault="00087CEC" w:rsidP="00AF15A5">
      <w:pPr>
        <w:pStyle w:val="NumberedHeading"/>
        <w:spacing w:before="240"/>
        <w:rPr>
          <w:rStyle w:val="Ohne"/>
          <w:caps/>
        </w:rPr>
      </w:pPr>
      <w:r>
        <w:rPr>
          <w:rStyle w:val="Ohne"/>
          <w:caps/>
        </w:rPr>
        <w:t>participation at the</w:t>
      </w:r>
      <w:r w:rsidRPr="00087CEC">
        <w:rPr>
          <w:rStyle w:val="Ohne"/>
          <w:caps/>
        </w:rPr>
        <w:t xml:space="preserve"> </w:t>
      </w:r>
      <w:r w:rsidR="00924949" w:rsidRPr="00BB4C01">
        <w:rPr>
          <w:rStyle w:val="Ohne"/>
          <w:caps/>
        </w:rPr>
        <w:t>5</w:t>
      </w:r>
      <w:r w:rsidR="00BB4C01" w:rsidRPr="00BB4C01">
        <w:rPr>
          <w:rStyle w:val="Ohne"/>
        </w:rPr>
        <w:t>th</w:t>
      </w:r>
      <w:r w:rsidR="00787971">
        <w:rPr>
          <w:rStyle w:val="Ohne"/>
          <w:caps/>
        </w:rPr>
        <w:t xml:space="preserve"> Annual </w:t>
      </w:r>
      <w:r w:rsidR="00412EB1">
        <w:rPr>
          <w:rStyle w:val="Ohne"/>
          <w:caps/>
        </w:rPr>
        <w:t xml:space="preserve">Meeting of the </w:t>
      </w:r>
      <w:r w:rsidRPr="00087CEC">
        <w:rPr>
          <w:rStyle w:val="Ohne"/>
          <w:caps/>
        </w:rPr>
        <w:t>UN System Oversight Committees</w:t>
      </w:r>
    </w:p>
    <w:p w14:paraId="0D2F4289" w14:textId="62B6CC27" w:rsidR="00087CEC" w:rsidRDefault="00087CEC" w:rsidP="002539D0">
      <w:pPr>
        <w:pStyle w:val="Normalnumbered"/>
        <w:numPr>
          <w:ilvl w:val="1"/>
          <w:numId w:val="7"/>
        </w:numPr>
        <w:ind w:left="0" w:firstLine="0"/>
      </w:pPr>
      <w:r w:rsidRPr="00BB4C01">
        <w:rPr>
          <w:spacing w:val="4"/>
        </w:rPr>
        <w:t>The 5th</w:t>
      </w:r>
      <w:r w:rsidR="002539D0" w:rsidRPr="00BB4C01">
        <w:rPr>
          <w:spacing w:val="4"/>
        </w:rPr>
        <w:t xml:space="preserve"> </w:t>
      </w:r>
      <w:r w:rsidRPr="00BB4C01">
        <w:rPr>
          <w:spacing w:val="4"/>
        </w:rPr>
        <w:t>Annual Meeting of the UN System Oversight Committees took place virtually on</w:t>
      </w:r>
      <w:r>
        <w:t xml:space="preserve"> 8-9</w:t>
      </w:r>
      <w:r w:rsidR="00BB4C01">
        <w:t> </w:t>
      </w:r>
      <w:r>
        <w:t xml:space="preserve">December 2020. IMAC was represented by Mr </w:t>
      </w:r>
      <w:proofErr w:type="spellStart"/>
      <w:r>
        <w:t>Honore</w:t>
      </w:r>
      <w:proofErr w:type="spellEnd"/>
      <w:r>
        <w:t xml:space="preserve"> </w:t>
      </w:r>
      <w:proofErr w:type="spellStart"/>
      <w:r>
        <w:t>Ndoko</w:t>
      </w:r>
      <w:proofErr w:type="spellEnd"/>
      <w:r>
        <w:t>.</w:t>
      </w:r>
      <w:r w:rsidR="002539D0">
        <w:t xml:space="preserve"> </w:t>
      </w:r>
      <w:r>
        <w:t xml:space="preserve">IMAC considered some follow-up actions. In particular: </w:t>
      </w:r>
    </w:p>
    <w:p w14:paraId="691845E1" w14:textId="4E0174D2" w:rsidR="00087CEC" w:rsidRDefault="00087CEC" w:rsidP="00422AE7">
      <w:pPr>
        <w:pStyle w:val="Normalnumbered"/>
        <w:numPr>
          <w:ilvl w:val="0"/>
          <w:numId w:val="6"/>
        </w:numPr>
        <w:tabs>
          <w:tab w:val="clear" w:pos="1440"/>
          <w:tab w:val="num" w:pos="1134"/>
        </w:tabs>
        <w:ind w:firstLine="131"/>
      </w:pPr>
      <w:r w:rsidRPr="008E6F9C">
        <w:t>Following the speed of digitization, accelerated by the situation of the COVID-19 pandemic, IMAC would be looking into the risk management aspects, in particular cybersecurity</w:t>
      </w:r>
      <w:r w:rsidR="00441BAA">
        <w:t xml:space="preserve"> and how </w:t>
      </w:r>
      <w:r w:rsidRPr="008E6F9C">
        <w:t>cybersecurity risks are addressed at the ITU.</w:t>
      </w:r>
    </w:p>
    <w:p w14:paraId="73C457B4" w14:textId="3EBEEEB9" w:rsidR="001E14A9" w:rsidRDefault="00F44797" w:rsidP="001E14A9">
      <w:pPr>
        <w:pStyle w:val="Normalnumbered"/>
        <w:numPr>
          <w:ilvl w:val="0"/>
          <w:numId w:val="6"/>
        </w:numPr>
        <w:tabs>
          <w:tab w:val="clear" w:pos="1440"/>
          <w:tab w:val="num" w:pos="1134"/>
        </w:tabs>
        <w:ind w:firstLine="131"/>
      </w:pPr>
      <w:r>
        <w:lastRenderedPageBreak/>
        <w:t>Highlighting the importance of a</w:t>
      </w:r>
      <w:r w:rsidR="00087CEC" w:rsidRPr="00087CEC">
        <w:t>lignment and progress towards the achievement of the 2030 Agenda and the SDGs</w:t>
      </w:r>
      <w:r w:rsidR="00087CEC">
        <w:t xml:space="preserve">, </w:t>
      </w:r>
      <w:r>
        <w:t xml:space="preserve">IMAC </w:t>
      </w:r>
      <w:r w:rsidR="00087CEC">
        <w:t xml:space="preserve">would also </w:t>
      </w:r>
      <w:r w:rsidR="00C5648A">
        <w:t>include</w:t>
      </w:r>
      <w:r w:rsidR="00087CEC">
        <w:t xml:space="preserve"> </w:t>
      </w:r>
      <w:r w:rsidR="00C5648A">
        <w:t xml:space="preserve">the topic </w:t>
      </w:r>
      <w:r w:rsidR="00087CEC">
        <w:t xml:space="preserve">in </w:t>
      </w:r>
      <w:r w:rsidR="00C5648A">
        <w:t xml:space="preserve">the Committee’s </w:t>
      </w:r>
      <w:r w:rsidR="00087CEC">
        <w:t>agenda, reviewing and advising on ITU’s contribution.</w:t>
      </w:r>
    </w:p>
    <w:p w14:paraId="6BF8B5B2" w14:textId="627279A3" w:rsidR="00F35328" w:rsidRDefault="00087CEC" w:rsidP="005B2702">
      <w:pPr>
        <w:pStyle w:val="Normalnumbered"/>
        <w:numPr>
          <w:ilvl w:val="0"/>
          <w:numId w:val="6"/>
        </w:numPr>
        <w:tabs>
          <w:tab w:val="clear" w:pos="1440"/>
          <w:tab w:val="num" w:pos="1134"/>
        </w:tabs>
        <w:ind w:firstLine="131"/>
      </w:pPr>
      <w:r>
        <w:t>Regarding the assessment and evaluation of the work of the Committee, IMAC</w:t>
      </w:r>
      <w:r w:rsidR="00F35328">
        <w:t xml:space="preserve"> </w:t>
      </w:r>
      <w:r w:rsidR="0006592F">
        <w:t xml:space="preserve">agreed on </w:t>
      </w:r>
      <w:r w:rsidR="007E23DB">
        <w:t xml:space="preserve">an assessment questionnaire, </w:t>
      </w:r>
      <w:r w:rsidR="0006592F">
        <w:t>and considered</w:t>
      </w:r>
      <w:r w:rsidR="007E23DB">
        <w:t xml:space="preserve"> the possibility for a peer-review and evaluation with another UN organization’s Committee</w:t>
      </w:r>
      <w:r w:rsidR="00E71A8F">
        <w:t xml:space="preserve">. A self-assessment </w:t>
      </w:r>
      <w:r w:rsidR="005B2702">
        <w:t xml:space="preserve">has </w:t>
      </w:r>
      <w:r w:rsidR="00E71A8F">
        <w:t xml:space="preserve">already </w:t>
      </w:r>
      <w:r w:rsidR="005B2702">
        <w:t xml:space="preserve">been </w:t>
      </w:r>
      <w:r w:rsidR="00E71A8F">
        <w:t>underta</w:t>
      </w:r>
      <w:r w:rsidR="005B2702">
        <w:t xml:space="preserve">ken and the key findings/elements are </w:t>
      </w:r>
      <w:r w:rsidR="00F35328">
        <w:t>presented in the section below.</w:t>
      </w:r>
      <w:r>
        <w:t xml:space="preserve"> </w:t>
      </w:r>
    </w:p>
    <w:p w14:paraId="4B77ED95" w14:textId="7759C4DC" w:rsidR="00C617AB" w:rsidRDefault="008406CE" w:rsidP="00F44CA7">
      <w:pPr>
        <w:pStyle w:val="Normalnumbered"/>
        <w:numPr>
          <w:ilvl w:val="1"/>
          <w:numId w:val="7"/>
        </w:numPr>
        <w:ind w:left="0" w:firstLine="0"/>
      </w:pPr>
      <w:r>
        <w:t xml:space="preserve">IMAC recognizes the importance of the platform for the Chairpersons of the </w:t>
      </w:r>
      <w:r w:rsidR="00282B25">
        <w:t>UN system</w:t>
      </w:r>
      <w:r w:rsidR="007768C6">
        <w:t xml:space="preserve"> </w:t>
      </w:r>
      <w:r>
        <w:t>oversight committees</w:t>
      </w:r>
      <w:r w:rsidR="00282B25">
        <w:t xml:space="preserve"> and appreciates the </w:t>
      </w:r>
      <w:r w:rsidR="00C617AB" w:rsidRPr="00C617AB">
        <w:t>continued constructive dialogue</w:t>
      </w:r>
      <w:r w:rsidR="007768C6">
        <w:t xml:space="preserve"> taking place during </w:t>
      </w:r>
      <w:r w:rsidR="00A715F7">
        <w:t>the meetings</w:t>
      </w:r>
      <w:r w:rsidR="00F44CA7">
        <w:t>.</w:t>
      </w:r>
    </w:p>
    <w:p w14:paraId="24EEBAB1" w14:textId="1799521A" w:rsidR="0082506B" w:rsidRPr="00601C8D" w:rsidRDefault="00601C8D" w:rsidP="00AF15A5">
      <w:pPr>
        <w:pStyle w:val="NumberedHeading"/>
        <w:spacing w:before="240"/>
        <w:rPr>
          <w:rStyle w:val="Ohne"/>
          <w:caps/>
        </w:rPr>
      </w:pPr>
      <w:r>
        <w:rPr>
          <w:rStyle w:val="Ohne"/>
          <w:caps/>
        </w:rPr>
        <w:t>IMAC Self-Assessment</w:t>
      </w:r>
    </w:p>
    <w:p w14:paraId="03C64441" w14:textId="55F58A35" w:rsidR="00423DC4" w:rsidRDefault="006E6662" w:rsidP="006F229D">
      <w:pPr>
        <w:pStyle w:val="Normalnumbered"/>
        <w:numPr>
          <w:ilvl w:val="1"/>
          <w:numId w:val="7"/>
        </w:numPr>
        <w:ind w:left="0" w:firstLine="0"/>
      </w:pPr>
      <w:r>
        <w:t>The Committee undertook a self-assessment questionnaire</w:t>
      </w:r>
      <w:r w:rsidR="00423DC4">
        <w:t xml:space="preserve"> covering a broad</w:t>
      </w:r>
      <w:r w:rsidR="00C24202">
        <w:t xml:space="preserve"> number of </w:t>
      </w:r>
      <w:r w:rsidR="006950FD">
        <w:t>themes</w:t>
      </w:r>
      <w:r w:rsidR="00AC5A81">
        <w:t xml:space="preserve">, following the good practice discussed at </w:t>
      </w:r>
      <w:r w:rsidR="00EC6E27">
        <w:t xml:space="preserve">the </w:t>
      </w:r>
      <w:r w:rsidR="00EC6E27" w:rsidRPr="00BB4C01">
        <w:t>5th</w:t>
      </w:r>
      <w:r w:rsidR="00EC6E27">
        <w:t xml:space="preserve"> Annual Meeting of the UN System Oversight Committees and the respective </w:t>
      </w:r>
      <w:r w:rsidR="005D1792">
        <w:t>JIU Recommendation.</w:t>
      </w:r>
    </w:p>
    <w:p w14:paraId="47C3FA21" w14:textId="4C06A0F7" w:rsidR="00B41CED" w:rsidRDefault="00B41CED" w:rsidP="006F229D">
      <w:pPr>
        <w:pStyle w:val="Normalnumbered"/>
        <w:numPr>
          <w:ilvl w:val="1"/>
          <w:numId w:val="7"/>
        </w:numPr>
        <w:ind w:left="0" w:firstLine="0"/>
      </w:pPr>
      <w:r>
        <w:t>The members of the Committee are satisfied that collectively,</w:t>
      </w:r>
      <w:r w:rsidR="00762BE0">
        <w:t xml:space="preserve"> </w:t>
      </w:r>
      <w:r>
        <w:t xml:space="preserve">they have the range of skills and professional credentials to provide oversight and ensure that the Secretary General, the Elected Officials, the </w:t>
      </w:r>
      <w:r w:rsidR="00BB4C01">
        <w:t>s</w:t>
      </w:r>
      <w:r>
        <w:t>ecretariat</w:t>
      </w:r>
      <w:r w:rsidR="00FF4CBF">
        <w:t>,</w:t>
      </w:r>
      <w:r>
        <w:t xml:space="preserve"> and the Council receive appropriate independent advice on governance, efficiency, risk management, internal controls, audit</w:t>
      </w:r>
      <w:r w:rsidR="00FF4CBF">
        <w:t>,</w:t>
      </w:r>
      <w:r>
        <w:t xml:space="preserve"> and integrity.</w:t>
      </w:r>
    </w:p>
    <w:p w14:paraId="5ACB4A4B" w14:textId="5995C231" w:rsidR="00423DC4" w:rsidRDefault="008A0ED9" w:rsidP="006F229D">
      <w:pPr>
        <w:pStyle w:val="Normalnumbered"/>
        <w:numPr>
          <w:ilvl w:val="1"/>
          <w:numId w:val="7"/>
        </w:numPr>
        <w:ind w:left="0" w:firstLine="0"/>
      </w:pPr>
      <w:r>
        <w:t xml:space="preserve">The key findings </w:t>
      </w:r>
      <w:r w:rsidR="00B11E5D">
        <w:t xml:space="preserve">regarding </w:t>
      </w:r>
      <w:r>
        <w:t xml:space="preserve">areas </w:t>
      </w:r>
      <w:r w:rsidR="00B11E5D">
        <w:t xml:space="preserve">where </w:t>
      </w:r>
      <w:r>
        <w:t>further improve</w:t>
      </w:r>
      <w:r w:rsidR="00B11E5D">
        <w:t>ments could be envisaged</w:t>
      </w:r>
      <w:r>
        <w:t xml:space="preserve"> include:</w:t>
      </w:r>
    </w:p>
    <w:p w14:paraId="47BAB353" w14:textId="41CE310B" w:rsidR="008A0ED9" w:rsidRDefault="00815F3F" w:rsidP="008A0ED9">
      <w:pPr>
        <w:pStyle w:val="Normalnumbered"/>
        <w:numPr>
          <w:ilvl w:val="0"/>
          <w:numId w:val="6"/>
        </w:numPr>
        <w:tabs>
          <w:tab w:val="clear" w:pos="1440"/>
          <w:tab w:val="num" w:pos="1134"/>
        </w:tabs>
        <w:ind w:firstLine="131"/>
      </w:pPr>
      <w:r>
        <w:t xml:space="preserve">Reinforcing the process of </w:t>
      </w:r>
      <w:r w:rsidR="006D71A6">
        <w:t>declaration of any conflicts of interest</w:t>
      </w:r>
      <w:r w:rsidR="006956F1">
        <w:t xml:space="preserve"> by the IMAC members</w:t>
      </w:r>
      <w:r w:rsidR="006D71A6">
        <w:t xml:space="preserve">, not only on an annual basis via the </w:t>
      </w:r>
      <w:r w:rsidR="00E93113">
        <w:t xml:space="preserve">completed and signed form, but also </w:t>
      </w:r>
      <w:r w:rsidR="006956F1">
        <w:t>at</w:t>
      </w:r>
      <w:r w:rsidR="00E93113">
        <w:t xml:space="preserve"> the beginning of every IMAC’s </w:t>
      </w:r>
      <w:proofErr w:type="gramStart"/>
      <w:r w:rsidR="00E93113">
        <w:t>meeting;</w:t>
      </w:r>
      <w:proofErr w:type="gramEnd"/>
    </w:p>
    <w:p w14:paraId="11B089A1" w14:textId="65FB8216" w:rsidR="00D30639" w:rsidRDefault="007F34D9" w:rsidP="008A0ED9">
      <w:pPr>
        <w:pStyle w:val="Normalnumbered"/>
        <w:numPr>
          <w:ilvl w:val="0"/>
          <w:numId w:val="6"/>
        </w:numPr>
        <w:tabs>
          <w:tab w:val="clear" w:pos="1440"/>
          <w:tab w:val="num" w:pos="1134"/>
        </w:tabs>
        <w:ind w:firstLine="131"/>
      </w:pPr>
      <w:r>
        <w:t xml:space="preserve">Establishment of a process for the notification of IMAC </w:t>
      </w:r>
      <w:r w:rsidR="00773CA6">
        <w:t xml:space="preserve">when a new formal investigation process </w:t>
      </w:r>
      <w:r w:rsidR="00D30639">
        <w:t>for fraud is being launched</w:t>
      </w:r>
      <w:r w:rsidR="007B3F14">
        <w:t>, a</w:t>
      </w:r>
      <w:r w:rsidR="004442C0">
        <w:t>s well as information on the conclusion, outcomes and follow-up actions of investigations</w:t>
      </w:r>
      <w:r w:rsidR="002D6554">
        <w:t xml:space="preserve"> (</w:t>
      </w:r>
      <w:r w:rsidR="00A24CB2">
        <w:t xml:space="preserve">respecting </w:t>
      </w:r>
      <w:r w:rsidR="004442C0">
        <w:t xml:space="preserve">the </w:t>
      </w:r>
      <w:r w:rsidR="00A24CB2">
        <w:t>legal framework of the organization and the information required for IMAC to exercise its responsibilities</w:t>
      </w:r>
      <w:proofErr w:type="gramStart"/>
      <w:r w:rsidR="00FB07EC">
        <w:t>)</w:t>
      </w:r>
      <w:r w:rsidR="00D30639">
        <w:t>;</w:t>
      </w:r>
      <w:proofErr w:type="gramEnd"/>
    </w:p>
    <w:p w14:paraId="334D941C" w14:textId="7CBA6599" w:rsidR="005F2D27" w:rsidRPr="007A4D9F" w:rsidRDefault="008F3C09" w:rsidP="007A4D9F">
      <w:pPr>
        <w:pStyle w:val="Normalnumbered"/>
        <w:numPr>
          <w:ilvl w:val="0"/>
          <w:numId w:val="6"/>
        </w:numPr>
        <w:tabs>
          <w:tab w:val="clear" w:pos="1440"/>
          <w:tab w:val="num" w:pos="1134"/>
        </w:tabs>
        <w:ind w:firstLine="131"/>
        <w:rPr>
          <w:rStyle w:val="Ohne"/>
        </w:rPr>
      </w:pPr>
      <w:r>
        <w:t xml:space="preserve">Conducting </w:t>
      </w:r>
      <w:r w:rsidR="006E5057">
        <w:t xml:space="preserve">deep-dive discussions on </w:t>
      </w:r>
      <w:r w:rsidR="004B7CBD">
        <w:t xml:space="preserve">specific </w:t>
      </w:r>
      <w:r w:rsidR="008B17DD">
        <w:t xml:space="preserve">thematic topics </w:t>
      </w:r>
      <w:r w:rsidR="006E5057">
        <w:t>with the Chiefs of Departments</w:t>
      </w:r>
      <w:r w:rsidR="00220338">
        <w:rPr>
          <w:lang w:val="el-GR"/>
        </w:rPr>
        <w:t xml:space="preserve"> </w:t>
      </w:r>
      <w:r w:rsidR="00220338">
        <w:t>or Heads of Divisions/Services</w:t>
      </w:r>
      <w:r w:rsidR="004B7CBD">
        <w:t>, on an annual basis</w:t>
      </w:r>
      <w:r w:rsidR="008B17DD">
        <w:t>.</w:t>
      </w:r>
    </w:p>
    <w:p w14:paraId="2DFBC471" w14:textId="229B6074" w:rsidR="005F2D27" w:rsidRPr="00087CEC" w:rsidRDefault="00E8463C" w:rsidP="005F2D27">
      <w:pPr>
        <w:pStyle w:val="NumberedHeading"/>
        <w:spacing w:before="240"/>
        <w:rPr>
          <w:rStyle w:val="Ohne"/>
          <w:caps/>
        </w:rPr>
      </w:pPr>
      <w:r>
        <w:rPr>
          <w:rStyle w:val="Ohne"/>
          <w:caps/>
        </w:rPr>
        <w:t>Proposed Amendments to the IMAC Terms of Reference</w:t>
      </w:r>
    </w:p>
    <w:p w14:paraId="4D6A7C7C" w14:textId="28769947" w:rsidR="00CE3D3F" w:rsidRDefault="004E66BC" w:rsidP="00D47EA7">
      <w:pPr>
        <w:pStyle w:val="Normalnumbered"/>
        <w:numPr>
          <w:ilvl w:val="1"/>
          <w:numId w:val="7"/>
        </w:numPr>
        <w:ind w:left="0" w:firstLine="0"/>
      </w:pPr>
      <w:r>
        <w:t xml:space="preserve">The </w:t>
      </w:r>
      <w:r w:rsidR="00502EBF">
        <w:t>Committee initiated the work to propose amendments to the IMAC</w:t>
      </w:r>
      <w:r w:rsidR="00D47EA7">
        <w:t xml:space="preserve"> </w:t>
      </w:r>
      <w:r w:rsidR="00CE3D3F" w:rsidRPr="00CE3D3F">
        <w:t>terms of reference (</w:t>
      </w:r>
      <w:proofErr w:type="spellStart"/>
      <w:r w:rsidR="00CE3D3F" w:rsidRPr="00CE3D3F">
        <w:t>ToRs</w:t>
      </w:r>
      <w:proofErr w:type="spellEnd"/>
      <w:r w:rsidR="00CE3D3F" w:rsidRPr="00CE3D3F">
        <w:t xml:space="preserve">), according to the provisions of paragraph 6 of </w:t>
      </w:r>
      <w:r w:rsidR="00616A76">
        <w:t>its</w:t>
      </w:r>
      <w:r w:rsidR="00CE3D3F" w:rsidRPr="00CE3D3F">
        <w:t xml:space="preserve"> </w:t>
      </w:r>
      <w:proofErr w:type="spellStart"/>
      <w:r w:rsidR="00CE3D3F" w:rsidRPr="00CE3D3F">
        <w:t>ToRs</w:t>
      </w:r>
      <w:proofErr w:type="spellEnd"/>
      <w:r w:rsidR="00CE3D3F" w:rsidRPr="00CE3D3F">
        <w:t xml:space="preserve"> (Annex to Resolution 162 (Rev. Busan, 2014</w:t>
      </w:r>
      <w:r w:rsidR="00E041A2">
        <w:t>)</w:t>
      </w:r>
      <w:r w:rsidR="00CE3D3F" w:rsidRPr="00CE3D3F">
        <w:t>)</w:t>
      </w:r>
      <w:r w:rsidR="00D47EA7">
        <w:t xml:space="preserve">. These amendments will be </w:t>
      </w:r>
      <w:r w:rsidR="004307C6">
        <w:t xml:space="preserve">provided by IMAC </w:t>
      </w:r>
      <w:r w:rsidR="00D71A3E">
        <w:t xml:space="preserve">following its next meeting, </w:t>
      </w:r>
      <w:proofErr w:type="gramStart"/>
      <w:r w:rsidR="00D71A3E">
        <w:t>in order to</w:t>
      </w:r>
      <w:proofErr w:type="gramEnd"/>
      <w:r w:rsidR="00D71A3E">
        <w:t xml:space="preserve"> be </w:t>
      </w:r>
      <w:r w:rsidR="00D47EA7">
        <w:t xml:space="preserve">submitted </w:t>
      </w:r>
      <w:r w:rsidR="00D71A3E">
        <w:t xml:space="preserve">well in advance </w:t>
      </w:r>
      <w:r w:rsidR="00D47EA7">
        <w:t xml:space="preserve">to the 2022 Session of </w:t>
      </w:r>
      <w:r w:rsidR="00CE3D3F" w:rsidRPr="00CE3D3F">
        <w:t>Council</w:t>
      </w:r>
      <w:r w:rsidR="00D47EA7">
        <w:t xml:space="preserve"> for</w:t>
      </w:r>
      <w:r w:rsidR="00CE3D3F" w:rsidRPr="00CE3D3F">
        <w:t xml:space="preserve"> approval and </w:t>
      </w:r>
      <w:r w:rsidR="00D21DE7">
        <w:t xml:space="preserve">further </w:t>
      </w:r>
      <w:r w:rsidR="009A5F68">
        <w:t>consideration by Member States</w:t>
      </w:r>
      <w:r w:rsidR="00CE3D3F" w:rsidRPr="00CE3D3F">
        <w:t xml:space="preserve"> </w:t>
      </w:r>
      <w:r w:rsidR="009A5F68">
        <w:t>at</w:t>
      </w:r>
      <w:r w:rsidR="00CE3D3F" w:rsidRPr="00CE3D3F">
        <w:t xml:space="preserve"> the </w:t>
      </w:r>
      <w:r w:rsidR="008D6145">
        <w:t xml:space="preserve">ITU </w:t>
      </w:r>
      <w:r w:rsidR="00CE3D3F" w:rsidRPr="00CE3D3F">
        <w:t>Plenipotentiary Conference</w:t>
      </w:r>
      <w:r w:rsidR="008D6145">
        <w:t xml:space="preserve"> in 2022</w:t>
      </w:r>
      <w:r w:rsidR="00CE3D3F" w:rsidRPr="00CE3D3F">
        <w:t>.</w:t>
      </w:r>
    </w:p>
    <w:p w14:paraId="35185030" w14:textId="528432F1" w:rsidR="00DB7802" w:rsidRDefault="008C1247" w:rsidP="00DB7802">
      <w:pPr>
        <w:pStyle w:val="Normalnumbered"/>
        <w:numPr>
          <w:ilvl w:val="1"/>
          <w:numId w:val="7"/>
        </w:numPr>
        <w:ind w:left="0" w:firstLine="0"/>
      </w:pPr>
      <w:r>
        <w:t xml:space="preserve">For this review, </w:t>
      </w:r>
      <w:r w:rsidR="00DB7802">
        <w:t>IMAC</w:t>
      </w:r>
      <w:r w:rsidR="00EB74BE">
        <w:t xml:space="preserve"> has </w:t>
      </w:r>
      <w:r w:rsidR="00D71A3E">
        <w:t xml:space="preserve">been benchmarking </w:t>
      </w:r>
      <w:r w:rsidR="002D02B7">
        <w:t xml:space="preserve">its </w:t>
      </w:r>
      <w:proofErr w:type="spellStart"/>
      <w:r w:rsidR="002D02B7">
        <w:t>ToRs</w:t>
      </w:r>
      <w:proofErr w:type="spellEnd"/>
      <w:r w:rsidR="002D02B7">
        <w:t xml:space="preserve"> against the JIU benchmarks and best practice from other </w:t>
      </w:r>
      <w:r w:rsidR="00EB74BE">
        <w:t>UN audit/oversight committees</w:t>
      </w:r>
      <w:r w:rsidR="0018670E">
        <w:t>. T</w:t>
      </w:r>
      <w:r w:rsidR="00EB74BE">
        <w:t xml:space="preserve">he </w:t>
      </w:r>
      <w:r w:rsidR="00D244B3">
        <w:t>findings</w:t>
      </w:r>
      <w:r w:rsidR="00DB7802">
        <w:t xml:space="preserve"> of </w:t>
      </w:r>
      <w:r w:rsidR="0018670E">
        <w:t xml:space="preserve">the following </w:t>
      </w:r>
      <w:r w:rsidR="00DB7802">
        <w:t>JIU Reports</w:t>
      </w:r>
      <w:r w:rsidR="007A4D9F">
        <w:t xml:space="preserve"> </w:t>
      </w:r>
      <w:r w:rsidR="00DB7802">
        <w:t>related to the role and responsibilities of the audit/oversight committees</w:t>
      </w:r>
      <w:r w:rsidR="0018670E">
        <w:t xml:space="preserve"> are being considered</w:t>
      </w:r>
      <w:r w:rsidR="00DB7802">
        <w:t>:</w:t>
      </w:r>
    </w:p>
    <w:p w14:paraId="00C90387" w14:textId="5A749D24" w:rsidR="00DB7802" w:rsidRDefault="00DB7802" w:rsidP="00DB7802">
      <w:pPr>
        <w:pStyle w:val="Normalnumbered"/>
        <w:numPr>
          <w:ilvl w:val="0"/>
          <w:numId w:val="6"/>
        </w:numPr>
        <w:tabs>
          <w:tab w:val="clear" w:pos="1440"/>
          <w:tab w:val="num" w:pos="1134"/>
        </w:tabs>
        <w:ind w:firstLine="131"/>
      </w:pPr>
      <w:r>
        <w:lastRenderedPageBreak/>
        <w:t>JIU Report Review of Audit &amp; Oversight Committees in the UN System (</w:t>
      </w:r>
      <w:hyperlink r:id="rId23" w:history="1">
        <w:r w:rsidRPr="00522221">
          <w:rPr>
            <w:rStyle w:val="Hyperlink"/>
          </w:rPr>
          <w:t>JIU/REP/2019/6</w:t>
        </w:r>
      </w:hyperlink>
      <w:r>
        <w:t xml:space="preserve">), containing specific </w:t>
      </w:r>
      <w:r w:rsidR="007A4D9F">
        <w:t>recommendations</w:t>
      </w:r>
      <w:r>
        <w:t xml:space="preserve"> for consideration by the legislative bodies, on the terms of reference of the Committees;</w:t>
      </w:r>
    </w:p>
    <w:p w14:paraId="24FF6A22" w14:textId="16D3F326" w:rsidR="0082506B" w:rsidRDefault="00DB7802" w:rsidP="0082506B">
      <w:pPr>
        <w:pStyle w:val="Normalnumbered"/>
        <w:numPr>
          <w:ilvl w:val="0"/>
          <w:numId w:val="6"/>
        </w:numPr>
        <w:tabs>
          <w:tab w:val="clear" w:pos="1440"/>
          <w:tab w:val="num" w:pos="1134"/>
        </w:tabs>
        <w:ind w:firstLine="131"/>
      </w:pPr>
      <w:r>
        <w:t>JIU Review of the state of the investigation function in the UN System (</w:t>
      </w:r>
      <w:hyperlink r:id="rId24" w:history="1">
        <w:r w:rsidRPr="00C0157C">
          <w:rPr>
            <w:rStyle w:val="Hyperlink"/>
          </w:rPr>
          <w:t>JIU/REP/2020/1</w:t>
        </w:r>
      </w:hyperlink>
      <w:r>
        <w:t xml:space="preserve">, in particular </w:t>
      </w:r>
      <w:r w:rsidR="007A4D9F">
        <w:t xml:space="preserve">Recommendation no. </w:t>
      </w:r>
      <w:r>
        <w:t>6 related to the role of Audit and Oversight Committees vis-à-vis the investigation function).</w:t>
      </w:r>
    </w:p>
    <w:p w14:paraId="5E9DBC7F" w14:textId="77777777" w:rsidR="00B951CC" w:rsidRPr="00AC4E93" w:rsidRDefault="00B951CC" w:rsidP="001C429A">
      <w:pPr>
        <w:pStyle w:val="NumberedHeading"/>
        <w:spacing w:before="360"/>
        <w:rPr>
          <w:rStyle w:val="Ohne"/>
          <w:caps/>
        </w:rPr>
      </w:pPr>
      <w:r>
        <w:rPr>
          <w:rStyle w:val="Ohne"/>
          <w:caps/>
        </w:rPr>
        <w:t>Status of IMAC Recommendations</w:t>
      </w:r>
    </w:p>
    <w:p w14:paraId="64554D4B" w14:textId="77777777" w:rsidR="00B951CC" w:rsidRDefault="00B951CC" w:rsidP="00B951CC">
      <w:pPr>
        <w:pStyle w:val="Normalnumbered"/>
        <w:numPr>
          <w:ilvl w:val="1"/>
          <w:numId w:val="7"/>
        </w:numPr>
        <w:ind w:left="0" w:firstLine="0"/>
      </w:pPr>
      <w:r>
        <w:t>In keeping with its standard practice, and to assist the Council on the follow-up of action taken in response to IMAC’s recommendations, IMAC reviewed the implementation status of its previous recommendations. This is presented at Annex 1.</w:t>
      </w:r>
    </w:p>
    <w:p w14:paraId="37832B6F" w14:textId="74CAF9A3" w:rsidR="00B951CC" w:rsidRDefault="00B951CC" w:rsidP="00B951CC">
      <w:pPr>
        <w:pStyle w:val="Normalnumbered"/>
        <w:numPr>
          <w:ilvl w:val="1"/>
          <w:numId w:val="7"/>
        </w:numPr>
        <w:ind w:left="0" w:firstLine="0"/>
      </w:pPr>
      <w:r>
        <w:t>Up to now, 85% of the IMAC recommendations have been implemented, while 9</w:t>
      </w:r>
      <w:r w:rsidR="00BB4C01">
        <w:t> </w:t>
      </w:r>
      <w:r>
        <w:t>recommendations (~15%) remain in progress with the secretariat.</w:t>
      </w:r>
    </w:p>
    <w:p w14:paraId="422E6962" w14:textId="7242940A" w:rsidR="000073A7" w:rsidRPr="002979F3" w:rsidRDefault="00BD0414" w:rsidP="001C429A">
      <w:pPr>
        <w:pStyle w:val="NumberedHeading"/>
        <w:numPr>
          <w:ilvl w:val="0"/>
          <w:numId w:val="4"/>
        </w:numPr>
        <w:spacing w:before="360"/>
        <w:ind w:left="357" w:hanging="357"/>
        <w:rPr>
          <w:rStyle w:val="Ohne"/>
          <w:caps/>
        </w:rPr>
      </w:pPr>
      <w:r>
        <w:rPr>
          <w:rStyle w:val="Ohne"/>
          <w:caps/>
        </w:rPr>
        <w:t xml:space="preserve">Global Leadership </w:t>
      </w:r>
      <w:r w:rsidR="0088165B">
        <w:rPr>
          <w:rStyle w:val="Ohne"/>
          <w:caps/>
        </w:rPr>
        <w:t xml:space="preserve">and </w:t>
      </w:r>
      <w:r w:rsidR="00BE01DF">
        <w:rPr>
          <w:rStyle w:val="Ohne"/>
          <w:caps/>
        </w:rPr>
        <w:t>ROle of the ITU in the post-</w:t>
      </w:r>
      <w:r w:rsidR="00372D36" w:rsidRPr="002979F3">
        <w:rPr>
          <w:rStyle w:val="Ohne"/>
          <w:caps/>
        </w:rPr>
        <w:t>COVid-19</w:t>
      </w:r>
      <w:r w:rsidR="0088165B">
        <w:rPr>
          <w:rStyle w:val="Ohne"/>
          <w:caps/>
        </w:rPr>
        <w:t xml:space="preserve"> World</w:t>
      </w:r>
      <w:r w:rsidR="00372D36" w:rsidRPr="002979F3">
        <w:rPr>
          <w:rStyle w:val="Ohne"/>
          <w:caps/>
        </w:rPr>
        <w:t xml:space="preserve"> </w:t>
      </w:r>
    </w:p>
    <w:p w14:paraId="2DECC060" w14:textId="4DA233D8" w:rsidR="00DE1464" w:rsidRDefault="00372D36" w:rsidP="00F15503">
      <w:pPr>
        <w:pStyle w:val="Normalnumbered"/>
        <w:numPr>
          <w:ilvl w:val="1"/>
          <w:numId w:val="7"/>
        </w:numPr>
        <w:ind w:left="0" w:firstLine="0"/>
      </w:pPr>
      <w:r w:rsidRPr="002979F3">
        <w:t>The Committee</w:t>
      </w:r>
      <w:r w:rsidR="00912B92">
        <w:t xml:space="preserve"> appreciated the briefing</w:t>
      </w:r>
      <w:r w:rsidRPr="002979F3">
        <w:t xml:space="preserve"> received on the impact of the current COVID-19 pandemic on the functioning and activities of ITU</w:t>
      </w:r>
      <w:r w:rsidR="00050242" w:rsidRPr="002979F3">
        <w:t xml:space="preserve"> through a summarized</w:t>
      </w:r>
      <w:r w:rsidR="0092122E" w:rsidRPr="002979F3">
        <w:t xml:space="preserve"> preliminary </w:t>
      </w:r>
      <w:r w:rsidR="00DE1464" w:rsidRPr="002979F3">
        <w:t xml:space="preserve">impact </w:t>
      </w:r>
      <w:r w:rsidR="0092122E" w:rsidRPr="002979F3">
        <w:t xml:space="preserve">analysis, presenting available facts, underlining the lessons learned, and highlighting </w:t>
      </w:r>
      <w:r w:rsidR="00856B66">
        <w:t>key</w:t>
      </w:r>
      <w:r w:rsidR="0092122E" w:rsidRPr="002979F3">
        <w:t xml:space="preserve"> aspects </w:t>
      </w:r>
      <w:r w:rsidR="00F15503">
        <w:t>for</w:t>
      </w:r>
      <w:r w:rsidR="0092122E" w:rsidRPr="002979F3">
        <w:t xml:space="preserve"> future</w:t>
      </w:r>
      <w:r w:rsidR="00F15503">
        <w:t xml:space="preserve"> consideration</w:t>
      </w:r>
      <w:r w:rsidR="00DE1464" w:rsidRPr="002979F3">
        <w:t>.</w:t>
      </w:r>
    </w:p>
    <w:p w14:paraId="72C5A0A2" w14:textId="19C2E22A" w:rsidR="00B324F7" w:rsidRPr="00A35BB8" w:rsidRDefault="000B48DE" w:rsidP="000B48DE">
      <w:pPr>
        <w:pStyle w:val="Normalnumbered"/>
        <w:numPr>
          <w:ilvl w:val="1"/>
          <w:numId w:val="7"/>
        </w:numPr>
        <w:ind w:left="0" w:firstLine="0"/>
      </w:pPr>
      <w:r>
        <w:t xml:space="preserve">The pandemic </w:t>
      </w:r>
      <w:r w:rsidR="00DD5C72">
        <w:t xml:space="preserve">has brought out the stark reality of </w:t>
      </w:r>
      <w:r w:rsidR="0036038D">
        <w:t xml:space="preserve">the digital divide in the world. </w:t>
      </w:r>
      <w:r w:rsidR="00C70307" w:rsidRPr="00A35BB8">
        <w:t xml:space="preserve">As the world </w:t>
      </w:r>
      <w:r w:rsidR="001B1A6C">
        <w:t>noticed the</w:t>
      </w:r>
      <w:r w:rsidR="00C70307" w:rsidRPr="00A35BB8">
        <w:t xml:space="preserve"> digital divide, it is of paramount importance that each and every </w:t>
      </w:r>
      <w:r w:rsidR="00030A55">
        <w:t>human being</w:t>
      </w:r>
      <w:r w:rsidR="00C70307" w:rsidRPr="00A35BB8">
        <w:t xml:space="preserve"> on the planet has internet access, making ITU’s </w:t>
      </w:r>
      <w:proofErr w:type="gramStart"/>
      <w:r w:rsidR="00C70307" w:rsidRPr="00A35BB8">
        <w:t>internationally-accorded</w:t>
      </w:r>
      <w:proofErr w:type="gramEnd"/>
      <w:r w:rsidR="00C70307" w:rsidRPr="00A35BB8">
        <w:t xml:space="preserve"> mandate to ‘bridge the digital divide’ more relevant and vital than ever</w:t>
      </w:r>
      <w:r w:rsidR="00D16067">
        <w:t xml:space="preserve">. </w:t>
      </w:r>
      <w:r w:rsidR="0036038D">
        <w:t xml:space="preserve">ITU has championed in bringing out this narrative in what needs to be done </w:t>
      </w:r>
      <w:r w:rsidR="007D3C9F">
        <w:t>to bridge the digital divide.</w:t>
      </w:r>
      <w:r w:rsidR="00DD5C72">
        <w:t xml:space="preserve"> </w:t>
      </w:r>
      <w:r w:rsidR="002C1CF9">
        <w:t>IMAC appreciates the role of ITU</w:t>
      </w:r>
      <w:r w:rsidR="00895D0B">
        <w:t xml:space="preserve"> in the ever</w:t>
      </w:r>
      <w:r w:rsidR="00FF4CBF">
        <w:t>-</w:t>
      </w:r>
      <w:r w:rsidR="00895D0B">
        <w:t>increasing digital world we are living in and</w:t>
      </w:r>
      <w:r w:rsidR="00AC1757">
        <w:t xml:space="preserve"> would advise ITU </w:t>
      </w:r>
      <w:r w:rsidR="00B324F7" w:rsidRPr="00A35BB8">
        <w:t xml:space="preserve">to continue seeking ways to get connectivity </w:t>
      </w:r>
      <w:r w:rsidR="005D5554">
        <w:t>around</w:t>
      </w:r>
      <w:r w:rsidR="00B324F7" w:rsidRPr="00A35BB8">
        <w:t xml:space="preserve"> the whole world, build</w:t>
      </w:r>
      <w:r w:rsidR="001B28DD">
        <w:t>ing</w:t>
      </w:r>
      <w:r w:rsidR="00B324F7" w:rsidRPr="00A35BB8">
        <w:t xml:space="preserve"> on ITU’s role as a Champion in digitization.</w:t>
      </w:r>
    </w:p>
    <w:p w14:paraId="422E696A" w14:textId="77777777" w:rsidR="0034051F" w:rsidRPr="00F83291" w:rsidRDefault="0034051F" w:rsidP="001C429A">
      <w:pPr>
        <w:pStyle w:val="NumberedHeading"/>
        <w:numPr>
          <w:ilvl w:val="0"/>
          <w:numId w:val="4"/>
        </w:numPr>
        <w:spacing w:before="360"/>
        <w:ind w:left="357" w:hanging="357"/>
      </w:pPr>
      <w:r w:rsidRPr="00F83291">
        <w:rPr>
          <w:rStyle w:val="Ohne"/>
          <w:caps/>
        </w:rPr>
        <w:t>FINANCIAL MANAGEMENT</w:t>
      </w:r>
    </w:p>
    <w:p w14:paraId="422E696B" w14:textId="06C53027" w:rsidR="0034051F" w:rsidRDefault="0034051F" w:rsidP="0034051F">
      <w:pPr>
        <w:pStyle w:val="Normalnumbered"/>
        <w:numPr>
          <w:ilvl w:val="1"/>
          <w:numId w:val="7"/>
        </w:numPr>
        <w:ind w:left="0" w:firstLine="0"/>
      </w:pPr>
      <w:r w:rsidRPr="00F83291">
        <w:t>IMAC continued to monitor financial issues and discuss developments with the Financial Resources Management Department. Since its last report to</w:t>
      </w:r>
      <w:r w:rsidR="00FF4CBF">
        <w:t xml:space="preserve"> the</w:t>
      </w:r>
      <w:r w:rsidRPr="00F83291">
        <w:t xml:space="preserve"> Council, the Committee was informed </w:t>
      </w:r>
      <w:proofErr w:type="gramStart"/>
      <w:r w:rsidRPr="00F83291">
        <w:t>in particular of</w:t>
      </w:r>
      <w:proofErr w:type="gramEnd"/>
      <w:r w:rsidRPr="00F83291">
        <w:t xml:space="preserve"> the </w:t>
      </w:r>
      <w:r w:rsidR="00587F95">
        <w:t>development of the draft Budget for 2022-23</w:t>
      </w:r>
      <w:r w:rsidRPr="00F83291">
        <w:t xml:space="preserve">, the developments in the discussions on how to fund the After Service Health Insurance (ASHI) liabilities at the UN level, as well as </w:t>
      </w:r>
      <w:r w:rsidR="006D4DD7">
        <w:t xml:space="preserve">the </w:t>
      </w:r>
      <w:r w:rsidR="0064206F">
        <w:t>financial risks related to the COVID-19 pandemic situation</w:t>
      </w:r>
      <w:r w:rsidRPr="00F83291">
        <w:t>.</w:t>
      </w:r>
    </w:p>
    <w:p w14:paraId="4AFB12D4" w14:textId="55FFA3B1" w:rsidR="00540225" w:rsidRDefault="008A4B2F" w:rsidP="008A4B2F">
      <w:pPr>
        <w:pStyle w:val="Normalnumbered"/>
        <w:numPr>
          <w:ilvl w:val="1"/>
          <w:numId w:val="7"/>
        </w:numPr>
        <w:ind w:left="0" w:firstLine="0"/>
      </w:pPr>
      <w:r w:rsidRPr="0055495F">
        <w:t xml:space="preserve">The Committee particularly inquired about the cash flow status of the organization, as well as the </w:t>
      </w:r>
      <w:r w:rsidR="00BB4C01" w:rsidRPr="0055495F">
        <w:t>longer-term</w:t>
      </w:r>
      <w:r w:rsidRPr="0055495F">
        <w:t xml:space="preserve"> financial implications of the pandemic, </w:t>
      </w:r>
      <w:r w:rsidR="0055495F" w:rsidRPr="0055495F">
        <w:t>and</w:t>
      </w:r>
      <w:r w:rsidR="0055495F">
        <w:t xml:space="preserve"> </w:t>
      </w:r>
      <w:r w:rsidR="000A0CBC">
        <w:t>highlight</w:t>
      </w:r>
      <w:r w:rsidR="0055495F">
        <w:t>ed</w:t>
      </w:r>
      <w:r w:rsidR="000A0CBC">
        <w:t xml:space="preserve"> </w:t>
      </w:r>
      <w:r w:rsidR="005B692A">
        <w:t>the risks</w:t>
      </w:r>
      <w:r w:rsidR="000A0CBC">
        <w:t xml:space="preserve"> associated with the current situation, in particular </w:t>
      </w:r>
      <w:r w:rsidR="008A545F">
        <w:t>liquidity</w:t>
      </w:r>
      <w:r w:rsidR="00BE6AFF">
        <w:t xml:space="preserve">, as well as the </w:t>
      </w:r>
      <w:r w:rsidR="008C2FC3">
        <w:t xml:space="preserve">process of return </w:t>
      </w:r>
      <w:r w:rsidR="00BE6AFF">
        <w:t>of equipment provided to staff to enable teleworking.</w:t>
      </w:r>
      <w:r w:rsidR="005B155D">
        <w:t xml:space="preserve"> </w:t>
      </w:r>
      <w:r w:rsidR="005B155D" w:rsidRPr="005B155D">
        <w:t>It should be noted, however, that at this stage the management confirms that almost 96% of contributions due were collected in 2020 and the trend is also confirmed for 2021. This reassures the liquidity risk in the short-term period.</w:t>
      </w:r>
    </w:p>
    <w:p w14:paraId="04921DD4" w14:textId="2B6E4B4B" w:rsidR="00115510" w:rsidRPr="00741836" w:rsidRDefault="005C149F" w:rsidP="005C149F">
      <w:pPr>
        <w:pStyle w:val="Normalnumbered"/>
        <w:numPr>
          <w:ilvl w:val="1"/>
          <w:numId w:val="7"/>
        </w:numPr>
        <w:ind w:left="0" w:firstLine="0"/>
      </w:pPr>
      <w:r w:rsidRPr="00741836">
        <w:t xml:space="preserve">On the issue of ASHI, </w:t>
      </w:r>
      <w:r w:rsidR="00115510" w:rsidRPr="00741836">
        <w:t>IMAC noted management’s decision to include provisions in the budget as of 2022 on the funding scheme for new hires.</w:t>
      </w:r>
    </w:p>
    <w:p w14:paraId="6099F09E" w14:textId="4B955719" w:rsidR="004B3343" w:rsidRDefault="004B3343" w:rsidP="008A4B2F">
      <w:pPr>
        <w:pStyle w:val="Normalnumbered"/>
        <w:numPr>
          <w:ilvl w:val="1"/>
          <w:numId w:val="7"/>
        </w:numPr>
        <w:ind w:left="0" w:firstLine="0"/>
      </w:pPr>
      <w:r>
        <w:lastRenderedPageBreak/>
        <w:t>IMAC will continue to engage on the issues with the Financial Resources Management Department.</w:t>
      </w:r>
    </w:p>
    <w:p w14:paraId="58986203" w14:textId="41075E1F" w:rsidR="00F63AAB" w:rsidRPr="00F63AAB" w:rsidRDefault="00F63AAB" w:rsidP="001C429A">
      <w:pPr>
        <w:pStyle w:val="NumberedHeading"/>
        <w:numPr>
          <w:ilvl w:val="0"/>
          <w:numId w:val="4"/>
        </w:numPr>
        <w:spacing w:before="360"/>
        <w:ind w:left="357" w:hanging="357"/>
        <w:rPr>
          <w:rStyle w:val="Ohne"/>
          <w:caps/>
        </w:rPr>
      </w:pPr>
      <w:r w:rsidRPr="00F63AAB">
        <w:rPr>
          <w:rStyle w:val="Ohne"/>
          <w:caps/>
        </w:rPr>
        <w:t>External Audit</w:t>
      </w:r>
    </w:p>
    <w:p w14:paraId="1A190B30" w14:textId="15D89618" w:rsidR="000A0106" w:rsidRDefault="00F63AAB" w:rsidP="000A0106">
      <w:pPr>
        <w:pStyle w:val="Normalnumbered"/>
        <w:numPr>
          <w:ilvl w:val="1"/>
          <w:numId w:val="7"/>
        </w:numPr>
        <w:ind w:left="0" w:firstLine="0"/>
      </w:pPr>
      <w:r>
        <w:t xml:space="preserve">IMAC </w:t>
      </w:r>
      <w:r w:rsidR="003533EB">
        <w:t>continued to engage with the External Auditor</w:t>
      </w:r>
      <w:r w:rsidR="00D51D07">
        <w:t xml:space="preserve"> </w:t>
      </w:r>
      <w:r w:rsidR="00B47B1F">
        <w:t>on a regular basis</w:t>
      </w:r>
      <w:r w:rsidR="003D2C9E">
        <w:t>, conducting</w:t>
      </w:r>
      <w:r w:rsidR="00D65C4C">
        <w:t xml:space="preserve"> both</w:t>
      </w:r>
      <w:r w:rsidR="003D2C9E">
        <w:t xml:space="preserve"> </w:t>
      </w:r>
      <w:r w:rsidR="003D2C9E" w:rsidRPr="00051764">
        <w:rPr>
          <w:i/>
          <w:iCs/>
        </w:rPr>
        <w:t>in camera</w:t>
      </w:r>
      <w:r w:rsidR="003D2C9E">
        <w:t xml:space="preserve"> </w:t>
      </w:r>
      <w:r w:rsidR="00D65C4C">
        <w:t>closed</w:t>
      </w:r>
      <w:r w:rsidR="00D51D07">
        <w:t xml:space="preserve"> </w:t>
      </w:r>
      <w:r w:rsidR="003D2C9E">
        <w:t>meeting</w:t>
      </w:r>
      <w:r w:rsidR="00D51D07">
        <w:t xml:space="preserve">s with Corte </w:t>
      </w:r>
      <w:proofErr w:type="spellStart"/>
      <w:r w:rsidR="00D51D07">
        <w:t>dei</w:t>
      </w:r>
      <w:proofErr w:type="spellEnd"/>
      <w:r w:rsidR="00D51D07">
        <w:t xml:space="preserve"> Conti, </w:t>
      </w:r>
      <w:r w:rsidR="00D65C4C">
        <w:t>and sessions with the participation of the ITU management as well.</w:t>
      </w:r>
      <w:r w:rsidR="004D3126">
        <w:t xml:space="preserve"> S</w:t>
      </w:r>
      <w:r w:rsidR="003D2C9E" w:rsidRPr="003D2C9E">
        <w:t>everal points</w:t>
      </w:r>
      <w:r w:rsidR="004D3126">
        <w:t xml:space="preserve"> and issues</w:t>
      </w:r>
      <w:r w:rsidR="003D2C9E" w:rsidRPr="003D2C9E">
        <w:t xml:space="preserve"> </w:t>
      </w:r>
      <w:r w:rsidR="004D3126">
        <w:t xml:space="preserve">have </w:t>
      </w:r>
      <w:r w:rsidR="003D2C9E" w:rsidRPr="003D2C9E">
        <w:t>be</w:t>
      </w:r>
      <w:r w:rsidR="004D3126">
        <w:t>en</w:t>
      </w:r>
      <w:r w:rsidR="003D2C9E" w:rsidRPr="003D2C9E">
        <w:t xml:space="preserve"> discussed in depth </w:t>
      </w:r>
      <w:r w:rsidR="004D3126">
        <w:t>with the External Auditor</w:t>
      </w:r>
      <w:r w:rsidR="006C179D">
        <w:t xml:space="preserve"> during those sessions</w:t>
      </w:r>
      <w:r w:rsidR="004D3126">
        <w:t>.</w:t>
      </w:r>
    </w:p>
    <w:p w14:paraId="17E478D5" w14:textId="58C0C268" w:rsidR="000A0106" w:rsidRDefault="000A0106" w:rsidP="000A0106">
      <w:pPr>
        <w:pStyle w:val="Normalnumbered"/>
        <w:numPr>
          <w:ilvl w:val="1"/>
          <w:numId w:val="7"/>
        </w:numPr>
        <w:ind w:left="0" w:firstLine="0"/>
      </w:pPr>
      <w:r>
        <w:t>IMAC discussed</w:t>
      </w:r>
      <w:r w:rsidR="006C179D">
        <w:t xml:space="preserve"> with Corte </w:t>
      </w:r>
      <w:proofErr w:type="spellStart"/>
      <w:r w:rsidR="006C179D">
        <w:t>dei</w:t>
      </w:r>
      <w:proofErr w:type="spellEnd"/>
      <w:r w:rsidR="006C179D">
        <w:t xml:space="preserve"> Conti</w:t>
      </w:r>
      <w:r>
        <w:t xml:space="preserve"> in particular the follow-up to the fraud case in a regional office revealed in 2018, the follow-up actions undertaken by the secretariat, as well as the progress made in addressing the deficiencies that have led to the External Auditor’s qualified audit opinion of the 2018 and 2019 financial statements.</w:t>
      </w:r>
    </w:p>
    <w:p w14:paraId="3ADFEE71" w14:textId="55D4E9A9" w:rsidR="003627A3" w:rsidRPr="003627A3" w:rsidRDefault="000E5043" w:rsidP="003627A3">
      <w:pPr>
        <w:pStyle w:val="Normalnumbered"/>
        <w:numPr>
          <w:ilvl w:val="1"/>
          <w:numId w:val="7"/>
        </w:numPr>
        <w:ind w:left="0" w:firstLine="0"/>
      </w:pPr>
      <w:r>
        <w:t>In the closed session</w:t>
      </w:r>
      <w:r w:rsidR="003627A3">
        <w:t>s</w:t>
      </w:r>
      <w:r>
        <w:t xml:space="preserve">, </w:t>
      </w:r>
      <w:r w:rsidR="003627A3" w:rsidRPr="003627A3">
        <w:t xml:space="preserve">IMAC </w:t>
      </w:r>
      <w:r w:rsidR="003627A3" w:rsidRPr="006A7F5A">
        <w:rPr>
          <w:i/>
          <w:iCs/>
        </w:rPr>
        <w:t>inter alia</w:t>
      </w:r>
      <w:r w:rsidR="003627A3" w:rsidRPr="003627A3">
        <w:t xml:space="preserve"> </w:t>
      </w:r>
      <w:r w:rsidR="00FD36B7">
        <w:t xml:space="preserve">received confirmation from the Corte </w:t>
      </w:r>
      <w:proofErr w:type="spellStart"/>
      <w:r w:rsidR="00FD36B7">
        <w:t>d</w:t>
      </w:r>
      <w:r w:rsidR="00FF4CBF">
        <w:t>e</w:t>
      </w:r>
      <w:r w:rsidR="00FD36B7">
        <w:t>i</w:t>
      </w:r>
      <w:proofErr w:type="spellEnd"/>
      <w:r w:rsidR="00FD36B7">
        <w:t xml:space="preserve"> Conti of their independence.</w:t>
      </w:r>
      <w:r w:rsidR="007B3A8B">
        <w:t xml:space="preserve"> </w:t>
      </w:r>
      <w:r w:rsidR="00FD36B7">
        <w:t xml:space="preserve">The request was </w:t>
      </w:r>
      <w:r w:rsidR="005340EE">
        <w:t>part</w:t>
      </w:r>
      <w:r w:rsidR="005340EE" w:rsidRPr="003627A3">
        <w:t xml:space="preserve"> of</w:t>
      </w:r>
      <w:r w:rsidR="003627A3" w:rsidRPr="003627A3">
        <w:t xml:space="preserve"> the </w:t>
      </w:r>
      <w:r w:rsidR="00EB6068">
        <w:t>C</w:t>
      </w:r>
      <w:r w:rsidR="003627A3" w:rsidRPr="003627A3">
        <w:t>ommittee’s own due diligence.</w:t>
      </w:r>
    </w:p>
    <w:p w14:paraId="1DD95E17" w14:textId="007543C2" w:rsidR="00F63AAB" w:rsidRPr="0000794B" w:rsidRDefault="00DE152E" w:rsidP="00F83291">
      <w:pPr>
        <w:pStyle w:val="Normalnumbered"/>
        <w:numPr>
          <w:ilvl w:val="1"/>
          <w:numId w:val="7"/>
        </w:numPr>
        <w:ind w:left="0" w:firstLine="0"/>
      </w:pPr>
      <w:r>
        <w:t xml:space="preserve">IMAC </w:t>
      </w:r>
      <w:r w:rsidR="00972549">
        <w:t xml:space="preserve">has </w:t>
      </w:r>
      <w:r w:rsidR="00B47B1F">
        <w:t xml:space="preserve">had </w:t>
      </w:r>
      <w:r>
        <w:t xml:space="preserve">the opportunity to </w:t>
      </w:r>
      <w:r w:rsidR="00F63AAB">
        <w:t xml:space="preserve">review the timeline and the themes/areas in the work </w:t>
      </w:r>
      <w:proofErr w:type="spellStart"/>
      <w:r w:rsidR="00F63AAB">
        <w:t>programme</w:t>
      </w:r>
      <w:proofErr w:type="spellEnd"/>
      <w:r w:rsidR="003D2C9E">
        <w:t xml:space="preserve"> of</w:t>
      </w:r>
      <w:r w:rsidR="00B47B1F">
        <w:t xml:space="preserve"> the proposed audit plan </w:t>
      </w:r>
      <w:r w:rsidR="000E5043">
        <w:t>for</w:t>
      </w:r>
      <w:r w:rsidR="00B47B1F">
        <w:t xml:space="preserve"> </w:t>
      </w:r>
      <w:proofErr w:type="gramStart"/>
      <w:r w:rsidR="00B47B1F">
        <w:t>2021</w:t>
      </w:r>
      <w:r w:rsidR="00E91F7F">
        <w:t>, and</w:t>
      </w:r>
      <w:proofErr w:type="gramEnd"/>
      <w:r w:rsidR="00E91F7F">
        <w:t xml:space="preserve"> is looking forward to </w:t>
      </w:r>
      <w:r w:rsidR="0034639A">
        <w:t xml:space="preserve">receiving the </w:t>
      </w:r>
      <w:r w:rsidR="0034639A" w:rsidRPr="0034639A">
        <w:t xml:space="preserve">External Auditor’s </w:t>
      </w:r>
      <w:r w:rsidR="0034639A">
        <w:t>R</w:t>
      </w:r>
      <w:r w:rsidR="0034639A" w:rsidRPr="0034639A">
        <w:t xml:space="preserve">eport on the </w:t>
      </w:r>
      <w:r w:rsidR="0034639A">
        <w:t>F</w:t>
      </w:r>
      <w:r w:rsidR="0034639A" w:rsidRPr="0034639A">
        <w:t xml:space="preserve">inancial </w:t>
      </w:r>
      <w:r w:rsidR="0034639A">
        <w:t>S</w:t>
      </w:r>
      <w:r w:rsidR="0034639A" w:rsidRPr="0034639A">
        <w:t>tatements for 20</w:t>
      </w:r>
      <w:r w:rsidR="0034639A">
        <w:t>20</w:t>
      </w:r>
      <w:r w:rsidR="0034639A" w:rsidRPr="0034639A">
        <w:t xml:space="preserve"> </w:t>
      </w:r>
      <w:r w:rsidR="0034639A">
        <w:t xml:space="preserve">when </w:t>
      </w:r>
      <w:r w:rsidR="0034639A" w:rsidRPr="0034639A">
        <w:t>available.</w:t>
      </w:r>
    </w:p>
    <w:p w14:paraId="422E696F" w14:textId="092E5F6C" w:rsidR="0034051F" w:rsidRPr="00530B2E" w:rsidRDefault="0034051F" w:rsidP="001C429A">
      <w:pPr>
        <w:pStyle w:val="NumberedHeading"/>
        <w:numPr>
          <w:ilvl w:val="0"/>
          <w:numId w:val="4"/>
        </w:numPr>
        <w:spacing w:before="360"/>
        <w:ind w:left="357" w:hanging="357"/>
        <w:rPr>
          <w:rStyle w:val="Ohne"/>
          <w:caps/>
        </w:rPr>
      </w:pPr>
      <w:r w:rsidRPr="00530B2E">
        <w:rPr>
          <w:rStyle w:val="Ohne"/>
          <w:caps/>
        </w:rPr>
        <w:t>Internal audit</w:t>
      </w:r>
    </w:p>
    <w:p w14:paraId="02E898A8" w14:textId="0B3DB6E5" w:rsidR="00FD4621" w:rsidRDefault="0000794B" w:rsidP="00FD4621">
      <w:pPr>
        <w:pStyle w:val="Normalnumbered"/>
        <w:numPr>
          <w:ilvl w:val="1"/>
          <w:numId w:val="7"/>
        </w:numPr>
        <w:ind w:left="0" w:firstLine="0"/>
      </w:pPr>
      <w:r>
        <w:t xml:space="preserve">IMAC </w:t>
      </w:r>
      <w:r w:rsidR="009E53E9">
        <w:t xml:space="preserve">continued to </w:t>
      </w:r>
      <w:r w:rsidR="003B1ACE">
        <w:t xml:space="preserve">advise on and </w:t>
      </w:r>
      <w:r w:rsidR="003E6FD6">
        <w:t xml:space="preserve">engage </w:t>
      </w:r>
      <w:r w:rsidR="00FD2E1D">
        <w:t xml:space="preserve">with </w:t>
      </w:r>
      <w:r w:rsidR="006B220C" w:rsidRPr="006B220C">
        <w:t>the internal audit function</w:t>
      </w:r>
      <w:r w:rsidR="002C001E">
        <w:t>.</w:t>
      </w:r>
    </w:p>
    <w:p w14:paraId="0F9D8FEF" w14:textId="1F43C41F" w:rsidR="0000794B" w:rsidRDefault="006B220C" w:rsidP="00FD4621">
      <w:pPr>
        <w:pStyle w:val="Normalnumbered"/>
        <w:numPr>
          <w:ilvl w:val="1"/>
          <w:numId w:val="7"/>
        </w:numPr>
        <w:ind w:left="0" w:firstLine="0"/>
      </w:pPr>
      <w:r>
        <w:t>The Committee received</w:t>
      </w:r>
      <w:r w:rsidR="0000794B">
        <w:t xml:space="preserve"> </w:t>
      </w:r>
      <w:r w:rsidR="009E53E9">
        <w:t xml:space="preserve">regular </w:t>
      </w:r>
      <w:r w:rsidR="0000794B">
        <w:t>briefing</w:t>
      </w:r>
      <w:r w:rsidR="009E53E9">
        <w:t>s</w:t>
      </w:r>
      <w:r w:rsidR="0000794B">
        <w:t xml:space="preserve"> from the Head of the Internal Audit Unit, on the </w:t>
      </w:r>
      <w:proofErr w:type="gramStart"/>
      <w:r w:rsidR="0000794B">
        <w:t>current status</w:t>
      </w:r>
      <w:proofErr w:type="gramEnd"/>
      <w:r w:rsidR="0000794B">
        <w:t xml:space="preserve"> of work of Internal Audit, the 2021 Internal Audit Plan, and on the Forensic Audit exercise conducted by PWC.</w:t>
      </w:r>
    </w:p>
    <w:p w14:paraId="2AA775CE" w14:textId="6CCB3AD8" w:rsidR="0000794B" w:rsidRDefault="0000794B" w:rsidP="0000794B">
      <w:pPr>
        <w:pStyle w:val="Normalnumbered"/>
        <w:numPr>
          <w:ilvl w:val="1"/>
          <w:numId w:val="7"/>
        </w:numPr>
        <w:ind w:left="0" w:firstLine="0"/>
      </w:pPr>
      <w:r>
        <w:t xml:space="preserve">IMAC had previously recommended in its 2020 Annual Report to </w:t>
      </w:r>
      <w:r w:rsidR="00FF4CBF">
        <w:t xml:space="preserve">the </w:t>
      </w:r>
      <w:r>
        <w:t xml:space="preserve">Council, that the Internal Audit Unit needs to be considerably strengthened from a resource point of view, </w:t>
      </w:r>
      <w:r w:rsidR="00486E8E">
        <w:t>coverage,</w:t>
      </w:r>
      <w:r>
        <w:t xml:space="preserve"> and adequacy of processes.</w:t>
      </w:r>
    </w:p>
    <w:p w14:paraId="7ECBD637" w14:textId="7CCADB6B" w:rsidR="00357EE3" w:rsidRDefault="0000794B" w:rsidP="007A15BB">
      <w:pPr>
        <w:pStyle w:val="Normalnumbered"/>
        <w:numPr>
          <w:ilvl w:val="1"/>
          <w:numId w:val="7"/>
        </w:numPr>
        <w:ind w:left="0" w:firstLine="0"/>
      </w:pPr>
      <w:r>
        <w:t xml:space="preserve">The Committee </w:t>
      </w:r>
      <w:r w:rsidR="00EF45C7">
        <w:t xml:space="preserve">therefore </w:t>
      </w:r>
      <w:r>
        <w:t>appreciate</w:t>
      </w:r>
      <w:r w:rsidR="005D3866">
        <w:t>s</w:t>
      </w:r>
      <w:r>
        <w:t xml:space="preserve"> the strengthening of the resources of the Internal Audit Unit</w:t>
      </w:r>
      <w:r w:rsidR="00586A0B">
        <w:t xml:space="preserve"> by enhancing the resource to </w:t>
      </w:r>
      <w:r>
        <w:t xml:space="preserve">a Senior Internal Auditor post, </w:t>
      </w:r>
      <w:r w:rsidR="007A15BB">
        <w:t xml:space="preserve">in place of </w:t>
      </w:r>
      <w:r>
        <w:t>the retired Audit Assistant’s position</w:t>
      </w:r>
      <w:r w:rsidR="00976514">
        <w:t xml:space="preserve">. </w:t>
      </w:r>
      <w:r>
        <w:t xml:space="preserve">IMAC </w:t>
      </w:r>
      <w:r w:rsidR="005D3866">
        <w:t xml:space="preserve">is </w:t>
      </w:r>
      <w:r>
        <w:t>looking forward to the prompt fulfilment of the post, so that more focus is given to direct audit work</w:t>
      </w:r>
      <w:r w:rsidR="00470280">
        <w:t xml:space="preserve">. The Committee </w:t>
      </w:r>
      <w:r w:rsidR="00976514">
        <w:t xml:space="preserve">will therefore </w:t>
      </w:r>
      <w:r w:rsidR="00232A97">
        <w:t xml:space="preserve">continue to oversee </w:t>
      </w:r>
      <w:r w:rsidR="006261D6">
        <w:t xml:space="preserve">the implementation </w:t>
      </w:r>
      <w:r w:rsidR="009C7F92">
        <w:t xml:space="preserve">progress </w:t>
      </w:r>
      <w:r w:rsidR="006261D6">
        <w:t xml:space="preserve">of </w:t>
      </w:r>
      <w:r w:rsidR="009C7F92">
        <w:t xml:space="preserve">its </w:t>
      </w:r>
      <w:r w:rsidR="006261D6">
        <w:t>recommendation</w:t>
      </w:r>
      <w:r w:rsidR="009C7F92">
        <w:t xml:space="preserve"> on this issue.</w:t>
      </w:r>
    </w:p>
    <w:p w14:paraId="310CA684" w14:textId="51418A93" w:rsidR="00010532" w:rsidRDefault="0000794B" w:rsidP="00D02213">
      <w:pPr>
        <w:pStyle w:val="Normalnumbered"/>
        <w:numPr>
          <w:ilvl w:val="1"/>
          <w:numId w:val="7"/>
        </w:numPr>
        <w:ind w:left="0" w:firstLine="0"/>
      </w:pPr>
      <w:r>
        <w:t xml:space="preserve">IMAC further </w:t>
      </w:r>
      <w:r w:rsidR="00452070">
        <w:t xml:space="preserve">inquired </w:t>
      </w:r>
      <w:r w:rsidR="009E7E12">
        <w:t>about</w:t>
      </w:r>
      <w:r w:rsidR="00452070">
        <w:t xml:space="preserve"> the process follow</w:t>
      </w:r>
      <w:r w:rsidR="00016F21">
        <w:t xml:space="preserve">ed for the development of the Audit Plan. The Committee </w:t>
      </w:r>
      <w:r>
        <w:t>advised to continue following a risk-based audit approach while building the Audit Plan</w:t>
      </w:r>
      <w:r w:rsidR="00016F21">
        <w:t>,</w:t>
      </w:r>
      <w:r w:rsidR="007E16F4">
        <w:t xml:space="preserve"> which involves </w:t>
      </w:r>
      <w:r>
        <w:t>the assessment of the risks in the internal audit universe, ensuring the audit coverage of the key risk areas over a period of time</w:t>
      </w:r>
      <w:r w:rsidR="008B45CE">
        <w:t xml:space="preserve"> (</w:t>
      </w:r>
      <w:proofErr w:type="gramStart"/>
      <w:r w:rsidR="008B45CE">
        <w:t>e.g.</w:t>
      </w:r>
      <w:proofErr w:type="gramEnd"/>
      <w:r w:rsidR="008B45CE">
        <w:t xml:space="preserve"> 3-5 years)</w:t>
      </w:r>
      <w:r>
        <w:t>.</w:t>
      </w:r>
      <w:r w:rsidR="00194C17">
        <w:t xml:space="preserve"> </w:t>
      </w:r>
      <w:r w:rsidR="007858E3">
        <w:t>IMAC suggest</w:t>
      </w:r>
      <w:r w:rsidR="001B15FB">
        <w:t>s</w:t>
      </w:r>
      <w:r w:rsidR="007858E3">
        <w:t xml:space="preserve"> that c</w:t>
      </w:r>
      <w:r w:rsidR="00010532" w:rsidRPr="00010532">
        <w:t xml:space="preserve">ompliance and advisory work </w:t>
      </w:r>
      <w:r w:rsidR="00842DA8">
        <w:t xml:space="preserve">should </w:t>
      </w:r>
      <w:r w:rsidR="00010532" w:rsidRPr="00010532">
        <w:t xml:space="preserve">be based on risk assessment and specific oversight needs, </w:t>
      </w:r>
      <w:r w:rsidR="001B15FB">
        <w:t>and</w:t>
      </w:r>
      <w:r w:rsidR="00920CE6">
        <w:t xml:space="preserve"> </w:t>
      </w:r>
      <w:r w:rsidR="00747AFA">
        <w:t xml:space="preserve">direct </w:t>
      </w:r>
      <w:r w:rsidR="00920CE6">
        <w:t xml:space="preserve">audit </w:t>
      </w:r>
      <w:r w:rsidR="00745F2E">
        <w:t xml:space="preserve">work </w:t>
      </w:r>
      <w:r w:rsidR="00842DA8">
        <w:t>should</w:t>
      </w:r>
      <w:r w:rsidR="00010532" w:rsidRPr="00010532">
        <w:t xml:space="preserve"> remain the </w:t>
      </w:r>
      <w:proofErr w:type="gramStart"/>
      <w:r w:rsidR="00010532" w:rsidRPr="00010532">
        <w:t>main focus</w:t>
      </w:r>
      <w:proofErr w:type="gramEnd"/>
      <w:r w:rsidR="00010532" w:rsidRPr="00010532">
        <w:t xml:space="preserve"> in the determination and implementation of the work </w:t>
      </w:r>
      <w:proofErr w:type="spellStart"/>
      <w:r w:rsidR="00010532" w:rsidRPr="00010532">
        <w:t>programme</w:t>
      </w:r>
      <w:proofErr w:type="spellEnd"/>
      <w:r w:rsidR="008E4965">
        <w:t>.</w:t>
      </w:r>
    </w:p>
    <w:p w14:paraId="179EBC0E" w14:textId="17630523" w:rsidR="0000794B" w:rsidRDefault="0000794B" w:rsidP="0000794B">
      <w:pPr>
        <w:pStyle w:val="Normalnumbered"/>
        <w:numPr>
          <w:ilvl w:val="1"/>
          <w:numId w:val="7"/>
        </w:numPr>
        <w:ind w:left="0" w:firstLine="0"/>
      </w:pPr>
      <w:r>
        <w:t xml:space="preserve">At its </w:t>
      </w:r>
      <w:r w:rsidRPr="00BB4C01">
        <w:t>8th</w:t>
      </w:r>
      <w:r>
        <w:t xml:space="preserve"> Annual Report to the 2019 Session of Council, IMAC had highlighted that the secretariat had declined the request for a copy of the full investigation report and all relevant documents following the fraud case in a regional office, which would enable IMAC to discharge its </w:t>
      </w:r>
      <w:r>
        <w:lastRenderedPageBreak/>
        <w:t>responsibilities under the terms of Resolution 162 (Rev. Busan, 2014), in advising Council on the effectiveness of the ITU’s internal control systems. Finally, IMAC was provided with a redacted version of that investigation report, some 14 months after the fraud had been detected.</w:t>
      </w:r>
    </w:p>
    <w:p w14:paraId="65E8901C" w14:textId="6310A238" w:rsidR="00C2216A" w:rsidRDefault="00872BD2" w:rsidP="00C2216A">
      <w:pPr>
        <w:pStyle w:val="Normalnumbered"/>
        <w:numPr>
          <w:ilvl w:val="1"/>
          <w:numId w:val="7"/>
        </w:numPr>
        <w:ind w:left="0" w:firstLine="0"/>
      </w:pPr>
      <w:r>
        <w:t xml:space="preserve">The Committee </w:t>
      </w:r>
      <w:r w:rsidR="00D36CD6">
        <w:t xml:space="preserve">appreciates </w:t>
      </w:r>
      <w:r w:rsidR="00A00FD6">
        <w:t xml:space="preserve">the </w:t>
      </w:r>
      <w:r w:rsidR="00DF5C7D">
        <w:t>steps taken</w:t>
      </w:r>
      <w:r w:rsidR="0026107A">
        <w:t xml:space="preserve"> by the secretariat</w:t>
      </w:r>
      <w:r w:rsidR="00DF5C7D" w:rsidRPr="0000794B">
        <w:t xml:space="preserve"> </w:t>
      </w:r>
      <w:r w:rsidR="0000794B" w:rsidRPr="0000794B">
        <w:t>in enhancing th</w:t>
      </w:r>
      <w:r w:rsidR="00A00FD6">
        <w:t xml:space="preserve">e </w:t>
      </w:r>
      <w:r w:rsidR="000A5D11">
        <w:t xml:space="preserve">timely </w:t>
      </w:r>
      <w:r w:rsidR="00A00FD6">
        <w:t>information sharing</w:t>
      </w:r>
      <w:r w:rsidR="0000794B" w:rsidRPr="0000794B">
        <w:t xml:space="preserve"> process</w:t>
      </w:r>
      <w:r w:rsidR="00A00FD6">
        <w:t xml:space="preserve">, </w:t>
      </w:r>
      <w:r w:rsidR="00D507A5">
        <w:t xml:space="preserve">which will enable IMAC to discharge its responsibilities, while </w:t>
      </w:r>
      <w:r w:rsidR="00A00FD6">
        <w:t>respecting the ITU legal framework.</w:t>
      </w:r>
    </w:p>
    <w:p w14:paraId="0C324B69" w14:textId="039372B5" w:rsidR="0071700D" w:rsidRPr="00963019" w:rsidRDefault="00963019" w:rsidP="001C429A">
      <w:pPr>
        <w:pStyle w:val="NumberedHeading"/>
        <w:numPr>
          <w:ilvl w:val="0"/>
          <w:numId w:val="4"/>
        </w:numPr>
        <w:spacing w:before="360"/>
        <w:ind w:left="357" w:hanging="357"/>
        <w:rPr>
          <w:rStyle w:val="Ohne"/>
          <w:caps/>
        </w:rPr>
      </w:pPr>
      <w:r w:rsidRPr="00963019">
        <w:rPr>
          <w:rStyle w:val="Ohne"/>
          <w:caps/>
        </w:rPr>
        <w:t>F</w:t>
      </w:r>
      <w:r w:rsidR="0071700D" w:rsidRPr="00963019">
        <w:rPr>
          <w:rStyle w:val="Ohne"/>
          <w:caps/>
        </w:rPr>
        <w:t xml:space="preserve">ollow-up </w:t>
      </w:r>
      <w:r w:rsidRPr="00963019">
        <w:rPr>
          <w:rStyle w:val="Ohne"/>
          <w:caps/>
        </w:rPr>
        <w:t xml:space="preserve">Actions </w:t>
      </w:r>
      <w:r w:rsidR="0071700D" w:rsidRPr="00963019">
        <w:rPr>
          <w:rStyle w:val="Ohne"/>
          <w:caps/>
        </w:rPr>
        <w:t xml:space="preserve">to the </w:t>
      </w:r>
      <w:r w:rsidRPr="00963019">
        <w:rPr>
          <w:rStyle w:val="Ohne"/>
          <w:caps/>
        </w:rPr>
        <w:t>F</w:t>
      </w:r>
      <w:r w:rsidR="0071700D" w:rsidRPr="00963019">
        <w:rPr>
          <w:rStyle w:val="Ohne"/>
          <w:caps/>
        </w:rPr>
        <w:t xml:space="preserve">raud </w:t>
      </w:r>
      <w:r w:rsidRPr="00963019">
        <w:rPr>
          <w:rStyle w:val="Ohne"/>
          <w:caps/>
        </w:rPr>
        <w:t>C</w:t>
      </w:r>
      <w:r w:rsidR="0071700D" w:rsidRPr="00963019">
        <w:rPr>
          <w:rStyle w:val="Ohne"/>
          <w:caps/>
        </w:rPr>
        <w:t>ase</w:t>
      </w:r>
      <w:r w:rsidRPr="00963019">
        <w:rPr>
          <w:rStyle w:val="Ohne"/>
          <w:caps/>
        </w:rPr>
        <w:t xml:space="preserve"> in a Regional Office</w:t>
      </w:r>
      <w:r w:rsidR="00282ADC">
        <w:rPr>
          <w:rStyle w:val="Ohne"/>
          <w:caps/>
        </w:rPr>
        <w:t xml:space="preserve"> / Working Group on Internal COntrols</w:t>
      </w:r>
    </w:p>
    <w:p w14:paraId="0083A9FB" w14:textId="3B468273" w:rsidR="0071700D" w:rsidRDefault="0071700D" w:rsidP="00963019">
      <w:pPr>
        <w:pStyle w:val="Normalnumbered"/>
        <w:numPr>
          <w:ilvl w:val="1"/>
          <w:numId w:val="7"/>
        </w:numPr>
        <w:ind w:left="0" w:firstLine="0"/>
      </w:pPr>
      <w:r>
        <w:t xml:space="preserve">The Committee </w:t>
      </w:r>
      <w:r w:rsidR="006A1E20">
        <w:t xml:space="preserve">continued to </w:t>
      </w:r>
      <w:r>
        <w:t>receive detailed briefing</w:t>
      </w:r>
      <w:r w:rsidR="002312DF">
        <w:t>s</w:t>
      </w:r>
      <w:r w:rsidR="00005998">
        <w:t xml:space="preserve"> on all the follow-up actions related to the fraud case in a regional office</w:t>
      </w:r>
      <w:r w:rsidR="006B5A06">
        <w:t>,</w:t>
      </w:r>
      <w:r>
        <w:t xml:space="preserve"> from the </w:t>
      </w:r>
      <w:r w:rsidR="0000143A">
        <w:t xml:space="preserve">Chair of the </w:t>
      </w:r>
      <w:r>
        <w:t>Working Group on Internal Controls</w:t>
      </w:r>
      <w:r w:rsidR="00FA5DE3">
        <w:t>, Director of the BDT</w:t>
      </w:r>
      <w:r w:rsidR="008C0265">
        <w:t>,</w:t>
      </w:r>
      <w:r w:rsidR="00FA5DE3">
        <w:t xml:space="preserve"> and the </w:t>
      </w:r>
      <w:r w:rsidR="00830DA4">
        <w:t>senior</w:t>
      </w:r>
      <w:r w:rsidR="00FA5DE3">
        <w:t xml:space="preserve"> management team</w:t>
      </w:r>
      <w:r w:rsidR="002E2AF7">
        <w:t xml:space="preserve"> comprising the group</w:t>
      </w:r>
      <w:r>
        <w:t>.</w:t>
      </w:r>
    </w:p>
    <w:p w14:paraId="2B34E086" w14:textId="5735823E" w:rsidR="00156C99" w:rsidRDefault="0071700D" w:rsidP="00963019">
      <w:pPr>
        <w:pStyle w:val="Normalnumbered"/>
        <w:numPr>
          <w:ilvl w:val="1"/>
          <w:numId w:val="7"/>
        </w:numPr>
        <w:ind w:left="0" w:firstLine="0"/>
      </w:pPr>
      <w:r>
        <w:t xml:space="preserve">IMAC </w:t>
      </w:r>
      <w:r w:rsidR="001815DA">
        <w:t>reappreciated</w:t>
      </w:r>
      <w:r>
        <w:t xml:space="preserve"> </w:t>
      </w:r>
      <w:r w:rsidR="00B0658B">
        <w:t xml:space="preserve">the </w:t>
      </w:r>
      <w:r w:rsidR="00925ECE">
        <w:t xml:space="preserve">plan put </w:t>
      </w:r>
      <w:r w:rsidR="00151224">
        <w:t xml:space="preserve">forward by the group, and the </w:t>
      </w:r>
      <w:r>
        <w:t xml:space="preserve">significant </w:t>
      </w:r>
      <w:r w:rsidR="00151224">
        <w:t>mobilization of resources across various entities of the secretariat</w:t>
      </w:r>
      <w:r w:rsidR="00C63B4F">
        <w:t xml:space="preserve">, supporting a </w:t>
      </w:r>
      <w:r w:rsidR="00566E0A">
        <w:t>considerable</w:t>
      </w:r>
      <w:r w:rsidR="001815DA">
        <w:t xml:space="preserve"> </w:t>
      </w:r>
      <w:r>
        <w:t xml:space="preserve">amount of work, with all the actions moving </w:t>
      </w:r>
      <w:r w:rsidR="003A72CA">
        <w:t xml:space="preserve">in </w:t>
      </w:r>
      <w:r>
        <w:t>the right direction.</w:t>
      </w:r>
    </w:p>
    <w:p w14:paraId="44ED8302" w14:textId="7891DC50" w:rsidR="007820AB" w:rsidRDefault="0071700D" w:rsidP="007820AB">
      <w:pPr>
        <w:pStyle w:val="Normalnumbered"/>
        <w:numPr>
          <w:ilvl w:val="1"/>
          <w:numId w:val="7"/>
        </w:numPr>
        <w:ind w:left="0" w:firstLine="0"/>
      </w:pPr>
      <w:r>
        <w:t xml:space="preserve">The Committee </w:t>
      </w:r>
      <w:r w:rsidR="00D94F60">
        <w:t>was please</w:t>
      </w:r>
      <w:r w:rsidR="006B5A06">
        <w:t>d</w:t>
      </w:r>
      <w:r w:rsidR="00D94F60">
        <w:t xml:space="preserve"> to see considerable progress in improving </w:t>
      </w:r>
      <w:r w:rsidR="00982E3B">
        <w:t>organization-wide internal controls</w:t>
      </w:r>
      <w:r w:rsidR="006B5A06">
        <w:t xml:space="preserve">, </w:t>
      </w:r>
      <w:r w:rsidR="00B76FD8">
        <w:t xml:space="preserve">established at </w:t>
      </w:r>
      <w:r w:rsidR="00F576E8">
        <w:t>the</w:t>
      </w:r>
      <w:r w:rsidR="00412E23">
        <w:t xml:space="preserve"> </w:t>
      </w:r>
      <w:r w:rsidR="003C1866">
        <w:t xml:space="preserve">Telecommunication </w:t>
      </w:r>
      <w:r w:rsidR="00412E23">
        <w:t>Development Bureau and the</w:t>
      </w:r>
      <w:r w:rsidR="00F576E8">
        <w:t xml:space="preserve"> regional setting, and </w:t>
      </w:r>
      <w:r w:rsidR="00B76FD8">
        <w:t xml:space="preserve">being </w:t>
      </w:r>
      <w:r w:rsidR="004C575E">
        <w:t>applied organization wide</w:t>
      </w:r>
      <w:r w:rsidR="0055279E">
        <w:t>: f</w:t>
      </w:r>
      <w:r w:rsidR="001A30E2">
        <w:t xml:space="preserve">rom </w:t>
      </w:r>
      <w:r w:rsidR="001A30E2" w:rsidRPr="008E4EFD">
        <w:rPr>
          <w:lang w:val="en-GB"/>
        </w:rPr>
        <w:t>s</w:t>
      </w:r>
      <w:r w:rsidR="001A30E2" w:rsidRPr="001A30E2">
        <w:rPr>
          <w:lang w:val="en-GB"/>
        </w:rPr>
        <w:t>trengthen</w:t>
      </w:r>
      <w:r w:rsidR="001A30E2" w:rsidRPr="008E4EFD">
        <w:rPr>
          <w:lang w:val="en-GB"/>
        </w:rPr>
        <w:t>ing</w:t>
      </w:r>
      <w:r w:rsidR="001A30E2" w:rsidRPr="001A30E2">
        <w:rPr>
          <w:lang w:val="en-GB"/>
        </w:rPr>
        <w:t xml:space="preserve"> BDT internal control procedures</w:t>
      </w:r>
      <w:r w:rsidR="001A30E2" w:rsidRPr="008E4EFD">
        <w:rPr>
          <w:lang w:val="en-GB"/>
        </w:rPr>
        <w:t xml:space="preserve"> (</w:t>
      </w:r>
      <w:r w:rsidR="003219B5" w:rsidRPr="008E4EFD">
        <w:rPr>
          <w:lang w:val="en-GB"/>
        </w:rPr>
        <w:t>strengthening fellowship controls, travel plans, c</w:t>
      </w:r>
      <w:r w:rsidR="003219B5" w:rsidRPr="003219B5">
        <w:rPr>
          <w:lang w:val="en-GB"/>
        </w:rPr>
        <w:t>ontrol of consultants</w:t>
      </w:r>
      <w:r w:rsidR="00F71EF7" w:rsidRPr="008E4EFD">
        <w:rPr>
          <w:lang w:val="en-GB"/>
        </w:rPr>
        <w:t xml:space="preserve">’ </w:t>
      </w:r>
      <w:r w:rsidR="003219B5" w:rsidRPr="003219B5">
        <w:rPr>
          <w:lang w:val="en-GB"/>
        </w:rPr>
        <w:t>work</w:t>
      </w:r>
      <w:r w:rsidR="003219B5" w:rsidRPr="008E4EFD">
        <w:rPr>
          <w:lang w:val="en-GB"/>
        </w:rPr>
        <w:t>, s</w:t>
      </w:r>
      <w:r w:rsidR="003219B5" w:rsidRPr="003219B5">
        <w:rPr>
          <w:lang w:val="en-GB"/>
        </w:rPr>
        <w:t>trengthen</w:t>
      </w:r>
      <w:r w:rsidR="003219B5" w:rsidRPr="008E4EFD">
        <w:rPr>
          <w:lang w:val="en-GB"/>
        </w:rPr>
        <w:t>ing of</w:t>
      </w:r>
      <w:r w:rsidR="003219B5" w:rsidRPr="003219B5">
        <w:rPr>
          <w:lang w:val="en-GB"/>
        </w:rPr>
        <w:t xml:space="preserve"> travel procedures</w:t>
      </w:r>
      <w:r w:rsidR="003219B5" w:rsidRPr="008E4EFD">
        <w:rPr>
          <w:lang w:val="en-GB"/>
        </w:rPr>
        <w:t>, s</w:t>
      </w:r>
      <w:r w:rsidR="003219B5" w:rsidRPr="003219B5">
        <w:rPr>
          <w:lang w:val="en-GB"/>
        </w:rPr>
        <w:t>trengthen</w:t>
      </w:r>
      <w:r w:rsidR="003219B5" w:rsidRPr="008E4EFD">
        <w:rPr>
          <w:lang w:val="en-GB"/>
        </w:rPr>
        <w:t>ing of</w:t>
      </w:r>
      <w:r w:rsidR="003219B5" w:rsidRPr="003219B5">
        <w:rPr>
          <w:lang w:val="en-GB"/>
        </w:rPr>
        <w:t xml:space="preserve"> the oversight at the project level – </w:t>
      </w:r>
      <w:r w:rsidR="003219B5" w:rsidRPr="008E4EFD">
        <w:rPr>
          <w:lang w:val="en-GB"/>
        </w:rPr>
        <w:t>and the c</w:t>
      </w:r>
      <w:r w:rsidR="003219B5" w:rsidRPr="003219B5">
        <w:rPr>
          <w:lang w:val="en-GB"/>
        </w:rPr>
        <w:t>reation of a BDT Project Board</w:t>
      </w:r>
      <w:r w:rsidR="003219B5" w:rsidRPr="008E4EFD">
        <w:rPr>
          <w:lang w:val="en-GB"/>
        </w:rPr>
        <w:t>, asset management for projects</w:t>
      </w:r>
      <w:r w:rsidR="001A30E2" w:rsidRPr="008E4EFD">
        <w:rPr>
          <w:lang w:val="en-GB"/>
        </w:rPr>
        <w:t>)</w:t>
      </w:r>
      <w:r w:rsidR="00F52DC1" w:rsidRPr="008E4EFD">
        <w:rPr>
          <w:lang w:val="en-GB"/>
        </w:rPr>
        <w:t xml:space="preserve">, to </w:t>
      </w:r>
      <w:r w:rsidR="00F71EF7">
        <w:t>strengthening the</w:t>
      </w:r>
      <w:r w:rsidR="00F71EF7" w:rsidRPr="008E4EFD">
        <w:t xml:space="preserve"> financial </w:t>
      </w:r>
      <w:r w:rsidR="00F71EF7">
        <w:t>and</w:t>
      </w:r>
      <w:r w:rsidR="00F71EF7" w:rsidRPr="008E4EFD">
        <w:t xml:space="preserve"> procurement procedures</w:t>
      </w:r>
      <w:r w:rsidR="00C76765">
        <w:t xml:space="preserve"> (n</w:t>
      </w:r>
      <w:r w:rsidR="00C76765" w:rsidRPr="00C76765">
        <w:t>ew procurement procedures for orders</w:t>
      </w:r>
      <w:r w:rsidR="008E4EFD">
        <w:t xml:space="preserve"> less than </w:t>
      </w:r>
      <w:r w:rsidR="00C76765" w:rsidRPr="00C76765">
        <w:t>20’000</w:t>
      </w:r>
      <w:r w:rsidR="008E4EFD">
        <w:t xml:space="preserve"> </w:t>
      </w:r>
      <w:r w:rsidR="00C76765" w:rsidRPr="00C76765">
        <w:t>CHF</w:t>
      </w:r>
      <w:r w:rsidR="00C76765">
        <w:t xml:space="preserve">, </w:t>
      </w:r>
      <w:r w:rsidR="008E4EFD">
        <w:t>p</w:t>
      </w:r>
      <w:r w:rsidR="00C76765" w:rsidRPr="00C76765">
        <w:t xml:space="preserve">rocurement </w:t>
      </w:r>
      <w:r w:rsidR="008E4EFD">
        <w:t>m</w:t>
      </w:r>
      <w:r w:rsidR="00C76765" w:rsidRPr="00C76765">
        <w:t>anual</w:t>
      </w:r>
      <w:r w:rsidR="008E4EFD">
        <w:t>, m</w:t>
      </w:r>
      <w:r w:rsidR="00C76765" w:rsidRPr="00C76765">
        <w:t>onitoring of cumulative P</w:t>
      </w:r>
      <w:r w:rsidR="003C1866">
        <w:t xml:space="preserve">urchase </w:t>
      </w:r>
      <w:r w:rsidR="00C76765" w:rsidRPr="00C76765">
        <w:t>O</w:t>
      </w:r>
      <w:r w:rsidR="003C1866">
        <w:t>rder</w:t>
      </w:r>
      <w:r w:rsidR="00C76765" w:rsidRPr="00C76765">
        <w:t xml:space="preserve"> amounts per vendor</w:t>
      </w:r>
      <w:r w:rsidR="008E4EFD">
        <w:t>, r</w:t>
      </w:r>
      <w:r w:rsidR="00C76765" w:rsidRPr="00C76765">
        <w:t>einforcement of petty cash control</w:t>
      </w:r>
      <w:r w:rsidR="008E4EFD">
        <w:t>, m</w:t>
      </w:r>
      <w:r w:rsidR="00C76765" w:rsidRPr="00C76765">
        <w:t>anagement of bank accounts and cash in ITU’s Regional/Area Offices</w:t>
      </w:r>
      <w:r w:rsidR="00D91454">
        <w:t xml:space="preserve">), </w:t>
      </w:r>
      <w:r w:rsidR="0055279E">
        <w:t xml:space="preserve">and </w:t>
      </w:r>
      <w:r w:rsidR="00B95973">
        <w:t>measures established on governance</w:t>
      </w:r>
      <w:r w:rsidR="0055279E" w:rsidRPr="00B95973">
        <w:t xml:space="preserve">, </w:t>
      </w:r>
      <w:r w:rsidR="00B95973">
        <w:t xml:space="preserve">ethics and fraud </w:t>
      </w:r>
      <w:r w:rsidR="0055279E" w:rsidRPr="00B95973">
        <w:t>detection</w:t>
      </w:r>
      <w:r w:rsidR="00956844">
        <w:t xml:space="preserve"> (</w:t>
      </w:r>
      <w:r w:rsidR="005877EF">
        <w:t>P</w:t>
      </w:r>
      <w:r w:rsidR="005877EF" w:rsidRPr="005877EF">
        <w:t>olicy against fraud, corruption and other proscribed practices</w:t>
      </w:r>
      <w:r w:rsidR="005877EF">
        <w:t xml:space="preserve">, </w:t>
      </w:r>
      <w:r w:rsidR="005877EF" w:rsidRPr="005877EF">
        <w:t>Investigation guidelines</w:t>
      </w:r>
      <w:r w:rsidR="005877EF">
        <w:t xml:space="preserve">, </w:t>
      </w:r>
      <w:r w:rsidR="00F07197">
        <w:t>Provision</w:t>
      </w:r>
      <w:r w:rsidR="005877EF" w:rsidRPr="005877EF">
        <w:t xml:space="preserve"> with respect to due process in case of fraud in project agreements</w:t>
      </w:r>
      <w:r w:rsidR="005877EF">
        <w:t xml:space="preserve">, </w:t>
      </w:r>
      <w:r w:rsidR="00286B0A">
        <w:t>I</w:t>
      </w:r>
      <w:r w:rsidR="005877EF" w:rsidRPr="005877EF">
        <w:t>nspection of Regional Offices’ project</w:t>
      </w:r>
      <w:r w:rsidR="005877EF">
        <w:t>s, s</w:t>
      </w:r>
      <w:r w:rsidR="005877EF" w:rsidRPr="005877EF">
        <w:t>trengthen</w:t>
      </w:r>
      <w:r w:rsidR="005877EF">
        <w:t>ing</w:t>
      </w:r>
      <w:r w:rsidR="005877EF" w:rsidRPr="005877EF">
        <w:t xml:space="preserve"> sponsorship policies</w:t>
      </w:r>
      <w:r w:rsidR="005877EF">
        <w:t xml:space="preserve">, </w:t>
      </w:r>
      <w:r w:rsidR="00286B0A">
        <w:t>W</w:t>
      </w:r>
      <w:r w:rsidR="005877EF" w:rsidRPr="005877EF">
        <w:t xml:space="preserve">histleblower </w:t>
      </w:r>
      <w:r w:rsidR="005877EF">
        <w:t>p</w:t>
      </w:r>
      <w:r w:rsidR="005877EF" w:rsidRPr="005877EF">
        <w:t xml:space="preserve">rotection </w:t>
      </w:r>
      <w:r w:rsidR="005877EF">
        <w:t>Service Order, e</w:t>
      </w:r>
      <w:r w:rsidR="005877EF" w:rsidRPr="005877EF">
        <w:t xml:space="preserve">nhancement of the </w:t>
      </w:r>
      <w:r w:rsidR="00956844">
        <w:t>f</w:t>
      </w:r>
      <w:r w:rsidR="005877EF" w:rsidRPr="005877EF">
        <w:t xml:space="preserve">inancial </w:t>
      </w:r>
      <w:r w:rsidR="00956844">
        <w:t>d</w:t>
      </w:r>
      <w:r w:rsidR="005877EF" w:rsidRPr="005877EF">
        <w:t>isclosure</w:t>
      </w:r>
      <w:r w:rsidR="00956844">
        <w:t xml:space="preserve">, Staff </w:t>
      </w:r>
      <w:r w:rsidR="005877EF" w:rsidRPr="00956844">
        <w:t>Mobility Policy</w:t>
      </w:r>
      <w:r w:rsidR="00956844">
        <w:t>).</w:t>
      </w:r>
    </w:p>
    <w:p w14:paraId="103D46F9" w14:textId="5F4333E3" w:rsidR="00D94F60" w:rsidRDefault="004C575E" w:rsidP="00963019">
      <w:pPr>
        <w:pStyle w:val="Normalnumbered"/>
        <w:numPr>
          <w:ilvl w:val="1"/>
          <w:numId w:val="7"/>
        </w:numPr>
        <w:ind w:left="0" w:firstLine="0"/>
      </w:pPr>
      <w:r>
        <w:t xml:space="preserve">IMAC </w:t>
      </w:r>
      <w:r w:rsidR="005D31F3">
        <w:t xml:space="preserve">commends </w:t>
      </w:r>
      <w:r>
        <w:t xml:space="preserve">the </w:t>
      </w:r>
      <w:r w:rsidR="00A47073">
        <w:t xml:space="preserve">involvement of the </w:t>
      </w:r>
      <w:r w:rsidR="00830DA4">
        <w:t>s</w:t>
      </w:r>
      <w:r w:rsidR="00A47073">
        <w:t xml:space="preserve">enior </w:t>
      </w:r>
      <w:r w:rsidR="00830DA4">
        <w:t>m</w:t>
      </w:r>
      <w:r w:rsidR="00A47073">
        <w:t>anagement</w:t>
      </w:r>
      <w:r w:rsidR="00830DA4">
        <w:t xml:space="preserve"> team</w:t>
      </w:r>
      <w:r w:rsidR="00A47073">
        <w:t xml:space="preserve"> in the entire process and </w:t>
      </w:r>
      <w:r w:rsidR="00F226E1">
        <w:t xml:space="preserve">observes </w:t>
      </w:r>
      <w:r w:rsidR="009700FF">
        <w:t xml:space="preserve">the </w:t>
      </w:r>
      <w:r w:rsidR="003630EE">
        <w:t xml:space="preserve">improvements </w:t>
      </w:r>
      <w:r w:rsidR="0047621E">
        <w:t xml:space="preserve">resulting from </w:t>
      </w:r>
      <w:r w:rsidR="003630EE">
        <w:t>the work undertaken and the controls in place.</w:t>
      </w:r>
    </w:p>
    <w:p w14:paraId="0B7A1B88" w14:textId="764D4A30" w:rsidR="0071700D" w:rsidRDefault="0071700D" w:rsidP="00C2216A">
      <w:pPr>
        <w:pStyle w:val="Normalnumbered"/>
        <w:numPr>
          <w:ilvl w:val="1"/>
          <w:numId w:val="7"/>
        </w:numPr>
        <w:ind w:left="0" w:firstLine="0"/>
      </w:pPr>
      <w:r>
        <w:t>IMAC note</w:t>
      </w:r>
      <w:r w:rsidR="000B1511">
        <w:t>s</w:t>
      </w:r>
      <w:r>
        <w:t xml:space="preserve"> that the results of </w:t>
      </w:r>
      <w:r w:rsidR="00556B63">
        <w:t>this</w:t>
      </w:r>
      <w:r>
        <w:t xml:space="preserve"> work represent a major step towards the closure of the case and the deficiencies previously </w:t>
      </w:r>
      <w:proofErr w:type="gramStart"/>
      <w:r>
        <w:t>identified, and</w:t>
      </w:r>
      <w:proofErr w:type="gramEnd"/>
      <w:r>
        <w:t xml:space="preserve"> encourage</w:t>
      </w:r>
      <w:r w:rsidR="000B1511">
        <w:t>s</w:t>
      </w:r>
      <w:r>
        <w:t xml:space="preserve"> management to expeditiously </w:t>
      </w:r>
      <w:r w:rsidR="0066260F">
        <w:t xml:space="preserve">complete </w:t>
      </w:r>
      <w:r>
        <w:t>the</w:t>
      </w:r>
      <w:r w:rsidR="00141AB6">
        <w:t xml:space="preserve"> few</w:t>
      </w:r>
      <w:r>
        <w:t xml:space="preserve"> </w:t>
      </w:r>
      <w:r w:rsidR="0066260F">
        <w:t xml:space="preserve">pending </w:t>
      </w:r>
      <w:r>
        <w:t>and ongoing remedial actions.</w:t>
      </w:r>
    </w:p>
    <w:p w14:paraId="56237186" w14:textId="6A2105A0" w:rsidR="00292013" w:rsidRPr="000032BD" w:rsidRDefault="00292013" w:rsidP="001C429A">
      <w:pPr>
        <w:pStyle w:val="NumberedHeading"/>
        <w:numPr>
          <w:ilvl w:val="0"/>
          <w:numId w:val="4"/>
        </w:numPr>
        <w:spacing w:before="360"/>
        <w:ind w:left="357" w:hanging="357"/>
        <w:rPr>
          <w:rStyle w:val="Ohne"/>
          <w:caps/>
        </w:rPr>
      </w:pPr>
      <w:r w:rsidRPr="000032BD">
        <w:rPr>
          <w:rStyle w:val="Ohne"/>
          <w:caps/>
        </w:rPr>
        <w:t>Regional Presence Review</w:t>
      </w:r>
      <w:r w:rsidR="0065213F">
        <w:rPr>
          <w:rStyle w:val="Ohne"/>
          <w:caps/>
        </w:rPr>
        <w:t xml:space="preserve"> Follow-up</w:t>
      </w:r>
    </w:p>
    <w:p w14:paraId="28C7154C" w14:textId="236668C4" w:rsidR="00292013" w:rsidRDefault="00AE7B1F" w:rsidP="000032BD">
      <w:pPr>
        <w:pStyle w:val="Normalnumbered"/>
        <w:numPr>
          <w:ilvl w:val="1"/>
          <w:numId w:val="7"/>
        </w:numPr>
        <w:ind w:left="0" w:firstLine="0"/>
      </w:pPr>
      <w:r>
        <w:t xml:space="preserve">IMAC engaged in </w:t>
      </w:r>
      <w:r w:rsidR="005B50CB">
        <w:t>comprehensive briefings from t</w:t>
      </w:r>
      <w:r w:rsidR="00292013">
        <w:t>he Director of the BDT and the Deputy to the Director</w:t>
      </w:r>
      <w:r w:rsidR="00CF151D">
        <w:t>,</w:t>
      </w:r>
      <w:r w:rsidR="00292013">
        <w:t xml:space="preserve"> on the Recommendations made by PWC in the Review of the ITU Regional Presence.</w:t>
      </w:r>
    </w:p>
    <w:p w14:paraId="7888C27F" w14:textId="62C3182E" w:rsidR="00292013" w:rsidRDefault="00292013" w:rsidP="000032BD">
      <w:pPr>
        <w:pStyle w:val="Normalnumbered"/>
        <w:numPr>
          <w:ilvl w:val="1"/>
          <w:numId w:val="7"/>
        </w:numPr>
        <w:ind w:left="0" w:firstLine="0"/>
      </w:pPr>
      <w:r>
        <w:t xml:space="preserve">The Committee </w:t>
      </w:r>
      <w:r w:rsidR="00BB13CB">
        <w:t xml:space="preserve">appreciates the decision to set-up </w:t>
      </w:r>
      <w:r>
        <w:t xml:space="preserve">the Ad Hoc Group of the CWG-FHR </w:t>
      </w:r>
      <w:r w:rsidR="00083373">
        <w:t>to</w:t>
      </w:r>
      <w:r w:rsidR="00E475C3">
        <w:t xml:space="preserve"> focus on the important subject of </w:t>
      </w:r>
      <w:r w:rsidR="00E74231">
        <w:t>ITU R</w:t>
      </w:r>
      <w:r w:rsidR="00E475C3">
        <w:t xml:space="preserve">egional </w:t>
      </w:r>
      <w:r w:rsidR="00E74231">
        <w:t>P</w:t>
      </w:r>
      <w:r w:rsidR="00E475C3">
        <w:t>resence.</w:t>
      </w:r>
      <w:r w:rsidR="00E74231">
        <w:t xml:space="preserve"> </w:t>
      </w:r>
      <w:r w:rsidR="00DF55C6">
        <w:t xml:space="preserve">IMAC </w:t>
      </w:r>
      <w:r>
        <w:t xml:space="preserve">looked into </w:t>
      </w:r>
      <w:r w:rsidR="00DF55C6">
        <w:t xml:space="preserve">the </w:t>
      </w:r>
      <w:r>
        <w:t>Terms of Reference</w:t>
      </w:r>
      <w:r w:rsidR="00DF55C6">
        <w:t xml:space="preserve"> of the Ad</w:t>
      </w:r>
      <w:r w:rsidR="00FF4CBF">
        <w:t xml:space="preserve"> </w:t>
      </w:r>
      <w:r w:rsidR="00DF55C6">
        <w:t xml:space="preserve">Hoc </w:t>
      </w:r>
      <w:proofErr w:type="gramStart"/>
      <w:r w:rsidR="00DF55C6">
        <w:t>Group</w:t>
      </w:r>
      <w:r>
        <w:t>, and</w:t>
      </w:r>
      <w:proofErr w:type="gramEnd"/>
      <w:r>
        <w:t xml:space="preserve"> </w:t>
      </w:r>
      <w:r w:rsidR="00B66026">
        <w:t xml:space="preserve">followed </w:t>
      </w:r>
      <w:r>
        <w:t>the work of the group.</w:t>
      </w:r>
    </w:p>
    <w:p w14:paraId="319A83B0" w14:textId="3693FC4F" w:rsidR="00292013" w:rsidRDefault="00292013" w:rsidP="000032BD">
      <w:pPr>
        <w:pStyle w:val="Normalnumbered"/>
        <w:numPr>
          <w:ilvl w:val="1"/>
          <w:numId w:val="7"/>
        </w:numPr>
        <w:ind w:left="0" w:firstLine="0"/>
      </w:pPr>
      <w:r>
        <w:lastRenderedPageBreak/>
        <w:t xml:space="preserve">IMAC </w:t>
      </w:r>
      <w:r w:rsidR="00F320F5">
        <w:t>would have appreciated if</w:t>
      </w:r>
      <w:r>
        <w:t xml:space="preserve"> the PWC Report </w:t>
      </w:r>
      <w:r w:rsidR="00E558C9">
        <w:t xml:space="preserve">would have </w:t>
      </w:r>
      <w:r>
        <w:t>focus</w:t>
      </w:r>
      <w:r w:rsidR="00E558C9">
        <w:t>ed</w:t>
      </w:r>
      <w:r>
        <w:t xml:space="preserve"> more on a strategic approach and on providing conceptual responses to the questions regarding the role, the </w:t>
      </w:r>
      <w:proofErr w:type="gramStart"/>
      <w:r>
        <w:t>effectiveness</w:t>
      </w:r>
      <w:proofErr w:type="gramEnd"/>
      <w:r>
        <w:t xml:space="preserve"> and the efficiency of ITU’s regional presence.</w:t>
      </w:r>
    </w:p>
    <w:p w14:paraId="0FBAD307" w14:textId="77777777" w:rsidR="00292013" w:rsidRDefault="00292013" w:rsidP="000032BD">
      <w:pPr>
        <w:pStyle w:val="Normalnumbered"/>
        <w:numPr>
          <w:ilvl w:val="1"/>
          <w:numId w:val="7"/>
        </w:numPr>
        <w:ind w:left="0" w:firstLine="0"/>
      </w:pPr>
      <w:r>
        <w:t>The Committee appreciated management’s approach and the internal mechanism set up to promptly respond to the specific recommendations, which support and reinforce the ITU’s reform agenda.</w:t>
      </w:r>
    </w:p>
    <w:p w14:paraId="73FC240E" w14:textId="35811DFC" w:rsidR="00F649B0" w:rsidRDefault="00F649B0" w:rsidP="00350CE5">
      <w:pPr>
        <w:pStyle w:val="Normalnumbered"/>
        <w:numPr>
          <w:ilvl w:val="1"/>
          <w:numId w:val="7"/>
        </w:numPr>
        <w:ind w:left="0" w:firstLine="0"/>
      </w:pPr>
      <w:r>
        <w:t xml:space="preserve">IMAC </w:t>
      </w:r>
      <w:r w:rsidR="00E72349">
        <w:t xml:space="preserve">would appreciate </w:t>
      </w:r>
      <w:r w:rsidR="008B1947">
        <w:t>that</w:t>
      </w:r>
      <w:r w:rsidR="00E72349">
        <w:t xml:space="preserve"> </w:t>
      </w:r>
      <w:r w:rsidR="00B76BDE">
        <w:t xml:space="preserve">the Ad Hoc Group of the CWG-FHR </w:t>
      </w:r>
      <w:proofErr w:type="gramStart"/>
      <w:r w:rsidR="00087C4A">
        <w:t>look</w:t>
      </w:r>
      <w:r w:rsidR="00B8448C">
        <w:t>s</w:t>
      </w:r>
      <w:r w:rsidR="00087C4A">
        <w:t xml:space="preserve"> into</w:t>
      </w:r>
      <w:proofErr w:type="gramEnd"/>
      <w:r w:rsidR="00087C4A">
        <w:t xml:space="preserve"> </w:t>
      </w:r>
      <w:r w:rsidR="00DA5B03">
        <w:t xml:space="preserve">primarily the </w:t>
      </w:r>
      <w:r w:rsidR="00087C4A">
        <w:t xml:space="preserve">strategic issues </w:t>
      </w:r>
      <w:r w:rsidR="001F63D5">
        <w:t>of regional presence of ITU</w:t>
      </w:r>
      <w:r w:rsidR="00517317">
        <w:t xml:space="preserve"> to </w:t>
      </w:r>
      <w:r w:rsidR="00A35E53">
        <w:t xml:space="preserve">enhance the </w:t>
      </w:r>
      <w:r w:rsidR="00055FB5">
        <w:t>delivery</w:t>
      </w:r>
      <w:r w:rsidR="00A35E53">
        <w:t xml:space="preserve"> of </w:t>
      </w:r>
      <w:r w:rsidR="00F83DAB">
        <w:t xml:space="preserve">ITU’s </w:t>
      </w:r>
      <w:r w:rsidR="00A35E53">
        <w:t>mandate</w:t>
      </w:r>
      <w:r w:rsidR="00F83DAB">
        <w:t xml:space="preserve"> </w:t>
      </w:r>
      <w:r w:rsidR="00A35E53">
        <w:t>across the world.</w:t>
      </w:r>
      <w:r w:rsidR="00B019C5">
        <w:t xml:space="preserve"> </w:t>
      </w:r>
      <w:r w:rsidR="00350CE5">
        <w:t>G</w:t>
      </w:r>
      <w:r w:rsidR="0078774E">
        <w:t xml:space="preserve">iven the importance of the subject, IMAC </w:t>
      </w:r>
      <w:r w:rsidR="008A5493">
        <w:t xml:space="preserve">encourages the Ad Hoc Group to take bold </w:t>
      </w:r>
      <w:r w:rsidR="006819A7">
        <w:t xml:space="preserve">decisions </w:t>
      </w:r>
      <w:r w:rsidR="00350CE5">
        <w:t>though they may have</w:t>
      </w:r>
      <w:r w:rsidR="008A5493">
        <w:t xml:space="preserve"> financial implications</w:t>
      </w:r>
      <w:r w:rsidR="00193A7C">
        <w:t>.</w:t>
      </w:r>
    </w:p>
    <w:p w14:paraId="369070DB" w14:textId="7813EFF1" w:rsidR="00E773FE" w:rsidRDefault="00E74FC3" w:rsidP="00E773FE">
      <w:pPr>
        <w:pStyle w:val="Normalnumbered"/>
        <w:numPr>
          <w:ilvl w:val="1"/>
          <w:numId w:val="7"/>
        </w:numPr>
        <w:ind w:left="0" w:firstLine="0"/>
      </w:pPr>
      <w:r>
        <w:t xml:space="preserve">IMAC </w:t>
      </w:r>
      <w:r w:rsidR="004B4BE4">
        <w:t xml:space="preserve">therefore </w:t>
      </w:r>
      <w:r w:rsidR="004114F7">
        <w:t>wish</w:t>
      </w:r>
      <w:r w:rsidR="00F649B0">
        <w:t>es</w:t>
      </w:r>
      <w:r w:rsidR="004114F7">
        <w:t xml:space="preserve"> to </w:t>
      </w:r>
      <w:r w:rsidR="000A7DF2">
        <w:t>invite</w:t>
      </w:r>
      <w:r w:rsidR="0040036F">
        <w:t xml:space="preserve"> the </w:t>
      </w:r>
      <w:r w:rsidR="00D2233C">
        <w:t>Council</w:t>
      </w:r>
      <w:r w:rsidR="000A7DF2">
        <w:t xml:space="preserve"> </w:t>
      </w:r>
      <w:r w:rsidR="00845B55">
        <w:t>to</w:t>
      </w:r>
      <w:r w:rsidR="009E48FB">
        <w:t xml:space="preserve"> engage in the process and</w:t>
      </w:r>
      <w:r w:rsidR="00845B55">
        <w:t xml:space="preserve"> </w:t>
      </w:r>
      <w:r w:rsidR="004114F7">
        <w:t>review</w:t>
      </w:r>
      <w:r w:rsidR="00D2233C">
        <w:t xml:space="preserve"> the topic</w:t>
      </w:r>
      <w:r w:rsidR="002155C2">
        <w:t xml:space="preserve"> </w:t>
      </w:r>
      <w:r w:rsidR="00CB2006">
        <w:t>not only from a financial</w:t>
      </w:r>
      <w:r w:rsidR="00FA6909">
        <w:t xml:space="preserve"> </w:t>
      </w:r>
      <w:r w:rsidR="002401DD">
        <w:t xml:space="preserve">and </w:t>
      </w:r>
      <w:r w:rsidR="00FA6909">
        <w:t>cost</w:t>
      </w:r>
      <w:r w:rsidR="00CB2006">
        <w:t xml:space="preserve"> perspective, but also </w:t>
      </w:r>
      <w:r w:rsidR="000A7DF2">
        <w:t>with</w:t>
      </w:r>
      <w:r w:rsidR="00845B55">
        <w:t xml:space="preserve"> a strategic approach</w:t>
      </w:r>
      <w:r w:rsidR="000A7DF2">
        <w:t xml:space="preserve">, </w:t>
      </w:r>
      <w:proofErr w:type="gramStart"/>
      <w:r w:rsidR="000A7DF2">
        <w:t>in order to</w:t>
      </w:r>
      <w:proofErr w:type="gramEnd"/>
      <w:r w:rsidR="000A7DF2">
        <w:t xml:space="preserve"> </w:t>
      </w:r>
      <w:r w:rsidR="00302CA2">
        <w:t xml:space="preserve">take the </w:t>
      </w:r>
      <w:r w:rsidR="00470152">
        <w:t xml:space="preserve">appropriate </w:t>
      </w:r>
      <w:r w:rsidR="00781359">
        <w:t xml:space="preserve">pending </w:t>
      </w:r>
      <w:r w:rsidR="00302CA2">
        <w:t xml:space="preserve">decisions that will provide strategic guidance to the secretariat and will enable </w:t>
      </w:r>
      <w:r w:rsidR="00261415">
        <w:t>effective implementation</w:t>
      </w:r>
      <w:r w:rsidR="00BB3FE6">
        <w:t xml:space="preserve"> of the recommendations that will improve </w:t>
      </w:r>
      <w:r w:rsidR="00C63B4F">
        <w:t xml:space="preserve">and modernize </w:t>
      </w:r>
      <w:r w:rsidR="00BB3FE6">
        <w:t>ITU’s regional presence</w:t>
      </w:r>
      <w:r w:rsidR="00261415">
        <w:t>.</w:t>
      </w:r>
    </w:p>
    <w:p w14:paraId="7869D291" w14:textId="13DA09EA" w:rsidR="00E773FE" w:rsidRPr="00E773FE" w:rsidRDefault="00E773FE" w:rsidP="001C429A">
      <w:pPr>
        <w:pStyle w:val="NumberedHeading"/>
        <w:numPr>
          <w:ilvl w:val="0"/>
          <w:numId w:val="4"/>
        </w:numPr>
        <w:spacing w:before="360"/>
        <w:ind w:left="357" w:hanging="357"/>
        <w:rPr>
          <w:rStyle w:val="Ohne"/>
          <w:caps/>
        </w:rPr>
      </w:pPr>
      <w:r>
        <w:rPr>
          <w:rStyle w:val="Ohne"/>
          <w:caps/>
        </w:rPr>
        <w:t>ITU Headquarters Construction Project</w:t>
      </w:r>
    </w:p>
    <w:p w14:paraId="00DBBBCB" w14:textId="77777777" w:rsidR="005613EF" w:rsidRDefault="00E773FE" w:rsidP="005613EF">
      <w:pPr>
        <w:pStyle w:val="Normalnumbered"/>
        <w:numPr>
          <w:ilvl w:val="1"/>
          <w:numId w:val="7"/>
        </w:numPr>
        <w:ind w:left="0" w:firstLine="0"/>
      </w:pPr>
      <w:r>
        <w:t>IMAC continued to receive regular briefings from the Head of the Facilities Management and Building Project division, on progress and developments in the ITU’s HQ premises construction project.</w:t>
      </w:r>
    </w:p>
    <w:p w14:paraId="0AF42558" w14:textId="3920D718" w:rsidR="005613EF" w:rsidRDefault="005613EF" w:rsidP="005613EF">
      <w:pPr>
        <w:pStyle w:val="Normalnumbered"/>
        <w:numPr>
          <w:ilvl w:val="1"/>
          <w:numId w:val="7"/>
        </w:numPr>
        <w:ind w:left="0" w:firstLine="0"/>
      </w:pPr>
      <w:r>
        <w:t xml:space="preserve">IMAC </w:t>
      </w:r>
      <w:r w:rsidR="008B5CE1">
        <w:t>is</w:t>
      </w:r>
      <w:r>
        <w:t xml:space="preserve"> pleased to </w:t>
      </w:r>
      <w:r w:rsidR="00C446B5">
        <w:t xml:space="preserve">note </w:t>
      </w:r>
      <w:r>
        <w:t xml:space="preserve">that the project implementation </w:t>
      </w:r>
      <w:r w:rsidR="007961B5">
        <w:t xml:space="preserve">so far </w:t>
      </w:r>
      <w:r>
        <w:t>has been under control, and that the financing package has been completed.</w:t>
      </w:r>
    </w:p>
    <w:p w14:paraId="2A668DFC" w14:textId="5FB464D9" w:rsidR="0087043F" w:rsidRDefault="00E773FE" w:rsidP="0087043F">
      <w:pPr>
        <w:pStyle w:val="Normalnumbered"/>
        <w:numPr>
          <w:ilvl w:val="1"/>
          <w:numId w:val="7"/>
        </w:numPr>
        <w:ind w:left="0" w:firstLine="0"/>
      </w:pPr>
      <w:r>
        <w:t>IMAC will continue to monitor progress</w:t>
      </w:r>
      <w:r w:rsidR="00950D92">
        <w:t xml:space="preserve">, </w:t>
      </w:r>
      <w:r>
        <w:t xml:space="preserve">given </w:t>
      </w:r>
      <w:r w:rsidR="00695A81">
        <w:t xml:space="preserve">the </w:t>
      </w:r>
      <w:r>
        <w:t xml:space="preserve">importance </w:t>
      </w:r>
      <w:r w:rsidR="00695A81">
        <w:t xml:space="preserve">of the project </w:t>
      </w:r>
      <w:r>
        <w:t>and the risks involved.</w:t>
      </w:r>
    </w:p>
    <w:p w14:paraId="3B61D749" w14:textId="268DCE8C" w:rsidR="0087043F" w:rsidRPr="00AB259D" w:rsidRDefault="0087043F" w:rsidP="001C429A">
      <w:pPr>
        <w:pStyle w:val="NumberedHeading"/>
        <w:numPr>
          <w:ilvl w:val="0"/>
          <w:numId w:val="4"/>
        </w:numPr>
        <w:spacing w:before="360"/>
        <w:ind w:left="357" w:hanging="357"/>
        <w:rPr>
          <w:rStyle w:val="Ohne"/>
          <w:caps/>
        </w:rPr>
      </w:pPr>
      <w:r>
        <w:rPr>
          <w:rStyle w:val="Ohne"/>
          <w:caps/>
        </w:rPr>
        <w:t>DIgital TRansformation Initiative</w:t>
      </w:r>
    </w:p>
    <w:p w14:paraId="7B5F999A" w14:textId="797CF1D1" w:rsidR="00A35BB8" w:rsidRDefault="0087043F" w:rsidP="00F953FD">
      <w:pPr>
        <w:pStyle w:val="Normalnumbered"/>
        <w:numPr>
          <w:ilvl w:val="1"/>
          <w:numId w:val="7"/>
        </w:numPr>
        <w:ind w:left="0" w:firstLine="0"/>
      </w:pPr>
      <w:r>
        <w:t>The Committee received a comprehensive briefing by the Deputy Secretary-General on the Digital Transformation Initiative, which was set up as an umbrella project to be carried out by a phased approach on prioritizing “what to transform”, and then determining “how to transform it”.</w:t>
      </w:r>
    </w:p>
    <w:p w14:paraId="3F16EE4B" w14:textId="2B64E3C7" w:rsidR="0087043F" w:rsidRDefault="0087043F" w:rsidP="0087043F">
      <w:pPr>
        <w:pStyle w:val="Normalnumbered"/>
        <w:numPr>
          <w:ilvl w:val="1"/>
          <w:numId w:val="7"/>
        </w:numPr>
        <w:ind w:left="0" w:firstLine="0"/>
      </w:pPr>
      <w:r>
        <w:t xml:space="preserve">IMAC </w:t>
      </w:r>
      <w:r w:rsidR="00A35BB8">
        <w:t xml:space="preserve">also </w:t>
      </w:r>
      <w:r>
        <w:t xml:space="preserve">strongly supported the need for ITU to become a leader in this area within the UN system. The Committee noted that the digital transformation should be an ongoing and constant process and focus for the </w:t>
      </w:r>
      <w:proofErr w:type="gramStart"/>
      <w:r>
        <w:t>ITU, and</w:t>
      </w:r>
      <w:proofErr w:type="gramEnd"/>
      <w:r>
        <w:t xml:space="preserve"> highlighted the importance for it to go across the organization.</w:t>
      </w:r>
    </w:p>
    <w:p w14:paraId="6DC085F7" w14:textId="77777777" w:rsidR="0087043F" w:rsidRDefault="0087043F" w:rsidP="0087043F">
      <w:pPr>
        <w:pStyle w:val="Normalnumbered"/>
        <w:numPr>
          <w:ilvl w:val="1"/>
          <w:numId w:val="7"/>
        </w:numPr>
        <w:ind w:left="0" w:firstLine="0"/>
      </w:pPr>
      <w:r>
        <w:t xml:space="preserve">The Committee underlined how the digital transformation is contributing towards the concept of One </w:t>
      </w:r>
      <w:proofErr w:type="gramStart"/>
      <w:r>
        <w:t>ITU, and</w:t>
      </w:r>
      <w:proofErr w:type="gramEnd"/>
      <w:r>
        <w:t xml:space="preserve"> advised that specific resources should be allocated on this initiative.</w:t>
      </w:r>
    </w:p>
    <w:p w14:paraId="269A2BEE" w14:textId="2104CA4F" w:rsidR="0087043F" w:rsidRDefault="0087043F" w:rsidP="00154518">
      <w:pPr>
        <w:pStyle w:val="Normalnumbered"/>
        <w:pBdr>
          <w:top w:val="single" w:sz="4" w:space="1" w:color="auto"/>
          <w:left w:val="single" w:sz="4" w:space="1" w:color="auto"/>
          <w:bottom w:val="single" w:sz="4" w:space="1" w:color="auto"/>
          <w:right w:val="single" w:sz="4" w:space="1" w:color="auto"/>
        </w:pBdr>
      </w:pPr>
      <w:r w:rsidRPr="00154518">
        <w:rPr>
          <w:b/>
          <w:bCs/>
        </w:rPr>
        <w:t>Recommendation</w:t>
      </w:r>
      <w:r w:rsidR="00154518" w:rsidRPr="00154518">
        <w:rPr>
          <w:b/>
          <w:bCs/>
        </w:rPr>
        <w:t xml:space="preserve"> 1</w:t>
      </w:r>
      <w:r w:rsidR="007777B0">
        <w:rPr>
          <w:b/>
          <w:bCs/>
        </w:rPr>
        <w:t xml:space="preserve"> </w:t>
      </w:r>
      <w:r w:rsidR="007777B0" w:rsidRPr="007777B0">
        <w:rPr>
          <w:b/>
          <w:bCs/>
        </w:rPr>
        <w:t>(</w:t>
      </w:r>
      <w:r w:rsidR="00154518" w:rsidRPr="007777B0">
        <w:rPr>
          <w:b/>
          <w:bCs/>
        </w:rPr>
        <w:t>2021</w:t>
      </w:r>
      <w:r w:rsidR="007777B0" w:rsidRPr="007777B0">
        <w:rPr>
          <w:b/>
          <w:bCs/>
        </w:rPr>
        <w:t>)</w:t>
      </w:r>
      <w:r w:rsidRPr="007777B0">
        <w:rPr>
          <w:b/>
          <w:bCs/>
        </w:rPr>
        <w:t>:</w:t>
      </w:r>
      <w:r>
        <w:t xml:space="preserve"> </w:t>
      </w:r>
      <w:r w:rsidR="00CC2D1E">
        <w:t xml:space="preserve">IMAC </w:t>
      </w:r>
      <w:r w:rsidR="00DC185D">
        <w:t xml:space="preserve">recommends </w:t>
      </w:r>
      <w:r w:rsidR="00EB05B0">
        <w:t xml:space="preserve">that ITU pursue the digital transformation initiative </w:t>
      </w:r>
      <w:r w:rsidR="00BE3965">
        <w:t xml:space="preserve">and </w:t>
      </w:r>
      <w:r>
        <w:t>encourage</w:t>
      </w:r>
      <w:r w:rsidR="00CC2D1E">
        <w:t>s</w:t>
      </w:r>
      <w:r>
        <w:t xml:space="preserve"> ITU</w:t>
      </w:r>
      <w:r w:rsidR="00455835">
        <w:t xml:space="preserve"> </w:t>
      </w:r>
      <w:r w:rsidR="0082061D">
        <w:t xml:space="preserve">to mobilize resources </w:t>
      </w:r>
      <w:r w:rsidR="00826BB5">
        <w:t xml:space="preserve">for its endeavor </w:t>
      </w:r>
      <w:r w:rsidR="00BE3965">
        <w:t xml:space="preserve">to </w:t>
      </w:r>
      <w:r w:rsidR="0077735D">
        <w:t>becom</w:t>
      </w:r>
      <w:r w:rsidR="00BE3965">
        <w:t>e</w:t>
      </w:r>
      <w:r w:rsidR="0077735D">
        <w:t xml:space="preserve"> a </w:t>
      </w:r>
      <w:r>
        <w:t xml:space="preserve">leader </w:t>
      </w:r>
      <w:r w:rsidR="00FD25F6">
        <w:t xml:space="preserve">in this area within </w:t>
      </w:r>
      <w:r w:rsidR="00455835">
        <w:t xml:space="preserve">the UN System, </w:t>
      </w:r>
      <w:r w:rsidR="00C97760">
        <w:t xml:space="preserve">and </w:t>
      </w:r>
      <w:r w:rsidR="00FD25F6">
        <w:t xml:space="preserve">set an </w:t>
      </w:r>
      <w:r>
        <w:t>example for other agencies to follow</w:t>
      </w:r>
      <w:r w:rsidR="00154518">
        <w:t>.</w:t>
      </w:r>
    </w:p>
    <w:p w14:paraId="4F319040" w14:textId="5804AABF" w:rsidR="00CE42C2" w:rsidRPr="00CE42C2" w:rsidRDefault="009E161C" w:rsidP="001C429A">
      <w:pPr>
        <w:pStyle w:val="NumberedHeading"/>
        <w:numPr>
          <w:ilvl w:val="0"/>
          <w:numId w:val="4"/>
        </w:numPr>
        <w:spacing w:before="360"/>
        <w:ind w:left="357" w:hanging="357"/>
        <w:rPr>
          <w:rStyle w:val="Ohne"/>
          <w:caps/>
        </w:rPr>
      </w:pPr>
      <w:r>
        <w:rPr>
          <w:rStyle w:val="Ohne"/>
          <w:caps/>
        </w:rPr>
        <w:lastRenderedPageBreak/>
        <w:t>Ethics Office</w:t>
      </w:r>
    </w:p>
    <w:p w14:paraId="76E1FFB4" w14:textId="6D27E928" w:rsidR="009E7EFA" w:rsidRDefault="00CE42C2" w:rsidP="009E7EFA">
      <w:pPr>
        <w:pStyle w:val="Normalnumbered"/>
        <w:numPr>
          <w:ilvl w:val="1"/>
          <w:numId w:val="7"/>
        </w:numPr>
        <w:ind w:left="0" w:firstLine="0"/>
      </w:pPr>
      <w:r>
        <w:t>IMAC</w:t>
      </w:r>
      <w:r w:rsidR="009605AE">
        <w:t xml:space="preserve"> continued engaging with the Ethics Officer and</w:t>
      </w:r>
      <w:r>
        <w:t xml:space="preserve"> receiv</w:t>
      </w:r>
      <w:r w:rsidR="009605AE">
        <w:t>ing</w:t>
      </w:r>
      <w:r>
        <w:t xml:space="preserve"> regular briefing</w:t>
      </w:r>
      <w:r w:rsidR="00341381">
        <w:t>s</w:t>
      </w:r>
      <w:r>
        <w:t>, discuss</w:t>
      </w:r>
      <w:r w:rsidR="00341381">
        <w:t>ing</w:t>
      </w:r>
      <w:r>
        <w:t xml:space="preserve"> the developments and progress of work. </w:t>
      </w:r>
      <w:r w:rsidR="00684703">
        <w:t>The</w:t>
      </w:r>
      <w:r>
        <w:t xml:space="preserve"> topics covered included the handling of the financial disclosure statements from all staff, the role of the Ethics Office in handling the</w:t>
      </w:r>
      <w:r w:rsidR="00DD5E0A">
        <w:t xml:space="preserve"> </w:t>
      </w:r>
      <w:r>
        <w:t xml:space="preserve">preliminary </w:t>
      </w:r>
      <w:r w:rsidR="00CF3846">
        <w:t>reviews of allegations concerning misco</w:t>
      </w:r>
      <w:r w:rsidR="00BB377F">
        <w:t>nduct</w:t>
      </w:r>
      <w:r w:rsidR="00DD5E0A">
        <w:t xml:space="preserve">, the focus to strengthen the frameworks and facilitating the reporting process, </w:t>
      </w:r>
      <w:r w:rsidR="00A3665E">
        <w:t xml:space="preserve">the </w:t>
      </w:r>
      <w:r w:rsidR="00873810">
        <w:t xml:space="preserve">ongoing </w:t>
      </w:r>
      <w:r w:rsidR="00A3665E">
        <w:t>training</w:t>
      </w:r>
      <w:r w:rsidR="005A1F4D">
        <w:t>s</w:t>
      </w:r>
      <w:r w:rsidR="00FF4CBF">
        <w:t>,</w:t>
      </w:r>
      <w:r w:rsidR="00A3665E">
        <w:t xml:space="preserve"> and the new whistle-blower policy.</w:t>
      </w:r>
    </w:p>
    <w:p w14:paraId="7A90D409" w14:textId="7F609470" w:rsidR="00CE42C2" w:rsidRDefault="00CE42C2" w:rsidP="00CE42C2">
      <w:pPr>
        <w:pStyle w:val="Normalnumbered"/>
        <w:numPr>
          <w:ilvl w:val="1"/>
          <w:numId w:val="7"/>
        </w:numPr>
        <w:ind w:left="0" w:firstLine="0"/>
      </w:pPr>
      <w:r>
        <w:t xml:space="preserve">The Committee appreciated the work of the Office and provided advice in terms of the workload related to the processing of the financial disclosure </w:t>
      </w:r>
      <w:r w:rsidR="00534CDC">
        <w:t>statements</w:t>
      </w:r>
      <w:r>
        <w:t>.</w:t>
      </w:r>
    </w:p>
    <w:p w14:paraId="4DA18864" w14:textId="2F2889F6" w:rsidR="00ED4E81" w:rsidRDefault="00B66660" w:rsidP="00871F53">
      <w:pPr>
        <w:pStyle w:val="Normalnumbered"/>
        <w:numPr>
          <w:ilvl w:val="1"/>
          <w:numId w:val="7"/>
        </w:numPr>
        <w:ind w:left="0" w:firstLine="0"/>
      </w:pPr>
      <w:r>
        <w:t xml:space="preserve">IMAC raised </w:t>
      </w:r>
      <w:proofErr w:type="gramStart"/>
      <w:r>
        <w:t>a number of</w:t>
      </w:r>
      <w:proofErr w:type="gramEnd"/>
      <w:r>
        <w:t xml:space="preserve"> questions regarding the role of the Ethics Office in conducting preliminary </w:t>
      </w:r>
      <w:r w:rsidR="00866ECB">
        <w:t>reviews of reported allegations</w:t>
      </w:r>
      <w:r>
        <w:t xml:space="preserve">, in terms of resources </w:t>
      </w:r>
      <w:r w:rsidR="00871F53">
        <w:t>available for normal ethics work, monitoring</w:t>
      </w:r>
      <w:r w:rsidR="00FF4CBF">
        <w:t>,</w:t>
      </w:r>
      <w:r w:rsidR="00871F53">
        <w:t xml:space="preserve"> and follow-up.</w:t>
      </w:r>
    </w:p>
    <w:p w14:paraId="5FE7A0C0" w14:textId="596B174F" w:rsidR="00507A09" w:rsidRDefault="009A72E2" w:rsidP="00507A09">
      <w:pPr>
        <w:pStyle w:val="Normalnumbered"/>
        <w:numPr>
          <w:ilvl w:val="1"/>
          <w:numId w:val="7"/>
        </w:numPr>
        <w:ind w:left="0" w:firstLine="0"/>
      </w:pPr>
      <w:r>
        <w:t>T</w:t>
      </w:r>
      <w:r w:rsidR="00172B26">
        <w:t xml:space="preserve">he Committee would reemphasize the importance of the Ethics function and expects that resources provided would continue to be appropriate to support the full span of the work </w:t>
      </w:r>
      <w:proofErr w:type="spellStart"/>
      <w:r w:rsidR="00172B26">
        <w:t>programme</w:t>
      </w:r>
      <w:proofErr w:type="spellEnd"/>
      <w:r w:rsidR="00172B26">
        <w:t xml:space="preserve"> of the Ethics office.</w:t>
      </w:r>
    </w:p>
    <w:p w14:paraId="749F6278" w14:textId="77777777" w:rsidR="000A7320" w:rsidRPr="00C411F7" w:rsidRDefault="000A7320" w:rsidP="001C429A">
      <w:pPr>
        <w:pStyle w:val="NumberedHeading"/>
        <w:numPr>
          <w:ilvl w:val="0"/>
          <w:numId w:val="4"/>
        </w:numPr>
        <w:spacing w:before="360"/>
        <w:ind w:left="357" w:hanging="357"/>
        <w:rPr>
          <w:rStyle w:val="Ohne"/>
          <w:caps/>
        </w:rPr>
      </w:pPr>
      <w:r>
        <w:rPr>
          <w:rStyle w:val="Ohne"/>
          <w:caps/>
        </w:rPr>
        <w:t>Investigation Function</w:t>
      </w:r>
    </w:p>
    <w:p w14:paraId="02F8DEED" w14:textId="2415DC7D" w:rsidR="005D1AB9" w:rsidRDefault="000A7320" w:rsidP="009A72E2">
      <w:pPr>
        <w:pStyle w:val="Normalnumbered"/>
        <w:numPr>
          <w:ilvl w:val="1"/>
          <w:numId w:val="7"/>
        </w:numPr>
        <w:ind w:left="0" w:firstLine="0"/>
      </w:pPr>
      <w:r>
        <w:t xml:space="preserve">At its </w:t>
      </w:r>
      <w:r w:rsidRPr="00BB4C01">
        <w:t>9th</w:t>
      </w:r>
      <w:r w:rsidR="009A72E2">
        <w:t xml:space="preserve"> </w:t>
      </w:r>
      <w:r>
        <w:t>Annual Report to Council 2020 the Committee’s had pointed out as a matter of priority, the need to have a dedicated resource on investigation. IMAC appreciates the establishment of the post and is looking forward to its prompt fulfillment and full functioning.</w:t>
      </w:r>
    </w:p>
    <w:p w14:paraId="0CD4C25B" w14:textId="14A5D1B3" w:rsidR="00F3016B" w:rsidRPr="0065213F" w:rsidRDefault="00F3016B" w:rsidP="001C429A">
      <w:pPr>
        <w:pStyle w:val="NumberedHeading"/>
        <w:numPr>
          <w:ilvl w:val="0"/>
          <w:numId w:val="4"/>
        </w:numPr>
        <w:spacing w:before="360"/>
        <w:ind w:left="357" w:hanging="357"/>
        <w:rPr>
          <w:rStyle w:val="Ohne"/>
          <w:caps/>
        </w:rPr>
      </w:pPr>
      <w:r w:rsidRPr="0065213F">
        <w:rPr>
          <w:rStyle w:val="Ohne"/>
          <w:caps/>
        </w:rPr>
        <w:t>Risk Management and the ITU Compliance Dashboard</w:t>
      </w:r>
    </w:p>
    <w:p w14:paraId="5930D807" w14:textId="56994815" w:rsidR="00F3016B" w:rsidRDefault="00E0282D" w:rsidP="0054416A">
      <w:pPr>
        <w:pStyle w:val="Normalnumbered"/>
        <w:numPr>
          <w:ilvl w:val="1"/>
          <w:numId w:val="7"/>
        </w:numPr>
        <w:ind w:left="0" w:firstLine="0"/>
      </w:pPr>
      <w:r w:rsidRPr="0054416A">
        <w:t xml:space="preserve">IMAC </w:t>
      </w:r>
      <w:r>
        <w:t xml:space="preserve">continued to </w:t>
      </w:r>
      <w:r w:rsidRPr="0054416A">
        <w:t>follow closely the developments in the ITU risk management arrangements</w:t>
      </w:r>
      <w:r w:rsidR="00F3016B">
        <w:t xml:space="preserve"> </w:t>
      </w:r>
      <w:r>
        <w:t xml:space="preserve">and </w:t>
      </w:r>
      <w:r w:rsidR="00F3016B">
        <w:t>the implementation of the action plan</w:t>
      </w:r>
      <w:r w:rsidR="003E39CD">
        <w:t xml:space="preserve"> to strengthen </w:t>
      </w:r>
      <w:r w:rsidR="003B48E7">
        <w:t>them</w:t>
      </w:r>
      <w:r w:rsidR="003E39CD">
        <w:t>.</w:t>
      </w:r>
    </w:p>
    <w:p w14:paraId="41DC6803" w14:textId="77E5A5A0" w:rsidR="00F3016B" w:rsidRDefault="00F3016B" w:rsidP="0054416A">
      <w:pPr>
        <w:pStyle w:val="Normalnumbered"/>
        <w:numPr>
          <w:ilvl w:val="1"/>
          <w:numId w:val="7"/>
        </w:numPr>
        <w:ind w:left="0" w:firstLine="0"/>
      </w:pPr>
      <w:r>
        <w:t>The Committee appreciated the progress</w:t>
      </w:r>
      <w:r w:rsidR="00D079A9">
        <w:t xml:space="preserve"> and the conclusion of the action </w:t>
      </w:r>
      <w:proofErr w:type="gramStart"/>
      <w:r w:rsidR="00D079A9">
        <w:t>plan,</w:t>
      </w:r>
      <w:r>
        <w:t xml:space="preserve"> and</w:t>
      </w:r>
      <w:proofErr w:type="gramEnd"/>
      <w:r>
        <w:t xml:space="preserve"> highlighted the need for the risk register and the risk management dashboards to be utilized by a critical mass within the organization, to be actively monitored and to avoid becoming a static tool.</w:t>
      </w:r>
    </w:p>
    <w:p w14:paraId="3F8F069E" w14:textId="2360D8A5" w:rsidR="00F3016B" w:rsidRDefault="003B48E7" w:rsidP="003A7AC8">
      <w:pPr>
        <w:pStyle w:val="Normalnumbered"/>
        <w:numPr>
          <w:ilvl w:val="1"/>
          <w:numId w:val="7"/>
        </w:numPr>
        <w:ind w:left="0" w:firstLine="0"/>
      </w:pPr>
      <w:r>
        <w:t>The Committee also noted the</w:t>
      </w:r>
      <w:r w:rsidRPr="003B48E7">
        <w:t xml:space="preserve"> development of the ITU Compliance Dashboard</w:t>
      </w:r>
      <w:r w:rsidR="005151C7">
        <w:t>. IMAC</w:t>
      </w:r>
      <w:r w:rsidR="00BE2C2C">
        <w:t xml:space="preserve"> </w:t>
      </w:r>
      <w:r w:rsidR="00F3016B">
        <w:t>appreciat</w:t>
      </w:r>
      <w:r w:rsidR="005151C7">
        <w:t>ed the development of the tool</w:t>
      </w:r>
      <w:r w:rsidR="00F3016B">
        <w:t xml:space="preserve"> and highlight</w:t>
      </w:r>
      <w:r w:rsidR="007C2847">
        <w:t xml:space="preserve">ed </w:t>
      </w:r>
      <w:r w:rsidR="00F3016B">
        <w:t>the importance to have clear ownership and buy-in from all managers to make this an actionable tool.</w:t>
      </w:r>
      <w:r w:rsidR="005151C7">
        <w:t xml:space="preserve"> The Committee suggested to </w:t>
      </w:r>
      <w:proofErr w:type="gramStart"/>
      <w:r w:rsidR="001A2669">
        <w:t>make an assessment of</w:t>
      </w:r>
      <w:proofErr w:type="gramEnd"/>
      <w:r w:rsidR="001A2669">
        <w:t xml:space="preserve"> the use of the tool in a </w:t>
      </w:r>
      <w:r w:rsidR="007C2847">
        <w:t>year’s time</w:t>
      </w:r>
      <w:r w:rsidR="001A2669">
        <w:t>.</w:t>
      </w:r>
    </w:p>
    <w:p w14:paraId="5E7CF299" w14:textId="0B2F9FF9" w:rsidR="00B45C87" w:rsidRPr="00B45C87" w:rsidRDefault="00B45C87" w:rsidP="001C429A">
      <w:pPr>
        <w:pStyle w:val="NumberedHeading"/>
        <w:numPr>
          <w:ilvl w:val="0"/>
          <w:numId w:val="4"/>
        </w:numPr>
        <w:spacing w:before="360"/>
        <w:ind w:left="357" w:hanging="357"/>
        <w:rPr>
          <w:rStyle w:val="Ohne"/>
          <w:caps/>
        </w:rPr>
      </w:pPr>
      <w:r>
        <w:rPr>
          <w:rStyle w:val="Ohne"/>
          <w:caps/>
        </w:rPr>
        <w:t xml:space="preserve">Project Implementation </w:t>
      </w:r>
      <w:r w:rsidR="00594D15">
        <w:rPr>
          <w:rStyle w:val="Ohne"/>
          <w:caps/>
        </w:rPr>
        <w:t xml:space="preserve">by </w:t>
      </w:r>
      <w:r w:rsidR="00A53F26">
        <w:rPr>
          <w:rStyle w:val="Ohne"/>
          <w:caps/>
        </w:rPr>
        <w:t xml:space="preserve">the </w:t>
      </w:r>
      <w:r w:rsidR="00594D15">
        <w:rPr>
          <w:rStyle w:val="Ohne"/>
          <w:caps/>
        </w:rPr>
        <w:t xml:space="preserve">Telecommunication </w:t>
      </w:r>
      <w:r w:rsidR="00A53F26">
        <w:rPr>
          <w:rStyle w:val="Ohne"/>
          <w:caps/>
        </w:rPr>
        <w:t xml:space="preserve">Development </w:t>
      </w:r>
      <w:r w:rsidR="00594D15">
        <w:rPr>
          <w:rStyle w:val="Ohne"/>
          <w:caps/>
        </w:rPr>
        <w:t>Bureau</w:t>
      </w:r>
    </w:p>
    <w:p w14:paraId="7A73B6F6" w14:textId="5F28CFE5" w:rsidR="00B45C87" w:rsidRDefault="00B45C87" w:rsidP="00B45C87">
      <w:pPr>
        <w:pStyle w:val="Normalnumbered"/>
        <w:numPr>
          <w:ilvl w:val="1"/>
          <w:numId w:val="7"/>
        </w:numPr>
        <w:ind w:left="0" w:firstLine="0"/>
      </w:pPr>
      <w:r>
        <w:t xml:space="preserve">IMAC received a detailed and comprehensive briefing on the establishment of more robust project management practices in the Development Sector, </w:t>
      </w:r>
      <w:proofErr w:type="gramStart"/>
      <w:r>
        <w:t>in particular with</w:t>
      </w:r>
      <w:proofErr w:type="gramEnd"/>
      <w:r>
        <w:t xml:space="preserve"> the establishment of the Project Management Board, the strengthening of the project management skills, and the improved control and monitoring mechanisms. </w:t>
      </w:r>
      <w:r w:rsidR="003810C7">
        <w:t xml:space="preserve">The Committee </w:t>
      </w:r>
      <w:r w:rsidR="00E71459">
        <w:t xml:space="preserve">had the opportunity to </w:t>
      </w:r>
      <w:r w:rsidR="00616D9D">
        <w:t xml:space="preserve">also </w:t>
      </w:r>
      <w:r w:rsidR="00E71459">
        <w:t xml:space="preserve">discuss some of </w:t>
      </w:r>
      <w:r>
        <w:t>the remaining challenges related to evaluation, project closure and application of the new procurement guidelines.</w:t>
      </w:r>
    </w:p>
    <w:p w14:paraId="443F0456" w14:textId="02D91B84" w:rsidR="00B45C87" w:rsidRDefault="00B45C87" w:rsidP="00DE36F4">
      <w:pPr>
        <w:pStyle w:val="Normalnumbered"/>
        <w:numPr>
          <w:ilvl w:val="1"/>
          <w:numId w:val="7"/>
        </w:numPr>
        <w:ind w:left="0" w:firstLine="0"/>
      </w:pPr>
      <w:r>
        <w:t xml:space="preserve">The Committee appreciated the efforts undertaken by the </w:t>
      </w:r>
      <w:r w:rsidR="0050505D">
        <w:t>s</w:t>
      </w:r>
      <w:r>
        <w:t xml:space="preserve">ecretariat and provided advice on overcoming some of the challenges. </w:t>
      </w:r>
      <w:proofErr w:type="gramStart"/>
      <w:r>
        <w:t>In particular, IMAC</w:t>
      </w:r>
      <w:proofErr w:type="gramEnd"/>
      <w:r>
        <w:t xml:space="preserve"> suggested for the cases of bigger projects to consider introducing assurance processes at the local implementation level, to provide additional </w:t>
      </w:r>
      <w:r>
        <w:lastRenderedPageBreak/>
        <w:t>checks and balances and report back on the quality and cost of the project. Similarly, the Committee highlighted the need for a comprehensive evaluation strategy,</w:t>
      </w:r>
      <w:r w:rsidR="00A9714C">
        <w:t xml:space="preserve"> which would also then need to become an organization-wide initiative, and which would enable the organization to learn from </w:t>
      </w:r>
      <w:proofErr w:type="gramStart"/>
      <w:r w:rsidR="00A9714C">
        <w:t>past experience</w:t>
      </w:r>
      <w:proofErr w:type="gramEnd"/>
      <w:r w:rsidR="00A9714C">
        <w:t xml:space="preserve"> and reassure the donors on the impact of the funded projects. Such undertakings could be incorporated and be part of the project financial envelopes.</w:t>
      </w:r>
    </w:p>
    <w:p w14:paraId="2158D4F6" w14:textId="7B61A09C" w:rsidR="00B45C87" w:rsidRPr="00674AA7" w:rsidRDefault="00674AA7" w:rsidP="001C429A">
      <w:pPr>
        <w:pStyle w:val="NumberedHeading"/>
        <w:numPr>
          <w:ilvl w:val="0"/>
          <w:numId w:val="4"/>
        </w:numPr>
        <w:spacing w:before="360"/>
        <w:ind w:left="357" w:hanging="357"/>
        <w:rPr>
          <w:rStyle w:val="Ohne"/>
          <w:caps/>
        </w:rPr>
      </w:pPr>
      <w:r w:rsidRPr="00674AA7">
        <w:rPr>
          <w:rStyle w:val="Ohne"/>
          <w:caps/>
        </w:rPr>
        <w:t>Evaluation Function</w:t>
      </w:r>
    </w:p>
    <w:p w14:paraId="51DD9F70" w14:textId="4CD0ED69" w:rsidR="00C976B6" w:rsidRDefault="00255B85" w:rsidP="003D7307">
      <w:pPr>
        <w:pStyle w:val="Normalnumbered"/>
        <w:numPr>
          <w:ilvl w:val="1"/>
          <w:numId w:val="7"/>
        </w:numPr>
        <w:ind w:left="0" w:firstLine="0"/>
      </w:pPr>
      <w:r>
        <w:t xml:space="preserve">The Committee </w:t>
      </w:r>
      <w:r w:rsidR="004800A0">
        <w:t xml:space="preserve">reviewed </w:t>
      </w:r>
      <w:r w:rsidR="00153153">
        <w:t xml:space="preserve">the </w:t>
      </w:r>
      <w:r w:rsidR="003E74DB">
        <w:t>previous development</w:t>
      </w:r>
      <w:r w:rsidR="005642F2">
        <w:t>s</w:t>
      </w:r>
      <w:r w:rsidR="00B91751">
        <w:t xml:space="preserve"> and the drafting</w:t>
      </w:r>
      <w:r w:rsidR="003E74DB">
        <w:t xml:space="preserve"> of the </w:t>
      </w:r>
      <w:r w:rsidR="00DA0008">
        <w:t xml:space="preserve">evaluation </w:t>
      </w:r>
      <w:r w:rsidR="002A3F71">
        <w:t>policy and guidelines</w:t>
      </w:r>
      <w:r w:rsidR="00DA0008">
        <w:t xml:space="preserve"> </w:t>
      </w:r>
      <w:r w:rsidR="003E74DB">
        <w:t>in 2017</w:t>
      </w:r>
      <w:r w:rsidR="004D03B0">
        <w:t xml:space="preserve">, the progress and the </w:t>
      </w:r>
      <w:proofErr w:type="gramStart"/>
      <w:r w:rsidR="00B91751">
        <w:t xml:space="preserve">current </w:t>
      </w:r>
      <w:r w:rsidR="0058253A">
        <w:t>status</w:t>
      </w:r>
      <w:proofErr w:type="gramEnd"/>
      <w:r w:rsidR="00DA0008">
        <w:t xml:space="preserve"> of evaluation in </w:t>
      </w:r>
      <w:r w:rsidR="0058253A">
        <w:t>the organization</w:t>
      </w:r>
      <w:r w:rsidR="004D03B0">
        <w:t>.</w:t>
      </w:r>
    </w:p>
    <w:p w14:paraId="5210D161" w14:textId="5F064BAF" w:rsidR="004727EA" w:rsidRDefault="00BC0E48" w:rsidP="004727EA">
      <w:pPr>
        <w:pStyle w:val="Normalnumbered"/>
        <w:numPr>
          <w:ilvl w:val="1"/>
          <w:numId w:val="7"/>
        </w:numPr>
        <w:ind w:left="0" w:firstLine="0"/>
      </w:pPr>
      <w:r>
        <w:t>As</w:t>
      </w:r>
      <w:r w:rsidR="00A21E0C">
        <w:t xml:space="preserve"> also</w:t>
      </w:r>
      <w:r>
        <w:t xml:space="preserve"> highlighted in the previous section, </w:t>
      </w:r>
      <w:r w:rsidR="00C976B6">
        <w:t xml:space="preserve">IMAC wishes to reiterate the importance of </w:t>
      </w:r>
      <w:r w:rsidR="00253BE0">
        <w:t xml:space="preserve">evaluation </w:t>
      </w:r>
      <w:r w:rsidR="00370067">
        <w:t>and the need for the organization to pursue it in a more focused way,</w:t>
      </w:r>
      <w:r w:rsidR="0052163C">
        <w:t xml:space="preserve"> strengthening the</w:t>
      </w:r>
      <w:r w:rsidR="00370067">
        <w:t xml:space="preserve"> </w:t>
      </w:r>
      <w:r w:rsidR="0052163C">
        <w:t xml:space="preserve">evaluation </w:t>
      </w:r>
      <w:r w:rsidR="00253BE0">
        <w:t>culture</w:t>
      </w:r>
      <w:r w:rsidR="00BD5628">
        <w:t xml:space="preserve"> </w:t>
      </w:r>
      <w:r>
        <w:t>across</w:t>
      </w:r>
      <w:r w:rsidR="00B008C1">
        <w:t xml:space="preserve"> the organization, </w:t>
      </w:r>
      <w:r w:rsidR="0052163C">
        <w:t xml:space="preserve">with </w:t>
      </w:r>
      <w:r w:rsidR="00253BE0">
        <w:t xml:space="preserve">tone from the top, </w:t>
      </w:r>
      <w:r w:rsidR="006D68BE">
        <w:t>and gradually</w:t>
      </w:r>
      <w:r w:rsidR="0052163C">
        <w:t xml:space="preserve"> </w:t>
      </w:r>
      <w:r w:rsidR="006D68BE">
        <w:t>mak</w:t>
      </w:r>
      <w:r w:rsidR="00F901B7">
        <w:t>ing</w:t>
      </w:r>
      <w:r w:rsidR="006D68BE">
        <w:t xml:space="preserve"> evaluation part of every major </w:t>
      </w:r>
      <w:r w:rsidR="00504632">
        <w:t>initiative</w:t>
      </w:r>
      <w:r w:rsidR="00A21E0C">
        <w:t xml:space="preserve"> and project</w:t>
      </w:r>
      <w:r w:rsidR="000D6EB6">
        <w:t>.</w:t>
      </w:r>
    </w:p>
    <w:p w14:paraId="71F4E6FB" w14:textId="0CD3FF08" w:rsidR="004F5C8A" w:rsidRPr="004F5C8A" w:rsidRDefault="004F5C8A" w:rsidP="001C429A">
      <w:pPr>
        <w:pStyle w:val="NumberedHeading"/>
        <w:numPr>
          <w:ilvl w:val="0"/>
          <w:numId w:val="4"/>
        </w:numPr>
        <w:spacing w:before="360"/>
        <w:ind w:left="357" w:hanging="357"/>
        <w:rPr>
          <w:rStyle w:val="Ohne"/>
          <w:caps/>
        </w:rPr>
      </w:pPr>
      <w:r>
        <w:rPr>
          <w:rStyle w:val="Ohne"/>
          <w:caps/>
        </w:rPr>
        <w:t>Working as One ITU</w:t>
      </w:r>
    </w:p>
    <w:p w14:paraId="0684D289" w14:textId="0C91D119" w:rsidR="00AB7928" w:rsidRPr="00AB7928" w:rsidRDefault="004F5C8A" w:rsidP="004F5C8A">
      <w:pPr>
        <w:pStyle w:val="Normalnumbered"/>
        <w:numPr>
          <w:ilvl w:val="1"/>
          <w:numId w:val="7"/>
        </w:numPr>
        <w:ind w:left="0" w:firstLine="0"/>
      </w:pPr>
      <w:r w:rsidRPr="00AB7928">
        <w:t>As highlighted in its</w:t>
      </w:r>
      <w:r w:rsidR="0009423D">
        <w:t xml:space="preserve"> </w:t>
      </w:r>
      <w:r w:rsidR="0009423D" w:rsidRPr="00BB4C01">
        <w:t>9th</w:t>
      </w:r>
      <w:r w:rsidR="0009423D">
        <w:t xml:space="preserve"> </w:t>
      </w:r>
      <w:r w:rsidRPr="00AB7928">
        <w:t xml:space="preserve">Annual Report to Council 2020, IMAC will </w:t>
      </w:r>
      <w:r w:rsidR="00AB7928" w:rsidRPr="00AB7928">
        <w:t>continue to</w:t>
      </w:r>
      <w:r w:rsidRPr="00AB7928">
        <w:t xml:space="preserve"> follow up on the concept of “One ITU”, </w:t>
      </w:r>
      <w:proofErr w:type="gramStart"/>
      <w:r w:rsidRPr="00AB7928">
        <w:t>in order to</w:t>
      </w:r>
      <w:proofErr w:type="gramEnd"/>
      <w:r w:rsidRPr="00AB7928">
        <w:t xml:space="preserve"> provide any advice on enhancing the management processes in this direction</w:t>
      </w:r>
      <w:r w:rsidR="00AB7928" w:rsidRPr="00AB7928">
        <w:t>.</w:t>
      </w:r>
    </w:p>
    <w:p w14:paraId="3901D612" w14:textId="67CA9243" w:rsidR="00C82832" w:rsidRDefault="004F5C8A" w:rsidP="00C82832">
      <w:pPr>
        <w:pStyle w:val="Normalnumbered"/>
        <w:numPr>
          <w:ilvl w:val="1"/>
          <w:numId w:val="7"/>
        </w:numPr>
        <w:ind w:left="0" w:firstLine="0"/>
      </w:pPr>
      <w:r w:rsidRPr="00AB7928">
        <w:t>Overall, the Committee has taken note and appreciated initiatives that are organization-wide and contribute to that direction.</w:t>
      </w:r>
    </w:p>
    <w:p w14:paraId="302AA097" w14:textId="534D81A4" w:rsidR="008B760E" w:rsidRPr="008426D1" w:rsidRDefault="008B760E" w:rsidP="001C429A">
      <w:pPr>
        <w:pStyle w:val="NumberedHeading"/>
        <w:numPr>
          <w:ilvl w:val="0"/>
          <w:numId w:val="4"/>
        </w:numPr>
        <w:spacing w:before="360"/>
        <w:ind w:left="357" w:hanging="357"/>
        <w:rPr>
          <w:rStyle w:val="Ohne"/>
          <w:caps/>
        </w:rPr>
      </w:pPr>
      <w:r>
        <w:rPr>
          <w:rStyle w:val="Ohne"/>
          <w:caps/>
        </w:rPr>
        <w:t>Engagement with ITU Management</w:t>
      </w:r>
      <w:r w:rsidR="000F6D1B">
        <w:rPr>
          <w:rStyle w:val="Ohne"/>
          <w:caps/>
        </w:rPr>
        <w:t xml:space="preserve"> / Other Matters</w:t>
      </w:r>
    </w:p>
    <w:p w14:paraId="61298517" w14:textId="65FFCAC1" w:rsidR="008B760E" w:rsidRDefault="008B760E" w:rsidP="004B6150">
      <w:pPr>
        <w:pStyle w:val="Normalnumbered"/>
        <w:numPr>
          <w:ilvl w:val="1"/>
          <w:numId w:val="7"/>
        </w:numPr>
        <w:ind w:left="0" w:firstLine="0"/>
      </w:pPr>
      <w:r>
        <w:t xml:space="preserve">In accordance with its usual practice, IMAC </w:t>
      </w:r>
      <w:r w:rsidR="00B06275">
        <w:t>continued to engage</w:t>
      </w:r>
      <w:r>
        <w:t xml:space="preserve"> with the ITU Secretary-General on the Committee meeting’s deliberations and observations, including areas where management may need to pay particular attention.</w:t>
      </w:r>
      <w:r w:rsidR="00892B46">
        <w:t xml:space="preserve"> </w:t>
      </w:r>
      <w:r>
        <w:t xml:space="preserve">IMAC </w:t>
      </w:r>
      <w:r w:rsidR="002333FB">
        <w:t xml:space="preserve">notes the </w:t>
      </w:r>
      <w:r>
        <w:t>open and fruitful discussion</w:t>
      </w:r>
      <w:r w:rsidR="002333FB">
        <w:t>s</w:t>
      </w:r>
      <w:r>
        <w:t xml:space="preserve"> with the Secretary-General, and highly appreciate</w:t>
      </w:r>
      <w:r w:rsidR="002333FB">
        <w:t>s</w:t>
      </w:r>
      <w:r>
        <w:t xml:space="preserve"> his engagement, commitment and reaction to the issues raised by the Committee.</w:t>
      </w:r>
    </w:p>
    <w:p w14:paraId="7336E91E" w14:textId="04477CF8" w:rsidR="0007416D" w:rsidRDefault="008B760E" w:rsidP="00C82832">
      <w:pPr>
        <w:pStyle w:val="Normalnumbered"/>
        <w:numPr>
          <w:ilvl w:val="1"/>
          <w:numId w:val="7"/>
        </w:numPr>
        <w:ind w:left="0" w:firstLine="0"/>
      </w:pPr>
      <w:r w:rsidRPr="00104ACA">
        <w:t xml:space="preserve">IMAC members wish to express their continuing appreciation </w:t>
      </w:r>
      <w:r w:rsidR="00892B46">
        <w:t xml:space="preserve">to </w:t>
      </w:r>
      <w:r w:rsidRPr="00104ACA">
        <w:t>the Deputy Secretary-General, the Directors of the Bureaux and the ITU officials for their support, cooperation</w:t>
      </w:r>
      <w:r w:rsidR="00FF4CBF">
        <w:t>,</w:t>
      </w:r>
      <w:r w:rsidRPr="00104ACA">
        <w:t xml:space="preserve"> and positive attitude in supporting the effective functioning of the Committee. In particular</w:t>
      </w:r>
      <w:r w:rsidR="00FF4CBF">
        <w:t>,</w:t>
      </w:r>
      <w:r w:rsidRPr="00104ACA">
        <w:t xml:space="preserve"> the Committee is appreciative </w:t>
      </w:r>
      <w:r w:rsidR="009C7F92">
        <w:t xml:space="preserve">of the commendable secretariat support and </w:t>
      </w:r>
      <w:r w:rsidRPr="00104ACA">
        <w:t xml:space="preserve">the teleconference and video facilitation and support provided for </w:t>
      </w:r>
      <w:r>
        <w:t>its virtual meetings</w:t>
      </w:r>
      <w:r w:rsidR="00EB536C">
        <w:t xml:space="preserve"> during the COVID-19 pandemic period</w:t>
      </w:r>
      <w:r w:rsidRPr="00104ACA">
        <w:t>.</w:t>
      </w:r>
    </w:p>
    <w:p w14:paraId="216AD486" w14:textId="45F3751E" w:rsidR="001F3EC4" w:rsidRDefault="0049201B" w:rsidP="001F3EC4">
      <w:pPr>
        <w:pStyle w:val="Normalnumbered"/>
        <w:numPr>
          <w:ilvl w:val="1"/>
          <w:numId w:val="7"/>
        </w:numPr>
        <w:ind w:left="0" w:firstLine="0"/>
      </w:pPr>
      <w:r>
        <w:t xml:space="preserve">The Committee wish to also express </w:t>
      </w:r>
      <w:r w:rsidR="00567095">
        <w:t>their appreciat</w:t>
      </w:r>
      <w:r w:rsidR="008E0123">
        <w:t>ion</w:t>
      </w:r>
      <w:r w:rsidR="00567095">
        <w:t xml:space="preserve"> </w:t>
      </w:r>
      <w:r w:rsidR="001F3EC4" w:rsidRPr="00104ACA">
        <w:t xml:space="preserve">to </w:t>
      </w:r>
      <w:r w:rsidR="008C16C7">
        <w:t xml:space="preserve">the </w:t>
      </w:r>
      <w:r w:rsidR="001969DC">
        <w:t xml:space="preserve">Member States and the </w:t>
      </w:r>
      <w:r w:rsidR="008C16C7">
        <w:t xml:space="preserve">Council </w:t>
      </w:r>
      <w:r w:rsidR="00B951CC">
        <w:t xml:space="preserve">for entrusting </w:t>
      </w:r>
      <w:r w:rsidR="002E6282">
        <w:t>IMAC</w:t>
      </w:r>
      <w:r w:rsidR="001C27D8">
        <w:t xml:space="preserve"> members</w:t>
      </w:r>
      <w:r w:rsidR="00B951CC">
        <w:t xml:space="preserve"> </w:t>
      </w:r>
      <w:r w:rsidR="000F2DB9">
        <w:t xml:space="preserve">with </w:t>
      </w:r>
      <w:r w:rsidR="00A4213C">
        <w:t>these important</w:t>
      </w:r>
      <w:r w:rsidR="001C27D8">
        <w:t xml:space="preserve"> </w:t>
      </w:r>
      <w:r w:rsidR="008E6DCA">
        <w:t>responsibilities.</w:t>
      </w:r>
    </w:p>
    <w:p w14:paraId="6F8DC05C" w14:textId="669D77BA" w:rsidR="008426D1" w:rsidRPr="0054416A" w:rsidRDefault="001F3EC4" w:rsidP="0054416A">
      <w:pPr>
        <w:pStyle w:val="Normalnumbered"/>
        <w:numPr>
          <w:ilvl w:val="1"/>
          <w:numId w:val="7"/>
        </w:numPr>
        <w:ind w:left="0" w:firstLine="0"/>
      </w:pPr>
      <w:r w:rsidRPr="00104ACA">
        <w:t xml:space="preserve">IMAC’s membership, responsibilities, terms of reference and reports are available on the IMAC area of ITU’s public website: </w:t>
      </w:r>
      <w:hyperlink r:id="rId25" w:history="1">
        <w:r w:rsidRPr="00104ACA">
          <w:rPr>
            <w:rStyle w:val="Hyperlink"/>
          </w:rPr>
          <w:t>http://www.itu.int/imac</w:t>
        </w:r>
      </w:hyperlink>
    </w:p>
    <w:p w14:paraId="422E69AA" w14:textId="77777777" w:rsidR="00774DFB" w:rsidRDefault="00774DFB" w:rsidP="004F1EE3">
      <w:pPr>
        <w:pStyle w:val="TextA"/>
        <w:tabs>
          <w:tab w:val="clear" w:pos="567"/>
          <w:tab w:val="clear" w:pos="1134"/>
          <w:tab w:val="clear" w:pos="1701"/>
          <w:tab w:val="clear" w:pos="2268"/>
          <w:tab w:val="clear" w:pos="2835"/>
        </w:tabs>
        <w:spacing w:before="0"/>
        <w:sectPr w:rsidR="00774DFB">
          <w:headerReference w:type="default" r:id="rId26"/>
          <w:footerReference w:type="default" r:id="rId27"/>
          <w:footerReference w:type="first" r:id="rId28"/>
          <w:pgSz w:w="11900" w:h="16840"/>
          <w:pgMar w:top="1361" w:right="1134" w:bottom="1361" w:left="1134" w:header="720" w:footer="720" w:gutter="0"/>
          <w:cols w:space="720"/>
          <w:titlePg/>
        </w:sectPr>
      </w:pPr>
    </w:p>
    <w:p w14:paraId="422E69AB" w14:textId="0D30C657" w:rsidR="004F1EE3" w:rsidRDefault="004F1EE3" w:rsidP="004F1EE3">
      <w:pPr>
        <w:pStyle w:val="NumberedHeading"/>
        <w:spacing w:before="0" w:after="120"/>
        <w:jc w:val="center"/>
        <w:outlineLvl w:val="0"/>
        <w:rPr>
          <w:rStyle w:val="Ohne"/>
          <w:shd w:val="clear" w:color="auto" w:fill="00FFFF"/>
        </w:rPr>
      </w:pPr>
      <w:r>
        <w:lastRenderedPageBreak/>
        <w:t>ANNEX 1: IMPLEMENTATION OF IMAC RECOMMENDATIONS</w:t>
      </w:r>
    </w:p>
    <w:p w14:paraId="711FD3B6" w14:textId="365F4BC2" w:rsidR="00D74F04" w:rsidRDefault="007F0A60" w:rsidP="006B1841">
      <w:pPr>
        <w:pStyle w:val="TextA"/>
        <w:spacing w:before="0"/>
        <w:jc w:val="center"/>
        <w:rPr>
          <w:noProof/>
          <w:sz w:val="14"/>
          <w:szCs w:val="14"/>
        </w:rPr>
      </w:pPr>
      <w:r>
        <w:rPr>
          <w:noProof/>
        </w:rPr>
        <w:drawing>
          <wp:inline distT="0" distB="0" distL="0" distR="0" wp14:anchorId="1BB12BFD" wp14:editId="441B1D5F">
            <wp:extent cx="8888730" cy="4969510"/>
            <wp:effectExtent l="0" t="0" r="762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8888730" cy="4969510"/>
                    </a:xfrm>
                    <a:prstGeom prst="rect">
                      <a:avLst/>
                    </a:prstGeom>
                  </pic:spPr>
                </pic:pic>
              </a:graphicData>
            </a:graphic>
          </wp:inline>
        </w:drawing>
      </w:r>
    </w:p>
    <w:p w14:paraId="00EA1AB0" w14:textId="21B90925" w:rsidR="0074793E" w:rsidRDefault="0074793E">
      <w:pPr>
        <w:rPr>
          <w:rFonts w:ascii="Calibri" w:eastAsia="Calibri" w:hAnsi="Calibri" w:cs="Calibri"/>
          <w:noProof/>
          <w:color w:val="000000"/>
          <w:sz w:val="14"/>
          <w:szCs w:val="14"/>
          <w:u w:color="000000"/>
          <w:bdr w:val="nil"/>
          <w:lang w:eastAsia="zh-CN"/>
        </w:rPr>
      </w:pPr>
      <w:r>
        <w:rPr>
          <w:noProof/>
          <w:sz w:val="14"/>
          <w:szCs w:val="14"/>
        </w:rPr>
        <w:br w:type="page"/>
      </w:r>
    </w:p>
    <w:p w14:paraId="07384EB1" w14:textId="22B26FDF" w:rsidR="00BD0EDD" w:rsidRPr="000D7DBD" w:rsidRDefault="000D7DBD" w:rsidP="000D7DBD">
      <w:pPr>
        <w:pStyle w:val="NumberedHeading"/>
        <w:spacing w:before="240"/>
        <w:rPr>
          <w:rStyle w:val="Ohne"/>
          <w:caps/>
        </w:rPr>
      </w:pPr>
      <w:r w:rsidRPr="000D7DBD">
        <w:rPr>
          <w:rStyle w:val="Ohne"/>
          <w:caps/>
        </w:rPr>
        <w:lastRenderedPageBreak/>
        <w:t>Status of Open IMAC Recommendations</w:t>
      </w:r>
    </w:p>
    <w:tbl>
      <w:tblPr>
        <w:tblW w:w="14175" w:type="dxa"/>
        <w:tblCellMar>
          <w:left w:w="0" w:type="dxa"/>
          <w:right w:w="0" w:type="dxa"/>
        </w:tblCellMar>
        <w:tblLook w:val="04A0" w:firstRow="1" w:lastRow="0" w:firstColumn="1" w:lastColumn="0" w:noHBand="0" w:noVBand="1"/>
      </w:tblPr>
      <w:tblGrid>
        <w:gridCol w:w="851"/>
        <w:gridCol w:w="3685"/>
        <w:gridCol w:w="851"/>
        <w:gridCol w:w="7371"/>
        <w:gridCol w:w="703"/>
        <w:gridCol w:w="714"/>
      </w:tblGrid>
      <w:tr w:rsidR="0074793E" w:rsidRPr="00271631" w14:paraId="46183C6F" w14:textId="77777777" w:rsidTr="00D240C1">
        <w:trPr>
          <w:trHeight w:val="265"/>
        </w:trPr>
        <w:tc>
          <w:tcPr>
            <w:tcW w:w="851" w:type="dxa"/>
            <w:tcBorders>
              <w:top w:val="nil"/>
              <w:left w:val="nil"/>
              <w:bottom w:val="single" w:sz="12" w:space="0" w:color="8EAADB"/>
              <w:right w:val="nil"/>
            </w:tcBorders>
            <w:shd w:val="clear" w:color="auto" w:fill="FFFFFF"/>
            <w:noWrap/>
            <w:tcMar>
              <w:top w:w="0" w:type="dxa"/>
              <w:left w:w="108" w:type="dxa"/>
              <w:bottom w:w="0" w:type="dxa"/>
              <w:right w:w="108" w:type="dxa"/>
            </w:tcMar>
            <w:vAlign w:val="center"/>
            <w:hideMark/>
          </w:tcPr>
          <w:p w14:paraId="60FC0E76" w14:textId="77777777" w:rsidR="00BD0EDD" w:rsidRPr="00271631" w:rsidRDefault="00BD0EDD">
            <w:pPr>
              <w:jc w:val="center"/>
              <w:rPr>
                <w:rFonts w:asciiTheme="minorHAnsi" w:hAnsiTheme="minorHAnsi" w:cstheme="minorHAnsi"/>
                <w:sz w:val="22"/>
                <w:szCs w:val="22"/>
              </w:rPr>
            </w:pPr>
            <w:r w:rsidRPr="00271631">
              <w:rPr>
                <w:rFonts w:asciiTheme="minorHAnsi" w:hAnsiTheme="minorHAnsi" w:cstheme="minorHAnsi"/>
                <w:b/>
                <w:bCs/>
                <w:sz w:val="18"/>
                <w:szCs w:val="18"/>
                <w:lang w:val="en-GB"/>
              </w:rPr>
              <w:t>Rec. ID</w:t>
            </w:r>
          </w:p>
        </w:tc>
        <w:tc>
          <w:tcPr>
            <w:tcW w:w="3685" w:type="dxa"/>
            <w:tcBorders>
              <w:top w:val="nil"/>
              <w:left w:val="nil"/>
              <w:bottom w:val="single" w:sz="12" w:space="0" w:color="8EAADB"/>
              <w:right w:val="nil"/>
            </w:tcBorders>
            <w:shd w:val="clear" w:color="auto" w:fill="FFFFFF"/>
            <w:noWrap/>
            <w:tcMar>
              <w:top w:w="0" w:type="dxa"/>
              <w:left w:w="108" w:type="dxa"/>
              <w:bottom w:w="0" w:type="dxa"/>
              <w:right w:w="108" w:type="dxa"/>
            </w:tcMar>
            <w:vAlign w:val="center"/>
            <w:hideMark/>
          </w:tcPr>
          <w:p w14:paraId="40C3B20A" w14:textId="77777777" w:rsidR="00BD0EDD" w:rsidRPr="00271631" w:rsidRDefault="00BD0EDD">
            <w:pPr>
              <w:jc w:val="center"/>
              <w:rPr>
                <w:rFonts w:asciiTheme="minorHAnsi" w:hAnsiTheme="minorHAnsi" w:cstheme="minorHAnsi"/>
              </w:rPr>
            </w:pPr>
            <w:r w:rsidRPr="00271631">
              <w:rPr>
                <w:rFonts w:asciiTheme="minorHAnsi" w:hAnsiTheme="minorHAnsi" w:cstheme="minorHAnsi"/>
                <w:b/>
                <w:bCs/>
                <w:color w:val="000000"/>
                <w:sz w:val="18"/>
                <w:szCs w:val="18"/>
                <w:lang w:val="en-GB"/>
              </w:rPr>
              <w:t>Recommendation</w:t>
            </w:r>
          </w:p>
        </w:tc>
        <w:tc>
          <w:tcPr>
            <w:tcW w:w="851" w:type="dxa"/>
            <w:tcBorders>
              <w:top w:val="nil"/>
              <w:left w:val="nil"/>
              <w:bottom w:val="single" w:sz="12" w:space="0" w:color="8EAADB"/>
              <w:right w:val="nil"/>
            </w:tcBorders>
            <w:shd w:val="clear" w:color="auto" w:fill="FFFFFF"/>
            <w:noWrap/>
            <w:tcMar>
              <w:top w:w="0" w:type="dxa"/>
              <w:left w:w="108" w:type="dxa"/>
              <w:bottom w:w="0" w:type="dxa"/>
              <w:right w:w="108" w:type="dxa"/>
            </w:tcMar>
            <w:vAlign w:val="center"/>
            <w:hideMark/>
          </w:tcPr>
          <w:p w14:paraId="2E91F610" w14:textId="77777777" w:rsidR="00BD0EDD" w:rsidRPr="00271631" w:rsidRDefault="00BD0EDD">
            <w:pPr>
              <w:jc w:val="center"/>
              <w:rPr>
                <w:rFonts w:asciiTheme="minorHAnsi" w:hAnsiTheme="minorHAnsi" w:cstheme="minorHAnsi"/>
              </w:rPr>
            </w:pPr>
            <w:r w:rsidRPr="00271631">
              <w:rPr>
                <w:rFonts w:asciiTheme="minorHAnsi" w:hAnsiTheme="minorHAnsi" w:cstheme="minorHAnsi"/>
                <w:b/>
                <w:bCs/>
                <w:color w:val="000000"/>
                <w:sz w:val="18"/>
                <w:szCs w:val="18"/>
                <w:lang w:val="en-GB"/>
              </w:rPr>
              <w:t>Status</w:t>
            </w:r>
          </w:p>
        </w:tc>
        <w:tc>
          <w:tcPr>
            <w:tcW w:w="7371" w:type="dxa"/>
            <w:tcBorders>
              <w:top w:val="nil"/>
              <w:left w:val="nil"/>
              <w:bottom w:val="single" w:sz="12" w:space="0" w:color="8EAADB"/>
              <w:right w:val="nil"/>
            </w:tcBorders>
            <w:shd w:val="clear" w:color="auto" w:fill="FFFFFF"/>
            <w:noWrap/>
            <w:tcMar>
              <w:top w:w="0" w:type="dxa"/>
              <w:left w:w="108" w:type="dxa"/>
              <w:bottom w:w="0" w:type="dxa"/>
              <w:right w:w="108" w:type="dxa"/>
            </w:tcMar>
            <w:vAlign w:val="center"/>
            <w:hideMark/>
          </w:tcPr>
          <w:p w14:paraId="309981C8" w14:textId="77777777" w:rsidR="00BD0EDD" w:rsidRPr="00271631" w:rsidRDefault="00BD0EDD">
            <w:pPr>
              <w:jc w:val="center"/>
              <w:rPr>
                <w:rFonts w:asciiTheme="minorHAnsi" w:hAnsiTheme="minorHAnsi" w:cstheme="minorHAnsi"/>
              </w:rPr>
            </w:pPr>
            <w:r w:rsidRPr="00271631">
              <w:rPr>
                <w:rFonts w:asciiTheme="minorHAnsi" w:hAnsiTheme="minorHAnsi" w:cstheme="minorHAnsi"/>
                <w:b/>
                <w:bCs/>
                <w:color w:val="000000"/>
                <w:sz w:val="18"/>
                <w:szCs w:val="18"/>
                <w:lang w:val="en-GB"/>
              </w:rPr>
              <w:t>Actions Taken by management</w:t>
            </w:r>
          </w:p>
        </w:tc>
        <w:tc>
          <w:tcPr>
            <w:tcW w:w="703" w:type="dxa"/>
            <w:tcBorders>
              <w:top w:val="nil"/>
              <w:left w:val="nil"/>
              <w:bottom w:val="single" w:sz="12" w:space="0" w:color="8EAADB"/>
              <w:right w:val="nil"/>
            </w:tcBorders>
            <w:shd w:val="clear" w:color="auto" w:fill="FFFFFF"/>
            <w:noWrap/>
            <w:tcMar>
              <w:top w:w="0" w:type="dxa"/>
              <w:left w:w="108" w:type="dxa"/>
              <w:bottom w:w="0" w:type="dxa"/>
              <w:right w:w="108" w:type="dxa"/>
            </w:tcMar>
            <w:vAlign w:val="center"/>
            <w:hideMark/>
          </w:tcPr>
          <w:p w14:paraId="0C149174" w14:textId="77777777" w:rsidR="00BD0EDD" w:rsidRPr="00271631" w:rsidRDefault="00BD0EDD">
            <w:pPr>
              <w:jc w:val="center"/>
              <w:rPr>
                <w:rFonts w:asciiTheme="minorHAnsi" w:hAnsiTheme="minorHAnsi" w:cstheme="minorHAnsi"/>
              </w:rPr>
            </w:pPr>
            <w:r w:rsidRPr="00271631">
              <w:rPr>
                <w:rFonts w:asciiTheme="minorHAnsi" w:hAnsiTheme="minorHAnsi" w:cstheme="minorHAnsi"/>
                <w:b/>
                <w:bCs/>
                <w:color w:val="000000"/>
                <w:sz w:val="18"/>
                <w:szCs w:val="18"/>
                <w:lang w:val="en-GB"/>
              </w:rPr>
              <w:t>Dept.</w:t>
            </w:r>
          </w:p>
        </w:tc>
        <w:tc>
          <w:tcPr>
            <w:tcW w:w="714" w:type="dxa"/>
            <w:tcBorders>
              <w:top w:val="nil"/>
              <w:left w:val="nil"/>
              <w:bottom w:val="single" w:sz="12" w:space="0" w:color="8EAADB"/>
              <w:right w:val="nil"/>
            </w:tcBorders>
            <w:shd w:val="clear" w:color="auto" w:fill="FFFFFF"/>
            <w:noWrap/>
            <w:tcMar>
              <w:top w:w="0" w:type="dxa"/>
              <w:left w:w="108" w:type="dxa"/>
              <w:bottom w:w="0" w:type="dxa"/>
              <w:right w:w="108" w:type="dxa"/>
            </w:tcMar>
            <w:vAlign w:val="center"/>
            <w:hideMark/>
          </w:tcPr>
          <w:p w14:paraId="0C1CC0AC" w14:textId="77777777" w:rsidR="00BD0EDD" w:rsidRPr="00271631" w:rsidRDefault="00BD0EDD">
            <w:pPr>
              <w:jc w:val="center"/>
              <w:rPr>
                <w:rFonts w:asciiTheme="minorHAnsi" w:hAnsiTheme="minorHAnsi" w:cstheme="minorHAnsi"/>
              </w:rPr>
            </w:pPr>
            <w:r w:rsidRPr="00271631">
              <w:rPr>
                <w:rFonts w:asciiTheme="minorHAnsi" w:hAnsiTheme="minorHAnsi" w:cstheme="minorHAnsi"/>
                <w:b/>
                <w:bCs/>
                <w:color w:val="000000"/>
                <w:sz w:val="18"/>
                <w:szCs w:val="18"/>
                <w:lang w:val="en-GB"/>
              </w:rPr>
              <w:t>Rec. Date</w:t>
            </w:r>
          </w:p>
        </w:tc>
      </w:tr>
      <w:tr w:rsidR="0074793E" w:rsidRPr="00271631" w14:paraId="21D5230D" w14:textId="77777777" w:rsidTr="000D6984">
        <w:trPr>
          <w:trHeight w:val="1431"/>
        </w:trPr>
        <w:tc>
          <w:tcPr>
            <w:tcW w:w="851" w:type="dxa"/>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hideMark/>
          </w:tcPr>
          <w:p w14:paraId="2AD33FC6" w14:textId="77777777" w:rsidR="00BD0EDD" w:rsidRPr="00271631" w:rsidRDefault="00BD0EDD">
            <w:pPr>
              <w:rPr>
                <w:rFonts w:asciiTheme="minorHAnsi" w:hAnsiTheme="minorHAnsi" w:cstheme="minorHAnsi"/>
              </w:rPr>
            </w:pPr>
            <w:r w:rsidRPr="00271631">
              <w:rPr>
                <w:rFonts w:asciiTheme="minorHAnsi" w:hAnsiTheme="minorHAnsi" w:cstheme="minorHAnsi"/>
                <w:b/>
                <w:bCs/>
                <w:color w:val="000000"/>
                <w:sz w:val="18"/>
                <w:szCs w:val="18"/>
                <w:lang w:val="en-GB"/>
              </w:rPr>
              <w:t>IMAC 2013/6</w:t>
            </w:r>
          </w:p>
        </w:tc>
        <w:tc>
          <w:tcPr>
            <w:tcW w:w="368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0542536B" w14:textId="77777777"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IMAC recommends that ITU consider imposing and enforcing a clear and well understood timeframe for the negotiation and signature of Host Country Agreements (HCAs) for its regional and Area offices, beyond which alternative measures should be considered.</w:t>
            </w:r>
          </w:p>
        </w:tc>
        <w:tc>
          <w:tcPr>
            <w:tcW w:w="851" w:type="dxa"/>
            <w:tcBorders>
              <w:top w:val="nil"/>
              <w:left w:val="nil"/>
              <w:bottom w:val="single" w:sz="8" w:space="0" w:color="8EAADB"/>
              <w:right w:val="single" w:sz="8" w:space="0" w:color="8EAADB"/>
            </w:tcBorders>
            <w:shd w:val="clear" w:color="auto" w:fill="FBE4D5"/>
            <w:noWrap/>
            <w:tcMar>
              <w:top w:w="0" w:type="dxa"/>
              <w:left w:w="108" w:type="dxa"/>
              <w:bottom w:w="0" w:type="dxa"/>
              <w:right w:w="108" w:type="dxa"/>
            </w:tcMar>
            <w:hideMark/>
          </w:tcPr>
          <w:p w14:paraId="5C86E418" w14:textId="77777777"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In Progress</w:t>
            </w:r>
          </w:p>
        </w:tc>
        <w:tc>
          <w:tcPr>
            <w:tcW w:w="737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DE95DB6" w14:textId="77777777"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A formal Host Country Agreement for the Area Office in Indonesia (for which there was no formal agreement) has been signed in April 2017 after 8 years of negotiations. A revision of the Host Country Agreement currently in force for the Regional Office in Bangkok may also be finalized soon – the most recent follow up was through a letter to the Tai Authorities by the Director of the BDT. Finally, the negotiations for the conclusion of a Host Country Agreement for the Area Office in Chile are kept pending.</w:t>
            </w:r>
          </w:p>
        </w:tc>
        <w:tc>
          <w:tcPr>
            <w:tcW w:w="703" w:type="dxa"/>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hideMark/>
          </w:tcPr>
          <w:p w14:paraId="3CBCE5A9" w14:textId="77777777"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BDT</w:t>
            </w:r>
          </w:p>
        </w:tc>
        <w:tc>
          <w:tcPr>
            <w:tcW w:w="714" w:type="dxa"/>
            <w:tcBorders>
              <w:top w:val="nil"/>
              <w:left w:val="nil"/>
              <w:bottom w:val="single" w:sz="8" w:space="0" w:color="8EAADB"/>
              <w:right w:val="nil"/>
            </w:tcBorders>
            <w:shd w:val="clear" w:color="auto" w:fill="D9E2F3"/>
            <w:noWrap/>
            <w:tcMar>
              <w:top w:w="0" w:type="dxa"/>
              <w:left w:w="108" w:type="dxa"/>
              <w:bottom w:w="0" w:type="dxa"/>
              <w:right w:w="108" w:type="dxa"/>
            </w:tcMar>
            <w:hideMark/>
          </w:tcPr>
          <w:p w14:paraId="35C3565E" w14:textId="369C10CC" w:rsidR="00BD0EDD" w:rsidRPr="00271631" w:rsidRDefault="00BD0EDD">
            <w:pPr>
              <w:jc w:val="right"/>
              <w:rPr>
                <w:rFonts w:asciiTheme="minorHAnsi" w:hAnsiTheme="minorHAnsi" w:cstheme="minorHAnsi"/>
              </w:rPr>
            </w:pPr>
            <w:r w:rsidRPr="00271631">
              <w:rPr>
                <w:rFonts w:asciiTheme="minorHAnsi" w:hAnsiTheme="minorHAnsi" w:cstheme="minorHAnsi"/>
                <w:color w:val="000000"/>
                <w:sz w:val="18"/>
                <w:szCs w:val="18"/>
                <w:lang w:val="en-GB"/>
              </w:rPr>
              <w:t>Jun-</w:t>
            </w:r>
            <w:r w:rsidR="00A07EC6">
              <w:rPr>
                <w:rFonts w:asciiTheme="minorHAnsi" w:hAnsiTheme="minorHAnsi" w:cstheme="minorHAnsi"/>
                <w:color w:val="000000"/>
                <w:sz w:val="18"/>
                <w:szCs w:val="18"/>
                <w:lang w:val="en-GB"/>
              </w:rPr>
              <w:t>20</w:t>
            </w:r>
            <w:r w:rsidRPr="00271631">
              <w:rPr>
                <w:rFonts w:asciiTheme="minorHAnsi" w:hAnsiTheme="minorHAnsi" w:cstheme="minorHAnsi"/>
                <w:color w:val="000000"/>
                <w:sz w:val="18"/>
                <w:szCs w:val="18"/>
                <w:lang w:val="en-GB"/>
              </w:rPr>
              <w:t>13</w:t>
            </w:r>
          </w:p>
        </w:tc>
      </w:tr>
      <w:tr w:rsidR="0074793E" w:rsidRPr="00271631" w14:paraId="1B08119A" w14:textId="77777777" w:rsidTr="000D6984">
        <w:trPr>
          <w:trHeight w:val="2084"/>
        </w:trPr>
        <w:tc>
          <w:tcPr>
            <w:tcW w:w="851" w:type="dxa"/>
            <w:tcBorders>
              <w:top w:val="nil"/>
              <w:left w:val="nil"/>
              <w:bottom w:val="single" w:sz="8" w:space="0" w:color="8EAADB"/>
              <w:right w:val="single" w:sz="8" w:space="0" w:color="8EAADB"/>
            </w:tcBorders>
            <w:shd w:val="clear" w:color="auto" w:fill="auto"/>
            <w:noWrap/>
            <w:tcMar>
              <w:top w:w="0" w:type="dxa"/>
              <w:left w:w="108" w:type="dxa"/>
              <w:bottom w:w="0" w:type="dxa"/>
              <w:right w:w="108" w:type="dxa"/>
            </w:tcMar>
            <w:hideMark/>
          </w:tcPr>
          <w:p w14:paraId="52306A55" w14:textId="77777777" w:rsidR="00BD0EDD" w:rsidRPr="00271631" w:rsidRDefault="00BD0EDD">
            <w:pPr>
              <w:rPr>
                <w:rFonts w:asciiTheme="minorHAnsi" w:hAnsiTheme="minorHAnsi" w:cstheme="minorHAnsi"/>
              </w:rPr>
            </w:pPr>
            <w:r w:rsidRPr="00271631">
              <w:rPr>
                <w:rFonts w:asciiTheme="minorHAnsi" w:hAnsiTheme="minorHAnsi" w:cstheme="minorHAnsi"/>
                <w:b/>
                <w:bCs/>
                <w:color w:val="000000"/>
                <w:sz w:val="18"/>
                <w:szCs w:val="18"/>
                <w:lang w:val="en-GB"/>
              </w:rPr>
              <w:t>IMAC 2016/4</w:t>
            </w:r>
          </w:p>
        </w:tc>
        <w:tc>
          <w:tcPr>
            <w:tcW w:w="3685" w:type="dxa"/>
            <w:tcBorders>
              <w:top w:val="nil"/>
              <w:left w:val="nil"/>
              <w:bottom w:val="single" w:sz="8" w:space="0" w:color="8EAADB"/>
              <w:right w:val="single" w:sz="8" w:space="0" w:color="8EAADB"/>
            </w:tcBorders>
            <w:shd w:val="clear" w:color="auto" w:fill="auto"/>
            <w:tcMar>
              <w:top w:w="0" w:type="dxa"/>
              <w:left w:w="108" w:type="dxa"/>
              <w:bottom w:w="0" w:type="dxa"/>
              <w:right w:w="108" w:type="dxa"/>
            </w:tcMar>
            <w:hideMark/>
          </w:tcPr>
          <w:p w14:paraId="266C1B0B" w14:textId="77777777"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IMAC recommends that the ITU management follow the discussions of the UN working group on the ASHI issues and establish a plan for funding these liabilities for the future.</w:t>
            </w:r>
          </w:p>
        </w:tc>
        <w:tc>
          <w:tcPr>
            <w:tcW w:w="851" w:type="dxa"/>
            <w:tcBorders>
              <w:top w:val="nil"/>
              <w:left w:val="nil"/>
              <w:bottom w:val="single" w:sz="8" w:space="0" w:color="8EAADB"/>
              <w:right w:val="single" w:sz="8" w:space="0" w:color="8EAADB"/>
            </w:tcBorders>
            <w:shd w:val="clear" w:color="auto" w:fill="FBE5D5"/>
            <w:noWrap/>
            <w:tcMar>
              <w:top w:w="0" w:type="dxa"/>
              <w:left w:w="108" w:type="dxa"/>
              <w:bottom w:w="0" w:type="dxa"/>
              <w:right w:w="108" w:type="dxa"/>
            </w:tcMar>
            <w:hideMark/>
          </w:tcPr>
          <w:p w14:paraId="1C563882" w14:textId="77777777"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In Progress</w:t>
            </w:r>
          </w:p>
        </w:tc>
        <w:tc>
          <w:tcPr>
            <w:tcW w:w="7371" w:type="dxa"/>
            <w:tcBorders>
              <w:top w:val="nil"/>
              <w:left w:val="nil"/>
              <w:bottom w:val="single" w:sz="8" w:space="0" w:color="8EAADB"/>
              <w:right w:val="single" w:sz="8" w:space="0" w:color="8EAADB"/>
            </w:tcBorders>
            <w:shd w:val="clear" w:color="auto" w:fill="auto"/>
            <w:tcMar>
              <w:top w:w="0" w:type="dxa"/>
              <w:left w:w="108" w:type="dxa"/>
              <w:bottom w:w="0" w:type="dxa"/>
              <w:right w:w="108" w:type="dxa"/>
            </w:tcMar>
            <w:hideMark/>
          </w:tcPr>
          <w:p w14:paraId="32C29FF4" w14:textId="593AEDAD"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 xml:space="preserve">ITU was part of the UN ASHI working group. This topic is finalized and transmitted to the UN Secretary General. All comments received from HLCM members during the review of the draft report have been reflected in the final report to the extent possible. </w:t>
            </w:r>
            <w:r w:rsidRPr="00271631">
              <w:rPr>
                <w:rFonts w:asciiTheme="minorHAnsi" w:hAnsiTheme="minorHAnsi" w:cstheme="minorHAnsi"/>
                <w:color w:val="000000"/>
                <w:sz w:val="18"/>
                <w:szCs w:val="18"/>
                <w:lang w:val="en-GB"/>
              </w:rPr>
              <w:br/>
              <w:t xml:space="preserve">The report has not been presented to the UN assembly as initially forecasted. To replace the UN ASHI working group, there is a current discussion to create a new UN medical health insurance </w:t>
            </w:r>
            <w:proofErr w:type="gramStart"/>
            <w:r w:rsidRPr="00271631">
              <w:rPr>
                <w:rFonts w:asciiTheme="minorHAnsi" w:hAnsiTheme="minorHAnsi" w:cstheme="minorHAnsi"/>
                <w:color w:val="000000"/>
                <w:sz w:val="18"/>
                <w:szCs w:val="18"/>
                <w:lang w:val="en-GB"/>
              </w:rPr>
              <w:t>group</w:t>
            </w:r>
            <w:proofErr w:type="gramEnd"/>
            <w:r w:rsidRPr="00271631">
              <w:rPr>
                <w:rFonts w:asciiTheme="minorHAnsi" w:hAnsiTheme="minorHAnsi" w:cstheme="minorHAnsi"/>
                <w:color w:val="000000"/>
                <w:sz w:val="18"/>
                <w:szCs w:val="18"/>
                <w:lang w:val="en-GB"/>
              </w:rPr>
              <w:t xml:space="preserve"> but no decision has been taken up to now. ITU is still following the discussion in the UN IPSAS task force and will keep IMAC informed on further development.</w:t>
            </w:r>
            <w:r w:rsidRPr="00271631">
              <w:rPr>
                <w:rFonts w:asciiTheme="minorHAnsi" w:hAnsiTheme="minorHAnsi" w:cstheme="minorHAnsi"/>
                <w:color w:val="000000"/>
                <w:sz w:val="18"/>
                <w:szCs w:val="18"/>
                <w:lang w:val="en-GB"/>
              </w:rPr>
              <w:br/>
              <w:t xml:space="preserve">It is worth mentioning here that the ASHI fund was set up as on 01 January 2014 and as </w:t>
            </w:r>
            <w:proofErr w:type="gramStart"/>
            <w:r w:rsidRPr="00271631">
              <w:rPr>
                <w:rFonts w:asciiTheme="minorHAnsi" w:hAnsiTheme="minorHAnsi" w:cstheme="minorHAnsi"/>
                <w:color w:val="000000"/>
                <w:sz w:val="18"/>
                <w:szCs w:val="18"/>
                <w:lang w:val="en-GB"/>
              </w:rPr>
              <w:t>at</w:t>
            </w:r>
            <w:proofErr w:type="gramEnd"/>
            <w:r w:rsidRPr="00271631">
              <w:rPr>
                <w:rFonts w:asciiTheme="minorHAnsi" w:hAnsiTheme="minorHAnsi" w:cstheme="minorHAnsi"/>
                <w:color w:val="000000"/>
                <w:sz w:val="18"/>
                <w:szCs w:val="18"/>
                <w:lang w:val="en-GB"/>
              </w:rPr>
              <w:t xml:space="preserve"> 31</w:t>
            </w:r>
            <w:r w:rsidR="00BB4C01">
              <w:rPr>
                <w:rFonts w:asciiTheme="minorHAnsi" w:hAnsiTheme="minorHAnsi" w:cstheme="minorHAnsi"/>
                <w:color w:val="000000"/>
                <w:sz w:val="18"/>
                <w:szCs w:val="18"/>
                <w:lang w:val="en-GB"/>
              </w:rPr>
              <w:t> </w:t>
            </w:r>
            <w:r w:rsidRPr="00271631">
              <w:rPr>
                <w:rFonts w:asciiTheme="minorHAnsi" w:hAnsiTheme="minorHAnsi" w:cstheme="minorHAnsi"/>
                <w:color w:val="000000"/>
                <w:sz w:val="18"/>
                <w:szCs w:val="18"/>
                <w:lang w:val="en-GB"/>
              </w:rPr>
              <w:t>December 2020 balance stands at CHF 13 million.</w:t>
            </w:r>
          </w:p>
        </w:tc>
        <w:tc>
          <w:tcPr>
            <w:tcW w:w="703" w:type="dxa"/>
            <w:tcBorders>
              <w:top w:val="nil"/>
              <w:left w:val="nil"/>
              <w:bottom w:val="single" w:sz="8" w:space="0" w:color="8EAADB"/>
              <w:right w:val="single" w:sz="8" w:space="0" w:color="8EAADB"/>
            </w:tcBorders>
            <w:shd w:val="clear" w:color="auto" w:fill="auto"/>
            <w:noWrap/>
            <w:tcMar>
              <w:top w:w="0" w:type="dxa"/>
              <w:left w:w="108" w:type="dxa"/>
              <w:bottom w:w="0" w:type="dxa"/>
              <w:right w:w="108" w:type="dxa"/>
            </w:tcMar>
            <w:hideMark/>
          </w:tcPr>
          <w:p w14:paraId="6F7F2D7A" w14:textId="77777777"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FRMD</w:t>
            </w:r>
          </w:p>
        </w:tc>
        <w:tc>
          <w:tcPr>
            <w:tcW w:w="714" w:type="dxa"/>
            <w:tcBorders>
              <w:top w:val="nil"/>
              <w:left w:val="nil"/>
              <w:bottom w:val="single" w:sz="8" w:space="0" w:color="8EAADB"/>
              <w:right w:val="nil"/>
            </w:tcBorders>
            <w:shd w:val="clear" w:color="auto" w:fill="auto"/>
            <w:noWrap/>
            <w:tcMar>
              <w:top w:w="0" w:type="dxa"/>
              <w:left w:w="108" w:type="dxa"/>
              <w:bottom w:w="0" w:type="dxa"/>
              <w:right w:w="108" w:type="dxa"/>
            </w:tcMar>
            <w:hideMark/>
          </w:tcPr>
          <w:p w14:paraId="7D00995A" w14:textId="378B49E9" w:rsidR="00BD0EDD" w:rsidRPr="00271631" w:rsidRDefault="00BD0EDD">
            <w:pPr>
              <w:jc w:val="right"/>
              <w:rPr>
                <w:rFonts w:asciiTheme="minorHAnsi" w:hAnsiTheme="minorHAnsi" w:cstheme="minorHAnsi"/>
              </w:rPr>
            </w:pPr>
            <w:r w:rsidRPr="00271631">
              <w:rPr>
                <w:rFonts w:asciiTheme="minorHAnsi" w:hAnsiTheme="minorHAnsi" w:cstheme="minorHAnsi"/>
                <w:color w:val="000000"/>
                <w:sz w:val="18"/>
                <w:szCs w:val="18"/>
                <w:lang w:val="en-GB"/>
              </w:rPr>
              <w:t>Jun-</w:t>
            </w:r>
            <w:r w:rsidR="00A07EC6">
              <w:rPr>
                <w:rFonts w:asciiTheme="minorHAnsi" w:hAnsiTheme="minorHAnsi" w:cstheme="minorHAnsi"/>
                <w:color w:val="000000"/>
                <w:sz w:val="18"/>
                <w:szCs w:val="18"/>
                <w:lang w:val="en-GB"/>
              </w:rPr>
              <w:t>20</w:t>
            </w:r>
            <w:r w:rsidRPr="00271631">
              <w:rPr>
                <w:rFonts w:asciiTheme="minorHAnsi" w:hAnsiTheme="minorHAnsi" w:cstheme="minorHAnsi"/>
                <w:color w:val="000000"/>
                <w:sz w:val="18"/>
                <w:szCs w:val="18"/>
                <w:lang w:val="en-GB"/>
              </w:rPr>
              <w:t>16</w:t>
            </w:r>
          </w:p>
        </w:tc>
      </w:tr>
      <w:tr w:rsidR="00A341D8" w:rsidRPr="00271631" w14:paraId="4EAAAD48" w14:textId="77777777" w:rsidTr="00D240C1">
        <w:trPr>
          <w:trHeight w:val="2280"/>
        </w:trPr>
        <w:tc>
          <w:tcPr>
            <w:tcW w:w="851" w:type="dxa"/>
            <w:tcBorders>
              <w:top w:val="nil"/>
              <w:left w:val="nil"/>
              <w:bottom w:val="single" w:sz="8" w:space="0" w:color="8EAADB"/>
              <w:right w:val="single" w:sz="8" w:space="0" w:color="8EAADB"/>
            </w:tcBorders>
            <w:shd w:val="clear" w:color="auto" w:fill="DAE3F3"/>
            <w:noWrap/>
            <w:tcMar>
              <w:top w:w="0" w:type="dxa"/>
              <w:left w:w="108" w:type="dxa"/>
              <w:bottom w:w="0" w:type="dxa"/>
              <w:right w:w="108" w:type="dxa"/>
            </w:tcMar>
            <w:hideMark/>
          </w:tcPr>
          <w:p w14:paraId="6A94C1F1" w14:textId="77777777" w:rsidR="00A341D8" w:rsidRPr="00271631" w:rsidRDefault="00A341D8" w:rsidP="00232850">
            <w:pPr>
              <w:rPr>
                <w:rFonts w:asciiTheme="minorHAnsi" w:hAnsiTheme="minorHAnsi" w:cstheme="minorHAnsi"/>
              </w:rPr>
            </w:pPr>
            <w:r w:rsidRPr="00271631">
              <w:rPr>
                <w:rFonts w:asciiTheme="minorHAnsi" w:hAnsiTheme="minorHAnsi" w:cstheme="minorHAnsi"/>
                <w:b/>
                <w:bCs/>
                <w:color w:val="000000"/>
                <w:sz w:val="18"/>
                <w:szCs w:val="18"/>
                <w:lang w:val="en-GB"/>
              </w:rPr>
              <w:t>IMAC 2016/13</w:t>
            </w:r>
          </w:p>
        </w:tc>
        <w:tc>
          <w:tcPr>
            <w:tcW w:w="3685" w:type="dxa"/>
            <w:tcBorders>
              <w:top w:val="nil"/>
              <w:left w:val="nil"/>
              <w:bottom w:val="single" w:sz="8" w:space="0" w:color="8EAADB"/>
              <w:right w:val="single" w:sz="8" w:space="0" w:color="8EAADB"/>
            </w:tcBorders>
            <w:shd w:val="clear" w:color="auto" w:fill="DAE3F3"/>
            <w:tcMar>
              <w:top w:w="0" w:type="dxa"/>
              <w:left w:w="108" w:type="dxa"/>
              <w:bottom w:w="0" w:type="dxa"/>
              <w:right w:w="108" w:type="dxa"/>
            </w:tcMar>
            <w:hideMark/>
          </w:tcPr>
          <w:p w14:paraId="67E13176" w14:textId="77777777" w:rsidR="00A341D8" w:rsidRPr="00271631" w:rsidRDefault="00A341D8" w:rsidP="00232850">
            <w:pPr>
              <w:rPr>
                <w:rFonts w:asciiTheme="minorHAnsi" w:hAnsiTheme="minorHAnsi" w:cstheme="minorHAnsi"/>
              </w:rPr>
            </w:pPr>
            <w:r w:rsidRPr="00271631">
              <w:rPr>
                <w:rFonts w:asciiTheme="minorHAnsi" w:hAnsiTheme="minorHAnsi" w:cstheme="minorHAnsi"/>
                <w:color w:val="000000"/>
                <w:sz w:val="18"/>
                <w:szCs w:val="18"/>
                <w:lang w:val="en-GB"/>
              </w:rPr>
              <w:t>IMAC recommends that the ITU consider the benefits of seeking support from an independent professional expert in the process of assessing the market value and negotiating the sale of the ITU Tower.</w:t>
            </w:r>
            <w:r w:rsidRPr="00271631">
              <w:rPr>
                <w:rFonts w:asciiTheme="minorHAnsi" w:hAnsiTheme="minorHAnsi" w:cstheme="minorHAnsi"/>
                <w:color w:val="000000"/>
                <w:sz w:val="18"/>
                <w:szCs w:val="18"/>
                <w:lang w:val="en-GB"/>
              </w:rPr>
              <w:br/>
            </w:r>
            <w:r w:rsidRPr="00271631">
              <w:rPr>
                <w:rFonts w:asciiTheme="minorHAnsi" w:hAnsiTheme="minorHAnsi" w:cstheme="minorHAnsi"/>
                <w:color w:val="000000"/>
                <w:sz w:val="18"/>
                <w:szCs w:val="18"/>
                <w:lang w:val="en-GB"/>
              </w:rPr>
              <w:br/>
              <w:t>The Committee recommends the acquisition of dedicated internal and external project and risk management expertise for the undertaking of this project.</w:t>
            </w:r>
          </w:p>
        </w:tc>
        <w:tc>
          <w:tcPr>
            <w:tcW w:w="851" w:type="dxa"/>
            <w:tcBorders>
              <w:top w:val="nil"/>
              <w:left w:val="nil"/>
              <w:bottom w:val="single" w:sz="8" w:space="0" w:color="8EAADB"/>
              <w:right w:val="single" w:sz="8" w:space="0" w:color="8EAADB"/>
            </w:tcBorders>
            <w:shd w:val="clear" w:color="auto" w:fill="FBE5D5"/>
            <w:noWrap/>
            <w:tcMar>
              <w:top w:w="0" w:type="dxa"/>
              <w:left w:w="108" w:type="dxa"/>
              <w:bottom w:w="0" w:type="dxa"/>
              <w:right w:w="108" w:type="dxa"/>
            </w:tcMar>
            <w:hideMark/>
          </w:tcPr>
          <w:p w14:paraId="45335FD2" w14:textId="77777777" w:rsidR="00A341D8" w:rsidRPr="00271631" w:rsidRDefault="00A341D8" w:rsidP="00232850">
            <w:pPr>
              <w:rPr>
                <w:rFonts w:asciiTheme="minorHAnsi" w:hAnsiTheme="minorHAnsi" w:cstheme="minorHAnsi"/>
              </w:rPr>
            </w:pPr>
            <w:r w:rsidRPr="00271631">
              <w:rPr>
                <w:rFonts w:asciiTheme="minorHAnsi" w:hAnsiTheme="minorHAnsi" w:cstheme="minorHAnsi"/>
                <w:color w:val="000000"/>
                <w:sz w:val="18"/>
                <w:szCs w:val="18"/>
                <w:lang w:val="en-GB"/>
              </w:rPr>
              <w:t>In Progress</w:t>
            </w:r>
          </w:p>
        </w:tc>
        <w:tc>
          <w:tcPr>
            <w:tcW w:w="7371" w:type="dxa"/>
            <w:tcBorders>
              <w:top w:val="nil"/>
              <w:left w:val="nil"/>
              <w:bottom w:val="single" w:sz="8" w:space="0" w:color="8EAADB"/>
              <w:right w:val="single" w:sz="8" w:space="0" w:color="8EAADB"/>
            </w:tcBorders>
            <w:shd w:val="clear" w:color="auto" w:fill="DAE3F3"/>
            <w:tcMar>
              <w:top w:w="0" w:type="dxa"/>
              <w:left w:w="108" w:type="dxa"/>
              <w:bottom w:w="0" w:type="dxa"/>
              <w:right w:w="108" w:type="dxa"/>
            </w:tcMar>
            <w:hideMark/>
          </w:tcPr>
          <w:p w14:paraId="5EEFE0F7" w14:textId="77777777" w:rsidR="00A341D8" w:rsidRPr="00271631" w:rsidRDefault="00A341D8" w:rsidP="00232850">
            <w:pPr>
              <w:rPr>
                <w:rFonts w:asciiTheme="minorHAnsi" w:hAnsiTheme="minorHAnsi" w:cstheme="minorHAnsi"/>
              </w:rPr>
            </w:pPr>
            <w:r w:rsidRPr="00271631">
              <w:rPr>
                <w:rFonts w:asciiTheme="minorHAnsi" w:hAnsiTheme="minorHAnsi" w:cstheme="minorHAnsi"/>
                <w:color w:val="000000"/>
                <w:sz w:val="18"/>
                <w:szCs w:val="18"/>
                <w:lang w:val="en-GB"/>
              </w:rPr>
              <w:t>Following Council 16 Decision 588, instructs 11: the market valuation of the Tower for sale will occur at a time after Switzerland’s response to ITU’s request for the second loan tranche is received and before the potential disposal of the Tower, balancing the earlier availability of such valuation information and its coherence with dynamic market conditions. The valuation will be performed by an independent external expert under ITU’s management. Any solicitation of potential acquirers, and disposal of the Tower will likewise be made with independent external expert consultancy.</w:t>
            </w:r>
            <w:r w:rsidRPr="00271631">
              <w:rPr>
                <w:rFonts w:asciiTheme="minorHAnsi" w:hAnsiTheme="minorHAnsi" w:cstheme="minorHAnsi"/>
                <w:color w:val="000000"/>
                <w:sz w:val="18"/>
                <w:szCs w:val="18"/>
                <w:lang w:val="en-GB"/>
              </w:rPr>
              <w:br/>
              <w:t>The recruitment of a dedicated project team has been finalised and is in place (a risk register has been developed and maintained, both internal and external resources involved).</w:t>
            </w:r>
          </w:p>
        </w:tc>
        <w:tc>
          <w:tcPr>
            <w:tcW w:w="703" w:type="dxa"/>
            <w:tcBorders>
              <w:top w:val="nil"/>
              <w:left w:val="nil"/>
              <w:bottom w:val="single" w:sz="8" w:space="0" w:color="8EAADB"/>
              <w:right w:val="single" w:sz="8" w:space="0" w:color="8EAADB"/>
            </w:tcBorders>
            <w:shd w:val="clear" w:color="auto" w:fill="DAE3F3"/>
            <w:noWrap/>
            <w:tcMar>
              <w:top w:w="0" w:type="dxa"/>
              <w:left w:w="108" w:type="dxa"/>
              <w:bottom w:w="0" w:type="dxa"/>
              <w:right w:w="108" w:type="dxa"/>
            </w:tcMar>
            <w:hideMark/>
          </w:tcPr>
          <w:p w14:paraId="3396503A" w14:textId="77777777" w:rsidR="00A341D8" w:rsidRPr="00271631" w:rsidRDefault="00A341D8" w:rsidP="00232850">
            <w:pPr>
              <w:rPr>
                <w:rFonts w:asciiTheme="minorHAnsi" w:hAnsiTheme="minorHAnsi" w:cstheme="minorHAnsi"/>
              </w:rPr>
            </w:pPr>
            <w:r w:rsidRPr="00271631">
              <w:rPr>
                <w:rFonts w:asciiTheme="minorHAnsi" w:hAnsiTheme="minorHAnsi" w:cstheme="minorHAnsi"/>
                <w:color w:val="000000"/>
                <w:sz w:val="18"/>
                <w:szCs w:val="18"/>
                <w:lang w:val="en-GB"/>
              </w:rPr>
              <w:t>FMBP</w:t>
            </w:r>
          </w:p>
        </w:tc>
        <w:tc>
          <w:tcPr>
            <w:tcW w:w="714" w:type="dxa"/>
            <w:tcBorders>
              <w:top w:val="nil"/>
              <w:left w:val="nil"/>
              <w:bottom w:val="single" w:sz="8" w:space="0" w:color="8EAADB"/>
              <w:right w:val="nil"/>
            </w:tcBorders>
            <w:shd w:val="clear" w:color="auto" w:fill="DAE3F3"/>
            <w:noWrap/>
            <w:tcMar>
              <w:top w:w="0" w:type="dxa"/>
              <w:left w:w="108" w:type="dxa"/>
              <w:bottom w:w="0" w:type="dxa"/>
              <w:right w:w="108" w:type="dxa"/>
            </w:tcMar>
            <w:hideMark/>
          </w:tcPr>
          <w:p w14:paraId="28909B83" w14:textId="77777777" w:rsidR="00A341D8" w:rsidRPr="00271631" w:rsidRDefault="00A341D8" w:rsidP="00232850">
            <w:pPr>
              <w:jc w:val="right"/>
              <w:rPr>
                <w:rFonts w:asciiTheme="minorHAnsi" w:hAnsiTheme="minorHAnsi" w:cstheme="minorHAnsi"/>
              </w:rPr>
            </w:pPr>
            <w:r w:rsidRPr="00271631">
              <w:rPr>
                <w:rFonts w:asciiTheme="minorHAnsi" w:hAnsiTheme="minorHAnsi" w:cstheme="minorHAnsi"/>
                <w:color w:val="000000"/>
                <w:sz w:val="18"/>
                <w:szCs w:val="18"/>
                <w:lang w:val="en-GB"/>
              </w:rPr>
              <w:t>Jun-</w:t>
            </w:r>
            <w:r>
              <w:rPr>
                <w:rFonts w:asciiTheme="minorHAnsi" w:hAnsiTheme="minorHAnsi" w:cstheme="minorHAnsi"/>
                <w:color w:val="000000"/>
                <w:sz w:val="18"/>
                <w:szCs w:val="18"/>
                <w:lang w:val="en-GB"/>
              </w:rPr>
              <w:t>20</w:t>
            </w:r>
            <w:r w:rsidRPr="00271631">
              <w:rPr>
                <w:rFonts w:asciiTheme="minorHAnsi" w:hAnsiTheme="minorHAnsi" w:cstheme="minorHAnsi"/>
                <w:color w:val="000000"/>
                <w:sz w:val="18"/>
                <w:szCs w:val="18"/>
                <w:lang w:val="en-GB"/>
              </w:rPr>
              <w:t>16</w:t>
            </w:r>
          </w:p>
        </w:tc>
      </w:tr>
      <w:tr w:rsidR="0074793E" w:rsidRPr="00271631" w14:paraId="26F5ABBD" w14:textId="77777777" w:rsidTr="00D240C1">
        <w:trPr>
          <w:trHeight w:val="339"/>
        </w:trPr>
        <w:tc>
          <w:tcPr>
            <w:tcW w:w="851" w:type="dxa"/>
            <w:tcBorders>
              <w:top w:val="nil"/>
              <w:left w:val="nil"/>
              <w:bottom w:val="single" w:sz="8" w:space="0" w:color="8EAADB"/>
              <w:right w:val="single" w:sz="8" w:space="0" w:color="8EAADB"/>
            </w:tcBorders>
            <w:noWrap/>
            <w:tcMar>
              <w:top w:w="0" w:type="dxa"/>
              <w:left w:w="108" w:type="dxa"/>
              <w:bottom w:w="0" w:type="dxa"/>
              <w:right w:w="108" w:type="dxa"/>
            </w:tcMar>
            <w:hideMark/>
          </w:tcPr>
          <w:p w14:paraId="1F97F6D2" w14:textId="77777777" w:rsidR="00BD0EDD" w:rsidRPr="00271631" w:rsidRDefault="00BD0EDD">
            <w:pPr>
              <w:rPr>
                <w:rFonts w:asciiTheme="minorHAnsi" w:hAnsiTheme="minorHAnsi" w:cstheme="minorHAnsi"/>
              </w:rPr>
            </w:pPr>
            <w:r w:rsidRPr="00271631">
              <w:rPr>
                <w:rFonts w:asciiTheme="minorHAnsi" w:hAnsiTheme="minorHAnsi" w:cstheme="minorHAnsi"/>
                <w:b/>
                <w:bCs/>
                <w:color w:val="000000"/>
                <w:sz w:val="18"/>
                <w:szCs w:val="18"/>
                <w:lang w:val="en-GB"/>
              </w:rPr>
              <w:t>IMAC 2017/7</w:t>
            </w:r>
          </w:p>
        </w:tc>
        <w:tc>
          <w:tcPr>
            <w:tcW w:w="3685" w:type="dxa"/>
            <w:tcBorders>
              <w:top w:val="nil"/>
              <w:left w:val="nil"/>
              <w:bottom w:val="single" w:sz="8" w:space="0" w:color="8EAADB"/>
              <w:right w:val="single" w:sz="8" w:space="0" w:color="8EAADB"/>
            </w:tcBorders>
            <w:tcMar>
              <w:top w:w="0" w:type="dxa"/>
              <w:left w:w="108" w:type="dxa"/>
              <w:bottom w:w="0" w:type="dxa"/>
              <w:right w:w="108" w:type="dxa"/>
            </w:tcMar>
            <w:hideMark/>
          </w:tcPr>
          <w:p w14:paraId="23E4A0C5" w14:textId="77777777"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 xml:space="preserve">IMAC recommends that ITU considers the merits of engaging auditing capacity with </w:t>
            </w:r>
            <w:proofErr w:type="gramStart"/>
            <w:r w:rsidRPr="00271631">
              <w:rPr>
                <w:rFonts w:asciiTheme="minorHAnsi" w:hAnsiTheme="minorHAnsi" w:cstheme="minorHAnsi"/>
                <w:color w:val="000000"/>
                <w:sz w:val="18"/>
                <w:szCs w:val="18"/>
                <w:lang w:val="en-GB"/>
              </w:rPr>
              <w:t>particular expertise</w:t>
            </w:r>
            <w:proofErr w:type="gramEnd"/>
            <w:r w:rsidRPr="00271631">
              <w:rPr>
                <w:rFonts w:asciiTheme="minorHAnsi" w:hAnsiTheme="minorHAnsi" w:cstheme="minorHAnsi"/>
                <w:color w:val="000000"/>
                <w:sz w:val="18"/>
                <w:szCs w:val="18"/>
                <w:lang w:val="en-GB"/>
              </w:rPr>
              <w:t xml:space="preserve"> in this area and, in due course, conducting an independent audit on the account established for the construction of the building.</w:t>
            </w:r>
          </w:p>
        </w:tc>
        <w:tc>
          <w:tcPr>
            <w:tcW w:w="851" w:type="dxa"/>
            <w:tcBorders>
              <w:top w:val="nil"/>
              <w:left w:val="nil"/>
              <w:bottom w:val="single" w:sz="8" w:space="0" w:color="8EAADB"/>
              <w:right w:val="single" w:sz="8" w:space="0" w:color="8EAADB"/>
            </w:tcBorders>
            <w:shd w:val="clear" w:color="auto" w:fill="FBE5D5"/>
            <w:noWrap/>
            <w:tcMar>
              <w:top w:w="0" w:type="dxa"/>
              <w:left w:w="108" w:type="dxa"/>
              <w:bottom w:w="0" w:type="dxa"/>
              <w:right w:w="108" w:type="dxa"/>
            </w:tcMar>
            <w:hideMark/>
          </w:tcPr>
          <w:p w14:paraId="14F86E2D" w14:textId="77777777"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In Progress</w:t>
            </w:r>
          </w:p>
        </w:tc>
        <w:tc>
          <w:tcPr>
            <w:tcW w:w="7371" w:type="dxa"/>
            <w:tcBorders>
              <w:top w:val="nil"/>
              <w:left w:val="nil"/>
              <w:bottom w:val="single" w:sz="8" w:space="0" w:color="8EAADB"/>
              <w:right w:val="single" w:sz="8" w:space="0" w:color="8EAADB"/>
            </w:tcBorders>
            <w:tcMar>
              <w:top w:w="0" w:type="dxa"/>
              <w:left w:w="108" w:type="dxa"/>
              <w:bottom w:w="0" w:type="dxa"/>
              <w:right w:w="108" w:type="dxa"/>
            </w:tcMar>
            <w:hideMark/>
          </w:tcPr>
          <w:p w14:paraId="19A76833" w14:textId="77777777"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 xml:space="preserve">The project management set-up foresees a global oversight mechanism, including the Member States and internal ITU functions. To this end, a new division called "New Building Project Division" has been created in the Secretary-General's Office and under the supervision of the Deputy Secretary-General. </w:t>
            </w:r>
            <w:r w:rsidRPr="00271631">
              <w:rPr>
                <w:rFonts w:asciiTheme="minorHAnsi" w:hAnsiTheme="minorHAnsi" w:cstheme="minorHAnsi"/>
                <w:color w:val="000000"/>
                <w:sz w:val="18"/>
                <w:szCs w:val="18"/>
                <w:lang w:val="en-GB"/>
              </w:rPr>
              <w:br/>
              <w:t xml:space="preserve">The dedicated project team is headed by the P5 Senior Construction Advisor supervising a team composed of an A&amp;E (Architecture and Engineering) Coordinator (P3) with a construction and technical background and an administrative assistant (G6). The recently externally recruited procurement officer (P4) with specific experience </w:t>
            </w:r>
            <w:proofErr w:type="gramStart"/>
            <w:r w:rsidRPr="00271631">
              <w:rPr>
                <w:rFonts w:asciiTheme="minorHAnsi" w:hAnsiTheme="minorHAnsi" w:cstheme="minorHAnsi"/>
                <w:color w:val="000000"/>
                <w:sz w:val="18"/>
                <w:szCs w:val="18"/>
                <w:lang w:val="en-GB"/>
              </w:rPr>
              <w:t>in the area of</w:t>
            </w:r>
            <w:proofErr w:type="gramEnd"/>
            <w:r w:rsidRPr="00271631">
              <w:rPr>
                <w:rFonts w:asciiTheme="minorHAnsi" w:hAnsiTheme="minorHAnsi" w:cstheme="minorHAnsi"/>
                <w:color w:val="000000"/>
                <w:sz w:val="18"/>
                <w:szCs w:val="18"/>
                <w:lang w:val="en-GB"/>
              </w:rPr>
              <w:t xml:space="preserve"> procurement of construction projects is dedicated to the project but works under the supervision of the head of procurement. The New Building Project Division is effective since 1 April 2019.</w:t>
            </w:r>
            <w:r w:rsidRPr="00271631">
              <w:rPr>
                <w:rFonts w:asciiTheme="minorHAnsi" w:hAnsiTheme="minorHAnsi" w:cstheme="minorHAnsi"/>
                <w:color w:val="000000"/>
                <w:sz w:val="18"/>
                <w:szCs w:val="18"/>
                <w:lang w:val="en-GB"/>
              </w:rPr>
              <w:br/>
              <w:t>The External Auditor will focus on the financial audit of the account established, while the project is in the list of items that the external auditors will be considering in their audit plan this year.</w:t>
            </w:r>
          </w:p>
        </w:tc>
        <w:tc>
          <w:tcPr>
            <w:tcW w:w="703" w:type="dxa"/>
            <w:tcBorders>
              <w:top w:val="nil"/>
              <w:left w:val="nil"/>
              <w:bottom w:val="single" w:sz="8" w:space="0" w:color="8EAADB"/>
              <w:right w:val="single" w:sz="8" w:space="0" w:color="8EAADB"/>
            </w:tcBorders>
            <w:noWrap/>
            <w:tcMar>
              <w:top w:w="0" w:type="dxa"/>
              <w:left w:w="108" w:type="dxa"/>
              <w:bottom w:w="0" w:type="dxa"/>
              <w:right w:w="108" w:type="dxa"/>
            </w:tcMar>
            <w:hideMark/>
          </w:tcPr>
          <w:p w14:paraId="46553AAD" w14:textId="77777777"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IAU</w:t>
            </w:r>
          </w:p>
        </w:tc>
        <w:tc>
          <w:tcPr>
            <w:tcW w:w="714" w:type="dxa"/>
            <w:tcBorders>
              <w:top w:val="nil"/>
              <w:left w:val="nil"/>
              <w:bottom w:val="single" w:sz="8" w:space="0" w:color="8EAADB"/>
              <w:right w:val="nil"/>
            </w:tcBorders>
            <w:noWrap/>
            <w:tcMar>
              <w:top w:w="0" w:type="dxa"/>
              <w:left w:w="108" w:type="dxa"/>
              <w:bottom w:w="0" w:type="dxa"/>
              <w:right w:w="108" w:type="dxa"/>
            </w:tcMar>
            <w:hideMark/>
          </w:tcPr>
          <w:p w14:paraId="4EB8E9FF" w14:textId="789125B6" w:rsidR="00BD0EDD" w:rsidRPr="00271631" w:rsidRDefault="00BD0EDD">
            <w:pPr>
              <w:jc w:val="right"/>
              <w:rPr>
                <w:rFonts w:asciiTheme="minorHAnsi" w:hAnsiTheme="minorHAnsi" w:cstheme="minorHAnsi"/>
              </w:rPr>
            </w:pPr>
            <w:r w:rsidRPr="00271631">
              <w:rPr>
                <w:rFonts w:asciiTheme="minorHAnsi" w:hAnsiTheme="minorHAnsi" w:cstheme="minorHAnsi"/>
                <w:color w:val="000000"/>
                <w:sz w:val="18"/>
                <w:szCs w:val="18"/>
                <w:lang w:val="en-GB"/>
              </w:rPr>
              <w:t>Jun-</w:t>
            </w:r>
            <w:r w:rsidR="00A07EC6">
              <w:rPr>
                <w:rFonts w:asciiTheme="minorHAnsi" w:hAnsiTheme="minorHAnsi" w:cstheme="minorHAnsi"/>
                <w:color w:val="000000"/>
                <w:sz w:val="18"/>
                <w:szCs w:val="18"/>
                <w:lang w:val="en-GB"/>
              </w:rPr>
              <w:t>20</w:t>
            </w:r>
            <w:r w:rsidRPr="00271631">
              <w:rPr>
                <w:rFonts w:asciiTheme="minorHAnsi" w:hAnsiTheme="minorHAnsi" w:cstheme="minorHAnsi"/>
                <w:color w:val="000000"/>
                <w:sz w:val="18"/>
                <w:szCs w:val="18"/>
                <w:lang w:val="en-GB"/>
              </w:rPr>
              <w:t>17</w:t>
            </w:r>
          </w:p>
        </w:tc>
      </w:tr>
      <w:tr w:rsidR="0074793E" w:rsidRPr="00271631" w14:paraId="0822E67D" w14:textId="77777777" w:rsidTr="00A46AEB">
        <w:trPr>
          <w:trHeight w:val="2451"/>
        </w:trPr>
        <w:tc>
          <w:tcPr>
            <w:tcW w:w="851" w:type="dxa"/>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hideMark/>
          </w:tcPr>
          <w:p w14:paraId="39CA2BCE" w14:textId="77777777" w:rsidR="00BD0EDD" w:rsidRPr="00271631" w:rsidRDefault="00BD0EDD">
            <w:pPr>
              <w:rPr>
                <w:rFonts w:asciiTheme="minorHAnsi" w:hAnsiTheme="minorHAnsi" w:cstheme="minorHAnsi"/>
              </w:rPr>
            </w:pPr>
            <w:r w:rsidRPr="00271631">
              <w:rPr>
                <w:rFonts w:asciiTheme="minorHAnsi" w:hAnsiTheme="minorHAnsi" w:cstheme="minorHAnsi"/>
                <w:b/>
                <w:bCs/>
                <w:color w:val="000000"/>
                <w:sz w:val="18"/>
                <w:szCs w:val="18"/>
                <w:lang w:val="en-GB"/>
              </w:rPr>
              <w:lastRenderedPageBreak/>
              <w:t>IMAC 2018/2</w:t>
            </w:r>
          </w:p>
        </w:tc>
        <w:tc>
          <w:tcPr>
            <w:tcW w:w="368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BFF55E1" w14:textId="77777777"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IMAC recommends that ITU move towards an alignment of the operating model, people strategy and focus areas, with the Union’s strategic vision. This will ensure ITU has a fit-for-purpose organization given the speed of digitalization and the development of the information society. IMAC remains available for advice.</w:t>
            </w:r>
          </w:p>
        </w:tc>
        <w:tc>
          <w:tcPr>
            <w:tcW w:w="851" w:type="dxa"/>
            <w:tcBorders>
              <w:top w:val="nil"/>
              <w:left w:val="nil"/>
              <w:bottom w:val="single" w:sz="8" w:space="0" w:color="8EAADB"/>
              <w:right w:val="single" w:sz="8" w:space="0" w:color="8EAADB"/>
            </w:tcBorders>
            <w:shd w:val="clear" w:color="auto" w:fill="FBE4D5"/>
            <w:noWrap/>
            <w:tcMar>
              <w:top w:w="0" w:type="dxa"/>
              <w:left w:w="108" w:type="dxa"/>
              <w:bottom w:w="0" w:type="dxa"/>
              <w:right w:w="108" w:type="dxa"/>
            </w:tcMar>
            <w:hideMark/>
          </w:tcPr>
          <w:p w14:paraId="2D8E5CA0" w14:textId="77777777"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In Progress</w:t>
            </w:r>
          </w:p>
        </w:tc>
        <w:tc>
          <w:tcPr>
            <w:tcW w:w="737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49842F54" w14:textId="2922A7B5"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HRMD has developed and is implementing the ITU People Strategy 2020-2023 and the HR Strategic Plan.</w:t>
            </w:r>
            <w:r w:rsidRPr="00271631">
              <w:rPr>
                <w:rFonts w:asciiTheme="minorHAnsi" w:hAnsiTheme="minorHAnsi" w:cstheme="minorHAnsi"/>
                <w:color w:val="000000"/>
                <w:sz w:val="18"/>
                <w:szCs w:val="18"/>
                <w:lang w:val="en-GB"/>
              </w:rPr>
              <w:br/>
              <w:t>In the context of HLCM, JIU/REP/2019/4 and the disruptive post-COVID, the ITU Skills Gap and Cultural Diagnosis programme and the Leadership Cultural Assessment programme aim at strengthening ITU capacity, to ensure that ITU continues leading the ICT ecosystem. Both programmes they look at internal capacity (ITU managers and staff) and external capacity (the way ITU members and staff interact with external stakeholders and memberships).</w:t>
            </w:r>
            <w:r w:rsidRPr="00271631">
              <w:rPr>
                <w:rFonts w:asciiTheme="minorHAnsi" w:hAnsiTheme="minorHAnsi" w:cstheme="minorHAnsi"/>
                <w:color w:val="000000"/>
                <w:sz w:val="18"/>
                <w:szCs w:val="18"/>
                <w:lang w:val="en-GB"/>
              </w:rPr>
              <w:br/>
              <w:t>The ITU Skills Gap and Cultural Diagnosis and the ITU Leadership Cultural Assessment are designed and implemented based on a consultative and inclusive approach across ITU.</w:t>
            </w:r>
            <w:r w:rsidRPr="00271631">
              <w:rPr>
                <w:rFonts w:asciiTheme="minorHAnsi" w:hAnsiTheme="minorHAnsi" w:cstheme="minorHAnsi"/>
                <w:color w:val="000000"/>
                <w:sz w:val="18"/>
                <w:szCs w:val="18"/>
                <w:lang w:val="en-GB"/>
              </w:rPr>
              <w:br/>
              <w:t>The Action Plan and Recommendations from the projects will be considered by management beginning of May 2021.</w:t>
            </w:r>
          </w:p>
        </w:tc>
        <w:tc>
          <w:tcPr>
            <w:tcW w:w="703" w:type="dxa"/>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hideMark/>
          </w:tcPr>
          <w:p w14:paraId="6F18951C" w14:textId="77777777"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SPM</w:t>
            </w:r>
          </w:p>
        </w:tc>
        <w:tc>
          <w:tcPr>
            <w:tcW w:w="714" w:type="dxa"/>
            <w:tcBorders>
              <w:top w:val="nil"/>
              <w:left w:val="nil"/>
              <w:bottom w:val="single" w:sz="8" w:space="0" w:color="8EAADB"/>
              <w:right w:val="nil"/>
            </w:tcBorders>
            <w:shd w:val="clear" w:color="auto" w:fill="D9E2F3"/>
            <w:noWrap/>
            <w:tcMar>
              <w:top w:w="0" w:type="dxa"/>
              <w:left w:w="108" w:type="dxa"/>
              <w:bottom w:w="0" w:type="dxa"/>
              <w:right w:w="108" w:type="dxa"/>
            </w:tcMar>
            <w:hideMark/>
          </w:tcPr>
          <w:p w14:paraId="1D1D4D15" w14:textId="5DFE7236" w:rsidR="00BD0EDD" w:rsidRPr="00271631" w:rsidRDefault="00BD0EDD">
            <w:pPr>
              <w:jc w:val="right"/>
              <w:rPr>
                <w:rFonts w:asciiTheme="minorHAnsi" w:hAnsiTheme="minorHAnsi" w:cstheme="minorHAnsi"/>
              </w:rPr>
            </w:pPr>
            <w:r w:rsidRPr="00271631">
              <w:rPr>
                <w:rFonts w:asciiTheme="minorHAnsi" w:hAnsiTheme="minorHAnsi" w:cstheme="minorHAnsi"/>
                <w:color w:val="000000"/>
                <w:sz w:val="18"/>
                <w:szCs w:val="18"/>
                <w:lang w:val="en-GB"/>
              </w:rPr>
              <w:t>Jun-</w:t>
            </w:r>
            <w:r w:rsidR="00A07EC6">
              <w:rPr>
                <w:rFonts w:asciiTheme="minorHAnsi" w:hAnsiTheme="minorHAnsi" w:cstheme="minorHAnsi"/>
                <w:color w:val="000000"/>
                <w:sz w:val="18"/>
                <w:szCs w:val="18"/>
                <w:lang w:val="en-GB"/>
              </w:rPr>
              <w:t>20</w:t>
            </w:r>
            <w:r w:rsidRPr="00271631">
              <w:rPr>
                <w:rFonts w:asciiTheme="minorHAnsi" w:hAnsiTheme="minorHAnsi" w:cstheme="minorHAnsi"/>
                <w:color w:val="000000"/>
                <w:sz w:val="18"/>
                <w:szCs w:val="18"/>
                <w:lang w:val="en-GB"/>
              </w:rPr>
              <w:t>18</w:t>
            </w:r>
          </w:p>
        </w:tc>
      </w:tr>
      <w:tr w:rsidR="0074793E" w:rsidRPr="00271631" w14:paraId="64C979B4" w14:textId="77777777" w:rsidTr="00A46AEB">
        <w:trPr>
          <w:trHeight w:val="2132"/>
        </w:trPr>
        <w:tc>
          <w:tcPr>
            <w:tcW w:w="851" w:type="dxa"/>
            <w:tcBorders>
              <w:top w:val="nil"/>
              <w:left w:val="nil"/>
              <w:bottom w:val="single" w:sz="8" w:space="0" w:color="8EAADB"/>
              <w:right w:val="single" w:sz="8" w:space="0" w:color="8EAADB"/>
            </w:tcBorders>
            <w:noWrap/>
            <w:tcMar>
              <w:top w:w="0" w:type="dxa"/>
              <w:left w:w="108" w:type="dxa"/>
              <w:bottom w:w="0" w:type="dxa"/>
              <w:right w:w="108" w:type="dxa"/>
            </w:tcMar>
            <w:hideMark/>
          </w:tcPr>
          <w:p w14:paraId="3DF1044E" w14:textId="77777777" w:rsidR="00BD0EDD" w:rsidRPr="00271631" w:rsidRDefault="00BD0EDD">
            <w:pPr>
              <w:rPr>
                <w:rFonts w:asciiTheme="minorHAnsi" w:hAnsiTheme="minorHAnsi" w:cstheme="minorHAnsi"/>
              </w:rPr>
            </w:pPr>
            <w:r w:rsidRPr="00271631">
              <w:rPr>
                <w:rFonts w:asciiTheme="minorHAnsi" w:hAnsiTheme="minorHAnsi" w:cstheme="minorHAnsi"/>
                <w:b/>
                <w:bCs/>
                <w:color w:val="000000"/>
                <w:sz w:val="18"/>
                <w:szCs w:val="18"/>
                <w:lang w:val="en-GB"/>
              </w:rPr>
              <w:t>IMAC 2019/1</w:t>
            </w:r>
          </w:p>
        </w:tc>
        <w:tc>
          <w:tcPr>
            <w:tcW w:w="3685" w:type="dxa"/>
            <w:tcBorders>
              <w:top w:val="nil"/>
              <w:left w:val="nil"/>
              <w:bottom w:val="single" w:sz="8" w:space="0" w:color="8EAADB"/>
              <w:right w:val="single" w:sz="8" w:space="0" w:color="8EAADB"/>
            </w:tcBorders>
            <w:tcMar>
              <w:top w:w="0" w:type="dxa"/>
              <w:left w:w="108" w:type="dxa"/>
              <w:bottom w:w="0" w:type="dxa"/>
              <w:right w:w="108" w:type="dxa"/>
            </w:tcMar>
            <w:hideMark/>
          </w:tcPr>
          <w:p w14:paraId="623EF555" w14:textId="77777777"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 xml:space="preserve">In order to reduce the risk of fraud, irregularities and reputational damage to the organization, IMAC recommends that ITU should establish improved arrangements with sensible control mechanisms to achieve effective </w:t>
            </w:r>
            <w:proofErr w:type="gramStart"/>
            <w:r w:rsidRPr="00271631">
              <w:rPr>
                <w:rFonts w:asciiTheme="minorHAnsi" w:hAnsiTheme="minorHAnsi" w:cstheme="minorHAnsi"/>
                <w:color w:val="000000"/>
                <w:sz w:val="18"/>
                <w:szCs w:val="18"/>
                <w:lang w:val="en-GB"/>
              </w:rPr>
              <w:t>supervision, and</w:t>
            </w:r>
            <w:proofErr w:type="gramEnd"/>
            <w:r w:rsidRPr="00271631">
              <w:rPr>
                <w:rFonts w:asciiTheme="minorHAnsi" w:hAnsiTheme="minorHAnsi" w:cstheme="minorHAnsi"/>
                <w:color w:val="000000"/>
                <w:sz w:val="18"/>
                <w:szCs w:val="18"/>
                <w:lang w:val="en-GB"/>
              </w:rPr>
              <w:t xml:space="preserve"> enforce accountability when adequate supervision and management oversight is neglected. This should be a matter of key priority.</w:t>
            </w:r>
          </w:p>
        </w:tc>
        <w:tc>
          <w:tcPr>
            <w:tcW w:w="851" w:type="dxa"/>
            <w:tcBorders>
              <w:top w:val="nil"/>
              <w:left w:val="nil"/>
              <w:bottom w:val="single" w:sz="8" w:space="0" w:color="8EAADB"/>
              <w:right w:val="single" w:sz="8" w:space="0" w:color="8EAADB"/>
            </w:tcBorders>
            <w:shd w:val="clear" w:color="auto" w:fill="FBE4D5"/>
            <w:noWrap/>
            <w:tcMar>
              <w:top w:w="0" w:type="dxa"/>
              <w:left w:w="108" w:type="dxa"/>
              <w:bottom w:w="0" w:type="dxa"/>
              <w:right w:w="108" w:type="dxa"/>
            </w:tcMar>
            <w:hideMark/>
          </w:tcPr>
          <w:p w14:paraId="2456A548" w14:textId="77777777"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In Progress</w:t>
            </w:r>
          </w:p>
        </w:tc>
        <w:tc>
          <w:tcPr>
            <w:tcW w:w="7371" w:type="dxa"/>
            <w:tcBorders>
              <w:top w:val="nil"/>
              <w:left w:val="nil"/>
              <w:bottom w:val="single" w:sz="8" w:space="0" w:color="8EAADB"/>
              <w:right w:val="single" w:sz="8" w:space="0" w:color="8EAADB"/>
            </w:tcBorders>
            <w:tcMar>
              <w:top w:w="0" w:type="dxa"/>
              <w:left w:w="108" w:type="dxa"/>
              <w:bottom w:w="0" w:type="dxa"/>
              <w:right w:w="108" w:type="dxa"/>
            </w:tcMar>
            <w:hideMark/>
          </w:tcPr>
          <w:p w14:paraId="2B0F881C" w14:textId="77777777"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The BDT Director convened a Working Group of senior managers to review and strengthen internal controls on governance, ethics/fraud detection and key procedures. Numerous control measures, guidelines and policies were implemented in 2019 and 2020. Measures to be finalized in 2021 include: a new e-recruitment system and procedures; integration of key functions into SAP; declaration of interest and whistle-blower training; and review of accountability framework.</w:t>
            </w:r>
          </w:p>
        </w:tc>
        <w:tc>
          <w:tcPr>
            <w:tcW w:w="703" w:type="dxa"/>
            <w:tcBorders>
              <w:top w:val="nil"/>
              <w:left w:val="nil"/>
              <w:bottom w:val="single" w:sz="8" w:space="0" w:color="8EAADB"/>
              <w:right w:val="single" w:sz="8" w:space="0" w:color="8EAADB"/>
            </w:tcBorders>
            <w:noWrap/>
            <w:tcMar>
              <w:top w:w="0" w:type="dxa"/>
              <w:left w:w="108" w:type="dxa"/>
              <w:bottom w:w="0" w:type="dxa"/>
              <w:right w:w="108" w:type="dxa"/>
            </w:tcMar>
            <w:hideMark/>
          </w:tcPr>
          <w:p w14:paraId="0DE5628E" w14:textId="77777777"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BDT</w:t>
            </w:r>
          </w:p>
        </w:tc>
        <w:tc>
          <w:tcPr>
            <w:tcW w:w="714" w:type="dxa"/>
            <w:tcBorders>
              <w:top w:val="nil"/>
              <w:left w:val="nil"/>
              <w:bottom w:val="single" w:sz="8" w:space="0" w:color="8EAADB"/>
              <w:right w:val="nil"/>
            </w:tcBorders>
            <w:noWrap/>
            <w:tcMar>
              <w:top w:w="0" w:type="dxa"/>
              <w:left w:w="108" w:type="dxa"/>
              <w:bottom w:w="0" w:type="dxa"/>
              <w:right w:w="108" w:type="dxa"/>
            </w:tcMar>
            <w:hideMark/>
          </w:tcPr>
          <w:p w14:paraId="3402A6E5" w14:textId="435D1E92" w:rsidR="00BD0EDD" w:rsidRPr="00271631" w:rsidRDefault="00BD0EDD">
            <w:pPr>
              <w:jc w:val="right"/>
              <w:rPr>
                <w:rFonts w:asciiTheme="minorHAnsi" w:hAnsiTheme="minorHAnsi" w:cstheme="minorHAnsi"/>
              </w:rPr>
            </w:pPr>
            <w:r w:rsidRPr="00271631">
              <w:rPr>
                <w:rFonts w:asciiTheme="minorHAnsi" w:hAnsiTheme="minorHAnsi" w:cstheme="minorHAnsi"/>
                <w:color w:val="000000"/>
                <w:sz w:val="18"/>
                <w:szCs w:val="18"/>
                <w:lang w:val="en-GB"/>
              </w:rPr>
              <w:t>Jun-</w:t>
            </w:r>
            <w:r w:rsidR="00A07EC6">
              <w:rPr>
                <w:rFonts w:asciiTheme="minorHAnsi" w:hAnsiTheme="minorHAnsi" w:cstheme="minorHAnsi"/>
                <w:color w:val="000000"/>
                <w:sz w:val="18"/>
                <w:szCs w:val="18"/>
                <w:lang w:val="en-GB"/>
              </w:rPr>
              <w:t>20</w:t>
            </w:r>
            <w:r w:rsidRPr="00271631">
              <w:rPr>
                <w:rFonts w:asciiTheme="minorHAnsi" w:hAnsiTheme="minorHAnsi" w:cstheme="minorHAnsi"/>
                <w:color w:val="000000"/>
                <w:sz w:val="18"/>
                <w:szCs w:val="18"/>
                <w:lang w:val="en-GB"/>
              </w:rPr>
              <w:t>19</w:t>
            </w:r>
          </w:p>
        </w:tc>
      </w:tr>
      <w:tr w:rsidR="0074793E" w:rsidRPr="00271631" w14:paraId="3A5DA785" w14:textId="77777777" w:rsidTr="00D240C1">
        <w:trPr>
          <w:trHeight w:val="1425"/>
        </w:trPr>
        <w:tc>
          <w:tcPr>
            <w:tcW w:w="851" w:type="dxa"/>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hideMark/>
          </w:tcPr>
          <w:p w14:paraId="204ED86B" w14:textId="77777777" w:rsidR="00BD0EDD" w:rsidRPr="00271631" w:rsidRDefault="00BD0EDD">
            <w:pPr>
              <w:rPr>
                <w:rFonts w:asciiTheme="minorHAnsi" w:hAnsiTheme="minorHAnsi" w:cstheme="minorHAnsi"/>
              </w:rPr>
            </w:pPr>
            <w:r w:rsidRPr="00271631">
              <w:rPr>
                <w:rFonts w:asciiTheme="minorHAnsi" w:hAnsiTheme="minorHAnsi" w:cstheme="minorHAnsi"/>
                <w:b/>
                <w:bCs/>
                <w:color w:val="000000"/>
                <w:sz w:val="18"/>
                <w:szCs w:val="18"/>
                <w:lang w:val="en-GB"/>
              </w:rPr>
              <w:t>IMAC 2019/4</w:t>
            </w:r>
          </w:p>
        </w:tc>
        <w:tc>
          <w:tcPr>
            <w:tcW w:w="368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0BD1352D" w14:textId="77777777"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IMAC recommends that ITU rigorously apply the requirements of its procurement guidelines and observe all mandatory architectural guidelines in relation to all sponsorship or donation-funded construction elements of the project.</w:t>
            </w:r>
          </w:p>
        </w:tc>
        <w:tc>
          <w:tcPr>
            <w:tcW w:w="851" w:type="dxa"/>
            <w:tcBorders>
              <w:top w:val="nil"/>
              <w:left w:val="nil"/>
              <w:bottom w:val="single" w:sz="8" w:space="0" w:color="8EAADB"/>
              <w:right w:val="single" w:sz="8" w:space="0" w:color="8EAADB"/>
            </w:tcBorders>
            <w:shd w:val="clear" w:color="auto" w:fill="FBE4D5"/>
            <w:noWrap/>
            <w:tcMar>
              <w:top w:w="0" w:type="dxa"/>
              <w:left w:w="108" w:type="dxa"/>
              <w:bottom w:w="0" w:type="dxa"/>
              <w:right w:w="108" w:type="dxa"/>
            </w:tcMar>
            <w:hideMark/>
          </w:tcPr>
          <w:p w14:paraId="73F1AA94" w14:textId="77777777"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In Progress</w:t>
            </w:r>
          </w:p>
        </w:tc>
        <w:tc>
          <w:tcPr>
            <w:tcW w:w="737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1929E88D" w14:textId="77777777"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Following Add/Council 19 Decision 619, instructs 10: to continue to abide by the highest standards in terms of ethics and procurement in all bidding procedures organized throughout the project. Procurement process for the establishment of the General Construction Contract (</w:t>
            </w:r>
            <w:proofErr w:type="spellStart"/>
            <w:r w:rsidRPr="00271631">
              <w:rPr>
                <w:rFonts w:asciiTheme="minorHAnsi" w:hAnsiTheme="minorHAnsi" w:cstheme="minorHAnsi"/>
                <w:color w:val="000000"/>
                <w:sz w:val="18"/>
                <w:szCs w:val="18"/>
                <w:lang w:val="en-GB"/>
              </w:rPr>
              <w:t>Contrat</w:t>
            </w:r>
            <w:proofErr w:type="spellEnd"/>
            <w:r w:rsidRPr="00271631">
              <w:rPr>
                <w:rFonts w:asciiTheme="minorHAnsi" w:hAnsiTheme="minorHAnsi" w:cstheme="minorHAnsi"/>
                <w:color w:val="000000"/>
                <w:sz w:val="18"/>
                <w:szCs w:val="18"/>
                <w:lang w:val="en-GB"/>
              </w:rPr>
              <w:t xml:space="preserve"> </w:t>
            </w:r>
            <w:proofErr w:type="spellStart"/>
            <w:r w:rsidRPr="00271631">
              <w:rPr>
                <w:rFonts w:asciiTheme="minorHAnsi" w:hAnsiTheme="minorHAnsi" w:cstheme="minorHAnsi"/>
                <w:color w:val="000000"/>
                <w:sz w:val="18"/>
                <w:szCs w:val="18"/>
                <w:lang w:val="en-GB"/>
              </w:rPr>
              <w:t>d’entreprise</w:t>
            </w:r>
            <w:proofErr w:type="spellEnd"/>
            <w:r w:rsidRPr="00271631">
              <w:rPr>
                <w:rFonts w:asciiTheme="minorHAnsi" w:hAnsiTheme="minorHAnsi" w:cstheme="minorHAnsi"/>
                <w:color w:val="000000"/>
                <w:sz w:val="18"/>
                <w:szCs w:val="18"/>
                <w:lang w:val="en-GB"/>
              </w:rPr>
              <w:t xml:space="preserve"> general) will be performed in line with the instructions following the Procurement Manual and the ITU Financial Rules and Financial Regulations.</w:t>
            </w:r>
          </w:p>
        </w:tc>
        <w:tc>
          <w:tcPr>
            <w:tcW w:w="703" w:type="dxa"/>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hideMark/>
          </w:tcPr>
          <w:p w14:paraId="77CB3B91" w14:textId="42DFFC33" w:rsidR="00BD0EDD" w:rsidRPr="00271631" w:rsidRDefault="00EC1692">
            <w:pPr>
              <w:rPr>
                <w:rFonts w:asciiTheme="minorHAnsi" w:hAnsiTheme="minorHAnsi" w:cstheme="minorHAnsi"/>
              </w:rPr>
            </w:pPr>
            <w:r>
              <w:rPr>
                <w:rFonts w:asciiTheme="minorHAnsi" w:hAnsiTheme="minorHAnsi" w:cstheme="minorHAnsi"/>
                <w:color w:val="000000"/>
                <w:sz w:val="18"/>
                <w:szCs w:val="18"/>
                <w:lang w:val="en-GB"/>
              </w:rPr>
              <w:t>FRMD</w:t>
            </w:r>
          </w:p>
        </w:tc>
        <w:tc>
          <w:tcPr>
            <w:tcW w:w="714" w:type="dxa"/>
            <w:tcBorders>
              <w:top w:val="nil"/>
              <w:left w:val="nil"/>
              <w:bottom w:val="single" w:sz="8" w:space="0" w:color="8EAADB"/>
              <w:right w:val="nil"/>
            </w:tcBorders>
            <w:shd w:val="clear" w:color="auto" w:fill="D9E2F3"/>
            <w:noWrap/>
            <w:tcMar>
              <w:top w:w="0" w:type="dxa"/>
              <w:left w:w="108" w:type="dxa"/>
              <w:bottom w:w="0" w:type="dxa"/>
              <w:right w:w="108" w:type="dxa"/>
            </w:tcMar>
            <w:hideMark/>
          </w:tcPr>
          <w:p w14:paraId="4AB91B6B" w14:textId="24B31D84" w:rsidR="00BD0EDD" w:rsidRPr="00271631" w:rsidRDefault="00BD0EDD">
            <w:pPr>
              <w:jc w:val="right"/>
              <w:rPr>
                <w:rFonts w:asciiTheme="minorHAnsi" w:hAnsiTheme="minorHAnsi" w:cstheme="minorHAnsi"/>
              </w:rPr>
            </w:pPr>
            <w:r w:rsidRPr="00271631">
              <w:rPr>
                <w:rFonts w:asciiTheme="minorHAnsi" w:hAnsiTheme="minorHAnsi" w:cstheme="minorHAnsi"/>
                <w:color w:val="000000"/>
                <w:sz w:val="18"/>
                <w:szCs w:val="18"/>
                <w:lang w:val="en-GB"/>
              </w:rPr>
              <w:t>Jun-</w:t>
            </w:r>
            <w:r w:rsidR="00A07EC6">
              <w:rPr>
                <w:rFonts w:asciiTheme="minorHAnsi" w:hAnsiTheme="minorHAnsi" w:cstheme="minorHAnsi"/>
                <w:color w:val="000000"/>
                <w:sz w:val="18"/>
                <w:szCs w:val="18"/>
                <w:lang w:val="en-GB"/>
              </w:rPr>
              <w:t>20</w:t>
            </w:r>
            <w:r w:rsidRPr="00271631">
              <w:rPr>
                <w:rFonts w:asciiTheme="minorHAnsi" w:hAnsiTheme="minorHAnsi" w:cstheme="minorHAnsi"/>
                <w:color w:val="000000"/>
                <w:sz w:val="18"/>
                <w:szCs w:val="18"/>
                <w:lang w:val="en-GB"/>
              </w:rPr>
              <w:t>19</w:t>
            </w:r>
          </w:p>
        </w:tc>
      </w:tr>
      <w:tr w:rsidR="0074793E" w:rsidRPr="00271631" w14:paraId="152153A9" w14:textId="77777777" w:rsidTr="00D240C1">
        <w:trPr>
          <w:trHeight w:val="1140"/>
        </w:trPr>
        <w:tc>
          <w:tcPr>
            <w:tcW w:w="851" w:type="dxa"/>
            <w:tcBorders>
              <w:top w:val="nil"/>
              <w:left w:val="nil"/>
              <w:bottom w:val="single" w:sz="8" w:space="0" w:color="8EAADB"/>
              <w:right w:val="single" w:sz="8" w:space="0" w:color="8EAADB"/>
            </w:tcBorders>
            <w:noWrap/>
            <w:tcMar>
              <w:top w:w="0" w:type="dxa"/>
              <w:left w:w="108" w:type="dxa"/>
              <w:bottom w:w="0" w:type="dxa"/>
              <w:right w:w="108" w:type="dxa"/>
            </w:tcMar>
            <w:hideMark/>
          </w:tcPr>
          <w:p w14:paraId="35F07661" w14:textId="77777777" w:rsidR="00BD0EDD" w:rsidRPr="00271631" w:rsidRDefault="00BD0EDD">
            <w:pPr>
              <w:rPr>
                <w:rFonts w:asciiTheme="minorHAnsi" w:hAnsiTheme="minorHAnsi" w:cstheme="minorHAnsi"/>
              </w:rPr>
            </w:pPr>
            <w:r w:rsidRPr="00271631">
              <w:rPr>
                <w:rFonts w:asciiTheme="minorHAnsi" w:hAnsiTheme="minorHAnsi" w:cstheme="minorHAnsi"/>
                <w:b/>
                <w:bCs/>
                <w:color w:val="000000"/>
                <w:sz w:val="18"/>
                <w:szCs w:val="18"/>
                <w:lang w:val="en-GB"/>
              </w:rPr>
              <w:t>IMAC 2020/1</w:t>
            </w:r>
          </w:p>
        </w:tc>
        <w:tc>
          <w:tcPr>
            <w:tcW w:w="3685" w:type="dxa"/>
            <w:tcBorders>
              <w:top w:val="nil"/>
              <w:left w:val="nil"/>
              <w:bottom w:val="single" w:sz="8" w:space="0" w:color="8EAADB"/>
              <w:right w:val="single" w:sz="8" w:space="0" w:color="8EAADB"/>
            </w:tcBorders>
            <w:tcMar>
              <w:top w:w="0" w:type="dxa"/>
              <w:left w:w="108" w:type="dxa"/>
              <w:bottom w:w="0" w:type="dxa"/>
              <w:right w:w="108" w:type="dxa"/>
            </w:tcMar>
            <w:hideMark/>
          </w:tcPr>
          <w:p w14:paraId="64FA31A4" w14:textId="77777777"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 xml:space="preserve">Internal Audit in any organization is the Third Line of </w:t>
            </w:r>
            <w:proofErr w:type="spellStart"/>
            <w:r w:rsidRPr="00271631">
              <w:rPr>
                <w:rFonts w:asciiTheme="minorHAnsi" w:hAnsiTheme="minorHAnsi" w:cstheme="minorHAnsi"/>
                <w:color w:val="000000"/>
                <w:sz w:val="18"/>
                <w:szCs w:val="18"/>
                <w:lang w:val="en-GB"/>
              </w:rPr>
              <w:t>Defense</w:t>
            </w:r>
            <w:proofErr w:type="spellEnd"/>
            <w:r w:rsidRPr="00271631">
              <w:rPr>
                <w:rFonts w:asciiTheme="minorHAnsi" w:hAnsiTheme="minorHAnsi" w:cstheme="minorHAnsi"/>
                <w:color w:val="000000"/>
                <w:sz w:val="18"/>
                <w:szCs w:val="18"/>
                <w:lang w:val="en-GB"/>
              </w:rPr>
              <w:t xml:space="preserve"> providing assurance for the organization’s risk management and internal control processes; IMAC recommends that the Internal Audit Unit needs to be considerably strengthened from a resource point of view, </w:t>
            </w:r>
            <w:proofErr w:type="gramStart"/>
            <w:r w:rsidRPr="00271631">
              <w:rPr>
                <w:rFonts w:asciiTheme="minorHAnsi" w:hAnsiTheme="minorHAnsi" w:cstheme="minorHAnsi"/>
                <w:color w:val="000000"/>
                <w:sz w:val="18"/>
                <w:szCs w:val="18"/>
                <w:lang w:val="en-GB"/>
              </w:rPr>
              <w:t>coverage</w:t>
            </w:r>
            <w:proofErr w:type="gramEnd"/>
            <w:r w:rsidRPr="00271631">
              <w:rPr>
                <w:rFonts w:asciiTheme="minorHAnsi" w:hAnsiTheme="minorHAnsi" w:cstheme="minorHAnsi"/>
                <w:color w:val="000000"/>
                <w:sz w:val="18"/>
                <w:szCs w:val="18"/>
                <w:lang w:val="en-GB"/>
              </w:rPr>
              <w:t xml:space="preserve"> and adequacy of processes.</w:t>
            </w:r>
          </w:p>
        </w:tc>
        <w:tc>
          <w:tcPr>
            <w:tcW w:w="851" w:type="dxa"/>
            <w:tcBorders>
              <w:top w:val="nil"/>
              <w:left w:val="nil"/>
              <w:bottom w:val="single" w:sz="8" w:space="0" w:color="8EAADB"/>
              <w:right w:val="single" w:sz="8" w:space="0" w:color="8EAADB"/>
            </w:tcBorders>
            <w:shd w:val="clear" w:color="auto" w:fill="FBE4D5"/>
            <w:noWrap/>
            <w:tcMar>
              <w:top w:w="0" w:type="dxa"/>
              <w:left w:w="108" w:type="dxa"/>
              <w:bottom w:w="0" w:type="dxa"/>
              <w:right w:w="108" w:type="dxa"/>
            </w:tcMar>
            <w:hideMark/>
          </w:tcPr>
          <w:p w14:paraId="6D4F4893" w14:textId="77777777"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In Progress</w:t>
            </w:r>
          </w:p>
        </w:tc>
        <w:tc>
          <w:tcPr>
            <w:tcW w:w="7371" w:type="dxa"/>
            <w:tcBorders>
              <w:top w:val="nil"/>
              <w:left w:val="nil"/>
              <w:bottom w:val="single" w:sz="8" w:space="0" w:color="8EAADB"/>
              <w:right w:val="single" w:sz="8" w:space="0" w:color="8EAADB"/>
            </w:tcBorders>
            <w:tcMar>
              <w:top w:w="0" w:type="dxa"/>
              <w:left w:w="108" w:type="dxa"/>
              <w:bottom w:w="0" w:type="dxa"/>
              <w:right w:w="108" w:type="dxa"/>
            </w:tcMar>
            <w:hideMark/>
          </w:tcPr>
          <w:p w14:paraId="3DFB974C" w14:textId="12FAA402" w:rsidR="00BD0EDD" w:rsidRPr="00DB6419" w:rsidRDefault="002053FB">
            <w:pPr>
              <w:rPr>
                <w:rFonts w:asciiTheme="minorHAnsi" w:hAnsiTheme="minorHAnsi" w:cstheme="minorHAnsi"/>
              </w:rPr>
            </w:pPr>
            <w:r w:rsidRPr="002053FB">
              <w:rPr>
                <w:rFonts w:asciiTheme="minorHAnsi" w:hAnsiTheme="minorHAnsi" w:cstheme="minorHAnsi"/>
                <w:color w:val="000000"/>
                <w:sz w:val="18"/>
                <w:szCs w:val="18"/>
                <w:lang w:val="en-GB"/>
              </w:rPr>
              <w:t>VN published on 15 Feb 2021, selection process ongoing throughout Q2 and Q3 2021 according to HR recruitment procedures</w:t>
            </w:r>
            <w:r>
              <w:rPr>
                <w:rFonts w:asciiTheme="minorHAnsi" w:hAnsiTheme="minorHAnsi" w:cstheme="minorHAnsi"/>
                <w:color w:val="000000"/>
                <w:sz w:val="18"/>
                <w:szCs w:val="18"/>
                <w:lang w:val="en-GB"/>
              </w:rPr>
              <w:t>.</w:t>
            </w:r>
          </w:p>
        </w:tc>
        <w:tc>
          <w:tcPr>
            <w:tcW w:w="703" w:type="dxa"/>
            <w:tcBorders>
              <w:top w:val="nil"/>
              <w:left w:val="nil"/>
              <w:bottom w:val="single" w:sz="8" w:space="0" w:color="8EAADB"/>
              <w:right w:val="single" w:sz="8" w:space="0" w:color="8EAADB"/>
            </w:tcBorders>
            <w:noWrap/>
            <w:tcMar>
              <w:top w:w="0" w:type="dxa"/>
              <w:left w:w="108" w:type="dxa"/>
              <w:bottom w:w="0" w:type="dxa"/>
              <w:right w:w="108" w:type="dxa"/>
            </w:tcMar>
            <w:hideMark/>
          </w:tcPr>
          <w:p w14:paraId="77E80DE1" w14:textId="77777777"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IAU</w:t>
            </w:r>
          </w:p>
        </w:tc>
        <w:tc>
          <w:tcPr>
            <w:tcW w:w="714" w:type="dxa"/>
            <w:tcBorders>
              <w:top w:val="nil"/>
              <w:left w:val="nil"/>
              <w:bottom w:val="single" w:sz="8" w:space="0" w:color="8EAADB"/>
              <w:right w:val="nil"/>
            </w:tcBorders>
            <w:noWrap/>
            <w:tcMar>
              <w:top w:w="0" w:type="dxa"/>
              <w:left w:w="108" w:type="dxa"/>
              <w:bottom w:w="0" w:type="dxa"/>
              <w:right w:w="108" w:type="dxa"/>
            </w:tcMar>
            <w:hideMark/>
          </w:tcPr>
          <w:p w14:paraId="1C6977B0" w14:textId="78D1FAA5" w:rsidR="00BD0EDD" w:rsidRPr="00271631" w:rsidRDefault="00BD0EDD">
            <w:pPr>
              <w:jc w:val="right"/>
              <w:rPr>
                <w:rFonts w:asciiTheme="minorHAnsi" w:hAnsiTheme="minorHAnsi" w:cstheme="minorHAnsi"/>
              </w:rPr>
            </w:pPr>
            <w:r w:rsidRPr="00271631">
              <w:rPr>
                <w:rFonts w:asciiTheme="minorHAnsi" w:hAnsiTheme="minorHAnsi" w:cstheme="minorHAnsi"/>
                <w:color w:val="000000"/>
                <w:sz w:val="18"/>
                <w:szCs w:val="18"/>
                <w:lang w:val="en-GB"/>
              </w:rPr>
              <w:t>Dec-</w:t>
            </w:r>
            <w:r w:rsidR="00A07EC6">
              <w:rPr>
                <w:rFonts w:asciiTheme="minorHAnsi" w:hAnsiTheme="minorHAnsi" w:cstheme="minorHAnsi"/>
                <w:color w:val="000000"/>
                <w:sz w:val="18"/>
                <w:szCs w:val="18"/>
                <w:lang w:val="en-GB"/>
              </w:rPr>
              <w:t>20</w:t>
            </w:r>
            <w:r w:rsidRPr="00271631">
              <w:rPr>
                <w:rFonts w:asciiTheme="minorHAnsi" w:hAnsiTheme="minorHAnsi" w:cstheme="minorHAnsi"/>
                <w:color w:val="000000"/>
                <w:sz w:val="18"/>
                <w:szCs w:val="18"/>
                <w:lang w:val="en-GB"/>
              </w:rPr>
              <w:t>20</w:t>
            </w:r>
          </w:p>
        </w:tc>
      </w:tr>
      <w:tr w:rsidR="0074793E" w:rsidRPr="00271631" w14:paraId="12279AB9" w14:textId="77777777" w:rsidTr="00D240C1">
        <w:trPr>
          <w:trHeight w:val="2749"/>
        </w:trPr>
        <w:tc>
          <w:tcPr>
            <w:tcW w:w="851" w:type="dxa"/>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hideMark/>
          </w:tcPr>
          <w:p w14:paraId="3A934121" w14:textId="77777777" w:rsidR="00BD0EDD" w:rsidRPr="00271631" w:rsidRDefault="00BD0EDD">
            <w:pPr>
              <w:rPr>
                <w:rFonts w:asciiTheme="minorHAnsi" w:hAnsiTheme="minorHAnsi" w:cstheme="minorHAnsi"/>
              </w:rPr>
            </w:pPr>
            <w:r w:rsidRPr="00271631">
              <w:rPr>
                <w:rFonts w:asciiTheme="minorHAnsi" w:hAnsiTheme="minorHAnsi" w:cstheme="minorHAnsi"/>
                <w:b/>
                <w:bCs/>
                <w:color w:val="000000"/>
                <w:sz w:val="18"/>
                <w:szCs w:val="18"/>
                <w:lang w:val="en-GB"/>
              </w:rPr>
              <w:lastRenderedPageBreak/>
              <w:t>IMAC 2020/2</w:t>
            </w:r>
          </w:p>
        </w:tc>
        <w:tc>
          <w:tcPr>
            <w:tcW w:w="3685"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3E365472" w14:textId="77777777"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 xml:space="preserve">IMAC recommends that the management should review the ongoing process of addressing the strengthening of the HRMD ERP system and </w:t>
            </w:r>
            <w:proofErr w:type="gramStart"/>
            <w:r w:rsidRPr="00271631">
              <w:rPr>
                <w:rFonts w:asciiTheme="minorHAnsi" w:hAnsiTheme="minorHAnsi" w:cstheme="minorHAnsi"/>
                <w:color w:val="000000"/>
                <w:sz w:val="18"/>
                <w:szCs w:val="18"/>
                <w:lang w:val="en-GB"/>
              </w:rPr>
              <w:t>look into</w:t>
            </w:r>
            <w:proofErr w:type="gramEnd"/>
            <w:r w:rsidRPr="00271631">
              <w:rPr>
                <w:rFonts w:asciiTheme="minorHAnsi" w:hAnsiTheme="minorHAnsi" w:cstheme="minorHAnsi"/>
                <w:color w:val="000000"/>
                <w:sz w:val="18"/>
                <w:szCs w:val="18"/>
                <w:lang w:val="en-GB"/>
              </w:rPr>
              <w:t xml:space="preserve"> the issue as a matter of priority with the best suitable solution.</w:t>
            </w:r>
          </w:p>
        </w:tc>
        <w:tc>
          <w:tcPr>
            <w:tcW w:w="851" w:type="dxa"/>
            <w:tcBorders>
              <w:top w:val="nil"/>
              <w:left w:val="nil"/>
              <w:bottom w:val="single" w:sz="8" w:space="0" w:color="8EAADB"/>
              <w:right w:val="single" w:sz="8" w:space="0" w:color="8EAADB"/>
            </w:tcBorders>
            <w:shd w:val="clear" w:color="auto" w:fill="FBE4D5"/>
            <w:noWrap/>
            <w:tcMar>
              <w:top w:w="0" w:type="dxa"/>
              <w:left w:w="108" w:type="dxa"/>
              <w:bottom w:w="0" w:type="dxa"/>
              <w:right w:w="108" w:type="dxa"/>
            </w:tcMar>
            <w:hideMark/>
          </w:tcPr>
          <w:p w14:paraId="455281DD" w14:textId="77777777"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In Progress</w:t>
            </w:r>
          </w:p>
        </w:tc>
        <w:tc>
          <w:tcPr>
            <w:tcW w:w="7371" w:type="dxa"/>
            <w:tcBorders>
              <w:top w:val="nil"/>
              <w:left w:val="nil"/>
              <w:bottom w:val="single" w:sz="8" w:space="0" w:color="8EAADB"/>
              <w:right w:val="single" w:sz="8" w:space="0" w:color="8EAADB"/>
            </w:tcBorders>
            <w:shd w:val="clear" w:color="auto" w:fill="D9E2F3"/>
            <w:tcMar>
              <w:top w:w="0" w:type="dxa"/>
              <w:left w:w="108" w:type="dxa"/>
              <w:bottom w:w="0" w:type="dxa"/>
              <w:right w:w="108" w:type="dxa"/>
            </w:tcMar>
            <w:hideMark/>
          </w:tcPr>
          <w:p w14:paraId="094CDD12" w14:textId="77777777"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ITU supports the recommendations on the reinforcement of integrating the existing business processes into the ERP system for reducing manual processing and introducing more automation, with an objective of simplification, reduction of time processing, and reduction of risks. All bug issues (following ICSC changes and new rules) have been fixed. The last ones will be deployed for April 2021 payroll. New functionalities have been deployed: New UNSMIS reports, Automated generation of Letter of appointment and extension of the contract, Education grant HR modules. The Education Grant posting to the accounting module should be deployed before June 2021.  The implementation of identified new functionalities continues Implementation of the UNJSPF Universal ID, New version of UNJSPF Yearly reports. New priority projects which were not on the list of 2020 have been launched (deadline end 2021): New ITU Recruitment Management System, New ITU Learning Management System, Migration of the Experts' BDT management system to SAP-ERP.</w:t>
            </w:r>
          </w:p>
        </w:tc>
        <w:tc>
          <w:tcPr>
            <w:tcW w:w="703" w:type="dxa"/>
            <w:tcBorders>
              <w:top w:val="nil"/>
              <w:left w:val="nil"/>
              <w:bottom w:val="single" w:sz="8" w:space="0" w:color="8EAADB"/>
              <w:right w:val="single" w:sz="8" w:space="0" w:color="8EAADB"/>
            </w:tcBorders>
            <w:shd w:val="clear" w:color="auto" w:fill="D9E2F3"/>
            <w:noWrap/>
            <w:tcMar>
              <w:top w:w="0" w:type="dxa"/>
              <w:left w:w="108" w:type="dxa"/>
              <w:bottom w:w="0" w:type="dxa"/>
              <w:right w:w="108" w:type="dxa"/>
            </w:tcMar>
            <w:hideMark/>
          </w:tcPr>
          <w:p w14:paraId="64C9B096" w14:textId="77777777" w:rsidR="00BD0EDD" w:rsidRPr="00271631" w:rsidRDefault="00BD0EDD">
            <w:pPr>
              <w:rPr>
                <w:rFonts w:asciiTheme="minorHAnsi" w:hAnsiTheme="minorHAnsi" w:cstheme="minorHAnsi"/>
              </w:rPr>
            </w:pPr>
            <w:r w:rsidRPr="00271631">
              <w:rPr>
                <w:rFonts w:asciiTheme="minorHAnsi" w:hAnsiTheme="minorHAnsi" w:cstheme="minorHAnsi"/>
                <w:color w:val="000000"/>
                <w:sz w:val="18"/>
                <w:szCs w:val="18"/>
                <w:lang w:val="en-GB"/>
              </w:rPr>
              <w:t>HRMD</w:t>
            </w:r>
          </w:p>
        </w:tc>
        <w:tc>
          <w:tcPr>
            <w:tcW w:w="714" w:type="dxa"/>
            <w:tcBorders>
              <w:top w:val="nil"/>
              <w:left w:val="nil"/>
              <w:bottom w:val="single" w:sz="8" w:space="0" w:color="8EAADB"/>
              <w:right w:val="nil"/>
            </w:tcBorders>
            <w:shd w:val="clear" w:color="auto" w:fill="D9E2F3"/>
            <w:noWrap/>
            <w:tcMar>
              <w:top w:w="0" w:type="dxa"/>
              <w:left w:w="108" w:type="dxa"/>
              <w:bottom w:w="0" w:type="dxa"/>
              <w:right w:w="108" w:type="dxa"/>
            </w:tcMar>
            <w:hideMark/>
          </w:tcPr>
          <w:p w14:paraId="28885B69" w14:textId="44F4CBC7" w:rsidR="00BD0EDD" w:rsidRPr="00271631" w:rsidRDefault="00BD0EDD">
            <w:pPr>
              <w:jc w:val="right"/>
              <w:rPr>
                <w:rFonts w:asciiTheme="minorHAnsi" w:hAnsiTheme="minorHAnsi" w:cstheme="minorHAnsi"/>
              </w:rPr>
            </w:pPr>
            <w:r w:rsidRPr="00271631">
              <w:rPr>
                <w:rFonts w:asciiTheme="minorHAnsi" w:hAnsiTheme="minorHAnsi" w:cstheme="minorHAnsi"/>
                <w:color w:val="000000"/>
                <w:sz w:val="18"/>
                <w:szCs w:val="18"/>
                <w:lang w:val="en-GB"/>
              </w:rPr>
              <w:t>Dec-</w:t>
            </w:r>
            <w:r w:rsidR="005E4959">
              <w:rPr>
                <w:rFonts w:asciiTheme="minorHAnsi" w:hAnsiTheme="minorHAnsi" w:cstheme="minorHAnsi"/>
                <w:color w:val="000000"/>
                <w:sz w:val="18"/>
                <w:szCs w:val="18"/>
                <w:lang w:val="en-GB"/>
              </w:rPr>
              <w:t>20</w:t>
            </w:r>
            <w:r w:rsidRPr="00271631">
              <w:rPr>
                <w:rFonts w:asciiTheme="minorHAnsi" w:hAnsiTheme="minorHAnsi" w:cstheme="minorHAnsi"/>
                <w:color w:val="000000"/>
                <w:sz w:val="18"/>
                <w:szCs w:val="18"/>
                <w:lang w:val="en-GB"/>
              </w:rPr>
              <w:t>20</w:t>
            </w:r>
          </w:p>
        </w:tc>
      </w:tr>
    </w:tbl>
    <w:p w14:paraId="422E69AC" w14:textId="0CBC5E07" w:rsidR="00264425" w:rsidRPr="002A2188" w:rsidRDefault="004F1EE3" w:rsidP="008659FF">
      <w:pPr>
        <w:pStyle w:val="TextA"/>
        <w:spacing w:before="480"/>
        <w:jc w:val="center"/>
      </w:pPr>
      <w:r>
        <w:t>________________</w:t>
      </w:r>
    </w:p>
    <w:sectPr w:rsidR="00264425" w:rsidRPr="002A2188" w:rsidSect="008E516A">
      <w:headerReference w:type="default" r:id="rId30"/>
      <w:footerReference w:type="default" r:id="rId31"/>
      <w:headerReference w:type="first" r:id="rId32"/>
      <w:footerReference w:type="first" r:id="rId33"/>
      <w:pgSz w:w="16834" w:h="11907" w:orient="landscape"/>
      <w:pgMar w:top="1021" w:right="1247" w:bottom="1021"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0760C" w14:textId="77777777" w:rsidR="00716E4A" w:rsidRDefault="00716E4A">
      <w:r>
        <w:separator/>
      </w:r>
    </w:p>
  </w:endnote>
  <w:endnote w:type="continuationSeparator" w:id="0">
    <w:p w14:paraId="0B1D9C2A" w14:textId="77777777" w:rsidR="00716E4A" w:rsidRDefault="0071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69B7" w14:textId="77777777" w:rsidR="004F1EE3" w:rsidRPr="004F1EE3" w:rsidRDefault="004F1EE3" w:rsidP="00A3562C">
    <w:pPr>
      <w:pStyle w:val="Footer"/>
      <w:tabs>
        <w:tab w:val="clear" w:pos="9639"/>
        <w:tab w:val="right" w:pos="9498"/>
      </w:tabs>
      <w:rPr>
        <w:color w:val="A6A6A6" w:themeColor="background1" w:themeShade="A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69B8" w14:textId="77777777" w:rsidR="004F1EE3" w:rsidRDefault="004F1EE3">
    <w:pPr>
      <w:pStyle w:val="TextA"/>
      <w:spacing w:after="120"/>
      <w:jc w:val="center"/>
    </w:pPr>
    <w:r>
      <w:t xml:space="preserve">• </w:t>
    </w:r>
    <w:hyperlink r:id="rId1" w:history="1">
      <w:r>
        <w:rPr>
          <w:rStyle w:val="Hyperlink0"/>
        </w:rPr>
        <w:t>http://www.itu.int/council</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69BB" w14:textId="172AE0B3" w:rsidR="00CB18FF" w:rsidRPr="008E516A" w:rsidRDefault="00CB18FF" w:rsidP="008E51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69BE" w14:textId="77777777" w:rsidR="00322D0D" w:rsidRPr="00A3562C" w:rsidRDefault="00322D0D" w:rsidP="00A35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14DA7" w14:textId="77777777" w:rsidR="00716E4A" w:rsidRDefault="00716E4A">
      <w:r>
        <w:t>____________________</w:t>
      </w:r>
    </w:p>
  </w:footnote>
  <w:footnote w:type="continuationSeparator" w:id="0">
    <w:p w14:paraId="39262F59" w14:textId="77777777" w:rsidR="00716E4A" w:rsidRDefault="00716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69B5" w14:textId="77777777" w:rsidR="004F1EE3" w:rsidRPr="00083FC5" w:rsidRDefault="004F1EE3">
    <w:pPr>
      <w:pStyle w:val="Header"/>
      <w:rPr>
        <w:rFonts w:asciiTheme="minorHAnsi" w:hAnsiTheme="minorHAnsi" w:cstheme="minorHAnsi"/>
      </w:rPr>
    </w:pPr>
    <w:r w:rsidRPr="00083FC5">
      <w:rPr>
        <w:rFonts w:asciiTheme="minorHAnsi" w:hAnsiTheme="minorHAnsi" w:cstheme="minorHAnsi"/>
      </w:rPr>
      <w:fldChar w:fldCharType="begin"/>
    </w:r>
    <w:r w:rsidRPr="00083FC5">
      <w:rPr>
        <w:rFonts w:asciiTheme="minorHAnsi" w:hAnsiTheme="minorHAnsi" w:cstheme="minorHAnsi"/>
      </w:rPr>
      <w:instrText xml:space="preserve"> PAGE </w:instrText>
    </w:r>
    <w:r w:rsidRPr="00083FC5">
      <w:rPr>
        <w:rFonts w:asciiTheme="minorHAnsi" w:hAnsiTheme="minorHAnsi" w:cstheme="minorHAnsi"/>
      </w:rPr>
      <w:fldChar w:fldCharType="separate"/>
    </w:r>
    <w:r w:rsidR="00FD0BFB" w:rsidRPr="00083FC5">
      <w:rPr>
        <w:rFonts w:asciiTheme="minorHAnsi" w:hAnsiTheme="minorHAnsi" w:cstheme="minorHAnsi"/>
        <w:noProof/>
      </w:rPr>
      <w:t>9</w:t>
    </w:r>
    <w:r w:rsidRPr="00083FC5">
      <w:rPr>
        <w:rFonts w:asciiTheme="minorHAnsi" w:hAnsiTheme="minorHAnsi" w:cstheme="minorHAnsi"/>
      </w:rPr>
      <w:fldChar w:fldCharType="end"/>
    </w:r>
  </w:p>
  <w:p w14:paraId="422E69B6" w14:textId="4485BE1C" w:rsidR="004F1EE3" w:rsidRPr="00083FC5" w:rsidRDefault="004F1EE3">
    <w:pPr>
      <w:pStyle w:val="Header"/>
      <w:rPr>
        <w:rFonts w:asciiTheme="minorHAnsi" w:hAnsiTheme="minorHAnsi" w:cstheme="minorHAnsi"/>
      </w:rPr>
    </w:pPr>
    <w:r w:rsidRPr="00083FC5">
      <w:rPr>
        <w:rFonts w:asciiTheme="minorHAnsi" w:hAnsiTheme="minorHAnsi" w:cstheme="minorHAnsi"/>
      </w:rPr>
      <w:t>C</w:t>
    </w:r>
    <w:r w:rsidR="006B1841" w:rsidRPr="00083FC5">
      <w:rPr>
        <w:rFonts w:asciiTheme="minorHAnsi" w:hAnsiTheme="minorHAnsi" w:cstheme="minorHAnsi"/>
      </w:rPr>
      <w:t>2</w:t>
    </w:r>
    <w:r w:rsidR="00E5795B">
      <w:rPr>
        <w:rFonts w:asciiTheme="minorHAnsi" w:hAnsiTheme="minorHAnsi" w:cstheme="minorHAnsi"/>
      </w:rPr>
      <w:t>1</w:t>
    </w:r>
    <w:r w:rsidRPr="00083FC5">
      <w:rPr>
        <w:rFonts w:asciiTheme="minorHAnsi" w:hAnsiTheme="minorHAnsi" w:cstheme="minorHAnsi"/>
      </w:rPr>
      <w:t>/22-E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69B9" w14:textId="77777777" w:rsidR="00322D0D" w:rsidRPr="008E516A" w:rsidRDefault="006535F1" w:rsidP="00CE433C">
    <w:pPr>
      <w:pStyle w:val="Header"/>
      <w:rPr>
        <w:rFonts w:asciiTheme="minorHAnsi" w:hAnsiTheme="minorHAnsi" w:cstheme="minorHAnsi"/>
      </w:rPr>
    </w:pPr>
    <w:r w:rsidRPr="008E516A">
      <w:rPr>
        <w:rFonts w:asciiTheme="minorHAnsi" w:hAnsiTheme="minorHAnsi" w:cstheme="minorHAnsi"/>
      </w:rPr>
      <w:fldChar w:fldCharType="begin"/>
    </w:r>
    <w:r w:rsidRPr="008E516A">
      <w:rPr>
        <w:rFonts w:asciiTheme="minorHAnsi" w:hAnsiTheme="minorHAnsi" w:cstheme="minorHAnsi"/>
      </w:rPr>
      <w:instrText>PAGE</w:instrText>
    </w:r>
    <w:r w:rsidRPr="008E516A">
      <w:rPr>
        <w:rFonts w:asciiTheme="minorHAnsi" w:hAnsiTheme="minorHAnsi" w:cstheme="minorHAnsi"/>
      </w:rPr>
      <w:fldChar w:fldCharType="separate"/>
    </w:r>
    <w:r w:rsidR="004F1EE3" w:rsidRPr="008E516A">
      <w:rPr>
        <w:rFonts w:asciiTheme="minorHAnsi" w:hAnsiTheme="minorHAnsi" w:cstheme="minorHAnsi"/>
        <w:noProof/>
      </w:rPr>
      <w:t>11</w:t>
    </w:r>
    <w:r w:rsidRPr="008E516A">
      <w:rPr>
        <w:rFonts w:asciiTheme="minorHAnsi" w:hAnsiTheme="minorHAnsi" w:cstheme="minorHAnsi"/>
        <w:noProof/>
      </w:rPr>
      <w:fldChar w:fldCharType="end"/>
    </w:r>
  </w:p>
  <w:p w14:paraId="422E69BA" w14:textId="1D741CCA" w:rsidR="00322D0D" w:rsidRDefault="00623AE3" w:rsidP="00FB1279">
    <w:pPr>
      <w:pStyle w:val="Header"/>
      <w:rPr>
        <w:rFonts w:asciiTheme="minorHAnsi" w:hAnsiTheme="minorHAnsi" w:cstheme="minorHAnsi"/>
        <w:bCs/>
      </w:rPr>
    </w:pPr>
    <w:r w:rsidRPr="008E516A">
      <w:rPr>
        <w:rFonts w:asciiTheme="minorHAnsi" w:hAnsiTheme="minorHAnsi" w:cstheme="minorHAnsi"/>
        <w:bCs/>
      </w:rPr>
      <w:t>C</w:t>
    </w:r>
    <w:r w:rsidR="006B1841" w:rsidRPr="008E516A">
      <w:rPr>
        <w:rFonts w:asciiTheme="minorHAnsi" w:hAnsiTheme="minorHAnsi" w:cstheme="minorHAnsi"/>
        <w:bCs/>
      </w:rPr>
      <w:t>2</w:t>
    </w:r>
    <w:r w:rsidR="008E516A">
      <w:rPr>
        <w:rFonts w:asciiTheme="minorHAnsi" w:hAnsiTheme="minorHAnsi" w:cstheme="minorHAnsi"/>
        <w:bCs/>
      </w:rPr>
      <w:t>1</w:t>
    </w:r>
    <w:r w:rsidRPr="008E516A">
      <w:rPr>
        <w:rFonts w:asciiTheme="minorHAnsi" w:hAnsiTheme="minorHAnsi" w:cstheme="minorHAnsi"/>
        <w:bCs/>
      </w:rPr>
      <w:t>/</w:t>
    </w:r>
    <w:r w:rsidR="006B1841" w:rsidRPr="008E516A">
      <w:rPr>
        <w:rFonts w:asciiTheme="minorHAnsi" w:hAnsiTheme="minorHAnsi" w:cstheme="minorHAnsi"/>
        <w:bCs/>
      </w:rPr>
      <w:t>22</w:t>
    </w:r>
    <w:r w:rsidRPr="008E516A">
      <w:rPr>
        <w:rFonts w:asciiTheme="minorHAnsi" w:hAnsiTheme="minorHAnsi" w:cstheme="minorHAnsi"/>
        <w:bCs/>
      </w:rPr>
      <w:t>-E</w:t>
    </w:r>
  </w:p>
  <w:p w14:paraId="0A812310" w14:textId="77777777" w:rsidR="008E516A" w:rsidRPr="008E516A" w:rsidRDefault="008E516A" w:rsidP="00FB1279">
    <w:pPr>
      <w:pStyle w:val="Header"/>
      <w:rPr>
        <w:rFonts w:asciiTheme="minorHAnsi" w:hAnsiTheme="minorHAnsi" w:cstheme="minorHAnsi"/>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69BC" w14:textId="77777777" w:rsidR="004F1EE3" w:rsidRPr="009874A3" w:rsidRDefault="004F1EE3" w:rsidP="004F1EE3">
    <w:pPr>
      <w:pStyle w:val="Header"/>
      <w:rPr>
        <w:rFonts w:asciiTheme="minorHAnsi" w:hAnsiTheme="minorHAnsi" w:cstheme="minorHAnsi"/>
      </w:rPr>
    </w:pPr>
    <w:r w:rsidRPr="009874A3">
      <w:rPr>
        <w:rFonts w:asciiTheme="minorHAnsi" w:hAnsiTheme="minorHAnsi" w:cstheme="minorHAnsi"/>
      </w:rPr>
      <w:fldChar w:fldCharType="begin"/>
    </w:r>
    <w:r w:rsidRPr="009874A3">
      <w:rPr>
        <w:rFonts w:asciiTheme="minorHAnsi" w:hAnsiTheme="minorHAnsi" w:cstheme="minorHAnsi"/>
      </w:rPr>
      <w:instrText xml:space="preserve"> PAGE </w:instrText>
    </w:r>
    <w:r w:rsidRPr="009874A3">
      <w:rPr>
        <w:rFonts w:asciiTheme="minorHAnsi" w:hAnsiTheme="minorHAnsi" w:cstheme="minorHAnsi"/>
      </w:rPr>
      <w:fldChar w:fldCharType="separate"/>
    </w:r>
    <w:r w:rsidR="00FD0BFB" w:rsidRPr="009874A3">
      <w:rPr>
        <w:rFonts w:asciiTheme="minorHAnsi" w:hAnsiTheme="minorHAnsi" w:cstheme="minorHAnsi"/>
        <w:noProof/>
      </w:rPr>
      <w:t>10</w:t>
    </w:r>
    <w:r w:rsidRPr="009874A3">
      <w:rPr>
        <w:rFonts w:asciiTheme="minorHAnsi" w:hAnsiTheme="minorHAnsi" w:cstheme="minorHAnsi"/>
      </w:rPr>
      <w:fldChar w:fldCharType="end"/>
    </w:r>
  </w:p>
  <w:p w14:paraId="422E69BD" w14:textId="77777777" w:rsidR="004F1EE3" w:rsidRPr="009874A3" w:rsidRDefault="004F1EE3" w:rsidP="004F1EE3">
    <w:pPr>
      <w:pStyle w:val="Header"/>
      <w:spacing w:after="120"/>
      <w:rPr>
        <w:rFonts w:asciiTheme="minorHAnsi" w:hAnsiTheme="minorHAnsi" w:cstheme="minorHAnsi"/>
      </w:rPr>
    </w:pPr>
    <w:r w:rsidRPr="009874A3">
      <w:rPr>
        <w:rFonts w:asciiTheme="minorHAnsi" w:hAnsiTheme="minorHAnsi" w:cstheme="minorHAnsi"/>
      </w:rPr>
      <w:t>C</w:t>
    </w:r>
    <w:r w:rsidR="006B1841" w:rsidRPr="009874A3">
      <w:rPr>
        <w:rFonts w:asciiTheme="minorHAnsi" w:hAnsiTheme="minorHAnsi" w:cstheme="minorHAnsi"/>
      </w:rPr>
      <w:t>20</w:t>
    </w:r>
    <w:r w:rsidRPr="009874A3">
      <w:rPr>
        <w:rFonts w:asciiTheme="minorHAnsi" w:hAnsiTheme="minorHAnsi" w:cstheme="minorHAnsi"/>
      </w:rPr>
      <w:t>/22-E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9C0888"/>
    <w:multiLevelType w:val="hybridMultilevel"/>
    <w:tmpl w:val="F12E02FE"/>
    <w:styleLink w:val="Punkte"/>
    <w:lvl w:ilvl="0" w:tplc="3C5ABC00">
      <w:start w:val="1"/>
      <w:numFmt w:val="bullet"/>
      <w:lvlText w:val="•"/>
      <w:lvlJc w:val="left"/>
      <w:pPr>
        <w:tabs>
          <w:tab w:val="num" w:pos="841"/>
        </w:tabs>
        <w:ind w:left="189" w:firstLine="4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3861988">
      <w:start w:val="1"/>
      <w:numFmt w:val="bullet"/>
      <w:lvlText w:val="•"/>
      <w:lvlJc w:val="left"/>
      <w:pPr>
        <w:tabs>
          <w:tab w:val="num" w:pos="1440"/>
        </w:tabs>
        <w:ind w:left="788" w:firstLine="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C46CAB0">
      <w:start w:val="1"/>
      <w:numFmt w:val="bullet"/>
      <w:lvlText w:val="•"/>
      <w:lvlJc w:val="left"/>
      <w:pPr>
        <w:tabs>
          <w:tab w:val="num" w:pos="2040"/>
        </w:tabs>
        <w:ind w:left="1388" w:hanging="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08042A2">
      <w:start w:val="1"/>
      <w:numFmt w:val="bullet"/>
      <w:lvlText w:val="•"/>
      <w:lvlJc w:val="left"/>
      <w:pPr>
        <w:ind w:left="1988" w:hanging="17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9E686B8">
      <w:start w:val="1"/>
      <w:numFmt w:val="bullet"/>
      <w:lvlText w:val="•"/>
      <w:lvlJc w:val="left"/>
      <w:pPr>
        <w:tabs>
          <w:tab w:val="num" w:pos="3240"/>
        </w:tabs>
        <w:ind w:left="2588" w:firstLine="4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688A0BE">
      <w:start w:val="1"/>
      <w:numFmt w:val="bullet"/>
      <w:lvlText w:val="•"/>
      <w:lvlJc w:val="left"/>
      <w:pPr>
        <w:tabs>
          <w:tab w:val="num" w:pos="3840"/>
        </w:tabs>
        <w:ind w:left="3188" w:firstLine="3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7F8CE58">
      <w:start w:val="1"/>
      <w:numFmt w:val="bullet"/>
      <w:lvlText w:val="•"/>
      <w:lvlJc w:val="left"/>
      <w:pPr>
        <w:tabs>
          <w:tab w:val="num" w:pos="4440"/>
        </w:tabs>
        <w:ind w:left="3788" w:firstLine="1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8EA0316">
      <w:start w:val="1"/>
      <w:numFmt w:val="bullet"/>
      <w:lvlText w:val="•"/>
      <w:lvlJc w:val="left"/>
      <w:pPr>
        <w:tabs>
          <w:tab w:val="num" w:pos="5040"/>
        </w:tabs>
        <w:ind w:left="4388" w:firstLine="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C5E0B8E2">
      <w:start w:val="1"/>
      <w:numFmt w:val="bullet"/>
      <w:lvlText w:val="•"/>
      <w:lvlJc w:val="left"/>
      <w:pPr>
        <w:tabs>
          <w:tab w:val="num" w:pos="5640"/>
        </w:tabs>
        <w:ind w:left="4988" w:hanging="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31F49AD"/>
    <w:multiLevelType w:val="multilevel"/>
    <w:tmpl w:val="E3B8961A"/>
    <w:styleLink w:val="ImportierterSti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485F4C"/>
    <w:multiLevelType w:val="multilevel"/>
    <w:tmpl w:val="541292EA"/>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BEC50F2"/>
    <w:multiLevelType w:val="multilevel"/>
    <w:tmpl w:val="3D5C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554A72"/>
    <w:multiLevelType w:val="hybridMultilevel"/>
    <w:tmpl w:val="6F9C170E"/>
    <w:numStyleLink w:val="ImportierterStil2"/>
  </w:abstractNum>
  <w:abstractNum w:abstractNumId="6" w15:restartNumberingAfterBreak="0">
    <w:nsid w:val="3DAC3EFA"/>
    <w:multiLevelType w:val="hybridMultilevel"/>
    <w:tmpl w:val="6CBAA844"/>
    <w:lvl w:ilvl="0" w:tplc="BF00E5F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CAC4E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C32EC52">
      <w:start w:val="1"/>
      <w:numFmt w:val="bullet"/>
      <w:lvlText w:val="▪"/>
      <w:lvlJc w:val="left"/>
      <w:pPr>
        <w:ind w:left="170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12D41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9CE8B8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38FC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A4D0B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EAC005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3445E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FF608C4"/>
    <w:multiLevelType w:val="hybridMultilevel"/>
    <w:tmpl w:val="E99A7B9E"/>
    <w:lvl w:ilvl="0" w:tplc="2FD0CEE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510AD5"/>
    <w:multiLevelType w:val="hybridMultilevel"/>
    <w:tmpl w:val="6F9C170E"/>
    <w:styleLink w:val="ImportierterStil2"/>
    <w:lvl w:ilvl="0" w:tplc="F3300310">
      <w:start w:val="1"/>
      <w:numFmt w:val="bullet"/>
      <w:lvlText w:val="-"/>
      <w:lvlJc w:val="left"/>
      <w:pPr>
        <w:tabs>
          <w:tab w:val="num" w:pos="1440"/>
        </w:tabs>
        <w:ind w:left="7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3B67752">
      <w:start w:val="1"/>
      <w:numFmt w:val="bullet"/>
      <w:lvlText w:val="o"/>
      <w:lvlJc w:val="left"/>
      <w:pPr>
        <w:tabs>
          <w:tab w:val="num" w:pos="2160"/>
        </w:tabs>
        <w:ind w:left="14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07ED5FC">
      <w:start w:val="1"/>
      <w:numFmt w:val="bullet"/>
      <w:lvlText w:val="▪"/>
      <w:lvlJc w:val="left"/>
      <w:pPr>
        <w:tabs>
          <w:tab w:val="num" w:pos="2880"/>
        </w:tabs>
        <w:ind w:left="21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04A8F7A">
      <w:start w:val="1"/>
      <w:numFmt w:val="bullet"/>
      <w:lvlText w:val="•"/>
      <w:lvlJc w:val="left"/>
      <w:pPr>
        <w:tabs>
          <w:tab w:val="num" w:pos="3600"/>
        </w:tabs>
        <w:ind w:left="28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636CDF8">
      <w:start w:val="1"/>
      <w:numFmt w:val="bullet"/>
      <w:lvlText w:val="o"/>
      <w:lvlJc w:val="left"/>
      <w:pPr>
        <w:tabs>
          <w:tab w:val="num" w:pos="4320"/>
        </w:tabs>
        <w:ind w:left="360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6ECF1DA">
      <w:start w:val="1"/>
      <w:numFmt w:val="bullet"/>
      <w:lvlText w:val="▪"/>
      <w:lvlJc w:val="left"/>
      <w:pPr>
        <w:tabs>
          <w:tab w:val="num" w:pos="5040"/>
        </w:tabs>
        <w:ind w:left="432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A4AABBC">
      <w:start w:val="1"/>
      <w:numFmt w:val="bullet"/>
      <w:lvlText w:val="•"/>
      <w:lvlJc w:val="left"/>
      <w:pPr>
        <w:tabs>
          <w:tab w:val="num" w:pos="5760"/>
        </w:tabs>
        <w:ind w:left="504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18E823E">
      <w:start w:val="1"/>
      <w:numFmt w:val="bullet"/>
      <w:lvlText w:val="o"/>
      <w:lvlJc w:val="left"/>
      <w:pPr>
        <w:tabs>
          <w:tab w:val="num" w:pos="6480"/>
        </w:tabs>
        <w:ind w:left="576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A00DBAA">
      <w:start w:val="1"/>
      <w:numFmt w:val="bullet"/>
      <w:lvlText w:val="▪"/>
      <w:lvlJc w:val="left"/>
      <w:pPr>
        <w:tabs>
          <w:tab w:val="num" w:pos="7200"/>
        </w:tabs>
        <w:ind w:left="6480" w:firstLine="2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5DE0DFC"/>
    <w:multiLevelType w:val="hybridMultilevel"/>
    <w:tmpl w:val="C9D6B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030924"/>
    <w:multiLevelType w:val="multilevel"/>
    <w:tmpl w:val="E3B8961A"/>
    <w:numStyleLink w:val="ImportierterStil1"/>
  </w:abstractNum>
  <w:abstractNum w:abstractNumId="11" w15:restartNumberingAfterBreak="0">
    <w:nsid w:val="55043766"/>
    <w:multiLevelType w:val="multilevel"/>
    <w:tmpl w:val="F3CA4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E85C72"/>
    <w:multiLevelType w:val="hybridMultilevel"/>
    <w:tmpl w:val="F12E02FE"/>
    <w:numStyleLink w:val="Punkte"/>
  </w:abstractNum>
  <w:abstractNum w:abstractNumId="13" w15:restartNumberingAfterBreak="0">
    <w:nsid w:val="644A497F"/>
    <w:multiLevelType w:val="hybridMultilevel"/>
    <w:tmpl w:val="6EBA30CC"/>
    <w:lvl w:ilvl="0" w:tplc="A12CBD1C">
      <w:numFmt w:val="bullet"/>
      <w:lvlText w:val="-"/>
      <w:lvlJc w:val="left"/>
      <w:pPr>
        <w:ind w:left="360" w:hanging="360"/>
      </w:pPr>
      <w:rPr>
        <w:rFonts w:ascii="Calibri" w:eastAsia="Arial Unicode MS"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7865ACE"/>
    <w:multiLevelType w:val="hybridMultilevel"/>
    <w:tmpl w:val="A664F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B8531E"/>
    <w:multiLevelType w:val="hybridMultilevel"/>
    <w:tmpl w:val="57CA580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6"/>
  </w:num>
  <w:num w:numId="3">
    <w:abstractNumId w:val="2"/>
  </w:num>
  <w:num w:numId="4">
    <w:abstractNumId w:val="10"/>
  </w:num>
  <w:num w:numId="5">
    <w:abstractNumId w:val="8"/>
  </w:num>
  <w:num w:numId="6">
    <w:abstractNumId w:val="5"/>
  </w:num>
  <w:num w:numId="7">
    <w:abstractNumId w:val="10"/>
  </w:num>
  <w:num w:numId="8">
    <w:abstractNumId w:val="10"/>
    <w:lvlOverride w:ilvl="0">
      <w:startOverride w:val="2"/>
      <w:lvl w:ilvl="0">
        <w:start w:val="2"/>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
  </w:num>
  <w:num w:numId="10">
    <w:abstractNumId w:val="12"/>
  </w:num>
  <w:num w:numId="11">
    <w:abstractNumId w:val="10"/>
  </w:num>
  <w:num w:numId="12">
    <w:abstractNumId w:val="12"/>
    <w:lvlOverride w:ilvl="0">
      <w:lvl w:ilvl="0" w:tplc="E7BE061A">
        <w:start w:val="1"/>
        <w:numFmt w:val="bullet"/>
        <w:lvlText w:val="•"/>
        <w:lvlJc w:val="left"/>
        <w:pPr>
          <w:tabs>
            <w:tab w:val="num" w:pos="841"/>
          </w:tabs>
          <w:ind w:left="189" w:firstLine="46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43A1974">
        <w:start w:val="1"/>
        <w:numFmt w:val="bullet"/>
        <w:lvlText w:val="•"/>
        <w:lvlJc w:val="left"/>
        <w:pPr>
          <w:tabs>
            <w:tab w:val="num" w:pos="1440"/>
          </w:tabs>
          <w:ind w:left="788" w:firstLine="20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142966A">
        <w:start w:val="1"/>
        <w:numFmt w:val="bullet"/>
        <w:lvlText w:val="•"/>
        <w:lvlJc w:val="left"/>
        <w:pPr>
          <w:tabs>
            <w:tab w:val="num" w:pos="2040"/>
          </w:tabs>
          <w:ind w:left="1388" w:firstLine="8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74ACE8C">
        <w:start w:val="1"/>
        <w:numFmt w:val="bullet"/>
        <w:lvlText w:val="•"/>
        <w:lvlJc w:val="left"/>
        <w:pPr>
          <w:tabs>
            <w:tab w:val="num" w:pos="2640"/>
          </w:tabs>
          <w:ind w:left="1988" w:hanging="3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D308084">
        <w:start w:val="1"/>
        <w:numFmt w:val="bullet"/>
        <w:lvlText w:val="•"/>
        <w:lvlJc w:val="left"/>
        <w:pPr>
          <w:ind w:left="2588" w:hanging="15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192CA2C">
        <w:start w:val="1"/>
        <w:numFmt w:val="bullet"/>
        <w:lvlText w:val="•"/>
        <w:lvlJc w:val="left"/>
        <w:pPr>
          <w:tabs>
            <w:tab w:val="num" w:pos="3840"/>
          </w:tabs>
          <w:ind w:left="3188" w:firstLine="44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B2A1126">
        <w:start w:val="1"/>
        <w:numFmt w:val="bullet"/>
        <w:lvlText w:val="•"/>
        <w:lvlJc w:val="left"/>
        <w:pPr>
          <w:tabs>
            <w:tab w:val="num" w:pos="4440"/>
          </w:tabs>
          <w:ind w:left="3788" w:firstLine="32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144CFF6">
        <w:start w:val="1"/>
        <w:numFmt w:val="bullet"/>
        <w:lvlText w:val="•"/>
        <w:lvlJc w:val="left"/>
        <w:pPr>
          <w:tabs>
            <w:tab w:val="num" w:pos="5040"/>
          </w:tabs>
          <w:ind w:left="4388" w:firstLine="20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C0C6412">
        <w:start w:val="1"/>
        <w:numFmt w:val="bullet"/>
        <w:lvlText w:val="•"/>
        <w:lvlJc w:val="left"/>
        <w:pPr>
          <w:tabs>
            <w:tab w:val="num" w:pos="5640"/>
          </w:tabs>
          <w:ind w:left="4988" w:firstLine="8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0"/>
  </w:num>
  <w:num w:numId="14">
    <w:abstractNumId w:val="5"/>
    <w:lvlOverride w:ilvl="0">
      <w:lvl w:ilvl="0" w:tplc="22F0A896">
        <w:start w:val="1"/>
        <w:numFmt w:val="bullet"/>
        <w:lvlText w:val="-"/>
        <w:lvlJc w:val="left"/>
        <w:pPr>
          <w:tabs>
            <w:tab w:val="num" w:pos="1440"/>
          </w:tabs>
          <w:ind w:left="99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25AFDEA">
        <w:start w:val="1"/>
        <w:numFmt w:val="bullet"/>
        <w:lvlText w:val="o"/>
        <w:lvlJc w:val="left"/>
        <w:pPr>
          <w:tabs>
            <w:tab w:val="num" w:pos="2160"/>
          </w:tabs>
          <w:ind w:left="171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B4CF9B8">
        <w:start w:val="1"/>
        <w:numFmt w:val="bullet"/>
        <w:lvlText w:val="▪"/>
        <w:lvlJc w:val="left"/>
        <w:pPr>
          <w:tabs>
            <w:tab w:val="num" w:pos="2880"/>
          </w:tabs>
          <w:ind w:left="243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6A2E064">
        <w:start w:val="1"/>
        <w:numFmt w:val="bullet"/>
        <w:lvlText w:val="•"/>
        <w:lvlJc w:val="left"/>
        <w:pPr>
          <w:tabs>
            <w:tab w:val="num" w:pos="3600"/>
          </w:tabs>
          <w:ind w:left="315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BD657BC">
        <w:start w:val="1"/>
        <w:numFmt w:val="bullet"/>
        <w:lvlText w:val="o"/>
        <w:lvlJc w:val="left"/>
        <w:pPr>
          <w:tabs>
            <w:tab w:val="num" w:pos="4320"/>
          </w:tabs>
          <w:ind w:left="387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B6A015E">
        <w:start w:val="1"/>
        <w:numFmt w:val="bullet"/>
        <w:lvlText w:val="▪"/>
        <w:lvlJc w:val="left"/>
        <w:pPr>
          <w:tabs>
            <w:tab w:val="num" w:pos="5040"/>
          </w:tabs>
          <w:ind w:left="459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6BCA43E">
        <w:start w:val="1"/>
        <w:numFmt w:val="bullet"/>
        <w:lvlText w:val="•"/>
        <w:lvlJc w:val="left"/>
        <w:pPr>
          <w:tabs>
            <w:tab w:val="num" w:pos="5760"/>
          </w:tabs>
          <w:ind w:left="531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054B34E">
        <w:start w:val="1"/>
        <w:numFmt w:val="bullet"/>
        <w:lvlText w:val="o"/>
        <w:lvlJc w:val="left"/>
        <w:pPr>
          <w:tabs>
            <w:tab w:val="num" w:pos="6480"/>
          </w:tabs>
          <w:ind w:left="603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BFCF928">
        <w:start w:val="1"/>
        <w:numFmt w:val="bullet"/>
        <w:lvlText w:val="▪"/>
        <w:lvlJc w:val="left"/>
        <w:pPr>
          <w:tabs>
            <w:tab w:val="num" w:pos="7200"/>
          </w:tabs>
          <w:ind w:left="6753" w:hanging="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10"/>
  </w:num>
  <w:num w:numId="16">
    <w:abstractNumId w:val="10"/>
    <w:lvlOverride w:ilvl="0">
      <w:startOverride w:val="7"/>
    </w:lvlOverride>
  </w:num>
  <w:num w:numId="17">
    <w:abstractNumId w:val="7"/>
  </w:num>
  <w:num w:numId="18">
    <w:abstractNumId w:val="11"/>
  </w:num>
  <w:num w:numId="19">
    <w:abstractNumId w:val="4"/>
  </w:num>
  <w:num w:numId="20">
    <w:abstractNumId w:val="9"/>
  </w:num>
  <w:num w:numId="21">
    <w:abstractNumId w:val="14"/>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52"/>
    <w:rsid w:val="0000143A"/>
    <w:rsid w:val="000032BD"/>
    <w:rsid w:val="00005998"/>
    <w:rsid w:val="000073A7"/>
    <w:rsid w:val="0000794B"/>
    <w:rsid w:val="00010532"/>
    <w:rsid w:val="00016F21"/>
    <w:rsid w:val="0001739F"/>
    <w:rsid w:val="000210D4"/>
    <w:rsid w:val="00024F46"/>
    <w:rsid w:val="0003068C"/>
    <w:rsid w:val="00030A55"/>
    <w:rsid w:val="00033E2B"/>
    <w:rsid w:val="00050242"/>
    <w:rsid w:val="00051611"/>
    <w:rsid w:val="00051764"/>
    <w:rsid w:val="00052270"/>
    <w:rsid w:val="00055FB5"/>
    <w:rsid w:val="00060594"/>
    <w:rsid w:val="00063016"/>
    <w:rsid w:val="00064F69"/>
    <w:rsid w:val="00065076"/>
    <w:rsid w:val="0006592F"/>
    <w:rsid w:val="00066763"/>
    <w:rsid w:val="00066795"/>
    <w:rsid w:val="00073F35"/>
    <w:rsid w:val="0007416D"/>
    <w:rsid w:val="00075239"/>
    <w:rsid w:val="00076AF6"/>
    <w:rsid w:val="00082665"/>
    <w:rsid w:val="00082D39"/>
    <w:rsid w:val="00083373"/>
    <w:rsid w:val="00083FC5"/>
    <w:rsid w:val="00085CF2"/>
    <w:rsid w:val="00087C4A"/>
    <w:rsid w:val="00087CEC"/>
    <w:rsid w:val="0009211C"/>
    <w:rsid w:val="0009423D"/>
    <w:rsid w:val="0009446B"/>
    <w:rsid w:val="000A0106"/>
    <w:rsid w:val="000A0625"/>
    <w:rsid w:val="000A0CBC"/>
    <w:rsid w:val="000A1BFE"/>
    <w:rsid w:val="000A5D11"/>
    <w:rsid w:val="000A7320"/>
    <w:rsid w:val="000A7DF2"/>
    <w:rsid w:val="000B0803"/>
    <w:rsid w:val="000B1511"/>
    <w:rsid w:val="000B1705"/>
    <w:rsid w:val="000B48DE"/>
    <w:rsid w:val="000D6984"/>
    <w:rsid w:val="000D6EB6"/>
    <w:rsid w:val="000D75B2"/>
    <w:rsid w:val="000D7DBD"/>
    <w:rsid w:val="000E0D6B"/>
    <w:rsid w:val="000E2C37"/>
    <w:rsid w:val="000E5043"/>
    <w:rsid w:val="000F0ED6"/>
    <w:rsid w:val="000F2427"/>
    <w:rsid w:val="000F27E6"/>
    <w:rsid w:val="000F2DB9"/>
    <w:rsid w:val="000F6D1B"/>
    <w:rsid w:val="00104037"/>
    <w:rsid w:val="00104ACA"/>
    <w:rsid w:val="00111A06"/>
    <w:rsid w:val="001121F5"/>
    <w:rsid w:val="00114214"/>
    <w:rsid w:val="00115510"/>
    <w:rsid w:val="001170D3"/>
    <w:rsid w:val="00120F59"/>
    <w:rsid w:val="0012195F"/>
    <w:rsid w:val="001326CD"/>
    <w:rsid w:val="0013395D"/>
    <w:rsid w:val="001400DC"/>
    <w:rsid w:val="00140621"/>
    <w:rsid w:val="00140CE1"/>
    <w:rsid w:val="00141AB6"/>
    <w:rsid w:val="00146E8F"/>
    <w:rsid w:val="001478AF"/>
    <w:rsid w:val="00150305"/>
    <w:rsid w:val="00151224"/>
    <w:rsid w:val="00151CF6"/>
    <w:rsid w:val="00153153"/>
    <w:rsid w:val="00153894"/>
    <w:rsid w:val="00154518"/>
    <w:rsid w:val="001554BE"/>
    <w:rsid w:val="00155549"/>
    <w:rsid w:val="00156C99"/>
    <w:rsid w:val="001577BE"/>
    <w:rsid w:val="00172B26"/>
    <w:rsid w:val="0017539C"/>
    <w:rsid w:val="00175AC2"/>
    <w:rsid w:val="0017609F"/>
    <w:rsid w:val="001815DA"/>
    <w:rsid w:val="0018670E"/>
    <w:rsid w:val="00186AFA"/>
    <w:rsid w:val="001929C3"/>
    <w:rsid w:val="00193A7C"/>
    <w:rsid w:val="00194514"/>
    <w:rsid w:val="00194C17"/>
    <w:rsid w:val="001969DC"/>
    <w:rsid w:val="0019789C"/>
    <w:rsid w:val="00197AA2"/>
    <w:rsid w:val="001A2200"/>
    <w:rsid w:val="001A2669"/>
    <w:rsid w:val="001A30E2"/>
    <w:rsid w:val="001A795A"/>
    <w:rsid w:val="001B0B81"/>
    <w:rsid w:val="001B15FB"/>
    <w:rsid w:val="001B1A6C"/>
    <w:rsid w:val="001B28DD"/>
    <w:rsid w:val="001B49BA"/>
    <w:rsid w:val="001C27D8"/>
    <w:rsid w:val="001C429A"/>
    <w:rsid w:val="001C628E"/>
    <w:rsid w:val="001C796E"/>
    <w:rsid w:val="001E0F7B"/>
    <w:rsid w:val="001E14A9"/>
    <w:rsid w:val="001E2657"/>
    <w:rsid w:val="001E2C48"/>
    <w:rsid w:val="001E3120"/>
    <w:rsid w:val="001E5367"/>
    <w:rsid w:val="001E7144"/>
    <w:rsid w:val="001F0C80"/>
    <w:rsid w:val="001F197B"/>
    <w:rsid w:val="001F21D4"/>
    <w:rsid w:val="001F3EC4"/>
    <w:rsid w:val="001F63D5"/>
    <w:rsid w:val="001F6899"/>
    <w:rsid w:val="002053FB"/>
    <w:rsid w:val="002059DC"/>
    <w:rsid w:val="00207647"/>
    <w:rsid w:val="002119FD"/>
    <w:rsid w:val="002130E0"/>
    <w:rsid w:val="002155C2"/>
    <w:rsid w:val="00216031"/>
    <w:rsid w:val="00220338"/>
    <w:rsid w:val="00223653"/>
    <w:rsid w:val="002247E1"/>
    <w:rsid w:val="002256E7"/>
    <w:rsid w:val="002303F7"/>
    <w:rsid w:val="002312DF"/>
    <w:rsid w:val="00232A97"/>
    <w:rsid w:val="002333FB"/>
    <w:rsid w:val="002401DD"/>
    <w:rsid w:val="0024650D"/>
    <w:rsid w:val="002539D0"/>
    <w:rsid w:val="00253BE0"/>
    <w:rsid w:val="00255B85"/>
    <w:rsid w:val="0026107A"/>
    <w:rsid w:val="00261415"/>
    <w:rsid w:val="002629B5"/>
    <w:rsid w:val="00264425"/>
    <w:rsid w:val="00265875"/>
    <w:rsid w:val="00266B62"/>
    <w:rsid w:val="002670C5"/>
    <w:rsid w:val="00271631"/>
    <w:rsid w:val="0027303B"/>
    <w:rsid w:val="00273AE3"/>
    <w:rsid w:val="0028109B"/>
    <w:rsid w:val="00282ADC"/>
    <w:rsid w:val="00282B25"/>
    <w:rsid w:val="00286B0A"/>
    <w:rsid w:val="00292013"/>
    <w:rsid w:val="002945BF"/>
    <w:rsid w:val="002979F3"/>
    <w:rsid w:val="002A2188"/>
    <w:rsid w:val="002A3F71"/>
    <w:rsid w:val="002A67CB"/>
    <w:rsid w:val="002A74E3"/>
    <w:rsid w:val="002B1F58"/>
    <w:rsid w:val="002B2243"/>
    <w:rsid w:val="002B72C7"/>
    <w:rsid w:val="002B7AA2"/>
    <w:rsid w:val="002C001E"/>
    <w:rsid w:val="002C1C7A"/>
    <w:rsid w:val="002C1CF9"/>
    <w:rsid w:val="002C5BD8"/>
    <w:rsid w:val="002C7B3B"/>
    <w:rsid w:val="002D02B7"/>
    <w:rsid w:val="002D051E"/>
    <w:rsid w:val="002D19C6"/>
    <w:rsid w:val="002D55D7"/>
    <w:rsid w:val="002D6554"/>
    <w:rsid w:val="002D69CE"/>
    <w:rsid w:val="002D7DAD"/>
    <w:rsid w:val="002E151D"/>
    <w:rsid w:val="002E2734"/>
    <w:rsid w:val="002E2AF7"/>
    <w:rsid w:val="002E6282"/>
    <w:rsid w:val="002E7E85"/>
    <w:rsid w:val="002F301A"/>
    <w:rsid w:val="002F5871"/>
    <w:rsid w:val="0030160F"/>
    <w:rsid w:val="00302306"/>
    <w:rsid w:val="00302CA2"/>
    <w:rsid w:val="00303D31"/>
    <w:rsid w:val="0031184D"/>
    <w:rsid w:val="003219B5"/>
    <w:rsid w:val="00322D0D"/>
    <w:rsid w:val="00332A3D"/>
    <w:rsid w:val="00336A8A"/>
    <w:rsid w:val="0034051F"/>
    <w:rsid w:val="00341381"/>
    <w:rsid w:val="003425B6"/>
    <w:rsid w:val="0034639A"/>
    <w:rsid w:val="00347A94"/>
    <w:rsid w:val="00350CE5"/>
    <w:rsid w:val="003533EB"/>
    <w:rsid w:val="00353BA0"/>
    <w:rsid w:val="00356CD9"/>
    <w:rsid w:val="00357EE3"/>
    <w:rsid w:val="0036038D"/>
    <w:rsid w:val="003627A3"/>
    <w:rsid w:val="003630EE"/>
    <w:rsid w:val="0036423B"/>
    <w:rsid w:val="00370067"/>
    <w:rsid w:val="00371D7E"/>
    <w:rsid w:val="00372D36"/>
    <w:rsid w:val="003809DC"/>
    <w:rsid w:val="003810C7"/>
    <w:rsid w:val="00386CAB"/>
    <w:rsid w:val="00392266"/>
    <w:rsid w:val="003942D4"/>
    <w:rsid w:val="003958A8"/>
    <w:rsid w:val="003A4350"/>
    <w:rsid w:val="003A4F1E"/>
    <w:rsid w:val="003A691A"/>
    <w:rsid w:val="003A72CA"/>
    <w:rsid w:val="003A7AC8"/>
    <w:rsid w:val="003B0C85"/>
    <w:rsid w:val="003B1A5B"/>
    <w:rsid w:val="003B1ACE"/>
    <w:rsid w:val="003B269A"/>
    <w:rsid w:val="003B487E"/>
    <w:rsid w:val="003B48E7"/>
    <w:rsid w:val="003B67CA"/>
    <w:rsid w:val="003B7F0E"/>
    <w:rsid w:val="003C1866"/>
    <w:rsid w:val="003C2533"/>
    <w:rsid w:val="003C4643"/>
    <w:rsid w:val="003D0E9C"/>
    <w:rsid w:val="003D2C9E"/>
    <w:rsid w:val="003D66D0"/>
    <w:rsid w:val="003D7307"/>
    <w:rsid w:val="003E31DB"/>
    <w:rsid w:val="003E39CD"/>
    <w:rsid w:val="003E6FD6"/>
    <w:rsid w:val="003E74DB"/>
    <w:rsid w:val="003E7E5F"/>
    <w:rsid w:val="003F4260"/>
    <w:rsid w:val="003F5B02"/>
    <w:rsid w:val="0040036F"/>
    <w:rsid w:val="0040435A"/>
    <w:rsid w:val="004114F7"/>
    <w:rsid w:val="00412E23"/>
    <w:rsid w:val="00412EB1"/>
    <w:rsid w:val="00416A24"/>
    <w:rsid w:val="0041701C"/>
    <w:rsid w:val="00422AE7"/>
    <w:rsid w:val="004231CF"/>
    <w:rsid w:val="00423DC4"/>
    <w:rsid w:val="004253EA"/>
    <w:rsid w:val="0042647A"/>
    <w:rsid w:val="00426C48"/>
    <w:rsid w:val="004307C6"/>
    <w:rsid w:val="00431D9E"/>
    <w:rsid w:val="00433CE8"/>
    <w:rsid w:val="00434A5C"/>
    <w:rsid w:val="00441BAA"/>
    <w:rsid w:val="004442C0"/>
    <w:rsid w:val="00446CC0"/>
    <w:rsid w:val="004502DB"/>
    <w:rsid w:val="00452070"/>
    <w:rsid w:val="0045272F"/>
    <w:rsid w:val="004544D9"/>
    <w:rsid w:val="00455835"/>
    <w:rsid w:val="00457698"/>
    <w:rsid w:val="00467B65"/>
    <w:rsid w:val="00470152"/>
    <w:rsid w:val="00470280"/>
    <w:rsid w:val="004727EA"/>
    <w:rsid w:val="00472A7C"/>
    <w:rsid w:val="0047621E"/>
    <w:rsid w:val="004800A0"/>
    <w:rsid w:val="004807B1"/>
    <w:rsid w:val="00480988"/>
    <w:rsid w:val="00481DF5"/>
    <w:rsid w:val="00483247"/>
    <w:rsid w:val="00486E8E"/>
    <w:rsid w:val="00487923"/>
    <w:rsid w:val="00487C80"/>
    <w:rsid w:val="00490E72"/>
    <w:rsid w:val="00491157"/>
    <w:rsid w:val="00491957"/>
    <w:rsid w:val="0049201B"/>
    <w:rsid w:val="004921C8"/>
    <w:rsid w:val="004A0C9F"/>
    <w:rsid w:val="004B3343"/>
    <w:rsid w:val="004B4A1C"/>
    <w:rsid w:val="004B4BE4"/>
    <w:rsid w:val="004B6555"/>
    <w:rsid w:val="004B7CBD"/>
    <w:rsid w:val="004C0477"/>
    <w:rsid w:val="004C1ED4"/>
    <w:rsid w:val="004C575E"/>
    <w:rsid w:val="004C6326"/>
    <w:rsid w:val="004D03B0"/>
    <w:rsid w:val="004D1851"/>
    <w:rsid w:val="004D3126"/>
    <w:rsid w:val="004D599D"/>
    <w:rsid w:val="004E2BA7"/>
    <w:rsid w:val="004E2EA5"/>
    <w:rsid w:val="004E3628"/>
    <w:rsid w:val="004E3AEB"/>
    <w:rsid w:val="004E66BC"/>
    <w:rsid w:val="004E686F"/>
    <w:rsid w:val="004E69F0"/>
    <w:rsid w:val="004F1AA3"/>
    <w:rsid w:val="004F1EE3"/>
    <w:rsid w:val="004F32FF"/>
    <w:rsid w:val="004F5C8A"/>
    <w:rsid w:val="004F61BE"/>
    <w:rsid w:val="004F7B42"/>
    <w:rsid w:val="0050223C"/>
    <w:rsid w:val="00502EBF"/>
    <w:rsid w:val="005037BC"/>
    <w:rsid w:val="00504632"/>
    <w:rsid w:val="0050505D"/>
    <w:rsid w:val="00505C0D"/>
    <w:rsid w:val="00507A09"/>
    <w:rsid w:val="005151C7"/>
    <w:rsid w:val="0051660F"/>
    <w:rsid w:val="00517176"/>
    <w:rsid w:val="00517317"/>
    <w:rsid w:val="0052163C"/>
    <w:rsid w:val="00522221"/>
    <w:rsid w:val="00523E9C"/>
    <w:rsid w:val="005243FF"/>
    <w:rsid w:val="0052621A"/>
    <w:rsid w:val="00530B2E"/>
    <w:rsid w:val="00531749"/>
    <w:rsid w:val="005340DB"/>
    <w:rsid w:val="005340EE"/>
    <w:rsid w:val="00534CDC"/>
    <w:rsid w:val="005359CE"/>
    <w:rsid w:val="00536F79"/>
    <w:rsid w:val="00540225"/>
    <w:rsid w:val="00541F6B"/>
    <w:rsid w:val="00542187"/>
    <w:rsid w:val="00542E13"/>
    <w:rsid w:val="0054416A"/>
    <w:rsid w:val="00550AF5"/>
    <w:rsid w:val="0055279E"/>
    <w:rsid w:val="0055477C"/>
    <w:rsid w:val="0055495F"/>
    <w:rsid w:val="00556B63"/>
    <w:rsid w:val="005613EF"/>
    <w:rsid w:val="00564092"/>
    <w:rsid w:val="005642F2"/>
    <w:rsid w:val="005648DC"/>
    <w:rsid w:val="00564FBC"/>
    <w:rsid w:val="00565814"/>
    <w:rsid w:val="00566E0A"/>
    <w:rsid w:val="00567095"/>
    <w:rsid w:val="00571155"/>
    <w:rsid w:val="00582442"/>
    <w:rsid w:val="0058253A"/>
    <w:rsid w:val="00582DE7"/>
    <w:rsid w:val="00583320"/>
    <w:rsid w:val="00586A0B"/>
    <w:rsid w:val="005877EF"/>
    <w:rsid w:val="00587F95"/>
    <w:rsid w:val="00594D15"/>
    <w:rsid w:val="00595D14"/>
    <w:rsid w:val="005A1F4D"/>
    <w:rsid w:val="005A65D9"/>
    <w:rsid w:val="005B09DC"/>
    <w:rsid w:val="005B155D"/>
    <w:rsid w:val="005B2702"/>
    <w:rsid w:val="005B27BC"/>
    <w:rsid w:val="005B3592"/>
    <w:rsid w:val="005B50CB"/>
    <w:rsid w:val="005B5B60"/>
    <w:rsid w:val="005B692A"/>
    <w:rsid w:val="005B6C2E"/>
    <w:rsid w:val="005B75AD"/>
    <w:rsid w:val="005C149F"/>
    <w:rsid w:val="005C7183"/>
    <w:rsid w:val="005D1792"/>
    <w:rsid w:val="005D19B7"/>
    <w:rsid w:val="005D1AB9"/>
    <w:rsid w:val="005D1C34"/>
    <w:rsid w:val="005D31F3"/>
    <w:rsid w:val="005D3866"/>
    <w:rsid w:val="005D5554"/>
    <w:rsid w:val="005E4959"/>
    <w:rsid w:val="005E5E35"/>
    <w:rsid w:val="005F015B"/>
    <w:rsid w:val="005F0499"/>
    <w:rsid w:val="005F11FF"/>
    <w:rsid w:val="005F2D27"/>
    <w:rsid w:val="005F3269"/>
    <w:rsid w:val="00601379"/>
    <w:rsid w:val="00601C8D"/>
    <w:rsid w:val="00606A87"/>
    <w:rsid w:val="00611F7C"/>
    <w:rsid w:val="006127AB"/>
    <w:rsid w:val="00612CA9"/>
    <w:rsid w:val="00612EB5"/>
    <w:rsid w:val="00616A76"/>
    <w:rsid w:val="00616D9D"/>
    <w:rsid w:val="006214FA"/>
    <w:rsid w:val="00621769"/>
    <w:rsid w:val="00622162"/>
    <w:rsid w:val="00623AE3"/>
    <w:rsid w:val="006261D6"/>
    <w:rsid w:val="00626E14"/>
    <w:rsid w:val="00627CEE"/>
    <w:rsid w:val="0063477E"/>
    <w:rsid w:val="006412FC"/>
    <w:rsid w:val="0064206F"/>
    <w:rsid w:val="0064737F"/>
    <w:rsid w:val="0065213F"/>
    <w:rsid w:val="006535F1"/>
    <w:rsid w:val="00654F4E"/>
    <w:rsid w:val="00655016"/>
    <w:rsid w:val="0065557D"/>
    <w:rsid w:val="006555D2"/>
    <w:rsid w:val="00655EF6"/>
    <w:rsid w:val="0065780C"/>
    <w:rsid w:val="0066260F"/>
    <w:rsid w:val="00662984"/>
    <w:rsid w:val="0066392D"/>
    <w:rsid w:val="00667106"/>
    <w:rsid w:val="006716BB"/>
    <w:rsid w:val="00674059"/>
    <w:rsid w:val="0067493D"/>
    <w:rsid w:val="00674AA7"/>
    <w:rsid w:val="0067699F"/>
    <w:rsid w:val="006819A7"/>
    <w:rsid w:val="00684703"/>
    <w:rsid w:val="006950FD"/>
    <w:rsid w:val="006956F1"/>
    <w:rsid w:val="00695A81"/>
    <w:rsid w:val="006A1E20"/>
    <w:rsid w:val="006A7F5A"/>
    <w:rsid w:val="006B1841"/>
    <w:rsid w:val="006B1A73"/>
    <w:rsid w:val="006B220C"/>
    <w:rsid w:val="006B40B5"/>
    <w:rsid w:val="006B46A8"/>
    <w:rsid w:val="006B5A06"/>
    <w:rsid w:val="006B6680"/>
    <w:rsid w:val="006B6DCC"/>
    <w:rsid w:val="006C179D"/>
    <w:rsid w:val="006C1BEE"/>
    <w:rsid w:val="006C6E78"/>
    <w:rsid w:val="006D049F"/>
    <w:rsid w:val="006D0748"/>
    <w:rsid w:val="006D14DB"/>
    <w:rsid w:val="006D32DB"/>
    <w:rsid w:val="006D3738"/>
    <w:rsid w:val="006D4DD7"/>
    <w:rsid w:val="006D68BE"/>
    <w:rsid w:val="006D71A6"/>
    <w:rsid w:val="006E2FB6"/>
    <w:rsid w:val="006E4973"/>
    <w:rsid w:val="006E5057"/>
    <w:rsid w:val="006E6662"/>
    <w:rsid w:val="006F229D"/>
    <w:rsid w:val="006F3AAA"/>
    <w:rsid w:val="006F5523"/>
    <w:rsid w:val="00702DEF"/>
    <w:rsid w:val="00703941"/>
    <w:rsid w:val="00706861"/>
    <w:rsid w:val="00714443"/>
    <w:rsid w:val="00716E4A"/>
    <w:rsid w:val="0071700D"/>
    <w:rsid w:val="007209B7"/>
    <w:rsid w:val="007255C0"/>
    <w:rsid w:val="00741836"/>
    <w:rsid w:val="0074197E"/>
    <w:rsid w:val="00741FE7"/>
    <w:rsid w:val="007434F9"/>
    <w:rsid w:val="00745F2E"/>
    <w:rsid w:val="0074793E"/>
    <w:rsid w:val="00747AFA"/>
    <w:rsid w:val="0075051B"/>
    <w:rsid w:val="00762BE0"/>
    <w:rsid w:val="00767753"/>
    <w:rsid w:val="00773CA6"/>
    <w:rsid w:val="00774DFB"/>
    <w:rsid w:val="0077580F"/>
    <w:rsid w:val="007768C6"/>
    <w:rsid w:val="00777286"/>
    <w:rsid w:val="0077735D"/>
    <w:rsid w:val="007777B0"/>
    <w:rsid w:val="00781359"/>
    <w:rsid w:val="007820AB"/>
    <w:rsid w:val="00782130"/>
    <w:rsid w:val="007858E3"/>
    <w:rsid w:val="0078774E"/>
    <w:rsid w:val="00787971"/>
    <w:rsid w:val="00791385"/>
    <w:rsid w:val="00793188"/>
    <w:rsid w:val="00794D34"/>
    <w:rsid w:val="007961B5"/>
    <w:rsid w:val="007A027C"/>
    <w:rsid w:val="007A15BB"/>
    <w:rsid w:val="007A16C6"/>
    <w:rsid w:val="007A1F46"/>
    <w:rsid w:val="007A4D9F"/>
    <w:rsid w:val="007A77F7"/>
    <w:rsid w:val="007B0926"/>
    <w:rsid w:val="007B3A8B"/>
    <w:rsid w:val="007B3F14"/>
    <w:rsid w:val="007B56BB"/>
    <w:rsid w:val="007B7530"/>
    <w:rsid w:val="007C077F"/>
    <w:rsid w:val="007C2847"/>
    <w:rsid w:val="007D2A52"/>
    <w:rsid w:val="007D32F5"/>
    <w:rsid w:val="007D3C9F"/>
    <w:rsid w:val="007E16F4"/>
    <w:rsid w:val="007E23DB"/>
    <w:rsid w:val="007F0A60"/>
    <w:rsid w:val="007F0D46"/>
    <w:rsid w:val="007F1875"/>
    <w:rsid w:val="007F34D9"/>
    <w:rsid w:val="00800189"/>
    <w:rsid w:val="00801662"/>
    <w:rsid w:val="008031D3"/>
    <w:rsid w:val="008058C0"/>
    <w:rsid w:val="00813E5E"/>
    <w:rsid w:val="0081573D"/>
    <w:rsid w:val="00815F3F"/>
    <w:rsid w:val="0082061D"/>
    <w:rsid w:val="0082506B"/>
    <w:rsid w:val="00826BB5"/>
    <w:rsid w:val="00830DA4"/>
    <w:rsid w:val="00830EC1"/>
    <w:rsid w:val="00831E84"/>
    <w:rsid w:val="008326A6"/>
    <w:rsid w:val="008327D1"/>
    <w:rsid w:val="00832AE2"/>
    <w:rsid w:val="008338E1"/>
    <w:rsid w:val="0083581B"/>
    <w:rsid w:val="008406CE"/>
    <w:rsid w:val="008426D1"/>
    <w:rsid w:val="00842DA8"/>
    <w:rsid w:val="00845B55"/>
    <w:rsid w:val="0084696C"/>
    <w:rsid w:val="0084707D"/>
    <w:rsid w:val="00856B66"/>
    <w:rsid w:val="00864AFF"/>
    <w:rsid w:val="008659FF"/>
    <w:rsid w:val="00866ECB"/>
    <w:rsid w:val="0087043F"/>
    <w:rsid w:val="00871F53"/>
    <w:rsid w:val="00872BD2"/>
    <w:rsid w:val="00873810"/>
    <w:rsid w:val="0088165B"/>
    <w:rsid w:val="0088167C"/>
    <w:rsid w:val="0088306C"/>
    <w:rsid w:val="00884927"/>
    <w:rsid w:val="00887E27"/>
    <w:rsid w:val="008914F9"/>
    <w:rsid w:val="00892B46"/>
    <w:rsid w:val="00895020"/>
    <w:rsid w:val="00895D0B"/>
    <w:rsid w:val="008A0ED9"/>
    <w:rsid w:val="008A241A"/>
    <w:rsid w:val="008A4B2F"/>
    <w:rsid w:val="008A545F"/>
    <w:rsid w:val="008A5493"/>
    <w:rsid w:val="008B0211"/>
    <w:rsid w:val="008B0B8A"/>
    <w:rsid w:val="008B17DD"/>
    <w:rsid w:val="008B1947"/>
    <w:rsid w:val="008B45CE"/>
    <w:rsid w:val="008B4A6A"/>
    <w:rsid w:val="008B5CE1"/>
    <w:rsid w:val="008B760E"/>
    <w:rsid w:val="008C0265"/>
    <w:rsid w:val="008C1247"/>
    <w:rsid w:val="008C16C7"/>
    <w:rsid w:val="008C2FC3"/>
    <w:rsid w:val="008C7E27"/>
    <w:rsid w:val="008D0C64"/>
    <w:rsid w:val="008D6145"/>
    <w:rsid w:val="008D6D1B"/>
    <w:rsid w:val="008E0123"/>
    <w:rsid w:val="008E2D89"/>
    <w:rsid w:val="008E4965"/>
    <w:rsid w:val="008E4EFD"/>
    <w:rsid w:val="008E516A"/>
    <w:rsid w:val="008E6DCA"/>
    <w:rsid w:val="008E6F9C"/>
    <w:rsid w:val="008F08CB"/>
    <w:rsid w:val="008F3C09"/>
    <w:rsid w:val="008F7617"/>
    <w:rsid w:val="008F766F"/>
    <w:rsid w:val="009055F4"/>
    <w:rsid w:val="00912B92"/>
    <w:rsid w:val="009150D3"/>
    <w:rsid w:val="009173EF"/>
    <w:rsid w:val="00917B24"/>
    <w:rsid w:val="009202A8"/>
    <w:rsid w:val="00920CE6"/>
    <w:rsid w:val="0092122E"/>
    <w:rsid w:val="00922BA8"/>
    <w:rsid w:val="00923440"/>
    <w:rsid w:val="00924949"/>
    <w:rsid w:val="00925ECE"/>
    <w:rsid w:val="00927F38"/>
    <w:rsid w:val="00932906"/>
    <w:rsid w:val="00950D92"/>
    <w:rsid w:val="00952F8C"/>
    <w:rsid w:val="00956844"/>
    <w:rsid w:val="009579CD"/>
    <w:rsid w:val="009605AE"/>
    <w:rsid w:val="00961B0B"/>
    <w:rsid w:val="00963019"/>
    <w:rsid w:val="00964670"/>
    <w:rsid w:val="00967C59"/>
    <w:rsid w:val="009700FF"/>
    <w:rsid w:val="00972549"/>
    <w:rsid w:val="00974454"/>
    <w:rsid w:val="00976514"/>
    <w:rsid w:val="00982E3B"/>
    <w:rsid w:val="0098687B"/>
    <w:rsid w:val="009874A3"/>
    <w:rsid w:val="00993257"/>
    <w:rsid w:val="009A5F68"/>
    <w:rsid w:val="009A72E2"/>
    <w:rsid w:val="009B0E05"/>
    <w:rsid w:val="009B38C3"/>
    <w:rsid w:val="009C0B1A"/>
    <w:rsid w:val="009C7F92"/>
    <w:rsid w:val="009D0321"/>
    <w:rsid w:val="009D1348"/>
    <w:rsid w:val="009D4BA0"/>
    <w:rsid w:val="009E161C"/>
    <w:rsid w:val="009E17BD"/>
    <w:rsid w:val="009E485A"/>
    <w:rsid w:val="009E48FB"/>
    <w:rsid w:val="009E4A12"/>
    <w:rsid w:val="009E53E9"/>
    <w:rsid w:val="009E7E12"/>
    <w:rsid w:val="009E7EFA"/>
    <w:rsid w:val="009F5C8C"/>
    <w:rsid w:val="009F64E7"/>
    <w:rsid w:val="009F65CC"/>
    <w:rsid w:val="009F6819"/>
    <w:rsid w:val="009F72A4"/>
    <w:rsid w:val="00A00FD6"/>
    <w:rsid w:val="00A04CEC"/>
    <w:rsid w:val="00A07EC6"/>
    <w:rsid w:val="00A16E40"/>
    <w:rsid w:val="00A21E0C"/>
    <w:rsid w:val="00A2252A"/>
    <w:rsid w:val="00A232CF"/>
    <w:rsid w:val="00A2410B"/>
    <w:rsid w:val="00A24B01"/>
    <w:rsid w:val="00A24CB2"/>
    <w:rsid w:val="00A24E2C"/>
    <w:rsid w:val="00A265C4"/>
    <w:rsid w:val="00A27F92"/>
    <w:rsid w:val="00A32257"/>
    <w:rsid w:val="00A341D8"/>
    <w:rsid w:val="00A35599"/>
    <w:rsid w:val="00A3562C"/>
    <w:rsid w:val="00A35BB8"/>
    <w:rsid w:val="00A35E53"/>
    <w:rsid w:val="00A3665E"/>
    <w:rsid w:val="00A3685F"/>
    <w:rsid w:val="00A36D20"/>
    <w:rsid w:val="00A37C25"/>
    <w:rsid w:val="00A40457"/>
    <w:rsid w:val="00A4213C"/>
    <w:rsid w:val="00A46A5C"/>
    <w:rsid w:val="00A46AEB"/>
    <w:rsid w:val="00A47073"/>
    <w:rsid w:val="00A47B04"/>
    <w:rsid w:val="00A53B6F"/>
    <w:rsid w:val="00A53F26"/>
    <w:rsid w:val="00A5460D"/>
    <w:rsid w:val="00A55622"/>
    <w:rsid w:val="00A5651A"/>
    <w:rsid w:val="00A57729"/>
    <w:rsid w:val="00A57EAD"/>
    <w:rsid w:val="00A60132"/>
    <w:rsid w:val="00A608E0"/>
    <w:rsid w:val="00A60DDE"/>
    <w:rsid w:val="00A67E17"/>
    <w:rsid w:val="00A715F7"/>
    <w:rsid w:val="00A75CE8"/>
    <w:rsid w:val="00A8219B"/>
    <w:rsid w:val="00A83502"/>
    <w:rsid w:val="00A87806"/>
    <w:rsid w:val="00A9003F"/>
    <w:rsid w:val="00A90F0B"/>
    <w:rsid w:val="00A91D43"/>
    <w:rsid w:val="00A969D4"/>
    <w:rsid w:val="00A9714C"/>
    <w:rsid w:val="00AA1707"/>
    <w:rsid w:val="00AA23D6"/>
    <w:rsid w:val="00AB259D"/>
    <w:rsid w:val="00AB6B85"/>
    <w:rsid w:val="00AB7928"/>
    <w:rsid w:val="00AC1757"/>
    <w:rsid w:val="00AC4E93"/>
    <w:rsid w:val="00AC4EC3"/>
    <w:rsid w:val="00AC5A81"/>
    <w:rsid w:val="00AD15B3"/>
    <w:rsid w:val="00AD3D37"/>
    <w:rsid w:val="00AE1A78"/>
    <w:rsid w:val="00AE7B1F"/>
    <w:rsid w:val="00AF15A5"/>
    <w:rsid w:val="00AF23BB"/>
    <w:rsid w:val="00AF6E49"/>
    <w:rsid w:val="00B008C1"/>
    <w:rsid w:val="00B019C5"/>
    <w:rsid w:val="00B04A67"/>
    <w:rsid w:val="00B0583C"/>
    <w:rsid w:val="00B06275"/>
    <w:rsid w:val="00B0658B"/>
    <w:rsid w:val="00B07681"/>
    <w:rsid w:val="00B10E6C"/>
    <w:rsid w:val="00B10EEA"/>
    <w:rsid w:val="00B11E5D"/>
    <w:rsid w:val="00B234F8"/>
    <w:rsid w:val="00B276C0"/>
    <w:rsid w:val="00B27DEF"/>
    <w:rsid w:val="00B3184F"/>
    <w:rsid w:val="00B324F7"/>
    <w:rsid w:val="00B3384F"/>
    <w:rsid w:val="00B37D7F"/>
    <w:rsid w:val="00B4033F"/>
    <w:rsid w:val="00B40A81"/>
    <w:rsid w:val="00B41CED"/>
    <w:rsid w:val="00B44910"/>
    <w:rsid w:val="00B45C87"/>
    <w:rsid w:val="00B47B1F"/>
    <w:rsid w:val="00B47FBF"/>
    <w:rsid w:val="00B5521D"/>
    <w:rsid w:val="00B621BD"/>
    <w:rsid w:val="00B64A42"/>
    <w:rsid w:val="00B66026"/>
    <w:rsid w:val="00B66660"/>
    <w:rsid w:val="00B67E05"/>
    <w:rsid w:val="00B706C0"/>
    <w:rsid w:val="00B72267"/>
    <w:rsid w:val="00B76BDE"/>
    <w:rsid w:val="00B76EB6"/>
    <w:rsid w:val="00B76FD8"/>
    <w:rsid w:val="00B7737B"/>
    <w:rsid w:val="00B803E2"/>
    <w:rsid w:val="00B80620"/>
    <w:rsid w:val="00B824C8"/>
    <w:rsid w:val="00B8448C"/>
    <w:rsid w:val="00B869A6"/>
    <w:rsid w:val="00B91751"/>
    <w:rsid w:val="00B92938"/>
    <w:rsid w:val="00B945EE"/>
    <w:rsid w:val="00B951CC"/>
    <w:rsid w:val="00B95973"/>
    <w:rsid w:val="00BA3D4E"/>
    <w:rsid w:val="00BA5091"/>
    <w:rsid w:val="00BA6730"/>
    <w:rsid w:val="00BB13CB"/>
    <w:rsid w:val="00BB1551"/>
    <w:rsid w:val="00BB33E5"/>
    <w:rsid w:val="00BB377F"/>
    <w:rsid w:val="00BB3FE6"/>
    <w:rsid w:val="00BB4C01"/>
    <w:rsid w:val="00BB727A"/>
    <w:rsid w:val="00BC0E48"/>
    <w:rsid w:val="00BC251A"/>
    <w:rsid w:val="00BD032B"/>
    <w:rsid w:val="00BD0414"/>
    <w:rsid w:val="00BD0EDD"/>
    <w:rsid w:val="00BD4488"/>
    <w:rsid w:val="00BD5628"/>
    <w:rsid w:val="00BD7B47"/>
    <w:rsid w:val="00BE01DF"/>
    <w:rsid w:val="00BE1A83"/>
    <w:rsid w:val="00BE2640"/>
    <w:rsid w:val="00BE2C2C"/>
    <w:rsid w:val="00BE3965"/>
    <w:rsid w:val="00BE39B5"/>
    <w:rsid w:val="00BE6AFF"/>
    <w:rsid w:val="00BE74F2"/>
    <w:rsid w:val="00BF5314"/>
    <w:rsid w:val="00BF5A63"/>
    <w:rsid w:val="00C00E67"/>
    <w:rsid w:val="00C01189"/>
    <w:rsid w:val="00C0157C"/>
    <w:rsid w:val="00C02DEC"/>
    <w:rsid w:val="00C03637"/>
    <w:rsid w:val="00C03709"/>
    <w:rsid w:val="00C04116"/>
    <w:rsid w:val="00C07127"/>
    <w:rsid w:val="00C10F5F"/>
    <w:rsid w:val="00C12F91"/>
    <w:rsid w:val="00C1565D"/>
    <w:rsid w:val="00C2216A"/>
    <w:rsid w:val="00C23FAE"/>
    <w:rsid w:val="00C24202"/>
    <w:rsid w:val="00C34FF0"/>
    <w:rsid w:val="00C374DE"/>
    <w:rsid w:val="00C411F7"/>
    <w:rsid w:val="00C446B5"/>
    <w:rsid w:val="00C47AD4"/>
    <w:rsid w:val="00C47B3C"/>
    <w:rsid w:val="00C51035"/>
    <w:rsid w:val="00C52D81"/>
    <w:rsid w:val="00C55198"/>
    <w:rsid w:val="00C5648A"/>
    <w:rsid w:val="00C56A5F"/>
    <w:rsid w:val="00C617AB"/>
    <w:rsid w:val="00C63B4F"/>
    <w:rsid w:val="00C70307"/>
    <w:rsid w:val="00C72709"/>
    <w:rsid w:val="00C76765"/>
    <w:rsid w:val="00C80835"/>
    <w:rsid w:val="00C81D87"/>
    <w:rsid w:val="00C82832"/>
    <w:rsid w:val="00C82CAD"/>
    <w:rsid w:val="00C86AAD"/>
    <w:rsid w:val="00C90F5D"/>
    <w:rsid w:val="00C9151B"/>
    <w:rsid w:val="00C92AFF"/>
    <w:rsid w:val="00C976B6"/>
    <w:rsid w:val="00C97760"/>
    <w:rsid w:val="00CA24E5"/>
    <w:rsid w:val="00CA6393"/>
    <w:rsid w:val="00CB18FF"/>
    <w:rsid w:val="00CB2006"/>
    <w:rsid w:val="00CB3636"/>
    <w:rsid w:val="00CB4709"/>
    <w:rsid w:val="00CB5295"/>
    <w:rsid w:val="00CB683C"/>
    <w:rsid w:val="00CC019F"/>
    <w:rsid w:val="00CC1F51"/>
    <w:rsid w:val="00CC2D1E"/>
    <w:rsid w:val="00CC5951"/>
    <w:rsid w:val="00CD0C08"/>
    <w:rsid w:val="00CD3F6B"/>
    <w:rsid w:val="00CE03FB"/>
    <w:rsid w:val="00CE3D3F"/>
    <w:rsid w:val="00CE42C2"/>
    <w:rsid w:val="00CE433C"/>
    <w:rsid w:val="00CE62CD"/>
    <w:rsid w:val="00CE6FBF"/>
    <w:rsid w:val="00CF00C5"/>
    <w:rsid w:val="00CF151D"/>
    <w:rsid w:val="00CF33F3"/>
    <w:rsid w:val="00CF3846"/>
    <w:rsid w:val="00CF4ACB"/>
    <w:rsid w:val="00D02213"/>
    <w:rsid w:val="00D06183"/>
    <w:rsid w:val="00D0680F"/>
    <w:rsid w:val="00D079A9"/>
    <w:rsid w:val="00D16067"/>
    <w:rsid w:val="00D21DE7"/>
    <w:rsid w:val="00D2233C"/>
    <w:rsid w:val="00D2237E"/>
    <w:rsid w:val="00D22C42"/>
    <w:rsid w:val="00D240C1"/>
    <w:rsid w:val="00D244B3"/>
    <w:rsid w:val="00D2672E"/>
    <w:rsid w:val="00D30639"/>
    <w:rsid w:val="00D3200D"/>
    <w:rsid w:val="00D36C5A"/>
    <w:rsid w:val="00D36CD6"/>
    <w:rsid w:val="00D47EA7"/>
    <w:rsid w:val="00D507A5"/>
    <w:rsid w:val="00D51B66"/>
    <w:rsid w:val="00D51D07"/>
    <w:rsid w:val="00D53BFD"/>
    <w:rsid w:val="00D61C73"/>
    <w:rsid w:val="00D65041"/>
    <w:rsid w:val="00D65C4C"/>
    <w:rsid w:val="00D666EA"/>
    <w:rsid w:val="00D7059D"/>
    <w:rsid w:val="00D71A3E"/>
    <w:rsid w:val="00D74F04"/>
    <w:rsid w:val="00D760C4"/>
    <w:rsid w:val="00D83525"/>
    <w:rsid w:val="00D8406C"/>
    <w:rsid w:val="00D84106"/>
    <w:rsid w:val="00D91454"/>
    <w:rsid w:val="00D94F60"/>
    <w:rsid w:val="00D95599"/>
    <w:rsid w:val="00D960C0"/>
    <w:rsid w:val="00D964BA"/>
    <w:rsid w:val="00DA0008"/>
    <w:rsid w:val="00DA2435"/>
    <w:rsid w:val="00DA40A9"/>
    <w:rsid w:val="00DA4133"/>
    <w:rsid w:val="00DA5B03"/>
    <w:rsid w:val="00DB16CB"/>
    <w:rsid w:val="00DB384B"/>
    <w:rsid w:val="00DB5E30"/>
    <w:rsid w:val="00DB6419"/>
    <w:rsid w:val="00DB7802"/>
    <w:rsid w:val="00DC185D"/>
    <w:rsid w:val="00DD5C72"/>
    <w:rsid w:val="00DD5E0A"/>
    <w:rsid w:val="00DD7293"/>
    <w:rsid w:val="00DE1306"/>
    <w:rsid w:val="00DE1464"/>
    <w:rsid w:val="00DE152E"/>
    <w:rsid w:val="00DE36F4"/>
    <w:rsid w:val="00DE3DD8"/>
    <w:rsid w:val="00DE4A99"/>
    <w:rsid w:val="00DE580F"/>
    <w:rsid w:val="00DF229F"/>
    <w:rsid w:val="00DF55C6"/>
    <w:rsid w:val="00DF5C7D"/>
    <w:rsid w:val="00DF7136"/>
    <w:rsid w:val="00E0282D"/>
    <w:rsid w:val="00E041A2"/>
    <w:rsid w:val="00E10E80"/>
    <w:rsid w:val="00E124F0"/>
    <w:rsid w:val="00E14573"/>
    <w:rsid w:val="00E166B8"/>
    <w:rsid w:val="00E22E98"/>
    <w:rsid w:val="00E31161"/>
    <w:rsid w:val="00E31AFA"/>
    <w:rsid w:val="00E45802"/>
    <w:rsid w:val="00E47022"/>
    <w:rsid w:val="00E475C3"/>
    <w:rsid w:val="00E52329"/>
    <w:rsid w:val="00E54CFA"/>
    <w:rsid w:val="00E558C9"/>
    <w:rsid w:val="00E5795B"/>
    <w:rsid w:val="00E60F04"/>
    <w:rsid w:val="00E61951"/>
    <w:rsid w:val="00E63314"/>
    <w:rsid w:val="00E71459"/>
    <w:rsid w:val="00E71A8F"/>
    <w:rsid w:val="00E72349"/>
    <w:rsid w:val="00E73C11"/>
    <w:rsid w:val="00E741C4"/>
    <w:rsid w:val="00E74231"/>
    <w:rsid w:val="00E74FC3"/>
    <w:rsid w:val="00E75A97"/>
    <w:rsid w:val="00E7622D"/>
    <w:rsid w:val="00E773FE"/>
    <w:rsid w:val="00E83AB2"/>
    <w:rsid w:val="00E841D2"/>
    <w:rsid w:val="00E8463C"/>
    <w:rsid w:val="00E854E4"/>
    <w:rsid w:val="00E87B79"/>
    <w:rsid w:val="00E91877"/>
    <w:rsid w:val="00E91982"/>
    <w:rsid w:val="00E91F7F"/>
    <w:rsid w:val="00E93113"/>
    <w:rsid w:val="00E94B9C"/>
    <w:rsid w:val="00EA2A74"/>
    <w:rsid w:val="00EA4F8D"/>
    <w:rsid w:val="00EA53AA"/>
    <w:rsid w:val="00EA66A7"/>
    <w:rsid w:val="00EA76A2"/>
    <w:rsid w:val="00EB05B0"/>
    <w:rsid w:val="00EB0D6F"/>
    <w:rsid w:val="00EB2232"/>
    <w:rsid w:val="00EB4448"/>
    <w:rsid w:val="00EB536C"/>
    <w:rsid w:val="00EB6033"/>
    <w:rsid w:val="00EB6068"/>
    <w:rsid w:val="00EB74BE"/>
    <w:rsid w:val="00EC1692"/>
    <w:rsid w:val="00EC5337"/>
    <w:rsid w:val="00EC6E27"/>
    <w:rsid w:val="00ED0C7C"/>
    <w:rsid w:val="00ED1CA6"/>
    <w:rsid w:val="00ED4E81"/>
    <w:rsid w:val="00ED5F46"/>
    <w:rsid w:val="00ED7A8F"/>
    <w:rsid w:val="00EE13EE"/>
    <w:rsid w:val="00EF45C7"/>
    <w:rsid w:val="00F04D90"/>
    <w:rsid w:val="00F07197"/>
    <w:rsid w:val="00F07A08"/>
    <w:rsid w:val="00F10176"/>
    <w:rsid w:val="00F12251"/>
    <w:rsid w:val="00F15503"/>
    <w:rsid w:val="00F164FE"/>
    <w:rsid w:val="00F20703"/>
    <w:rsid w:val="00F20F97"/>
    <w:rsid w:val="00F2150A"/>
    <w:rsid w:val="00F226E1"/>
    <w:rsid w:val="00F231D8"/>
    <w:rsid w:val="00F3016B"/>
    <w:rsid w:val="00F31B74"/>
    <w:rsid w:val="00F31FFF"/>
    <w:rsid w:val="00F320F5"/>
    <w:rsid w:val="00F35328"/>
    <w:rsid w:val="00F44797"/>
    <w:rsid w:val="00F44CA7"/>
    <w:rsid w:val="00F46C5F"/>
    <w:rsid w:val="00F4747F"/>
    <w:rsid w:val="00F52DC1"/>
    <w:rsid w:val="00F547E1"/>
    <w:rsid w:val="00F576E8"/>
    <w:rsid w:val="00F613C7"/>
    <w:rsid w:val="00F62221"/>
    <w:rsid w:val="00F624D1"/>
    <w:rsid w:val="00F63AAB"/>
    <w:rsid w:val="00F649B0"/>
    <w:rsid w:val="00F71EF7"/>
    <w:rsid w:val="00F724B7"/>
    <w:rsid w:val="00F750FB"/>
    <w:rsid w:val="00F75943"/>
    <w:rsid w:val="00F75A93"/>
    <w:rsid w:val="00F82F6F"/>
    <w:rsid w:val="00F83291"/>
    <w:rsid w:val="00F83DAB"/>
    <w:rsid w:val="00F901B7"/>
    <w:rsid w:val="00F90929"/>
    <w:rsid w:val="00F94A63"/>
    <w:rsid w:val="00F953FD"/>
    <w:rsid w:val="00FA1C28"/>
    <w:rsid w:val="00FA5A70"/>
    <w:rsid w:val="00FA5DE3"/>
    <w:rsid w:val="00FA6909"/>
    <w:rsid w:val="00FA75A7"/>
    <w:rsid w:val="00FB07EC"/>
    <w:rsid w:val="00FB1279"/>
    <w:rsid w:val="00FB7596"/>
    <w:rsid w:val="00FD0BFB"/>
    <w:rsid w:val="00FD25F6"/>
    <w:rsid w:val="00FD2E1D"/>
    <w:rsid w:val="00FD36B7"/>
    <w:rsid w:val="00FD4621"/>
    <w:rsid w:val="00FD5397"/>
    <w:rsid w:val="00FD5D41"/>
    <w:rsid w:val="00FE0C63"/>
    <w:rsid w:val="00FE1A3B"/>
    <w:rsid w:val="00FE4077"/>
    <w:rsid w:val="00FE77D2"/>
    <w:rsid w:val="00FF1037"/>
    <w:rsid w:val="00FF32E5"/>
    <w:rsid w:val="00FF4C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2E6927"/>
  <w15:docId w15:val="{6ABE08CC-082F-4C5C-B9ED-622DFE1B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5F4"/>
    <w:rPr>
      <w:rFonts w:ascii="Times New Roman" w:hAnsi="Times New Roman"/>
      <w:sz w:val="24"/>
      <w:szCs w:val="24"/>
      <w:lang w:eastAsia="en-GB"/>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uiPriority w:val="9"/>
    <w:qFormat/>
    <w:rsid w:val="00813E5E"/>
    <w:pPr>
      <w:spacing w:before="200"/>
      <w:outlineLvl w:val="2"/>
    </w:pPr>
    <w:rPr>
      <w:sz w:val="24"/>
    </w:rPr>
  </w:style>
  <w:style w:type="paragraph" w:styleId="Heading4">
    <w:name w:val="heading 4"/>
    <w:basedOn w:val="Heading3"/>
    <w:next w:val="Normal"/>
    <w:uiPriority w:val="9"/>
    <w:qFormat/>
    <w:rsid w:val="00813E5E"/>
    <w:pPr>
      <w:ind w:left="1134" w:hanging="1134"/>
      <w:outlineLvl w:val="3"/>
    </w:pPr>
  </w:style>
  <w:style w:type="paragraph" w:styleId="Heading5">
    <w:name w:val="heading 5"/>
    <w:basedOn w:val="Heading4"/>
    <w:next w:val="Normal"/>
    <w:uiPriority w:val="9"/>
    <w:qFormat/>
    <w:rsid w:val="00813E5E"/>
    <w:pPr>
      <w:outlineLvl w:val="4"/>
    </w:pPr>
  </w:style>
  <w:style w:type="paragraph" w:styleId="Heading6">
    <w:name w:val="heading 6"/>
    <w:basedOn w:val="Heading4"/>
    <w:next w:val="Normal"/>
    <w:uiPriority w:val="9"/>
    <w:qFormat/>
    <w:rsid w:val="00813E5E"/>
    <w:pPr>
      <w:outlineLvl w:val="5"/>
    </w:pPr>
  </w:style>
  <w:style w:type="paragraph" w:styleId="Heading7">
    <w:name w:val="heading 7"/>
    <w:basedOn w:val="Heading4"/>
    <w:next w:val="Normal"/>
    <w:uiPriority w:val="9"/>
    <w:qFormat/>
    <w:rsid w:val="00813E5E"/>
    <w:pPr>
      <w:ind w:left="1701" w:hanging="1701"/>
      <w:outlineLvl w:val="6"/>
    </w:pPr>
  </w:style>
  <w:style w:type="paragraph" w:styleId="Heading8">
    <w:name w:val="heading 8"/>
    <w:basedOn w:val="Heading4"/>
    <w:next w:val="Normal"/>
    <w:uiPriority w:val="9"/>
    <w:qFormat/>
    <w:rsid w:val="00813E5E"/>
    <w:pPr>
      <w:ind w:left="1701" w:hanging="1701"/>
      <w:outlineLvl w:val="7"/>
    </w:pPr>
  </w:style>
  <w:style w:type="paragraph" w:styleId="Heading9">
    <w:name w:val="heading 9"/>
    <w:basedOn w:val="Heading4"/>
    <w:next w:val="Normal"/>
    <w:uiPriority w:val="9"/>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left" w:pos="964"/>
        <w:tab w:val="left" w:leader="dot" w:pos="8789"/>
        <w:tab w:val="right" w:pos="9639"/>
      </w:tabs>
      <w:ind w:left="964" w:hanging="964"/>
    </w:pPr>
  </w:style>
  <w:style w:type="paragraph" w:styleId="TOC4">
    <w:name w:val="toc 4"/>
    <w:basedOn w:val="Normal"/>
    <w:next w:val="Normal"/>
    <w:rsid w:val="00813E5E"/>
    <w:pPr>
      <w:tabs>
        <w:tab w:val="left" w:pos="964"/>
        <w:tab w:val="left" w:pos="8789"/>
        <w:tab w:val="right" w:pos="9639"/>
      </w:tabs>
      <w:ind w:left="964" w:hanging="964"/>
    </w:pPr>
  </w:style>
  <w:style w:type="paragraph" w:styleId="TOC3">
    <w:name w:val="toc 3"/>
    <w:basedOn w:val="Normal"/>
    <w:next w:val="Normal"/>
    <w:rsid w:val="00813E5E"/>
    <w:pPr>
      <w:tabs>
        <w:tab w:val="left" w:pos="964"/>
        <w:tab w:val="left" w:leader="dot" w:pos="8789"/>
        <w:tab w:val="right" w:pos="9639"/>
      </w:tabs>
      <w:ind w:left="964" w:hanging="964"/>
    </w:pPr>
  </w:style>
  <w:style w:type="paragraph" w:styleId="TOC2">
    <w:name w:val="toc 2"/>
    <w:basedOn w:val="Normal"/>
    <w:next w:val="Normal"/>
    <w:rsid w:val="00813E5E"/>
    <w:pPr>
      <w:tabs>
        <w:tab w:val="left" w:pos="964"/>
        <w:tab w:val="left" w:leader="dot" w:pos="8789"/>
        <w:tab w:val="right" w:pos="9639"/>
      </w:tabs>
      <w:ind w:left="964" w:hanging="964"/>
    </w:pPr>
  </w:style>
  <w:style w:type="paragraph" w:styleId="TOC1">
    <w:name w:val="toc 1"/>
    <w:basedOn w:val="Normal"/>
    <w:rsid w:val="00813E5E"/>
    <w:pPr>
      <w:tabs>
        <w:tab w:val="left" w:pos="964"/>
        <w:tab w:val="left" w:leader="dot" w:pos="8789"/>
        <w:tab w:val="right" w:pos="9639"/>
      </w:tabs>
      <w:spacing w:before="240"/>
      <w:ind w:left="964" w:hanging="964"/>
    </w:pPr>
  </w:style>
  <w:style w:type="paragraph" w:styleId="TOC7">
    <w:name w:val="toc 7"/>
    <w:basedOn w:val="Normal"/>
    <w:next w:val="Normal"/>
    <w:rsid w:val="00813E5E"/>
    <w:pPr>
      <w:tabs>
        <w:tab w:val="left" w:pos="964"/>
        <w:tab w:val="left" w:leader="dot" w:pos="8789"/>
        <w:tab w:val="right" w:pos="9639"/>
      </w:tabs>
      <w:ind w:left="964" w:hanging="964"/>
    </w:pPr>
  </w:style>
  <w:style w:type="paragraph" w:styleId="TOC6">
    <w:name w:val="toc 6"/>
    <w:basedOn w:val="Normal"/>
    <w:next w:val="Normal"/>
    <w:rsid w:val="00813E5E"/>
    <w:pPr>
      <w:tabs>
        <w:tab w:val="left" w:pos="964"/>
        <w:tab w:val="left" w:leader="dot" w:pos="8789"/>
        <w:tab w:val="right" w:pos="9639"/>
      </w:tabs>
      <w:ind w:left="964" w:hanging="964"/>
    </w:pPr>
  </w:style>
  <w:style w:type="paragraph" w:styleId="TOC5">
    <w:name w:val="toc 5"/>
    <w:basedOn w:val="Normal"/>
    <w:next w:val="Normal"/>
    <w:rsid w:val="00813E5E"/>
    <w:pPr>
      <w:tabs>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left" w:pos="5954"/>
        <w:tab w:val="right" w:pos="9639"/>
      </w:tabs>
    </w:pPr>
    <w:rPr>
      <w:caps/>
      <w:noProof/>
      <w:sz w:val="16"/>
    </w:rPr>
  </w:style>
  <w:style w:type="paragraph" w:styleId="Header">
    <w:name w:val="header"/>
    <w:basedOn w:val="Normal"/>
    <w:rsid w:val="00813E5E"/>
    <w:pPr>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pPr>
  </w:style>
  <w:style w:type="paragraph" w:customStyle="1" w:styleId="toc0">
    <w:name w:val="toc 0"/>
    <w:basedOn w:val="Normal"/>
    <w:next w:val="TOC1"/>
    <w:rsid w:val="00813E5E"/>
    <w:pPr>
      <w:tabs>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spacing w:before="160"/>
      <w:ind w:left="567"/>
    </w:pPr>
    <w:rPr>
      <w:i/>
    </w:rPr>
  </w:style>
  <w:style w:type="paragraph" w:customStyle="1" w:styleId="Equationlegend">
    <w:name w:val="Equation_legend"/>
    <w:basedOn w:val="Normal"/>
    <w:rsid w:val="004D1851"/>
    <w:pPr>
      <w:tabs>
        <w:tab w:val="right" w:pos="1531"/>
      </w:tabs>
      <w:spacing w:before="80"/>
      <w:ind w:left="1701" w:hanging="1701"/>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spacing w:before="60" w:after="60"/>
    </w:p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spacing w:before="480"/>
      <w:jc w:val="center"/>
    </w:pPr>
    <w:rPr>
      <w:b/>
    </w:rPr>
  </w:style>
  <w:style w:type="paragraph" w:customStyle="1" w:styleId="ArtNo">
    <w:name w:val="Art_No"/>
    <w:basedOn w:val="Normal"/>
    <w:next w:val="Arttitle"/>
    <w:rsid w:val="00813E5E"/>
    <w:pPr>
      <w:spacing w:before="600"/>
      <w:jc w:val="center"/>
    </w:pPr>
    <w:rPr>
      <w:caps/>
      <w:sz w:val="28"/>
    </w:rPr>
  </w:style>
  <w:style w:type="paragraph" w:customStyle="1" w:styleId="Arttitle">
    <w:name w:val="Art_title"/>
    <w:basedOn w:val="Normal"/>
    <w:next w:val="Normal"/>
    <w:rsid w:val="00813E5E"/>
    <w:pPr>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left" w:pos="794"/>
        <w:tab w:val="left" w:pos="1191"/>
        <w:tab w:val="left" w:pos="1588"/>
        <w:tab w:val="left" w:pos="1985"/>
      </w:tabs>
      <w:spacing w:before="560" w:after="120"/>
      <w:jc w:val="center"/>
    </w:pPr>
    <w:rPr>
      <w:caps/>
    </w:rPr>
  </w:style>
  <w:style w:type="paragraph" w:customStyle="1" w:styleId="TextA">
    <w:name w:val="Text A"/>
    <w:rsid w:val="004F1EE3"/>
    <w:pPr>
      <w:pBdr>
        <w:top w:val="nil"/>
        <w:left w:val="nil"/>
        <w:bottom w:val="nil"/>
        <w:right w:val="nil"/>
        <w:between w:val="nil"/>
        <w:bar w:val="nil"/>
      </w:pBdr>
      <w:tabs>
        <w:tab w:val="left" w:pos="567"/>
        <w:tab w:val="left" w:pos="1134"/>
        <w:tab w:val="left" w:pos="1701"/>
        <w:tab w:val="left" w:pos="2268"/>
        <w:tab w:val="left" w:pos="2835"/>
      </w:tabs>
      <w:spacing w:before="120"/>
    </w:pPr>
    <w:rPr>
      <w:rFonts w:ascii="Calibri" w:eastAsia="Calibri" w:hAnsi="Calibri" w:cs="Calibri"/>
      <w:color w:val="000000"/>
      <w:sz w:val="24"/>
      <w:szCs w:val="24"/>
      <w:u w:color="000000"/>
      <w:bdr w:val="nil"/>
    </w:rPr>
  </w:style>
  <w:style w:type="character" w:customStyle="1" w:styleId="Ohne">
    <w:name w:val="Ohne"/>
    <w:rsid w:val="004F1EE3"/>
  </w:style>
  <w:style w:type="character" w:customStyle="1" w:styleId="Hyperlink0">
    <w:name w:val="Hyperlink.0"/>
    <w:basedOn w:val="Ohne"/>
    <w:rsid w:val="004F1EE3"/>
    <w:rPr>
      <w:color w:val="0000FF"/>
      <w:u w:val="single" w:color="0000FF"/>
    </w:rPr>
  </w:style>
  <w:style w:type="paragraph" w:customStyle="1" w:styleId="Text">
    <w:name w:val="Text"/>
    <w:rsid w:val="004F1EE3"/>
    <w:pPr>
      <w:pBdr>
        <w:top w:val="nil"/>
        <w:left w:val="nil"/>
        <w:bottom w:val="nil"/>
        <w:right w:val="nil"/>
        <w:between w:val="nil"/>
        <w:bar w:val="nil"/>
      </w:pBdr>
    </w:pPr>
    <w:rPr>
      <w:rFonts w:ascii="Times New Roman" w:hAnsi="Times New Roman"/>
      <w:color w:val="000000"/>
      <w:sz w:val="24"/>
      <w:szCs w:val="24"/>
      <w:u w:color="000000"/>
      <w:bdr w:val="nil"/>
      <w:lang w:val="en-GB"/>
    </w:rPr>
  </w:style>
  <w:style w:type="paragraph" w:customStyle="1" w:styleId="TextB">
    <w:name w:val="Text B"/>
    <w:rsid w:val="004F1EE3"/>
    <w:pPr>
      <w:pBdr>
        <w:top w:val="nil"/>
        <w:left w:val="nil"/>
        <w:bottom w:val="nil"/>
        <w:right w:val="nil"/>
        <w:between w:val="nil"/>
        <w:bar w:val="nil"/>
      </w:pBdr>
      <w:shd w:val="clear" w:color="auto" w:fill="FFFFFF"/>
    </w:pPr>
    <w:rPr>
      <w:rFonts w:ascii="Times New Roman" w:hAnsi="Times New Roman"/>
      <w:caps/>
      <w:color w:val="000000"/>
      <w:sz w:val="24"/>
      <w:szCs w:val="24"/>
      <w:u w:color="000000"/>
      <w:bdr w:val="nil"/>
      <w:shd w:val="clear" w:color="auto" w:fill="000000"/>
    </w:rPr>
  </w:style>
  <w:style w:type="character" w:customStyle="1" w:styleId="Hyperlink1">
    <w:name w:val="Hyperlink.1"/>
    <w:basedOn w:val="Ohne"/>
    <w:rsid w:val="004F1EE3"/>
    <w:rPr>
      <w:rFonts w:ascii="Calibri" w:eastAsia="Calibri" w:hAnsi="Calibri" w:cs="Calibri"/>
      <w:i/>
      <w:iCs/>
      <w:color w:val="0000FF"/>
      <w:u w:val="single" w:color="0000FF"/>
      <w:lang w:val="en-US"/>
    </w:rPr>
  </w:style>
  <w:style w:type="paragraph" w:customStyle="1" w:styleId="NumberedHeading">
    <w:name w:val="Numbered Heading"/>
    <w:rsid w:val="004F1EE3"/>
    <w:pPr>
      <w:keepNext/>
      <w:pBdr>
        <w:top w:val="nil"/>
        <w:left w:val="nil"/>
        <w:bottom w:val="nil"/>
        <w:right w:val="nil"/>
        <w:between w:val="nil"/>
        <w:bar w:val="nil"/>
      </w:pBdr>
      <w:spacing w:before="480"/>
      <w:jc w:val="both"/>
    </w:pPr>
    <w:rPr>
      <w:rFonts w:ascii="Calibri" w:eastAsia="Calibri" w:hAnsi="Calibri" w:cs="Calibri"/>
      <w:b/>
      <w:bCs/>
      <w:color w:val="000000"/>
      <w:sz w:val="24"/>
      <w:szCs w:val="24"/>
      <w:u w:color="000000"/>
      <w:bdr w:val="nil"/>
    </w:rPr>
  </w:style>
  <w:style w:type="numbering" w:customStyle="1" w:styleId="ImportierterStil1">
    <w:name w:val="Importierter Stil: 1"/>
    <w:rsid w:val="004F1EE3"/>
    <w:pPr>
      <w:numPr>
        <w:numId w:val="3"/>
      </w:numPr>
    </w:pPr>
  </w:style>
  <w:style w:type="paragraph" w:customStyle="1" w:styleId="Normalnumbered">
    <w:name w:val="Normal (numbered)"/>
    <w:rsid w:val="004F1EE3"/>
    <w:pPr>
      <w:pBdr>
        <w:top w:val="nil"/>
        <w:left w:val="nil"/>
        <w:bottom w:val="nil"/>
        <w:right w:val="nil"/>
        <w:between w:val="nil"/>
        <w:bar w:val="nil"/>
      </w:pBdr>
      <w:spacing w:before="180" w:after="120"/>
      <w:jc w:val="both"/>
    </w:pPr>
    <w:rPr>
      <w:rFonts w:ascii="Calibri" w:eastAsia="Calibri" w:hAnsi="Calibri" w:cs="Calibri"/>
      <w:color w:val="000000"/>
      <w:sz w:val="24"/>
      <w:szCs w:val="24"/>
      <w:u w:color="000000"/>
      <w:bdr w:val="nil"/>
    </w:rPr>
  </w:style>
  <w:style w:type="numbering" w:customStyle="1" w:styleId="ImportierterStil2">
    <w:name w:val="Importierter Stil: 2"/>
    <w:rsid w:val="004F1EE3"/>
    <w:pPr>
      <w:numPr>
        <w:numId w:val="5"/>
      </w:numPr>
    </w:pPr>
  </w:style>
  <w:style w:type="numbering" w:customStyle="1" w:styleId="Punkte">
    <w:name w:val="Punkte"/>
    <w:rsid w:val="004F1EE3"/>
    <w:pPr>
      <w:numPr>
        <w:numId w:val="9"/>
      </w:numPr>
    </w:pPr>
  </w:style>
  <w:style w:type="paragraph" w:styleId="ListParagraph">
    <w:name w:val="List Paragraph"/>
    <w:basedOn w:val="Normal"/>
    <w:uiPriority w:val="34"/>
    <w:qFormat/>
    <w:rsid w:val="00CB683C"/>
    <w:pPr>
      <w:ind w:left="720"/>
      <w:contextualSpacing/>
    </w:pPr>
  </w:style>
  <w:style w:type="character" w:customStyle="1" w:styleId="apple-converted-space">
    <w:name w:val="apple-converted-space"/>
    <w:basedOn w:val="DefaultParagraphFont"/>
    <w:rsid w:val="009055F4"/>
  </w:style>
  <w:style w:type="paragraph" w:styleId="BalloonText">
    <w:name w:val="Balloon Text"/>
    <w:basedOn w:val="Normal"/>
    <w:link w:val="BalloonTextChar"/>
    <w:semiHidden/>
    <w:unhideWhenUsed/>
    <w:rsid w:val="004F7B42"/>
    <w:rPr>
      <w:sz w:val="18"/>
      <w:szCs w:val="18"/>
    </w:rPr>
  </w:style>
  <w:style w:type="character" w:customStyle="1" w:styleId="BalloonTextChar">
    <w:name w:val="Balloon Text Char"/>
    <w:basedOn w:val="DefaultParagraphFont"/>
    <w:link w:val="BalloonText"/>
    <w:semiHidden/>
    <w:rsid w:val="004F7B42"/>
    <w:rPr>
      <w:rFonts w:ascii="Times New Roman" w:hAnsi="Times New Roman"/>
      <w:sz w:val="18"/>
      <w:szCs w:val="18"/>
      <w:lang w:eastAsia="en-GB"/>
    </w:rPr>
  </w:style>
  <w:style w:type="character" w:styleId="UnresolvedMention">
    <w:name w:val="Unresolved Mention"/>
    <w:basedOn w:val="DefaultParagraphFont"/>
    <w:uiPriority w:val="99"/>
    <w:semiHidden/>
    <w:unhideWhenUsed/>
    <w:rsid w:val="00774DFB"/>
    <w:rPr>
      <w:color w:val="605E5C"/>
      <w:shd w:val="clear" w:color="auto" w:fill="E1DFDD"/>
    </w:rPr>
  </w:style>
  <w:style w:type="paragraph" w:customStyle="1" w:styleId="Paratitle">
    <w:name w:val="Para title"/>
    <w:basedOn w:val="Normal"/>
    <w:qFormat/>
    <w:rsid w:val="00087CEC"/>
    <w:pPr>
      <w:keepNext/>
      <w:spacing w:before="240" w:after="60" w:line="276" w:lineRule="auto"/>
      <w:jc w:val="both"/>
    </w:pPr>
    <w:rPr>
      <w:rFonts w:ascii="Calibri" w:eastAsia="Calibri" w:hAnsi="Calibri" w:cs="Calibri"/>
      <w:b/>
      <w:bCs/>
      <w:color w:val="000000"/>
      <w:sz w:val="22"/>
      <w:szCs w:val="22"/>
      <w:u w:color="000000"/>
    </w:rPr>
  </w:style>
  <w:style w:type="character" w:styleId="CommentReference">
    <w:name w:val="annotation reference"/>
    <w:basedOn w:val="DefaultParagraphFont"/>
    <w:semiHidden/>
    <w:unhideWhenUsed/>
    <w:rsid w:val="00CF00C5"/>
    <w:rPr>
      <w:sz w:val="16"/>
      <w:szCs w:val="16"/>
    </w:rPr>
  </w:style>
  <w:style w:type="paragraph" w:styleId="CommentText">
    <w:name w:val="annotation text"/>
    <w:basedOn w:val="Normal"/>
    <w:link w:val="CommentTextChar"/>
    <w:unhideWhenUsed/>
    <w:rsid w:val="00CF00C5"/>
    <w:rPr>
      <w:sz w:val="20"/>
      <w:szCs w:val="20"/>
    </w:rPr>
  </w:style>
  <w:style w:type="character" w:customStyle="1" w:styleId="CommentTextChar">
    <w:name w:val="Comment Text Char"/>
    <w:basedOn w:val="DefaultParagraphFont"/>
    <w:link w:val="CommentText"/>
    <w:rsid w:val="00CF00C5"/>
    <w:rPr>
      <w:rFonts w:ascii="Times New Roman" w:hAnsi="Times New Roman"/>
      <w:lang w:eastAsia="en-GB"/>
    </w:rPr>
  </w:style>
  <w:style w:type="paragraph" w:styleId="CommentSubject">
    <w:name w:val="annotation subject"/>
    <w:basedOn w:val="CommentText"/>
    <w:next w:val="CommentText"/>
    <w:link w:val="CommentSubjectChar"/>
    <w:semiHidden/>
    <w:unhideWhenUsed/>
    <w:rsid w:val="00CF00C5"/>
    <w:rPr>
      <w:b/>
      <w:bCs/>
    </w:rPr>
  </w:style>
  <w:style w:type="character" w:customStyle="1" w:styleId="CommentSubjectChar">
    <w:name w:val="Comment Subject Char"/>
    <w:basedOn w:val="CommentTextChar"/>
    <w:link w:val="CommentSubject"/>
    <w:semiHidden/>
    <w:rsid w:val="00CF00C5"/>
    <w:rPr>
      <w:rFonts w:ascii="Times New Roman" w:hAnsi="Times New Roman"/>
      <w:b/>
      <w:bCs/>
      <w:lang w:eastAsia="en-GB"/>
    </w:rPr>
  </w:style>
  <w:style w:type="paragraph" w:customStyle="1" w:styleId="Default">
    <w:name w:val="Default"/>
    <w:rsid w:val="0034639A"/>
    <w:pPr>
      <w:autoSpaceDE w:val="0"/>
      <w:autoSpaceDN w:val="0"/>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0870">
      <w:bodyDiv w:val="1"/>
      <w:marLeft w:val="0"/>
      <w:marRight w:val="0"/>
      <w:marTop w:val="0"/>
      <w:marBottom w:val="0"/>
      <w:divBdr>
        <w:top w:val="none" w:sz="0" w:space="0" w:color="auto"/>
        <w:left w:val="none" w:sz="0" w:space="0" w:color="auto"/>
        <w:bottom w:val="none" w:sz="0" w:space="0" w:color="auto"/>
        <w:right w:val="none" w:sz="0" w:space="0" w:color="auto"/>
      </w:divBdr>
    </w:div>
    <w:div w:id="309019404">
      <w:bodyDiv w:val="1"/>
      <w:marLeft w:val="0"/>
      <w:marRight w:val="0"/>
      <w:marTop w:val="0"/>
      <w:marBottom w:val="0"/>
      <w:divBdr>
        <w:top w:val="none" w:sz="0" w:space="0" w:color="auto"/>
        <w:left w:val="none" w:sz="0" w:space="0" w:color="auto"/>
        <w:bottom w:val="none" w:sz="0" w:space="0" w:color="auto"/>
        <w:right w:val="none" w:sz="0" w:space="0" w:color="auto"/>
      </w:divBdr>
    </w:div>
    <w:div w:id="375131425">
      <w:bodyDiv w:val="1"/>
      <w:marLeft w:val="0"/>
      <w:marRight w:val="0"/>
      <w:marTop w:val="0"/>
      <w:marBottom w:val="0"/>
      <w:divBdr>
        <w:top w:val="none" w:sz="0" w:space="0" w:color="auto"/>
        <w:left w:val="none" w:sz="0" w:space="0" w:color="auto"/>
        <w:bottom w:val="none" w:sz="0" w:space="0" w:color="auto"/>
        <w:right w:val="none" w:sz="0" w:space="0" w:color="auto"/>
      </w:divBdr>
    </w:div>
    <w:div w:id="568030384">
      <w:bodyDiv w:val="1"/>
      <w:marLeft w:val="0"/>
      <w:marRight w:val="0"/>
      <w:marTop w:val="0"/>
      <w:marBottom w:val="0"/>
      <w:divBdr>
        <w:top w:val="none" w:sz="0" w:space="0" w:color="auto"/>
        <w:left w:val="none" w:sz="0" w:space="0" w:color="auto"/>
        <w:bottom w:val="none" w:sz="0" w:space="0" w:color="auto"/>
        <w:right w:val="none" w:sz="0" w:space="0" w:color="auto"/>
      </w:divBdr>
    </w:div>
    <w:div w:id="895045025">
      <w:bodyDiv w:val="1"/>
      <w:marLeft w:val="0"/>
      <w:marRight w:val="0"/>
      <w:marTop w:val="0"/>
      <w:marBottom w:val="0"/>
      <w:divBdr>
        <w:top w:val="none" w:sz="0" w:space="0" w:color="auto"/>
        <w:left w:val="none" w:sz="0" w:space="0" w:color="auto"/>
        <w:bottom w:val="none" w:sz="0" w:space="0" w:color="auto"/>
        <w:right w:val="none" w:sz="0" w:space="0" w:color="auto"/>
      </w:divBdr>
    </w:div>
    <w:div w:id="903950880">
      <w:bodyDiv w:val="1"/>
      <w:marLeft w:val="0"/>
      <w:marRight w:val="0"/>
      <w:marTop w:val="0"/>
      <w:marBottom w:val="0"/>
      <w:divBdr>
        <w:top w:val="none" w:sz="0" w:space="0" w:color="auto"/>
        <w:left w:val="none" w:sz="0" w:space="0" w:color="auto"/>
        <w:bottom w:val="none" w:sz="0" w:space="0" w:color="auto"/>
        <w:right w:val="none" w:sz="0" w:space="0" w:color="auto"/>
      </w:divBdr>
    </w:div>
    <w:div w:id="1050495939">
      <w:bodyDiv w:val="1"/>
      <w:marLeft w:val="0"/>
      <w:marRight w:val="0"/>
      <w:marTop w:val="0"/>
      <w:marBottom w:val="0"/>
      <w:divBdr>
        <w:top w:val="none" w:sz="0" w:space="0" w:color="auto"/>
        <w:left w:val="none" w:sz="0" w:space="0" w:color="auto"/>
        <w:bottom w:val="none" w:sz="0" w:space="0" w:color="auto"/>
        <w:right w:val="none" w:sz="0" w:space="0" w:color="auto"/>
      </w:divBdr>
    </w:div>
    <w:div w:id="1103649858">
      <w:bodyDiv w:val="1"/>
      <w:marLeft w:val="0"/>
      <w:marRight w:val="0"/>
      <w:marTop w:val="0"/>
      <w:marBottom w:val="0"/>
      <w:divBdr>
        <w:top w:val="none" w:sz="0" w:space="0" w:color="auto"/>
        <w:left w:val="none" w:sz="0" w:space="0" w:color="auto"/>
        <w:bottom w:val="none" w:sz="0" w:space="0" w:color="auto"/>
        <w:right w:val="none" w:sz="0" w:space="0" w:color="auto"/>
      </w:divBdr>
    </w:div>
    <w:div w:id="1104808128">
      <w:bodyDiv w:val="1"/>
      <w:marLeft w:val="0"/>
      <w:marRight w:val="0"/>
      <w:marTop w:val="0"/>
      <w:marBottom w:val="0"/>
      <w:divBdr>
        <w:top w:val="none" w:sz="0" w:space="0" w:color="auto"/>
        <w:left w:val="none" w:sz="0" w:space="0" w:color="auto"/>
        <w:bottom w:val="none" w:sz="0" w:space="0" w:color="auto"/>
        <w:right w:val="none" w:sz="0" w:space="0" w:color="auto"/>
      </w:divBdr>
    </w:div>
    <w:div w:id="1112437012">
      <w:bodyDiv w:val="1"/>
      <w:marLeft w:val="0"/>
      <w:marRight w:val="0"/>
      <w:marTop w:val="0"/>
      <w:marBottom w:val="0"/>
      <w:divBdr>
        <w:top w:val="none" w:sz="0" w:space="0" w:color="auto"/>
        <w:left w:val="none" w:sz="0" w:space="0" w:color="auto"/>
        <w:bottom w:val="none" w:sz="0" w:space="0" w:color="auto"/>
        <w:right w:val="none" w:sz="0" w:space="0" w:color="auto"/>
      </w:divBdr>
    </w:div>
    <w:div w:id="1148208245">
      <w:bodyDiv w:val="1"/>
      <w:marLeft w:val="0"/>
      <w:marRight w:val="0"/>
      <w:marTop w:val="0"/>
      <w:marBottom w:val="0"/>
      <w:divBdr>
        <w:top w:val="none" w:sz="0" w:space="0" w:color="auto"/>
        <w:left w:val="none" w:sz="0" w:space="0" w:color="auto"/>
        <w:bottom w:val="none" w:sz="0" w:space="0" w:color="auto"/>
        <w:right w:val="none" w:sz="0" w:space="0" w:color="auto"/>
      </w:divBdr>
    </w:div>
    <w:div w:id="1313750854">
      <w:bodyDiv w:val="1"/>
      <w:marLeft w:val="0"/>
      <w:marRight w:val="0"/>
      <w:marTop w:val="0"/>
      <w:marBottom w:val="0"/>
      <w:divBdr>
        <w:top w:val="none" w:sz="0" w:space="0" w:color="auto"/>
        <w:left w:val="none" w:sz="0" w:space="0" w:color="auto"/>
        <w:bottom w:val="none" w:sz="0" w:space="0" w:color="auto"/>
        <w:right w:val="none" w:sz="0" w:space="0" w:color="auto"/>
      </w:divBdr>
    </w:div>
    <w:div w:id="1323698382">
      <w:bodyDiv w:val="1"/>
      <w:marLeft w:val="0"/>
      <w:marRight w:val="0"/>
      <w:marTop w:val="0"/>
      <w:marBottom w:val="0"/>
      <w:divBdr>
        <w:top w:val="none" w:sz="0" w:space="0" w:color="auto"/>
        <w:left w:val="none" w:sz="0" w:space="0" w:color="auto"/>
        <w:bottom w:val="none" w:sz="0" w:space="0" w:color="auto"/>
        <w:right w:val="none" w:sz="0" w:space="0" w:color="auto"/>
      </w:divBdr>
    </w:div>
    <w:div w:id="1414013215">
      <w:bodyDiv w:val="1"/>
      <w:marLeft w:val="0"/>
      <w:marRight w:val="0"/>
      <w:marTop w:val="0"/>
      <w:marBottom w:val="0"/>
      <w:divBdr>
        <w:top w:val="none" w:sz="0" w:space="0" w:color="auto"/>
        <w:left w:val="none" w:sz="0" w:space="0" w:color="auto"/>
        <w:bottom w:val="none" w:sz="0" w:space="0" w:color="auto"/>
        <w:right w:val="none" w:sz="0" w:space="0" w:color="auto"/>
      </w:divBdr>
    </w:div>
    <w:div w:id="1497258419">
      <w:bodyDiv w:val="1"/>
      <w:marLeft w:val="0"/>
      <w:marRight w:val="0"/>
      <w:marTop w:val="0"/>
      <w:marBottom w:val="0"/>
      <w:divBdr>
        <w:top w:val="none" w:sz="0" w:space="0" w:color="auto"/>
        <w:left w:val="none" w:sz="0" w:space="0" w:color="auto"/>
        <w:bottom w:val="none" w:sz="0" w:space="0" w:color="auto"/>
        <w:right w:val="none" w:sz="0" w:space="0" w:color="auto"/>
      </w:divBdr>
    </w:div>
    <w:div w:id="1827088793">
      <w:bodyDiv w:val="1"/>
      <w:marLeft w:val="0"/>
      <w:marRight w:val="0"/>
      <w:marTop w:val="0"/>
      <w:marBottom w:val="0"/>
      <w:divBdr>
        <w:top w:val="none" w:sz="0" w:space="0" w:color="auto"/>
        <w:left w:val="none" w:sz="0" w:space="0" w:color="auto"/>
        <w:bottom w:val="none" w:sz="0" w:space="0" w:color="auto"/>
        <w:right w:val="none" w:sz="0" w:space="0" w:color="auto"/>
      </w:divBdr>
    </w:div>
    <w:div w:id="1836336975">
      <w:bodyDiv w:val="1"/>
      <w:marLeft w:val="0"/>
      <w:marRight w:val="0"/>
      <w:marTop w:val="0"/>
      <w:marBottom w:val="0"/>
      <w:divBdr>
        <w:top w:val="none" w:sz="0" w:space="0" w:color="auto"/>
        <w:left w:val="none" w:sz="0" w:space="0" w:color="auto"/>
        <w:bottom w:val="none" w:sz="0" w:space="0" w:color="auto"/>
        <w:right w:val="none" w:sz="0" w:space="0" w:color="auto"/>
      </w:divBdr>
    </w:div>
    <w:div w:id="1848709798">
      <w:bodyDiv w:val="1"/>
      <w:marLeft w:val="0"/>
      <w:marRight w:val="0"/>
      <w:marTop w:val="0"/>
      <w:marBottom w:val="0"/>
      <w:divBdr>
        <w:top w:val="none" w:sz="0" w:space="0" w:color="auto"/>
        <w:left w:val="none" w:sz="0" w:space="0" w:color="auto"/>
        <w:bottom w:val="none" w:sz="0" w:space="0" w:color="auto"/>
        <w:right w:val="none" w:sz="0" w:space="0" w:color="auto"/>
      </w:divBdr>
    </w:div>
    <w:div w:id="186544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4-CL-C-0022/en" TargetMode="External"/><Relationship Id="rId18" Type="http://schemas.openxmlformats.org/officeDocument/2006/relationships/hyperlink" Target="https://www.itu.int/md/S19-CL-C-0022/e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en/council/Pages/imac.asp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S13-CL-C-0065/en" TargetMode="External"/><Relationship Id="rId17" Type="http://schemas.openxmlformats.org/officeDocument/2006/relationships/hyperlink" Target="https://www.itu.int/md/S18-CL-C-0022/en" TargetMode="External"/><Relationship Id="rId25" Type="http://schemas.openxmlformats.org/officeDocument/2006/relationships/hyperlink" Target="http://www.itu.int/imac"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itu.int/md/S17-CL-C-0022/en" TargetMode="External"/><Relationship Id="rId20" Type="http://schemas.openxmlformats.org/officeDocument/2006/relationships/hyperlink" Target="http://www.itu.int/en/council/Pages/imac.aspx"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2-CL-C-0044/en" TargetMode="External"/><Relationship Id="rId24" Type="http://schemas.openxmlformats.org/officeDocument/2006/relationships/hyperlink" Target="https://www.unjiu.org/sites/www.unjiu.org/files/jiu_rep_2020_1_english_0.pdf"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tu.int/md/S16-CL-C-0022/en" TargetMode="External"/><Relationship Id="rId23" Type="http://schemas.openxmlformats.org/officeDocument/2006/relationships/hyperlink" Target="https://www.unjiu.org/sites/www.unjiu.org/files/jiu_rep_2019_6_english_0.pdf" TargetMode="External"/><Relationship Id="rId28" Type="http://schemas.openxmlformats.org/officeDocument/2006/relationships/footer" Target="footer2.xml"/><Relationship Id="rId10" Type="http://schemas.openxmlformats.org/officeDocument/2006/relationships/hyperlink" Target="https://www.itu.int/md/S19-CL-C-0132/en" TargetMode="External"/><Relationship Id="rId19" Type="http://schemas.openxmlformats.org/officeDocument/2006/relationships/hyperlink" Target="https://www.itu.int/md/S20-CL-C-0022/en"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en/council/Documents/basic-texts/RES-162-E.pdf" TargetMode="External"/><Relationship Id="rId14" Type="http://schemas.openxmlformats.org/officeDocument/2006/relationships/hyperlink" Target="http://www.itu.int/md/S15-CL-C-0022/en" TargetMode="External"/><Relationship Id="rId22" Type="http://schemas.openxmlformats.org/officeDocument/2006/relationships/hyperlink" Target="http://www.itu.int/en/council/Pages/default.aspx" TargetMode="External"/><Relationship Id="rId27" Type="http://schemas.openxmlformats.org/officeDocument/2006/relationships/footer" Target="footer1.xm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6F9CD-2714-4BAB-8B3C-9C3986925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5302</Words>
  <Characters>30123</Characters>
  <Application>Microsoft Office Word</Application>
  <DocSecurity>0</DocSecurity>
  <Lines>251</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Eighth annual report of the Independent Management Advisory Committee (IMAC)</vt:lpstr>
      <vt:lpstr>Eighth annual report of the Independent Management Advisory Committee (IMAC)</vt:lpstr>
    </vt:vector>
  </TitlesOfParts>
  <Manager>General Secretariat - Pool</Manager>
  <Company>International Telecommunication Union (ITU)</Company>
  <LinksUpToDate>false</LinksUpToDate>
  <CharactersWithSpaces>35355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Eighth annual report of the Independent Management Advisory Committee (IMAC)</dc:title>
  <dc:subject>Council 2019</dc:subject>
  <dc:creator>Brouard, Ricarda</dc:creator>
  <cp:keywords>C2019, C19</cp:keywords>
  <dc:description/>
  <cp:lastModifiedBy>Brouard, Ricarda</cp:lastModifiedBy>
  <cp:revision>3</cp:revision>
  <cp:lastPrinted>2020-06-02T00:08:00Z</cp:lastPrinted>
  <dcterms:created xsi:type="dcterms:W3CDTF">2021-05-12T16:34:00Z</dcterms:created>
  <dcterms:modified xsi:type="dcterms:W3CDTF">2021-05-12T16:35:00Z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