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BD74F2" w:rsidRPr="006657A8" w14:paraId="01AD6CD3" w14:textId="77777777">
        <w:trPr>
          <w:cantSplit/>
        </w:trPr>
        <w:tc>
          <w:tcPr>
            <w:tcW w:w="6912" w:type="dxa"/>
          </w:tcPr>
          <w:p w14:paraId="5FB3B524" w14:textId="56198E5B" w:rsidR="00BD74F2" w:rsidRPr="006657A8" w:rsidRDefault="00E6551C" w:rsidP="00C2727F">
            <w:pPr>
              <w:spacing w:before="360"/>
              <w:rPr>
                <w:szCs w:val="24"/>
              </w:rPr>
            </w:pPr>
            <w:bookmarkStart w:id="0" w:name="dc06"/>
            <w:bookmarkStart w:id="1" w:name="dbluepink" w:colFirst="0" w:colLast="0"/>
            <w:bookmarkEnd w:id="0"/>
            <w:r w:rsidRPr="00093EEB">
              <w:rPr>
                <w:b/>
                <w:bCs/>
                <w:sz w:val="30"/>
                <w:szCs w:val="30"/>
              </w:rPr>
              <w:t>Consejo 20</w:t>
            </w:r>
            <w:r>
              <w:rPr>
                <w:b/>
                <w:bCs/>
                <w:sz w:val="30"/>
                <w:szCs w:val="30"/>
              </w:rPr>
              <w:t>21</w:t>
            </w:r>
            <w:r w:rsidRPr="00093EEB">
              <w:rPr>
                <w:b/>
                <w:bCs/>
                <w:sz w:val="26"/>
                <w:szCs w:val="26"/>
              </w:rPr>
              <w:br/>
            </w:r>
            <w:bookmarkStart w:id="2" w:name="lt_pId446"/>
            <w:r w:rsidRPr="000007D1">
              <w:rPr>
                <w:b/>
                <w:bCs/>
                <w:sz w:val="26"/>
                <w:szCs w:val="26"/>
              </w:rPr>
              <w:t>Consulta virtual de los consejeros</w:t>
            </w:r>
            <w:bookmarkEnd w:id="2"/>
            <w:r w:rsidRPr="000007D1">
              <w:rPr>
                <w:b/>
                <w:bCs/>
                <w:sz w:val="26"/>
                <w:szCs w:val="26"/>
              </w:rPr>
              <w:t>, 8-18 de junio de 2021</w:t>
            </w:r>
          </w:p>
        </w:tc>
        <w:tc>
          <w:tcPr>
            <w:tcW w:w="3261" w:type="dxa"/>
          </w:tcPr>
          <w:p w14:paraId="0C38FF79" w14:textId="77777777" w:rsidR="00BD74F2" w:rsidRPr="006657A8" w:rsidRDefault="00BD74F2" w:rsidP="007955DA">
            <w:pPr>
              <w:spacing w:before="0"/>
              <w:rPr>
                <w:szCs w:val="24"/>
              </w:rPr>
            </w:pPr>
            <w:bookmarkStart w:id="3" w:name="ditulogo"/>
            <w:bookmarkEnd w:id="3"/>
            <w:r w:rsidRPr="006657A8">
              <w:rPr>
                <w:noProof/>
              </w:rPr>
              <w:drawing>
                <wp:inline distT="0" distB="0" distL="0" distR="0" wp14:anchorId="5ACD31AE" wp14:editId="0CF7D68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D74F2" w:rsidRPr="006657A8" w14:paraId="7A20F1F9" w14:textId="77777777">
        <w:trPr>
          <w:cantSplit/>
          <w:trHeight w:val="20"/>
        </w:trPr>
        <w:tc>
          <w:tcPr>
            <w:tcW w:w="10173" w:type="dxa"/>
            <w:gridSpan w:val="2"/>
            <w:tcBorders>
              <w:bottom w:val="single" w:sz="12" w:space="0" w:color="auto"/>
            </w:tcBorders>
          </w:tcPr>
          <w:p w14:paraId="7534800A" w14:textId="77777777" w:rsidR="00BD74F2" w:rsidRPr="006657A8" w:rsidRDefault="00BD74F2">
            <w:pPr>
              <w:spacing w:before="0"/>
              <w:rPr>
                <w:b/>
                <w:bCs/>
                <w:szCs w:val="24"/>
              </w:rPr>
            </w:pPr>
          </w:p>
        </w:tc>
      </w:tr>
      <w:tr w:rsidR="00BD74F2" w:rsidRPr="006657A8" w14:paraId="30A7BB77" w14:textId="77777777">
        <w:trPr>
          <w:cantSplit/>
          <w:trHeight w:val="20"/>
        </w:trPr>
        <w:tc>
          <w:tcPr>
            <w:tcW w:w="6912" w:type="dxa"/>
            <w:tcBorders>
              <w:top w:val="single" w:sz="12" w:space="0" w:color="auto"/>
            </w:tcBorders>
          </w:tcPr>
          <w:p w14:paraId="5CEFD56A" w14:textId="77777777" w:rsidR="00BD74F2" w:rsidRPr="006657A8" w:rsidRDefault="00BD74F2">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7DB3C5D" w14:textId="77777777" w:rsidR="00BD74F2" w:rsidRPr="006657A8" w:rsidRDefault="00BD74F2">
            <w:pPr>
              <w:spacing w:before="0"/>
              <w:rPr>
                <w:b/>
                <w:bCs/>
                <w:szCs w:val="24"/>
              </w:rPr>
            </w:pPr>
          </w:p>
        </w:tc>
      </w:tr>
      <w:tr w:rsidR="00BD74F2" w:rsidRPr="006657A8" w14:paraId="0AC25E20" w14:textId="77777777">
        <w:trPr>
          <w:cantSplit/>
          <w:trHeight w:val="20"/>
        </w:trPr>
        <w:tc>
          <w:tcPr>
            <w:tcW w:w="6912" w:type="dxa"/>
            <w:shd w:val="clear" w:color="auto" w:fill="auto"/>
          </w:tcPr>
          <w:p w14:paraId="2DCF8B7D" w14:textId="77777777" w:rsidR="00BD74F2" w:rsidRPr="006657A8" w:rsidRDefault="00BD74F2" w:rsidP="0003750A">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bookmarkEnd w:id="1"/>
            <w:r w:rsidRPr="006657A8">
              <w:rPr>
                <w:rFonts w:cs="Times"/>
                <w:b/>
                <w:szCs w:val="24"/>
              </w:rPr>
              <w:t>Punto del orden del día: PL 2.1</w:t>
            </w:r>
          </w:p>
        </w:tc>
        <w:tc>
          <w:tcPr>
            <w:tcW w:w="3261" w:type="dxa"/>
          </w:tcPr>
          <w:p w14:paraId="0E270A49" w14:textId="77777777" w:rsidR="00BD74F2" w:rsidRPr="006657A8" w:rsidRDefault="00BD74F2" w:rsidP="0003750A">
            <w:pPr>
              <w:spacing w:before="0"/>
              <w:rPr>
                <w:b/>
                <w:bCs/>
                <w:szCs w:val="24"/>
              </w:rPr>
            </w:pPr>
            <w:r w:rsidRPr="006657A8">
              <w:rPr>
                <w:b/>
                <w:bCs/>
                <w:szCs w:val="24"/>
              </w:rPr>
              <w:t>Documento C21/19-S</w:t>
            </w:r>
          </w:p>
        </w:tc>
      </w:tr>
      <w:tr w:rsidR="00BD74F2" w:rsidRPr="006657A8" w14:paraId="1DD1B2E0" w14:textId="77777777">
        <w:trPr>
          <w:cantSplit/>
          <w:trHeight w:val="20"/>
        </w:trPr>
        <w:tc>
          <w:tcPr>
            <w:tcW w:w="6912" w:type="dxa"/>
            <w:shd w:val="clear" w:color="auto" w:fill="auto"/>
          </w:tcPr>
          <w:p w14:paraId="5DA1AFAA" w14:textId="77777777" w:rsidR="00BD74F2" w:rsidRPr="006657A8" w:rsidRDefault="00BD74F2" w:rsidP="0003750A">
            <w:pPr>
              <w:shd w:val="solid" w:color="FFFFFF" w:fill="FFFFFF"/>
              <w:spacing w:before="0"/>
              <w:rPr>
                <w:smallCaps/>
                <w:szCs w:val="24"/>
              </w:rPr>
            </w:pPr>
            <w:bookmarkStart w:id="6" w:name="ddate" w:colFirst="1" w:colLast="1"/>
            <w:bookmarkEnd w:id="4"/>
            <w:bookmarkEnd w:id="5"/>
          </w:p>
        </w:tc>
        <w:tc>
          <w:tcPr>
            <w:tcW w:w="3261" w:type="dxa"/>
          </w:tcPr>
          <w:p w14:paraId="1EDCF5E2" w14:textId="77777777" w:rsidR="00BD74F2" w:rsidRPr="006657A8" w:rsidRDefault="00BD74F2" w:rsidP="0003750A">
            <w:pPr>
              <w:spacing w:before="0"/>
              <w:rPr>
                <w:b/>
                <w:bCs/>
                <w:szCs w:val="24"/>
              </w:rPr>
            </w:pPr>
            <w:r w:rsidRPr="006657A8">
              <w:rPr>
                <w:b/>
                <w:bCs/>
                <w:szCs w:val="24"/>
              </w:rPr>
              <w:t>23 de marzo de 2021</w:t>
            </w:r>
          </w:p>
        </w:tc>
      </w:tr>
      <w:tr w:rsidR="00BD74F2" w:rsidRPr="006657A8" w14:paraId="733FBFE1" w14:textId="77777777">
        <w:trPr>
          <w:cantSplit/>
          <w:trHeight w:val="20"/>
        </w:trPr>
        <w:tc>
          <w:tcPr>
            <w:tcW w:w="6912" w:type="dxa"/>
            <w:shd w:val="clear" w:color="auto" w:fill="auto"/>
          </w:tcPr>
          <w:p w14:paraId="10C7F1B4" w14:textId="77777777" w:rsidR="00BD74F2" w:rsidRPr="006657A8" w:rsidRDefault="00BD74F2" w:rsidP="0003750A">
            <w:pPr>
              <w:shd w:val="solid" w:color="FFFFFF" w:fill="FFFFFF"/>
              <w:spacing w:before="0"/>
              <w:rPr>
                <w:smallCaps/>
                <w:szCs w:val="24"/>
              </w:rPr>
            </w:pPr>
            <w:bookmarkStart w:id="7" w:name="dorlang" w:colFirst="1" w:colLast="1"/>
            <w:bookmarkEnd w:id="6"/>
          </w:p>
        </w:tc>
        <w:tc>
          <w:tcPr>
            <w:tcW w:w="3261" w:type="dxa"/>
          </w:tcPr>
          <w:p w14:paraId="61902DF3" w14:textId="77777777" w:rsidR="00BD74F2" w:rsidRPr="006657A8" w:rsidRDefault="00BD74F2" w:rsidP="0003750A">
            <w:pPr>
              <w:spacing w:before="0"/>
              <w:rPr>
                <w:b/>
                <w:bCs/>
                <w:szCs w:val="24"/>
              </w:rPr>
            </w:pPr>
            <w:r w:rsidRPr="006657A8">
              <w:rPr>
                <w:b/>
                <w:bCs/>
                <w:szCs w:val="24"/>
              </w:rPr>
              <w:t>Original: inglés</w:t>
            </w:r>
          </w:p>
        </w:tc>
      </w:tr>
      <w:tr w:rsidR="00BD74F2" w:rsidRPr="006657A8" w14:paraId="78C7FCD8" w14:textId="77777777">
        <w:trPr>
          <w:cantSplit/>
        </w:trPr>
        <w:tc>
          <w:tcPr>
            <w:tcW w:w="10173" w:type="dxa"/>
            <w:gridSpan w:val="2"/>
          </w:tcPr>
          <w:p w14:paraId="6FB11D8F" w14:textId="77777777" w:rsidR="00BD74F2" w:rsidRPr="006657A8" w:rsidRDefault="00BD74F2" w:rsidP="0003750A">
            <w:pPr>
              <w:pStyle w:val="Source"/>
            </w:pPr>
            <w:bookmarkStart w:id="8" w:name="dsource" w:colFirst="0" w:colLast="0"/>
            <w:bookmarkEnd w:id="7"/>
            <w:r w:rsidRPr="006657A8">
              <w:t>Informe del Secretario General</w:t>
            </w:r>
          </w:p>
        </w:tc>
      </w:tr>
      <w:tr w:rsidR="00BD74F2" w:rsidRPr="006657A8" w14:paraId="3250B522" w14:textId="77777777">
        <w:trPr>
          <w:cantSplit/>
        </w:trPr>
        <w:tc>
          <w:tcPr>
            <w:tcW w:w="10173" w:type="dxa"/>
            <w:gridSpan w:val="2"/>
          </w:tcPr>
          <w:p w14:paraId="2B3BDB16" w14:textId="77777777" w:rsidR="00BD74F2" w:rsidRPr="006657A8" w:rsidRDefault="00BD74F2" w:rsidP="0003750A">
            <w:pPr>
              <w:pStyle w:val="Title1"/>
            </w:pPr>
            <w:bookmarkStart w:id="9" w:name="dtitle1" w:colFirst="0" w:colLast="0"/>
            <w:bookmarkStart w:id="10" w:name="_Hlk69807623"/>
            <w:bookmarkEnd w:id="8"/>
            <w:r w:rsidRPr="006657A8">
              <w:t>INFORME SOBRE LOS EVENTOS ITU TELECOM WORLD</w:t>
            </w:r>
            <w:bookmarkEnd w:id="10"/>
          </w:p>
        </w:tc>
      </w:tr>
      <w:bookmarkEnd w:id="9"/>
    </w:tbl>
    <w:p w14:paraId="5D41A088" w14:textId="77777777" w:rsidR="00BD74F2" w:rsidRPr="006657A8" w:rsidRDefault="00BD74F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D74F2" w:rsidRPr="006657A8" w14:paraId="220F4C2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9B870AD" w14:textId="77777777" w:rsidR="00BD74F2" w:rsidRPr="006657A8" w:rsidRDefault="00BD74F2">
            <w:pPr>
              <w:pStyle w:val="Headingb"/>
            </w:pPr>
            <w:r w:rsidRPr="006657A8">
              <w:t>Resumen</w:t>
            </w:r>
          </w:p>
          <w:p w14:paraId="73C76C92" w14:textId="77777777" w:rsidR="00BD74F2" w:rsidRPr="006657A8" w:rsidRDefault="00BD74F2" w:rsidP="0003750A">
            <w:r w:rsidRPr="006657A8">
              <w:t xml:space="preserve">El presente informe presenta los aspectos más destacados de ITU Telecom </w:t>
            </w:r>
            <w:proofErr w:type="spellStart"/>
            <w:r w:rsidRPr="006657A8">
              <w:t>World</w:t>
            </w:r>
            <w:proofErr w:type="spellEnd"/>
            <w:r w:rsidRPr="006657A8">
              <w:t xml:space="preserve"> 2019 y 2020, los planes para 2021 y 2022, y la situación de la evaluación y el examen estratégico y financiero de los eventos ITU Telecom, requeridos con arreglo a la Resolución 11 (Rev. Dubái, 2018).</w:t>
            </w:r>
          </w:p>
          <w:p w14:paraId="449D0112" w14:textId="23F48240" w:rsidR="00BD74F2" w:rsidRPr="006657A8" w:rsidRDefault="00BD74F2" w:rsidP="0003750A">
            <w:r w:rsidRPr="006657A8">
              <w:t xml:space="preserve">Este documento se preparó originalmente como </w:t>
            </w:r>
            <w:hyperlink r:id="rId7" w:history="1">
              <w:r w:rsidR="00E6551C" w:rsidRPr="007B2DB5">
                <w:rPr>
                  <w:rStyle w:val="Hyperlink"/>
                  <w:lang w:val="fr-CH"/>
                </w:rPr>
                <w:t>C20/19</w:t>
              </w:r>
            </w:hyperlink>
            <w:r w:rsidR="00E6551C">
              <w:t xml:space="preserve"> </w:t>
            </w:r>
            <w:r w:rsidRPr="006657A8">
              <w:t>para su presentación a la reunión de 2020 del Consejo, pero no fue examinado.</w:t>
            </w:r>
          </w:p>
          <w:p w14:paraId="563ED5E5" w14:textId="77777777" w:rsidR="00BD74F2" w:rsidRPr="006657A8" w:rsidRDefault="00BD74F2">
            <w:pPr>
              <w:pStyle w:val="Headingb"/>
            </w:pPr>
            <w:r w:rsidRPr="006657A8">
              <w:t>Acción solicitada</w:t>
            </w:r>
          </w:p>
          <w:p w14:paraId="43A0A189" w14:textId="77777777" w:rsidR="00BD74F2" w:rsidRPr="006657A8" w:rsidRDefault="00BD74F2">
            <w:r w:rsidRPr="006657A8">
              <w:t xml:space="preserve">Se invita al Consejo a </w:t>
            </w:r>
            <w:r w:rsidRPr="006657A8">
              <w:rPr>
                <w:b/>
                <w:bCs/>
              </w:rPr>
              <w:t>tomar nota</w:t>
            </w:r>
            <w:r w:rsidRPr="006657A8">
              <w:t xml:space="preserve"> del presente informe.</w:t>
            </w:r>
          </w:p>
          <w:p w14:paraId="0461DB77" w14:textId="77777777" w:rsidR="00BD74F2" w:rsidRPr="006657A8" w:rsidRDefault="00BD74F2">
            <w:pPr>
              <w:pStyle w:val="Table"/>
              <w:keepNext w:val="0"/>
              <w:spacing w:before="0" w:after="0"/>
              <w:rPr>
                <w:caps w:val="0"/>
                <w:sz w:val="22"/>
                <w:lang w:val="es-ES_tradnl"/>
              </w:rPr>
            </w:pPr>
            <w:r w:rsidRPr="006657A8">
              <w:rPr>
                <w:caps w:val="0"/>
                <w:sz w:val="22"/>
                <w:lang w:val="es-ES_tradnl"/>
              </w:rPr>
              <w:t>____________</w:t>
            </w:r>
          </w:p>
          <w:p w14:paraId="392D1DC7" w14:textId="77777777" w:rsidR="00BD74F2" w:rsidRPr="006657A8" w:rsidRDefault="00BD74F2">
            <w:pPr>
              <w:pStyle w:val="Headingb"/>
            </w:pPr>
            <w:r w:rsidRPr="006657A8">
              <w:t>Referencias</w:t>
            </w:r>
          </w:p>
          <w:bookmarkStart w:id="11" w:name="lt_pId020"/>
          <w:p w14:paraId="12DC21F4" w14:textId="010C5017" w:rsidR="00BD74F2" w:rsidRPr="006657A8" w:rsidRDefault="00BD74F2" w:rsidP="001D7FDF">
            <w:pPr>
              <w:spacing w:after="120"/>
              <w:rPr>
                <w:i/>
                <w:iCs/>
              </w:rPr>
            </w:pPr>
            <w:r w:rsidRPr="006657A8">
              <w:rPr>
                <w:i/>
                <w:iCs/>
              </w:rPr>
              <w:fldChar w:fldCharType="begin"/>
            </w:r>
            <w:r w:rsidRPr="006657A8">
              <w:rPr>
                <w:i/>
                <w:iCs/>
              </w:rPr>
              <w:instrText>HYPERLINK "https://www.itu.int/en/council/Documents/basic-texts/RES-011-S.pdf"</w:instrText>
            </w:r>
            <w:r w:rsidRPr="006657A8">
              <w:rPr>
                <w:i/>
                <w:iCs/>
              </w:rPr>
              <w:fldChar w:fldCharType="separate"/>
            </w:r>
            <w:r w:rsidRPr="006657A8">
              <w:rPr>
                <w:rStyle w:val="Hyperlink"/>
                <w:i/>
                <w:iCs/>
              </w:rPr>
              <w:t>Resolución 11 (Rev. Dubái, 2018)</w:t>
            </w:r>
            <w:r w:rsidRPr="006657A8">
              <w:rPr>
                <w:i/>
                <w:iCs/>
              </w:rPr>
              <w:fldChar w:fldCharType="end"/>
            </w:r>
            <w:r w:rsidRPr="006657A8">
              <w:rPr>
                <w:i/>
                <w:iCs/>
              </w:rPr>
              <w:t>;</w:t>
            </w:r>
            <w:bookmarkEnd w:id="11"/>
            <w:r w:rsidRPr="006657A8">
              <w:rPr>
                <w:i/>
                <w:iCs/>
              </w:rPr>
              <w:t xml:space="preserve"> </w:t>
            </w:r>
            <w:bookmarkStart w:id="12" w:name="lt_pId021"/>
            <w:r w:rsidRPr="006657A8">
              <w:rPr>
                <w:i/>
                <w:iCs/>
              </w:rPr>
              <w:t>Documento</w:t>
            </w:r>
            <w:bookmarkEnd w:id="12"/>
            <w:r w:rsidRPr="006657A8">
              <w:rPr>
                <w:i/>
                <w:iCs/>
              </w:rPr>
              <w:t xml:space="preserve">s </w:t>
            </w:r>
            <w:hyperlink r:id="rId8" w:history="1">
              <w:r w:rsidRPr="006657A8">
                <w:rPr>
                  <w:rStyle w:val="Hyperlink"/>
                  <w:i/>
                  <w:iCs/>
                </w:rPr>
                <w:t>C19/19</w:t>
              </w:r>
            </w:hyperlink>
            <w:r w:rsidRPr="006657A8">
              <w:rPr>
                <w:i/>
                <w:iCs/>
              </w:rPr>
              <w:t xml:space="preserve"> y </w:t>
            </w:r>
            <w:hyperlink r:id="rId9" w:history="1">
              <w:r w:rsidR="00E44EBB" w:rsidRPr="00E44EBB">
                <w:rPr>
                  <w:rStyle w:val="Hyperlink"/>
                  <w:i/>
                  <w:iCs/>
                  <w:lang w:val="fr-FR"/>
                </w:rPr>
                <w:t>C20/41</w:t>
              </w:r>
            </w:hyperlink>
          </w:p>
        </w:tc>
      </w:tr>
    </w:tbl>
    <w:p w14:paraId="3FE87A8F" w14:textId="77777777" w:rsidR="00BD74F2" w:rsidRPr="006657A8" w:rsidRDefault="00BD74F2" w:rsidP="0003750A">
      <w:pPr>
        <w:pStyle w:val="Heading1"/>
      </w:pPr>
      <w:bookmarkStart w:id="13" w:name="lt_pId022"/>
      <w:r w:rsidRPr="006657A8">
        <w:t>1</w:t>
      </w:r>
      <w:r w:rsidRPr="006657A8">
        <w:tab/>
      </w:r>
      <w:bookmarkEnd w:id="13"/>
      <w:proofErr w:type="gramStart"/>
      <w:r w:rsidRPr="006657A8">
        <w:t>Aspectos</w:t>
      </w:r>
      <w:proofErr w:type="gramEnd"/>
      <w:r w:rsidRPr="006657A8">
        <w:t xml:space="preserve"> destacados de ITU Telecom </w:t>
      </w:r>
      <w:proofErr w:type="spellStart"/>
      <w:r w:rsidRPr="006657A8">
        <w:t>World</w:t>
      </w:r>
      <w:proofErr w:type="spellEnd"/>
      <w:r w:rsidRPr="006657A8">
        <w:t xml:space="preserve"> 2019</w:t>
      </w:r>
    </w:p>
    <w:p w14:paraId="54B2A15B" w14:textId="77777777" w:rsidR="00BD74F2" w:rsidRPr="006657A8" w:rsidRDefault="00BD74F2" w:rsidP="0003750A">
      <w:bookmarkStart w:id="14" w:name="lt_pId024"/>
      <w:r w:rsidRPr="006657A8">
        <w:t>1.1</w:t>
      </w:r>
      <w:r w:rsidRPr="006657A8">
        <w:tab/>
      </w:r>
      <w:bookmarkEnd w:id="14"/>
      <w:r w:rsidRPr="006657A8">
        <w:t xml:space="preserve">ITU Telecom </w:t>
      </w:r>
      <w:proofErr w:type="spellStart"/>
      <w:r w:rsidRPr="006657A8">
        <w:t>World</w:t>
      </w:r>
      <w:proofErr w:type="spellEnd"/>
      <w:r w:rsidRPr="006657A8">
        <w:t xml:space="preserve"> 2019 se celebró del 9 al 12 de septiembre en Budapest (Hungría) con el tema "</w:t>
      </w:r>
      <w:r w:rsidRPr="006657A8">
        <w:rPr>
          <w:b/>
          <w:bCs/>
        </w:rPr>
        <w:t>Innovar juntos: la conectividad que importa</w:t>
      </w:r>
      <w:r w:rsidRPr="006657A8">
        <w:t xml:space="preserve">". Este evento congregó a países, grandes empresas y PYME (pequeñas y medianas empresas) tecnológicas de los mercados emergentes y desarrollados de todo el mundo. </w:t>
      </w:r>
    </w:p>
    <w:p w14:paraId="63E4FEFE" w14:textId="77777777" w:rsidR="00BD74F2" w:rsidRPr="006657A8" w:rsidRDefault="00BD74F2" w:rsidP="0003750A">
      <w:bookmarkStart w:id="15" w:name="lt_pId026"/>
      <w:r w:rsidRPr="006657A8">
        <w:t>1.2</w:t>
      </w:r>
      <w:r w:rsidRPr="006657A8">
        <w:tab/>
      </w:r>
      <w:bookmarkEnd w:id="15"/>
      <w:r w:rsidRPr="006657A8">
        <w:t>El Gobierno de Hungría acogió el evento y la UIT agradece enormemente su apoyo y compromiso al acogerlo, así como al garantizar su buen funcionamiento y proporcionar un entorno y un contenido dinámico para los debates.</w:t>
      </w:r>
    </w:p>
    <w:p w14:paraId="6317356E" w14:textId="798A443A" w:rsidR="00BD74F2" w:rsidRPr="006657A8" w:rsidRDefault="00BD74F2" w:rsidP="0003750A">
      <w:pPr>
        <w:rPr>
          <w:b/>
          <w:bCs/>
        </w:rPr>
      </w:pPr>
      <w:bookmarkStart w:id="16" w:name="lt_pId033"/>
      <w:r w:rsidRPr="006657A8">
        <w:t>1.3</w:t>
      </w:r>
      <w:r w:rsidRPr="006657A8">
        <w:tab/>
      </w:r>
      <w:bookmarkEnd w:id="16"/>
      <w:r w:rsidRPr="006657A8">
        <w:t xml:space="preserve">Importantes actores mundiales tomaron parte activa en la </w:t>
      </w:r>
      <w:proofErr w:type="gramStart"/>
      <w:r w:rsidR="00B43EA0">
        <w:t>E</w:t>
      </w:r>
      <w:r w:rsidRPr="006657A8">
        <w:t>xposición</w:t>
      </w:r>
      <w:proofErr w:type="gramEnd"/>
      <w:r w:rsidRPr="006657A8">
        <w:t xml:space="preserve"> así como en el Foro. El país anfitrión organizó el Pabellón Nacional de Hungría, en el que se presentaron empresas tecnológicas establecidas, empresas de nueva creación, universidades e incubadoras de empresas de todo el país y un nutrido programa de debates centrados en la innovación.</w:t>
      </w:r>
    </w:p>
    <w:p w14:paraId="0C69B107" w14:textId="77777777" w:rsidR="00BD74F2" w:rsidRPr="006657A8" w:rsidRDefault="00BD74F2" w:rsidP="00A6476E">
      <w:pPr>
        <w:keepLines/>
      </w:pPr>
      <w:bookmarkStart w:id="17" w:name="lt_pId035"/>
      <w:r w:rsidRPr="006657A8">
        <w:lastRenderedPageBreak/>
        <w:t>1.4</w:t>
      </w:r>
      <w:r w:rsidRPr="006657A8">
        <w:tab/>
      </w:r>
      <w:bookmarkEnd w:id="17"/>
      <w:r w:rsidRPr="006657A8">
        <w:t xml:space="preserve">La UIT se sintió honrada de que asistieran al evento participantes del más alto nivel del país anfitrión, incluido el Primer Ministro </w:t>
      </w:r>
      <w:proofErr w:type="spellStart"/>
      <w:r w:rsidRPr="006657A8">
        <w:t>Viktor</w:t>
      </w:r>
      <w:proofErr w:type="spellEnd"/>
      <w:r w:rsidRPr="006657A8">
        <w:t xml:space="preserve"> </w:t>
      </w:r>
      <w:proofErr w:type="spellStart"/>
      <w:r w:rsidRPr="006657A8">
        <w:t>Orbán</w:t>
      </w:r>
      <w:proofErr w:type="spellEnd"/>
      <w:r w:rsidRPr="006657A8">
        <w:t>, que inauguró el evento y también visitó y elogió a las empresas participantes en la exposición. Además de los representantes de alto nivel del Gobierno de Hungría, entre los dirigentes participantes en el evento figuraron ministros y organismos reguladores, ejecutivos de nivel C de los principales actores de las TIC, jefes de organizaciones internacionales, embajadores, académicos y PYME.</w:t>
      </w:r>
    </w:p>
    <w:p w14:paraId="4DB91AE1" w14:textId="77777777" w:rsidR="00BD74F2" w:rsidRPr="006657A8" w:rsidRDefault="00BD74F2" w:rsidP="0003750A">
      <w:r w:rsidRPr="006657A8">
        <w:t>1.5</w:t>
      </w:r>
      <w:r w:rsidRPr="006657A8">
        <w:tab/>
        <w:t>El evento contó con más de 270 expositores, entre ellos más de 150 PYME, y con 20 patrocinadores y asociados de más de 40 países.</w:t>
      </w:r>
    </w:p>
    <w:p w14:paraId="51491290" w14:textId="77777777" w:rsidR="00BD74F2" w:rsidRPr="006657A8" w:rsidRDefault="00BD74F2" w:rsidP="0003750A">
      <w:pPr>
        <w:rPr>
          <w:rFonts w:asciiTheme="minorHAnsi" w:hAnsiTheme="minorHAnsi"/>
        </w:rPr>
      </w:pPr>
      <w:r w:rsidRPr="006657A8">
        <w:t>1.6</w:t>
      </w:r>
      <w:r w:rsidRPr="006657A8">
        <w:tab/>
        <w:t xml:space="preserve">En la </w:t>
      </w:r>
      <w:r w:rsidRPr="006657A8">
        <w:rPr>
          <w:b/>
          <w:bCs/>
        </w:rPr>
        <w:t>exposición</w:t>
      </w:r>
      <w:r w:rsidRPr="006657A8">
        <w:t xml:space="preserve"> se mostraron tecnologías desde 5G, satélites, gestión de residuos electrónicos, robótica o cadena de bloques hasta Smart ABC (IA, banca y ciudades inteligentes), agricultura inteligente, hogares inteligentes, mitigación del cambio climático, tecnología financiera y más. Los expositores y patrocinadores representaban desde grandes empresas hasta PYME de vanguardia de todo el mundo.</w:t>
      </w:r>
    </w:p>
    <w:p w14:paraId="7B59FC92" w14:textId="77777777" w:rsidR="00BD74F2" w:rsidRPr="006657A8" w:rsidRDefault="00BD74F2" w:rsidP="0003750A">
      <w:pPr>
        <w:rPr>
          <w:rFonts w:asciiTheme="minorHAnsi" w:hAnsiTheme="minorHAnsi"/>
        </w:rPr>
      </w:pPr>
      <w:r w:rsidRPr="006657A8">
        <w:rPr>
          <w:rFonts w:asciiTheme="minorHAnsi" w:hAnsiTheme="minorHAnsi"/>
        </w:rPr>
        <w:t>1.7</w:t>
      </w:r>
      <w:r w:rsidRPr="006657A8">
        <w:rPr>
          <w:rFonts w:asciiTheme="minorHAnsi" w:hAnsiTheme="minorHAnsi"/>
        </w:rPr>
        <w:tab/>
        <w:t xml:space="preserve">El </w:t>
      </w:r>
      <w:r w:rsidRPr="006657A8">
        <w:rPr>
          <w:rFonts w:asciiTheme="minorHAnsi" w:hAnsiTheme="minorHAnsi"/>
          <w:b/>
          <w:bCs/>
        </w:rPr>
        <w:t>Foro</w:t>
      </w:r>
      <w:r w:rsidRPr="006657A8">
        <w:rPr>
          <w:rFonts w:asciiTheme="minorHAnsi" w:hAnsiTheme="minorHAnsi"/>
        </w:rPr>
        <w:t xml:space="preserve"> abrió con la Cumbre del Foro, moderada por </w:t>
      </w:r>
      <w:proofErr w:type="spellStart"/>
      <w:r w:rsidRPr="006657A8">
        <w:rPr>
          <w:rFonts w:asciiTheme="minorHAnsi" w:hAnsiTheme="minorHAnsi"/>
          <w:i/>
          <w:iCs/>
        </w:rPr>
        <w:t>Euronews</w:t>
      </w:r>
      <w:proofErr w:type="spellEnd"/>
      <w:r w:rsidRPr="006657A8">
        <w:rPr>
          <w:rFonts w:asciiTheme="minorHAnsi" w:hAnsiTheme="minorHAnsi"/>
        </w:rPr>
        <w:t xml:space="preserve">. Las sesiones cubrieron áreas desde la evolución tecnológica y sus efectos en 5G, </w:t>
      </w:r>
      <w:proofErr w:type="spellStart"/>
      <w:r w:rsidRPr="006657A8">
        <w:rPr>
          <w:rFonts w:asciiTheme="minorHAnsi" w:hAnsiTheme="minorHAnsi"/>
        </w:rPr>
        <w:t>IoT</w:t>
      </w:r>
      <w:proofErr w:type="spellEnd"/>
      <w:r w:rsidRPr="006657A8">
        <w:rPr>
          <w:rFonts w:asciiTheme="minorHAnsi" w:hAnsiTheme="minorHAnsi"/>
        </w:rPr>
        <w:t>, inteligencia artificial (IA) o ciudades inteligentes hasta el apoyo al crecimiento de las PYME tecnológicas, la mitigación de los prejuicios de género en IA, las tecnologías de punta para el cambio climático y más. Las mesas redondas ministeriales reunieron a ministros de todo el mundo para debatir cuestiones como la privacidad de los datos, el papel del gobierno en el despliegue de 5G o el fomento de la colaboración entre el sector público y el privado en materia de conectividad y adopción. En las sesiones de los asociados se aportaron conocimientos especializados en esferas como la transformación digital, las microempresas y las pequeñas y medianas empresas (MIPYME) de Uganda, la fijación de precios del espectro, las redes sostenibles de la próxima generación y la planificación, estrategia y cooperación en materia de 5G.</w:t>
      </w:r>
    </w:p>
    <w:p w14:paraId="463B5A36" w14:textId="77777777" w:rsidR="00BD74F2" w:rsidRPr="006657A8" w:rsidRDefault="00BD74F2" w:rsidP="0003750A">
      <w:r w:rsidRPr="006657A8">
        <w:rPr>
          <w:rFonts w:asciiTheme="minorHAnsi" w:hAnsiTheme="minorHAnsi"/>
        </w:rPr>
        <w:t>1.8</w:t>
      </w:r>
      <w:r w:rsidRPr="006657A8">
        <w:rPr>
          <w:rFonts w:asciiTheme="minorHAnsi" w:hAnsiTheme="minorHAnsi"/>
        </w:rPr>
        <w:tab/>
      </w:r>
      <w:r w:rsidRPr="006657A8">
        <w:rPr>
          <w:b/>
        </w:rPr>
        <w:t xml:space="preserve">Las </w:t>
      </w:r>
      <w:r w:rsidRPr="006657A8">
        <w:rPr>
          <w:b/>
          <w:bCs/>
        </w:rPr>
        <w:t>PYME y la asequibilidad</w:t>
      </w:r>
      <w:r w:rsidRPr="006657A8">
        <w:t xml:space="preserve">: A tenor de las peticiones formuladas por los Estados Miembros, ITU Telecom </w:t>
      </w:r>
      <w:proofErr w:type="spellStart"/>
      <w:r w:rsidRPr="006657A8">
        <w:t>World</w:t>
      </w:r>
      <w:proofErr w:type="spellEnd"/>
      <w:r w:rsidRPr="006657A8">
        <w:t xml:space="preserve"> 2019 ofreció servicios y actividades en apoyo de las PYME, entre ellos nuevas opciones de participación para los que acaban de acceder al mercado y la reducción de las cuotas de entrada al Foro para los PMA, los PDSL y los PEID.</w:t>
      </w:r>
    </w:p>
    <w:p w14:paraId="6E00961E" w14:textId="77777777" w:rsidR="00BD74F2" w:rsidRPr="006657A8" w:rsidRDefault="00BD74F2" w:rsidP="00E65A72">
      <w:r w:rsidRPr="006657A8">
        <w:t>1.9</w:t>
      </w:r>
      <w:r w:rsidRPr="006657A8">
        <w:tab/>
      </w:r>
      <w:r w:rsidRPr="006657A8">
        <w:rPr>
          <w:b/>
          <w:bCs/>
        </w:rPr>
        <w:t>El</w:t>
      </w:r>
      <w:r w:rsidRPr="006657A8">
        <w:t xml:space="preserve"> </w:t>
      </w:r>
      <w:r w:rsidRPr="006657A8">
        <w:rPr>
          <w:b/>
          <w:bCs/>
        </w:rPr>
        <w:t xml:space="preserve">Programa para las PYME y los Premios ITU Telecom </w:t>
      </w:r>
      <w:proofErr w:type="spellStart"/>
      <w:r w:rsidRPr="006657A8">
        <w:rPr>
          <w:b/>
          <w:bCs/>
        </w:rPr>
        <w:t>World</w:t>
      </w:r>
      <w:proofErr w:type="spellEnd"/>
      <w:r w:rsidRPr="006657A8">
        <w:t xml:space="preserve">: El programa para las PYME proporcionó a éstas valiosas oportunidades para crear redes de contactos, buscar afinidades comerciales, entablar debate y presentar ofertas. Una parte fundamental del programa fueron los Premios ITU Telecom </w:t>
      </w:r>
      <w:proofErr w:type="spellStart"/>
      <w:r w:rsidRPr="006657A8">
        <w:t>World</w:t>
      </w:r>
      <w:proofErr w:type="spellEnd"/>
      <w:r w:rsidRPr="006657A8">
        <w:t>, que recompensaban a las PYME, los gobiernos y las empresas que lograban repercusiones sociales. Los premios se entregaron en las categorías "PYME mundiales", "Industria", "Gobierno" y "País anfitrión". Los ganadores y finalistas recibieron trofeos y certificados en una ceremonia de alto nivel al final del evento. La empresa suiza Immersion4 fue la ganadora del Premio a la Excelencia de las PYME a nivel mundial.</w:t>
      </w:r>
    </w:p>
    <w:p w14:paraId="278BE833" w14:textId="7A23B9A5" w:rsidR="00BD74F2" w:rsidRPr="006657A8" w:rsidRDefault="00BD74F2" w:rsidP="00A6476E">
      <w:pPr>
        <w:keepLines/>
        <w:rPr>
          <w:rFonts w:asciiTheme="minorHAnsi" w:hAnsiTheme="minorHAnsi"/>
        </w:rPr>
      </w:pPr>
      <w:r w:rsidRPr="006657A8">
        <w:rPr>
          <w:rFonts w:asciiTheme="minorHAnsi" w:hAnsiTheme="minorHAnsi"/>
        </w:rPr>
        <w:lastRenderedPageBreak/>
        <w:t>1.10</w:t>
      </w:r>
      <w:r w:rsidRPr="006657A8">
        <w:rPr>
          <w:rFonts w:asciiTheme="minorHAnsi" w:hAnsiTheme="minorHAnsi"/>
        </w:rPr>
        <w:tab/>
      </w:r>
      <w:r w:rsidRPr="006657A8">
        <w:rPr>
          <w:rFonts w:asciiTheme="minorHAnsi" w:hAnsiTheme="minorHAnsi"/>
          <w:b/>
          <w:bCs/>
        </w:rPr>
        <w:t>Un escaparate para la UIT</w:t>
      </w:r>
      <w:r w:rsidRPr="006657A8">
        <w:rPr>
          <w:rFonts w:asciiTheme="minorHAnsi" w:hAnsiTheme="minorHAnsi"/>
        </w:rPr>
        <w:t xml:space="preserve">: La Oficina de Normalización de las Telecomunicaciones (TSB), la Oficina de Radiocomunicaciones (BR) y la Oficina de Desarrollo de las Telecomunicaciones (BDT) participaron activamente en ITU Telecom </w:t>
      </w:r>
      <w:proofErr w:type="spellStart"/>
      <w:r w:rsidRPr="006657A8">
        <w:rPr>
          <w:rFonts w:asciiTheme="minorHAnsi" w:hAnsiTheme="minorHAnsi"/>
        </w:rPr>
        <w:t>World</w:t>
      </w:r>
      <w:proofErr w:type="spellEnd"/>
      <w:r w:rsidRPr="006657A8">
        <w:rPr>
          <w:rFonts w:asciiTheme="minorHAnsi" w:hAnsiTheme="minorHAnsi"/>
        </w:rPr>
        <w:t xml:space="preserve"> 2019. Por ejemplo, el "Programa Smart ABC" de la</w:t>
      </w:r>
      <w:r w:rsidR="006657A8">
        <w:rPr>
          <w:rFonts w:asciiTheme="minorHAnsi" w:hAnsiTheme="minorHAnsi"/>
        </w:rPr>
        <w:t> </w:t>
      </w:r>
      <w:r w:rsidRPr="006657A8">
        <w:rPr>
          <w:rFonts w:asciiTheme="minorHAnsi" w:hAnsiTheme="minorHAnsi"/>
        </w:rPr>
        <w:t xml:space="preserve">TSB acogió debates en los que se compartió información sobre los avances en materia de inteligencia artificial, banca y ciudades, así como el Pabellón Smart ABC con un nutrido programa de actividades. La BDT destacó –por primera vez en un evento de ITU Telecom </w:t>
      </w:r>
      <w:proofErr w:type="spellStart"/>
      <w:r w:rsidRPr="006657A8">
        <w:rPr>
          <w:rFonts w:asciiTheme="minorHAnsi" w:hAnsiTheme="minorHAnsi"/>
        </w:rPr>
        <w:t>World</w:t>
      </w:r>
      <w:proofErr w:type="spellEnd"/>
      <w:r w:rsidRPr="006657A8">
        <w:rPr>
          <w:rFonts w:asciiTheme="minorHAnsi" w:hAnsiTheme="minorHAnsi"/>
        </w:rPr>
        <w:t xml:space="preserve">– a los ganadores de las becas </w:t>
      </w:r>
      <w:hyperlink r:id="rId10" w:history="1">
        <w:r w:rsidR="00B43EA0" w:rsidRPr="00B43EA0">
          <w:rPr>
            <w:rStyle w:val="Hyperlink"/>
            <w:rFonts w:asciiTheme="minorHAnsi" w:hAnsiTheme="minorHAnsi"/>
            <w:lang w:val="fr-FR"/>
          </w:rPr>
          <w:t>EQUALS</w:t>
        </w:r>
      </w:hyperlink>
      <w:r w:rsidRPr="006657A8">
        <w:rPr>
          <w:rFonts w:asciiTheme="minorHAnsi" w:hAnsiTheme="minorHAnsi"/>
        </w:rPr>
        <w:t xml:space="preserve">EQUALS y a los ganadores del </w:t>
      </w:r>
      <w:hyperlink r:id="rId11" w:anchor="_blank" w:history="1">
        <w:r w:rsidR="00B43EA0" w:rsidRPr="00B43EA0">
          <w:rPr>
            <w:rStyle w:val="Hyperlink"/>
            <w:rFonts w:asciiTheme="minorHAnsi" w:hAnsiTheme="minorHAnsi"/>
          </w:rPr>
          <w:t>Desafío de la innovación de la UIT</w:t>
        </w:r>
      </w:hyperlink>
      <w:r w:rsidRPr="006657A8">
        <w:rPr>
          <w:rFonts w:asciiTheme="minorHAnsi" w:hAnsiTheme="minorHAnsi"/>
        </w:rPr>
        <w:t>. Las principales actividades de la BR fueron las sesiones del Foro centradas en cuestiones relacionadas con el espectro y el inminente despliegue de 5G (una mesa redonda ministerial + tres sesiones del Foro).</w:t>
      </w:r>
    </w:p>
    <w:p w14:paraId="3D57A433" w14:textId="77777777" w:rsidR="00BD74F2" w:rsidRPr="006657A8" w:rsidRDefault="00BD74F2" w:rsidP="0003750A">
      <w:pPr>
        <w:pStyle w:val="Heading1"/>
      </w:pPr>
      <w:r w:rsidRPr="006657A8">
        <w:t>2</w:t>
      </w:r>
      <w:r w:rsidRPr="006657A8">
        <w:tab/>
      </w:r>
      <w:proofErr w:type="gramStart"/>
      <w:r w:rsidRPr="006657A8">
        <w:t>Resultados</w:t>
      </w:r>
      <w:proofErr w:type="gramEnd"/>
      <w:r w:rsidRPr="006657A8">
        <w:t xml:space="preserve"> financieros</w:t>
      </w:r>
    </w:p>
    <w:p w14:paraId="664310CA" w14:textId="77777777" w:rsidR="00BD74F2" w:rsidRPr="006657A8" w:rsidRDefault="00BD74F2" w:rsidP="0003750A">
      <w:bookmarkStart w:id="18" w:name="lt_pId111"/>
      <w:r w:rsidRPr="006657A8">
        <w:t xml:space="preserve">Para más información, véase el </w:t>
      </w:r>
      <w:hyperlink r:id="rId12" w:history="1">
        <w:r w:rsidRPr="006657A8">
          <w:rPr>
            <w:rStyle w:val="Hyperlink"/>
          </w:rPr>
          <w:t>Documento C20/41</w:t>
        </w:r>
      </w:hyperlink>
      <w:r w:rsidRPr="006657A8">
        <w:t>.</w:t>
      </w:r>
      <w:bookmarkEnd w:id="18"/>
    </w:p>
    <w:p w14:paraId="35E81489" w14:textId="77777777" w:rsidR="00BD74F2" w:rsidRPr="006657A8" w:rsidRDefault="00BD74F2" w:rsidP="0003750A">
      <w:pPr>
        <w:pStyle w:val="Heading1"/>
      </w:pPr>
      <w:bookmarkStart w:id="19" w:name="lt_pId112"/>
      <w:r w:rsidRPr="006657A8">
        <w:t>3</w:t>
      </w:r>
      <w:r w:rsidRPr="006657A8">
        <w:tab/>
      </w:r>
      <w:proofErr w:type="gramStart"/>
      <w:r w:rsidRPr="006657A8">
        <w:t>Eventos</w:t>
      </w:r>
      <w:proofErr w:type="gramEnd"/>
      <w:r w:rsidRPr="006657A8">
        <w:t xml:space="preserve"> ITU Virtual Digital </w:t>
      </w:r>
      <w:proofErr w:type="spellStart"/>
      <w:r w:rsidRPr="006657A8">
        <w:t>World</w:t>
      </w:r>
      <w:proofErr w:type="spellEnd"/>
      <w:r w:rsidRPr="006657A8">
        <w:t xml:space="preserve"> en</w:t>
      </w:r>
      <w:bookmarkEnd w:id="19"/>
      <w:r w:rsidRPr="006657A8">
        <w:t xml:space="preserve"> 2020</w:t>
      </w:r>
    </w:p>
    <w:p w14:paraId="2368AEFA" w14:textId="77777777" w:rsidR="00BD74F2" w:rsidRPr="006657A8" w:rsidRDefault="00BD74F2" w:rsidP="0003750A">
      <w:bookmarkStart w:id="20" w:name="lt_pId113"/>
      <w:r w:rsidRPr="006657A8">
        <w:t>3.1</w:t>
      </w:r>
      <w:r w:rsidRPr="006657A8">
        <w:tab/>
      </w:r>
      <w:bookmarkEnd w:id="20"/>
      <w:r w:rsidRPr="006657A8">
        <w:t xml:space="preserve">Como consecuencia de la actual crisis de COVID-19, la UIT y el Ministerio de Información y Comunicaciones de </w:t>
      </w:r>
      <w:proofErr w:type="spellStart"/>
      <w:r w:rsidRPr="006657A8">
        <w:t>Viet</w:t>
      </w:r>
      <w:proofErr w:type="spellEnd"/>
      <w:r w:rsidRPr="006657A8">
        <w:t xml:space="preserve"> </w:t>
      </w:r>
      <w:proofErr w:type="spellStart"/>
      <w:r w:rsidRPr="006657A8">
        <w:t>Nam</w:t>
      </w:r>
      <w:proofErr w:type="spellEnd"/>
      <w:r w:rsidRPr="006657A8">
        <w:t xml:space="preserve"> pospusieron la edición presencial de ITU Digital </w:t>
      </w:r>
      <w:proofErr w:type="spellStart"/>
      <w:r w:rsidRPr="006657A8">
        <w:t>World</w:t>
      </w:r>
      <w:proofErr w:type="spellEnd"/>
      <w:r w:rsidRPr="006657A8">
        <w:t xml:space="preserve"> 2020 a octubre de 2021. Entretanto, en 2020 se celebró una serie de eventos virtuales a fin de establecer el marco para el evento presencial de 2021 y seguir proporcionando una plataforma para todas nuestras partes interesadas hasta que puedan reunirse en persona.</w:t>
      </w:r>
    </w:p>
    <w:p w14:paraId="020D732F" w14:textId="06190EF3" w:rsidR="00BD74F2" w:rsidRPr="006657A8" w:rsidRDefault="00BD74F2" w:rsidP="0003750A">
      <w:r w:rsidRPr="006657A8">
        <w:t>3.2</w:t>
      </w:r>
      <w:r w:rsidRPr="006657A8">
        <w:tab/>
        <w:t xml:space="preserve"> </w:t>
      </w:r>
      <w:r w:rsidRPr="006657A8">
        <w:rPr>
          <w:b/>
          <w:bCs/>
        </w:rPr>
        <w:t xml:space="preserve">ITU Digital </w:t>
      </w:r>
      <w:proofErr w:type="spellStart"/>
      <w:r w:rsidRPr="006657A8">
        <w:rPr>
          <w:b/>
          <w:bCs/>
        </w:rPr>
        <w:t>World</w:t>
      </w:r>
      <w:proofErr w:type="spellEnd"/>
      <w:r w:rsidRPr="006657A8">
        <w:rPr>
          <w:b/>
          <w:bCs/>
        </w:rPr>
        <w:t xml:space="preserve"> 2020</w:t>
      </w:r>
      <w:r w:rsidRPr="006657A8">
        <w:t xml:space="preserve"> se celebró del 20 al 22 de octubre y comprendió mesas redondas ministeriales centradas en "El papel de las tecnologías digitales durante y después de la pandemia de COVID-19", en las que se estudió la importancia de la conectividad digital en las estrategias nacionales de recuperación económica. Junto a esas mesas redondas, en los seminarios web del Foro se estudiaron las políticas, tecnologías y tendencias que impulsan la economía digital, y se celebró una Exposición virtual que permitió las presentaciones en línea.</w:t>
      </w:r>
    </w:p>
    <w:p w14:paraId="590874B1" w14:textId="03CC7F35" w:rsidR="00BD74F2" w:rsidRPr="006657A8" w:rsidRDefault="00BD74F2" w:rsidP="0003750A">
      <w:r w:rsidRPr="006657A8">
        <w:t>3.3</w:t>
      </w:r>
      <w:r w:rsidRPr="006657A8">
        <w:tab/>
        <w:t xml:space="preserve">En total, el evento virtual constó de 3 sesiones del Foro y 3 mesas redondas ministeriales en las que participaron 83 oradores, entre ellos 27 </w:t>
      </w:r>
      <w:r w:rsidR="00B43EA0">
        <w:t>m</w:t>
      </w:r>
      <w:r w:rsidRPr="006657A8">
        <w:t xml:space="preserve">inistros y 13 representantes de Autoridades de Reglamentación. La exposición virtual contó con más de 150 expositores de </w:t>
      </w:r>
      <w:proofErr w:type="spellStart"/>
      <w:r w:rsidRPr="006657A8">
        <w:t>Viet</w:t>
      </w:r>
      <w:proofErr w:type="spellEnd"/>
      <w:r w:rsidRPr="006657A8">
        <w:t xml:space="preserve"> </w:t>
      </w:r>
      <w:proofErr w:type="spellStart"/>
      <w:r w:rsidRPr="006657A8">
        <w:t>Nam</w:t>
      </w:r>
      <w:proofErr w:type="spellEnd"/>
      <w:r w:rsidRPr="006657A8">
        <w:t xml:space="preserve"> y de otras empresas de alcance mundial, además de 10 pabellones nacionales de todo el mundo.</w:t>
      </w:r>
    </w:p>
    <w:p w14:paraId="347180FF" w14:textId="071224BD" w:rsidR="00BD74F2" w:rsidRDefault="00BD74F2" w:rsidP="0003750A">
      <w:r w:rsidRPr="006657A8">
        <w:t>3.4</w:t>
      </w:r>
      <w:r w:rsidRPr="006657A8">
        <w:tab/>
        <w:t xml:space="preserve">Como continuación del evento virtual, los </w:t>
      </w:r>
      <w:r w:rsidRPr="006657A8">
        <w:rPr>
          <w:b/>
          <w:bCs/>
        </w:rPr>
        <w:t xml:space="preserve">Premios a las PYME y Clases magistrales virtuales ITU Digital </w:t>
      </w:r>
      <w:proofErr w:type="spellStart"/>
      <w:r w:rsidRPr="006657A8">
        <w:rPr>
          <w:b/>
          <w:bCs/>
        </w:rPr>
        <w:t>World</w:t>
      </w:r>
      <w:proofErr w:type="spellEnd"/>
      <w:r w:rsidRPr="006657A8">
        <w:rPr>
          <w:b/>
          <w:bCs/>
        </w:rPr>
        <w:t xml:space="preserve"> 2020</w:t>
      </w:r>
      <w:r w:rsidRPr="006657A8">
        <w:t xml:space="preserve"> se celebraron en noviembre y diciembre de 2020. Los Premios ofrecieron a las PYME de todo el mundo la oportunidad de presentarse con su innovación a una selección de sectores distintos, y de participar en un programa de clases magistrales de PYME, sesiones de presentación y la ceremonia de entrega de los Premios virtuales en diciembre de 2020. Las Clases magistrales de PYME estuvieron abiertas a todas las PYME del mundo, participasen o no en los Premios.</w:t>
      </w:r>
    </w:p>
    <w:p w14:paraId="5E180A2D" w14:textId="5B4B3DEF" w:rsidR="006657A8" w:rsidRDefault="006657A8">
      <w:pPr>
        <w:tabs>
          <w:tab w:val="clear" w:pos="567"/>
          <w:tab w:val="clear" w:pos="1134"/>
          <w:tab w:val="clear" w:pos="1701"/>
          <w:tab w:val="clear" w:pos="2268"/>
          <w:tab w:val="clear" w:pos="2835"/>
        </w:tabs>
        <w:overflowPunct/>
        <w:autoSpaceDE/>
        <w:autoSpaceDN/>
        <w:adjustRightInd/>
        <w:spacing w:before="0"/>
        <w:textAlignment w:val="auto"/>
      </w:pPr>
      <w:r>
        <w:br w:type="page"/>
      </w:r>
    </w:p>
    <w:p w14:paraId="016E8730" w14:textId="77777777" w:rsidR="00BD74F2" w:rsidRPr="006657A8" w:rsidRDefault="00BD74F2" w:rsidP="00FF7BDF">
      <w:pPr>
        <w:pStyle w:val="Heading1"/>
      </w:pPr>
      <w:r w:rsidRPr="006657A8">
        <w:lastRenderedPageBreak/>
        <w:t>4</w:t>
      </w:r>
      <w:r w:rsidRPr="006657A8">
        <w:tab/>
        <w:t xml:space="preserve">ITU Digital </w:t>
      </w:r>
      <w:proofErr w:type="spellStart"/>
      <w:r w:rsidRPr="006657A8">
        <w:t>World</w:t>
      </w:r>
      <w:proofErr w:type="spellEnd"/>
      <w:r w:rsidRPr="006657A8">
        <w:t xml:space="preserve"> 2021</w:t>
      </w:r>
    </w:p>
    <w:p w14:paraId="0844FA08" w14:textId="77777777" w:rsidR="00BD74F2" w:rsidRPr="006657A8" w:rsidRDefault="00BD74F2" w:rsidP="0003750A">
      <w:r w:rsidRPr="006657A8">
        <w:t>4.1</w:t>
      </w:r>
      <w:r w:rsidRPr="006657A8">
        <w:tab/>
        <w:t xml:space="preserve">ITU Digital </w:t>
      </w:r>
      <w:proofErr w:type="spellStart"/>
      <w:r w:rsidRPr="006657A8">
        <w:t>World</w:t>
      </w:r>
      <w:proofErr w:type="spellEnd"/>
      <w:r w:rsidRPr="006657A8">
        <w:t xml:space="preserve"> 2021 tendrá lugar del 12 al 15 de octubre de 2021 en Hanoi (</w:t>
      </w:r>
      <w:proofErr w:type="spellStart"/>
      <w:r w:rsidRPr="006657A8">
        <w:t>Viet</w:t>
      </w:r>
      <w:proofErr w:type="spellEnd"/>
      <w:r w:rsidRPr="006657A8">
        <w:t xml:space="preserve"> </w:t>
      </w:r>
      <w:proofErr w:type="spellStart"/>
      <w:r w:rsidRPr="006657A8">
        <w:t>Nam</w:t>
      </w:r>
      <w:proofErr w:type="spellEnd"/>
      <w:r w:rsidRPr="006657A8">
        <w:t xml:space="preserve">). El Gobierno de </w:t>
      </w:r>
      <w:proofErr w:type="spellStart"/>
      <w:r w:rsidRPr="006657A8">
        <w:t>Viet</w:t>
      </w:r>
      <w:proofErr w:type="spellEnd"/>
      <w:r w:rsidRPr="006657A8">
        <w:t xml:space="preserve"> </w:t>
      </w:r>
      <w:proofErr w:type="spellStart"/>
      <w:r w:rsidRPr="006657A8">
        <w:t>Nam</w:t>
      </w:r>
      <w:proofErr w:type="spellEnd"/>
      <w:r w:rsidRPr="006657A8">
        <w:t xml:space="preserve">, representado por el Ministerio de Información y Comunicaciones (MIC), será el anfitrión del evento. El evento se celebra bajo el título "ITU Digital </w:t>
      </w:r>
      <w:proofErr w:type="spellStart"/>
      <w:r w:rsidRPr="006657A8">
        <w:t>World</w:t>
      </w:r>
      <w:proofErr w:type="spellEnd"/>
      <w:r w:rsidRPr="006657A8">
        <w:t xml:space="preserve"> 2021" a petición expresa del país anfitrión, </w:t>
      </w:r>
      <w:proofErr w:type="spellStart"/>
      <w:r w:rsidRPr="006657A8">
        <w:t>Viet</w:t>
      </w:r>
      <w:proofErr w:type="spellEnd"/>
      <w:r w:rsidRPr="006657A8">
        <w:t xml:space="preserve"> </w:t>
      </w:r>
      <w:proofErr w:type="spellStart"/>
      <w:r w:rsidRPr="006657A8">
        <w:t>Nam</w:t>
      </w:r>
      <w:proofErr w:type="spellEnd"/>
      <w:r w:rsidRPr="006657A8">
        <w:t>, y con el acuerdo del Secretario General. El nuevo nombre se eligió para reflejar la importancia y el alcance cada vez mayor de las tecnologías de apoyo al ecosistema de las TIC.</w:t>
      </w:r>
    </w:p>
    <w:p w14:paraId="5938C438" w14:textId="77777777" w:rsidR="00BD74F2" w:rsidRPr="006657A8" w:rsidRDefault="00BD74F2" w:rsidP="0003750A">
      <w:r w:rsidRPr="006657A8">
        <w:t>4.2</w:t>
      </w:r>
      <w:r w:rsidRPr="006657A8">
        <w:tab/>
        <w:t>Bajo el tema "</w:t>
      </w:r>
      <w:r w:rsidRPr="006657A8">
        <w:rPr>
          <w:b/>
          <w:bCs/>
        </w:rPr>
        <w:t>Construyendo el mundo digital. Juntos</w:t>
      </w:r>
      <w:r w:rsidRPr="006657A8">
        <w:t>", el evento incluirá la exposición, que permitirá a los Estados miembros, los Miembros de Sector y otros actores de la industria –además de seguir apoyando a las PYME– mostrar servicios, aplicaciones y soluciones innovadoras y poner de relieve las oportunidades de crecimiento e inversión. Los debates del Foro se centrarán en la conectividad, la innovación y los principios digitales.</w:t>
      </w:r>
    </w:p>
    <w:p w14:paraId="71CC9057" w14:textId="77777777" w:rsidR="00BD74F2" w:rsidRPr="006657A8" w:rsidRDefault="00BD74F2" w:rsidP="0003750A">
      <w:r w:rsidRPr="006657A8">
        <w:t>4.3</w:t>
      </w:r>
      <w:r w:rsidRPr="006657A8">
        <w:tab/>
        <w:t xml:space="preserve">Los </w:t>
      </w:r>
      <w:r w:rsidRPr="006657A8">
        <w:rPr>
          <w:b/>
          <w:bCs/>
        </w:rPr>
        <w:t>Premios Digitales Mundiales y el Programa de PYME</w:t>
      </w:r>
      <w:r w:rsidRPr="006657A8">
        <w:t xml:space="preserve"> de la UIT volverán a apoyar y a reconocer las soluciones innovadoras basadas en las TIC con repercusiones sociales, con categorías de candidatos determinadas mediante una combinación de información procedente de los eventos, el análisis de los anteriores expositores de PYME y la investigación de las tendencias mundiales.</w:t>
      </w:r>
    </w:p>
    <w:p w14:paraId="4FCA42A8" w14:textId="77777777" w:rsidR="00BD74F2" w:rsidRPr="006657A8" w:rsidRDefault="00BD74F2" w:rsidP="0003750A">
      <w:r w:rsidRPr="006657A8">
        <w:t>4.4</w:t>
      </w:r>
      <w:r w:rsidRPr="006657A8">
        <w:tab/>
        <w:t>El evento coincidirá con el 50º aniversario de los eventos ITU Telecom y conmemorará medio siglo de avances tecnológicos y de colaboración, desde el primer evento celebrado en 1971, y contemplará las tecnologías que conformarán el futuro.</w:t>
      </w:r>
    </w:p>
    <w:p w14:paraId="1D6BF3FC" w14:textId="77777777" w:rsidR="00BD74F2" w:rsidRPr="006657A8" w:rsidRDefault="00BD74F2" w:rsidP="0003750A">
      <w:pPr>
        <w:pStyle w:val="Heading1"/>
      </w:pPr>
      <w:r w:rsidRPr="006657A8">
        <w:t>5</w:t>
      </w:r>
      <w:r w:rsidRPr="006657A8">
        <w:tab/>
      </w:r>
      <w:proofErr w:type="gramStart"/>
      <w:r w:rsidRPr="006657A8">
        <w:t>Evaluación</w:t>
      </w:r>
      <w:proofErr w:type="gramEnd"/>
      <w:r w:rsidRPr="006657A8">
        <w:t xml:space="preserve"> y examen estratégico y financiero de los eventos ITU Telecom</w:t>
      </w:r>
    </w:p>
    <w:p w14:paraId="517BD2ED" w14:textId="789EF30A" w:rsidR="00BD74F2" w:rsidRPr="006657A8" w:rsidRDefault="00BD74F2" w:rsidP="0003750A">
      <w:r w:rsidRPr="006657A8">
        <w:t>5.1</w:t>
      </w:r>
      <w:r w:rsidRPr="006657A8">
        <w:tab/>
        <w:t>En la Resolución 11 (Rev. Dubái, 2018) se encargó al Secretario General que contratara los servicios de un consultor en gestión externo independiente a fin de llevar a cabo una evaluación estratégica y financiera global y un examen de los eventos ITU Telecom.</w:t>
      </w:r>
    </w:p>
    <w:p w14:paraId="1657B9C6" w14:textId="77777777" w:rsidR="00BD74F2" w:rsidRPr="006657A8" w:rsidRDefault="00BD74F2" w:rsidP="0003750A">
      <w:r w:rsidRPr="006657A8">
        <w:t>5.2</w:t>
      </w:r>
      <w:r w:rsidRPr="006657A8">
        <w:tab/>
        <w:t>Tras un proceso de licitación internacional, cumpliendo estrictamente los procedimientos de adquisición de la UIT, se nombró a DGDA Switzerland (</w:t>
      </w:r>
      <w:proofErr w:type="spellStart"/>
      <w:r w:rsidRPr="006657A8">
        <w:t>Dalberg</w:t>
      </w:r>
      <w:proofErr w:type="spellEnd"/>
      <w:r w:rsidRPr="006657A8">
        <w:t>), que comenzó a trabajar en el proyecto en agosto de 2019.</w:t>
      </w:r>
    </w:p>
    <w:p w14:paraId="3E7E9515" w14:textId="77777777" w:rsidR="00BD74F2" w:rsidRPr="006657A8" w:rsidRDefault="00BD74F2" w:rsidP="0003750A">
      <w:r w:rsidRPr="006657A8">
        <w:t>5.3</w:t>
      </w:r>
      <w:r w:rsidRPr="006657A8">
        <w:tab/>
        <w:t xml:space="preserve">El informe final de </w:t>
      </w:r>
      <w:proofErr w:type="spellStart"/>
      <w:r w:rsidRPr="006657A8">
        <w:t>Dalberg</w:t>
      </w:r>
      <w:proofErr w:type="spellEnd"/>
      <w:r w:rsidRPr="006657A8">
        <w:t xml:space="preserve"> se presentó a la segunda Consulta virtual de los consejeros en noviembre de 2020 en el </w:t>
      </w:r>
      <w:hyperlink r:id="rId13" w:history="1">
        <w:r w:rsidRPr="006657A8">
          <w:rPr>
            <w:rStyle w:val="Hyperlink"/>
          </w:rPr>
          <w:t>Documento C20/10</w:t>
        </w:r>
      </w:hyperlink>
      <w:r w:rsidRPr="006657A8">
        <w:t xml:space="preserve"> para acción futura, de acuerdo con lo dispuesto en la Resolución 11 (Rev. Dubái, 2018). Los consejeros acordaron que se proseguiría el estudio del informe y que se formularían recomendaciones en la reunión de 2021 del Consejo.</w:t>
      </w:r>
    </w:p>
    <w:p w14:paraId="192A0A4B" w14:textId="1BAA8AE3" w:rsidR="00BD74F2" w:rsidRPr="006657A8" w:rsidRDefault="00BD74F2" w:rsidP="0003750A">
      <w:pPr>
        <w:pStyle w:val="Heading1"/>
      </w:pPr>
      <w:r w:rsidRPr="006657A8">
        <w:t>6</w:t>
      </w:r>
      <w:r w:rsidRPr="006657A8">
        <w:tab/>
      </w:r>
      <w:proofErr w:type="gramStart"/>
      <w:r w:rsidRPr="006657A8">
        <w:t>Futuros</w:t>
      </w:r>
      <w:proofErr w:type="gramEnd"/>
      <w:r w:rsidRPr="006657A8">
        <w:t xml:space="preserve"> eventos</w:t>
      </w:r>
    </w:p>
    <w:p w14:paraId="7CD9938B" w14:textId="3BF37D13" w:rsidR="00BD74F2" w:rsidRPr="006657A8" w:rsidRDefault="00BD74F2" w:rsidP="0003750A">
      <w:r w:rsidRPr="006657A8">
        <w:t>6.1</w:t>
      </w:r>
      <w:r w:rsidRPr="006657A8">
        <w:tab/>
        <w:t xml:space="preserve">Se publicó la solicitud de candidaturas para acoger ITU Telecom </w:t>
      </w:r>
      <w:proofErr w:type="spellStart"/>
      <w:r w:rsidRPr="006657A8">
        <w:t>World</w:t>
      </w:r>
      <w:proofErr w:type="spellEnd"/>
      <w:r w:rsidRPr="006657A8">
        <w:t xml:space="preserve"> 2022 en enero de</w:t>
      </w:r>
      <w:r w:rsidR="006657A8">
        <w:t> </w:t>
      </w:r>
      <w:r w:rsidRPr="006657A8">
        <w:t>2021, pudiéndose presentar las propuestas al respecto hasta finales de mayo de 2021.</w:t>
      </w:r>
    </w:p>
    <w:p w14:paraId="6F68298A" w14:textId="77777777" w:rsidR="00FF7BDF" w:rsidRPr="006657A8" w:rsidRDefault="00FF7BDF" w:rsidP="00411C49">
      <w:pPr>
        <w:pStyle w:val="Reasons"/>
      </w:pPr>
    </w:p>
    <w:p w14:paraId="0A0E991C" w14:textId="77777777" w:rsidR="00FF7BDF" w:rsidRPr="006657A8" w:rsidRDefault="00FF7BDF">
      <w:pPr>
        <w:jc w:val="center"/>
      </w:pPr>
      <w:r w:rsidRPr="006657A8">
        <w:t>______________</w:t>
      </w:r>
    </w:p>
    <w:sectPr w:rsidR="00FF7BDF" w:rsidRPr="006657A8"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E312" w14:textId="77777777" w:rsidR="00BD74F2" w:rsidRDefault="00BD74F2">
      <w:r>
        <w:separator/>
      </w:r>
    </w:p>
  </w:endnote>
  <w:endnote w:type="continuationSeparator" w:id="0">
    <w:p w14:paraId="4B9917BB" w14:textId="77777777" w:rsidR="00BD74F2" w:rsidRDefault="00BD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65D7" w14:textId="5EA3C436" w:rsidR="00760F1C" w:rsidRPr="007B2DB5" w:rsidRDefault="001715BC" w:rsidP="006657A8">
    <w:pPr>
      <w:pStyle w:val="Footer"/>
      <w:rPr>
        <w:color w:val="D9D9D9" w:themeColor="background1" w:themeShade="D9"/>
        <w:lang w:val="fr-CH"/>
      </w:rPr>
    </w:pPr>
    <w:r w:rsidRPr="007B2DB5">
      <w:rPr>
        <w:color w:val="D9D9D9" w:themeColor="background1" w:themeShade="D9"/>
      </w:rPr>
      <w:fldChar w:fldCharType="begin"/>
    </w:r>
    <w:r w:rsidRPr="007B2DB5">
      <w:rPr>
        <w:color w:val="D9D9D9" w:themeColor="background1" w:themeShade="D9"/>
      </w:rPr>
      <w:instrText xml:space="preserve"> FILENAME \p  \* MERGEFORMAT </w:instrText>
    </w:r>
    <w:r w:rsidRPr="007B2DB5">
      <w:rPr>
        <w:color w:val="D9D9D9" w:themeColor="background1" w:themeShade="D9"/>
      </w:rPr>
      <w:fldChar w:fldCharType="separate"/>
    </w:r>
    <w:r w:rsidRPr="007B2DB5">
      <w:rPr>
        <w:color w:val="D9D9D9" w:themeColor="background1" w:themeShade="D9"/>
      </w:rPr>
      <w:t>P:\ESP\SG\CONSEIL\C21\000\019S.docx</w:t>
    </w:r>
    <w:r w:rsidRPr="007B2DB5">
      <w:rPr>
        <w:color w:val="D9D9D9" w:themeColor="background1" w:themeShade="D9"/>
      </w:rPr>
      <w:fldChar w:fldCharType="end"/>
    </w:r>
    <w:r w:rsidR="006657A8" w:rsidRPr="007B2DB5">
      <w:rPr>
        <w:color w:val="D9D9D9" w:themeColor="background1" w:themeShade="D9"/>
      </w:rPr>
      <w:t xml:space="preserve"> (483212)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C16B"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1B9E" w14:textId="77777777" w:rsidR="00BD74F2" w:rsidRDefault="00BD74F2">
      <w:r>
        <w:t>____________________</w:t>
      </w:r>
    </w:p>
  </w:footnote>
  <w:footnote w:type="continuationSeparator" w:id="0">
    <w:p w14:paraId="7FB9BC91" w14:textId="77777777" w:rsidR="00BD74F2" w:rsidRDefault="00BD7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FB6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EC93C48" w14:textId="76539667" w:rsidR="00760F1C" w:rsidRDefault="00760F1C" w:rsidP="00C2727F">
    <w:pPr>
      <w:pStyle w:val="Header"/>
    </w:pPr>
    <w:r>
      <w:t>C</w:t>
    </w:r>
    <w:r w:rsidR="007955DA">
      <w:t>2</w:t>
    </w:r>
    <w:r w:rsidR="000007D1">
      <w:t>1</w:t>
    </w:r>
    <w:r>
      <w:t>/</w:t>
    </w:r>
    <w:r w:rsidR="006657A8">
      <w:t>19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F2"/>
    <w:rsid w:val="000007D1"/>
    <w:rsid w:val="00093EEB"/>
    <w:rsid w:val="000B0D00"/>
    <w:rsid w:val="000B7C15"/>
    <w:rsid w:val="000D1D0F"/>
    <w:rsid w:val="000F5290"/>
    <w:rsid w:val="0010165C"/>
    <w:rsid w:val="00146BFB"/>
    <w:rsid w:val="001715BC"/>
    <w:rsid w:val="001F14A2"/>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64572"/>
    <w:rsid w:val="006657A8"/>
    <w:rsid w:val="006710F6"/>
    <w:rsid w:val="006C1B56"/>
    <w:rsid w:val="006D4761"/>
    <w:rsid w:val="00726872"/>
    <w:rsid w:val="00760F1C"/>
    <w:rsid w:val="007657F0"/>
    <w:rsid w:val="0077252D"/>
    <w:rsid w:val="007955DA"/>
    <w:rsid w:val="007B2DB5"/>
    <w:rsid w:val="007E5DD3"/>
    <w:rsid w:val="007F350B"/>
    <w:rsid w:val="00820BE4"/>
    <w:rsid w:val="008451E8"/>
    <w:rsid w:val="00913B9C"/>
    <w:rsid w:val="00956E77"/>
    <w:rsid w:val="009F4811"/>
    <w:rsid w:val="00AA390C"/>
    <w:rsid w:val="00AF72E8"/>
    <w:rsid w:val="00B0200A"/>
    <w:rsid w:val="00B43EA0"/>
    <w:rsid w:val="00B574DB"/>
    <w:rsid w:val="00B826C2"/>
    <w:rsid w:val="00B8298E"/>
    <w:rsid w:val="00BD0723"/>
    <w:rsid w:val="00BD2518"/>
    <w:rsid w:val="00BD74F2"/>
    <w:rsid w:val="00BF1D1C"/>
    <w:rsid w:val="00C20C59"/>
    <w:rsid w:val="00C2727F"/>
    <w:rsid w:val="00C55B1F"/>
    <w:rsid w:val="00CF1A67"/>
    <w:rsid w:val="00D2750E"/>
    <w:rsid w:val="00D62446"/>
    <w:rsid w:val="00DA4EA2"/>
    <w:rsid w:val="00DC3D3E"/>
    <w:rsid w:val="00DE2C90"/>
    <w:rsid w:val="00DE3B24"/>
    <w:rsid w:val="00E06947"/>
    <w:rsid w:val="00E3592D"/>
    <w:rsid w:val="00E44EBB"/>
    <w:rsid w:val="00E6551C"/>
    <w:rsid w:val="00E92DE8"/>
    <w:rsid w:val="00EB1212"/>
    <w:rsid w:val="00ED65AB"/>
    <w:rsid w:val="00F12850"/>
    <w:rsid w:val="00F33BF4"/>
    <w:rsid w:val="00F7105E"/>
    <w:rsid w:val="00F75F57"/>
    <w:rsid w:val="00F82FEE"/>
    <w:rsid w:val="00FD57D3"/>
    <w:rsid w:val="00FF11BD"/>
    <w:rsid w:val="00FF7B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9974A4"/>
  <w15:docId w15:val="{F98396D3-9DB5-4273-A46D-D81172C0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E65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19/es" TargetMode="External"/><Relationship Id="rId13" Type="http://schemas.openxmlformats.org/officeDocument/2006/relationships/hyperlink" Target="https://www.itu.int/md/S20-CL-C-0010/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20-CL-C-0019/en" TargetMode="External"/><Relationship Id="rId12" Type="http://schemas.openxmlformats.org/officeDocument/2006/relationships/hyperlink" Target="https://www.itu.int/md/S20-CL-C-0041/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ocreate.itu.in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equals.org" TargetMode="External"/><Relationship Id="rId4" Type="http://schemas.openxmlformats.org/officeDocument/2006/relationships/footnotes" Target="footnotes.xml"/><Relationship Id="rId9" Type="http://schemas.openxmlformats.org/officeDocument/2006/relationships/hyperlink" Target="https://www.itu.int/md/S20-CL-C-0041/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4</TotalTime>
  <Pages>4</Pages>
  <Words>1690</Words>
  <Characters>9306</Characters>
  <Application>Microsoft Office Word</Application>
  <DocSecurity>4</DocSecurity>
  <Lines>77</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10975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C2018, C18</cp:keywords>
  <dc:description/>
  <cp:lastModifiedBy>Brouard, Ricarda</cp:lastModifiedBy>
  <cp:revision>2</cp:revision>
  <cp:lastPrinted>2006-03-24T09:51:00Z</cp:lastPrinted>
  <dcterms:created xsi:type="dcterms:W3CDTF">2021-04-20T08:44:00Z</dcterms:created>
  <dcterms:modified xsi:type="dcterms:W3CDTF">2021-04-20T08:44:00Z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