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C50A8" w14:paraId="5909D164" w14:textId="77777777">
        <w:trPr>
          <w:cantSplit/>
        </w:trPr>
        <w:tc>
          <w:tcPr>
            <w:tcW w:w="6912" w:type="dxa"/>
          </w:tcPr>
          <w:p w14:paraId="1CAF3B1B" w14:textId="77777777" w:rsidR="00520F36" w:rsidRPr="00AC50A8" w:rsidRDefault="00520F36" w:rsidP="00106B19">
            <w:pPr>
              <w:spacing w:before="360"/>
            </w:pPr>
            <w:bookmarkStart w:id="0" w:name="dc06"/>
            <w:bookmarkEnd w:id="0"/>
            <w:r w:rsidRPr="00AC50A8">
              <w:rPr>
                <w:b/>
                <w:bCs/>
                <w:sz w:val="30"/>
                <w:szCs w:val="30"/>
              </w:rPr>
              <w:t>Conseil 20</w:t>
            </w:r>
            <w:r w:rsidR="009C353C" w:rsidRPr="00AC50A8">
              <w:rPr>
                <w:b/>
                <w:bCs/>
                <w:sz w:val="30"/>
                <w:szCs w:val="30"/>
              </w:rPr>
              <w:t>2</w:t>
            </w:r>
            <w:r w:rsidR="004D1D50" w:rsidRPr="00AC50A8">
              <w:rPr>
                <w:b/>
                <w:bCs/>
                <w:sz w:val="30"/>
                <w:szCs w:val="30"/>
              </w:rPr>
              <w:t>1</w:t>
            </w:r>
            <w:r w:rsidRPr="00AC50A8">
              <w:rPr>
                <w:rFonts w:ascii="Verdana" w:hAnsi="Verdana"/>
                <w:b/>
                <w:bCs/>
                <w:sz w:val="26"/>
                <w:szCs w:val="26"/>
              </w:rPr>
              <w:br/>
            </w:r>
            <w:r w:rsidR="004D1D50" w:rsidRPr="00AC50A8">
              <w:rPr>
                <w:b/>
                <w:bCs/>
                <w:sz w:val="28"/>
                <w:szCs w:val="28"/>
              </w:rPr>
              <w:t>Consultation virtuelle des Conseillers</w:t>
            </w:r>
            <w:r w:rsidRPr="00AC50A8">
              <w:rPr>
                <w:b/>
                <w:bCs/>
                <w:sz w:val="28"/>
                <w:szCs w:val="28"/>
              </w:rPr>
              <w:t xml:space="preserve">, </w:t>
            </w:r>
            <w:r w:rsidR="004D1D50" w:rsidRPr="00AC50A8">
              <w:rPr>
                <w:b/>
                <w:bCs/>
                <w:sz w:val="28"/>
                <w:szCs w:val="28"/>
              </w:rPr>
              <w:t>8</w:t>
            </w:r>
            <w:r w:rsidRPr="00AC50A8">
              <w:rPr>
                <w:b/>
                <w:bCs/>
                <w:sz w:val="28"/>
                <w:szCs w:val="28"/>
              </w:rPr>
              <w:t>-</w:t>
            </w:r>
            <w:r w:rsidR="009C353C" w:rsidRPr="00AC50A8">
              <w:rPr>
                <w:b/>
                <w:bCs/>
                <w:sz w:val="28"/>
                <w:szCs w:val="28"/>
              </w:rPr>
              <w:t>1</w:t>
            </w:r>
            <w:r w:rsidR="004D1D50" w:rsidRPr="00AC50A8">
              <w:rPr>
                <w:b/>
                <w:bCs/>
                <w:sz w:val="28"/>
                <w:szCs w:val="28"/>
              </w:rPr>
              <w:t>8</w:t>
            </w:r>
            <w:r w:rsidR="00106B19" w:rsidRPr="00AC50A8">
              <w:rPr>
                <w:b/>
                <w:bCs/>
                <w:sz w:val="28"/>
                <w:szCs w:val="28"/>
              </w:rPr>
              <w:t xml:space="preserve"> juin</w:t>
            </w:r>
            <w:r w:rsidRPr="00AC50A8">
              <w:rPr>
                <w:b/>
                <w:bCs/>
                <w:sz w:val="28"/>
                <w:szCs w:val="28"/>
              </w:rPr>
              <w:t xml:space="preserve"> 20</w:t>
            </w:r>
            <w:r w:rsidR="009C353C" w:rsidRPr="00AC50A8">
              <w:rPr>
                <w:b/>
                <w:bCs/>
                <w:sz w:val="28"/>
                <w:szCs w:val="28"/>
              </w:rPr>
              <w:t>2</w:t>
            </w:r>
            <w:r w:rsidR="004D1D50" w:rsidRPr="00AC50A8">
              <w:rPr>
                <w:b/>
                <w:bCs/>
                <w:sz w:val="28"/>
                <w:szCs w:val="28"/>
              </w:rPr>
              <w:t>1</w:t>
            </w:r>
          </w:p>
        </w:tc>
        <w:tc>
          <w:tcPr>
            <w:tcW w:w="3261" w:type="dxa"/>
          </w:tcPr>
          <w:p w14:paraId="097B44C4" w14:textId="77777777" w:rsidR="00520F36" w:rsidRPr="00AC50A8" w:rsidRDefault="009C353C" w:rsidP="009C353C">
            <w:pPr>
              <w:spacing w:before="0"/>
            </w:pPr>
            <w:bookmarkStart w:id="1" w:name="ditulogo"/>
            <w:bookmarkEnd w:id="1"/>
            <w:r w:rsidRPr="00AC50A8">
              <w:rPr>
                <w:noProof/>
                <w:lang w:val="en-US"/>
              </w:rPr>
              <w:drawing>
                <wp:inline distT="0" distB="0" distL="0" distR="0" wp14:anchorId="016B1AEA" wp14:editId="04F43F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C50A8" w14:paraId="77A0D9FE" w14:textId="77777777" w:rsidTr="00EF41DD">
        <w:trPr>
          <w:cantSplit/>
          <w:trHeight w:val="20"/>
        </w:trPr>
        <w:tc>
          <w:tcPr>
            <w:tcW w:w="6912" w:type="dxa"/>
            <w:tcBorders>
              <w:bottom w:val="single" w:sz="12" w:space="0" w:color="auto"/>
            </w:tcBorders>
            <w:vAlign w:val="center"/>
          </w:tcPr>
          <w:p w14:paraId="68B2E063" w14:textId="77777777" w:rsidR="00520F36" w:rsidRPr="00AC50A8" w:rsidRDefault="00520F36" w:rsidP="004C37A9">
            <w:pPr>
              <w:spacing w:before="0"/>
              <w:rPr>
                <w:b/>
                <w:bCs/>
                <w:sz w:val="26"/>
                <w:szCs w:val="26"/>
              </w:rPr>
            </w:pPr>
          </w:p>
        </w:tc>
        <w:tc>
          <w:tcPr>
            <w:tcW w:w="3261" w:type="dxa"/>
            <w:tcBorders>
              <w:bottom w:val="single" w:sz="12" w:space="0" w:color="auto"/>
            </w:tcBorders>
          </w:tcPr>
          <w:p w14:paraId="315727DB" w14:textId="77777777" w:rsidR="00520F36" w:rsidRPr="00AC50A8" w:rsidRDefault="00520F36" w:rsidP="00DF74DD">
            <w:pPr>
              <w:spacing w:before="0"/>
              <w:rPr>
                <w:b/>
                <w:bCs/>
              </w:rPr>
            </w:pPr>
          </w:p>
        </w:tc>
      </w:tr>
      <w:tr w:rsidR="00520F36" w:rsidRPr="00AC50A8" w14:paraId="7037E524" w14:textId="77777777">
        <w:trPr>
          <w:cantSplit/>
          <w:trHeight w:val="20"/>
        </w:trPr>
        <w:tc>
          <w:tcPr>
            <w:tcW w:w="6912" w:type="dxa"/>
            <w:tcBorders>
              <w:top w:val="single" w:sz="12" w:space="0" w:color="auto"/>
            </w:tcBorders>
          </w:tcPr>
          <w:p w14:paraId="70D7D284" w14:textId="77777777" w:rsidR="00520F36" w:rsidRPr="00AC50A8" w:rsidRDefault="00520F36" w:rsidP="00DF74DD">
            <w:pPr>
              <w:spacing w:before="0"/>
              <w:rPr>
                <w:smallCaps/>
                <w:sz w:val="22"/>
              </w:rPr>
            </w:pPr>
          </w:p>
        </w:tc>
        <w:tc>
          <w:tcPr>
            <w:tcW w:w="3261" w:type="dxa"/>
            <w:tcBorders>
              <w:top w:val="single" w:sz="12" w:space="0" w:color="auto"/>
            </w:tcBorders>
          </w:tcPr>
          <w:p w14:paraId="22B40BDD" w14:textId="77777777" w:rsidR="00520F36" w:rsidRPr="00AC50A8" w:rsidRDefault="00520F36" w:rsidP="00DF74DD">
            <w:pPr>
              <w:spacing w:before="0"/>
              <w:rPr>
                <w:b/>
                <w:bCs/>
              </w:rPr>
            </w:pPr>
          </w:p>
        </w:tc>
      </w:tr>
      <w:tr w:rsidR="00520F36" w:rsidRPr="00AC50A8" w14:paraId="58309E4D" w14:textId="77777777">
        <w:trPr>
          <w:cantSplit/>
          <w:trHeight w:val="20"/>
        </w:trPr>
        <w:tc>
          <w:tcPr>
            <w:tcW w:w="6912" w:type="dxa"/>
            <w:vMerge w:val="restart"/>
          </w:tcPr>
          <w:p w14:paraId="2B5E7756" w14:textId="6AE59BB3" w:rsidR="00520F36" w:rsidRPr="00AC50A8" w:rsidRDefault="003D4C7E" w:rsidP="00DF74DD">
            <w:pPr>
              <w:spacing w:before="0"/>
              <w:rPr>
                <w:rFonts w:cs="Times"/>
                <w:b/>
                <w:bCs/>
                <w:szCs w:val="24"/>
              </w:rPr>
            </w:pPr>
            <w:bookmarkStart w:id="2" w:name="dnum" w:colFirst="1" w:colLast="1"/>
            <w:bookmarkStart w:id="3" w:name="dmeeting" w:colFirst="0" w:colLast="0"/>
            <w:r w:rsidRPr="00AC50A8">
              <w:rPr>
                <w:rFonts w:cs="Times"/>
                <w:b/>
                <w:bCs/>
                <w:szCs w:val="24"/>
              </w:rPr>
              <w:t xml:space="preserve">Point de l'ordre du </w:t>
            </w:r>
            <w:proofErr w:type="gramStart"/>
            <w:r w:rsidRPr="00AC50A8">
              <w:rPr>
                <w:rFonts w:cs="Times"/>
                <w:b/>
                <w:bCs/>
                <w:szCs w:val="24"/>
              </w:rPr>
              <w:t>jour:</w:t>
            </w:r>
            <w:proofErr w:type="gramEnd"/>
            <w:r w:rsidRPr="00AC50A8">
              <w:rPr>
                <w:rFonts w:cs="Times"/>
                <w:b/>
                <w:bCs/>
                <w:szCs w:val="24"/>
              </w:rPr>
              <w:t xml:space="preserve"> PL 2.1</w:t>
            </w:r>
          </w:p>
        </w:tc>
        <w:tc>
          <w:tcPr>
            <w:tcW w:w="3261" w:type="dxa"/>
          </w:tcPr>
          <w:p w14:paraId="6214EF63" w14:textId="4ECC3909" w:rsidR="00520F36" w:rsidRPr="00AC50A8" w:rsidRDefault="003D4C7E" w:rsidP="00106B19">
            <w:pPr>
              <w:spacing w:before="0"/>
              <w:rPr>
                <w:b/>
                <w:bCs/>
              </w:rPr>
            </w:pPr>
            <w:r w:rsidRPr="00AC50A8">
              <w:rPr>
                <w:b/>
                <w:bCs/>
              </w:rPr>
              <w:t>Document C21/19-F</w:t>
            </w:r>
          </w:p>
        </w:tc>
      </w:tr>
      <w:tr w:rsidR="00520F36" w:rsidRPr="00AC50A8" w14:paraId="2781B40A" w14:textId="77777777">
        <w:trPr>
          <w:cantSplit/>
          <w:trHeight w:val="20"/>
        </w:trPr>
        <w:tc>
          <w:tcPr>
            <w:tcW w:w="6912" w:type="dxa"/>
            <w:vMerge/>
          </w:tcPr>
          <w:p w14:paraId="5C35DB0B" w14:textId="77777777" w:rsidR="00520F36" w:rsidRPr="00AC50A8" w:rsidRDefault="00520F36" w:rsidP="00DF74DD">
            <w:pPr>
              <w:shd w:val="solid" w:color="FFFFFF" w:fill="FFFFFF"/>
              <w:spacing w:before="180"/>
              <w:rPr>
                <w:smallCaps/>
              </w:rPr>
            </w:pPr>
            <w:bookmarkStart w:id="4" w:name="ddate" w:colFirst="1" w:colLast="1"/>
            <w:bookmarkEnd w:id="2"/>
            <w:bookmarkEnd w:id="3"/>
          </w:p>
        </w:tc>
        <w:tc>
          <w:tcPr>
            <w:tcW w:w="3261" w:type="dxa"/>
          </w:tcPr>
          <w:p w14:paraId="1921247E" w14:textId="0006E16F" w:rsidR="00520F36" w:rsidRPr="00AC50A8" w:rsidRDefault="003D4C7E" w:rsidP="00106B19">
            <w:pPr>
              <w:spacing w:before="0"/>
              <w:rPr>
                <w:b/>
                <w:bCs/>
              </w:rPr>
            </w:pPr>
            <w:r w:rsidRPr="00AC50A8">
              <w:rPr>
                <w:b/>
                <w:bCs/>
              </w:rPr>
              <w:t>23 mars 2021</w:t>
            </w:r>
          </w:p>
        </w:tc>
      </w:tr>
      <w:tr w:rsidR="00520F36" w:rsidRPr="00AC50A8" w14:paraId="429CA70C" w14:textId="77777777">
        <w:trPr>
          <w:cantSplit/>
          <w:trHeight w:val="20"/>
        </w:trPr>
        <w:tc>
          <w:tcPr>
            <w:tcW w:w="6912" w:type="dxa"/>
            <w:vMerge/>
          </w:tcPr>
          <w:p w14:paraId="35E4BB4D" w14:textId="77777777" w:rsidR="00520F36" w:rsidRPr="00AC50A8" w:rsidRDefault="00520F36" w:rsidP="00DF74DD">
            <w:pPr>
              <w:shd w:val="solid" w:color="FFFFFF" w:fill="FFFFFF"/>
              <w:spacing w:before="180"/>
              <w:rPr>
                <w:smallCaps/>
              </w:rPr>
            </w:pPr>
            <w:bookmarkStart w:id="5" w:name="dorlang" w:colFirst="1" w:colLast="1"/>
            <w:bookmarkEnd w:id="4"/>
          </w:p>
        </w:tc>
        <w:tc>
          <w:tcPr>
            <w:tcW w:w="3261" w:type="dxa"/>
          </w:tcPr>
          <w:p w14:paraId="22F24062" w14:textId="77777777" w:rsidR="00520F36" w:rsidRPr="00AC50A8" w:rsidRDefault="00520F36" w:rsidP="00520F36">
            <w:pPr>
              <w:spacing w:before="0"/>
              <w:rPr>
                <w:b/>
                <w:bCs/>
              </w:rPr>
            </w:pPr>
            <w:proofErr w:type="gramStart"/>
            <w:r w:rsidRPr="00AC50A8">
              <w:rPr>
                <w:b/>
                <w:bCs/>
              </w:rPr>
              <w:t>Original:</w:t>
            </w:r>
            <w:proofErr w:type="gramEnd"/>
            <w:r w:rsidRPr="00AC50A8">
              <w:rPr>
                <w:b/>
                <w:bCs/>
              </w:rPr>
              <w:t xml:space="preserve"> anglais</w:t>
            </w:r>
          </w:p>
        </w:tc>
      </w:tr>
      <w:tr w:rsidR="00520F36" w:rsidRPr="00AC50A8" w14:paraId="2BB647C9" w14:textId="77777777">
        <w:trPr>
          <w:cantSplit/>
        </w:trPr>
        <w:tc>
          <w:tcPr>
            <w:tcW w:w="10173" w:type="dxa"/>
            <w:gridSpan w:val="2"/>
          </w:tcPr>
          <w:p w14:paraId="0EC16116" w14:textId="280E3CFE" w:rsidR="00520F36" w:rsidRPr="00AC50A8" w:rsidRDefault="003D4C7E" w:rsidP="00DF74DD">
            <w:pPr>
              <w:pStyle w:val="Source"/>
            </w:pPr>
            <w:bookmarkStart w:id="6" w:name="dsource" w:colFirst="0" w:colLast="0"/>
            <w:bookmarkEnd w:id="5"/>
            <w:r w:rsidRPr="00AC50A8">
              <w:t>Rapport du Secrétaire général</w:t>
            </w:r>
          </w:p>
        </w:tc>
      </w:tr>
      <w:tr w:rsidR="00520F36" w:rsidRPr="00AC50A8" w14:paraId="339F1495" w14:textId="77777777">
        <w:trPr>
          <w:cantSplit/>
        </w:trPr>
        <w:tc>
          <w:tcPr>
            <w:tcW w:w="10173" w:type="dxa"/>
            <w:gridSpan w:val="2"/>
          </w:tcPr>
          <w:p w14:paraId="0AECA5BE" w14:textId="10CF64A2" w:rsidR="00520F36" w:rsidRPr="00AC50A8" w:rsidRDefault="003D4C7E" w:rsidP="00DF74DD">
            <w:pPr>
              <w:pStyle w:val="Title1"/>
            </w:pPr>
            <w:bookmarkStart w:id="7" w:name="dtitle1" w:colFirst="0" w:colLast="0"/>
            <w:bookmarkEnd w:id="6"/>
            <w:r w:rsidRPr="00AC50A8">
              <w:t>RAPPORT SUR LES MANIFESTATIONS itu telecom world</w:t>
            </w:r>
          </w:p>
        </w:tc>
      </w:tr>
      <w:bookmarkEnd w:id="7"/>
    </w:tbl>
    <w:p w14:paraId="78E5788F" w14:textId="77777777" w:rsidR="00520F36" w:rsidRPr="00AC50A8"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C50A8" w14:paraId="03F4644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64EFD63" w14:textId="77777777" w:rsidR="00520F36" w:rsidRPr="00AC50A8" w:rsidRDefault="00520F36">
            <w:pPr>
              <w:pStyle w:val="Headingb"/>
            </w:pPr>
            <w:r w:rsidRPr="00AC50A8">
              <w:t>Résumé</w:t>
            </w:r>
          </w:p>
          <w:p w14:paraId="17F55BB1" w14:textId="77777777" w:rsidR="003D4C7E" w:rsidRPr="00AC50A8" w:rsidRDefault="003D4C7E" w:rsidP="003D4C7E">
            <w:r w:rsidRPr="00AC50A8">
              <w:t>Le présent rapport donne une vue d'ensemble des temps forts d'ITU Telecom World 2019 et 2020 et des préparatifs des éditions de 2021 et de 2022, ainsi que des progrès accomplis dans l'évaluation et l'examen stratégiques et financiers des manifestations ITU Telecom, au titre de la Résolution 11 (Rév. Dubaï, 2018) de la Conférence de plénipotentiaires.</w:t>
            </w:r>
          </w:p>
          <w:p w14:paraId="6F5B871E" w14:textId="03C9F488" w:rsidR="00520F36" w:rsidRPr="00AC50A8" w:rsidRDefault="003D4C7E" w:rsidP="003D4C7E">
            <w:r w:rsidRPr="00AC50A8">
              <w:t xml:space="preserve">Le présent document a initialement été élaboré sous la cote </w:t>
            </w:r>
            <w:hyperlink r:id="rId7" w:history="1">
              <w:r w:rsidR="00C87B28" w:rsidRPr="00AC50A8">
                <w:rPr>
                  <w:rStyle w:val="Hyperlink"/>
                </w:rPr>
                <w:t>C20/19</w:t>
              </w:r>
            </w:hyperlink>
            <w:r w:rsidRPr="00AC50A8">
              <w:t xml:space="preserve"> pour soumission à la session de 2020 du Conseil, mais il n'a pas été examiné.</w:t>
            </w:r>
          </w:p>
          <w:p w14:paraId="255B8708" w14:textId="77777777" w:rsidR="00520F36" w:rsidRPr="00AC50A8" w:rsidRDefault="00520F36">
            <w:pPr>
              <w:pStyle w:val="Headingb"/>
            </w:pPr>
            <w:proofErr w:type="gramStart"/>
            <w:r w:rsidRPr="00AC50A8">
              <w:t>Suite à</w:t>
            </w:r>
            <w:proofErr w:type="gramEnd"/>
            <w:r w:rsidRPr="00AC50A8">
              <w:t xml:space="preserve"> donner</w:t>
            </w:r>
          </w:p>
          <w:p w14:paraId="4357FE92" w14:textId="6B596BD2" w:rsidR="00520F36" w:rsidRPr="00AC50A8" w:rsidRDefault="003D4C7E">
            <w:r w:rsidRPr="00AC50A8">
              <w:t xml:space="preserve">Le Conseil est invité à </w:t>
            </w:r>
            <w:r w:rsidRPr="00AC50A8">
              <w:rPr>
                <w:b/>
                <w:bCs/>
              </w:rPr>
              <w:t>prendre note</w:t>
            </w:r>
            <w:r w:rsidRPr="00AC50A8">
              <w:t xml:space="preserve"> du présent rapport.</w:t>
            </w:r>
          </w:p>
          <w:p w14:paraId="21CDF784" w14:textId="77777777" w:rsidR="00520F36" w:rsidRPr="00AC50A8" w:rsidRDefault="00520F36">
            <w:pPr>
              <w:pStyle w:val="Table"/>
              <w:keepNext w:val="0"/>
              <w:spacing w:before="0" w:after="0"/>
              <w:rPr>
                <w:rFonts w:ascii="Calibri" w:hAnsi="Calibri"/>
                <w:caps w:val="0"/>
                <w:sz w:val="22"/>
                <w:lang w:val="fr-FR"/>
              </w:rPr>
            </w:pPr>
            <w:r w:rsidRPr="00AC50A8">
              <w:rPr>
                <w:rFonts w:ascii="Calibri" w:hAnsi="Calibri"/>
                <w:caps w:val="0"/>
                <w:sz w:val="22"/>
                <w:lang w:val="fr-FR"/>
              </w:rPr>
              <w:t>____________</w:t>
            </w:r>
          </w:p>
          <w:p w14:paraId="759D3993" w14:textId="77777777" w:rsidR="00520F36" w:rsidRPr="00AC50A8" w:rsidRDefault="00520F36">
            <w:pPr>
              <w:pStyle w:val="Headingb"/>
            </w:pPr>
            <w:r w:rsidRPr="00AC50A8">
              <w:t>Références</w:t>
            </w:r>
          </w:p>
          <w:p w14:paraId="1912DEA7" w14:textId="4984B85D" w:rsidR="00520F36" w:rsidRPr="00AC50A8" w:rsidRDefault="00A94FBD">
            <w:pPr>
              <w:spacing w:after="120"/>
              <w:rPr>
                <w:i/>
                <w:iCs/>
              </w:rPr>
            </w:pPr>
            <w:hyperlink r:id="rId8" w:history="1">
              <w:r w:rsidR="003D4C7E" w:rsidRPr="00AC50A8">
                <w:rPr>
                  <w:rStyle w:val="Hyperlink"/>
                  <w:i/>
                  <w:iCs/>
                </w:rPr>
                <w:t>Résolution 11 (Rév. Dubaï 2018)</w:t>
              </w:r>
            </w:hyperlink>
            <w:r w:rsidR="003D4C7E" w:rsidRPr="00AC50A8">
              <w:rPr>
                <w:i/>
                <w:iCs/>
              </w:rPr>
              <w:t xml:space="preserve"> de la Conférence de </w:t>
            </w:r>
            <w:proofErr w:type="gramStart"/>
            <w:r w:rsidR="003D4C7E" w:rsidRPr="00AC50A8">
              <w:rPr>
                <w:i/>
                <w:iCs/>
              </w:rPr>
              <w:t>plénipotentiaires;</w:t>
            </w:r>
            <w:proofErr w:type="gramEnd"/>
            <w:r w:rsidR="003D4C7E" w:rsidRPr="00AC50A8">
              <w:rPr>
                <w:i/>
                <w:iCs/>
              </w:rPr>
              <w:t xml:space="preserve"> Documents </w:t>
            </w:r>
            <w:hyperlink r:id="rId9" w:history="1">
              <w:r w:rsidR="003D4C7E" w:rsidRPr="00AC50A8">
                <w:rPr>
                  <w:rStyle w:val="Hyperlink"/>
                  <w:i/>
                  <w:iCs/>
                </w:rPr>
                <w:t>C19/19</w:t>
              </w:r>
            </w:hyperlink>
            <w:r w:rsidR="003D4C7E" w:rsidRPr="00AC50A8">
              <w:rPr>
                <w:i/>
                <w:iCs/>
              </w:rPr>
              <w:t xml:space="preserve"> et </w:t>
            </w:r>
            <w:hyperlink r:id="rId10" w:history="1">
              <w:r w:rsidR="003D4C7E" w:rsidRPr="00AC50A8">
                <w:rPr>
                  <w:rStyle w:val="Hyperlink"/>
                  <w:i/>
                  <w:iCs/>
                </w:rPr>
                <w:t>C20/41</w:t>
              </w:r>
            </w:hyperlink>
          </w:p>
        </w:tc>
      </w:tr>
    </w:tbl>
    <w:p w14:paraId="73343E13" w14:textId="64E99411" w:rsidR="003D4C7E" w:rsidRPr="00AC50A8" w:rsidRDefault="003D4C7E" w:rsidP="00490F1F">
      <w:pPr>
        <w:pStyle w:val="Heading1"/>
        <w:spacing w:before="360"/>
      </w:pPr>
      <w:r w:rsidRPr="00AC50A8">
        <w:t>1</w:t>
      </w:r>
      <w:r w:rsidRPr="00AC50A8">
        <w:tab/>
        <w:t>Temps forts d'ITU Telecom World 2019</w:t>
      </w:r>
    </w:p>
    <w:p w14:paraId="363E531E" w14:textId="77777777" w:rsidR="003D4C7E" w:rsidRPr="00AC50A8" w:rsidRDefault="003D4C7E" w:rsidP="003D4C7E">
      <w:r w:rsidRPr="00AC50A8">
        <w:t>1.1</w:t>
      </w:r>
      <w:r w:rsidRPr="00AC50A8">
        <w:tab/>
        <w:t>ITU Telecom World 2019 a eu lieu du 9 au 12 septembre à Budapest (Hongrie), sur le thème "</w:t>
      </w:r>
      <w:r w:rsidRPr="00AC50A8">
        <w:rPr>
          <w:b/>
          <w:bCs/>
        </w:rPr>
        <w:t xml:space="preserve">Innover </w:t>
      </w:r>
      <w:proofErr w:type="gramStart"/>
      <w:r w:rsidRPr="00AC50A8">
        <w:rPr>
          <w:b/>
          <w:bCs/>
        </w:rPr>
        <w:t>ensemble:</w:t>
      </w:r>
      <w:proofErr w:type="gramEnd"/>
      <w:r w:rsidRPr="00AC50A8">
        <w:rPr>
          <w:b/>
          <w:bCs/>
        </w:rPr>
        <w:t xml:space="preserve"> la connectivité avant tout</w:t>
      </w:r>
      <w:r w:rsidRPr="00AC50A8">
        <w:t xml:space="preserve">". Cette manifestation a rassemblé des gouvernements, des entreprises et des PME (petites et moyennes entreprises) technologiques, issus de marchés émergents et développés du monde entier. </w:t>
      </w:r>
    </w:p>
    <w:p w14:paraId="10077540" w14:textId="77777777" w:rsidR="003D4C7E" w:rsidRPr="00AC50A8" w:rsidRDefault="003D4C7E" w:rsidP="003D4C7E">
      <w:r w:rsidRPr="00AC50A8">
        <w:t>1.2</w:t>
      </w:r>
      <w:r w:rsidRPr="00AC50A8">
        <w:tab/>
        <w:t xml:space="preserve">La manifestation a été accueillie par le Gouvernement de la Hongrie, auquel l'UIT est très </w:t>
      </w:r>
      <w:proofErr w:type="gramStart"/>
      <w:r w:rsidRPr="00AC50A8">
        <w:t>reconnaissante</w:t>
      </w:r>
      <w:proofErr w:type="gramEnd"/>
      <w:r w:rsidRPr="00AC50A8">
        <w:t xml:space="preserve"> d'avoir prêté résolument son concours pour accueillir la manifestation, pour veiller à son bon déroulement et pour assurer le dynamisme et la pertinence des débats. </w:t>
      </w:r>
    </w:p>
    <w:p w14:paraId="0929D971" w14:textId="77777777" w:rsidR="003D4C7E" w:rsidRPr="00AC50A8" w:rsidRDefault="003D4C7E" w:rsidP="003D4C7E">
      <w:r w:rsidRPr="00AC50A8">
        <w:t>1.3</w:t>
      </w:r>
      <w:r w:rsidRPr="00AC50A8">
        <w:tab/>
        <w:t xml:space="preserve">Des acteurs majeurs d'envergure internationale ont participé activement à l'Exposition ainsi qu'au Forum. Le pays hôte a organisé le pavillon national de la Hongrie, qui a mis à l'honneur des entreprises, </w:t>
      </w:r>
      <w:proofErr w:type="gramStart"/>
      <w:r w:rsidRPr="00AC50A8">
        <w:t>des start-up</w:t>
      </w:r>
      <w:proofErr w:type="gramEnd"/>
      <w:r w:rsidRPr="00AC50A8">
        <w:t>, des universités et des pépinières du pays, qui jouissent d'une véritable reconnaissance dans le secteur des technologies, ainsi que de nombreux débats axés sur l'innovation.</w:t>
      </w:r>
    </w:p>
    <w:p w14:paraId="25877894" w14:textId="574CEAE5" w:rsidR="003D4C7E" w:rsidRPr="00AC50A8" w:rsidRDefault="003D4C7E" w:rsidP="003D4C7E">
      <w:r w:rsidRPr="00AC50A8">
        <w:lastRenderedPageBreak/>
        <w:t>1.4</w:t>
      </w:r>
      <w:r w:rsidRPr="00AC50A8">
        <w:tab/>
        <w:t xml:space="preserve">L'UIT était honorée que la manifestation rassemble des participants de tout premier plan issus du pays hôte, y compris le Premier Ministre Viktor </w:t>
      </w:r>
      <w:proofErr w:type="spellStart"/>
      <w:r w:rsidRPr="00AC50A8">
        <w:t>Orbán</w:t>
      </w:r>
      <w:proofErr w:type="spellEnd"/>
      <w:r w:rsidRPr="00AC50A8">
        <w:t>, qui a ouvert la manifestation et qui a également rencontré et félicité les entreprises participant à l'Exposition. Outre les éminents représentants du Gouvernement hongrois, les dirigeants participant à la manifestation comprenaient des ministres et des régulateurs, des hauts dirigeants de grandes entreprises du secteur des TIC, des chefs de secrétariat d'organisations internationales, des ambassadeurs, des universitaires et des représentants de PME.</w:t>
      </w:r>
    </w:p>
    <w:p w14:paraId="592985E7" w14:textId="26925829" w:rsidR="003D4C7E" w:rsidRPr="00AC50A8" w:rsidRDefault="003D4C7E" w:rsidP="003D4C7E">
      <w:r w:rsidRPr="00AC50A8">
        <w:t>1.5</w:t>
      </w:r>
      <w:r w:rsidRPr="00AC50A8">
        <w:tab/>
        <w:t>La manifestation a rassemblé plus de 270 exposants, dont plus de 150 PME, ainsi que</w:t>
      </w:r>
      <w:r w:rsidR="00652CD1" w:rsidRPr="00AC50A8">
        <w:t xml:space="preserve"> </w:t>
      </w:r>
      <w:r w:rsidRPr="00AC50A8">
        <w:t>20 sponsors et partenaires de plus de 40 pays.</w:t>
      </w:r>
    </w:p>
    <w:p w14:paraId="2902DB57" w14:textId="3CDC3067" w:rsidR="003D4C7E" w:rsidRPr="00AC50A8" w:rsidRDefault="003D4C7E" w:rsidP="003D4C7E">
      <w:r w:rsidRPr="00AC50A8">
        <w:t>1.6</w:t>
      </w:r>
      <w:r w:rsidRPr="00AC50A8">
        <w:tab/>
        <w:t>L'</w:t>
      </w:r>
      <w:r w:rsidRPr="00AC50A8">
        <w:rPr>
          <w:b/>
        </w:rPr>
        <w:t>exposition</w:t>
      </w:r>
      <w:r w:rsidRPr="00AC50A8">
        <w:t xml:space="preserve"> a permis de présenter des technologies dans les domaines de la 5G, des satellites, de la gestion des déchets d'équipements électriques et électroniques, de la robotique, de la chaîne de blocs, de l'intelligence artificielle, des services bancaires et des villes intelligentes (Smart ABC), de l'agriculture intelligente, des maisons intelligentes, de l'atténuation des effets des changements climatiques, des technologies financières et bien d'autres. </w:t>
      </w:r>
      <w:r w:rsidRPr="00AC50A8">
        <w:rPr>
          <w:color w:val="000000"/>
        </w:rPr>
        <w:t>Les exposants et les sponsors comprenaient de grandes entreprises et des PME à la pointe de l'innovation, du monde entier.</w:t>
      </w:r>
    </w:p>
    <w:p w14:paraId="6DA56C13" w14:textId="77777777" w:rsidR="003D4C7E" w:rsidRPr="00AC50A8" w:rsidRDefault="003D4C7E" w:rsidP="003D4C7E">
      <w:pPr>
        <w:rPr>
          <w:bdr w:val="none" w:sz="0" w:space="0" w:color="auto" w:frame="1"/>
          <w:shd w:val="clear" w:color="auto" w:fill="FFFFFF"/>
          <w:lang w:eastAsia="en-GB"/>
        </w:rPr>
      </w:pPr>
      <w:r w:rsidRPr="00AC50A8">
        <w:t>1.7</w:t>
      </w:r>
      <w:r w:rsidRPr="00AC50A8">
        <w:tab/>
      </w:r>
      <w:r w:rsidRPr="00AC50A8">
        <w:rPr>
          <w:bdr w:val="none" w:sz="0" w:space="0" w:color="auto" w:frame="1"/>
          <w:shd w:val="clear" w:color="auto" w:fill="FFFFFF"/>
          <w:lang w:eastAsia="en-GB"/>
        </w:rPr>
        <w:t xml:space="preserve">Le </w:t>
      </w:r>
      <w:r w:rsidRPr="00AC50A8">
        <w:rPr>
          <w:b/>
          <w:bdr w:val="none" w:sz="0" w:space="0" w:color="auto" w:frame="1"/>
          <w:shd w:val="clear" w:color="auto" w:fill="FFFFFF"/>
          <w:lang w:eastAsia="en-GB"/>
        </w:rPr>
        <w:t>Forum</w:t>
      </w:r>
      <w:r w:rsidRPr="00AC50A8">
        <w:rPr>
          <w:bdr w:val="none" w:sz="0" w:space="0" w:color="auto" w:frame="1"/>
          <w:shd w:val="clear" w:color="auto" w:fill="FFFFFF"/>
          <w:lang w:eastAsia="en-GB"/>
        </w:rPr>
        <w:t xml:space="preserve"> a débuté avec le sommet organisé dans le cadre du Forum, qui a été animé par un représentant d'Euronews. Les sessions ont porté sur des thèmes tels que les évolutions technologiques et leurs incidences dans le domaine de la 5G, l'Internet des objets (IoT), l'intelligence artificielle, les villes intelligentes, l'appui à la croissance des PME technologiques, l'atténuation des discriminations sexistes dans l'intelligence artificielle, les nouvelles technologies au service de la lutte contre les changements climatiques, et bien d'autres. Les tables rondes ministérielles ont réuni des ministres du monde entier pour débattre de questions portant notamment sur la confidentialité des données, le rôle des gouvernements dans le déploiement de la 5G ou la promotion de la collaboration entre le secteur public et le secteur privé dans le domaine de la connectivité et de l'adoption de l'Internet. Les sessions avec les partenaires ont permis de connaître l'avis de spécialistes dans des domaines tels que la transformation numérique, les micro</w:t>
      </w:r>
      <w:r w:rsidRPr="00AC50A8">
        <w:rPr>
          <w:bdr w:val="none" w:sz="0" w:space="0" w:color="auto" w:frame="1"/>
          <w:shd w:val="clear" w:color="auto" w:fill="FFFFFF"/>
          <w:lang w:eastAsia="en-GB"/>
        </w:rPr>
        <w:noBreakHyphen/>
        <w:t xml:space="preserve">entreprises et les PME en Ouganda, la tarification du spectre, les réseaux de prochaine génération durables et la planification, les stratégies et la coopération relatives à la 5G. </w:t>
      </w:r>
    </w:p>
    <w:p w14:paraId="7E2FFC13" w14:textId="314EAA04" w:rsidR="003D4C7E" w:rsidRPr="00AC50A8" w:rsidRDefault="003D4C7E" w:rsidP="003D4C7E">
      <w:r w:rsidRPr="00AC50A8">
        <w:rPr>
          <w:bdr w:val="none" w:sz="0" w:space="0" w:color="auto" w:frame="1"/>
          <w:shd w:val="clear" w:color="auto" w:fill="FFFFFF"/>
          <w:lang w:eastAsia="en-GB"/>
        </w:rPr>
        <w:t>1.8</w:t>
      </w:r>
      <w:r w:rsidRPr="00AC50A8">
        <w:rPr>
          <w:bdr w:val="none" w:sz="0" w:space="0" w:color="auto" w:frame="1"/>
          <w:shd w:val="clear" w:color="auto" w:fill="FFFFFF"/>
          <w:lang w:eastAsia="en-GB"/>
        </w:rPr>
        <w:tab/>
      </w:r>
      <w:r w:rsidRPr="00AC50A8">
        <w:rPr>
          <w:b/>
          <w:bCs/>
        </w:rPr>
        <w:t xml:space="preserve">Les PME et l'accessibilité </w:t>
      </w:r>
      <w:proofErr w:type="gramStart"/>
      <w:r w:rsidRPr="00AC50A8">
        <w:rPr>
          <w:b/>
          <w:bCs/>
        </w:rPr>
        <w:t>financière</w:t>
      </w:r>
      <w:r w:rsidRPr="00AC50A8">
        <w:t>:</w:t>
      </w:r>
      <w:proofErr w:type="gramEnd"/>
      <w:r w:rsidRPr="00AC50A8">
        <w:t xml:space="preserve"> À la suite de demandes émanant d'États Membres, ITU Telecom World 2019 a offert des services et des activités pour soutenir la participation des PME, notamment avec de nouvelles formules de base, et a réduit les coûts de participation au Forum pour les PMA, les PDSL et les PEID.</w:t>
      </w:r>
    </w:p>
    <w:p w14:paraId="11E669C1" w14:textId="77777777" w:rsidR="003D4C7E" w:rsidRPr="00AC50A8" w:rsidRDefault="003D4C7E" w:rsidP="003D4C7E">
      <w:r w:rsidRPr="00AC50A8">
        <w:t>1.9</w:t>
      </w:r>
      <w:r w:rsidRPr="00AC50A8">
        <w:tab/>
      </w:r>
      <w:r w:rsidRPr="00AC50A8">
        <w:rPr>
          <w:b/>
          <w:bCs/>
        </w:rPr>
        <w:t xml:space="preserve">Le Programme pour les PME et les Prix ITU Telecom </w:t>
      </w:r>
      <w:proofErr w:type="gramStart"/>
      <w:r w:rsidRPr="00AC50A8">
        <w:rPr>
          <w:b/>
          <w:bCs/>
        </w:rPr>
        <w:t>World</w:t>
      </w:r>
      <w:r w:rsidRPr="00AC50A8">
        <w:t>:</w:t>
      </w:r>
      <w:proofErr w:type="gramEnd"/>
      <w:r w:rsidRPr="00AC50A8">
        <w:t xml:space="preserve"> Le Programme pour les PME a offert aux PME des possibilités précieuses pour ce qui était de nouer des contacts en réseau, de se mettre en relation entre elles, de débattre et de présenter leurs projets. Au centre du Programme ont été les Prix ITU Telecom World, qui ont récompensé les PME, les gouvernements et les entreprises œuvrant pour le progrès social. Le programme de Prix comprenait le Prix mondial pour les PME, le Prix pour les entreprises, le Prix pour les gouvernements et le Prix pour le pays hôte. Les lauréats et les finalistes ont reçu des trophées et des certificats lors d'une cérémonie prestigieuse, qui a eu lieu à la fin de la manifestation. Immersion 4 (Suisse) a remporté le Prix mondial d'excellence pour les PME.</w:t>
      </w:r>
    </w:p>
    <w:p w14:paraId="2794632B" w14:textId="77777777" w:rsidR="003D4C7E" w:rsidRPr="00AC50A8" w:rsidRDefault="003D4C7E" w:rsidP="00490F1F">
      <w:pPr>
        <w:keepNext/>
        <w:keepLines/>
      </w:pPr>
      <w:r w:rsidRPr="00AC50A8">
        <w:lastRenderedPageBreak/>
        <w:t>1.10</w:t>
      </w:r>
      <w:r w:rsidRPr="00AC50A8">
        <w:tab/>
      </w:r>
      <w:r w:rsidRPr="00AC50A8">
        <w:rPr>
          <w:b/>
          <w:bCs/>
        </w:rPr>
        <w:t xml:space="preserve">Une vitrine pour </w:t>
      </w:r>
      <w:proofErr w:type="gramStart"/>
      <w:r w:rsidRPr="00AC50A8">
        <w:rPr>
          <w:b/>
          <w:bCs/>
        </w:rPr>
        <w:t>l'UIT</w:t>
      </w:r>
      <w:r w:rsidRPr="00AC50A8">
        <w:t>:</w:t>
      </w:r>
      <w:proofErr w:type="gramEnd"/>
      <w:r w:rsidRPr="00AC50A8">
        <w:t xml:space="preserve"> </w:t>
      </w:r>
      <w:r w:rsidRPr="00AC50A8">
        <w:rPr>
          <w:bdr w:val="none" w:sz="0" w:space="0" w:color="auto" w:frame="1"/>
          <w:shd w:val="clear" w:color="auto" w:fill="FFFFFF"/>
          <w:lang w:eastAsia="en-GB"/>
        </w:rPr>
        <w:t xml:space="preserve">Le Bureau de la normalisation des télécommunications (TSB), le Bureau des radiocommunications (BR) et le Bureau de développement des télécommunications (BDT) ont participé activement à l'édition de 2019 d'ITU Telecom World. Ainsi, dans le cadre du programme "Smart ABC" du TSB, des discussions ont été organisées sur les avancées dans les domaines de l'intelligence artificielle, du secteur bancaire et des villes, et un pavillon "Smart ABC" a proposé de nombreuses activités. Le BDT a mis à l'honneur, pour la première fois à l'occasion d'une manifestation ITU Telecom World, les lauréates de la bourse </w:t>
      </w:r>
      <w:hyperlink r:id="rId11" w:history="1">
        <w:r w:rsidRPr="00AC50A8">
          <w:rPr>
            <w:rStyle w:val="Hyperlink"/>
            <w:bdr w:val="none" w:sz="0" w:space="0" w:color="auto" w:frame="1"/>
            <w:shd w:val="clear" w:color="auto" w:fill="FFFFFF"/>
            <w:lang w:eastAsia="en-GB"/>
          </w:rPr>
          <w:t>EQUALS</w:t>
        </w:r>
      </w:hyperlink>
      <w:r w:rsidRPr="00AC50A8">
        <w:rPr>
          <w:bdr w:val="none" w:sz="0" w:space="0" w:color="auto" w:frame="1"/>
          <w:shd w:val="clear" w:color="auto" w:fill="FFFFFF"/>
          <w:lang w:eastAsia="en-GB"/>
        </w:rPr>
        <w:t xml:space="preserve"> et les lauréats du </w:t>
      </w:r>
      <w:hyperlink r:id="rId12" w:anchor="_blank" w:history="1">
        <w:r w:rsidRPr="00AC50A8">
          <w:rPr>
            <w:rStyle w:val="Hyperlink"/>
            <w:bdr w:val="none" w:sz="0" w:space="0" w:color="auto" w:frame="1"/>
            <w:shd w:val="clear" w:color="auto" w:fill="FFFFFF"/>
            <w:lang w:eastAsia="en-GB"/>
          </w:rPr>
          <w:t>Défi de l'innovation de l'UIT</w:t>
        </w:r>
      </w:hyperlink>
      <w:r w:rsidRPr="00AC50A8">
        <w:rPr>
          <w:bdr w:val="none" w:sz="0" w:space="0" w:color="auto" w:frame="1"/>
          <w:shd w:val="clear" w:color="auto" w:fill="FFFFFF"/>
          <w:lang w:eastAsia="en-GB"/>
        </w:rPr>
        <w:t>. Le BR a organisé principalement des sessions du Forum axées sur les questions relatives au spectre des fréquences radioélectriques et le déploiement imminent de la 5G (une table ronde ministérielle et trois sessions du Forum).</w:t>
      </w:r>
    </w:p>
    <w:p w14:paraId="02AD2398" w14:textId="77777777" w:rsidR="003D4C7E" w:rsidRPr="00AC50A8" w:rsidRDefault="003D4C7E" w:rsidP="003D4C7E">
      <w:pPr>
        <w:pStyle w:val="Heading1"/>
      </w:pPr>
      <w:r w:rsidRPr="00AC50A8">
        <w:t>2</w:t>
      </w:r>
      <w:r w:rsidRPr="00AC50A8">
        <w:tab/>
        <w:t>Résultats financiers</w:t>
      </w:r>
    </w:p>
    <w:p w14:paraId="473B2FD2" w14:textId="77777777" w:rsidR="003D4C7E" w:rsidRPr="00AC50A8" w:rsidRDefault="003D4C7E" w:rsidP="003D4C7E">
      <w:proofErr w:type="spellStart"/>
      <w:r w:rsidRPr="00AC50A8">
        <w:t>Veuillez vous</w:t>
      </w:r>
      <w:proofErr w:type="spellEnd"/>
      <w:r w:rsidRPr="00AC50A8">
        <w:t xml:space="preserve"> reporter au </w:t>
      </w:r>
      <w:hyperlink r:id="rId13" w:history="1">
        <w:r w:rsidRPr="00AC50A8">
          <w:rPr>
            <w:rStyle w:val="Hyperlink"/>
          </w:rPr>
          <w:t>Document C20/41</w:t>
        </w:r>
      </w:hyperlink>
      <w:r w:rsidRPr="00AC50A8">
        <w:t xml:space="preserve"> pour obtenir des informations détaillées.</w:t>
      </w:r>
    </w:p>
    <w:p w14:paraId="44A66E92" w14:textId="77777777" w:rsidR="003D4C7E" w:rsidRPr="00AC50A8" w:rsidRDefault="003D4C7E" w:rsidP="003D4C7E">
      <w:pPr>
        <w:pStyle w:val="Heading1"/>
      </w:pPr>
      <w:r w:rsidRPr="00AC50A8">
        <w:t>3</w:t>
      </w:r>
      <w:r w:rsidRPr="00AC50A8">
        <w:tab/>
        <w:t>Manifestations ITU Virtual Digital World en 2020</w:t>
      </w:r>
    </w:p>
    <w:p w14:paraId="3FECBB5E" w14:textId="40A8913E" w:rsidR="003D4C7E" w:rsidRPr="00AC50A8" w:rsidRDefault="003D4C7E" w:rsidP="003D4C7E">
      <w:r w:rsidRPr="00AC50A8">
        <w:t>3.1</w:t>
      </w:r>
      <w:r w:rsidRPr="00AC50A8">
        <w:tab/>
        <w:t>En raison de la crise actuelle liée au COVID</w:t>
      </w:r>
      <w:r w:rsidRPr="00AC50A8">
        <w:noBreakHyphen/>
        <w:t xml:space="preserve">19, l'UIT et le </w:t>
      </w:r>
      <w:proofErr w:type="gramStart"/>
      <w:r w:rsidRPr="00AC50A8">
        <w:t>Ministère de l'information</w:t>
      </w:r>
      <w:proofErr w:type="gramEnd"/>
      <w:r w:rsidRPr="00AC50A8">
        <w:t xml:space="preserve"> et des communications du Viet Nam ont reporté l'édition physique d'ITU Digital World 2020 à octobre</w:t>
      </w:r>
      <w:r w:rsidR="00895EE9" w:rsidRPr="00AC50A8">
        <w:t> </w:t>
      </w:r>
      <w:r w:rsidRPr="00AC50A8">
        <w:t>2021. Dans l'intervalle, une série de manifestations virtuelles ont été organisées en 2020 afin d'établir le cadre pour la manifestation physique de 2021 et de continuer d'offrir une plate</w:t>
      </w:r>
      <w:r w:rsidR="00895EE9" w:rsidRPr="00AC50A8">
        <w:noBreakHyphen/>
      </w:r>
      <w:r w:rsidRPr="00AC50A8">
        <w:t>forme à toutes les parties prenantes jusqu'à ce qu'elles puissent se réunir en présentiel.</w:t>
      </w:r>
    </w:p>
    <w:p w14:paraId="77DCE74D" w14:textId="77777777" w:rsidR="003D4C7E" w:rsidRPr="00AC50A8" w:rsidRDefault="003D4C7E" w:rsidP="003D4C7E">
      <w:pPr>
        <w:rPr>
          <w:szCs w:val="24"/>
        </w:rPr>
      </w:pPr>
      <w:r w:rsidRPr="00AC50A8">
        <w:rPr>
          <w:szCs w:val="24"/>
        </w:rPr>
        <w:t>3.2</w:t>
      </w:r>
      <w:r w:rsidRPr="00AC50A8">
        <w:rPr>
          <w:szCs w:val="24"/>
        </w:rPr>
        <w:tab/>
        <w:t xml:space="preserve">La manifestation </w:t>
      </w:r>
      <w:r w:rsidRPr="00AC50A8">
        <w:rPr>
          <w:b/>
          <w:szCs w:val="24"/>
        </w:rPr>
        <w:t>ITU Virtual Digital World 2020</w:t>
      </w:r>
      <w:r w:rsidRPr="00AC50A8">
        <w:rPr>
          <w:szCs w:val="24"/>
        </w:rPr>
        <w:t xml:space="preserve"> a eu lieu du 20 au 22 octobre. Elle a accueilli des </w:t>
      </w:r>
      <w:r w:rsidRPr="00AC50A8">
        <w:t>tables rondes ministérielles axées sur "Le rôle des technologies numériques pendant et après la pandémie de COVID-19" et sur l'importance de la connectivité numérique dans les stratégies nationales pour le rétablissement économique. En plus des tables rondes, des webinaires organisés dans le cadre du Forum ont permis d'examiner les politiques, technologies et tendances favorisant le développement de l'économie numérique, et une exposition virtuelle a mis en avant des présentations réalisées en ligne.</w:t>
      </w:r>
    </w:p>
    <w:p w14:paraId="70A27339" w14:textId="1E9A745A" w:rsidR="003D4C7E" w:rsidRPr="00AC50A8" w:rsidRDefault="003D4C7E" w:rsidP="003D4C7E">
      <w:pPr>
        <w:rPr>
          <w:szCs w:val="24"/>
        </w:rPr>
      </w:pPr>
      <w:r w:rsidRPr="00AC50A8">
        <w:rPr>
          <w:szCs w:val="24"/>
        </w:rPr>
        <w:t>3.3</w:t>
      </w:r>
      <w:r w:rsidRPr="00AC50A8">
        <w:rPr>
          <w:szCs w:val="24"/>
        </w:rPr>
        <w:tab/>
      </w:r>
      <w:r w:rsidRPr="00AC50A8">
        <w:rPr>
          <w:bCs/>
          <w:szCs w:val="24"/>
        </w:rPr>
        <w:t>Au total, la manifestation virtuelle a accueilli trois sessions du Forum et trois tables rondes ministérielles, qui ont réuni 83 intervenants dont 27 ministres et 13 représentants d'autorités de réglementation. L'exposition virtuelle a accueilli plus de 150 exposants du Viet Nam et d'entreprises du monde entier, ainsi que 10 pavillons nationaux de différents pays.</w:t>
      </w:r>
    </w:p>
    <w:p w14:paraId="232B5476" w14:textId="74492F01" w:rsidR="003D4C7E" w:rsidRPr="00AC50A8" w:rsidRDefault="003D4C7E" w:rsidP="003D4C7E">
      <w:pPr>
        <w:rPr>
          <w:szCs w:val="24"/>
        </w:rPr>
      </w:pPr>
      <w:r w:rsidRPr="00AC50A8">
        <w:rPr>
          <w:szCs w:val="24"/>
        </w:rPr>
        <w:t>3.4</w:t>
      </w:r>
      <w:r w:rsidRPr="00AC50A8">
        <w:rPr>
          <w:szCs w:val="24"/>
        </w:rPr>
        <w:tab/>
        <w:t xml:space="preserve">S'inscrivant dans le droit fil de cette manifestation virtuelle, un programme de </w:t>
      </w:r>
      <w:r w:rsidRPr="00AC50A8">
        <w:rPr>
          <w:b/>
          <w:szCs w:val="24"/>
        </w:rPr>
        <w:t>Prix virtuels ITU Digital World 2020 destinés aux PME</w:t>
      </w:r>
      <w:r w:rsidRPr="00AC50A8">
        <w:rPr>
          <w:szCs w:val="24"/>
        </w:rPr>
        <w:t xml:space="preserve"> et de </w:t>
      </w:r>
      <w:r w:rsidRPr="00AC50A8">
        <w:rPr>
          <w:b/>
          <w:szCs w:val="24"/>
        </w:rPr>
        <w:t>master classes</w:t>
      </w:r>
      <w:r w:rsidRPr="00AC50A8">
        <w:rPr>
          <w:szCs w:val="24"/>
        </w:rPr>
        <w:t xml:space="preserve"> a été organisé en ligne en novembre et en décembre 2020. Les prix ont offert aux PME du monde entier la possibilité de présenter leurs solutions innovantes dans différents secteurs et de prendre part à un programme de master classes à l'intention des PME et à des séances de présentation, qui se sont conclus par une cérémonie virtuelle de remise des Prix en décembre 2020. Les master classes étaient ouvertes à toutes les PME du monde entier, participantes ou non au programme de Prix.</w:t>
      </w:r>
    </w:p>
    <w:p w14:paraId="5053E4FE" w14:textId="77777777" w:rsidR="003D4C7E" w:rsidRPr="00AC50A8" w:rsidRDefault="003D4C7E" w:rsidP="00090992">
      <w:pPr>
        <w:pStyle w:val="Heading1"/>
      </w:pPr>
      <w:r w:rsidRPr="00AC50A8">
        <w:lastRenderedPageBreak/>
        <w:t>4</w:t>
      </w:r>
      <w:r w:rsidRPr="00AC50A8">
        <w:tab/>
        <w:t>ITU Digital World 2021</w:t>
      </w:r>
    </w:p>
    <w:p w14:paraId="3D84D1F8" w14:textId="460180AA" w:rsidR="003D4C7E" w:rsidRPr="00AC50A8" w:rsidRDefault="003D4C7E" w:rsidP="00090992">
      <w:pPr>
        <w:keepNext/>
        <w:keepLines/>
      </w:pPr>
      <w:r w:rsidRPr="00AC50A8">
        <w:t>4.1</w:t>
      </w:r>
      <w:r w:rsidRPr="00AC50A8">
        <w:tab/>
        <w:t>La manifestation ITU Digital World 2021 aura lieu du 12 au 15 octobre 2021 à Hanoï (Viet</w:t>
      </w:r>
      <w:r w:rsidR="00895EE9" w:rsidRPr="00AC50A8">
        <w:t> </w:t>
      </w:r>
      <w:r w:rsidRPr="00AC50A8">
        <w:t xml:space="preserve">Nam) et sera accueillie par le Gouvernement du Viet Nam, représenté par le </w:t>
      </w:r>
      <w:proofErr w:type="gramStart"/>
      <w:r w:rsidRPr="00AC50A8">
        <w:t>Ministère de l'information</w:t>
      </w:r>
      <w:proofErr w:type="gramEnd"/>
      <w:r w:rsidRPr="00AC50A8">
        <w:t xml:space="preserve"> et des communications (MIC). Elle se tiendra sous le nom "ITU Digital World 2021", à la demande spécifique du pays hôte, le Viet Nam, et avec l'accord du Secrétaire général. Le nouveau nom de la manifestation a été choisi afin de refléter l'importance et la portée grandissante des technologies à l'appui de l'écosystème des TIC.</w:t>
      </w:r>
    </w:p>
    <w:p w14:paraId="2B77EDF0" w14:textId="77777777" w:rsidR="003D4C7E" w:rsidRPr="00AC50A8" w:rsidRDefault="003D4C7E" w:rsidP="003D4C7E">
      <w:r w:rsidRPr="00AC50A8">
        <w:t>4.2</w:t>
      </w:r>
      <w:r w:rsidRPr="00AC50A8">
        <w:tab/>
        <w:t>Placée sous le thème "</w:t>
      </w:r>
      <w:r w:rsidRPr="00AC50A8">
        <w:rPr>
          <w:b/>
        </w:rPr>
        <w:t>Construire ensemble le monde numérique</w:t>
      </w:r>
      <w:r w:rsidRPr="00AC50A8">
        <w:t>", la manifestation comprendra l'Exposition, qui permettra aux États Membres, aux Membres de Secteur et à d'autres acteurs du secteur de présenter des applications, des solutions et des services innovants, et de mettre en valeur les possibilités de croissance et d'investissement, tout en continuant de fournir un appui aux PME. Les discussions du Forum seront axées sur la connectivité, l'innovation et les principes numériques.</w:t>
      </w:r>
    </w:p>
    <w:p w14:paraId="32EFD7AC" w14:textId="77777777" w:rsidR="003D4C7E" w:rsidRPr="00AC50A8" w:rsidRDefault="003D4C7E" w:rsidP="003D4C7E">
      <w:r w:rsidRPr="00AC50A8">
        <w:t>4.3</w:t>
      </w:r>
      <w:r w:rsidRPr="00AC50A8">
        <w:tab/>
        <w:t xml:space="preserve">Les </w:t>
      </w:r>
      <w:r w:rsidRPr="00AC50A8">
        <w:rPr>
          <w:b/>
        </w:rPr>
        <w:t>Prix ITU Digital World et le Programme pour les PME</w:t>
      </w:r>
      <w:r w:rsidRPr="00AC50A8">
        <w:t xml:space="preserve"> mettront en avant et récompenseront de nouveau les solutions fondées sur les TIC innovantes et ayant des retombées sociales, avec des catégories de candidatures sélectionnées sur la base des réactions recueillies aux manifestations, d'une analyse des PME exposantes aux éditions précédentes et des activités de recherche sur les grandes tendances mondiales.</w:t>
      </w:r>
    </w:p>
    <w:p w14:paraId="36319FE7" w14:textId="77777777" w:rsidR="003D4C7E" w:rsidRPr="00AC50A8" w:rsidRDefault="003D4C7E" w:rsidP="003D4C7E">
      <w:r w:rsidRPr="00AC50A8">
        <w:t>4.4</w:t>
      </w:r>
      <w:r w:rsidRPr="00AC50A8">
        <w:tab/>
        <w:t>En outre, cette édition marquera le 50ème anniversaire des manifestations d'ITU Telecom et sera l'occasion de célébrer un demi-siècle de progrès technologiques et de collaboration, depuis la toute première édition organisée en 1971, mais aussi de se pencher sur les technologies d'avenir.</w:t>
      </w:r>
    </w:p>
    <w:p w14:paraId="28D02029" w14:textId="3C70F659" w:rsidR="003D4C7E" w:rsidRPr="00AC50A8" w:rsidRDefault="003D4C7E" w:rsidP="00490F1F">
      <w:pPr>
        <w:pStyle w:val="Heading1"/>
      </w:pPr>
      <w:r w:rsidRPr="00AC50A8">
        <w:t>5</w:t>
      </w:r>
      <w:r w:rsidRPr="00AC50A8">
        <w:tab/>
        <w:t>Évaluation et examen stratégiques et financiers des manifestations ITU</w:t>
      </w:r>
      <w:r w:rsidR="00895EE9" w:rsidRPr="00AC50A8">
        <w:t> </w:t>
      </w:r>
      <w:r w:rsidRPr="00AC50A8">
        <w:t>Telecom</w:t>
      </w:r>
    </w:p>
    <w:p w14:paraId="536E840F" w14:textId="77777777" w:rsidR="003D4C7E" w:rsidRPr="00AC50A8" w:rsidRDefault="003D4C7E" w:rsidP="003D4C7E">
      <w:r w:rsidRPr="00AC50A8">
        <w:t>5.1</w:t>
      </w:r>
      <w:r w:rsidRPr="00AC50A8">
        <w:tab/>
        <w:t>Par sa Résolution 11 (Rév. Dubaï, 2018), la Conférence de plénipotentiaires a chargé le Secrétaire général de faire appel aux services d'un cabinet de conseil en gestion externe indépendant, afin de procéder à une évaluation et à un examen stratégiques et financiers détaillés des manifestations ITU Telecom.</w:t>
      </w:r>
    </w:p>
    <w:p w14:paraId="51CD1202" w14:textId="77777777" w:rsidR="003D4C7E" w:rsidRPr="00AC50A8" w:rsidRDefault="003D4C7E" w:rsidP="003D4C7E">
      <w:r w:rsidRPr="00AC50A8">
        <w:t>5.2</w:t>
      </w:r>
      <w:r w:rsidRPr="00AC50A8">
        <w:tab/>
      </w:r>
      <w:proofErr w:type="gramStart"/>
      <w:r w:rsidRPr="00AC50A8">
        <w:t>Suite à un</w:t>
      </w:r>
      <w:proofErr w:type="gramEnd"/>
      <w:r w:rsidRPr="00AC50A8">
        <w:t xml:space="preserve"> appel d'offres international, et en pleine conformité avec les procédures de l'UIT en matière de passation de marchés, le cabinet DGDA Switzerland (Dalberg) a été dûment mandaté et a entamé ses travaux en août 2019.</w:t>
      </w:r>
    </w:p>
    <w:p w14:paraId="4338B968" w14:textId="4D251E5C" w:rsidR="003D4C7E" w:rsidRPr="00AC50A8" w:rsidRDefault="003D4C7E" w:rsidP="003D4C7E">
      <w:r w:rsidRPr="00AC50A8">
        <w:t>5.3</w:t>
      </w:r>
      <w:r w:rsidRPr="00AC50A8">
        <w:tab/>
        <w:t>Le rapport final du cabinet Dalberg a été présenté à la deuxième consultation des conseillers en novembre 2020 (</w:t>
      </w:r>
      <w:hyperlink r:id="rId14" w:history="1">
        <w:r w:rsidRPr="00AC50A8">
          <w:rPr>
            <w:rStyle w:val="Hyperlink"/>
            <w:rFonts w:asciiTheme="minorHAnsi" w:hAnsiTheme="minorHAnsi" w:cstheme="minorHAnsi"/>
          </w:rPr>
          <w:t>Document C20/10</w:t>
        </w:r>
      </w:hyperlink>
      <w:r w:rsidRPr="00AC50A8">
        <w:t xml:space="preserve">), pour </w:t>
      </w:r>
      <w:proofErr w:type="gramStart"/>
      <w:r w:rsidRPr="00AC50A8">
        <w:t>suite à</w:t>
      </w:r>
      <w:proofErr w:type="gramEnd"/>
      <w:r w:rsidRPr="00AC50A8">
        <w:t xml:space="preserve"> donner, conformément à la Résolution 11 (Rév.</w:t>
      </w:r>
      <w:r w:rsidR="00490F1F" w:rsidRPr="00AC50A8">
        <w:t> </w:t>
      </w:r>
      <w:r w:rsidRPr="00AC50A8">
        <w:t>Dubaï, 2018) de la Conférence de plénipotentiaires. Les Conseillers sont convenus d'étudier plus avant le rapport et de formuler des recommandations en vue de la session de 2021 du Conseil.</w:t>
      </w:r>
    </w:p>
    <w:p w14:paraId="722DAD16" w14:textId="77777777" w:rsidR="003D4C7E" w:rsidRPr="00AC50A8" w:rsidRDefault="003D4C7E" w:rsidP="00490F1F">
      <w:pPr>
        <w:pStyle w:val="Heading1"/>
      </w:pPr>
      <w:r w:rsidRPr="00AC50A8">
        <w:t>6</w:t>
      </w:r>
      <w:r w:rsidRPr="00AC50A8">
        <w:tab/>
        <w:t>Manifestations futures</w:t>
      </w:r>
    </w:p>
    <w:p w14:paraId="5D560AD1" w14:textId="77777777" w:rsidR="003D4C7E" w:rsidRPr="00AC50A8" w:rsidRDefault="003D4C7E" w:rsidP="003D4C7E">
      <w:r w:rsidRPr="00AC50A8">
        <w:t>6.1</w:t>
      </w:r>
      <w:r w:rsidRPr="00AC50A8">
        <w:tab/>
        <w:t>Un appel d'offres en vue d'accueillir l'édition de 2022 d'ITU Telecom World a été lancé en janvier 2021 et les propositions visant à accueillir cette manifestation doivent être soumises avant fin mai 2021.</w:t>
      </w:r>
    </w:p>
    <w:p w14:paraId="48E9EE6F" w14:textId="77777777" w:rsidR="003D4C7E" w:rsidRPr="00AC50A8" w:rsidRDefault="003D4C7E" w:rsidP="00490F1F">
      <w:pPr>
        <w:jc w:val="center"/>
        <w:rPr>
          <w:szCs w:val="24"/>
        </w:rPr>
      </w:pPr>
      <w:r w:rsidRPr="00AC50A8">
        <w:t>______________</w:t>
      </w:r>
    </w:p>
    <w:sectPr w:rsidR="003D4C7E" w:rsidRPr="00AC50A8"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27E54" w14:textId="77777777" w:rsidR="003D4C7E" w:rsidRDefault="003D4C7E">
      <w:r>
        <w:separator/>
      </w:r>
    </w:p>
  </w:endnote>
  <w:endnote w:type="continuationSeparator" w:id="0">
    <w:p w14:paraId="253C13C4" w14:textId="77777777" w:rsidR="003D4C7E" w:rsidRDefault="003D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6AA3D" w14:textId="40A685F7" w:rsidR="00732045" w:rsidRDefault="00A94FBD">
    <w:pPr>
      <w:pStyle w:val="Footer"/>
    </w:pPr>
    <w:r>
      <w:fldChar w:fldCharType="begin"/>
    </w:r>
    <w:r>
      <w:instrText xml:space="preserve"> FILENAME \p \* MERGEFORMAT </w:instrText>
    </w:r>
    <w:r>
      <w:fldChar w:fldCharType="separate"/>
    </w:r>
    <w:r w:rsidR="00F0333E">
      <w:t>P:\FRA\SG\CONSEIL\C21\000\019F.docx</w:t>
    </w:r>
    <w:r>
      <w:fldChar w:fldCharType="end"/>
    </w:r>
    <w:r w:rsidR="00732045">
      <w:tab/>
    </w:r>
    <w:r w:rsidR="002F1B76">
      <w:fldChar w:fldCharType="begin"/>
    </w:r>
    <w:r w:rsidR="00732045">
      <w:instrText xml:space="preserve"> savedate \@ dd.MM.yy </w:instrText>
    </w:r>
    <w:r w:rsidR="002F1B76">
      <w:fldChar w:fldCharType="separate"/>
    </w:r>
    <w:r>
      <w:t>09.04.21</w:t>
    </w:r>
    <w:r w:rsidR="002F1B76">
      <w:fldChar w:fldCharType="end"/>
    </w:r>
    <w:r w:rsidR="00732045">
      <w:tab/>
    </w:r>
    <w:r w:rsidR="002F1B76">
      <w:fldChar w:fldCharType="begin"/>
    </w:r>
    <w:r w:rsidR="00732045">
      <w:instrText xml:space="preserve"> printdate \@ dd.MM.yy </w:instrText>
    </w:r>
    <w:r w:rsidR="002F1B76">
      <w:fldChar w:fldCharType="separate"/>
    </w:r>
    <w:r w:rsidR="00F0333E">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6301" w14:textId="66841893" w:rsidR="00732045" w:rsidRDefault="00A94FBD">
    <w:pPr>
      <w:pStyle w:val="Footer"/>
    </w:pPr>
    <w:r>
      <w:fldChar w:fldCharType="begin"/>
    </w:r>
    <w:r>
      <w:instrText xml:space="preserve"> FILENAME \p \* MERGEFORMAT </w:instrText>
    </w:r>
    <w:r>
      <w:fldChar w:fldCharType="separate"/>
    </w:r>
    <w:r w:rsidR="00F0333E">
      <w:t>P:\FRA\SG\CONSEIL\C21\000\019F.docx</w:t>
    </w:r>
    <w:r>
      <w:fldChar w:fldCharType="end"/>
    </w:r>
    <w:r w:rsidR="00895EE9">
      <w:t xml:space="preserve"> (483212)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006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28E9C" w14:textId="77777777" w:rsidR="003D4C7E" w:rsidRDefault="003D4C7E">
      <w:r>
        <w:t>____________________</w:t>
      </w:r>
    </w:p>
  </w:footnote>
  <w:footnote w:type="continuationSeparator" w:id="0">
    <w:p w14:paraId="4ED92FCC" w14:textId="77777777" w:rsidR="003D4C7E" w:rsidRDefault="003D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CE1C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4DD910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5448" w14:textId="21567DBF" w:rsidR="00732045" w:rsidRDefault="00C27A7C" w:rsidP="00475FB3">
    <w:pPr>
      <w:pStyle w:val="Header"/>
    </w:pPr>
    <w:r>
      <w:fldChar w:fldCharType="begin"/>
    </w:r>
    <w:r>
      <w:instrText>PAGE</w:instrText>
    </w:r>
    <w:r>
      <w:fldChar w:fldCharType="separate"/>
    </w:r>
    <w:r w:rsidR="00F0333E">
      <w:rPr>
        <w:noProof/>
      </w:rPr>
      <w:t>2</w:t>
    </w:r>
    <w:r>
      <w:rPr>
        <w:noProof/>
      </w:rPr>
      <w:fldChar w:fldCharType="end"/>
    </w:r>
  </w:p>
  <w:p w14:paraId="5A1E37A7" w14:textId="48C8F2D1" w:rsidR="00732045" w:rsidRDefault="00732045" w:rsidP="00106B19">
    <w:pPr>
      <w:pStyle w:val="Header"/>
    </w:pPr>
    <w:r>
      <w:t>C</w:t>
    </w:r>
    <w:r w:rsidR="009C353C">
      <w:t>2</w:t>
    </w:r>
    <w:r w:rsidR="004D1D50">
      <w:t>1</w:t>
    </w:r>
    <w:r>
      <w:t>/</w:t>
    </w:r>
    <w:r w:rsidR="00C87B28">
      <w:t>19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7E"/>
    <w:rsid w:val="00090992"/>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3D4C7E"/>
    <w:rsid w:val="004038CB"/>
    <w:rsid w:val="0040546F"/>
    <w:rsid w:val="0042404A"/>
    <w:rsid w:val="0044618F"/>
    <w:rsid w:val="0046769A"/>
    <w:rsid w:val="00475FB3"/>
    <w:rsid w:val="00490F1F"/>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52CD1"/>
    <w:rsid w:val="006643AB"/>
    <w:rsid w:val="007210CD"/>
    <w:rsid w:val="00732045"/>
    <w:rsid w:val="007369DB"/>
    <w:rsid w:val="007956C2"/>
    <w:rsid w:val="007A187E"/>
    <w:rsid w:val="007C72C2"/>
    <w:rsid w:val="007D4436"/>
    <w:rsid w:val="007F257A"/>
    <w:rsid w:val="007F3665"/>
    <w:rsid w:val="00800037"/>
    <w:rsid w:val="00861D73"/>
    <w:rsid w:val="00895EE9"/>
    <w:rsid w:val="00897553"/>
    <w:rsid w:val="008A4E87"/>
    <w:rsid w:val="008D76E6"/>
    <w:rsid w:val="0092392D"/>
    <w:rsid w:val="0093234A"/>
    <w:rsid w:val="0097363B"/>
    <w:rsid w:val="009C307F"/>
    <w:rsid w:val="009C353C"/>
    <w:rsid w:val="00A2113E"/>
    <w:rsid w:val="00A23A51"/>
    <w:rsid w:val="00A24607"/>
    <w:rsid w:val="00A25CD3"/>
    <w:rsid w:val="00A709FE"/>
    <w:rsid w:val="00A82767"/>
    <w:rsid w:val="00A94FBD"/>
    <w:rsid w:val="00AA332F"/>
    <w:rsid w:val="00AA7BBB"/>
    <w:rsid w:val="00AB64A8"/>
    <w:rsid w:val="00AC0266"/>
    <w:rsid w:val="00AC50A8"/>
    <w:rsid w:val="00AD24EC"/>
    <w:rsid w:val="00B309F9"/>
    <w:rsid w:val="00B32B60"/>
    <w:rsid w:val="00B61619"/>
    <w:rsid w:val="00BB4545"/>
    <w:rsid w:val="00BD5873"/>
    <w:rsid w:val="00C04BE3"/>
    <w:rsid w:val="00C25D29"/>
    <w:rsid w:val="00C27A7C"/>
    <w:rsid w:val="00C87B28"/>
    <w:rsid w:val="00CA08ED"/>
    <w:rsid w:val="00CF183B"/>
    <w:rsid w:val="00D375CD"/>
    <w:rsid w:val="00D553A2"/>
    <w:rsid w:val="00D774D3"/>
    <w:rsid w:val="00D904E8"/>
    <w:rsid w:val="00DA08C3"/>
    <w:rsid w:val="00DB5A3E"/>
    <w:rsid w:val="00DC22AA"/>
    <w:rsid w:val="00DF74DD"/>
    <w:rsid w:val="00E25AD0"/>
    <w:rsid w:val="00EB6350"/>
    <w:rsid w:val="00F0333E"/>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2B7401"/>
  <w15:docId w15:val="{4104D1DB-27EE-43E7-9CFD-E45198D2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3D4C7E"/>
    <w:rPr>
      <w:color w:val="605E5C"/>
      <w:shd w:val="clear" w:color="auto" w:fill="E1DFDD"/>
    </w:rPr>
  </w:style>
  <w:style w:type="character" w:styleId="CommentReference">
    <w:name w:val="annotation reference"/>
    <w:basedOn w:val="DefaultParagraphFont"/>
    <w:semiHidden/>
    <w:unhideWhenUsed/>
    <w:rsid w:val="003D4C7E"/>
    <w:rPr>
      <w:sz w:val="16"/>
      <w:szCs w:val="16"/>
    </w:rPr>
  </w:style>
  <w:style w:type="paragraph" w:styleId="CommentText">
    <w:name w:val="annotation text"/>
    <w:basedOn w:val="Normal"/>
    <w:link w:val="CommentTextChar"/>
    <w:semiHidden/>
    <w:unhideWhenUsed/>
    <w:rsid w:val="003D4C7E"/>
    <w:rPr>
      <w:sz w:val="20"/>
    </w:rPr>
  </w:style>
  <w:style w:type="character" w:customStyle="1" w:styleId="CommentTextChar">
    <w:name w:val="Comment Text Char"/>
    <w:basedOn w:val="DefaultParagraphFont"/>
    <w:link w:val="CommentText"/>
    <w:semiHidden/>
    <w:rsid w:val="003D4C7E"/>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F.pdf" TargetMode="External"/><Relationship Id="rId13" Type="http://schemas.openxmlformats.org/officeDocument/2006/relationships/hyperlink" Target="https://www.itu.int/md/S20-CL-C-0041/en"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md/S20-CL-C-0019/en" TargetMode="External"/><Relationship Id="rId12" Type="http://schemas.openxmlformats.org/officeDocument/2006/relationships/hyperlink" Target="https://cocreate.itu.int/"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quals.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20-CL-C-0041/e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S19-CL-C-0019/en" TargetMode="External"/><Relationship Id="rId14" Type="http://schemas.openxmlformats.org/officeDocument/2006/relationships/hyperlink" Target="https://www.itu.int/md/S20-CL-C-0010/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4</Pages>
  <Words>1847</Words>
  <Characters>10481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12304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manifestations ITU Telecom World</dc:title>
  <dc:subject>Council 2021, Virtual consultation of councillors</dc:subject>
  <dc:creator>Chanavat, Emilie</dc:creator>
  <cp:keywords>C2021, C21, VCC, C21-VCC-1</cp:keywords>
  <dc:description/>
  <cp:lastModifiedBy>Brouard, Ricarda</cp:lastModifiedBy>
  <cp:revision>2</cp:revision>
  <cp:lastPrinted>2000-07-18T08:55:00Z</cp:lastPrinted>
  <dcterms:created xsi:type="dcterms:W3CDTF">2021-04-09T14:14:00Z</dcterms:created>
  <dcterms:modified xsi:type="dcterms:W3CDTF">2021-04-09T14:14:00Z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