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750D27" w:rsidRPr="00A776E7" w14:paraId="029DDEF6" w14:textId="77777777">
        <w:trPr>
          <w:cantSplit/>
        </w:trPr>
        <w:tc>
          <w:tcPr>
            <w:tcW w:w="6912" w:type="dxa"/>
          </w:tcPr>
          <w:p w14:paraId="1F10B8A3" w14:textId="6F445241" w:rsidR="00750D27" w:rsidRPr="00A776E7" w:rsidRDefault="00AB0365" w:rsidP="00C2727F">
            <w:pPr>
              <w:spacing w:before="360"/>
              <w:rPr>
                <w:szCs w:val="24"/>
              </w:rPr>
            </w:pPr>
            <w:bookmarkStart w:id="0" w:name="dc06"/>
            <w:bookmarkStart w:id="1" w:name="dbluepink" w:colFirst="0" w:colLast="0"/>
            <w:bookmarkEnd w:id="0"/>
            <w:r w:rsidRPr="00A776E7">
              <w:rPr>
                <w:b/>
                <w:bCs/>
                <w:sz w:val="30"/>
                <w:szCs w:val="30"/>
              </w:rPr>
              <w:t>Consejo 2021</w:t>
            </w:r>
            <w:r w:rsidRPr="00A776E7">
              <w:rPr>
                <w:b/>
                <w:bCs/>
                <w:sz w:val="26"/>
                <w:szCs w:val="26"/>
              </w:rPr>
              <w:br/>
            </w:r>
            <w:bookmarkStart w:id="2" w:name="lt_pId446"/>
            <w:r w:rsidRPr="00A776E7">
              <w:rPr>
                <w:b/>
                <w:bCs/>
                <w:sz w:val="26"/>
                <w:szCs w:val="26"/>
              </w:rPr>
              <w:t>Consulta virtual de los consejeros</w:t>
            </w:r>
            <w:bookmarkEnd w:id="2"/>
            <w:r w:rsidRPr="00A776E7">
              <w:rPr>
                <w:b/>
                <w:bCs/>
                <w:sz w:val="26"/>
                <w:szCs w:val="26"/>
              </w:rPr>
              <w:t>, 8-18 de junio de 2021</w:t>
            </w:r>
          </w:p>
        </w:tc>
        <w:tc>
          <w:tcPr>
            <w:tcW w:w="3261" w:type="dxa"/>
          </w:tcPr>
          <w:p w14:paraId="5F881516" w14:textId="77777777" w:rsidR="00750D27" w:rsidRPr="00A776E7" w:rsidRDefault="00750D27" w:rsidP="007955DA">
            <w:pPr>
              <w:spacing w:before="0"/>
              <w:rPr>
                <w:szCs w:val="24"/>
              </w:rPr>
            </w:pPr>
            <w:bookmarkStart w:id="3" w:name="ditulogo"/>
            <w:bookmarkEnd w:id="3"/>
            <w:r w:rsidRPr="00A776E7">
              <w:rPr>
                <w:noProof/>
                <w:lang w:eastAsia="zh-CN"/>
              </w:rPr>
              <w:drawing>
                <wp:inline distT="0" distB="0" distL="0" distR="0" wp14:anchorId="1ABFBFCD" wp14:editId="492DE93F">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750D27" w:rsidRPr="00A776E7" w14:paraId="15FD1BE9" w14:textId="77777777">
        <w:trPr>
          <w:cantSplit/>
          <w:trHeight w:val="20"/>
        </w:trPr>
        <w:tc>
          <w:tcPr>
            <w:tcW w:w="10173" w:type="dxa"/>
            <w:gridSpan w:val="2"/>
            <w:tcBorders>
              <w:bottom w:val="single" w:sz="12" w:space="0" w:color="auto"/>
            </w:tcBorders>
          </w:tcPr>
          <w:p w14:paraId="7D7F4168" w14:textId="77777777" w:rsidR="00750D27" w:rsidRPr="00A776E7" w:rsidRDefault="00750D27">
            <w:pPr>
              <w:spacing w:before="0"/>
              <w:rPr>
                <w:b/>
                <w:bCs/>
                <w:szCs w:val="24"/>
              </w:rPr>
            </w:pPr>
          </w:p>
        </w:tc>
      </w:tr>
      <w:tr w:rsidR="00750D27" w:rsidRPr="00A776E7" w14:paraId="30489881" w14:textId="77777777">
        <w:trPr>
          <w:cantSplit/>
          <w:trHeight w:val="20"/>
        </w:trPr>
        <w:tc>
          <w:tcPr>
            <w:tcW w:w="6912" w:type="dxa"/>
            <w:tcBorders>
              <w:top w:val="single" w:sz="12" w:space="0" w:color="auto"/>
            </w:tcBorders>
          </w:tcPr>
          <w:p w14:paraId="2A247E0E" w14:textId="77777777" w:rsidR="00750D27" w:rsidRPr="00A776E7" w:rsidRDefault="00750D27">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5504B2B4" w14:textId="77777777" w:rsidR="00750D27" w:rsidRPr="00A776E7" w:rsidRDefault="00750D27">
            <w:pPr>
              <w:spacing w:before="0"/>
              <w:rPr>
                <w:b/>
                <w:bCs/>
                <w:szCs w:val="24"/>
              </w:rPr>
            </w:pPr>
          </w:p>
        </w:tc>
      </w:tr>
      <w:tr w:rsidR="00750D27" w:rsidRPr="00A776E7" w14:paraId="1590CFA3" w14:textId="77777777">
        <w:trPr>
          <w:cantSplit/>
          <w:trHeight w:val="20"/>
        </w:trPr>
        <w:tc>
          <w:tcPr>
            <w:tcW w:w="6912" w:type="dxa"/>
            <w:shd w:val="clear" w:color="auto" w:fill="auto"/>
          </w:tcPr>
          <w:p w14:paraId="6C0F6307" w14:textId="77777777" w:rsidR="00750D27" w:rsidRPr="00A776E7" w:rsidRDefault="00750D27">
            <w:pPr>
              <w:tabs>
                <w:tab w:val="clear" w:pos="2268"/>
                <w:tab w:val="left" w:pos="1560"/>
                <w:tab w:val="left" w:pos="2269"/>
                <w:tab w:val="left" w:pos="3544"/>
                <w:tab w:val="left" w:pos="3969"/>
              </w:tabs>
              <w:spacing w:before="0" w:line="240" w:lineRule="atLeast"/>
              <w:rPr>
                <w:rFonts w:cs="Times"/>
                <w:b/>
                <w:szCs w:val="24"/>
              </w:rPr>
            </w:pPr>
            <w:bookmarkStart w:id="4" w:name="dnum" w:colFirst="1" w:colLast="1"/>
            <w:bookmarkStart w:id="5" w:name="dmeeting" w:colFirst="0" w:colLast="0"/>
            <w:r w:rsidRPr="00A776E7">
              <w:rPr>
                <w:rFonts w:cs="Times"/>
                <w:b/>
                <w:szCs w:val="24"/>
              </w:rPr>
              <w:t>Punto del orden del día: PL 2.2</w:t>
            </w:r>
          </w:p>
        </w:tc>
        <w:tc>
          <w:tcPr>
            <w:tcW w:w="3261" w:type="dxa"/>
          </w:tcPr>
          <w:p w14:paraId="2556FF67" w14:textId="2C132E8C" w:rsidR="00750D27" w:rsidRPr="00A776E7" w:rsidRDefault="00AB0365" w:rsidP="00C2727F">
            <w:pPr>
              <w:spacing w:before="0"/>
              <w:rPr>
                <w:b/>
                <w:bCs/>
                <w:szCs w:val="24"/>
              </w:rPr>
            </w:pPr>
            <w:r w:rsidRPr="00A776E7">
              <w:rPr>
                <w:b/>
                <w:bCs/>
                <w:szCs w:val="24"/>
              </w:rPr>
              <w:t>Documento C21</w:t>
            </w:r>
            <w:r w:rsidR="00750D27" w:rsidRPr="00A776E7">
              <w:rPr>
                <w:b/>
                <w:bCs/>
                <w:szCs w:val="24"/>
              </w:rPr>
              <w:t>/17-S</w:t>
            </w:r>
          </w:p>
        </w:tc>
      </w:tr>
      <w:tr w:rsidR="00750D27" w:rsidRPr="00A776E7" w14:paraId="611BBB81" w14:textId="77777777">
        <w:trPr>
          <w:cantSplit/>
          <w:trHeight w:val="20"/>
        </w:trPr>
        <w:tc>
          <w:tcPr>
            <w:tcW w:w="6912" w:type="dxa"/>
            <w:shd w:val="clear" w:color="auto" w:fill="auto"/>
          </w:tcPr>
          <w:p w14:paraId="6F7A630C" w14:textId="77777777" w:rsidR="00750D27" w:rsidRPr="00A776E7" w:rsidRDefault="00750D27">
            <w:pPr>
              <w:shd w:val="solid" w:color="FFFFFF" w:fill="FFFFFF"/>
              <w:spacing w:before="0"/>
              <w:rPr>
                <w:smallCaps/>
                <w:szCs w:val="24"/>
              </w:rPr>
            </w:pPr>
            <w:bookmarkStart w:id="6" w:name="ddate" w:colFirst="1" w:colLast="1"/>
            <w:bookmarkEnd w:id="4"/>
            <w:bookmarkEnd w:id="5"/>
          </w:p>
        </w:tc>
        <w:tc>
          <w:tcPr>
            <w:tcW w:w="3261" w:type="dxa"/>
          </w:tcPr>
          <w:p w14:paraId="4536C476" w14:textId="3B35CB16" w:rsidR="00750D27" w:rsidRPr="00A776E7" w:rsidRDefault="00750D27" w:rsidP="00C2727F">
            <w:pPr>
              <w:spacing w:before="0"/>
              <w:rPr>
                <w:b/>
                <w:bCs/>
                <w:szCs w:val="24"/>
              </w:rPr>
            </w:pPr>
            <w:r w:rsidRPr="00A776E7">
              <w:rPr>
                <w:b/>
                <w:bCs/>
                <w:szCs w:val="24"/>
              </w:rPr>
              <w:t>23 de marzo de 2021</w:t>
            </w:r>
          </w:p>
        </w:tc>
      </w:tr>
      <w:tr w:rsidR="00750D27" w:rsidRPr="00A776E7" w14:paraId="378F4FF8" w14:textId="77777777">
        <w:trPr>
          <w:cantSplit/>
          <w:trHeight w:val="20"/>
        </w:trPr>
        <w:tc>
          <w:tcPr>
            <w:tcW w:w="6912" w:type="dxa"/>
            <w:shd w:val="clear" w:color="auto" w:fill="auto"/>
          </w:tcPr>
          <w:p w14:paraId="7FF53F7E" w14:textId="77777777" w:rsidR="00750D27" w:rsidRPr="00A776E7" w:rsidRDefault="00750D27">
            <w:pPr>
              <w:shd w:val="solid" w:color="FFFFFF" w:fill="FFFFFF"/>
              <w:spacing w:before="0"/>
              <w:rPr>
                <w:smallCaps/>
                <w:szCs w:val="24"/>
              </w:rPr>
            </w:pPr>
            <w:bookmarkStart w:id="7" w:name="dorlang" w:colFirst="1" w:colLast="1"/>
            <w:bookmarkEnd w:id="6"/>
          </w:p>
        </w:tc>
        <w:tc>
          <w:tcPr>
            <w:tcW w:w="3261" w:type="dxa"/>
          </w:tcPr>
          <w:p w14:paraId="7E91B9BC" w14:textId="77777777" w:rsidR="00750D27" w:rsidRPr="00A776E7" w:rsidRDefault="00750D27" w:rsidP="00093EEB">
            <w:pPr>
              <w:spacing w:before="0"/>
              <w:rPr>
                <w:b/>
                <w:bCs/>
                <w:szCs w:val="24"/>
              </w:rPr>
            </w:pPr>
            <w:r w:rsidRPr="00A776E7">
              <w:rPr>
                <w:b/>
                <w:bCs/>
                <w:szCs w:val="24"/>
              </w:rPr>
              <w:t>Original: inglés</w:t>
            </w:r>
          </w:p>
        </w:tc>
      </w:tr>
      <w:tr w:rsidR="00750D27" w:rsidRPr="00A776E7" w14:paraId="4289AFD4" w14:textId="77777777">
        <w:trPr>
          <w:cantSplit/>
        </w:trPr>
        <w:tc>
          <w:tcPr>
            <w:tcW w:w="10173" w:type="dxa"/>
            <w:gridSpan w:val="2"/>
          </w:tcPr>
          <w:p w14:paraId="0FFB9B83" w14:textId="77777777" w:rsidR="00750D27" w:rsidRPr="00A776E7" w:rsidRDefault="00750D27">
            <w:pPr>
              <w:pStyle w:val="Source"/>
            </w:pPr>
            <w:bookmarkStart w:id="8" w:name="dsource" w:colFirst="0" w:colLast="0"/>
            <w:bookmarkEnd w:id="1"/>
            <w:bookmarkEnd w:id="7"/>
            <w:r w:rsidRPr="00A776E7">
              <w:t>Informe del Secretario General</w:t>
            </w:r>
          </w:p>
        </w:tc>
      </w:tr>
      <w:tr w:rsidR="00750D27" w:rsidRPr="00A776E7" w14:paraId="10E4DC0F" w14:textId="77777777">
        <w:trPr>
          <w:cantSplit/>
        </w:trPr>
        <w:tc>
          <w:tcPr>
            <w:tcW w:w="10173" w:type="dxa"/>
            <w:gridSpan w:val="2"/>
          </w:tcPr>
          <w:p w14:paraId="372B3D8B" w14:textId="77777777" w:rsidR="00750D27" w:rsidRPr="00A776E7" w:rsidRDefault="00750D27">
            <w:pPr>
              <w:pStyle w:val="Title1"/>
            </w:pPr>
            <w:bookmarkStart w:id="9" w:name="dtitle1" w:colFirst="0" w:colLast="0"/>
            <w:bookmarkEnd w:id="8"/>
            <w:r w:rsidRPr="00A776E7">
              <w:t xml:space="preserve">DÍA MUNDIAL DE LAS TELECOMUNICACIONES Y </w:t>
            </w:r>
            <w:r w:rsidRPr="00A776E7">
              <w:br/>
              <w:t>LA SOCIEDAD DE LA INFORMACIÓN</w:t>
            </w:r>
          </w:p>
        </w:tc>
      </w:tr>
      <w:bookmarkEnd w:id="9"/>
    </w:tbl>
    <w:p w14:paraId="36DAE7C4" w14:textId="77777777" w:rsidR="00750D27" w:rsidRPr="00A776E7" w:rsidRDefault="00750D27" w:rsidP="00AD4356"/>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750D27" w:rsidRPr="00A776E7" w14:paraId="6BDF9063" w14:textId="77777777" w:rsidTr="00736E39">
        <w:trPr>
          <w:trHeight w:val="3372"/>
        </w:trPr>
        <w:tc>
          <w:tcPr>
            <w:tcW w:w="8080" w:type="dxa"/>
            <w:tcBorders>
              <w:top w:val="single" w:sz="12" w:space="0" w:color="auto"/>
              <w:left w:val="single" w:sz="12" w:space="0" w:color="auto"/>
              <w:bottom w:val="single" w:sz="12" w:space="0" w:color="auto"/>
              <w:right w:val="single" w:sz="12" w:space="0" w:color="auto"/>
            </w:tcBorders>
          </w:tcPr>
          <w:p w14:paraId="06FA2C83" w14:textId="77777777" w:rsidR="00750D27" w:rsidRPr="00A776E7" w:rsidRDefault="00750D27" w:rsidP="007A2164">
            <w:pPr>
              <w:pStyle w:val="Headingb"/>
              <w:spacing w:before="120" w:after="120"/>
            </w:pPr>
            <w:r w:rsidRPr="00A776E7">
              <w:t>Resumen</w:t>
            </w:r>
          </w:p>
          <w:p w14:paraId="468A5D0E" w14:textId="77777777" w:rsidR="00750D27" w:rsidRPr="00A776E7" w:rsidRDefault="00750D27" w:rsidP="00465C33">
            <w:r w:rsidRPr="00A776E7">
              <w:t>El Día Mundial de las Telecomunicaciones y la Sociedad de la Información (DMTSI) tiene por objeto dar a conocer las posibilidades que puede brindar la utilización de Internet y otras tecnologías de la información y la comunicación (TIC) a las sociedades y economías, así como las maneras de reducir la brecha digital. El DMTSI conmemora el aniversario de la firma del primer Convenio Telegráfico Internacional y la creación de la Unión Internacional de Telecomunicaciones el 17 de mayo de 1865.</w:t>
            </w:r>
          </w:p>
          <w:p w14:paraId="4520B628" w14:textId="77777777" w:rsidR="00750D27" w:rsidRPr="00A776E7" w:rsidRDefault="00750D27" w:rsidP="007A2164">
            <w:pPr>
              <w:pStyle w:val="Headingb"/>
              <w:spacing w:before="120" w:after="120"/>
              <w:jc w:val="both"/>
            </w:pPr>
            <w:r w:rsidRPr="00A776E7">
              <w:t>Acción solicitada</w:t>
            </w:r>
          </w:p>
          <w:p w14:paraId="12F8EEBB" w14:textId="01912091" w:rsidR="00750D27" w:rsidRPr="00A472C5" w:rsidRDefault="00750D27" w:rsidP="00465C33">
            <w:r w:rsidRPr="00A472C5">
              <w:t xml:space="preserve">Se pide al Consejo que </w:t>
            </w:r>
            <w:r w:rsidRPr="00A472C5">
              <w:rPr>
                <w:b/>
                <w:bCs/>
              </w:rPr>
              <w:t>tome nota</w:t>
            </w:r>
            <w:r w:rsidRPr="00A472C5">
              <w:t xml:space="preserve"> de la celebración del DMTSI 2021 sobre el tema "Acelerar la transformación digital en tiempos difíciles", aprobado por correspondencia tras la segunda consulta virtual de los </w:t>
            </w:r>
            <w:proofErr w:type="gramStart"/>
            <w:r w:rsidRPr="00A472C5">
              <w:t>Consejeros</w:t>
            </w:r>
            <w:proofErr w:type="gramEnd"/>
            <w:r w:rsidRPr="00A472C5">
              <w:t xml:space="preserve"> de 2020.</w:t>
            </w:r>
          </w:p>
          <w:p w14:paraId="72EB395F" w14:textId="52C85C59" w:rsidR="00750D27" w:rsidRPr="00A472C5" w:rsidRDefault="00750D27" w:rsidP="00465C33">
            <w:pPr>
              <w:spacing w:after="120"/>
            </w:pPr>
            <w:r w:rsidRPr="00A472C5">
              <w:t xml:space="preserve">Se solicita asimismo al Consejo que </w:t>
            </w:r>
            <w:r w:rsidRPr="00A472C5">
              <w:rPr>
                <w:b/>
                <w:bCs/>
              </w:rPr>
              <w:t>apruebe</w:t>
            </w:r>
            <w:r w:rsidRPr="00A472C5">
              <w:t xml:space="preserve"> el tema "</w:t>
            </w:r>
            <w:r w:rsidRPr="00A472C5">
              <w:rPr>
                <w:rFonts w:asciiTheme="minorHAnsi" w:hAnsiTheme="minorHAnsi"/>
                <w:b/>
                <w:bCs/>
                <w:i/>
                <w:iCs/>
              </w:rPr>
              <w:t>Tecnologías digitales para las personas de edad y el envejecimiento saludable</w:t>
            </w:r>
            <w:r w:rsidRPr="00A472C5">
              <w:t>" para el DMTSI 2022.</w:t>
            </w:r>
          </w:p>
          <w:p w14:paraId="4504EF9E" w14:textId="77777777" w:rsidR="00750D27" w:rsidRPr="00A472C5" w:rsidRDefault="00750D27" w:rsidP="007A2164">
            <w:pPr>
              <w:pStyle w:val="Table"/>
              <w:keepNext w:val="0"/>
              <w:spacing w:before="120"/>
              <w:rPr>
                <w:caps w:val="0"/>
                <w:sz w:val="22"/>
                <w:lang w:val="es-ES_tradnl"/>
              </w:rPr>
            </w:pPr>
            <w:r w:rsidRPr="00A472C5">
              <w:rPr>
                <w:caps w:val="0"/>
                <w:sz w:val="22"/>
                <w:lang w:val="es-ES_tradnl"/>
              </w:rPr>
              <w:t>____________</w:t>
            </w:r>
          </w:p>
          <w:p w14:paraId="69694ED9" w14:textId="77777777" w:rsidR="00750D27" w:rsidRPr="00A472C5" w:rsidRDefault="00750D27" w:rsidP="007A2164">
            <w:pPr>
              <w:pStyle w:val="Headingb"/>
              <w:spacing w:before="120" w:after="120"/>
            </w:pPr>
            <w:r w:rsidRPr="00A472C5">
              <w:t>Referencia</w:t>
            </w:r>
          </w:p>
          <w:p w14:paraId="0802BB7E" w14:textId="77777777" w:rsidR="00750D27" w:rsidRPr="00A776E7" w:rsidRDefault="00750D27" w:rsidP="007A2164">
            <w:pPr>
              <w:spacing w:after="120"/>
              <w:rPr>
                <w:i/>
                <w:iCs/>
              </w:rPr>
            </w:pPr>
            <w:r w:rsidRPr="00A472C5">
              <w:t xml:space="preserve">Resolución </w:t>
            </w:r>
            <w:hyperlink r:id="rId7" w:history="1">
              <w:r w:rsidRPr="00A472C5">
                <w:rPr>
                  <w:rStyle w:val="Hyperlink"/>
                </w:rPr>
                <w:t>60/252</w:t>
              </w:r>
            </w:hyperlink>
            <w:r w:rsidRPr="00A472C5">
              <w:t xml:space="preserve"> de la AGNU; Resoluciones </w:t>
            </w:r>
            <w:hyperlink r:id="rId8" w:history="1">
              <w:r w:rsidRPr="00A472C5">
                <w:rPr>
                  <w:rStyle w:val="Hyperlink"/>
                </w:rPr>
                <w:t>68</w:t>
              </w:r>
            </w:hyperlink>
            <w:r w:rsidRPr="00A472C5">
              <w:rPr>
                <w:szCs w:val="24"/>
              </w:rPr>
              <w:t>,</w:t>
            </w:r>
            <w:r w:rsidRPr="00A472C5">
              <w:t xml:space="preserve"> </w:t>
            </w:r>
            <w:hyperlink r:id="rId9" w:history="1">
              <w:r w:rsidRPr="00A472C5">
                <w:rPr>
                  <w:rStyle w:val="Hyperlink"/>
                  <w:szCs w:val="24"/>
                </w:rPr>
                <w:t>71</w:t>
              </w:r>
            </w:hyperlink>
            <w:r w:rsidRPr="00A472C5">
              <w:rPr>
                <w:szCs w:val="24"/>
              </w:rPr>
              <w:t xml:space="preserve"> , </w:t>
            </w:r>
            <w:hyperlink r:id="rId10" w:history="1">
              <w:r w:rsidRPr="00A472C5">
                <w:rPr>
                  <w:rStyle w:val="Hyperlink"/>
                  <w:szCs w:val="24"/>
                </w:rPr>
                <w:t>130</w:t>
              </w:r>
            </w:hyperlink>
            <w:r w:rsidRPr="00A472C5">
              <w:rPr>
                <w:szCs w:val="24"/>
              </w:rPr>
              <w:t xml:space="preserve"> y </w:t>
            </w:r>
            <w:hyperlink r:id="rId11" w:history="1">
              <w:r w:rsidRPr="00A472C5">
                <w:rPr>
                  <w:rStyle w:val="Hyperlink"/>
                  <w:szCs w:val="24"/>
                </w:rPr>
                <w:t>200</w:t>
              </w:r>
            </w:hyperlink>
            <w:r w:rsidRPr="00A472C5">
              <w:rPr>
                <w:szCs w:val="24"/>
              </w:rPr>
              <w:t xml:space="preserve"> de la Conferencia de Plenipotenciarios; Documento </w:t>
            </w:r>
            <w:r w:rsidRPr="00A472C5">
              <w:t xml:space="preserve">del Consejo </w:t>
            </w:r>
            <w:hyperlink r:id="rId12" w:history="1">
              <w:r w:rsidRPr="00A472C5">
                <w:rPr>
                  <w:rStyle w:val="Hyperlink"/>
                </w:rPr>
                <w:t>C19/17</w:t>
              </w:r>
            </w:hyperlink>
            <w:r w:rsidRPr="00A472C5">
              <w:rPr>
                <w:rStyle w:val="Hyperlink"/>
              </w:rPr>
              <w:t xml:space="preserve">, </w:t>
            </w:r>
            <w:hyperlink r:id="rId13" w:history="1">
              <w:r w:rsidRPr="00A472C5">
                <w:rPr>
                  <w:rStyle w:val="Hyperlink"/>
                </w:rPr>
                <w:t>C20/17</w:t>
              </w:r>
            </w:hyperlink>
          </w:p>
        </w:tc>
      </w:tr>
    </w:tbl>
    <w:p w14:paraId="7AB307F8" w14:textId="77777777" w:rsidR="00750D27" w:rsidRPr="00A776E7" w:rsidRDefault="00750D27" w:rsidP="00AD4356"/>
    <w:p w14:paraId="4145A569" w14:textId="77777777" w:rsidR="00750D27" w:rsidRPr="00A776E7" w:rsidRDefault="00750D27">
      <w:pPr>
        <w:tabs>
          <w:tab w:val="clear" w:pos="567"/>
          <w:tab w:val="clear" w:pos="1134"/>
          <w:tab w:val="clear" w:pos="1701"/>
          <w:tab w:val="clear" w:pos="2268"/>
          <w:tab w:val="clear" w:pos="2835"/>
        </w:tabs>
        <w:overflowPunct/>
        <w:autoSpaceDE/>
        <w:autoSpaceDN/>
        <w:adjustRightInd/>
        <w:spacing w:before="0"/>
        <w:textAlignment w:val="auto"/>
      </w:pPr>
      <w:r w:rsidRPr="00A776E7">
        <w:br w:type="page"/>
      </w:r>
    </w:p>
    <w:p w14:paraId="27E791C6" w14:textId="77777777" w:rsidR="00750D27" w:rsidRPr="00A776E7" w:rsidRDefault="00750D27" w:rsidP="00DF00CF">
      <w:pPr>
        <w:pStyle w:val="Heading1"/>
      </w:pPr>
      <w:r w:rsidRPr="00A776E7">
        <w:lastRenderedPageBreak/>
        <w:t>1</w:t>
      </w:r>
      <w:r w:rsidRPr="00A776E7">
        <w:tab/>
      </w:r>
      <w:proofErr w:type="gramStart"/>
      <w:r w:rsidRPr="00A776E7">
        <w:t>Antecedentes</w:t>
      </w:r>
      <w:proofErr w:type="gramEnd"/>
    </w:p>
    <w:p w14:paraId="79D03098" w14:textId="77777777" w:rsidR="00750D27" w:rsidRPr="00A776E7" w:rsidRDefault="00750D27" w:rsidP="00762B04">
      <w:r w:rsidRPr="00A776E7">
        <w:t>1.1</w:t>
      </w:r>
      <w:r w:rsidRPr="00A776E7">
        <w:tab/>
        <w:t xml:space="preserve">El </w:t>
      </w:r>
      <w:r w:rsidRPr="00A776E7">
        <w:rPr>
          <w:i/>
          <w:iCs/>
        </w:rPr>
        <w:t>Día Mundial de las Telecomunicaciones</w:t>
      </w:r>
      <w:r w:rsidRPr="00A776E7">
        <w:t xml:space="preserve"> se celebra cada 17 de mayo </w:t>
      </w:r>
      <w:r w:rsidRPr="00A472C5">
        <w:t>desde 1969,</w:t>
      </w:r>
      <w:r w:rsidRPr="00A776E7">
        <w:t xml:space="preserve"> fecha en que se conmemora la fundación de la UIT y la firma del primer Convenio Telegráfico Internacional en 1865. El Día fue instituido oficialmente por la Conferencia de Plenipotenciarios de Málaga, Torremolinos en 1973. En reconocimiento del papel desempeñado por la UIT como organismo rector de las Naciones Unidas en lo que concierne a las TIC, la Cumbre Mundial sobre la Sociedad de la Información, celebrada en Túnez en noviembre de 2005, pidió a la Asamblea General de las Naciones Unidas que proclamara el 17 de mayo como Día Mundial de la Sociedad de la Información (</w:t>
      </w:r>
      <w:hyperlink r:id="rId14" w:history="1">
        <w:r w:rsidRPr="00A776E7">
          <w:rPr>
            <w:rStyle w:val="Hyperlink"/>
            <w:rFonts w:asciiTheme="minorHAnsi" w:hAnsiTheme="minorHAnsi"/>
          </w:rPr>
          <w:t>véase el párrafo 121 de la Agenda de Túnez</w:t>
        </w:r>
      </w:hyperlink>
      <w:r w:rsidRPr="00A776E7">
        <w:t>).</w:t>
      </w:r>
    </w:p>
    <w:p w14:paraId="42E524FD" w14:textId="77777777" w:rsidR="00750D27" w:rsidRPr="00A776E7" w:rsidRDefault="00750D27" w:rsidP="00762B04">
      <w:r w:rsidRPr="00A776E7">
        <w:t>1.2</w:t>
      </w:r>
      <w:r w:rsidRPr="00A776E7">
        <w:tab/>
        <w:t xml:space="preserve">El 27 de marzo de 2006, la Asamblea General de las Naciones Unidas adoptó la Resolución 60/252, en la cual se proclamaba el 17 de mayo </w:t>
      </w:r>
      <w:r w:rsidRPr="00A776E7">
        <w:rPr>
          <w:i/>
          <w:iCs/>
        </w:rPr>
        <w:t>Día Mundial de la Sociedad de la Información</w:t>
      </w:r>
      <w:r w:rsidRPr="00A776E7">
        <w:t>, para centrar todos los años la atención mundial sobre los enormes beneficios que brinda a los habitantes de todo el mundo la revolución digital en las TIC.</w:t>
      </w:r>
    </w:p>
    <w:p w14:paraId="6BC8DBCB" w14:textId="77777777" w:rsidR="00750D27" w:rsidRPr="00A776E7" w:rsidRDefault="00750D27" w:rsidP="00762B04">
      <w:r w:rsidRPr="00A776E7">
        <w:t>1.3</w:t>
      </w:r>
      <w:r w:rsidRPr="00A776E7">
        <w:tab/>
        <w:t xml:space="preserve">La Conferencia de Plenipotenciarios de la UIT acogió complacida en noviembre de 2006 la decisión de la Asamblea General y enmendó la Resolución 68 para invitar al Consejo a adoptar un tema específico para cada </w:t>
      </w:r>
      <w:r w:rsidRPr="00A776E7">
        <w:rPr>
          <w:i/>
          <w:iCs/>
        </w:rPr>
        <w:t>Día Mundial de las Telecomunicaciones y la Sociedad de la Información</w:t>
      </w:r>
      <w:r w:rsidRPr="00A776E7">
        <w:t>.</w:t>
      </w:r>
    </w:p>
    <w:p w14:paraId="13A4EB71" w14:textId="73212D72" w:rsidR="00750D27" w:rsidRPr="00A776E7" w:rsidRDefault="00750D27" w:rsidP="00465C33">
      <w:pPr>
        <w:pStyle w:val="Heading1"/>
      </w:pPr>
      <w:r w:rsidRPr="00A776E7">
        <w:t>2</w:t>
      </w:r>
      <w:r w:rsidRPr="00A776E7">
        <w:tab/>
      </w:r>
      <w:proofErr w:type="gramStart"/>
      <w:r w:rsidRPr="00465C33">
        <w:t>Día</w:t>
      </w:r>
      <w:proofErr w:type="gramEnd"/>
      <w:r w:rsidRPr="00A776E7">
        <w:t xml:space="preserve"> Mundial de las Telecomunicaciones y la Sociedad de la Información </w:t>
      </w:r>
      <w:r w:rsidRPr="007A7A90">
        <w:t>2021</w:t>
      </w:r>
    </w:p>
    <w:p w14:paraId="38E908B8" w14:textId="0529571B" w:rsidR="00750D27" w:rsidRPr="00A776E7" w:rsidRDefault="00750D27" w:rsidP="00762B04">
      <w:r w:rsidRPr="00A776E7">
        <w:t>2.</w:t>
      </w:r>
      <w:r w:rsidRPr="00C7543C">
        <w:t>1</w:t>
      </w:r>
      <w:r w:rsidRPr="00C7543C">
        <w:tab/>
        <w:t>Este año, la UIT y los asociados seguirán celebrando la Agenda Conectar 2030 y la contribución de las TIC al logro de los objetivos mundiales fijados de aquí a 2030.</w:t>
      </w:r>
    </w:p>
    <w:p w14:paraId="5F005D4C" w14:textId="50FBC573" w:rsidR="00750D27" w:rsidRPr="00C7543C" w:rsidRDefault="00750D27" w:rsidP="00762B04">
      <w:r w:rsidRPr="00C7543C">
        <w:t>2.2</w:t>
      </w:r>
      <w:r w:rsidRPr="00C7543C">
        <w:tab/>
        <w:t>Con el tema "</w:t>
      </w:r>
      <w:r w:rsidRPr="00C7543C">
        <w:rPr>
          <w:b/>
          <w:bCs/>
        </w:rPr>
        <w:t>Acelerar la transformación digital en tiempos difíciles</w:t>
      </w:r>
      <w:r w:rsidRPr="00C7543C">
        <w:t>", el DMTSI 2021 pretende destacar la contribución esencial de las TIC a la resiliencia de las sociedades, mostrando el modo en que los miembros de la UIT han dado un paso adelante y se han implicado en actividades que han resultado esenciales a la hora de salvar vidas y sostener las economías.</w:t>
      </w:r>
    </w:p>
    <w:p w14:paraId="62E3B3F6" w14:textId="0067D91C" w:rsidR="00750D27" w:rsidRPr="00A776E7" w:rsidRDefault="00750D27" w:rsidP="00762B04">
      <w:r w:rsidRPr="00A776E7">
        <w:t>2.3</w:t>
      </w:r>
      <w:r w:rsidRPr="00A776E7">
        <w:tab/>
      </w:r>
      <w:r w:rsidRPr="00C7543C">
        <w:t>La pandemia de COVID-19 ha puesto de manifiesto la urgencia de acelerar la transformación digital y de avanzar en los objetivos y metas de la Agenda Conectar 2030 para no dejar a nadie atrás, ni fuera de línea.</w:t>
      </w:r>
    </w:p>
    <w:p w14:paraId="547BC6F9" w14:textId="77777777" w:rsidR="00750D27" w:rsidRPr="00A776E7" w:rsidRDefault="00750D27" w:rsidP="00762B04">
      <w:r w:rsidRPr="00A776E7">
        <w:t>2.4</w:t>
      </w:r>
      <w:r w:rsidRPr="00A776E7">
        <w:tab/>
        <w:t>Con este fin, se alentó a los Miembros de la UIT a seguir aprovechando las telecomunicaciones/TIC mediante la elaboración de políticas y estrategias digitales que les permitieran adaptarse y responder de forma oportuna y eficaz a los desafíos que pudieran surgir, así como a facilitar información sobre los progresos nacionales, centrándose especialmente en las finalidades que contribuían en mayor medida a la transformación digital en el marco de la Agenda Conectar 2030 (a saber, las finalidades 1.4, 1.7, 3.1, 3.5, 4.1 y 5.1).</w:t>
      </w:r>
    </w:p>
    <w:p w14:paraId="2B8D19CC" w14:textId="77777777" w:rsidR="00750D27" w:rsidRPr="003C03A3" w:rsidRDefault="00750D27" w:rsidP="00762B04">
      <w:r w:rsidRPr="00A776E7">
        <w:t>2.5</w:t>
      </w:r>
      <w:r w:rsidRPr="00A776E7">
        <w:tab/>
        <w:t xml:space="preserve">El 17 de mayo, en el marco del Foro de la Cumbre Mundial sobre la Sociedad de la Información (CMSI) de 2021, </w:t>
      </w:r>
      <w:r w:rsidRPr="003C03A3">
        <w:t>el DMTSI abordará la importancia de mejorar la colaboración y la cooperación entre países y sectores y reunirá a los Miembros y socios de la UIT para mostrar cómo gobiernos, empresas e instituciones académicas pueden acelerar la transformación digital a través de las telecomunicaciones/TIC en y para los futuros tiempos difíciles.</w:t>
      </w:r>
    </w:p>
    <w:p w14:paraId="5F236AB1" w14:textId="77777777" w:rsidR="00750D27" w:rsidRPr="00A776E7" w:rsidRDefault="00750D27" w:rsidP="001343D1">
      <w:pPr>
        <w:jc w:val="both"/>
        <w:rPr>
          <w:rFonts w:cstheme="minorHAnsi"/>
        </w:rPr>
      </w:pPr>
      <w:r w:rsidRPr="00A776E7">
        <w:rPr>
          <w:rFonts w:cstheme="minorHAnsi"/>
        </w:rPr>
        <w:t>2.6</w:t>
      </w:r>
      <w:r w:rsidRPr="00A776E7">
        <w:rPr>
          <w:rFonts w:cstheme="minorHAnsi"/>
        </w:rPr>
        <w:tab/>
        <w:t>La integración del DMTSI en el Foro de la CMSI de 2021 permitirá ampliar su radio de alcance y brindará a los participantes en los eventos relacionados con la CMSI la posibilidad de unirse y compartir con la UIT sus experiencias, directrices, desafíos, enseñanzas extraídas, historias de éxito, estudios de casos, buenas prácticas, soluciones, publicaciones y políticas puestas en marcha para afrontar en mejores condiciones los desafíos futuros.</w:t>
      </w:r>
    </w:p>
    <w:p w14:paraId="6CC1025B" w14:textId="6A00499C" w:rsidR="00750D27" w:rsidRPr="00A776E7" w:rsidRDefault="00750D27" w:rsidP="001343D1">
      <w:pPr>
        <w:jc w:val="both"/>
        <w:rPr>
          <w:rFonts w:cstheme="minorHAnsi"/>
        </w:rPr>
      </w:pPr>
      <w:r w:rsidRPr="00A776E7">
        <w:rPr>
          <w:rFonts w:cstheme="minorHAnsi"/>
        </w:rPr>
        <w:lastRenderedPageBreak/>
        <w:t>2.7</w:t>
      </w:r>
      <w:r w:rsidRPr="00A776E7">
        <w:rPr>
          <w:rFonts w:cstheme="minorHAnsi"/>
        </w:rPr>
        <w:tab/>
        <w:t xml:space="preserve">Toda la información relacionada con el DMTSI 2021 puede consultarse en el sitio web dedicado al evento </w:t>
      </w:r>
      <w:hyperlink r:id="rId15" w:history="1">
        <w:r w:rsidR="00A81DB6" w:rsidRPr="00A776E7">
          <w:rPr>
            <w:rStyle w:val="Hyperlink"/>
            <w:rFonts w:cstheme="minorHAnsi"/>
          </w:rPr>
          <w:t>www.itu.int/en/wtisd</w:t>
        </w:r>
      </w:hyperlink>
      <w:r w:rsidRPr="00A776E7">
        <w:rPr>
          <w:rFonts w:cstheme="minorHAnsi"/>
        </w:rPr>
        <w:t xml:space="preserve"> (disponible en los seis idiomas oficiales de las Naciones Unidas).</w:t>
      </w:r>
    </w:p>
    <w:p w14:paraId="43845924" w14:textId="2814D7A4" w:rsidR="00750D27" w:rsidRPr="00A776E7" w:rsidRDefault="00750D27" w:rsidP="00465C33">
      <w:pPr>
        <w:pStyle w:val="Heading1"/>
        <w:rPr>
          <w:rFonts w:cstheme="minorHAnsi"/>
        </w:rPr>
      </w:pPr>
      <w:r w:rsidRPr="00A776E7">
        <w:t>3</w:t>
      </w:r>
      <w:r w:rsidRPr="00A776E7">
        <w:tab/>
      </w:r>
      <w:proofErr w:type="gramStart"/>
      <w:r w:rsidRPr="00465C33">
        <w:t>Tema</w:t>
      </w:r>
      <w:proofErr w:type="gramEnd"/>
      <w:r w:rsidRPr="00A776E7">
        <w:t xml:space="preserve"> para el Día Mundial de las Telecomunicaciones y la Sociedad de la Información </w:t>
      </w:r>
      <w:r w:rsidRPr="003C03A3">
        <w:t>de 2022</w:t>
      </w:r>
    </w:p>
    <w:p w14:paraId="44948C2D" w14:textId="77777777" w:rsidR="00750D27" w:rsidRPr="00A776E7" w:rsidRDefault="00750D27" w:rsidP="005E5085">
      <w:pPr>
        <w:tabs>
          <w:tab w:val="clear" w:pos="567"/>
          <w:tab w:val="clear" w:pos="1134"/>
          <w:tab w:val="left" w:pos="709"/>
          <w:tab w:val="left" w:pos="851"/>
        </w:tabs>
        <w:spacing w:after="120"/>
        <w:jc w:val="both"/>
        <w:rPr>
          <w:rFonts w:asciiTheme="minorHAnsi" w:hAnsiTheme="minorHAnsi"/>
          <w:szCs w:val="24"/>
        </w:rPr>
      </w:pPr>
      <w:r w:rsidRPr="00A776E7">
        <w:rPr>
          <w:rFonts w:asciiTheme="minorHAnsi" w:hAnsiTheme="minorHAnsi"/>
          <w:szCs w:val="24"/>
        </w:rPr>
        <w:t>3.1</w:t>
      </w:r>
      <w:r w:rsidRPr="00A776E7">
        <w:rPr>
          <w:rFonts w:asciiTheme="minorHAnsi" w:hAnsiTheme="minorHAnsi"/>
          <w:szCs w:val="24"/>
        </w:rPr>
        <w:tab/>
        <w:t>Aunque el envejecimiento de la población mundial será la tendencia demográfica que definirá el siglo XXI, nuestras sociedades se afanan en ver las oportunidades que esta tendencia puede brindar.</w:t>
      </w:r>
    </w:p>
    <w:p w14:paraId="11D26521" w14:textId="77777777" w:rsidR="00750D27" w:rsidRPr="00A776E7" w:rsidRDefault="00750D27" w:rsidP="005E5085">
      <w:pPr>
        <w:tabs>
          <w:tab w:val="clear" w:pos="567"/>
          <w:tab w:val="clear" w:pos="1134"/>
          <w:tab w:val="left" w:pos="709"/>
          <w:tab w:val="left" w:pos="851"/>
        </w:tabs>
        <w:spacing w:after="120"/>
        <w:jc w:val="both"/>
        <w:rPr>
          <w:rFonts w:asciiTheme="minorHAnsi" w:hAnsiTheme="minorHAnsi"/>
          <w:szCs w:val="24"/>
        </w:rPr>
      </w:pPr>
      <w:r w:rsidRPr="00A776E7">
        <w:rPr>
          <w:rFonts w:asciiTheme="minorHAnsi" w:hAnsiTheme="minorHAnsi"/>
          <w:szCs w:val="24"/>
        </w:rPr>
        <w:t>3.2</w:t>
      </w:r>
      <w:r w:rsidRPr="00A776E7">
        <w:rPr>
          <w:rFonts w:asciiTheme="minorHAnsi" w:hAnsiTheme="minorHAnsi"/>
          <w:szCs w:val="24"/>
        </w:rPr>
        <w:tab/>
        <w:t>A las telecomunicaciones y las tecnologías de la información y la comunicación (TIC) les corresponde un papel propio no solo en la consecución de un envejecimiento más saludable, sino también en la construcción de ciudades más inteligentes, la lucha contra la discriminación por motivos de edad en el lugar de trabajo, el logro de la inclusión financiera de las personas de edad y la prestación de apoyo a millones de cuidadores en todo el mundo.</w:t>
      </w:r>
    </w:p>
    <w:p w14:paraId="4F7E611A" w14:textId="77777777" w:rsidR="00750D27" w:rsidRPr="00A776E7" w:rsidRDefault="00750D27" w:rsidP="005E5085">
      <w:pPr>
        <w:tabs>
          <w:tab w:val="clear" w:pos="567"/>
          <w:tab w:val="clear" w:pos="1134"/>
          <w:tab w:val="left" w:pos="709"/>
          <w:tab w:val="left" w:pos="851"/>
        </w:tabs>
        <w:spacing w:after="120"/>
        <w:jc w:val="both"/>
        <w:rPr>
          <w:rFonts w:asciiTheme="minorHAnsi" w:hAnsiTheme="minorHAnsi"/>
          <w:szCs w:val="24"/>
        </w:rPr>
      </w:pPr>
      <w:r w:rsidRPr="00A776E7">
        <w:rPr>
          <w:rFonts w:asciiTheme="minorHAnsi" w:hAnsiTheme="minorHAnsi"/>
          <w:szCs w:val="24"/>
        </w:rPr>
        <w:t>3.3</w:t>
      </w:r>
      <w:r w:rsidRPr="00A776E7">
        <w:rPr>
          <w:rFonts w:asciiTheme="minorHAnsi" w:hAnsiTheme="minorHAnsi"/>
          <w:szCs w:val="24"/>
        </w:rPr>
        <w:tab/>
        <w:t>El tema propuesto para el DMTSI 2022 es "</w:t>
      </w:r>
      <w:r w:rsidRPr="00A776E7">
        <w:rPr>
          <w:rFonts w:asciiTheme="minorHAnsi" w:hAnsiTheme="minorHAnsi"/>
          <w:b/>
          <w:bCs/>
          <w:szCs w:val="24"/>
        </w:rPr>
        <w:t>Tecnologías digitales para las personas de edad y el envejecimiento saludable</w:t>
      </w:r>
      <w:r w:rsidRPr="00A776E7">
        <w:rPr>
          <w:rFonts w:asciiTheme="minorHAnsi" w:hAnsiTheme="minorHAnsi"/>
          <w:szCs w:val="24"/>
        </w:rPr>
        <w:t>".</w:t>
      </w:r>
    </w:p>
    <w:p w14:paraId="3E60128A" w14:textId="77777777" w:rsidR="00750D27" w:rsidRPr="00A776E7" w:rsidRDefault="00750D27" w:rsidP="00742064">
      <w:pPr>
        <w:tabs>
          <w:tab w:val="clear" w:pos="567"/>
          <w:tab w:val="clear" w:pos="1134"/>
          <w:tab w:val="left" w:pos="709"/>
          <w:tab w:val="left" w:pos="851"/>
        </w:tabs>
        <w:spacing w:after="120"/>
        <w:jc w:val="both"/>
        <w:rPr>
          <w:rFonts w:asciiTheme="minorHAnsi" w:hAnsiTheme="minorHAnsi"/>
          <w:szCs w:val="24"/>
        </w:rPr>
      </w:pPr>
      <w:r w:rsidRPr="00A776E7">
        <w:rPr>
          <w:rFonts w:asciiTheme="minorHAnsi" w:hAnsiTheme="minorHAnsi"/>
          <w:szCs w:val="24"/>
        </w:rPr>
        <w:t>3</w:t>
      </w:r>
      <w:r w:rsidRPr="003C03A3">
        <w:rPr>
          <w:rFonts w:asciiTheme="minorHAnsi" w:hAnsiTheme="minorHAnsi"/>
          <w:szCs w:val="24"/>
        </w:rPr>
        <w:t>.4</w:t>
      </w:r>
      <w:r w:rsidRPr="003C03A3">
        <w:rPr>
          <w:rFonts w:asciiTheme="minorHAnsi" w:hAnsiTheme="minorHAnsi"/>
          <w:szCs w:val="24"/>
        </w:rPr>
        <w:tab/>
      </w:r>
      <w:bookmarkStart w:id="10" w:name="_Hlk67994908"/>
      <w:r w:rsidRPr="003C03A3">
        <w:rPr>
          <w:rFonts w:asciiTheme="minorHAnsi" w:hAnsiTheme="minorHAnsi"/>
          <w:szCs w:val="24"/>
        </w:rPr>
        <w:t>Las Naciones Unidas abordan este tema en el Informe del Secretario General titulado "Seguimiento del Año Internacional de las Personas de Edad: Segunda Asamblea Mundial sobre el Envejecimiento" (A/73/213), en</w:t>
      </w:r>
      <w:r w:rsidRPr="00A776E7">
        <w:rPr>
          <w:rFonts w:asciiTheme="minorHAnsi" w:hAnsiTheme="minorHAnsi"/>
          <w:szCs w:val="24"/>
        </w:rPr>
        <w:t xml:space="preserve"> el que se destaca que el tema de las personas de edad integra un importante eje transversal. En 2020, el </w:t>
      </w:r>
      <w:r w:rsidRPr="00A776E7">
        <w:t xml:space="preserve">Foro de la Cumbre Mundial sobre la Sociedad de la Información </w:t>
      </w:r>
      <w:r w:rsidRPr="00A776E7">
        <w:rPr>
          <w:rFonts w:asciiTheme="minorHAnsi" w:hAnsiTheme="minorHAnsi"/>
          <w:szCs w:val="24"/>
        </w:rPr>
        <w:t xml:space="preserve">(Foro de la CMSI de 2020) dedicó por primera vez una vía especial a las personas de edad y las TIC, que todas las partes interesadas acogieron con beneplácito. En 2021, además de la vía especial, se ha organizado un </w:t>
      </w:r>
      <w:proofErr w:type="spellStart"/>
      <w:r w:rsidRPr="00A776E7">
        <w:rPr>
          <w:rFonts w:asciiTheme="minorHAnsi" w:hAnsiTheme="minorHAnsi"/>
          <w:szCs w:val="24"/>
        </w:rPr>
        <w:t>hackatón</w:t>
      </w:r>
      <w:proofErr w:type="spellEnd"/>
      <w:r w:rsidRPr="00A776E7">
        <w:rPr>
          <w:rFonts w:asciiTheme="minorHAnsi" w:hAnsiTheme="minorHAnsi"/>
          <w:szCs w:val="24"/>
        </w:rPr>
        <w:t xml:space="preserve"> y se ha previsto entregar un premio especial de la CMSI para promover el tema del envejecimiento saludable y las TIC para las personas </w:t>
      </w:r>
      <w:bookmarkEnd w:id="10"/>
      <w:r w:rsidRPr="00A776E7">
        <w:rPr>
          <w:rFonts w:asciiTheme="minorHAnsi" w:hAnsiTheme="minorHAnsi"/>
          <w:szCs w:val="24"/>
        </w:rPr>
        <w:t>de edad (A/75/216).</w:t>
      </w:r>
    </w:p>
    <w:p w14:paraId="06B407C9" w14:textId="25ED8CCE" w:rsidR="00750D27" w:rsidRPr="00A776E7" w:rsidRDefault="00750D27" w:rsidP="009922C2">
      <w:pPr>
        <w:tabs>
          <w:tab w:val="clear" w:pos="567"/>
          <w:tab w:val="clear" w:pos="1134"/>
          <w:tab w:val="left" w:pos="709"/>
          <w:tab w:val="left" w:pos="851"/>
        </w:tabs>
        <w:spacing w:after="120"/>
        <w:jc w:val="both"/>
        <w:rPr>
          <w:rFonts w:asciiTheme="minorHAnsi" w:hAnsiTheme="minorHAnsi"/>
          <w:szCs w:val="24"/>
        </w:rPr>
      </w:pPr>
      <w:r w:rsidRPr="00A776E7">
        <w:rPr>
          <w:rFonts w:asciiTheme="minorHAnsi" w:hAnsiTheme="minorHAnsi"/>
          <w:szCs w:val="24"/>
        </w:rPr>
        <w:t>3.5</w:t>
      </w:r>
      <w:r w:rsidRPr="00A776E7">
        <w:rPr>
          <w:rFonts w:asciiTheme="minorHAnsi" w:hAnsiTheme="minorHAnsi"/>
          <w:szCs w:val="24"/>
        </w:rPr>
        <w:tab/>
        <w:t>El DMTSI 2022 permitirá a los miembros de la UIT, a los socios y a otras partes interesadas crear conciencia sobre la importante función que desempeñan las telecomunicaciones/TIC para ayudar a las personas a mantenerse sanas, conectadas e independientes, física, emocional y económicamente –y envejecer así de forma saludable</w:t>
      </w:r>
      <w:r w:rsidR="00E31C73" w:rsidRPr="00A776E7">
        <w:rPr>
          <w:rFonts w:asciiTheme="minorHAnsi" w:hAnsiTheme="minorHAnsi"/>
          <w:szCs w:val="24"/>
        </w:rPr>
        <w:t>–</w:t>
      </w:r>
      <w:r w:rsidRPr="00A776E7">
        <w:rPr>
          <w:rFonts w:asciiTheme="minorHAnsi" w:hAnsiTheme="minorHAnsi"/>
          <w:szCs w:val="24"/>
        </w:rPr>
        <w:t xml:space="preserve"> y su papel fundamental a efectos de la sostenibilidad de los sistemas económicos y sanitarios.</w:t>
      </w:r>
    </w:p>
    <w:p w14:paraId="3ADA3D40" w14:textId="16C363C5" w:rsidR="00750D27" w:rsidRPr="00A776E7" w:rsidRDefault="00750D27" w:rsidP="00331623">
      <w:pPr>
        <w:jc w:val="both"/>
      </w:pPr>
      <w:r w:rsidRPr="003C03A3">
        <w:t>3.</w:t>
      </w:r>
      <w:r w:rsidR="00254FD2" w:rsidRPr="003C03A3">
        <w:t>6</w:t>
      </w:r>
      <w:r w:rsidRPr="003C03A3">
        <w:tab/>
        <w:t>El tema propuesto para la DMTSI 2022 estará en consonancia con la Resolución 71 (Rev. Dubái, 2018), en la que se define el Plan Estratégico de la Unión (2020-2023), y la Meta 2 de la Agenda Conectar 2030, relativa a la integración (finalidades 2.9 y 2.10), así como con las Líneas de Acción de la CMSI (C1, C3, C6 y C8), la vía especial dedicada a las TIC y las personas de edad y los Objetivos de Desarrollo Sostenible (3, 10, 11, 16 y 17).</w:t>
      </w:r>
    </w:p>
    <w:p w14:paraId="321C1712" w14:textId="77777777" w:rsidR="00E31C73" w:rsidRPr="00A776E7" w:rsidRDefault="00E31C73" w:rsidP="00411C49">
      <w:pPr>
        <w:pStyle w:val="Reasons"/>
      </w:pPr>
    </w:p>
    <w:p w14:paraId="7AADD5FE" w14:textId="77777777" w:rsidR="00E31C73" w:rsidRPr="00A776E7" w:rsidRDefault="00E31C73">
      <w:pPr>
        <w:jc w:val="center"/>
      </w:pPr>
      <w:r w:rsidRPr="00A776E7">
        <w:t>______________</w:t>
      </w:r>
    </w:p>
    <w:sectPr w:rsidR="00E31C73" w:rsidRPr="00A776E7" w:rsidSect="006710F6">
      <w:headerReference w:type="default" r:id="rId16"/>
      <w:footerReference w:type="defaul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1C3F" w14:textId="77777777" w:rsidR="00750D27" w:rsidRDefault="00750D27">
      <w:r>
        <w:separator/>
      </w:r>
    </w:p>
  </w:endnote>
  <w:endnote w:type="continuationSeparator" w:id="0">
    <w:p w14:paraId="240EC42E" w14:textId="77777777" w:rsidR="00750D27" w:rsidRDefault="0075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B3D9" w14:textId="12634BFF" w:rsidR="00760F1C" w:rsidRPr="00D30923" w:rsidRDefault="00AB0365" w:rsidP="00AB0365">
    <w:pPr>
      <w:pStyle w:val="Footer"/>
      <w:rPr>
        <w:szCs w:val="16"/>
        <w:lang w:val="fr-CH"/>
      </w:rPr>
    </w:pPr>
    <w:r w:rsidRPr="00AB0365">
      <w:rPr>
        <w:szCs w:val="16"/>
      </w:rPr>
      <w:fldChar w:fldCharType="begin"/>
    </w:r>
    <w:r w:rsidRPr="00AB0365">
      <w:rPr>
        <w:szCs w:val="16"/>
      </w:rPr>
      <w:instrText xml:space="preserve"> FILENAME \p  \* MERGEFORMAT </w:instrText>
    </w:r>
    <w:r w:rsidRPr="00AB0365">
      <w:rPr>
        <w:szCs w:val="16"/>
      </w:rPr>
      <w:fldChar w:fldCharType="separate"/>
    </w:r>
    <w:r w:rsidR="007A7A90">
      <w:rPr>
        <w:szCs w:val="16"/>
      </w:rPr>
      <w:t>P:\ESP\SG\CONSEIL\C21\000\017S.docx</w:t>
    </w:r>
    <w:r w:rsidRPr="00AB0365">
      <w:rPr>
        <w:szCs w:val="16"/>
      </w:rPr>
      <w:fldChar w:fldCharType="end"/>
    </w:r>
    <w:r w:rsidRPr="00AB0365">
      <w:rPr>
        <w:szCs w:val="16"/>
      </w:rPr>
      <w:t xml:space="preserve"> (483210)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4A13"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7FEF0" w14:textId="77777777" w:rsidR="00750D27" w:rsidRDefault="00750D27">
      <w:r>
        <w:t>____________________</w:t>
      </w:r>
    </w:p>
  </w:footnote>
  <w:footnote w:type="continuationSeparator" w:id="0">
    <w:p w14:paraId="04E0014B" w14:textId="77777777" w:rsidR="00750D27" w:rsidRDefault="0075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30C1"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2554386D" w14:textId="7022BB61" w:rsidR="00760F1C" w:rsidRDefault="00760F1C" w:rsidP="00C2727F">
    <w:pPr>
      <w:pStyle w:val="Header"/>
    </w:pPr>
    <w:r>
      <w:t>C</w:t>
    </w:r>
    <w:r w:rsidR="007955DA">
      <w:t>2</w:t>
    </w:r>
    <w:r w:rsidR="000007D1">
      <w:t>1</w:t>
    </w:r>
    <w:r>
      <w:t>/</w:t>
    </w:r>
    <w:r w:rsidR="00AB0365">
      <w:t>17</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27"/>
    <w:rsid w:val="000007D1"/>
    <w:rsid w:val="00025BFF"/>
    <w:rsid w:val="00093EEB"/>
    <w:rsid w:val="000B0D00"/>
    <w:rsid w:val="000B7C15"/>
    <w:rsid w:val="000D1D0F"/>
    <w:rsid w:val="000F5290"/>
    <w:rsid w:val="0010165C"/>
    <w:rsid w:val="00146BFB"/>
    <w:rsid w:val="001F14A2"/>
    <w:rsid w:val="00254FD2"/>
    <w:rsid w:val="002801AA"/>
    <w:rsid w:val="002C4676"/>
    <w:rsid w:val="002C70B0"/>
    <w:rsid w:val="002F3CC4"/>
    <w:rsid w:val="003C03A3"/>
    <w:rsid w:val="00465C33"/>
    <w:rsid w:val="004A6537"/>
    <w:rsid w:val="00513630"/>
    <w:rsid w:val="00560125"/>
    <w:rsid w:val="00585553"/>
    <w:rsid w:val="005B34D9"/>
    <w:rsid w:val="005D0CCF"/>
    <w:rsid w:val="005F3BCB"/>
    <w:rsid w:val="005F410F"/>
    <w:rsid w:val="0060149A"/>
    <w:rsid w:val="00601924"/>
    <w:rsid w:val="006447EA"/>
    <w:rsid w:val="0064731F"/>
    <w:rsid w:val="00664572"/>
    <w:rsid w:val="006710F6"/>
    <w:rsid w:val="006C1B56"/>
    <w:rsid w:val="006D4761"/>
    <w:rsid w:val="00726872"/>
    <w:rsid w:val="00750D27"/>
    <w:rsid w:val="00760F1C"/>
    <w:rsid w:val="00762B04"/>
    <w:rsid w:val="007657F0"/>
    <w:rsid w:val="0077252D"/>
    <w:rsid w:val="00777851"/>
    <w:rsid w:val="007955DA"/>
    <w:rsid w:val="007A7A90"/>
    <w:rsid w:val="007E5DD3"/>
    <w:rsid w:val="007F350B"/>
    <w:rsid w:val="00820BE4"/>
    <w:rsid w:val="008451E8"/>
    <w:rsid w:val="00913B9C"/>
    <w:rsid w:val="00956E77"/>
    <w:rsid w:val="009F4811"/>
    <w:rsid w:val="00A472C5"/>
    <w:rsid w:val="00A776E7"/>
    <w:rsid w:val="00A81DB6"/>
    <w:rsid w:val="00AA390C"/>
    <w:rsid w:val="00AB0365"/>
    <w:rsid w:val="00B0200A"/>
    <w:rsid w:val="00B574DB"/>
    <w:rsid w:val="00B826C2"/>
    <w:rsid w:val="00B8298E"/>
    <w:rsid w:val="00BD0723"/>
    <w:rsid w:val="00BD2518"/>
    <w:rsid w:val="00BF1D1C"/>
    <w:rsid w:val="00C20C59"/>
    <w:rsid w:val="00C2727F"/>
    <w:rsid w:val="00C55B1F"/>
    <w:rsid w:val="00C7543C"/>
    <w:rsid w:val="00CF1A67"/>
    <w:rsid w:val="00D2750E"/>
    <w:rsid w:val="00D30923"/>
    <w:rsid w:val="00D62446"/>
    <w:rsid w:val="00DA4EA2"/>
    <w:rsid w:val="00DC3D3E"/>
    <w:rsid w:val="00DE2C90"/>
    <w:rsid w:val="00DE3B24"/>
    <w:rsid w:val="00E06947"/>
    <w:rsid w:val="00E31C73"/>
    <w:rsid w:val="00E3592D"/>
    <w:rsid w:val="00E92DE8"/>
    <w:rsid w:val="00EB1212"/>
    <w:rsid w:val="00ED65AB"/>
    <w:rsid w:val="00F12850"/>
    <w:rsid w:val="00F33BF4"/>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9A9C18"/>
  <w15:docId w15:val="{139FFED7-39EB-4CE2-93C0-5378B1E8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link w:val="Heading1Char"/>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customStyle="1" w:styleId="Heading1Char">
    <w:name w:val="Heading 1 Char"/>
    <w:basedOn w:val="DefaultParagraphFont"/>
    <w:link w:val="Heading1"/>
    <w:rsid w:val="00750D27"/>
    <w:rPr>
      <w:rFonts w:ascii="Calibri" w:hAnsi="Calibri"/>
      <w:b/>
      <w:sz w:val="28"/>
      <w:lang w:val="es-ES_tradnl" w:eastAsia="en-US"/>
    </w:rPr>
  </w:style>
  <w:style w:type="character" w:styleId="UnresolvedMention">
    <w:name w:val="Unresolved Mention"/>
    <w:basedOn w:val="DefaultParagraphFont"/>
    <w:uiPriority w:val="99"/>
    <w:semiHidden/>
    <w:unhideWhenUsed/>
    <w:rsid w:val="00A81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068-s.pdf" TargetMode="External"/><Relationship Id="rId13" Type="http://schemas.openxmlformats.org/officeDocument/2006/relationships/hyperlink" Target="https://www.itu.int/md/S20-CL-C-0017/en"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itu.int/en/wtisd/Pages/res60-252.aspx" TargetMode="External"/><Relationship Id="rId12" Type="http://schemas.openxmlformats.org/officeDocument/2006/relationships/hyperlink" Target="https://www.itu.int/md/S19-CL-C-0017/e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en/council/Documents/basic-texts/RES-200-S.pdf" TargetMode="External"/><Relationship Id="rId5" Type="http://schemas.openxmlformats.org/officeDocument/2006/relationships/endnotes" Target="endnotes.xml"/><Relationship Id="rId15" Type="http://schemas.openxmlformats.org/officeDocument/2006/relationships/hyperlink" Target="http://www.itu.int/en/wtisd" TargetMode="External"/><Relationship Id="rId10" Type="http://schemas.openxmlformats.org/officeDocument/2006/relationships/hyperlink" Target="https://www.itu.int/en/council/Documents/basic-texts/RES-130-s.pd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en/council/Documents/basic-texts/RES-071-S.pdf" TargetMode="External"/><Relationship Id="rId14" Type="http://schemas.openxmlformats.org/officeDocument/2006/relationships/hyperlink" Target="http://www.itu.int/wsis/docs2/tunis/off/6rev1.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PS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PS_C21.dotx</Template>
  <TotalTime>1</TotalTime>
  <Pages>3</Pages>
  <Words>1269</Words>
  <Characters>7016</Characters>
  <Application>Microsoft Office Word</Application>
  <DocSecurity>4</DocSecurity>
  <Lines>58</Lines>
  <Paragraphs>16</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8269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Día mundial de las telecomunicaciones y la sociedad de la información</dc:title>
  <dc:subject>Council 2021, Virtual consultation of councillors</dc:subject>
  <dc:creator>Spanish1</dc:creator>
  <cp:keywords>C2021, C21, VCC, C21-VCC-1</cp:keywords>
  <dc:description/>
  <cp:lastModifiedBy>Brouard, Ricarda</cp:lastModifiedBy>
  <cp:revision>2</cp:revision>
  <cp:lastPrinted>2006-03-24T09:51:00Z</cp:lastPrinted>
  <dcterms:created xsi:type="dcterms:W3CDTF">2021-04-20T08:36:00Z</dcterms:created>
  <dcterms:modified xsi:type="dcterms:W3CDTF">2021-04-20T08:36:00Z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