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Y="-690"/>
        <w:tblW w:w="10173" w:type="dxa"/>
        <w:tblLayout w:type="fixed"/>
        <w:tblLook w:val="0000" w:firstRow="0" w:lastRow="0" w:firstColumn="0" w:lastColumn="0" w:noHBand="0" w:noVBand="0"/>
      </w:tblPr>
      <w:tblGrid>
        <w:gridCol w:w="6912"/>
        <w:gridCol w:w="3261"/>
      </w:tblGrid>
      <w:tr w:rsidR="00520F36" w:rsidRPr="00EF75A2" w14:paraId="6EE275B8" w14:textId="77777777">
        <w:trPr>
          <w:cantSplit/>
        </w:trPr>
        <w:tc>
          <w:tcPr>
            <w:tcW w:w="6912" w:type="dxa"/>
          </w:tcPr>
          <w:p w14:paraId="6537821C" w14:textId="77777777" w:rsidR="00520F36" w:rsidRPr="00EF75A2" w:rsidRDefault="00520F36" w:rsidP="00106B19">
            <w:pPr>
              <w:spacing w:before="360"/>
            </w:pPr>
            <w:bookmarkStart w:id="0" w:name="dc06"/>
            <w:bookmarkEnd w:id="0"/>
            <w:r w:rsidRPr="00EF75A2">
              <w:rPr>
                <w:b/>
                <w:bCs/>
                <w:sz w:val="30"/>
                <w:szCs w:val="30"/>
              </w:rPr>
              <w:t>Conseil 20</w:t>
            </w:r>
            <w:r w:rsidR="009C353C" w:rsidRPr="00EF75A2">
              <w:rPr>
                <w:b/>
                <w:bCs/>
                <w:sz w:val="30"/>
                <w:szCs w:val="30"/>
              </w:rPr>
              <w:t>2</w:t>
            </w:r>
            <w:r w:rsidR="004D1D50" w:rsidRPr="00EF75A2">
              <w:rPr>
                <w:b/>
                <w:bCs/>
                <w:sz w:val="30"/>
                <w:szCs w:val="30"/>
              </w:rPr>
              <w:t>1</w:t>
            </w:r>
            <w:r w:rsidRPr="00EF75A2">
              <w:rPr>
                <w:rFonts w:ascii="Verdana" w:hAnsi="Verdana"/>
                <w:b/>
                <w:bCs/>
                <w:sz w:val="26"/>
                <w:szCs w:val="26"/>
              </w:rPr>
              <w:br/>
            </w:r>
            <w:r w:rsidR="004D1D50" w:rsidRPr="00EF75A2">
              <w:rPr>
                <w:b/>
                <w:bCs/>
                <w:sz w:val="28"/>
                <w:szCs w:val="28"/>
              </w:rPr>
              <w:t>Consultation virtuelle des Conseillers</w:t>
            </w:r>
            <w:r w:rsidRPr="00EF75A2">
              <w:rPr>
                <w:b/>
                <w:bCs/>
                <w:sz w:val="28"/>
                <w:szCs w:val="28"/>
              </w:rPr>
              <w:t xml:space="preserve">, </w:t>
            </w:r>
            <w:r w:rsidR="004D1D50" w:rsidRPr="00EF75A2">
              <w:rPr>
                <w:b/>
                <w:bCs/>
                <w:sz w:val="28"/>
                <w:szCs w:val="28"/>
              </w:rPr>
              <w:t>8</w:t>
            </w:r>
            <w:r w:rsidRPr="00EF75A2">
              <w:rPr>
                <w:b/>
                <w:bCs/>
                <w:sz w:val="28"/>
                <w:szCs w:val="28"/>
              </w:rPr>
              <w:t>-</w:t>
            </w:r>
            <w:r w:rsidR="009C353C" w:rsidRPr="00EF75A2">
              <w:rPr>
                <w:b/>
                <w:bCs/>
                <w:sz w:val="28"/>
                <w:szCs w:val="28"/>
              </w:rPr>
              <w:t>1</w:t>
            </w:r>
            <w:r w:rsidR="004D1D50" w:rsidRPr="00EF75A2">
              <w:rPr>
                <w:b/>
                <w:bCs/>
                <w:sz w:val="28"/>
                <w:szCs w:val="28"/>
              </w:rPr>
              <w:t>8</w:t>
            </w:r>
            <w:r w:rsidR="00106B19" w:rsidRPr="00EF75A2">
              <w:rPr>
                <w:b/>
                <w:bCs/>
                <w:sz w:val="28"/>
                <w:szCs w:val="28"/>
              </w:rPr>
              <w:t xml:space="preserve"> juin</w:t>
            </w:r>
            <w:r w:rsidRPr="00EF75A2">
              <w:rPr>
                <w:b/>
                <w:bCs/>
                <w:sz w:val="28"/>
                <w:szCs w:val="28"/>
              </w:rPr>
              <w:t xml:space="preserve"> 20</w:t>
            </w:r>
            <w:r w:rsidR="009C353C" w:rsidRPr="00EF75A2">
              <w:rPr>
                <w:b/>
                <w:bCs/>
                <w:sz w:val="28"/>
                <w:szCs w:val="28"/>
              </w:rPr>
              <w:t>2</w:t>
            </w:r>
            <w:r w:rsidR="004D1D50" w:rsidRPr="00EF75A2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261" w:type="dxa"/>
          </w:tcPr>
          <w:p w14:paraId="1D876961" w14:textId="77777777" w:rsidR="00520F36" w:rsidRPr="00EF75A2" w:rsidRDefault="009C353C" w:rsidP="009C353C">
            <w:pPr>
              <w:spacing w:before="0"/>
            </w:pPr>
            <w:bookmarkStart w:id="1" w:name="ditulogo"/>
            <w:bookmarkEnd w:id="1"/>
            <w:r w:rsidRPr="00EF75A2">
              <w:rPr>
                <w:noProof/>
                <w:lang w:val="en-US"/>
              </w:rPr>
              <w:drawing>
                <wp:inline distT="0" distB="0" distL="0" distR="0" wp14:anchorId="48058EFE" wp14:editId="184B6FC8">
                  <wp:extent cx="682402" cy="720000"/>
                  <wp:effectExtent l="0" t="0" r="3810" b="444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-ITU-RGB-size template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2402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0F36" w:rsidRPr="00EF75A2" w14:paraId="6B5FA22F" w14:textId="77777777" w:rsidTr="00EF41DD">
        <w:trPr>
          <w:cantSplit/>
          <w:trHeight w:val="20"/>
        </w:trPr>
        <w:tc>
          <w:tcPr>
            <w:tcW w:w="6912" w:type="dxa"/>
            <w:tcBorders>
              <w:bottom w:val="single" w:sz="12" w:space="0" w:color="auto"/>
            </w:tcBorders>
            <w:vAlign w:val="center"/>
          </w:tcPr>
          <w:p w14:paraId="00CAF8A0" w14:textId="77777777" w:rsidR="00520F36" w:rsidRPr="00EF75A2" w:rsidRDefault="00520F36" w:rsidP="004C37A9">
            <w:pPr>
              <w:spacing w:before="0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3261" w:type="dxa"/>
            <w:tcBorders>
              <w:bottom w:val="single" w:sz="12" w:space="0" w:color="auto"/>
            </w:tcBorders>
          </w:tcPr>
          <w:p w14:paraId="05B0D171" w14:textId="77777777" w:rsidR="00520F36" w:rsidRPr="00EF75A2" w:rsidRDefault="00520F36" w:rsidP="00DF74DD">
            <w:pPr>
              <w:spacing w:before="0"/>
              <w:rPr>
                <w:b/>
                <w:bCs/>
              </w:rPr>
            </w:pPr>
          </w:p>
        </w:tc>
      </w:tr>
      <w:tr w:rsidR="00520F36" w:rsidRPr="00EF75A2" w14:paraId="05036129" w14:textId="77777777">
        <w:trPr>
          <w:cantSplit/>
          <w:trHeight w:val="20"/>
        </w:trPr>
        <w:tc>
          <w:tcPr>
            <w:tcW w:w="6912" w:type="dxa"/>
            <w:tcBorders>
              <w:top w:val="single" w:sz="12" w:space="0" w:color="auto"/>
            </w:tcBorders>
          </w:tcPr>
          <w:p w14:paraId="4EDDCB02" w14:textId="77777777" w:rsidR="00520F36" w:rsidRPr="00EF75A2" w:rsidRDefault="00520F36" w:rsidP="00DF74DD">
            <w:pPr>
              <w:spacing w:before="0"/>
              <w:rPr>
                <w:smallCaps/>
                <w:sz w:val="22"/>
              </w:rPr>
            </w:pPr>
          </w:p>
        </w:tc>
        <w:tc>
          <w:tcPr>
            <w:tcW w:w="3261" w:type="dxa"/>
            <w:tcBorders>
              <w:top w:val="single" w:sz="12" w:space="0" w:color="auto"/>
            </w:tcBorders>
          </w:tcPr>
          <w:p w14:paraId="2DC1F5E7" w14:textId="77777777" w:rsidR="00520F36" w:rsidRPr="00EF75A2" w:rsidRDefault="00520F36" w:rsidP="00DF74DD">
            <w:pPr>
              <w:spacing w:before="0"/>
              <w:rPr>
                <w:b/>
                <w:bCs/>
              </w:rPr>
            </w:pPr>
          </w:p>
        </w:tc>
      </w:tr>
      <w:tr w:rsidR="00520F36" w:rsidRPr="00EF75A2" w14:paraId="369577AB" w14:textId="77777777">
        <w:trPr>
          <w:cantSplit/>
          <w:trHeight w:val="20"/>
        </w:trPr>
        <w:tc>
          <w:tcPr>
            <w:tcW w:w="6912" w:type="dxa"/>
            <w:vMerge w:val="restart"/>
          </w:tcPr>
          <w:p w14:paraId="6DB304E2" w14:textId="067A4E37" w:rsidR="00520F36" w:rsidRPr="00EF75A2" w:rsidRDefault="00EF75A2" w:rsidP="00DF74DD">
            <w:pPr>
              <w:spacing w:before="0"/>
              <w:rPr>
                <w:rFonts w:cs="Times"/>
                <w:b/>
                <w:bCs/>
                <w:szCs w:val="24"/>
              </w:rPr>
            </w:pPr>
            <w:bookmarkStart w:id="2" w:name="dnum" w:colFirst="1" w:colLast="1"/>
            <w:bookmarkStart w:id="3" w:name="dmeeting" w:colFirst="0" w:colLast="0"/>
            <w:r w:rsidRPr="00EF75A2">
              <w:rPr>
                <w:rFonts w:cs="Times"/>
                <w:b/>
                <w:bCs/>
                <w:szCs w:val="24"/>
              </w:rPr>
              <w:t>Point de l</w:t>
            </w:r>
            <w:r w:rsidR="006F32CA">
              <w:rPr>
                <w:rFonts w:cs="Times"/>
                <w:b/>
                <w:bCs/>
                <w:szCs w:val="24"/>
              </w:rPr>
              <w:t>'</w:t>
            </w:r>
            <w:r w:rsidRPr="00EF75A2">
              <w:rPr>
                <w:rFonts w:cs="Times"/>
                <w:b/>
                <w:bCs/>
                <w:szCs w:val="24"/>
              </w:rPr>
              <w:t>ordre du jour: ADM 2</w:t>
            </w:r>
          </w:p>
        </w:tc>
        <w:tc>
          <w:tcPr>
            <w:tcW w:w="3261" w:type="dxa"/>
          </w:tcPr>
          <w:p w14:paraId="07CF4BA4" w14:textId="30476D6C" w:rsidR="00520F36" w:rsidRPr="00EF75A2" w:rsidRDefault="00520F36" w:rsidP="00106B19">
            <w:pPr>
              <w:spacing w:before="0"/>
              <w:rPr>
                <w:b/>
                <w:bCs/>
              </w:rPr>
            </w:pPr>
            <w:r w:rsidRPr="00EF75A2">
              <w:rPr>
                <w:b/>
                <w:bCs/>
              </w:rPr>
              <w:t>Document C</w:t>
            </w:r>
            <w:r w:rsidR="009C353C" w:rsidRPr="00EF75A2">
              <w:rPr>
                <w:b/>
                <w:bCs/>
              </w:rPr>
              <w:t>2</w:t>
            </w:r>
            <w:r w:rsidR="004D1D50" w:rsidRPr="00EF75A2">
              <w:rPr>
                <w:b/>
                <w:bCs/>
              </w:rPr>
              <w:t>1</w:t>
            </w:r>
            <w:r w:rsidRPr="00EF75A2">
              <w:rPr>
                <w:b/>
                <w:bCs/>
              </w:rPr>
              <w:t>/</w:t>
            </w:r>
            <w:r w:rsidR="00EF75A2" w:rsidRPr="00EF75A2">
              <w:rPr>
                <w:b/>
                <w:bCs/>
              </w:rPr>
              <w:t>16</w:t>
            </w:r>
            <w:r w:rsidRPr="00EF75A2">
              <w:rPr>
                <w:b/>
                <w:bCs/>
              </w:rPr>
              <w:t>-F</w:t>
            </w:r>
          </w:p>
        </w:tc>
      </w:tr>
      <w:tr w:rsidR="00520F36" w:rsidRPr="00EF75A2" w14:paraId="6421A2F1" w14:textId="77777777">
        <w:trPr>
          <w:cantSplit/>
          <w:trHeight w:val="20"/>
        </w:trPr>
        <w:tc>
          <w:tcPr>
            <w:tcW w:w="6912" w:type="dxa"/>
            <w:vMerge/>
          </w:tcPr>
          <w:p w14:paraId="1F1CB197" w14:textId="77777777" w:rsidR="00520F36" w:rsidRPr="00EF75A2" w:rsidRDefault="00520F36" w:rsidP="00DF74DD">
            <w:pPr>
              <w:shd w:val="solid" w:color="FFFFFF" w:fill="FFFFFF"/>
              <w:spacing w:before="180"/>
              <w:rPr>
                <w:smallCaps/>
              </w:rPr>
            </w:pPr>
            <w:bookmarkStart w:id="4" w:name="ddate" w:colFirst="1" w:colLast="1"/>
            <w:bookmarkEnd w:id="2"/>
            <w:bookmarkEnd w:id="3"/>
          </w:p>
        </w:tc>
        <w:tc>
          <w:tcPr>
            <w:tcW w:w="3261" w:type="dxa"/>
          </w:tcPr>
          <w:p w14:paraId="2AD5B8DC" w14:textId="1FACC86A" w:rsidR="00520F36" w:rsidRPr="00EF75A2" w:rsidRDefault="00EF75A2" w:rsidP="00106B19">
            <w:pPr>
              <w:spacing w:before="0"/>
              <w:rPr>
                <w:b/>
                <w:bCs/>
              </w:rPr>
            </w:pPr>
            <w:r w:rsidRPr="00EF75A2">
              <w:rPr>
                <w:b/>
                <w:bCs/>
              </w:rPr>
              <w:t>22</w:t>
            </w:r>
            <w:r w:rsidR="001A6508" w:rsidRPr="00EF75A2">
              <w:rPr>
                <w:b/>
                <w:bCs/>
              </w:rPr>
              <w:t xml:space="preserve"> </w:t>
            </w:r>
            <w:r w:rsidRPr="00EF75A2">
              <w:rPr>
                <w:b/>
                <w:bCs/>
              </w:rPr>
              <w:t>avril</w:t>
            </w:r>
            <w:r w:rsidR="00520F36" w:rsidRPr="00EF75A2">
              <w:rPr>
                <w:b/>
                <w:bCs/>
              </w:rPr>
              <w:t xml:space="preserve"> 20</w:t>
            </w:r>
            <w:r w:rsidR="009C353C" w:rsidRPr="00EF75A2">
              <w:rPr>
                <w:b/>
                <w:bCs/>
              </w:rPr>
              <w:t>2</w:t>
            </w:r>
            <w:r w:rsidR="0097363B" w:rsidRPr="00EF75A2">
              <w:rPr>
                <w:b/>
                <w:bCs/>
              </w:rPr>
              <w:t>1</w:t>
            </w:r>
          </w:p>
        </w:tc>
      </w:tr>
      <w:tr w:rsidR="00520F36" w:rsidRPr="00EF75A2" w14:paraId="7B0E621B" w14:textId="77777777">
        <w:trPr>
          <w:cantSplit/>
          <w:trHeight w:val="20"/>
        </w:trPr>
        <w:tc>
          <w:tcPr>
            <w:tcW w:w="6912" w:type="dxa"/>
            <w:vMerge/>
          </w:tcPr>
          <w:p w14:paraId="7974DB47" w14:textId="77777777" w:rsidR="00520F36" w:rsidRPr="00EF75A2" w:rsidRDefault="00520F36" w:rsidP="00DF74DD">
            <w:pPr>
              <w:shd w:val="solid" w:color="FFFFFF" w:fill="FFFFFF"/>
              <w:spacing w:before="180"/>
              <w:rPr>
                <w:smallCaps/>
              </w:rPr>
            </w:pPr>
            <w:bookmarkStart w:id="5" w:name="dorlang" w:colFirst="1" w:colLast="1"/>
            <w:bookmarkEnd w:id="4"/>
          </w:p>
        </w:tc>
        <w:tc>
          <w:tcPr>
            <w:tcW w:w="3261" w:type="dxa"/>
          </w:tcPr>
          <w:p w14:paraId="130D29EF" w14:textId="77777777" w:rsidR="00520F36" w:rsidRPr="00EF75A2" w:rsidRDefault="00520F36" w:rsidP="00520F36">
            <w:pPr>
              <w:spacing w:before="0"/>
              <w:rPr>
                <w:b/>
                <w:bCs/>
              </w:rPr>
            </w:pPr>
            <w:r w:rsidRPr="00EF75A2">
              <w:rPr>
                <w:b/>
                <w:bCs/>
              </w:rPr>
              <w:t>Original: anglais</w:t>
            </w:r>
          </w:p>
        </w:tc>
      </w:tr>
      <w:tr w:rsidR="00520F36" w:rsidRPr="00EF75A2" w14:paraId="4EEE5DFA" w14:textId="77777777">
        <w:trPr>
          <w:cantSplit/>
        </w:trPr>
        <w:tc>
          <w:tcPr>
            <w:tcW w:w="10173" w:type="dxa"/>
            <w:gridSpan w:val="2"/>
          </w:tcPr>
          <w:p w14:paraId="71D68D0F" w14:textId="22F952D9" w:rsidR="00520F36" w:rsidRPr="00EF75A2" w:rsidRDefault="00EF75A2" w:rsidP="00DF74DD">
            <w:pPr>
              <w:pStyle w:val="Source"/>
            </w:pPr>
            <w:bookmarkStart w:id="6" w:name="dsource" w:colFirst="0" w:colLast="0"/>
            <w:bookmarkEnd w:id="5"/>
            <w:r w:rsidRPr="00EF75A2">
              <w:t>Rapport du Secrétaire général</w:t>
            </w:r>
          </w:p>
        </w:tc>
      </w:tr>
      <w:tr w:rsidR="00520F36" w:rsidRPr="00EF75A2" w14:paraId="4BD531CA" w14:textId="77777777">
        <w:trPr>
          <w:cantSplit/>
        </w:trPr>
        <w:tc>
          <w:tcPr>
            <w:tcW w:w="10173" w:type="dxa"/>
            <w:gridSpan w:val="2"/>
          </w:tcPr>
          <w:p w14:paraId="29981E75" w14:textId="74D6953B" w:rsidR="00520F36" w:rsidRPr="00EF75A2" w:rsidRDefault="00EF75A2" w:rsidP="00DF74DD">
            <w:pPr>
              <w:pStyle w:val="Title1"/>
            </w:pPr>
            <w:bookmarkStart w:id="7" w:name="dtitle1" w:colFirst="0" w:colLast="0"/>
            <w:bookmarkEnd w:id="6"/>
            <w:r w:rsidRPr="00EF75A2">
              <w:t>RECOUVREMENT DES COÛTS POUR LE TRAITEMENT DES FICHES</w:t>
            </w:r>
            <w:r w:rsidRPr="00EF75A2">
              <w:br/>
              <w:t>DE NOTIFICATION DES RÉSEAUX À SATELLITE</w:t>
            </w:r>
          </w:p>
        </w:tc>
      </w:tr>
      <w:bookmarkEnd w:id="7"/>
    </w:tbl>
    <w:p w14:paraId="4CE3F091" w14:textId="77777777" w:rsidR="00520F36" w:rsidRPr="00EF75A2" w:rsidRDefault="00520F36"/>
    <w:tbl>
      <w:tblPr>
        <w:tblW w:w="8080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80"/>
      </w:tblGrid>
      <w:tr w:rsidR="00520F36" w:rsidRPr="00EF75A2" w14:paraId="2FA9D815" w14:textId="77777777">
        <w:trPr>
          <w:trHeight w:val="3372"/>
        </w:trPr>
        <w:tc>
          <w:tcPr>
            <w:tcW w:w="8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90D0E0" w14:textId="77777777" w:rsidR="00520F36" w:rsidRPr="00EF75A2" w:rsidRDefault="00520F36">
            <w:pPr>
              <w:pStyle w:val="Headingb"/>
            </w:pPr>
            <w:r w:rsidRPr="00EF75A2">
              <w:t>Résumé</w:t>
            </w:r>
          </w:p>
          <w:p w14:paraId="22F6D9CE" w14:textId="21314446" w:rsidR="00EF75A2" w:rsidRPr="00EF75A2" w:rsidRDefault="00EF75A2" w:rsidP="00EF75A2">
            <w:r w:rsidRPr="00EF75A2">
              <w:t>Le présent document est un rapport d</w:t>
            </w:r>
            <w:r w:rsidR="006F32CA">
              <w:t>'</w:t>
            </w:r>
            <w:r w:rsidRPr="00EF75A2">
              <w:t>activité sur la mise en œuvre du recouvrement des coûts pour le traitement des fiches de notification des réseaux à satellite (Décision 482 (modifiée en 2020))</w:t>
            </w:r>
            <w:r>
              <w:t xml:space="preserve"> </w:t>
            </w:r>
          </w:p>
          <w:p w14:paraId="51AA1849" w14:textId="0FFA3A4F" w:rsidR="00520F36" w:rsidRPr="00EF75A2" w:rsidRDefault="00EF75A2" w:rsidP="00EF75A2">
            <w:r w:rsidRPr="00EF75A2">
              <w:t>La version de 2020 de ce rapport (C20/16) a été présentée à la première</w:t>
            </w:r>
            <w:r>
              <w:t xml:space="preserve"> </w:t>
            </w:r>
            <w:r w:rsidRPr="00EF75A2">
              <w:t>consultation virtuelle des Conseillers (CVC-1), qui a proposé à la prochaine réunion physique du Conseil d</w:t>
            </w:r>
            <w:r w:rsidR="006F32CA">
              <w:t>'</w:t>
            </w:r>
            <w:r w:rsidRPr="00EF75A2">
              <w:t>en prendre note.</w:t>
            </w:r>
          </w:p>
          <w:p w14:paraId="05728C7A" w14:textId="77777777" w:rsidR="00520F36" w:rsidRPr="00EF75A2" w:rsidRDefault="00520F36">
            <w:pPr>
              <w:pStyle w:val="Headingb"/>
            </w:pPr>
            <w:r w:rsidRPr="00EF75A2">
              <w:t>Suite à donner</w:t>
            </w:r>
          </w:p>
          <w:p w14:paraId="1683E3A3" w14:textId="78550EF4" w:rsidR="00520F36" w:rsidRPr="00EF75A2" w:rsidRDefault="00EF75A2">
            <w:r w:rsidRPr="00EF75A2">
              <w:t xml:space="preserve">Le Conseil est invité à </w:t>
            </w:r>
            <w:r w:rsidRPr="00EF75A2">
              <w:rPr>
                <w:b/>
                <w:bCs/>
              </w:rPr>
              <w:t>prendre note</w:t>
            </w:r>
            <w:r w:rsidRPr="00EF75A2">
              <w:t xml:space="preserve"> du rapport et</w:t>
            </w:r>
            <w:r>
              <w:t xml:space="preserve"> </w:t>
            </w:r>
            <w:r w:rsidRPr="00EF75A2">
              <w:t>du</w:t>
            </w:r>
            <w:r>
              <w:t xml:space="preserve"> </w:t>
            </w:r>
            <w:r w:rsidR="00DF57CA">
              <w:t>D</w:t>
            </w:r>
            <w:r w:rsidRPr="00EF75A2">
              <w:t xml:space="preserve">ocument </w:t>
            </w:r>
            <w:hyperlink r:id="rId8" w:history="1">
              <w:r w:rsidRPr="00EF75A2">
                <w:rPr>
                  <w:rStyle w:val="Hyperlink"/>
                  <w:szCs w:val="24"/>
                </w:rPr>
                <w:t>C20/16</w:t>
              </w:r>
            </w:hyperlink>
            <w:r w:rsidRPr="00EF75A2">
              <w:rPr>
                <w:szCs w:val="24"/>
              </w:rPr>
              <w:t>.</w:t>
            </w:r>
          </w:p>
          <w:p w14:paraId="5CC0AA59" w14:textId="77777777" w:rsidR="00520F36" w:rsidRPr="00EF75A2" w:rsidRDefault="00520F36">
            <w:pPr>
              <w:pStyle w:val="Table"/>
              <w:keepNext w:val="0"/>
              <w:spacing w:before="0" w:after="0"/>
              <w:rPr>
                <w:rFonts w:ascii="Calibri" w:hAnsi="Calibri"/>
                <w:caps w:val="0"/>
                <w:sz w:val="22"/>
                <w:lang w:val="fr-FR"/>
              </w:rPr>
            </w:pPr>
            <w:r w:rsidRPr="00EF75A2">
              <w:rPr>
                <w:rFonts w:ascii="Calibri" w:hAnsi="Calibri"/>
                <w:caps w:val="0"/>
                <w:sz w:val="22"/>
                <w:lang w:val="fr-FR"/>
              </w:rPr>
              <w:t>____________</w:t>
            </w:r>
          </w:p>
          <w:p w14:paraId="6653F2C5" w14:textId="77777777" w:rsidR="00520F36" w:rsidRPr="00EF75A2" w:rsidRDefault="00520F36">
            <w:pPr>
              <w:pStyle w:val="Headingb"/>
            </w:pPr>
            <w:r w:rsidRPr="00EF75A2">
              <w:t>Références</w:t>
            </w:r>
          </w:p>
          <w:p w14:paraId="248F7C8C" w14:textId="24B180D0" w:rsidR="00520F36" w:rsidRPr="00EF75A2" w:rsidRDefault="008C1058" w:rsidP="00EF75A2">
            <w:pPr>
              <w:spacing w:after="120"/>
              <w:rPr>
                <w:i/>
                <w:iCs/>
              </w:rPr>
            </w:pPr>
            <w:hyperlink r:id="rId9" w:history="1">
              <w:r w:rsidR="00EF75A2" w:rsidRPr="00EF75A2">
                <w:rPr>
                  <w:rStyle w:val="Hyperlink"/>
                  <w:i/>
                  <w:iCs/>
                </w:rPr>
                <w:t>Résolution 91 (Rév. Guadalajara, 2010) de la Conférence de plénipotentiaires</w:t>
              </w:r>
            </w:hyperlink>
            <w:r w:rsidR="00EF75A2" w:rsidRPr="00EF75A2">
              <w:rPr>
                <w:i/>
                <w:iCs/>
              </w:rPr>
              <w:t>;</w:t>
            </w:r>
            <w:r w:rsidR="00EF75A2">
              <w:rPr>
                <w:i/>
                <w:iCs/>
              </w:rPr>
              <w:t xml:space="preserve"> </w:t>
            </w:r>
            <w:hyperlink r:id="rId10" w:history="1">
              <w:r w:rsidR="00EF75A2" w:rsidRPr="00EF75A2">
                <w:rPr>
                  <w:rStyle w:val="Hyperlink"/>
                  <w:i/>
                  <w:iCs/>
                </w:rPr>
                <w:t>Décision 482 du Conseil (modifiée en 2020)</w:t>
              </w:r>
            </w:hyperlink>
            <w:r w:rsidR="00EF75A2" w:rsidRPr="00EF75A2">
              <w:rPr>
                <w:i/>
                <w:iCs/>
              </w:rPr>
              <w:t xml:space="preserve">; Documents </w:t>
            </w:r>
            <w:hyperlink r:id="rId11" w:history="1">
              <w:hyperlink r:id="rId12" w:history="1">
                <w:r w:rsidR="00EF75A2" w:rsidRPr="00EF75A2">
                  <w:rPr>
                    <w:rStyle w:val="Hyperlink"/>
                    <w:i/>
                    <w:iCs/>
                  </w:rPr>
                  <w:t>C20/11</w:t>
                </w:r>
              </w:hyperlink>
              <w:r w:rsidR="00EF75A2" w:rsidRPr="00EF75A2">
                <w:t xml:space="preserve">, </w:t>
              </w:r>
              <w:hyperlink r:id="rId13" w:history="1">
                <w:r w:rsidR="00EF75A2" w:rsidRPr="00EF75A2">
                  <w:rPr>
                    <w:rStyle w:val="Hyperlink"/>
                    <w:i/>
                    <w:iCs/>
                  </w:rPr>
                  <w:t>C20/16</w:t>
                </w:r>
              </w:hyperlink>
              <w:r w:rsidR="00EF75A2" w:rsidRPr="00EF75A2">
                <w:t xml:space="preserve">, </w:t>
              </w:r>
              <w:hyperlink r:id="rId14" w:history="1">
                <w:r w:rsidR="00EF75A2" w:rsidRPr="00EF75A2">
                  <w:rPr>
                    <w:rStyle w:val="Hyperlink"/>
                    <w:i/>
                    <w:iCs/>
                  </w:rPr>
                  <w:t>C20/DT/2</w:t>
                </w:r>
              </w:hyperlink>
              <w:r w:rsidR="00EF75A2" w:rsidRPr="00EF75A2">
                <w:t xml:space="preserve">, </w:t>
              </w:r>
              <w:hyperlink r:id="rId15" w:history="1">
                <w:r w:rsidR="00EF75A2" w:rsidRPr="00EF75A2">
                  <w:rPr>
                    <w:rStyle w:val="Hyperlink"/>
                    <w:i/>
                    <w:iCs/>
                  </w:rPr>
                  <w:t>DM-20/1009</w:t>
                </w:r>
              </w:hyperlink>
              <w:r w:rsidR="00EF75A2" w:rsidRPr="00EF75A2">
                <w:t xml:space="preserve">, </w:t>
              </w:r>
              <w:hyperlink r:id="rId16" w:history="1">
                <w:r w:rsidR="00EF75A2" w:rsidRPr="00EF75A2">
                  <w:rPr>
                    <w:rStyle w:val="Hyperlink"/>
                    <w:i/>
                    <w:iCs/>
                  </w:rPr>
                  <w:t>DM-20/1011</w:t>
                </w:r>
              </w:hyperlink>
              <w:r w:rsidR="00EF75A2" w:rsidRPr="00EF75A2">
                <w:t xml:space="preserve">, </w:t>
              </w:r>
              <w:hyperlink r:id="rId17" w:history="1">
                <w:r w:rsidR="00EF75A2" w:rsidRPr="00EF75A2">
                  <w:rPr>
                    <w:rStyle w:val="Hyperlink"/>
                    <w:i/>
                    <w:iCs/>
                  </w:rPr>
                  <w:t>C2</w:t>
                </w:r>
                <w:r w:rsidR="00EF75A2" w:rsidRPr="00EF75A2">
                  <w:rPr>
                    <w:rStyle w:val="Hyperlink"/>
                    <w:i/>
                    <w:iCs/>
                  </w:rPr>
                  <w:t>1</w:t>
                </w:r>
                <w:r w:rsidR="00EF75A2" w:rsidRPr="00EF75A2">
                  <w:rPr>
                    <w:rStyle w:val="Hyperlink"/>
                    <w:i/>
                    <w:iCs/>
                  </w:rPr>
                  <w:t>/11</w:t>
                </w:r>
              </w:hyperlink>
            </w:hyperlink>
          </w:p>
        </w:tc>
      </w:tr>
    </w:tbl>
    <w:p w14:paraId="21D37393" w14:textId="4108A46C" w:rsidR="00897553" w:rsidRDefault="00EF75A2" w:rsidP="00F905B2">
      <w:pPr>
        <w:spacing w:before="240"/>
      </w:pPr>
      <w:r w:rsidRPr="00EF75A2">
        <w:t>1</w:t>
      </w:r>
      <w:r w:rsidRPr="00EF75A2">
        <w:tab/>
        <w:t>À ses sessions de 2018 et 2019, le Conseil a révisé la Décision 482, afin de traiter plusieurs questions relatives aux systèmes à satellites non géostationnaires. En juin 2020, il a été conclu lors de la consultation virtuelle des Conseillers</w:t>
      </w:r>
      <w:r>
        <w:t xml:space="preserve"> </w:t>
      </w:r>
      <w:r w:rsidRPr="00EF75A2">
        <w:t>qu</w:t>
      </w:r>
      <w:r w:rsidR="006F32CA">
        <w:t>'</w:t>
      </w:r>
      <w:r w:rsidRPr="00EF75A2">
        <w:t>il convenait d</w:t>
      </w:r>
      <w:r w:rsidR="006F32CA">
        <w:t>'</w:t>
      </w:r>
      <w:r w:rsidRPr="00EF75A2">
        <w:t>organiser une consultation par correspondance des États Membres du Conseil concernant l</w:t>
      </w:r>
      <w:r w:rsidR="006F32CA">
        <w:t>'</w:t>
      </w:r>
      <w:r w:rsidRPr="00EF75A2">
        <w:t>ap</w:t>
      </w:r>
      <w:r w:rsidR="00F905B2">
        <w:t>probation du projet de Décision </w:t>
      </w:r>
      <w:r w:rsidRPr="00EF75A2">
        <w:t>482 révisée, qui contient des modifications</w:t>
      </w:r>
      <w:r>
        <w:t xml:space="preserve"> </w:t>
      </w:r>
      <w:r w:rsidRPr="00EF75A2">
        <w:t>découlant des décisions prises par la CMR-19 ou qu</w:t>
      </w:r>
      <w:r w:rsidR="006F32CA">
        <w:t>'</w:t>
      </w:r>
      <w:r w:rsidRPr="00EF75A2">
        <w:t>il</w:t>
      </w:r>
      <w:r>
        <w:t xml:space="preserve"> </w:t>
      </w:r>
      <w:r w:rsidRPr="00EF75A2">
        <w:t>a été nécessaire d</w:t>
      </w:r>
      <w:r w:rsidR="006F32CA">
        <w:t>'</w:t>
      </w:r>
      <w:r w:rsidRPr="00EF75A2">
        <w:t>apporter pour traiter un cas particulier concernant des fiches de notification de réseaux à satellite qui n</w:t>
      </w:r>
      <w:r w:rsidR="006F32CA">
        <w:t>'</w:t>
      </w:r>
      <w:r w:rsidRPr="00EF75A2">
        <w:t>est actuellement pas pris en compte dans la Décision en question.</w:t>
      </w:r>
      <w:r w:rsidR="00A11A04">
        <w:t xml:space="preserve"> </w:t>
      </w:r>
      <w:r w:rsidRPr="00EF75A2">
        <w:t>La consultation des États Membres du Conseil s</w:t>
      </w:r>
      <w:r w:rsidR="006F32CA">
        <w:t>'</w:t>
      </w:r>
      <w:r w:rsidRPr="00EF75A2">
        <w:t xml:space="preserve">est déroulée du 26 juin au 31 juillet 2020 (voir la Circulaire </w:t>
      </w:r>
      <w:hyperlink r:id="rId18" w:history="1">
        <w:r w:rsidRPr="00EF75A2">
          <w:rPr>
            <w:rStyle w:val="Hyperlink"/>
          </w:rPr>
          <w:t>DM-20/1009</w:t>
        </w:r>
      </w:hyperlink>
      <w:r w:rsidRPr="00EF75A2">
        <w:t>). À l</w:t>
      </w:r>
      <w:r w:rsidR="006F32CA">
        <w:t>'</w:t>
      </w:r>
      <w:r w:rsidRPr="00EF75A2">
        <w:t>issue de cette consultation, l</w:t>
      </w:r>
      <w:r w:rsidR="00F905B2">
        <w:t>es États Membres du Conseil ont </w:t>
      </w:r>
      <w:r w:rsidRPr="00EF75A2">
        <w:t>approuvé la Décision 482 modifiée , telle qu</w:t>
      </w:r>
      <w:r w:rsidR="006F32CA">
        <w:t>'</w:t>
      </w:r>
      <w:r w:rsidRPr="00EF75A2">
        <w:t>elle figure dans l</w:t>
      </w:r>
      <w:r w:rsidR="006F32CA">
        <w:t>'</w:t>
      </w:r>
      <w:r w:rsidRPr="00EF75A2">
        <w:t>Annexe 4 de la Circulaire</w:t>
      </w:r>
      <w:r w:rsidR="00F905B2">
        <w:t> </w:t>
      </w:r>
      <w:hyperlink r:id="rId19" w:history="1">
        <w:r w:rsidRPr="00EF75A2">
          <w:rPr>
            <w:rStyle w:val="Hyperlink"/>
          </w:rPr>
          <w:t>DM</w:t>
        </w:r>
        <w:r w:rsidRPr="00EF75A2">
          <w:rPr>
            <w:rStyle w:val="Hyperlink"/>
          </w:rPr>
          <w:noBreakHyphen/>
          <w:t>20/1011</w:t>
        </w:r>
      </w:hyperlink>
      <w:r w:rsidRPr="00EF75A2">
        <w:t xml:space="preserve"> en date du 3 août 2020.</w:t>
      </w:r>
      <w:r>
        <w:t xml:space="preserve"> </w:t>
      </w:r>
      <w:r w:rsidRPr="00EF75A2">
        <w:t>La Décision 482 (modifiée</w:t>
      </w:r>
      <w:r>
        <w:t xml:space="preserve"> </w:t>
      </w:r>
      <w:r w:rsidRPr="00EF75A2">
        <w:t>en 2020)</w:t>
      </w:r>
      <w:r>
        <w:t xml:space="preserve"> </w:t>
      </w:r>
      <w:r w:rsidRPr="00EF75A2">
        <w:t>est entrée en vigueur le 1er septembre 2020.</w:t>
      </w:r>
    </w:p>
    <w:p w14:paraId="40E4311B" w14:textId="66952886" w:rsidR="00EF75A2" w:rsidRPr="001A1C28" w:rsidRDefault="00EF75A2" w:rsidP="00EF75A2">
      <w:pPr>
        <w:pStyle w:val="Headingb"/>
      </w:pPr>
      <w:r w:rsidRPr="001A1C28">
        <w:lastRenderedPageBreak/>
        <w:t>Rapport sur la mise en œuvre de la Décision 482 en 2019</w:t>
      </w:r>
      <w:r>
        <w:t xml:space="preserve"> et 2020</w:t>
      </w:r>
    </w:p>
    <w:p w14:paraId="0D3CA444" w14:textId="47998A96" w:rsidR="00EF75A2" w:rsidRPr="001A1C28" w:rsidRDefault="00EF75A2" w:rsidP="00EF75A2">
      <w:pPr>
        <w:spacing w:after="120"/>
      </w:pPr>
      <w:r w:rsidRPr="001A1C28">
        <w:t>2</w:t>
      </w:r>
      <w:r w:rsidRPr="001A1C28">
        <w:tab/>
        <w:t>Le Tableau 1 ci-après donne des renseignements concernant l</w:t>
      </w:r>
      <w:r w:rsidR="006F32CA">
        <w:t>'</w:t>
      </w:r>
      <w:r w:rsidRPr="001A1C28">
        <w:t>application de la Décision 482 pour</w:t>
      </w:r>
      <w:r>
        <w:t xml:space="preserve"> </w:t>
      </w:r>
      <w:r w:rsidRPr="001A1C28">
        <w:t>2019</w:t>
      </w:r>
      <w:r>
        <w:t xml:space="preserve"> et 2020</w:t>
      </w:r>
      <w:r w:rsidRPr="001A1C28">
        <w:t>, en particulier le pourcentage de factures établies en</w:t>
      </w:r>
      <w:r>
        <w:t xml:space="preserve"> </w:t>
      </w:r>
      <w:r w:rsidRPr="001A1C28">
        <w:t>2019</w:t>
      </w:r>
      <w:r>
        <w:t>/2020</w:t>
      </w:r>
      <w:r w:rsidRPr="001A1C28">
        <w:t xml:space="preserve"> qui ont été acquittées en temps voulu.</w:t>
      </w:r>
    </w:p>
    <w:p w14:paraId="5D6BF433" w14:textId="269A79E6" w:rsidR="00EF75A2" w:rsidRPr="00EF75A2" w:rsidRDefault="00EF75A2" w:rsidP="00F905B2">
      <w:pPr>
        <w:pStyle w:val="Tabletitle"/>
        <w:spacing w:before="240" w:after="240"/>
      </w:pPr>
      <w:r w:rsidRPr="001A1C28">
        <w:t>Tableau 1 – Situation en ce qui concerne la mise en œuvre de la Décision 482 pour</w:t>
      </w:r>
      <w:r>
        <w:t xml:space="preserve"> </w:t>
      </w:r>
      <w:r w:rsidRPr="001A1C28">
        <w:t>2019</w:t>
      </w:r>
      <w:r>
        <w:t>-2020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80"/>
        <w:gridCol w:w="900"/>
        <w:gridCol w:w="2160"/>
        <w:gridCol w:w="1980"/>
      </w:tblGrid>
      <w:tr w:rsidR="00EF75A2" w:rsidRPr="001A1C28" w14:paraId="484A5DDD" w14:textId="77777777" w:rsidTr="00306042">
        <w:trPr>
          <w:jc w:val="center"/>
        </w:trPr>
        <w:tc>
          <w:tcPr>
            <w:tcW w:w="2880" w:type="dxa"/>
          </w:tcPr>
          <w:p w14:paraId="118441EA" w14:textId="77777777" w:rsidR="00EF75A2" w:rsidRPr="001A1C28" w:rsidRDefault="00EF75A2" w:rsidP="00306042">
            <w:pPr>
              <w:pStyle w:val="Tablehead"/>
            </w:pPr>
          </w:p>
        </w:tc>
        <w:tc>
          <w:tcPr>
            <w:tcW w:w="900" w:type="dxa"/>
          </w:tcPr>
          <w:p w14:paraId="19E16B60" w14:textId="77777777" w:rsidR="00EF75A2" w:rsidRPr="001A1C28" w:rsidRDefault="00EF75A2" w:rsidP="00306042">
            <w:pPr>
              <w:pStyle w:val="Tablehead"/>
            </w:pPr>
          </w:p>
        </w:tc>
        <w:tc>
          <w:tcPr>
            <w:tcW w:w="2160" w:type="dxa"/>
          </w:tcPr>
          <w:p w14:paraId="77E112A5" w14:textId="77777777" w:rsidR="00EF75A2" w:rsidRPr="001A1C28" w:rsidRDefault="00EF75A2" w:rsidP="00306042">
            <w:pPr>
              <w:pStyle w:val="Tablehead"/>
            </w:pPr>
            <w:r w:rsidRPr="001A1C28">
              <w:t>201</w:t>
            </w:r>
            <w:r>
              <w:t>9</w:t>
            </w:r>
          </w:p>
        </w:tc>
        <w:tc>
          <w:tcPr>
            <w:tcW w:w="1980" w:type="dxa"/>
          </w:tcPr>
          <w:p w14:paraId="10953CCE" w14:textId="77777777" w:rsidR="00EF75A2" w:rsidRPr="001A1C28" w:rsidRDefault="00EF75A2" w:rsidP="00306042">
            <w:pPr>
              <w:pStyle w:val="Tablehead"/>
            </w:pPr>
            <w:r w:rsidRPr="001A1C28">
              <w:t>20</w:t>
            </w:r>
            <w:r>
              <w:t>20</w:t>
            </w:r>
          </w:p>
        </w:tc>
      </w:tr>
      <w:tr w:rsidR="00EF75A2" w:rsidRPr="001A1C28" w14:paraId="1F7273A1" w14:textId="77777777" w:rsidTr="00306042">
        <w:trPr>
          <w:jc w:val="center"/>
        </w:trPr>
        <w:tc>
          <w:tcPr>
            <w:tcW w:w="2880" w:type="dxa"/>
            <w:vAlign w:val="center"/>
          </w:tcPr>
          <w:p w14:paraId="67FFB582" w14:textId="77777777" w:rsidR="00EF75A2" w:rsidRPr="001A1C28" w:rsidRDefault="00EF75A2" w:rsidP="00306042">
            <w:pPr>
              <w:pStyle w:val="Tabletext"/>
            </w:pPr>
            <w:r w:rsidRPr="001A1C28">
              <w:t>Total des factures établies*</w:t>
            </w:r>
            <w:r w:rsidRPr="001A1C28">
              <w:br/>
              <w:t>(y compris les franchises)</w:t>
            </w:r>
          </w:p>
        </w:tc>
        <w:tc>
          <w:tcPr>
            <w:tcW w:w="900" w:type="dxa"/>
            <w:vAlign w:val="center"/>
          </w:tcPr>
          <w:p w14:paraId="57E32E57" w14:textId="77777777" w:rsidR="00EF75A2" w:rsidRPr="001A1C28" w:rsidRDefault="00EF75A2" w:rsidP="00306042">
            <w:pPr>
              <w:pStyle w:val="Tabletext"/>
              <w:jc w:val="center"/>
            </w:pPr>
            <w:r w:rsidRPr="001A1C28">
              <w:t>CHF</w:t>
            </w:r>
          </w:p>
        </w:tc>
        <w:tc>
          <w:tcPr>
            <w:tcW w:w="2160" w:type="dxa"/>
          </w:tcPr>
          <w:p w14:paraId="4175B1F2" w14:textId="12C52FC7" w:rsidR="00EF75A2" w:rsidRPr="00A11A04" w:rsidRDefault="00EF75A2" w:rsidP="00A11A04">
            <w:pPr>
              <w:pStyle w:val="Tabletext"/>
              <w:jc w:val="center"/>
              <w:rPr>
                <w:szCs w:val="22"/>
                <w:lang w:val="en-US"/>
              </w:rPr>
            </w:pPr>
            <w:r w:rsidRPr="00A11A04">
              <w:rPr>
                <w:szCs w:val="22"/>
                <w:lang w:val="en-US"/>
              </w:rPr>
              <w:t>13 270 978</w:t>
            </w:r>
          </w:p>
        </w:tc>
        <w:tc>
          <w:tcPr>
            <w:tcW w:w="1980" w:type="dxa"/>
          </w:tcPr>
          <w:p w14:paraId="5B3871CC" w14:textId="75E43A4B" w:rsidR="00EF75A2" w:rsidRPr="00A11A04" w:rsidRDefault="00EF75A2" w:rsidP="00A11A04">
            <w:pPr>
              <w:pStyle w:val="Tabletext"/>
              <w:jc w:val="center"/>
              <w:rPr>
                <w:szCs w:val="22"/>
                <w:lang w:val="en-US"/>
              </w:rPr>
            </w:pPr>
            <w:r w:rsidRPr="00A11A04">
              <w:rPr>
                <w:szCs w:val="22"/>
                <w:lang w:val="en-US"/>
              </w:rPr>
              <w:t>16</w:t>
            </w:r>
            <w:r w:rsidR="00C1283D" w:rsidRPr="00A11A04">
              <w:rPr>
                <w:szCs w:val="22"/>
                <w:lang w:val="en-US"/>
              </w:rPr>
              <w:t xml:space="preserve"> </w:t>
            </w:r>
            <w:r w:rsidRPr="00A11A04">
              <w:rPr>
                <w:szCs w:val="22"/>
                <w:lang w:val="en-US"/>
              </w:rPr>
              <w:t>638</w:t>
            </w:r>
            <w:r w:rsidR="00C1283D" w:rsidRPr="00A11A04">
              <w:rPr>
                <w:szCs w:val="22"/>
                <w:lang w:val="en-US"/>
              </w:rPr>
              <w:t xml:space="preserve"> </w:t>
            </w:r>
            <w:r w:rsidRPr="00A11A04">
              <w:rPr>
                <w:szCs w:val="22"/>
                <w:lang w:val="en-US"/>
              </w:rPr>
              <w:t>605</w:t>
            </w:r>
          </w:p>
        </w:tc>
      </w:tr>
      <w:tr w:rsidR="00EF75A2" w:rsidRPr="001A1C28" w14:paraId="5EF8B37B" w14:textId="77777777" w:rsidTr="00306042">
        <w:trPr>
          <w:jc w:val="center"/>
        </w:trPr>
        <w:tc>
          <w:tcPr>
            <w:tcW w:w="2880" w:type="dxa"/>
            <w:vAlign w:val="center"/>
          </w:tcPr>
          <w:p w14:paraId="04CABD23" w14:textId="77777777" w:rsidR="00EF75A2" w:rsidRPr="001A1C28" w:rsidRDefault="00EF75A2" w:rsidP="00306042">
            <w:pPr>
              <w:pStyle w:val="Tabletext"/>
            </w:pPr>
            <w:r w:rsidRPr="001A1C28">
              <w:t>Franchise</w:t>
            </w:r>
          </w:p>
        </w:tc>
        <w:tc>
          <w:tcPr>
            <w:tcW w:w="900" w:type="dxa"/>
            <w:vAlign w:val="center"/>
          </w:tcPr>
          <w:p w14:paraId="70C68C6D" w14:textId="77777777" w:rsidR="00EF75A2" w:rsidRPr="001A1C28" w:rsidRDefault="00EF75A2" w:rsidP="00306042">
            <w:pPr>
              <w:pStyle w:val="Tabletext"/>
              <w:jc w:val="center"/>
            </w:pPr>
            <w:r w:rsidRPr="001A1C28">
              <w:t>CHF</w:t>
            </w:r>
          </w:p>
        </w:tc>
        <w:tc>
          <w:tcPr>
            <w:tcW w:w="2160" w:type="dxa"/>
          </w:tcPr>
          <w:p w14:paraId="0C0631F4" w14:textId="55EDAA0C" w:rsidR="00EF75A2" w:rsidRPr="001A1C28" w:rsidRDefault="00EF75A2" w:rsidP="00A11A04">
            <w:pPr>
              <w:pStyle w:val="Tabletext"/>
              <w:jc w:val="center"/>
            </w:pPr>
            <w:r w:rsidRPr="00A66E5E">
              <w:rPr>
                <w:szCs w:val="22"/>
                <w:lang w:val="en-US"/>
              </w:rPr>
              <w:t>1</w:t>
            </w:r>
            <w:r>
              <w:rPr>
                <w:szCs w:val="22"/>
                <w:lang w:val="en-US"/>
              </w:rPr>
              <w:t xml:space="preserve"> </w:t>
            </w:r>
            <w:r w:rsidRPr="00A66E5E">
              <w:rPr>
                <w:szCs w:val="22"/>
                <w:lang w:val="en-US"/>
              </w:rPr>
              <w:t>224</w:t>
            </w:r>
            <w:r>
              <w:rPr>
                <w:szCs w:val="22"/>
                <w:lang w:val="en-US"/>
              </w:rPr>
              <w:t xml:space="preserve"> </w:t>
            </w:r>
            <w:r w:rsidRPr="00A66E5E">
              <w:rPr>
                <w:szCs w:val="22"/>
                <w:lang w:val="en-US"/>
              </w:rPr>
              <w:t>222</w:t>
            </w:r>
          </w:p>
        </w:tc>
        <w:tc>
          <w:tcPr>
            <w:tcW w:w="1980" w:type="dxa"/>
          </w:tcPr>
          <w:p w14:paraId="64B716F5" w14:textId="527E3E92" w:rsidR="00EF75A2" w:rsidRPr="001A1C28" w:rsidRDefault="00EF75A2" w:rsidP="00A11A04">
            <w:pPr>
              <w:pStyle w:val="Tabletext"/>
              <w:jc w:val="center"/>
            </w:pPr>
            <w:r w:rsidRPr="00267C59">
              <w:rPr>
                <w:lang w:val="en-US"/>
              </w:rPr>
              <w:t>1</w:t>
            </w:r>
            <w:r w:rsidR="00C1283D">
              <w:rPr>
                <w:lang w:val="en-US"/>
              </w:rPr>
              <w:t xml:space="preserve"> </w:t>
            </w:r>
            <w:r w:rsidRPr="00267C59">
              <w:rPr>
                <w:lang w:val="en-US"/>
              </w:rPr>
              <w:t>410</w:t>
            </w:r>
            <w:r w:rsidR="00C1283D">
              <w:rPr>
                <w:lang w:val="en-US"/>
              </w:rPr>
              <w:t xml:space="preserve"> </w:t>
            </w:r>
            <w:r w:rsidRPr="00267C59">
              <w:rPr>
                <w:lang w:val="en-US"/>
              </w:rPr>
              <w:t>093</w:t>
            </w:r>
          </w:p>
        </w:tc>
      </w:tr>
      <w:tr w:rsidR="00EF75A2" w:rsidRPr="001A1C28" w14:paraId="0C84A03A" w14:textId="77777777" w:rsidTr="00306042">
        <w:trPr>
          <w:jc w:val="center"/>
        </w:trPr>
        <w:tc>
          <w:tcPr>
            <w:tcW w:w="2880" w:type="dxa"/>
            <w:tcBorders>
              <w:bottom w:val="single" w:sz="12" w:space="0" w:color="auto"/>
            </w:tcBorders>
            <w:vAlign w:val="center"/>
          </w:tcPr>
          <w:p w14:paraId="060A66E7" w14:textId="77777777" w:rsidR="00EF75A2" w:rsidRPr="001A1C28" w:rsidRDefault="00EF75A2" w:rsidP="00306042">
            <w:pPr>
              <w:pStyle w:val="Tabletext"/>
            </w:pPr>
            <w:r w:rsidRPr="001A1C28">
              <w:t>Paiements reçus**</w:t>
            </w:r>
          </w:p>
        </w:tc>
        <w:tc>
          <w:tcPr>
            <w:tcW w:w="900" w:type="dxa"/>
            <w:tcBorders>
              <w:bottom w:val="single" w:sz="12" w:space="0" w:color="auto"/>
            </w:tcBorders>
            <w:vAlign w:val="center"/>
          </w:tcPr>
          <w:p w14:paraId="581A7100" w14:textId="77777777" w:rsidR="00EF75A2" w:rsidRPr="001A1C28" w:rsidRDefault="00EF75A2" w:rsidP="00306042">
            <w:pPr>
              <w:pStyle w:val="Tabletext"/>
              <w:jc w:val="center"/>
            </w:pPr>
            <w:r w:rsidRPr="001A1C28">
              <w:t>CHF</w:t>
            </w:r>
          </w:p>
        </w:tc>
        <w:tc>
          <w:tcPr>
            <w:tcW w:w="2160" w:type="dxa"/>
            <w:tcBorders>
              <w:bottom w:val="single" w:sz="12" w:space="0" w:color="auto"/>
            </w:tcBorders>
          </w:tcPr>
          <w:p w14:paraId="096DF8FA" w14:textId="6491B757" w:rsidR="00EF75A2" w:rsidRPr="001A1C28" w:rsidRDefault="00EF75A2" w:rsidP="00A11A04">
            <w:pPr>
              <w:pStyle w:val="Tabletext"/>
              <w:jc w:val="center"/>
            </w:pPr>
            <w:r w:rsidRPr="00A66E5E">
              <w:rPr>
                <w:szCs w:val="22"/>
                <w:lang w:val="en-US"/>
              </w:rPr>
              <w:t>12</w:t>
            </w:r>
            <w:r>
              <w:rPr>
                <w:szCs w:val="22"/>
                <w:lang w:val="en-US"/>
              </w:rPr>
              <w:t xml:space="preserve"> </w:t>
            </w:r>
            <w:r w:rsidRPr="00A66E5E">
              <w:rPr>
                <w:szCs w:val="22"/>
                <w:lang w:val="en-US"/>
              </w:rPr>
              <w:t>952</w:t>
            </w:r>
            <w:r>
              <w:rPr>
                <w:szCs w:val="22"/>
                <w:lang w:val="en-US"/>
              </w:rPr>
              <w:t xml:space="preserve"> </w:t>
            </w:r>
            <w:r w:rsidRPr="00A66E5E">
              <w:rPr>
                <w:szCs w:val="22"/>
                <w:lang w:val="en-US"/>
              </w:rPr>
              <w:t>961</w:t>
            </w:r>
          </w:p>
        </w:tc>
        <w:tc>
          <w:tcPr>
            <w:tcW w:w="1980" w:type="dxa"/>
            <w:tcBorders>
              <w:bottom w:val="single" w:sz="12" w:space="0" w:color="auto"/>
            </w:tcBorders>
          </w:tcPr>
          <w:p w14:paraId="5AF5387B" w14:textId="7544679B" w:rsidR="00EF75A2" w:rsidRPr="001A1C28" w:rsidRDefault="00EF75A2" w:rsidP="00A11A04">
            <w:pPr>
              <w:pStyle w:val="Tabletext"/>
              <w:jc w:val="center"/>
            </w:pPr>
            <w:r w:rsidRPr="00267C59">
              <w:rPr>
                <w:lang w:val="en-US"/>
              </w:rPr>
              <w:t>13</w:t>
            </w:r>
            <w:r w:rsidR="00C1283D">
              <w:rPr>
                <w:lang w:val="en-US"/>
              </w:rPr>
              <w:t xml:space="preserve"> </w:t>
            </w:r>
            <w:r w:rsidRPr="00267C59">
              <w:rPr>
                <w:lang w:val="en-US"/>
              </w:rPr>
              <w:t>882</w:t>
            </w:r>
            <w:r w:rsidR="00C1283D">
              <w:rPr>
                <w:lang w:val="en-US"/>
              </w:rPr>
              <w:t xml:space="preserve"> </w:t>
            </w:r>
            <w:r w:rsidRPr="00267C59">
              <w:rPr>
                <w:lang w:val="en-US"/>
              </w:rPr>
              <w:t>532</w:t>
            </w:r>
          </w:p>
        </w:tc>
      </w:tr>
      <w:tr w:rsidR="00EF75A2" w:rsidRPr="001A1C28" w14:paraId="3B6DCD68" w14:textId="77777777" w:rsidTr="00306042">
        <w:trPr>
          <w:jc w:val="center"/>
        </w:trPr>
        <w:tc>
          <w:tcPr>
            <w:tcW w:w="5940" w:type="dxa"/>
            <w:gridSpan w:val="3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</w:tcPr>
          <w:p w14:paraId="570386DE" w14:textId="724BE580" w:rsidR="00EF75A2" w:rsidRPr="001A1C28" w:rsidRDefault="00EF75A2" w:rsidP="00306042">
            <w:pPr>
              <w:pStyle w:val="Tabletext"/>
            </w:pPr>
            <w:r w:rsidRPr="001A1C28">
              <w:t>Pourcentage de factures établies en</w:t>
            </w:r>
            <w:r>
              <w:t xml:space="preserve"> </w:t>
            </w:r>
            <w:r w:rsidRPr="001A1C28">
              <w:t>2019</w:t>
            </w:r>
            <w:r>
              <w:t>/2020,</w:t>
            </w:r>
            <w:r w:rsidRPr="001A1C28">
              <w:t xml:space="preserve"> exigibles au</w:t>
            </w:r>
            <w:r w:rsidR="00F905B2">
              <w:t> </w:t>
            </w:r>
            <w:r w:rsidRPr="001A1C28">
              <w:t>31</w:t>
            </w:r>
            <w:r w:rsidR="00C1283D">
              <w:t> </w:t>
            </w:r>
            <w:r>
              <w:t xml:space="preserve">décembre </w:t>
            </w:r>
            <w:r w:rsidRPr="001A1C28">
              <w:t>20</w:t>
            </w:r>
            <w:r>
              <w:t>20</w:t>
            </w:r>
            <w:r w:rsidRPr="001A1C28">
              <w:t xml:space="preserve"> et qui ont été </w:t>
            </w:r>
            <w:r>
              <w:t>acquittées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3D59DC86" w14:textId="77777777" w:rsidR="00EF75A2" w:rsidRPr="001A1C28" w:rsidRDefault="00EF75A2" w:rsidP="00306042">
            <w:pPr>
              <w:pStyle w:val="Tabletext"/>
              <w:jc w:val="center"/>
            </w:pPr>
            <w:r w:rsidRPr="001A1C28">
              <w:t>&gt; 99%</w:t>
            </w:r>
          </w:p>
        </w:tc>
      </w:tr>
      <w:tr w:rsidR="00EF75A2" w:rsidRPr="001A1C28" w14:paraId="5981ED6F" w14:textId="77777777" w:rsidTr="00306042">
        <w:trPr>
          <w:jc w:val="center"/>
        </w:trPr>
        <w:tc>
          <w:tcPr>
            <w:tcW w:w="7920" w:type="dxa"/>
            <w:gridSpan w:val="4"/>
            <w:tcBorders>
              <w:left w:val="nil"/>
              <w:bottom w:val="nil"/>
              <w:right w:val="nil"/>
            </w:tcBorders>
          </w:tcPr>
          <w:p w14:paraId="7E6DE89E" w14:textId="3B528985" w:rsidR="00EF75A2" w:rsidRPr="001A1C28" w:rsidRDefault="00EF75A2" w:rsidP="00F905B2">
            <w:pPr>
              <w:pStyle w:val="Tablelegend"/>
              <w:tabs>
                <w:tab w:val="left" w:pos="458"/>
              </w:tabs>
              <w:spacing w:before="60"/>
            </w:pPr>
            <w:r w:rsidRPr="001A1C28">
              <w:t>*</w:t>
            </w:r>
            <w:r w:rsidRPr="001A1C28">
              <w:tab/>
            </w:r>
            <w:r w:rsidR="00C1283D">
              <w:rPr>
                <w:i/>
                <w:iCs/>
                <w:sz w:val="20"/>
              </w:rPr>
              <w:t>À</w:t>
            </w:r>
            <w:r w:rsidRPr="001A1C28">
              <w:rPr>
                <w:i/>
                <w:iCs/>
                <w:sz w:val="20"/>
              </w:rPr>
              <w:t xml:space="preserve"> partir de la date d</w:t>
            </w:r>
            <w:r w:rsidR="006F32CA">
              <w:rPr>
                <w:i/>
                <w:iCs/>
                <w:sz w:val="20"/>
              </w:rPr>
              <w:t>'</w:t>
            </w:r>
            <w:r w:rsidRPr="001A1C28">
              <w:rPr>
                <w:i/>
                <w:iCs/>
                <w:sz w:val="20"/>
              </w:rPr>
              <w:t>émission des factures, 6 mois sont accordés pour le paiement.</w:t>
            </w:r>
            <w:r w:rsidRPr="001A1C28">
              <w:rPr>
                <w:i/>
                <w:iCs/>
                <w:sz w:val="20"/>
              </w:rPr>
              <w:br/>
            </w:r>
            <w:r w:rsidRPr="001A1C28">
              <w:rPr>
                <w:sz w:val="20"/>
              </w:rPr>
              <w:t>**</w:t>
            </w:r>
            <w:r w:rsidRPr="001A1C28">
              <w:rPr>
                <w:i/>
                <w:iCs/>
                <w:sz w:val="20"/>
              </w:rPr>
              <w:tab/>
              <w:t>Les paiements reçus couvrent les factures qui ont été établies les années précédentes.</w:t>
            </w:r>
          </w:p>
        </w:tc>
      </w:tr>
    </w:tbl>
    <w:p w14:paraId="687E94DD" w14:textId="6C6962A7" w:rsidR="00EF75A2" w:rsidRPr="001A1C28" w:rsidRDefault="00EF75A2" w:rsidP="00EF75A2">
      <w:pPr>
        <w:spacing w:before="240"/>
        <w:rPr>
          <w:b/>
          <w:bCs/>
        </w:rPr>
      </w:pPr>
      <w:r w:rsidRPr="001A1C28">
        <w:rPr>
          <w:bCs/>
        </w:rPr>
        <w:t>3</w:t>
      </w:r>
      <w:r w:rsidRPr="001A1C28">
        <w:rPr>
          <w:bCs/>
        </w:rPr>
        <w:tab/>
        <w:t>Un</w:t>
      </w:r>
      <w:r w:rsidRPr="001A1C28">
        <w:t xml:space="preserve"> document distinct (</w:t>
      </w:r>
      <w:hyperlink r:id="rId20" w:history="1">
        <w:r w:rsidRPr="001A1C28">
          <w:rPr>
            <w:color w:val="0000FF"/>
            <w:u w:val="single"/>
          </w:rPr>
          <w:t>Document C2</w:t>
        </w:r>
        <w:r>
          <w:rPr>
            <w:color w:val="0000FF"/>
            <w:u w:val="single"/>
          </w:rPr>
          <w:t>1</w:t>
        </w:r>
        <w:r w:rsidRPr="001A1C28">
          <w:rPr>
            <w:color w:val="0000FF"/>
            <w:u w:val="single"/>
          </w:rPr>
          <w:t>/11</w:t>
        </w:r>
      </w:hyperlink>
      <w:r w:rsidRPr="001A1C28">
        <w:t>) donne des informations sur la situation des arriérés et des comptes spéciaux d</w:t>
      </w:r>
      <w:r w:rsidR="006F32CA">
        <w:t>'</w:t>
      </w:r>
      <w:r w:rsidRPr="001A1C28">
        <w:t>arriérés au 31 décembre 20</w:t>
      </w:r>
      <w:r>
        <w:t>20</w:t>
      </w:r>
      <w:r w:rsidRPr="001A1C28">
        <w:t>, sur les mesures prises pour obtenir le règlement des arriérés et comptes spéciaux d</w:t>
      </w:r>
      <w:r w:rsidR="006F32CA">
        <w:t>'</w:t>
      </w:r>
      <w:r w:rsidRPr="001A1C28">
        <w:t>arriérés ainsi que sur la mise en œuvre de la Résolution 41 (Rév. Dubaï, 2018) de la Conférence de plénipotentiaires, qui comprend les notifications de réseaux à satellite, en application de la</w:t>
      </w:r>
      <w:r w:rsidRPr="001A1C28">
        <w:rPr>
          <w:bCs/>
        </w:rPr>
        <w:t xml:space="preserve"> Décision 10 (Antalya, 2006) de la Conférence de plénipotentiaires et de la Décision 545 (session de 2007 du Conseil).</w:t>
      </w:r>
    </w:p>
    <w:p w14:paraId="5B21BE72" w14:textId="1F9A3385" w:rsidR="00EF75A2" w:rsidRPr="001A1C28" w:rsidRDefault="00EF75A2" w:rsidP="00EF75A2">
      <w:r w:rsidRPr="001A1C28">
        <w:t>4</w:t>
      </w:r>
      <w:r w:rsidRPr="001A1C28">
        <w:tab/>
        <w:t>La mise en œuvre de la Décision 482 (modifiée en 20</w:t>
      </w:r>
      <w:r>
        <w:t>20</w:t>
      </w:r>
      <w:r w:rsidRPr="001A1C28">
        <w:t>) par le Bureau des radiocommunications n</w:t>
      </w:r>
      <w:r w:rsidR="006F32CA">
        <w:t>'</w:t>
      </w:r>
      <w:r w:rsidRPr="001A1C28">
        <w:t>a soulevé aucune difficulté d</w:t>
      </w:r>
      <w:r w:rsidR="006F32CA">
        <w:t>'</w:t>
      </w:r>
      <w:r w:rsidRPr="001A1C28">
        <w:t>ordre administratif ou opérationnel</w:t>
      </w:r>
      <w:r w:rsidRPr="001A1C28">
        <w:rPr>
          <w:rFonts w:ascii="Courier New" w:hAnsi="Courier New" w:cs="Courier New"/>
          <w:caps/>
          <w:color w:val="000000"/>
          <w:sz w:val="20"/>
          <w:lang w:eastAsia="fr-FR"/>
        </w:rPr>
        <w:t xml:space="preserve"> </w:t>
      </w:r>
      <w:r w:rsidRPr="001A1C28">
        <w:t>touchant à des questions de fond, aussi bien en interne qu</w:t>
      </w:r>
      <w:r w:rsidR="006F32CA">
        <w:t>'</w:t>
      </w:r>
      <w:r w:rsidRPr="001A1C28">
        <w:t>avec les administrations présentant des fiches de notification de réseaux à satellite.</w:t>
      </w:r>
      <w:r>
        <w:t xml:space="preserve"> </w:t>
      </w:r>
    </w:p>
    <w:p w14:paraId="3894054A" w14:textId="77777777" w:rsidR="00EF75A2" w:rsidRPr="001A1C28" w:rsidRDefault="00EF75A2" w:rsidP="00EF75A2">
      <w:pPr>
        <w:pStyle w:val="Headingb"/>
        <w:tabs>
          <w:tab w:val="clear" w:pos="567"/>
        </w:tabs>
        <w:ind w:left="0" w:firstLine="0"/>
      </w:pPr>
      <w:r w:rsidRPr="001A1C28">
        <w:t>Informations concernant les fiches de notification de satellites non géostationnaires complexes/volumineuses et les fiches de notification de satellites géostationnaires exceptionnellement complexes</w:t>
      </w:r>
      <w:r w:rsidRPr="001A1C28">
        <w:rPr>
          <w:rFonts w:ascii="inherit" w:hAnsi="inherit"/>
          <w:color w:val="000000"/>
          <w:shd w:val="clear" w:color="auto" w:fill="FFFFFF"/>
        </w:rPr>
        <w:t xml:space="preserve"> </w:t>
      </w:r>
      <w:r w:rsidRPr="001A1C28">
        <w:t>conformément à la demande formulée par le Conseil à sa session de 2019</w:t>
      </w:r>
    </w:p>
    <w:p w14:paraId="219BB49D" w14:textId="433D5E10" w:rsidR="00EF75A2" w:rsidRDefault="00EF75A2" w:rsidP="00EF75A2">
      <w:r w:rsidRPr="001A1C28">
        <w:t>5</w:t>
      </w:r>
      <w:r w:rsidRPr="001A1C28">
        <w:tab/>
        <w:t>Depuis l</w:t>
      </w:r>
      <w:r w:rsidR="006F32CA">
        <w:t>'</w:t>
      </w:r>
      <w:r w:rsidRPr="001A1C28">
        <w:t>entrée en vigueur de la Décision 482 (modifiée en 2019) le 1er juillet 2019, le Bureau des radiocommunications a reçu 2</w:t>
      </w:r>
      <w:r>
        <w:t xml:space="preserve">5 </w:t>
      </w:r>
      <w:r w:rsidRPr="001A1C28">
        <w:t>demandes de coordination concernant des systèmes à satellites non géostationnaires représentant plus de 25 000 unités (</w:t>
      </w:r>
      <w:r>
        <w:t xml:space="preserve">y compris </w:t>
      </w:r>
      <w:r w:rsidR="00F905B2">
        <w:t>une série de </w:t>
      </w:r>
      <w:r w:rsidRPr="001A1C28">
        <w:t>20</w:t>
      </w:r>
      <w:r w:rsidR="00C1283D">
        <w:t> </w:t>
      </w:r>
      <w:r w:rsidRPr="001A1C28">
        <w:t>demandes de coordination reçues le 7 octobre 2019</w:t>
      </w:r>
      <w:r>
        <w:t xml:space="preserve"> et comportant </w:t>
      </w:r>
      <w:r>
        <w:rPr>
          <w:color w:val="000000"/>
        </w:rPr>
        <w:t>45</w:t>
      </w:r>
      <w:r w:rsidR="00A11A04">
        <w:rPr>
          <w:color w:val="000000"/>
        </w:rPr>
        <w:t> </w:t>
      </w:r>
      <w:r>
        <w:rPr>
          <w:color w:val="000000"/>
        </w:rPr>
        <w:t>193 unités par fiche de notification</w:t>
      </w:r>
      <w:r w:rsidRPr="001A1C28">
        <w:t xml:space="preserve">). Il a </w:t>
      </w:r>
      <w:r>
        <w:t xml:space="preserve">également </w:t>
      </w:r>
      <w:r w:rsidRPr="001A1C28">
        <w:t>reçu un total de 2</w:t>
      </w:r>
      <w:r>
        <w:t>5</w:t>
      </w:r>
      <w:r w:rsidRPr="001A1C28">
        <w:t xml:space="preserve"> demandes de coordination relatives à des systèmes à satellites non géostationnaires comprenant </w:t>
      </w:r>
      <w:r>
        <w:t xml:space="preserve">au moins </w:t>
      </w:r>
      <w:r w:rsidRPr="001A1C28">
        <w:t>deux configurations qui s</w:t>
      </w:r>
      <w:r w:rsidR="006F32CA">
        <w:t>'</w:t>
      </w:r>
      <w:r w:rsidRPr="001A1C28">
        <w:t xml:space="preserve">excluent mutuellement (19 de ces demandes </w:t>
      </w:r>
      <w:r>
        <w:t>faisaient partie</w:t>
      </w:r>
      <w:r w:rsidRPr="001A1C28">
        <w:t xml:space="preserve"> de la série </w:t>
      </w:r>
      <w:r>
        <w:t xml:space="preserve">reçue en 2019 et </w:t>
      </w:r>
      <w:r w:rsidRPr="001A1C28">
        <w:t>représentant plus de 25 000 unités).</w:t>
      </w:r>
    </w:p>
    <w:p w14:paraId="0FF528C9" w14:textId="353D1086" w:rsidR="000A350D" w:rsidRDefault="000A350D" w:rsidP="00EF75A2">
      <w:r>
        <w:br w:type="page"/>
      </w:r>
    </w:p>
    <w:p w14:paraId="6038204C" w14:textId="73CBEF94" w:rsidR="00EF75A2" w:rsidRPr="001A1C28" w:rsidRDefault="00EF75A2" w:rsidP="00EF75A2">
      <w:pPr>
        <w:pStyle w:val="Headingb"/>
        <w:tabs>
          <w:tab w:val="clear" w:pos="567"/>
        </w:tabs>
        <w:ind w:left="0" w:firstLine="0"/>
      </w:pPr>
      <w:r w:rsidRPr="001A1C28">
        <w:lastRenderedPageBreak/>
        <w:t>Conclusion</w:t>
      </w:r>
    </w:p>
    <w:p w14:paraId="3529795D" w14:textId="1D2F472E" w:rsidR="00EF75A2" w:rsidRDefault="00EF75A2" w:rsidP="0032202E">
      <w:pPr>
        <w:pStyle w:val="Reasons"/>
      </w:pPr>
      <w:r>
        <w:t>6</w:t>
      </w:r>
      <w:r w:rsidRPr="001A1C28">
        <w:tab/>
        <w:t>Le Conseil est invité</w:t>
      </w:r>
      <w:r w:rsidRPr="001A1C28">
        <w:rPr>
          <w:b/>
          <w:bCs/>
        </w:rPr>
        <w:t xml:space="preserve"> à prendre note</w:t>
      </w:r>
      <w:r w:rsidRPr="001A1C28">
        <w:t xml:space="preserve"> du présent rapport d</w:t>
      </w:r>
      <w:r w:rsidR="006F32CA">
        <w:t>'</w:t>
      </w:r>
      <w:r w:rsidRPr="001A1C28">
        <w:t>activité concernant la mise en œuvre du recouvrement des coûts pour le traitement des fiches de notification des réseaux à satellite</w:t>
      </w:r>
      <w:r>
        <w:t>.</w:t>
      </w:r>
    </w:p>
    <w:p w14:paraId="39CA7BD7" w14:textId="77777777" w:rsidR="00F905B2" w:rsidRDefault="00F905B2" w:rsidP="0032202E">
      <w:pPr>
        <w:pStyle w:val="Reasons"/>
      </w:pPr>
    </w:p>
    <w:p w14:paraId="1321B855" w14:textId="77777777" w:rsidR="00EF75A2" w:rsidRDefault="00EF75A2">
      <w:pPr>
        <w:jc w:val="center"/>
      </w:pPr>
      <w:r>
        <w:t>______________</w:t>
      </w:r>
    </w:p>
    <w:sectPr w:rsidR="00EF75A2" w:rsidSect="005C3890">
      <w:headerReference w:type="even" r:id="rId21"/>
      <w:headerReference w:type="default" r:id="rId22"/>
      <w:footerReference w:type="even" r:id="rId23"/>
      <w:footerReference w:type="default" r:id="rId24"/>
      <w:footerReference w:type="first" r:id="rId25"/>
      <w:pgSz w:w="11907" w:h="16840" w:code="9"/>
      <w:pgMar w:top="1418" w:right="1134" w:bottom="1418" w:left="1134" w:header="720" w:footer="720" w:gutter="0"/>
      <w:paperSrc w:first="261" w:other="26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B2595A" w14:textId="77777777" w:rsidR="00EF75A2" w:rsidRDefault="00EF75A2">
      <w:r>
        <w:separator/>
      </w:r>
    </w:p>
  </w:endnote>
  <w:endnote w:type="continuationSeparator" w:id="0">
    <w:p w14:paraId="292AD8D5" w14:textId="77777777" w:rsidR="00EF75A2" w:rsidRDefault="00EF75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734C0C" w14:textId="09A4640D" w:rsidR="00732045" w:rsidRDefault="00F905B2">
    <w:pPr>
      <w:pStyle w:val="Footer"/>
    </w:pPr>
    <w:fldSimple w:instr=" FILENAME \p \* MERGEFORMAT ">
      <w:r>
        <w:t>P:\FRA\SG\CONSEIL\C21\000\016F.docx</w:t>
      </w:r>
    </w:fldSimple>
    <w:r w:rsidR="00732045">
      <w:tab/>
    </w:r>
    <w:r w:rsidR="002F1B76">
      <w:fldChar w:fldCharType="begin"/>
    </w:r>
    <w:r w:rsidR="00732045">
      <w:instrText xml:space="preserve"> savedate \@ dd.MM.yy </w:instrText>
    </w:r>
    <w:r w:rsidR="002F1B76">
      <w:fldChar w:fldCharType="separate"/>
    </w:r>
    <w:r w:rsidR="008C1058">
      <w:t>04.05.21</w:t>
    </w:r>
    <w:r w:rsidR="002F1B76">
      <w:fldChar w:fldCharType="end"/>
    </w:r>
    <w:r w:rsidR="00732045">
      <w:tab/>
    </w:r>
    <w:r w:rsidR="002F1B76">
      <w:fldChar w:fldCharType="begin"/>
    </w:r>
    <w:r w:rsidR="00732045">
      <w:instrText xml:space="preserve"> printdate \@ dd.MM.yy </w:instrText>
    </w:r>
    <w:r w:rsidR="002F1B76">
      <w:fldChar w:fldCharType="separate"/>
    </w:r>
    <w:r>
      <w:t>18.07.00</w:t>
    </w:r>
    <w:r w:rsidR="002F1B76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13220" w14:textId="16A61015" w:rsidR="00732045" w:rsidRDefault="00F905B2" w:rsidP="00C1283D">
    <w:pPr>
      <w:pStyle w:val="Footer"/>
    </w:pPr>
    <w:r w:rsidRPr="008C1058">
      <w:rPr>
        <w:color w:val="F2F2F2" w:themeColor="background1" w:themeShade="F2"/>
      </w:rPr>
      <w:fldChar w:fldCharType="begin"/>
    </w:r>
    <w:r w:rsidRPr="008C1058">
      <w:rPr>
        <w:color w:val="F2F2F2" w:themeColor="background1" w:themeShade="F2"/>
      </w:rPr>
      <w:instrText xml:space="preserve"> FILENAME \p  \* MERGEFORMAT </w:instrText>
    </w:r>
    <w:r w:rsidRPr="008C1058">
      <w:rPr>
        <w:color w:val="F2F2F2" w:themeColor="background1" w:themeShade="F2"/>
      </w:rPr>
      <w:fldChar w:fldCharType="separate"/>
    </w:r>
    <w:r w:rsidRPr="008C1058">
      <w:rPr>
        <w:color w:val="F2F2F2" w:themeColor="background1" w:themeShade="F2"/>
      </w:rPr>
      <w:t>P:\FRA\SG\CONSEIL\C21\000\016F.docx</w:t>
    </w:r>
    <w:r w:rsidRPr="008C1058">
      <w:rPr>
        <w:color w:val="F2F2F2" w:themeColor="background1" w:themeShade="F2"/>
      </w:rPr>
      <w:fldChar w:fldCharType="end"/>
    </w:r>
    <w:r w:rsidR="00C1283D" w:rsidRPr="008C1058">
      <w:rPr>
        <w:color w:val="F2F2F2" w:themeColor="background1" w:themeShade="F2"/>
      </w:rPr>
      <w:t xml:space="preserve"> (483208)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22BFEC" w14:textId="77777777" w:rsidR="00732045" w:rsidRDefault="00732045">
    <w:pPr>
      <w:spacing w:after="120"/>
      <w:jc w:val="center"/>
    </w:pPr>
    <w:r>
      <w:t xml:space="preserve">• </w:t>
    </w:r>
    <w:hyperlink r:id="rId1" w:history="1">
      <w:r>
        <w:rPr>
          <w:rStyle w:val="Hyperlink"/>
        </w:rPr>
        <w:t>http://www.itu.int/council</w:t>
      </w:r>
    </w:hyperlink>
    <w:r>
      <w:t xml:space="preserve"> •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5E607A" w14:textId="77777777" w:rsidR="00EF75A2" w:rsidRDefault="00EF75A2">
      <w:r>
        <w:t>____________________</w:t>
      </w:r>
    </w:p>
  </w:footnote>
  <w:footnote w:type="continuationSeparator" w:id="0">
    <w:p w14:paraId="7BAC2AEE" w14:textId="77777777" w:rsidR="00EF75A2" w:rsidRDefault="00EF75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BBACAB" w14:textId="77777777" w:rsidR="00732045" w:rsidRDefault="00732045">
    <w:pPr>
      <w:pStyle w:val="Header"/>
    </w:pPr>
    <w:r>
      <w:t xml:space="preserve">- </w:t>
    </w:r>
    <w:r w:rsidR="00C27A7C">
      <w:fldChar w:fldCharType="begin"/>
    </w:r>
    <w:r w:rsidR="00C27A7C">
      <w:instrText>PAGE</w:instrText>
    </w:r>
    <w:r w:rsidR="00C27A7C">
      <w:fldChar w:fldCharType="separate"/>
    </w:r>
    <w:r>
      <w:rPr>
        <w:noProof/>
      </w:rPr>
      <w:t>2</w:t>
    </w:r>
    <w:r w:rsidR="00C27A7C">
      <w:rPr>
        <w:noProof/>
      </w:rPr>
      <w:fldChar w:fldCharType="end"/>
    </w:r>
    <w:r>
      <w:t xml:space="preserve"> -</w:t>
    </w:r>
  </w:p>
  <w:p w14:paraId="35DBF284" w14:textId="77777777" w:rsidR="00732045" w:rsidRDefault="00732045">
    <w:pPr>
      <w:pStyle w:val="Header"/>
    </w:pPr>
    <w:r>
      <w:t>C2001/#-F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02420E" w14:textId="67EE2583" w:rsidR="00732045" w:rsidRDefault="00C27A7C" w:rsidP="00475FB3">
    <w:pPr>
      <w:pStyle w:val="Header"/>
    </w:pPr>
    <w:r>
      <w:fldChar w:fldCharType="begin"/>
    </w:r>
    <w:r>
      <w:instrText>PAGE</w:instrText>
    </w:r>
    <w:r>
      <w:fldChar w:fldCharType="separate"/>
    </w:r>
    <w:r w:rsidR="00F905B2">
      <w:rPr>
        <w:noProof/>
      </w:rPr>
      <w:t>2</w:t>
    </w:r>
    <w:r>
      <w:rPr>
        <w:noProof/>
      </w:rPr>
      <w:fldChar w:fldCharType="end"/>
    </w:r>
  </w:p>
  <w:p w14:paraId="65ACD013" w14:textId="352B1179" w:rsidR="00732045" w:rsidRDefault="00732045" w:rsidP="00106B19">
    <w:pPr>
      <w:pStyle w:val="Header"/>
    </w:pPr>
    <w:r>
      <w:t>C</w:t>
    </w:r>
    <w:r w:rsidR="009C353C">
      <w:t>2</w:t>
    </w:r>
    <w:r w:rsidR="004D1D50">
      <w:t>1</w:t>
    </w:r>
    <w:r>
      <w:t>/</w:t>
    </w:r>
    <w:r w:rsidR="00C1283D">
      <w:t>16</w:t>
    </w:r>
    <w:r>
      <w:t>-F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75A2"/>
    <w:rsid w:val="000A350D"/>
    <w:rsid w:val="000D0D0A"/>
    <w:rsid w:val="00103163"/>
    <w:rsid w:val="00106B19"/>
    <w:rsid w:val="00115D93"/>
    <w:rsid w:val="001247A8"/>
    <w:rsid w:val="001378C0"/>
    <w:rsid w:val="0018694A"/>
    <w:rsid w:val="001A3287"/>
    <w:rsid w:val="001A6508"/>
    <w:rsid w:val="001D4C31"/>
    <w:rsid w:val="001E4D21"/>
    <w:rsid w:val="00207CD1"/>
    <w:rsid w:val="002477A2"/>
    <w:rsid w:val="00263A51"/>
    <w:rsid w:val="00267E02"/>
    <w:rsid w:val="002A5D44"/>
    <w:rsid w:val="002E0BC4"/>
    <w:rsid w:val="002F1B76"/>
    <w:rsid w:val="0033568E"/>
    <w:rsid w:val="00355FF5"/>
    <w:rsid w:val="00361350"/>
    <w:rsid w:val="003C3FAE"/>
    <w:rsid w:val="004038CB"/>
    <w:rsid w:val="0040546F"/>
    <w:rsid w:val="0042404A"/>
    <w:rsid w:val="0044618F"/>
    <w:rsid w:val="0046769A"/>
    <w:rsid w:val="00475FB3"/>
    <w:rsid w:val="004C37A9"/>
    <w:rsid w:val="004D1D50"/>
    <w:rsid w:val="004F259E"/>
    <w:rsid w:val="00511F1D"/>
    <w:rsid w:val="00520F36"/>
    <w:rsid w:val="00540615"/>
    <w:rsid w:val="00540A6D"/>
    <w:rsid w:val="00571EEA"/>
    <w:rsid w:val="00575417"/>
    <w:rsid w:val="005768E1"/>
    <w:rsid w:val="005B1938"/>
    <w:rsid w:val="005C3890"/>
    <w:rsid w:val="005F7BFE"/>
    <w:rsid w:val="00600017"/>
    <w:rsid w:val="006235CA"/>
    <w:rsid w:val="006643AB"/>
    <w:rsid w:val="006F32CA"/>
    <w:rsid w:val="007210CD"/>
    <w:rsid w:val="00732045"/>
    <w:rsid w:val="007369DB"/>
    <w:rsid w:val="007956C2"/>
    <w:rsid w:val="007A187E"/>
    <w:rsid w:val="007C72C2"/>
    <w:rsid w:val="007D4436"/>
    <w:rsid w:val="007F257A"/>
    <w:rsid w:val="007F3665"/>
    <w:rsid w:val="00800037"/>
    <w:rsid w:val="00861D73"/>
    <w:rsid w:val="00897553"/>
    <w:rsid w:val="008A4E87"/>
    <w:rsid w:val="008C1058"/>
    <w:rsid w:val="008D76E6"/>
    <w:rsid w:val="0092392D"/>
    <w:rsid w:val="0093234A"/>
    <w:rsid w:val="0097363B"/>
    <w:rsid w:val="009C307F"/>
    <w:rsid w:val="009C353C"/>
    <w:rsid w:val="00A11A04"/>
    <w:rsid w:val="00A2113E"/>
    <w:rsid w:val="00A23A51"/>
    <w:rsid w:val="00A24607"/>
    <w:rsid w:val="00A25CD3"/>
    <w:rsid w:val="00A709FE"/>
    <w:rsid w:val="00A82767"/>
    <w:rsid w:val="00AA332F"/>
    <w:rsid w:val="00AA7BBB"/>
    <w:rsid w:val="00AB64A8"/>
    <w:rsid w:val="00AC0266"/>
    <w:rsid w:val="00AD24EC"/>
    <w:rsid w:val="00B309F9"/>
    <w:rsid w:val="00B32B60"/>
    <w:rsid w:val="00B61619"/>
    <w:rsid w:val="00BB4545"/>
    <w:rsid w:val="00BD5873"/>
    <w:rsid w:val="00C04BE3"/>
    <w:rsid w:val="00C1283D"/>
    <w:rsid w:val="00C25D29"/>
    <w:rsid w:val="00C27A7C"/>
    <w:rsid w:val="00CA08ED"/>
    <w:rsid w:val="00CF183B"/>
    <w:rsid w:val="00D375CD"/>
    <w:rsid w:val="00D553A2"/>
    <w:rsid w:val="00D774D3"/>
    <w:rsid w:val="00D904E8"/>
    <w:rsid w:val="00DA08C3"/>
    <w:rsid w:val="00DB5A3E"/>
    <w:rsid w:val="00DC22AA"/>
    <w:rsid w:val="00DF57CA"/>
    <w:rsid w:val="00DF74DD"/>
    <w:rsid w:val="00E25AD0"/>
    <w:rsid w:val="00EB6350"/>
    <w:rsid w:val="00EF75A2"/>
    <w:rsid w:val="00F15B57"/>
    <w:rsid w:val="00F427DB"/>
    <w:rsid w:val="00F905B2"/>
    <w:rsid w:val="00FA5EB1"/>
    <w:rsid w:val="00FA7439"/>
    <w:rsid w:val="00FC4EC0"/>
    <w:rsid w:val="00FF0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;"/>
  <w14:docId w14:val="473AFD92"/>
  <w15:docId w15:val="{5B16FA2A-1FDF-49A2-92F5-29C481431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32045"/>
    <w:pPr>
      <w:tabs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4"/>
      <w:lang w:val="fr-FR" w:eastAsia="en-US"/>
    </w:rPr>
  </w:style>
  <w:style w:type="paragraph" w:styleId="Heading1">
    <w:name w:val="heading 1"/>
    <w:basedOn w:val="Normal"/>
    <w:next w:val="Normal"/>
    <w:qFormat/>
    <w:rsid w:val="00732045"/>
    <w:pPr>
      <w:keepNext/>
      <w:keepLines/>
      <w:spacing w:before="480"/>
      <w:ind w:left="567" w:hanging="567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732045"/>
    <w:pPr>
      <w:spacing w:before="32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732045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732045"/>
    <w:pPr>
      <w:ind w:left="1134" w:hanging="1134"/>
      <w:outlineLvl w:val="3"/>
    </w:pPr>
  </w:style>
  <w:style w:type="paragraph" w:styleId="Heading5">
    <w:name w:val="heading 5"/>
    <w:basedOn w:val="Heading4"/>
    <w:next w:val="Normal"/>
    <w:qFormat/>
    <w:rsid w:val="00732045"/>
    <w:pPr>
      <w:outlineLvl w:val="4"/>
    </w:pPr>
  </w:style>
  <w:style w:type="paragraph" w:styleId="Heading6">
    <w:name w:val="heading 6"/>
    <w:basedOn w:val="Heading4"/>
    <w:next w:val="Normal"/>
    <w:qFormat/>
    <w:rsid w:val="00732045"/>
    <w:pPr>
      <w:outlineLvl w:val="5"/>
    </w:pPr>
  </w:style>
  <w:style w:type="paragraph" w:styleId="Heading7">
    <w:name w:val="heading 7"/>
    <w:basedOn w:val="Heading4"/>
    <w:next w:val="Normal"/>
    <w:qFormat/>
    <w:rsid w:val="00732045"/>
    <w:pPr>
      <w:ind w:left="1701" w:hanging="1701"/>
      <w:outlineLvl w:val="6"/>
    </w:pPr>
  </w:style>
  <w:style w:type="paragraph" w:styleId="Heading8">
    <w:name w:val="heading 8"/>
    <w:basedOn w:val="Heading4"/>
    <w:next w:val="Normal"/>
    <w:qFormat/>
    <w:rsid w:val="00732045"/>
    <w:pPr>
      <w:ind w:left="1701" w:hanging="1701"/>
      <w:outlineLvl w:val="7"/>
    </w:pPr>
  </w:style>
  <w:style w:type="paragraph" w:styleId="Heading9">
    <w:name w:val="heading 9"/>
    <w:basedOn w:val="Heading4"/>
    <w:next w:val="Normal"/>
    <w:qFormat/>
    <w:rsid w:val="00732045"/>
    <w:pPr>
      <w:ind w:left="1701" w:hanging="1701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Normal"/>
    <w:next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3">
    <w:name w:val="toc 3"/>
    <w:basedOn w:val="Normal"/>
    <w:next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2">
    <w:name w:val="toc 2"/>
    <w:basedOn w:val="Normal"/>
    <w:next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1">
    <w:name w:val="toc 1"/>
    <w:basedOn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spacing w:before="240"/>
      <w:ind w:left="964" w:hanging="964"/>
    </w:pPr>
  </w:style>
  <w:style w:type="paragraph" w:styleId="TOC7">
    <w:name w:val="toc 7"/>
    <w:basedOn w:val="Normal"/>
    <w:next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6">
    <w:name w:val="toc 6"/>
    <w:basedOn w:val="Normal"/>
    <w:next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5">
    <w:name w:val="toc 5"/>
    <w:basedOn w:val="Normal"/>
    <w:next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4">
    <w:name w:val="toc 4"/>
    <w:basedOn w:val="Normal"/>
    <w:next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pos="8789"/>
        <w:tab w:val="right" w:pos="9639"/>
      </w:tabs>
      <w:ind w:left="964" w:hanging="964"/>
    </w:pPr>
  </w:style>
  <w:style w:type="paragraph" w:styleId="Index7">
    <w:name w:val="index 7"/>
    <w:basedOn w:val="Normal"/>
    <w:next w:val="Normal"/>
    <w:rsid w:val="005C3890"/>
    <w:pPr>
      <w:ind w:left="1698"/>
    </w:pPr>
  </w:style>
  <w:style w:type="paragraph" w:styleId="Index6">
    <w:name w:val="index 6"/>
    <w:basedOn w:val="Normal"/>
    <w:next w:val="Normal"/>
    <w:rsid w:val="005C3890"/>
    <w:pPr>
      <w:ind w:left="1415"/>
    </w:pPr>
  </w:style>
  <w:style w:type="paragraph" w:styleId="Index5">
    <w:name w:val="index 5"/>
    <w:basedOn w:val="Normal"/>
    <w:next w:val="Normal"/>
    <w:rsid w:val="005C3890"/>
    <w:pPr>
      <w:ind w:left="1132"/>
    </w:pPr>
  </w:style>
  <w:style w:type="paragraph" w:styleId="Index4">
    <w:name w:val="index 4"/>
    <w:basedOn w:val="Normal"/>
    <w:next w:val="Normal"/>
    <w:rsid w:val="005C3890"/>
    <w:pPr>
      <w:ind w:left="849"/>
    </w:pPr>
  </w:style>
  <w:style w:type="paragraph" w:styleId="Index3">
    <w:name w:val="index 3"/>
    <w:basedOn w:val="Normal"/>
    <w:next w:val="Normal"/>
    <w:rsid w:val="005C3890"/>
    <w:pPr>
      <w:ind w:left="566"/>
    </w:pPr>
  </w:style>
  <w:style w:type="paragraph" w:styleId="Index2">
    <w:name w:val="index 2"/>
    <w:basedOn w:val="Normal"/>
    <w:next w:val="Normal"/>
    <w:rsid w:val="005C3890"/>
    <w:pPr>
      <w:ind w:left="283"/>
    </w:pPr>
  </w:style>
  <w:style w:type="paragraph" w:styleId="Index1">
    <w:name w:val="index 1"/>
    <w:basedOn w:val="Normal"/>
    <w:next w:val="Normal"/>
    <w:rsid w:val="005C3890"/>
  </w:style>
  <w:style w:type="character" w:styleId="LineNumber">
    <w:name w:val="line number"/>
    <w:basedOn w:val="DefaultParagraphFont"/>
    <w:rsid w:val="005C3890"/>
  </w:style>
  <w:style w:type="paragraph" w:styleId="IndexHeading">
    <w:name w:val="index heading"/>
    <w:basedOn w:val="Normal"/>
    <w:next w:val="Index1"/>
    <w:rsid w:val="005C3890"/>
  </w:style>
  <w:style w:type="paragraph" w:styleId="Footer">
    <w:name w:val="footer"/>
    <w:basedOn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styleId="Header">
    <w:name w:val="header"/>
    <w:basedOn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0"/>
      <w:jc w:val="center"/>
    </w:pPr>
    <w:rPr>
      <w:sz w:val="18"/>
    </w:rPr>
  </w:style>
  <w:style w:type="character" w:styleId="FootnoteReference">
    <w:name w:val="footnote reference"/>
    <w:basedOn w:val="DefaultParagraphFont"/>
    <w:rsid w:val="00732045"/>
    <w:rPr>
      <w:rFonts w:ascii="Calibri" w:hAnsi="Calibri"/>
      <w:position w:val="6"/>
      <w:sz w:val="16"/>
    </w:rPr>
  </w:style>
  <w:style w:type="paragraph" w:styleId="FootnoteText">
    <w:name w:val="footnote text"/>
    <w:basedOn w:val="Normal"/>
    <w:rsid w:val="00732045"/>
    <w:pPr>
      <w:keepLines/>
      <w:tabs>
        <w:tab w:val="left" w:pos="256"/>
      </w:tabs>
      <w:ind w:left="256" w:hanging="256"/>
    </w:pPr>
  </w:style>
  <w:style w:type="paragraph" w:styleId="NormalIndent">
    <w:name w:val="Normal Indent"/>
    <w:basedOn w:val="Normal"/>
    <w:rsid w:val="00732045"/>
    <w:pPr>
      <w:ind w:left="567"/>
    </w:pPr>
  </w:style>
  <w:style w:type="paragraph" w:customStyle="1" w:styleId="enumlev1">
    <w:name w:val="enumlev1"/>
    <w:basedOn w:val="Normal"/>
    <w:rsid w:val="00732045"/>
    <w:pPr>
      <w:spacing w:before="86"/>
      <w:ind w:left="567" w:hanging="567"/>
    </w:pPr>
  </w:style>
  <w:style w:type="paragraph" w:customStyle="1" w:styleId="enumlev2">
    <w:name w:val="enumlev2"/>
    <w:basedOn w:val="enumlev1"/>
    <w:rsid w:val="00732045"/>
    <w:pPr>
      <w:ind w:left="1134"/>
    </w:pPr>
  </w:style>
  <w:style w:type="paragraph" w:customStyle="1" w:styleId="enumlev3">
    <w:name w:val="enumlev3"/>
    <w:basedOn w:val="enumlev2"/>
    <w:rsid w:val="00732045"/>
    <w:pPr>
      <w:ind w:left="1701"/>
    </w:pPr>
  </w:style>
  <w:style w:type="paragraph" w:customStyle="1" w:styleId="Equation">
    <w:name w:val="Equation"/>
    <w:basedOn w:val="Normal"/>
    <w:rsid w:val="005C3890"/>
    <w:pPr>
      <w:tabs>
        <w:tab w:val="center" w:pos="4820"/>
        <w:tab w:val="right" w:pos="9639"/>
      </w:tabs>
    </w:pPr>
  </w:style>
  <w:style w:type="paragraph" w:customStyle="1" w:styleId="Head">
    <w:name w:val="Head"/>
    <w:basedOn w:val="Normal"/>
    <w:rsid w:val="005C3890"/>
    <w:pPr>
      <w:tabs>
        <w:tab w:val="left" w:pos="6663"/>
      </w:tabs>
      <w:overflowPunct/>
      <w:autoSpaceDE/>
      <w:autoSpaceDN/>
      <w:adjustRightInd/>
      <w:spacing w:before="0"/>
      <w:textAlignment w:val="auto"/>
    </w:pPr>
  </w:style>
  <w:style w:type="paragraph" w:customStyle="1" w:styleId="Normalaftertitle">
    <w:name w:val="Normal after title"/>
    <w:basedOn w:val="Normal"/>
    <w:next w:val="Normal"/>
    <w:rsid w:val="00732045"/>
    <w:pPr>
      <w:spacing w:before="240"/>
    </w:pPr>
  </w:style>
  <w:style w:type="paragraph" w:customStyle="1" w:styleId="Call">
    <w:name w:val="Call"/>
    <w:basedOn w:val="Normal"/>
    <w:next w:val="Normal"/>
    <w:rsid w:val="00732045"/>
    <w:pPr>
      <w:keepNext/>
      <w:keepLines/>
      <w:tabs>
        <w:tab w:val="clear" w:pos="1134"/>
        <w:tab w:val="clear" w:pos="1701"/>
        <w:tab w:val="clear" w:pos="2268"/>
        <w:tab w:val="clear" w:pos="2835"/>
      </w:tabs>
      <w:spacing w:before="160"/>
      <w:ind w:left="567"/>
    </w:pPr>
    <w:rPr>
      <w:i/>
    </w:rPr>
  </w:style>
  <w:style w:type="paragraph" w:customStyle="1" w:styleId="toc0">
    <w:name w:val="toc 0"/>
    <w:basedOn w:val="Normal"/>
    <w:next w:val="TOC1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right" w:pos="9781"/>
      </w:tabs>
    </w:pPr>
    <w:rPr>
      <w:b/>
    </w:rPr>
  </w:style>
  <w:style w:type="paragraph" w:styleId="List">
    <w:name w:val="List"/>
    <w:basedOn w:val="Normal"/>
    <w:rsid w:val="005C3890"/>
    <w:pPr>
      <w:tabs>
        <w:tab w:val="left" w:pos="2127"/>
      </w:tabs>
      <w:ind w:left="2127" w:hanging="2127"/>
    </w:pPr>
  </w:style>
  <w:style w:type="paragraph" w:customStyle="1" w:styleId="Part">
    <w:name w:val="Part"/>
    <w:basedOn w:val="Normal"/>
    <w:rsid w:val="005C3890"/>
    <w:pPr>
      <w:tabs>
        <w:tab w:val="left" w:pos="1276"/>
      </w:tabs>
      <w:spacing w:before="199"/>
      <w:ind w:left="1701" w:hanging="1701"/>
    </w:pPr>
    <w:rPr>
      <w:caps/>
    </w:rPr>
  </w:style>
  <w:style w:type="paragraph" w:customStyle="1" w:styleId="Reasons">
    <w:name w:val="Reasons"/>
    <w:basedOn w:val="Normal"/>
    <w:qFormat/>
    <w:rsid w:val="00732045"/>
  </w:style>
  <w:style w:type="paragraph" w:customStyle="1" w:styleId="meeting">
    <w:name w:val="meeting"/>
    <w:basedOn w:val="Head"/>
    <w:next w:val="Head"/>
    <w:rsid w:val="005C3890"/>
    <w:pPr>
      <w:tabs>
        <w:tab w:val="left" w:pos="7371"/>
      </w:tabs>
      <w:spacing w:after="567"/>
    </w:pPr>
  </w:style>
  <w:style w:type="paragraph" w:customStyle="1" w:styleId="Subject">
    <w:name w:val="Subject"/>
    <w:basedOn w:val="Normal"/>
    <w:next w:val="Source"/>
    <w:rsid w:val="005C3890"/>
    <w:pPr>
      <w:tabs>
        <w:tab w:val="left" w:pos="709"/>
      </w:tabs>
      <w:spacing w:before="0"/>
      <w:ind w:left="709" w:hanging="709"/>
    </w:pPr>
  </w:style>
  <w:style w:type="paragraph" w:customStyle="1" w:styleId="Source">
    <w:name w:val="Source"/>
    <w:basedOn w:val="Normal"/>
    <w:next w:val="Title1"/>
    <w:rsid w:val="00732045"/>
    <w:pPr>
      <w:spacing w:before="840"/>
      <w:jc w:val="center"/>
    </w:pPr>
    <w:rPr>
      <w:b/>
      <w:sz w:val="28"/>
    </w:rPr>
  </w:style>
  <w:style w:type="paragraph" w:customStyle="1" w:styleId="Object">
    <w:name w:val="Object"/>
    <w:basedOn w:val="Subject"/>
    <w:next w:val="Subject"/>
    <w:rsid w:val="005C3890"/>
  </w:style>
  <w:style w:type="paragraph" w:customStyle="1" w:styleId="Data">
    <w:name w:val="Data"/>
    <w:basedOn w:val="Subject"/>
    <w:next w:val="Subject"/>
    <w:rsid w:val="005C3890"/>
  </w:style>
  <w:style w:type="paragraph" w:customStyle="1" w:styleId="Headingb">
    <w:name w:val="Heading_b"/>
    <w:basedOn w:val="Heading3"/>
    <w:next w:val="Normal"/>
    <w:rsid w:val="00732045"/>
    <w:pPr>
      <w:spacing w:before="160"/>
      <w:outlineLvl w:val="0"/>
    </w:pPr>
  </w:style>
  <w:style w:type="paragraph" w:customStyle="1" w:styleId="Title1">
    <w:name w:val="Title 1"/>
    <w:basedOn w:val="Source"/>
    <w:next w:val="Title2"/>
    <w:rsid w:val="00732045"/>
    <w:pPr>
      <w:spacing w:before="240"/>
    </w:pPr>
    <w:rPr>
      <w:b w:val="0"/>
      <w:caps/>
    </w:rPr>
  </w:style>
  <w:style w:type="paragraph" w:customStyle="1" w:styleId="dnum">
    <w:name w:val="dnum"/>
    <w:basedOn w:val="Normal"/>
    <w:rsid w:val="005C3890"/>
    <w:pPr>
      <w:framePr w:hSpace="181" w:wrap="notBeside" w:vAnchor="page" w:hAnchor="margin" w:x="1" w:y="852"/>
      <w:shd w:val="solid" w:color="FFFFFF" w:fill="FFFFFF"/>
      <w:tabs>
        <w:tab w:val="left" w:pos="1871"/>
      </w:tabs>
    </w:pPr>
    <w:rPr>
      <w:b/>
      <w:bCs/>
    </w:rPr>
  </w:style>
  <w:style w:type="paragraph" w:customStyle="1" w:styleId="FirstFooter">
    <w:name w:val="FirstFooter"/>
    <w:basedOn w:val="Footer"/>
    <w:rsid w:val="00732045"/>
    <w:rPr>
      <w:caps w:val="0"/>
    </w:rPr>
  </w:style>
  <w:style w:type="paragraph" w:customStyle="1" w:styleId="Note">
    <w:name w:val="Note"/>
    <w:basedOn w:val="Normal"/>
    <w:rsid w:val="005C3890"/>
    <w:pPr>
      <w:spacing w:before="80"/>
    </w:pPr>
  </w:style>
  <w:style w:type="paragraph" w:styleId="TOC9">
    <w:name w:val="toc 9"/>
    <w:basedOn w:val="Normal"/>
    <w:next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right" w:leader="dot" w:pos="9645"/>
      </w:tabs>
      <w:ind w:left="1920"/>
    </w:pPr>
  </w:style>
  <w:style w:type="paragraph" w:customStyle="1" w:styleId="ddate">
    <w:name w:val="ddate"/>
    <w:basedOn w:val="Normal"/>
    <w:rsid w:val="005C3890"/>
    <w:pPr>
      <w:framePr w:hSpace="181" w:wrap="notBeside" w:vAnchor="page" w:hAnchor="margin" w:x="1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paragraph" w:customStyle="1" w:styleId="dorlang">
    <w:name w:val="dorlang"/>
    <w:basedOn w:val="Normal"/>
    <w:rsid w:val="005C3890"/>
    <w:pPr>
      <w:framePr w:hSpace="181" w:wrap="notBeside" w:vAnchor="page" w:hAnchor="margin" w:x="1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character" w:styleId="Hyperlink">
    <w:name w:val="Hyperlink"/>
    <w:basedOn w:val="DefaultParagraphFont"/>
    <w:rsid w:val="00732045"/>
    <w:rPr>
      <w:color w:val="0000FF"/>
      <w:u w:val="single"/>
    </w:rPr>
  </w:style>
  <w:style w:type="character" w:styleId="FollowedHyperlink">
    <w:name w:val="FollowedHyperlink"/>
    <w:basedOn w:val="DefaultParagraphFont"/>
    <w:rsid w:val="005C3890"/>
    <w:rPr>
      <w:color w:val="800080"/>
      <w:u w:val="single"/>
    </w:rPr>
  </w:style>
  <w:style w:type="paragraph" w:customStyle="1" w:styleId="AnnexNo">
    <w:name w:val="Annex_No"/>
    <w:basedOn w:val="Normal"/>
    <w:next w:val="Annexref"/>
    <w:rsid w:val="00732045"/>
    <w:pPr>
      <w:spacing w:before="720"/>
      <w:jc w:val="center"/>
    </w:pPr>
    <w:rPr>
      <w:caps/>
      <w:sz w:val="28"/>
    </w:rPr>
  </w:style>
  <w:style w:type="paragraph" w:customStyle="1" w:styleId="Annexref">
    <w:name w:val="Annex_ref"/>
    <w:basedOn w:val="Normal"/>
    <w:next w:val="Annextitle"/>
    <w:rsid w:val="00732045"/>
    <w:pPr>
      <w:jc w:val="center"/>
    </w:pPr>
    <w:rPr>
      <w:sz w:val="28"/>
    </w:rPr>
  </w:style>
  <w:style w:type="paragraph" w:customStyle="1" w:styleId="Annextitle">
    <w:name w:val="Annex_title"/>
    <w:basedOn w:val="Normal"/>
    <w:next w:val="Normal"/>
    <w:rsid w:val="00732045"/>
    <w:pPr>
      <w:spacing w:before="240" w:after="240"/>
      <w:jc w:val="center"/>
    </w:pPr>
    <w:rPr>
      <w:b/>
      <w:sz w:val="28"/>
    </w:rPr>
  </w:style>
  <w:style w:type="paragraph" w:customStyle="1" w:styleId="AppendixNo">
    <w:name w:val="Appendix_No"/>
    <w:basedOn w:val="AnnexNo"/>
    <w:next w:val="Appendixref"/>
    <w:rsid w:val="00732045"/>
  </w:style>
  <w:style w:type="paragraph" w:customStyle="1" w:styleId="Appendixref">
    <w:name w:val="Appendix_ref"/>
    <w:basedOn w:val="Annexref"/>
    <w:next w:val="Appendixtitle"/>
    <w:rsid w:val="00732045"/>
  </w:style>
  <w:style w:type="paragraph" w:customStyle="1" w:styleId="Appendixtitle">
    <w:name w:val="Appendix_title"/>
    <w:basedOn w:val="Annextitle"/>
    <w:next w:val="Normal"/>
    <w:rsid w:val="00732045"/>
  </w:style>
  <w:style w:type="paragraph" w:customStyle="1" w:styleId="Artheading">
    <w:name w:val="Art_heading"/>
    <w:basedOn w:val="Normal"/>
    <w:next w:val="Normalaftertitle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480"/>
      <w:jc w:val="center"/>
    </w:pPr>
    <w:rPr>
      <w:b/>
    </w:rPr>
  </w:style>
  <w:style w:type="paragraph" w:customStyle="1" w:styleId="ArtNo">
    <w:name w:val="Art_No"/>
    <w:basedOn w:val="Normal"/>
    <w:next w:val="Arttitle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240" w:after="240"/>
      <w:jc w:val="center"/>
    </w:pPr>
    <w:rPr>
      <w:b/>
      <w:sz w:val="28"/>
    </w:rPr>
  </w:style>
  <w:style w:type="paragraph" w:customStyle="1" w:styleId="ChapNo">
    <w:name w:val="Chap_No"/>
    <w:basedOn w:val="ArtNo"/>
    <w:next w:val="Chaptitle"/>
    <w:rsid w:val="00732045"/>
  </w:style>
  <w:style w:type="paragraph" w:customStyle="1" w:styleId="Chaptitle">
    <w:name w:val="Chap_title"/>
    <w:basedOn w:val="Arttitle"/>
    <w:next w:val="Normal"/>
    <w:rsid w:val="00732045"/>
  </w:style>
  <w:style w:type="paragraph" w:customStyle="1" w:styleId="Equationlegend">
    <w:name w:val="Equation_legend"/>
    <w:basedOn w:val="NormalIndent"/>
    <w:rsid w:val="005C3890"/>
    <w:pPr>
      <w:tabs>
        <w:tab w:val="right" w:pos="1531"/>
      </w:tabs>
      <w:spacing w:before="80"/>
      <w:ind w:left="1701" w:hanging="1701"/>
    </w:pPr>
  </w:style>
  <w:style w:type="paragraph" w:customStyle="1" w:styleId="Figure">
    <w:name w:val="Figure"/>
    <w:basedOn w:val="Normal"/>
    <w:next w:val="Figuretitle"/>
    <w:rsid w:val="005C3890"/>
    <w:pPr>
      <w:keepNext/>
      <w:keepLines/>
      <w:spacing w:after="120"/>
      <w:jc w:val="center"/>
    </w:pPr>
  </w:style>
  <w:style w:type="paragraph" w:customStyle="1" w:styleId="Figurelegend">
    <w:name w:val="Figure_legend"/>
    <w:basedOn w:val="Normal"/>
    <w:rsid w:val="00A709FE"/>
    <w:pPr>
      <w:spacing w:before="20" w:after="20"/>
    </w:pPr>
    <w:rPr>
      <w:sz w:val="18"/>
    </w:rPr>
  </w:style>
  <w:style w:type="paragraph" w:customStyle="1" w:styleId="TableNo">
    <w:name w:val="Table_No"/>
    <w:basedOn w:val="Normal"/>
    <w:next w:val="Tabletitle"/>
    <w:rsid w:val="00732045"/>
    <w:pPr>
      <w:keepNext/>
      <w:spacing w:before="560" w:after="120"/>
      <w:jc w:val="center"/>
    </w:pPr>
    <w:rPr>
      <w:caps/>
    </w:rPr>
  </w:style>
  <w:style w:type="paragraph" w:customStyle="1" w:styleId="Tabletitle">
    <w:name w:val="Table_title"/>
    <w:basedOn w:val="TableNo"/>
    <w:next w:val="Tabletext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2948"/>
        <w:tab w:val="left" w:pos="4082"/>
      </w:tabs>
      <w:spacing w:before="0"/>
    </w:pPr>
    <w:rPr>
      <w:b/>
      <w:caps w:val="0"/>
    </w:rPr>
  </w:style>
  <w:style w:type="paragraph" w:customStyle="1" w:styleId="Figuretitle">
    <w:name w:val="Figure_title"/>
    <w:basedOn w:val="Tabletitle"/>
    <w:next w:val="Normalaftertitle"/>
    <w:rsid w:val="005C3890"/>
    <w:pPr>
      <w:spacing w:before="240" w:after="480"/>
    </w:pPr>
  </w:style>
  <w:style w:type="paragraph" w:customStyle="1" w:styleId="Figurewithouttitle">
    <w:name w:val="Figure_without_title"/>
    <w:basedOn w:val="Figure"/>
    <w:next w:val="Normalaftertitle"/>
    <w:rsid w:val="005C3890"/>
    <w:pPr>
      <w:keepNext w:val="0"/>
      <w:spacing w:after="240"/>
    </w:pPr>
  </w:style>
  <w:style w:type="paragraph" w:customStyle="1" w:styleId="Headingi">
    <w:name w:val="Heading_i"/>
    <w:basedOn w:val="Heading3"/>
    <w:next w:val="Normal"/>
    <w:rsid w:val="00732045"/>
    <w:pPr>
      <w:spacing w:before="160"/>
      <w:outlineLvl w:val="0"/>
    </w:pPr>
    <w:rPr>
      <w:b w:val="0"/>
      <w:i/>
    </w:rPr>
  </w:style>
  <w:style w:type="character" w:styleId="PageNumber">
    <w:name w:val="page number"/>
    <w:basedOn w:val="DefaultParagraphFont"/>
    <w:rsid w:val="00732045"/>
    <w:rPr>
      <w:rFonts w:ascii="Calibri" w:hAnsi="Calibri"/>
    </w:rPr>
  </w:style>
  <w:style w:type="paragraph" w:customStyle="1" w:styleId="PartNo">
    <w:name w:val="Part_No"/>
    <w:basedOn w:val="AnnexNo"/>
    <w:next w:val="Parttitle"/>
    <w:rsid w:val="005C3890"/>
  </w:style>
  <w:style w:type="paragraph" w:customStyle="1" w:styleId="Partref">
    <w:name w:val="Part_ref"/>
    <w:basedOn w:val="Annexref"/>
    <w:next w:val="Normalaftertitle"/>
    <w:rsid w:val="005C3890"/>
  </w:style>
  <w:style w:type="paragraph" w:customStyle="1" w:styleId="Parttitle">
    <w:name w:val="Part_title"/>
    <w:basedOn w:val="Annextitle"/>
    <w:next w:val="Partref"/>
    <w:rsid w:val="005C3890"/>
  </w:style>
  <w:style w:type="paragraph" w:customStyle="1" w:styleId="RecNo">
    <w:name w:val="Rec_No"/>
    <w:basedOn w:val="Normal"/>
    <w:next w:val="Rectitle"/>
    <w:rsid w:val="00732045"/>
    <w:pPr>
      <w:spacing w:before="720"/>
      <w:jc w:val="center"/>
    </w:pPr>
    <w:rPr>
      <w:caps/>
      <w:sz w:val="28"/>
    </w:rPr>
  </w:style>
  <w:style w:type="paragraph" w:customStyle="1" w:styleId="Rectitle">
    <w:name w:val="Rec_title"/>
    <w:basedOn w:val="Normal"/>
    <w:next w:val="Heading1"/>
    <w:rsid w:val="00732045"/>
    <w:pPr>
      <w:spacing w:before="240"/>
      <w:jc w:val="center"/>
    </w:pPr>
    <w:rPr>
      <w:b/>
      <w:sz w:val="28"/>
    </w:rPr>
  </w:style>
  <w:style w:type="paragraph" w:customStyle="1" w:styleId="Recref">
    <w:name w:val="Rec_ref"/>
    <w:basedOn w:val="Rectitle"/>
    <w:next w:val="Recdate"/>
    <w:rsid w:val="005C3890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5C3890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5C3890"/>
  </w:style>
  <w:style w:type="paragraph" w:customStyle="1" w:styleId="QuestionNo">
    <w:name w:val="Question_No"/>
    <w:basedOn w:val="RecNo"/>
    <w:next w:val="Questiontitle"/>
    <w:rsid w:val="005C3890"/>
  </w:style>
  <w:style w:type="paragraph" w:customStyle="1" w:styleId="Questionref">
    <w:name w:val="Question_ref"/>
    <w:basedOn w:val="Recref"/>
    <w:next w:val="Questiondate"/>
    <w:rsid w:val="005C3890"/>
  </w:style>
  <w:style w:type="paragraph" w:customStyle="1" w:styleId="Questiontitle">
    <w:name w:val="Question_title"/>
    <w:basedOn w:val="Rectitle"/>
    <w:next w:val="Questionref"/>
    <w:rsid w:val="005C3890"/>
  </w:style>
  <w:style w:type="paragraph" w:customStyle="1" w:styleId="Reftext">
    <w:name w:val="Ref_text"/>
    <w:basedOn w:val="Normal"/>
    <w:rsid w:val="00732045"/>
    <w:pPr>
      <w:ind w:left="567" w:hanging="567"/>
    </w:pPr>
  </w:style>
  <w:style w:type="paragraph" w:customStyle="1" w:styleId="Reftitle">
    <w:name w:val="Ref_title"/>
    <w:basedOn w:val="Normal"/>
    <w:next w:val="Reftext"/>
    <w:rsid w:val="00732045"/>
    <w:pPr>
      <w:spacing w:before="480"/>
      <w:jc w:val="center"/>
    </w:pPr>
    <w:rPr>
      <w:caps/>
      <w:sz w:val="28"/>
    </w:rPr>
  </w:style>
  <w:style w:type="paragraph" w:customStyle="1" w:styleId="Repdate">
    <w:name w:val="Rep_date"/>
    <w:basedOn w:val="Recdate"/>
    <w:next w:val="Normalaftertitle"/>
    <w:rsid w:val="005C3890"/>
  </w:style>
  <w:style w:type="paragraph" w:customStyle="1" w:styleId="RepNo">
    <w:name w:val="Rep_No"/>
    <w:basedOn w:val="RecNo"/>
    <w:next w:val="Reptitle"/>
    <w:rsid w:val="005C3890"/>
  </w:style>
  <w:style w:type="paragraph" w:customStyle="1" w:styleId="Repref">
    <w:name w:val="Rep_ref"/>
    <w:basedOn w:val="Recref"/>
    <w:next w:val="Repdate"/>
    <w:rsid w:val="005C3890"/>
  </w:style>
  <w:style w:type="paragraph" w:customStyle="1" w:styleId="Reptitle">
    <w:name w:val="Rep_title"/>
    <w:basedOn w:val="Rectitle"/>
    <w:next w:val="Repref"/>
    <w:rsid w:val="005C3890"/>
  </w:style>
  <w:style w:type="paragraph" w:customStyle="1" w:styleId="Resdate">
    <w:name w:val="Res_date"/>
    <w:basedOn w:val="Recdate"/>
    <w:next w:val="Normalaftertitle"/>
    <w:rsid w:val="005C3890"/>
  </w:style>
  <w:style w:type="paragraph" w:customStyle="1" w:styleId="ResNo">
    <w:name w:val="Res_No"/>
    <w:basedOn w:val="AnnexNo"/>
    <w:next w:val="Restitle"/>
    <w:rsid w:val="00732045"/>
  </w:style>
  <w:style w:type="paragraph" w:customStyle="1" w:styleId="Resref">
    <w:name w:val="Res_ref"/>
    <w:basedOn w:val="Recref"/>
    <w:next w:val="Resdate"/>
    <w:rsid w:val="005C3890"/>
  </w:style>
  <w:style w:type="paragraph" w:customStyle="1" w:styleId="Restitle">
    <w:name w:val="Res_title"/>
    <w:basedOn w:val="Annextitle"/>
    <w:next w:val="Normal"/>
    <w:rsid w:val="00732045"/>
  </w:style>
  <w:style w:type="paragraph" w:customStyle="1" w:styleId="SectionNo">
    <w:name w:val="Section_No"/>
    <w:basedOn w:val="AnnexNo"/>
    <w:next w:val="Sectiontitle"/>
    <w:rsid w:val="005C3890"/>
  </w:style>
  <w:style w:type="paragraph" w:customStyle="1" w:styleId="Sectiontitle">
    <w:name w:val="Section_title"/>
    <w:basedOn w:val="Normal"/>
    <w:next w:val="Normalaftertitle"/>
    <w:rsid w:val="005C3890"/>
    <w:rPr>
      <w:sz w:val="28"/>
    </w:rPr>
  </w:style>
  <w:style w:type="paragraph" w:customStyle="1" w:styleId="SpecialFooter">
    <w:name w:val="Special Footer"/>
    <w:basedOn w:val="Footer"/>
    <w:rsid w:val="005C3890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text">
    <w:name w:val="Table_text"/>
    <w:basedOn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" w:after="60"/>
    </w:pPr>
    <w:rPr>
      <w:sz w:val="22"/>
    </w:rPr>
  </w:style>
  <w:style w:type="paragraph" w:customStyle="1" w:styleId="Tablehead">
    <w:name w:val="Table_head"/>
    <w:basedOn w:val="Tabletext"/>
    <w:rsid w:val="00732045"/>
    <w:pPr>
      <w:spacing w:before="120" w:after="120"/>
      <w:jc w:val="center"/>
    </w:pPr>
    <w:rPr>
      <w:b/>
    </w:rPr>
  </w:style>
  <w:style w:type="paragraph" w:customStyle="1" w:styleId="Tablelegend">
    <w:name w:val="Table_legend"/>
    <w:basedOn w:val="Tabletext"/>
    <w:rsid w:val="00732045"/>
    <w:pPr>
      <w:spacing w:before="120"/>
    </w:pPr>
  </w:style>
  <w:style w:type="paragraph" w:customStyle="1" w:styleId="Tableref">
    <w:name w:val="Table_ref"/>
    <w:basedOn w:val="Normal"/>
    <w:next w:val="Tabletitle"/>
    <w:rsid w:val="005C3890"/>
    <w:pPr>
      <w:keepNext/>
      <w:spacing w:before="567"/>
      <w:jc w:val="center"/>
    </w:pPr>
  </w:style>
  <w:style w:type="paragraph" w:customStyle="1" w:styleId="Title2">
    <w:name w:val="Title 2"/>
    <w:basedOn w:val="Source"/>
    <w:next w:val="Title3"/>
    <w:rsid w:val="00732045"/>
    <w:pPr>
      <w:spacing w:before="240"/>
    </w:pPr>
    <w:rPr>
      <w:b w:val="0"/>
      <w:caps/>
    </w:rPr>
  </w:style>
  <w:style w:type="paragraph" w:customStyle="1" w:styleId="Title3">
    <w:name w:val="Title 3"/>
    <w:basedOn w:val="Title2"/>
    <w:next w:val="Normalaftertitle"/>
    <w:rsid w:val="00732045"/>
    <w:rPr>
      <w:caps w:val="0"/>
    </w:rPr>
  </w:style>
  <w:style w:type="paragraph" w:customStyle="1" w:styleId="Title4">
    <w:name w:val="Title 4"/>
    <w:basedOn w:val="Title3"/>
    <w:next w:val="Heading1"/>
    <w:rsid w:val="005C3890"/>
    <w:rPr>
      <w:b/>
    </w:rPr>
  </w:style>
  <w:style w:type="paragraph" w:customStyle="1" w:styleId="FigureNo">
    <w:name w:val="Figure_No"/>
    <w:basedOn w:val="Normal"/>
    <w:next w:val="Figuretitle"/>
    <w:rsid w:val="005C3890"/>
    <w:pPr>
      <w:keepNext/>
      <w:keepLines/>
      <w:spacing w:before="240" w:after="120"/>
      <w:jc w:val="center"/>
    </w:pPr>
    <w:rPr>
      <w:caps/>
    </w:rPr>
  </w:style>
  <w:style w:type="paragraph" w:customStyle="1" w:styleId="firstfooter0">
    <w:name w:val="firstfooter"/>
    <w:basedOn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SimSun"/>
      <w:szCs w:val="24"/>
      <w:lang w:val="en-US" w:eastAsia="zh-CN"/>
    </w:rPr>
  </w:style>
  <w:style w:type="paragraph" w:customStyle="1" w:styleId="Table">
    <w:name w:val="Table_#"/>
    <w:basedOn w:val="Normal"/>
    <w:next w:val="Normal"/>
    <w:rsid w:val="00520F36"/>
    <w:pPr>
      <w:keepNext/>
      <w:tabs>
        <w:tab w:val="clear" w:pos="567"/>
        <w:tab w:val="clear" w:pos="1134"/>
        <w:tab w:val="clear" w:pos="1701"/>
        <w:tab w:val="clear" w:pos="2268"/>
        <w:tab w:val="clear" w:pos="2835"/>
        <w:tab w:val="left" w:pos="794"/>
        <w:tab w:val="left" w:pos="1191"/>
        <w:tab w:val="left" w:pos="1588"/>
        <w:tab w:val="left" w:pos="1985"/>
      </w:tabs>
      <w:overflowPunct/>
      <w:autoSpaceDE/>
      <w:autoSpaceDN/>
      <w:adjustRightInd/>
      <w:spacing w:before="560" w:after="120"/>
      <w:jc w:val="center"/>
      <w:textAlignment w:val="auto"/>
    </w:pPr>
    <w:rPr>
      <w:rFonts w:ascii="Times New Roman" w:hAnsi="Times New Roman"/>
      <w:caps/>
      <w:lang w:val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F75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tu.int/md/S20-CL-C-0016/en" TargetMode="External"/><Relationship Id="rId13" Type="http://schemas.openxmlformats.org/officeDocument/2006/relationships/hyperlink" Target="https://www.itu.int/md/S20-CL-C-0016/en" TargetMode="External"/><Relationship Id="rId18" Type="http://schemas.openxmlformats.org/officeDocument/2006/relationships/hyperlink" Target="https://www.itu.int/md/S20-DM-CIR-01009/en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image" Target="media/image1.jpeg"/><Relationship Id="rId12" Type="http://schemas.openxmlformats.org/officeDocument/2006/relationships/hyperlink" Target="http://www.itu.int/md/S20-CL-C-0011/en" TargetMode="External"/><Relationship Id="rId17" Type="http://schemas.openxmlformats.org/officeDocument/2006/relationships/hyperlink" Target="https://www.itu.int/md/S21-CL-C-0011/en" TargetMode="External"/><Relationship Id="rId25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yperlink" Target="https://www.itu.int/md/S20-DM-CIR-01011/en" TargetMode="External"/><Relationship Id="rId20" Type="http://schemas.openxmlformats.org/officeDocument/2006/relationships/hyperlink" Target="https://www.itu.int/md/S21-CL-C-0011/en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itu.int/md/S19-CL-C-0011/en" TargetMode="External"/><Relationship Id="rId24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https://www.itu.int/md/S20-DM-CIR-01009/en" TargetMode="External"/><Relationship Id="rId23" Type="http://schemas.openxmlformats.org/officeDocument/2006/relationships/footer" Target="footer1.xml"/><Relationship Id="rId10" Type="http://schemas.openxmlformats.org/officeDocument/2006/relationships/hyperlink" Target="https://www.itu.int/md/S18-CL-C-0114/en" TargetMode="External"/><Relationship Id="rId19" Type="http://schemas.openxmlformats.org/officeDocument/2006/relationships/hyperlink" Target="https://www.itu.int/md/S20-DM-CIR-01011/e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tu.int/en/council/Documents/basic-texts/RES-091-F.pdf" TargetMode="External"/><Relationship Id="rId14" Type="http://schemas.openxmlformats.org/officeDocument/2006/relationships/hyperlink" Target="https://www.itu.int/md/S20-CLVC-200609-TD-0002/en" TargetMode="External"/><Relationship Id="rId22" Type="http://schemas.openxmlformats.org/officeDocument/2006/relationships/header" Target="header2.xml"/><Relationship Id="rId27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tu.int/counci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ollonge\Desktop\PF_C2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EE8060-940A-4BE2-848F-F146AD380E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PF_C21.dotx</Template>
  <TotalTime>1</TotalTime>
  <Pages>3</Pages>
  <Words>776</Words>
  <Characters>4917</Characters>
  <Application>Microsoft Office Word</Application>
  <DocSecurity>4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Secrétariat général - Pool</Manager>
  <Company>Union internationale des télécommunications (UIT)</Company>
  <LinksUpToDate>false</LinksUpToDate>
  <CharactersWithSpaces>5682</CharactersWithSpaces>
  <SharedDoc>false</SharedDoc>
  <HLinks>
    <vt:vector size="6" baseType="variant">
      <vt:variant>
        <vt:i4>3342371</vt:i4>
      </vt:variant>
      <vt:variant>
        <vt:i4>24</vt:i4>
      </vt:variant>
      <vt:variant>
        <vt:i4>0</vt:i4>
      </vt:variant>
      <vt:variant>
        <vt:i4>5</vt:i4>
      </vt:variant>
      <vt:variant>
        <vt:lpwstr>http://www.itu.int/council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Recouvrement des coûts pour le traitement des fiches de notification des réseaux à satellite</dc:title>
  <dc:subject>Council 2021, Virtual consultation of councillors</dc:subject>
  <dc:creator>Collonge, Marion</dc:creator>
  <cp:keywords>C2021, C21, VCC, C21-VCC-1</cp:keywords>
  <dc:description/>
  <cp:lastModifiedBy>Xue, Kun</cp:lastModifiedBy>
  <cp:revision>2</cp:revision>
  <cp:lastPrinted>2000-07-18T08:55:00Z</cp:lastPrinted>
  <dcterms:created xsi:type="dcterms:W3CDTF">2021-05-07T10:25:00Z</dcterms:created>
  <dcterms:modified xsi:type="dcterms:W3CDTF">2021-05-07T10:25:00Z</dcterms:modified>
  <cp:category>Document de conférence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Document C17/-F</vt:lpwstr>
  </property>
  <property fmtid="{D5CDD505-2E9C-101B-9397-08002B2CF9AE}" pid="3" name="Docdate">
    <vt:lpwstr>janvier 2017</vt:lpwstr>
  </property>
  <property fmtid="{D5CDD505-2E9C-101B-9397-08002B2CF9AE}" pid="4" name="Docorlang">
    <vt:lpwstr>Original: anglais</vt:lpwstr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</Properties>
</file>