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61DBA82" w14:textId="77777777">
        <w:trPr>
          <w:cantSplit/>
        </w:trPr>
        <w:tc>
          <w:tcPr>
            <w:tcW w:w="6912" w:type="dxa"/>
          </w:tcPr>
          <w:p w14:paraId="0BA9BF9D" w14:textId="7D9B1A95" w:rsidR="00093EEB" w:rsidRPr="00EA182B" w:rsidRDefault="00093EEB" w:rsidP="00EA182B">
            <w:pPr>
              <w:spacing w:before="360"/>
              <w:rPr>
                <w:b/>
                <w:bCs/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EA182B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EA182B" w:rsidRPr="00EA182B">
              <w:rPr>
                <w:b/>
                <w:bCs/>
                <w:szCs w:val="24"/>
              </w:rPr>
              <w:t>Consulta virtual de los consejeros</w:t>
            </w:r>
            <w:r w:rsidR="00EA182B">
              <w:rPr>
                <w:b/>
                <w:bCs/>
                <w:szCs w:val="24"/>
              </w:rPr>
              <w:t>, 8-18</w:t>
            </w:r>
            <w:r w:rsidR="00EA182B" w:rsidRPr="00EA182B">
              <w:rPr>
                <w:b/>
                <w:bCs/>
                <w:szCs w:val="24"/>
              </w:rPr>
              <w:t xml:space="preserve"> de junio de 202</w:t>
            </w:r>
            <w:r w:rsidR="00EA182B">
              <w:rPr>
                <w:b/>
                <w:bCs/>
                <w:szCs w:val="24"/>
              </w:rPr>
              <w:t>1</w:t>
            </w:r>
          </w:p>
        </w:tc>
        <w:tc>
          <w:tcPr>
            <w:tcW w:w="3261" w:type="dxa"/>
          </w:tcPr>
          <w:p w14:paraId="0A28B112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664FBBC8" wp14:editId="1BE3D6B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17CD6C1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4D88E531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EFBC25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EB82EF5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AEE31DD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2717DB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B5BD314" w14:textId="23E33D80" w:rsidR="00093EEB" w:rsidRPr="00093EEB" w:rsidRDefault="00EA182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 xml:space="preserve">Punto del orden del día: </w:t>
            </w:r>
            <w:r w:rsidRPr="00D57908">
              <w:rPr>
                <w:rFonts w:cs="Times"/>
                <w:b/>
                <w:szCs w:val="24"/>
                <w:lang w:val="es-ES"/>
              </w:rPr>
              <w:t>PL 3.5</w:t>
            </w:r>
          </w:p>
        </w:tc>
        <w:tc>
          <w:tcPr>
            <w:tcW w:w="3261" w:type="dxa"/>
          </w:tcPr>
          <w:p w14:paraId="0CBDA50C" w14:textId="0E742E79"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7955DA">
              <w:rPr>
                <w:b/>
                <w:bCs/>
                <w:szCs w:val="24"/>
              </w:rPr>
              <w:t>2</w:t>
            </w:r>
            <w:r w:rsidR="00EA182B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/</w:t>
            </w:r>
            <w:r w:rsidR="00EA182B">
              <w:rPr>
                <w:b/>
                <w:bCs/>
                <w:szCs w:val="24"/>
              </w:rPr>
              <w:t>14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223382A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6F0FD2C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562D4817" w14:textId="3C31BF82" w:rsidR="00093EEB" w:rsidRPr="00093EEB" w:rsidRDefault="00EA182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  <w:r w:rsidR="0077252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de febrero</w:t>
            </w:r>
            <w:r w:rsidR="00093EEB">
              <w:rPr>
                <w:b/>
                <w:bCs/>
                <w:szCs w:val="24"/>
              </w:rPr>
              <w:t xml:space="preserve"> de 20</w:t>
            </w:r>
            <w:r w:rsidR="007955DA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1</w:t>
            </w:r>
          </w:p>
        </w:tc>
      </w:tr>
      <w:tr w:rsidR="00093EEB" w:rsidRPr="000B0D00" w14:paraId="4DB407B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D283AE1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7B678707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116A901C" w14:textId="77777777">
        <w:trPr>
          <w:cantSplit/>
        </w:trPr>
        <w:tc>
          <w:tcPr>
            <w:tcW w:w="10173" w:type="dxa"/>
            <w:gridSpan w:val="2"/>
          </w:tcPr>
          <w:p w14:paraId="0E98A7D0" w14:textId="7AEF8BD6" w:rsidR="00093EEB" w:rsidRPr="000B0D00" w:rsidRDefault="00EA182B">
            <w:pPr>
              <w:pStyle w:val="Source"/>
            </w:pPr>
            <w:bookmarkStart w:id="7" w:name="dsource" w:colFirst="0" w:colLast="0"/>
            <w:bookmarkEnd w:id="1"/>
            <w:bookmarkEnd w:id="6"/>
            <w:r>
              <w:t>Informe del Secretario General</w:t>
            </w:r>
          </w:p>
        </w:tc>
      </w:tr>
      <w:tr w:rsidR="00093EEB" w:rsidRPr="00452326" w14:paraId="3E21D1DF" w14:textId="77777777">
        <w:trPr>
          <w:cantSplit/>
        </w:trPr>
        <w:tc>
          <w:tcPr>
            <w:tcW w:w="10173" w:type="dxa"/>
            <w:gridSpan w:val="2"/>
          </w:tcPr>
          <w:p w14:paraId="402748D4" w14:textId="43AF0C10" w:rsidR="00093EEB" w:rsidRPr="00452326" w:rsidRDefault="00452326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452326">
              <w:rPr>
                <w:lang w:val="es-ES"/>
              </w:rPr>
              <w:t xml:space="preserve">RECOPILACIÓN DE LOS RESULTADOS DE LAS CONSULTAS VIRTUALES </w:t>
            </w:r>
            <w:r w:rsidR="00A548E9">
              <w:rPr>
                <w:lang w:val="es-ES"/>
              </w:rPr>
              <w:br/>
            </w:r>
            <w:r w:rsidRPr="00452326">
              <w:rPr>
                <w:lang w:val="es-ES"/>
              </w:rPr>
              <w:t>DE LOS CONSEJEROS CELEBRADAS EN</w:t>
            </w:r>
            <w:r w:rsidR="00EA182B" w:rsidRPr="00452326">
              <w:rPr>
                <w:lang w:val="es-ES"/>
              </w:rPr>
              <w:t xml:space="preserve"> 2020 </w:t>
            </w:r>
            <w:r w:rsidRPr="00452326">
              <w:rPr>
                <w:lang w:val="es-ES"/>
              </w:rPr>
              <w:t>Y</w:t>
            </w:r>
            <w:r>
              <w:rPr>
                <w:lang w:val="es-ES"/>
              </w:rPr>
              <w:t xml:space="preserve"> DE LAS CONCLUSIONES </w:t>
            </w:r>
            <w:r w:rsidR="00695F8F">
              <w:rPr>
                <w:lang w:val="es-ES"/>
              </w:rPr>
              <w:br/>
            </w:r>
            <w:r>
              <w:rPr>
                <w:lang w:val="es-ES"/>
              </w:rPr>
              <w:t>ALCANZADAS POR CORRESPONDENCIA</w:t>
            </w:r>
          </w:p>
        </w:tc>
      </w:tr>
      <w:bookmarkEnd w:id="8"/>
    </w:tbl>
    <w:p w14:paraId="327D1E38" w14:textId="77777777" w:rsidR="00093EEB" w:rsidRPr="00452326" w:rsidRDefault="00093EEB">
      <w:pPr>
        <w:rPr>
          <w:lang w:val="es-ES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D57908" w14:paraId="1A905D6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D2BC1" w14:textId="77777777" w:rsidR="00093EEB" w:rsidRPr="00131420" w:rsidRDefault="00093EEB">
            <w:pPr>
              <w:pStyle w:val="Headingb"/>
              <w:rPr>
                <w:lang w:val="es-ES"/>
              </w:rPr>
            </w:pPr>
            <w:r w:rsidRPr="00131420">
              <w:rPr>
                <w:lang w:val="es-ES"/>
              </w:rPr>
              <w:t>Resumen</w:t>
            </w:r>
          </w:p>
          <w:p w14:paraId="7F8443AE" w14:textId="55F0AD7C" w:rsidR="00093EEB" w:rsidRPr="00131420" w:rsidRDefault="00452326">
            <w:pPr>
              <w:rPr>
                <w:lang w:val="es-ES"/>
              </w:rPr>
            </w:pPr>
            <w:r w:rsidRPr="00131420">
              <w:rPr>
                <w:lang w:val="es-ES"/>
              </w:rPr>
              <w:t>En el marco de la organización de las dos Consultas virtuales de los consejeros, celebradas del</w:t>
            </w:r>
            <w:r w:rsidR="00EA182B" w:rsidRPr="00131420">
              <w:rPr>
                <w:lang w:val="es-ES"/>
              </w:rPr>
              <w:t xml:space="preserve"> 9</w:t>
            </w:r>
            <w:r w:rsidRPr="00131420">
              <w:rPr>
                <w:lang w:val="es-ES"/>
              </w:rPr>
              <w:t xml:space="preserve"> al </w:t>
            </w:r>
            <w:r w:rsidR="00EA182B" w:rsidRPr="00131420">
              <w:rPr>
                <w:lang w:val="es-ES"/>
              </w:rPr>
              <w:t xml:space="preserve">12 </w:t>
            </w:r>
            <w:r w:rsidRPr="00131420">
              <w:rPr>
                <w:lang w:val="es-ES"/>
              </w:rPr>
              <w:t>de junio y del</w:t>
            </w:r>
            <w:r w:rsidR="00EA182B" w:rsidRPr="00131420">
              <w:rPr>
                <w:lang w:val="es-ES"/>
              </w:rPr>
              <w:t xml:space="preserve"> 16</w:t>
            </w:r>
            <w:r w:rsidR="00393827">
              <w:rPr>
                <w:lang w:val="es-ES"/>
              </w:rPr>
              <w:t xml:space="preserve"> al </w:t>
            </w:r>
            <w:r w:rsidR="00EA182B" w:rsidRPr="00131420">
              <w:rPr>
                <w:lang w:val="es-ES"/>
              </w:rPr>
              <w:t xml:space="preserve">20 </w:t>
            </w:r>
            <w:r w:rsidRPr="00131420">
              <w:rPr>
                <w:lang w:val="es-ES"/>
              </w:rPr>
              <w:t>de noviembre de</w:t>
            </w:r>
            <w:r w:rsidR="00EA182B" w:rsidRPr="00131420">
              <w:rPr>
                <w:lang w:val="es-ES"/>
              </w:rPr>
              <w:t xml:space="preserve"> 2020, </w:t>
            </w:r>
            <w:r w:rsidRPr="00131420">
              <w:rPr>
                <w:lang w:val="es-ES"/>
              </w:rPr>
              <w:t>se invitó a la Secretaría a presentar a la próxima reunión del Consejo una recopilación de los resultados de los debates sostenidos durante esas reuniones</w:t>
            </w:r>
            <w:r w:rsidR="00EA182B" w:rsidRPr="00131420">
              <w:rPr>
                <w:lang w:val="es-ES"/>
              </w:rPr>
              <w:t>.</w:t>
            </w:r>
          </w:p>
          <w:p w14:paraId="10256FBD" w14:textId="77777777" w:rsidR="00093EEB" w:rsidRPr="00131420" w:rsidRDefault="00093EEB">
            <w:pPr>
              <w:pStyle w:val="Headingb"/>
              <w:rPr>
                <w:lang w:val="es-ES"/>
              </w:rPr>
            </w:pPr>
            <w:r w:rsidRPr="00131420">
              <w:rPr>
                <w:lang w:val="es-ES"/>
              </w:rPr>
              <w:t>Acción solicitada</w:t>
            </w:r>
          </w:p>
          <w:p w14:paraId="073C4D27" w14:textId="71206F10" w:rsidR="00093EEB" w:rsidRPr="00131420" w:rsidRDefault="00452326">
            <w:pPr>
              <w:rPr>
                <w:lang w:val="es-ES"/>
              </w:rPr>
            </w:pPr>
            <w:r w:rsidRPr="00131420">
              <w:rPr>
                <w:lang w:val="es-ES"/>
              </w:rPr>
              <w:t>Se invita al Consejo a tomar nota del presente documento</w:t>
            </w:r>
            <w:r w:rsidR="00EA182B" w:rsidRPr="00131420">
              <w:rPr>
                <w:lang w:val="es-ES"/>
              </w:rPr>
              <w:t>.</w:t>
            </w:r>
          </w:p>
          <w:p w14:paraId="2F687A15" w14:textId="77777777" w:rsidR="00093EEB" w:rsidRPr="0013142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131420">
              <w:rPr>
                <w:caps w:val="0"/>
                <w:sz w:val="22"/>
                <w:lang w:val="es-ES"/>
              </w:rPr>
              <w:t>____________</w:t>
            </w:r>
          </w:p>
          <w:p w14:paraId="562031D9" w14:textId="4241CE77" w:rsidR="00093EEB" w:rsidRPr="00131420" w:rsidRDefault="00093EEB">
            <w:pPr>
              <w:pStyle w:val="Headingb"/>
              <w:rPr>
                <w:lang w:val="es-ES"/>
              </w:rPr>
            </w:pPr>
            <w:r w:rsidRPr="00131420">
              <w:rPr>
                <w:lang w:val="es-ES"/>
              </w:rPr>
              <w:t>Referencia</w:t>
            </w:r>
            <w:r w:rsidR="00EA182B" w:rsidRPr="00131420">
              <w:rPr>
                <w:lang w:val="es-ES"/>
              </w:rPr>
              <w:t>s</w:t>
            </w:r>
          </w:p>
          <w:p w14:paraId="29CF8E3C" w14:textId="5C40443D" w:rsidR="00093EEB" w:rsidRPr="00D57908" w:rsidRDefault="00A548E9">
            <w:pPr>
              <w:spacing w:after="120"/>
              <w:rPr>
                <w:i/>
                <w:iCs/>
                <w:lang w:val="en-US"/>
              </w:rPr>
            </w:pPr>
            <w:hyperlink r:id="rId9" w:history="1">
              <w:r w:rsidR="00EA182B" w:rsidRPr="00EA182B">
                <w:rPr>
                  <w:rStyle w:val="Hyperlink"/>
                  <w:i/>
                  <w:iCs/>
                  <w:lang w:val="en-GB"/>
                </w:rPr>
                <w:t>VC/DT/1(Rev.3)</w:t>
              </w:r>
            </w:hyperlink>
            <w:r w:rsidR="00EA182B" w:rsidRPr="00EA182B">
              <w:rPr>
                <w:i/>
                <w:iCs/>
                <w:lang w:val="en-GB"/>
              </w:rPr>
              <w:t xml:space="preserve">, </w:t>
            </w:r>
            <w:hyperlink r:id="rId10" w:history="1">
              <w:r w:rsidR="00EA182B" w:rsidRPr="00EA182B">
                <w:rPr>
                  <w:rStyle w:val="Hyperlink"/>
                  <w:i/>
                  <w:iCs/>
                  <w:lang w:val="en-GB"/>
                </w:rPr>
                <w:t>DM-20/1011</w:t>
              </w:r>
            </w:hyperlink>
            <w:r w:rsidR="00EA182B" w:rsidRPr="00EA182B">
              <w:rPr>
                <w:i/>
                <w:iCs/>
                <w:lang w:val="en-GB"/>
              </w:rPr>
              <w:t xml:space="preserve">, </w:t>
            </w:r>
            <w:hyperlink r:id="rId11" w:history="1">
              <w:r w:rsidR="00EA182B" w:rsidRPr="00EA182B">
                <w:rPr>
                  <w:rStyle w:val="Hyperlink"/>
                  <w:i/>
                  <w:iCs/>
                  <w:lang w:val="en-GB"/>
                </w:rPr>
                <w:t>CL-20/40</w:t>
              </w:r>
            </w:hyperlink>
            <w:r w:rsidR="00EA182B" w:rsidRPr="00EA182B">
              <w:rPr>
                <w:i/>
                <w:iCs/>
                <w:lang w:val="en-GB"/>
              </w:rPr>
              <w:t xml:space="preserve">, </w:t>
            </w:r>
            <w:hyperlink r:id="rId12" w:history="1">
              <w:r w:rsidR="00EA182B" w:rsidRPr="00EA182B">
                <w:rPr>
                  <w:rStyle w:val="Hyperlink"/>
                  <w:i/>
                  <w:iCs/>
                  <w:lang w:val="en-GB"/>
                </w:rPr>
                <w:t>VCC-2/DT/1(Rev.4)</w:t>
              </w:r>
            </w:hyperlink>
            <w:r w:rsidR="00EA182B" w:rsidRPr="00EA182B">
              <w:rPr>
                <w:i/>
                <w:iCs/>
                <w:lang w:val="en-GB"/>
              </w:rPr>
              <w:t xml:space="preserve">, </w:t>
            </w:r>
            <w:hyperlink r:id="rId13" w:history="1">
              <w:r w:rsidR="00EA182B" w:rsidRPr="00EA182B">
                <w:rPr>
                  <w:rStyle w:val="Hyperlink"/>
                  <w:i/>
                  <w:iCs/>
                  <w:lang w:val="en-GB"/>
                </w:rPr>
                <w:t>DM-20/1022</w:t>
              </w:r>
            </w:hyperlink>
            <w:r w:rsidR="00EA182B" w:rsidRPr="00EA182B">
              <w:rPr>
                <w:i/>
                <w:iCs/>
                <w:lang w:val="en-GB"/>
              </w:rPr>
              <w:t xml:space="preserve">, </w:t>
            </w:r>
            <w:hyperlink r:id="rId14" w:history="1">
              <w:r w:rsidR="00EA182B" w:rsidRPr="00EA182B">
                <w:rPr>
                  <w:rStyle w:val="Hyperlink"/>
                  <w:i/>
                  <w:iCs/>
                  <w:lang w:val="en-GB"/>
                </w:rPr>
                <w:t>CL</w:t>
              </w:r>
              <w:r w:rsidR="00131420">
                <w:rPr>
                  <w:rStyle w:val="Hyperlink"/>
                  <w:i/>
                  <w:iCs/>
                  <w:lang w:val="en-GB"/>
                </w:rPr>
                <w:noBreakHyphen/>
              </w:r>
              <w:r w:rsidR="00EA182B" w:rsidRPr="00EA182B">
                <w:rPr>
                  <w:rStyle w:val="Hyperlink"/>
                  <w:i/>
                  <w:iCs/>
                  <w:lang w:val="en-GB"/>
                </w:rPr>
                <w:t>20/51</w:t>
              </w:r>
            </w:hyperlink>
          </w:p>
        </w:tc>
      </w:tr>
    </w:tbl>
    <w:p w14:paraId="107CF92E" w14:textId="77777777" w:rsidR="00EA182B" w:rsidRPr="00D57908" w:rsidRDefault="00EA182B" w:rsidP="000B0D00">
      <w:pPr>
        <w:rPr>
          <w:lang w:val="en-US"/>
        </w:rPr>
      </w:pPr>
    </w:p>
    <w:p w14:paraId="53358FE6" w14:textId="48DE3AA7" w:rsidR="00EA182B" w:rsidRPr="00D57908" w:rsidRDefault="00EA182B" w:rsidP="000B0D00">
      <w:pPr>
        <w:rPr>
          <w:lang w:val="en-US"/>
        </w:rPr>
        <w:sectPr w:rsidR="00EA182B" w:rsidRPr="00D57908" w:rsidSect="006710F6">
          <w:headerReference w:type="default" r:id="rId15"/>
          <w:footerReference w:type="default" r:id="rId16"/>
          <w:footerReference w:type="first" r:id="rId1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A356282" w14:textId="5DC41EEE" w:rsidR="00EA182B" w:rsidRPr="00452326" w:rsidRDefault="00452326" w:rsidP="00EA182B">
      <w:pPr>
        <w:pStyle w:val="Tabletitle"/>
        <w:rPr>
          <w:lang w:val="es-ES"/>
        </w:rPr>
      </w:pPr>
      <w:r w:rsidRPr="00452326">
        <w:rPr>
          <w:lang w:val="es-ES"/>
        </w:rPr>
        <w:lastRenderedPageBreak/>
        <w:t>Resultados de los debates de la primera Consulta virtual de los consejeros</w:t>
      </w:r>
      <w:r w:rsidR="00EA182B" w:rsidRPr="00452326">
        <w:rPr>
          <w:lang w:val="es-ES"/>
        </w:rPr>
        <w:t xml:space="preserve">, 9-12 </w:t>
      </w:r>
      <w:r w:rsidRPr="00452326">
        <w:rPr>
          <w:lang w:val="es-ES"/>
        </w:rPr>
        <w:t>d</w:t>
      </w:r>
      <w:r>
        <w:rPr>
          <w:lang w:val="es-ES"/>
        </w:rPr>
        <w:t>e junio de</w:t>
      </w:r>
      <w:r w:rsidR="00EA182B" w:rsidRPr="00452326">
        <w:rPr>
          <w:lang w:val="es-ES"/>
        </w:rPr>
        <w:t xml:space="preserve"> 2020 (</w:t>
      </w:r>
      <w:hyperlink r:id="rId18" w:history="1">
        <w:r w:rsidR="00EA182B" w:rsidRPr="00452326">
          <w:rPr>
            <w:rStyle w:val="Hyperlink"/>
            <w:lang w:val="es-ES"/>
          </w:rPr>
          <w:t>VC/DT/1(Rev.3)</w:t>
        </w:r>
      </w:hyperlink>
      <w:r w:rsidR="00EA182B" w:rsidRPr="00452326">
        <w:rPr>
          <w:lang w:val="es-ES"/>
        </w:rPr>
        <w:t xml:space="preserve">) </w:t>
      </w:r>
      <w:r w:rsidR="00EA182B" w:rsidRPr="00452326">
        <w:rPr>
          <w:lang w:val="es-ES"/>
        </w:rPr>
        <w:br/>
      </w:r>
      <w:r>
        <w:rPr>
          <w:lang w:val="es-ES"/>
        </w:rPr>
        <w:t>y conclusiones alcanzadas por correspondencia</w:t>
      </w:r>
      <w:r w:rsidR="00EA182B" w:rsidRPr="00452326">
        <w:rPr>
          <w:lang w:val="es-ES"/>
        </w:rPr>
        <w:t xml:space="preserve"> (</w:t>
      </w:r>
      <w:hyperlink r:id="rId19" w:history="1">
        <w:r w:rsidR="00EA182B" w:rsidRPr="00452326">
          <w:rPr>
            <w:rStyle w:val="Hyperlink"/>
            <w:lang w:val="es-ES"/>
          </w:rPr>
          <w:t>DM-20/1011</w:t>
        </w:r>
      </w:hyperlink>
      <w:r w:rsidR="00EA182B" w:rsidRPr="00452326">
        <w:rPr>
          <w:lang w:val="es-ES"/>
        </w:rPr>
        <w:t xml:space="preserve">, </w:t>
      </w:r>
      <w:hyperlink r:id="rId20" w:history="1">
        <w:r w:rsidR="00EA182B" w:rsidRPr="00452326">
          <w:rPr>
            <w:rStyle w:val="Hyperlink"/>
            <w:lang w:val="es-ES"/>
          </w:rPr>
          <w:t>CL-20/40</w:t>
        </w:r>
      </w:hyperlink>
      <w:r w:rsidR="00EA182B" w:rsidRPr="00452326">
        <w:rPr>
          <w:lang w:val="es-ES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1822"/>
        <w:gridCol w:w="6190"/>
        <w:gridCol w:w="1809"/>
      </w:tblGrid>
      <w:tr w:rsidR="00EA182B" w:rsidRPr="00131420" w14:paraId="00898B58" w14:textId="77777777" w:rsidTr="00E92052">
        <w:trPr>
          <w:tblHeader/>
          <w:jc w:val="center"/>
        </w:trPr>
        <w:tc>
          <w:tcPr>
            <w:tcW w:w="4167" w:type="dxa"/>
            <w:shd w:val="clear" w:color="auto" w:fill="F2F2F2"/>
          </w:tcPr>
          <w:p w14:paraId="746415D0" w14:textId="0BFE1732" w:rsidR="00EA182B" w:rsidRPr="00131420" w:rsidRDefault="00452326" w:rsidP="00EC5B3F">
            <w:pPr>
              <w:pStyle w:val="Tablehead"/>
              <w:rPr>
                <w:lang w:val="es-ES"/>
              </w:rPr>
            </w:pPr>
            <w:r w:rsidRPr="00131420">
              <w:rPr>
                <w:lang w:val="es-ES"/>
              </w:rPr>
              <w:t>Punto del orden del día</w:t>
            </w:r>
          </w:p>
        </w:tc>
        <w:tc>
          <w:tcPr>
            <w:tcW w:w="1822" w:type="dxa"/>
            <w:shd w:val="clear" w:color="auto" w:fill="F2F2F2"/>
          </w:tcPr>
          <w:p w14:paraId="3EA5C0DA" w14:textId="20777A7A" w:rsidR="00EA182B" w:rsidRPr="00131420" w:rsidRDefault="00452326" w:rsidP="00393827">
            <w:pPr>
              <w:pStyle w:val="Tablehead"/>
              <w:rPr>
                <w:lang w:val="es-ES"/>
              </w:rPr>
            </w:pPr>
            <w:r w:rsidRPr="00131420">
              <w:rPr>
                <w:lang w:val="es-ES"/>
              </w:rPr>
              <w:t>Signatura de los documentos</w:t>
            </w:r>
          </w:p>
        </w:tc>
        <w:tc>
          <w:tcPr>
            <w:tcW w:w="6190" w:type="dxa"/>
            <w:shd w:val="clear" w:color="auto" w:fill="F2F2F2"/>
          </w:tcPr>
          <w:p w14:paraId="77E4416F" w14:textId="5B6EE566" w:rsidR="00EA182B" w:rsidRPr="00131420" w:rsidRDefault="00452326" w:rsidP="00EC5B3F">
            <w:pPr>
              <w:pStyle w:val="Tablehead"/>
              <w:rPr>
                <w:lang w:val="es-ES"/>
              </w:rPr>
            </w:pPr>
            <w:r w:rsidRPr="00131420">
              <w:rPr>
                <w:lang w:val="es-ES"/>
              </w:rPr>
              <w:t>Resultado</w:t>
            </w:r>
          </w:p>
        </w:tc>
        <w:tc>
          <w:tcPr>
            <w:tcW w:w="1809" w:type="dxa"/>
            <w:shd w:val="clear" w:color="auto" w:fill="F2F2F2"/>
          </w:tcPr>
          <w:p w14:paraId="0AAF4227" w14:textId="70E0DE19" w:rsidR="00EA182B" w:rsidRPr="00131420" w:rsidRDefault="00452326" w:rsidP="00393827">
            <w:pPr>
              <w:pStyle w:val="Tablehead"/>
              <w:rPr>
                <w:lang w:val="es-ES"/>
              </w:rPr>
            </w:pPr>
            <w:r w:rsidRPr="00131420">
              <w:rPr>
                <w:lang w:val="es-ES"/>
              </w:rPr>
              <w:t xml:space="preserve">Resultado </w:t>
            </w:r>
            <w:r w:rsidR="00E127DF">
              <w:rPr>
                <w:lang w:val="es-ES"/>
              </w:rPr>
              <w:br/>
            </w:r>
            <w:r w:rsidRPr="00131420">
              <w:rPr>
                <w:lang w:val="es-ES"/>
              </w:rPr>
              <w:t xml:space="preserve">de la consulta </w:t>
            </w:r>
            <w:r w:rsidR="00E127DF">
              <w:rPr>
                <w:lang w:val="es-ES"/>
              </w:rPr>
              <w:br/>
            </w:r>
            <w:r w:rsidRPr="00131420">
              <w:rPr>
                <w:lang w:val="es-ES"/>
              </w:rPr>
              <w:t>escrita por correspondencia</w:t>
            </w:r>
          </w:p>
        </w:tc>
      </w:tr>
      <w:tr w:rsidR="00EC5B3F" w:rsidRPr="00C03BB4" w14:paraId="7C6BE0C9" w14:textId="77777777" w:rsidTr="00E92052">
        <w:trPr>
          <w:jc w:val="center"/>
        </w:trPr>
        <w:tc>
          <w:tcPr>
            <w:tcW w:w="4167" w:type="dxa"/>
            <w:shd w:val="clear" w:color="auto" w:fill="BFBFBF"/>
          </w:tcPr>
          <w:p w14:paraId="37B352C9" w14:textId="408E48BF" w:rsidR="00EA182B" w:rsidRPr="00C03BB4" w:rsidRDefault="00C03BB4" w:rsidP="00EC5B3F">
            <w:pPr>
              <w:pStyle w:val="Tabletext"/>
              <w:rPr>
                <w:b/>
                <w:bCs/>
                <w:lang w:val="es-ES"/>
              </w:rPr>
            </w:pPr>
            <w:r w:rsidRPr="00C03BB4">
              <w:rPr>
                <w:b/>
                <w:bCs/>
                <w:lang w:val="es-ES"/>
              </w:rPr>
              <w:t>Martes</w:t>
            </w:r>
            <w:r w:rsidR="00EA182B" w:rsidRPr="00C03BB4">
              <w:rPr>
                <w:b/>
                <w:bCs/>
                <w:lang w:val="es-ES"/>
              </w:rPr>
              <w:t xml:space="preserve">, 9 </w:t>
            </w:r>
            <w:r w:rsidRPr="00C03BB4">
              <w:rPr>
                <w:b/>
                <w:bCs/>
                <w:lang w:val="es-ES"/>
              </w:rPr>
              <w:t>de junio</w:t>
            </w:r>
            <w:r w:rsidR="00EA182B" w:rsidRPr="00C03BB4">
              <w:rPr>
                <w:b/>
                <w:bCs/>
                <w:lang w:val="es-ES"/>
              </w:rPr>
              <w:t>, 12.00-15.00</w:t>
            </w:r>
            <w:r w:rsidRPr="00C03BB4">
              <w:rPr>
                <w:b/>
                <w:bCs/>
                <w:lang w:val="es-ES"/>
              </w:rPr>
              <w:t xml:space="preserve"> h</w:t>
            </w:r>
            <w:r>
              <w:rPr>
                <w:b/>
                <w:bCs/>
                <w:lang w:val="es-ES"/>
              </w:rPr>
              <w:t>oras</w:t>
            </w:r>
          </w:p>
        </w:tc>
        <w:tc>
          <w:tcPr>
            <w:tcW w:w="1822" w:type="dxa"/>
            <w:shd w:val="clear" w:color="auto" w:fill="BFBFBF"/>
          </w:tcPr>
          <w:p w14:paraId="757BBC1D" w14:textId="77777777" w:rsidR="00EA182B" w:rsidRPr="00C03BB4" w:rsidRDefault="00EA182B" w:rsidP="00393827">
            <w:pPr>
              <w:jc w:val="center"/>
              <w:rPr>
                <w:lang w:val="es-ES"/>
              </w:rPr>
            </w:pPr>
          </w:p>
        </w:tc>
        <w:tc>
          <w:tcPr>
            <w:tcW w:w="6190" w:type="dxa"/>
            <w:shd w:val="clear" w:color="auto" w:fill="BFBFBF"/>
          </w:tcPr>
          <w:p w14:paraId="26EC9AB3" w14:textId="77777777" w:rsidR="00EA182B" w:rsidRPr="00C03BB4" w:rsidRDefault="00EA182B" w:rsidP="00EA182B">
            <w:pPr>
              <w:rPr>
                <w:lang w:val="es-ES"/>
              </w:rPr>
            </w:pPr>
          </w:p>
        </w:tc>
        <w:tc>
          <w:tcPr>
            <w:tcW w:w="1809" w:type="dxa"/>
            <w:shd w:val="clear" w:color="auto" w:fill="BFBFBF"/>
          </w:tcPr>
          <w:p w14:paraId="5DF789BC" w14:textId="77777777" w:rsidR="00EA182B" w:rsidRPr="00C03BB4" w:rsidRDefault="00EA182B" w:rsidP="00393827">
            <w:pPr>
              <w:jc w:val="center"/>
              <w:rPr>
                <w:lang w:val="es-ES"/>
              </w:rPr>
            </w:pPr>
          </w:p>
        </w:tc>
      </w:tr>
      <w:tr w:rsidR="00EA182B" w:rsidRPr="00EA182B" w14:paraId="69DC9092" w14:textId="77777777" w:rsidTr="00E92052">
        <w:trPr>
          <w:jc w:val="center"/>
        </w:trPr>
        <w:tc>
          <w:tcPr>
            <w:tcW w:w="4167" w:type="dxa"/>
          </w:tcPr>
          <w:p w14:paraId="519B8A03" w14:textId="5B261E5A" w:rsidR="00EA182B" w:rsidRPr="00452326" w:rsidRDefault="00452326" w:rsidP="00EC5B3F">
            <w:pPr>
              <w:pStyle w:val="Tabletext"/>
              <w:rPr>
                <w:lang w:val="es-ES"/>
              </w:rPr>
            </w:pPr>
            <w:r w:rsidRPr="00452326">
              <w:rPr>
                <w:lang w:val="es-ES"/>
              </w:rPr>
              <w:t>Discurso de apertura del S</w:t>
            </w:r>
            <w:r>
              <w:rPr>
                <w:lang w:val="es-ES"/>
              </w:rPr>
              <w:t>ecretario General</w:t>
            </w:r>
          </w:p>
        </w:tc>
        <w:tc>
          <w:tcPr>
            <w:tcW w:w="1822" w:type="dxa"/>
          </w:tcPr>
          <w:p w14:paraId="570A6CD4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  <w:tc>
          <w:tcPr>
            <w:tcW w:w="6190" w:type="dxa"/>
          </w:tcPr>
          <w:p w14:paraId="45FDF5C1" w14:textId="4BF9C73C" w:rsidR="00EA182B" w:rsidRPr="00E127DF" w:rsidRDefault="00452326" w:rsidP="00EC5B3F">
            <w:pPr>
              <w:pStyle w:val="Tabletext"/>
              <w:rPr>
                <w:lang w:val="es-ES"/>
              </w:rPr>
            </w:pPr>
            <w:r w:rsidRPr="00E127DF">
              <w:rPr>
                <w:lang w:val="es-ES"/>
              </w:rPr>
              <w:t>El Secretario General pronunció su discurso de apertura.</w:t>
            </w:r>
          </w:p>
        </w:tc>
        <w:tc>
          <w:tcPr>
            <w:tcW w:w="1809" w:type="dxa"/>
          </w:tcPr>
          <w:p w14:paraId="3AC9C6CE" w14:textId="77777777" w:rsidR="00EA182B" w:rsidRPr="00E127DF" w:rsidRDefault="00EA182B" w:rsidP="00393827">
            <w:pPr>
              <w:pStyle w:val="Tabletext"/>
              <w:jc w:val="center"/>
              <w:rPr>
                <w:lang w:val="es-ES"/>
              </w:rPr>
            </w:pPr>
            <w:r w:rsidRPr="00E127DF">
              <w:rPr>
                <w:lang w:val="es-ES"/>
              </w:rPr>
              <w:t>--</w:t>
            </w:r>
          </w:p>
        </w:tc>
      </w:tr>
      <w:tr w:rsidR="00EA182B" w:rsidRPr="00EA182B" w14:paraId="31C835C4" w14:textId="77777777" w:rsidTr="00E92052">
        <w:trPr>
          <w:jc w:val="center"/>
        </w:trPr>
        <w:tc>
          <w:tcPr>
            <w:tcW w:w="4167" w:type="dxa"/>
          </w:tcPr>
          <w:p w14:paraId="4DA312AC" w14:textId="28B25456" w:rsidR="00EA182B" w:rsidRPr="00452326" w:rsidRDefault="00EA182B" w:rsidP="00EC5B3F">
            <w:pPr>
              <w:pStyle w:val="Tabletext"/>
              <w:rPr>
                <w:lang w:val="es-ES"/>
              </w:rPr>
            </w:pPr>
            <w:r w:rsidRPr="00452326">
              <w:rPr>
                <w:lang w:val="es-ES"/>
              </w:rPr>
              <w:t>Interven</w:t>
            </w:r>
            <w:r w:rsidR="00452326" w:rsidRPr="00452326">
              <w:rPr>
                <w:lang w:val="es-ES"/>
              </w:rPr>
              <w:t>ción de los EAU</w:t>
            </w:r>
          </w:p>
        </w:tc>
        <w:tc>
          <w:tcPr>
            <w:tcW w:w="1822" w:type="dxa"/>
          </w:tcPr>
          <w:p w14:paraId="04101DF7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  <w:tc>
          <w:tcPr>
            <w:tcW w:w="6190" w:type="dxa"/>
          </w:tcPr>
          <w:p w14:paraId="795A3929" w14:textId="54561E95" w:rsidR="00EA182B" w:rsidRPr="00E127DF" w:rsidRDefault="00452326" w:rsidP="00EC5B3F">
            <w:pPr>
              <w:pStyle w:val="Tabletext"/>
              <w:rPr>
                <w:lang w:val="es-ES"/>
              </w:rPr>
            </w:pPr>
            <w:r w:rsidRPr="00E127DF">
              <w:rPr>
                <w:lang w:val="es-ES"/>
              </w:rPr>
              <w:t>Discurso de los EAU</w:t>
            </w:r>
          </w:p>
        </w:tc>
        <w:tc>
          <w:tcPr>
            <w:tcW w:w="1809" w:type="dxa"/>
          </w:tcPr>
          <w:p w14:paraId="154FCF16" w14:textId="77777777" w:rsidR="00EA182B" w:rsidRPr="00E127DF" w:rsidRDefault="00EA182B" w:rsidP="00393827">
            <w:pPr>
              <w:pStyle w:val="Tabletext"/>
              <w:jc w:val="center"/>
              <w:rPr>
                <w:lang w:val="es-ES"/>
              </w:rPr>
            </w:pPr>
            <w:r w:rsidRPr="00E127DF">
              <w:rPr>
                <w:lang w:val="es-ES"/>
              </w:rPr>
              <w:t>--</w:t>
            </w:r>
          </w:p>
        </w:tc>
      </w:tr>
      <w:tr w:rsidR="00EA182B" w:rsidRPr="00EA182B" w14:paraId="2FE64DFC" w14:textId="77777777" w:rsidTr="00E92052">
        <w:trPr>
          <w:jc w:val="center"/>
        </w:trPr>
        <w:tc>
          <w:tcPr>
            <w:tcW w:w="4167" w:type="dxa"/>
          </w:tcPr>
          <w:p w14:paraId="68C37193" w14:textId="6D61F5A6" w:rsidR="00EA182B" w:rsidRPr="00131420" w:rsidRDefault="00452326" w:rsidP="00EC5B3F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Designación del Presidente de la Consulta virtual</w:t>
            </w:r>
          </w:p>
        </w:tc>
        <w:tc>
          <w:tcPr>
            <w:tcW w:w="1822" w:type="dxa"/>
          </w:tcPr>
          <w:p w14:paraId="2CE8F849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  <w:tc>
          <w:tcPr>
            <w:tcW w:w="6190" w:type="dxa"/>
          </w:tcPr>
          <w:p w14:paraId="0089C0DF" w14:textId="26DEB06A" w:rsidR="00EA182B" w:rsidRPr="00452326" w:rsidRDefault="00452326" w:rsidP="00EC5B3F">
            <w:pPr>
              <w:pStyle w:val="Tabletext"/>
              <w:rPr>
                <w:lang w:val="es-ES"/>
              </w:rPr>
            </w:pPr>
            <w:r w:rsidRPr="00452326">
              <w:rPr>
                <w:lang w:val="es-ES"/>
              </w:rPr>
              <w:t>El Sr.</w:t>
            </w:r>
            <w:r w:rsidR="00EA182B" w:rsidRPr="00452326">
              <w:rPr>
                <w:lang w:val="es-ES"/>
              </w:rPr>
              <w:t xml:space="preserve"> Saif Bin Ghelaita </w:t>
            </w:r>
            <w:r w:rsidRPr="00452326">
              <w:rPr>
                <w:lang w:val="es-ES"/>
              </w:rPr>
              <w:t>(EAU) fue designado Presidente de la Consulta virtual de los consejeros</w:t>
            </w:r>
            <w:r w:rsidR="00EA182B" w:rsidRPr="00452326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3FB8CEE7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EA182B" w14:paraId="41DBE9C8" w14:textId="77777777" w:rsidTr="00E92052">
        <w:trPr>
          <w:jc w:val="center"/>
        </w:trPr>
        <w:tc>
          <w:tcPr>
            <w:tcW w:w="4167" w:type="dxa"/>
          </w:tcPr>
          <w:p w14:paraId="314A883A" w14:textId="5FCE476D" w:rsidR="00EA182B" w:rsidRPr="00131420" w:rsidRDefault="00452326" w:rsidP="00EC5B3F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Discurso inaugural del Presidente</w:t>
            </w:r>
          </w:p>
        </w:tc>
        <w:tc>
          <w:tcPr>
            <w:tcW w:w="1822" w:type="dxa"/>
          </w:tcPr>
          <w:p w14:paraId="1358DE15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  <w:tc>
          <w:tcPr>
            <w:tcW w:w="6190" w:type="dxa"/>
          </w:tcPr>
          <w:p w14:paraId="534C8A45" w14:textId="6CA26BC3" w:rsidR="00EA182B" w:rsidRPr="00452326" w:rsidRDefault="00452326" w:rsidP="00EC5B3F">
            <w:pPr>
              <w:pStyle w:val="Tabletext"/>
              <w:rPr>
                <w:lang w:val="es-ES"/>
              </w:rPr>
            </w:pPr>
            <w:r w:rsidRPr="00452326">
              <w:rPr>
                <w:lang w:val="es-ES"/>
              </w:rPr>
              <w:t>El Presidente pronunció su d</w:t>
            </w:r>
            <w:r>
              <w:rPr>
                <w:lang w:val="es-ES"/>
              </w:rPr>
              <w:t>iscurso inaugural.</w:t>
            </w:r>
          </w:p>
        </w:tc>
        <w:tc>
          <w:tcPr>
            <w:tcW w:w="1809" w:type="dxa"/>
          </w:tcPr>
          <w:p w14:paraId="3A614D36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EA182B" w14:paraId="5B0F9529" w14:textId="77777777" w:rsidTr="00E92052">
        <w:trPr>
          <w:jc w:val="center"/>
        </w:trPr>
        <w:tc>
          <w:tcPr>
            <w:tcW w:w="4167" w:type="dxa"/>
          </w:tcPr>
          <w:p w14:paraId="2CA47D57" w14:textId="42DCA3BB" w:rsidR="00EA182B" w:rsidRPr="00D57908" w:rsidRDefault="00B133C5" w:rsidP="00EC5B3F">
            <w:pPr>
              <w:pStyle w:val="Tabletext"/>
              <w:rPr>
                <w:lang w:val="es-ES"/>
              </w:rPr>
            </w:pPr>
            <w:r w:rsidRPr="00D57908">
              <w:rPr>
                <w:lang w:val="es-ES"/>
              </w:rPr>
              <w:t xml:space="preserve">Aprobación del proyecto de orden del día de la </w:t>
            </w:r>
            <w:r w:rsidR="00452326">
              <w:rPr>
                <w:lang w:val="es-ES"/>
              </w:rPr>
              <w:t>C</w:t>
            </w:r>
            <w:r w:rsidRPr="00D57908">
              <w:rPr>
                <w:lang w:val="es-ES"/>
              </w:rPr>
              <w:t>onsulta virtual</w:t>
            </w:r>
          </w:p>
        </w:tc>
        <w:tc>
          <w:tcPr>
            <w:tcW w:w="1822" w:type="dxa"/>
          </w:tcPr>
          <w:p w14:paraId="3D694AB9" w14:textId="34436645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21" w:history="1">
              <w:r w:rsidR="00EA182B" w:rsidRPr="00EA182B">
                <w:rPr>
                  <w:rStyle w:val="Hyperlink"/>
                  <w:lang w:val="en-US"/>
                </w:rPr>
                <w:t>VC/1(</w:t>
              </w:r>
              <w:r w:rsidR="00EA182B" w:rsidRPr="00EA182B">
                <w:rPr>
                  <w:rStyle w:val="Hyperlink"/>
                  <w:lang w:val="en-US"/>
                </w:rPr>
                <w:t>R</w:t>
              </w:r>
              <w:r w:rsidR="00EA182B" w:rsidRPr="00EA182B">
                <w:rPr>
                  <w:rStyle w:val="Hyperlink"/>
                  <w:lang w:val="en-US"/>
                </w:rPr>
                <w:t>ev.2)</w:t>
              </w:r>
            </w:hyperlink>
          </w:p>
        </w:tc>
        <w:tc>
          <w:tcPr>
            <w:tcW w:w="6190" w:type="dxa"/>
          </w:tcPr>
          <w:p w14:paraId="0B646610" w14:textId="31C4574E" w:rsidR="00EA182B" w:rsidRPr="00393827" w:rsidRDefault="00452326" w:rsidP="00EC5B3F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Los consejeros aprobaron</w:t>
            </w:r>
            <w:r w:rsidR="00EA182B" w:rsidRPr="00393827">
              <w:rPr>
                <w:bCs/>
              </w:rPr>
              <w:t xml:space="preserve"> </w:t>
            </w:r>
            <w:r w:rsidR="00EA182B" w:rsidRPr="00EA182B">
              <w:t xml:space="preserve">el orden del día de la </w:t>
            </w:r>
            <w:r>
              <w:t>C</w:t>
            </w:r>
            <w:r w:rsidR="00EA182B" w:rsidRPr="00EA182B">
              <w:t>onsulta virtual (Documento VC/1(Rev.2))</w:t>
            </w:r>
            <w:r w:rsidR="00BE5CEE">
              <w:t>.</w:t>
            </w:r>
          </w:p>
        </w:tc>
        <w:tc>
          <w:tcPr>
            <w:tcW w:w="1809" w:type="dxa"/>
          </w:tcPr>
          <w:p w14:paraId="25AC38E6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EA182B" w14:paraId="6925B37F" w14:textId="77777777" w:rsidTr="00E92052">
        <w:trPr>
          <w:jc w:val="center"/>
        </w:trPr>
        <w:tc>
          <w:tcPr>
            <w:tcW w:w="4167" w:type="dxa"/>
          </w:tcPr>
          <w:p w14:paraId="7FDA3C47" w14:textId="151E8FCE" w:rsidR="00EA182B" w:rsidRPr="00452326" w:rsidRDefault="00452326" w:rsidP="00EC5B3F">
            <w:pPr>
              <w:pStyle w:val="Tabletext"/>
              <w:rPr>
                <w:lang w:val="es-ES"/>
              </w:rPr>
            </w:pPr>
            <w:r w:rsidRPr="00452326">
              <w:rPr>
                <w:lang w:val="es-ES"/>
              </w:rPr>
              <w:t>Observaciones sobre el proyecto de plan de gestión del tiemp</w:t>
            </w:r>
            <w:r>
              <w:rPr>
                <w:lang w:val="es-ES"/>
              </w:rPr>
              <w:t>o de la Consulta virtual</w:t>
            </w:r>
          </w:p>
        </w:tc>
        <w:tc>
          <w:tcPr>
            <w:tcW w:w="1822" w:type="dxa"/>
          </w:tcPr>
          <w:p w14:paraId="72476FB1" w14:textId="12217485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22" w:history="1">
              <w:r w:rsidR="00EA182B" w:rsidRPr="00EA182B">
                <w:rPr>
                  <w:rStyle w:val="Hyperlink"/>
                  <w:lang w:val="en-US"/>
                </w:rPr>
                <w:t>ADM</w:t>
              </w:r>
              <w:r w:rsidR="00EA182B" w:rsidRPr="00EA182B">
                <w:rPr>
                  <w:rStyle w:val="Hyperlink"/>
                  <w:lang w:val="en-US"/>
                </w:rPr>
                <w:t>/</w:t>
              </w:r>
              <w:r w:rsidR="00EA182B" w:rsidRPr="00EA182B">
                <w:rPr>
                  <w:rStyle w:val="Hyperlink"/>
                  <w:lang w:val="en-US"/>
                </w:rPr>
                <w:t>1(Rev.2)</w:t>
              </w:r>
            </w:hyperlink>
          </w:p>
        </w:tc>
        <w:tc>
          <w:tcPr>
            <w:tcW w:w="6190" w:type="dxa"/>
          </w:tcPr>
          <w:p w14:paraId="3994DBE7" w14:textId="61F2917D" w:rsidR="00EA182B" w:rsidRPr="00D57908" w:rsidRDefault="00452326" w:rsidP="00E52715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Los consejeros aprobaron</w:t>
            </w:r>
            <w:r w:rsidR="00B133C5" w:rsidRPr="00D57908">
              <w:rPr>
                <w:lang w:val="es-ES"/>
              </w:rPr>
              <w:t xml:space="preserve"> el proyecto de plan de gestión del tiempo (Documento VC/ADM1(Rev.2))</w:t>
            </w:r>
            <w:r w:rsidR="00BE5CEE">
              <w:rPr>
                <w:lang w:val="es-ES"/>
              </w:rPr>
              <w:t>.</w:t>
            </w:r>
          </w:p>
          <w:p w14:paraId="1EC4F779" w14:textId="11F3607F" w:rsidR="00EA182B" w:rsidRPr="004258B8" w:rsidRDefault="004258B8" w:rsidP="00E52715">
            <w:pPr>
              <w:pStyle w:val="Tabletext"/>
              <w:rPr>
                <w:lang w:val="es-ES"/>
              </w:rPr>
            </w:pPr>
            <w:r w:rsidRPr="004258B8">
              <w:rPr>
                <w:lang w:val="es-ES"/>
              </w:rPr>
              <w:t xml:space="preserve">Dado que el plan de gestión del tiempo era continuo, se acordó que, de quedar puntos concluidos antes de lo previsto y si quedara tiempo antes del final de la </w:t>
            </w:r>
            <w:r>
              <w:rPr>
                <w:lang w:val="es-ES"/>
              </w:rPr>
              <w:t>sesión, se podrían tratar temas del día siguiente</w:t>
            </w:r>
            <w:r w:rsidR="00EA182B" w:rsidRPr="004258B8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0556AC89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EA182B" w14:paraId="4FB1CD02" w14:textId="77777777" w:rsidTr="00E92052">
        <w:trPr>
          <w:jc w:val="center"/>
        </w:trPr>
        <w:tc>
          <w:tcPr>
            <w:tcW w:w="4167" w:type="dxa"/>
          </w:tcPr>
          <w:p w14:paraId="66640406" w14:textId="228DA9FA" w:rsidR="00EA182B" w:rsidRPr="00131420" w:rsidRDefault="00B133C5" w:rsidP="00EC5B3F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Cuestiones de organización</w:t>
            </w:r>
          </w:p>
        </w:tc>
        <w:tc>
          <w:tcPr>
            <w:tcW w:w="1822" w:type="dxa"/>
          </w:tcPr>
          <w:p w14:paraId="25FB41CF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  <w:tc>
          <w:tcPr>
            <w:tcW w:w="6190" w:type="dxa"/>
          </w:tcPr>
          <w:p w14:paraId="33185DB2" w14:textId="6300D01D" w:rsidR="00EA182B" w:rsidRPr="004258B8" w:rsidRDefault="004258B8" w:rsidP="00EC5B3F">
            <w:pPr>
              <w:pStyle w:val="Tabletext"/>
              <w:rPr>
                <w:lang w:val="es-ES"/>
              </w:rPr>
            </w:pPr>
            <w:r w:rsidRPr="004258B8">
              <w:rPr>
                <w:lang w:val="es-ES"/>
              </w:rPr>
              <w:t xml:space="preserve">El Secretario </w:t>
            </w:r>
            <w:r>
              <w:rPr>
                <w:lang w:val="es-ES"/>
              </w:rPr>
              <w:t>dio a los participantes información sobre la organización de la Consulta.</w:t>
            </w:r>
          </w:p>
        </w:tc>
        <w:tc>
          <w:tcPr>
            <w:tcW w:w="1809" w:type="dxa"/>
          </w:tcPr>
          <w:p w14:paraId="48CF31AE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FF1F4F" w:rsidRPr="00EA182B" w14:paraId="6FBADB89" w14:textId="77777777" w:rsidTr="00FF1F4F">
        <w:trPr>
          <w:jc w:val="center"/>
        </w:trPr>
        <w:tc>
          <w:tcPr>
            <w:tcW w:w="4167" w:type="dxa"/>
            <w:tcBorders>
              <w:bottom w:val="nil"/>
            </w:tcBorders>
          </w:tcPr>
          <w:p w14:paraId="2B04E06C" w14:textId="5E595DE1" w:rsidR="00FF1F4F" w:rsidRPr="00FF1F4F" w:rsidRDefault="00FF1F4F" w:rsidP="00FF1F4F">
            <w:pPr>
              <w:pStyle w:val="Tabletext"/>
              <w:rPr>
                <w:bCs/>
                <w:lang w:val="es-ES"/>
              </w:rPr>
            </w:pPr>
            <w:r w:rsidRPr="00131420">
              <w:rPr>
                <w:bCs/>
                <w:lang w:val="es-ES"/>
              </w:rPr>
              <w:t xml:space="preserve">Día </w:t>
            </w:r>
            <w:r w:rsidRPr="00131420">
              <w:rPr>
                <w:lang w:val="es-ES"/>
              </w:rPr>
              <w:t>Mundial</w:t>
            </w:r>
            <w:r w:rsidRPr="00131420">
              <w:rPr>
                <w:bCs/>
                <w:lang w:val="es-ES"/>
              </w:rPr>
              <w:t xml:space="preserve"> de las Telecomunicaciones y la Sociedad de la Información (Res. 68)</w:t>
            </w:r>
          </w:p>
        </w:tc>
        <w:tc>
          <w:tcPr>
            <w:tcW w:w="1822" w:type="dxa"/>
            <w:tcBorders>
              <w:bottom w:val="nil"/>
            </w:tcBorders>
          </w:tcPr>
          <w:p w14:paraId="3F630669" w14:textId="56862481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  <w:hyperlink r:id="rId23" w:history="1">
              <w:r w:rsidRPr="00EA182B">
                <w:rPr>
                  <w:rStyle w:val="Hyperlink"/>
                  <w:lang w:val="en-US"/>
                </w:rPr>
                <w:t>C2</w:t>
              </w:r>
              <w:r w:rsidRPr="00EA182B">
                <w:rPr>
                  <w:rStyle w:val="Hyperlink"/>
                  <w:lang w:val="en-US"/>
                </w:rPr>
                <w:t>0</w:t>
              </w:r>
              <w:r w:rsidRPr="00EA182B">
                <w:rPr>
                  <w:rStyle w:val="Hyperlink"/>
                  <w:lang w:val="en-US"/>
                </w:rPr>
                <w:t>/</w:t>
              </w:r>
              <w:r w:rsidRPr="00EA182B">
                <w:rPr>
                  <w:rStyle w:val="Hyperlink"/>
                  <w:lang w:val="en-US"/>
                </w:rPr>
                <w:t>1</w:t>
              </w:r>
              <w:r w:rsidRPr="00EA182B">
                <w:rPr>
                  <w:rStyle w:val="Hyperlink"/>
                  <w:lang w:val="en-US"/>
                </w:rPr>
                <w:t>7</w:t>
              </w:r>
            </w:hyperlink>
          </w:p>
        </w:tc>
        <w:tc>
          <w:tcPr>
            <w:tcW w:w="6190" w:type="dxa"/>
            <w:vMerge w:val="restart"/>
          </w:tcPr>
          <w:p w14:paraId="54F9B24D" w14:textId="06E00C67" w:rsidR="00FF1F4F" w:rsidRPr="00D57908" w:rsidRDefault="00FF1F4F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>
              <w:rPr>
                <w:lang w:val="es-ES"/>
              </w:rPr>
              <w:t>Se dejó</w:t>
            </w:r>
            <w:r w:rsidRPr="00B133C5">
              <w:rPr>
                <w:bCs/>
              </w:rPr>
              <w:t xml:space="preserve"> el debate sobre este punto en manos de la próxima reunión presencial del Consejo</w:t>
            </w:r>
            <w:r>
              <w:rPr>
                <w:bCs/>
              </w:rPr>
              <w:t>.</w:t>
            </w:r>
          </w:p>
        </w:tc>
        <w:tc>
          <w:tcPr>
            <w:tcW w:w="1809" w:type="dxa"/>
            <w:vMerge w:val="restart"/>
          </w:tcPr>
          <w:p w14:paraId="0A3A0ABE" w14:textId="77777777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FF1F4F" w:rsidRPr="00EA182B" w14:paraId="11B22546" w14:textId="77777777" w:rsidTr="00FF1F4F">
        <w:trPr>
          <w:jc w:val="center"/>
        </w:trPr>
        <w:tc>
          <w:tcPr>
            <w:tcW w:w="4167" w:type="dxa"/>
            <w:tcBorders>
              <w:top w:val="nil"/>
            </w:tcBorders>
          </w:tcPr>
          <w:p w14:paraId="27BBF634" w14:textId="3AF0ADC2" w:rsidR="00FF1F4F" w:rsidRPr="00131420" w:rsidRDefault="00FF1F4F" w:rsidP="00173D6F">
            <w:pPr>
              <w:pStyle w:val="Tabletext"/>
              <w:tabs>
                <w:tab w:val="left" w:pos="311"/>
              </w:tabs>
              <w:rPr>
                <w:bCs/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Pr="00393827">
              <w:rPr>
                <w:i/>
                <w:iCs/>
                <w:lang w:val="es-ES"/>
              </w:rPr>
              <w:t>Contribución de la Federación de Rusia</w:t>
            </w:r>
          </w:p>
        </w:tc>
        <w:tc>
          <w:tcPr>
            <w:tcW w:w="1822" w:type="dxa"/>
            <w:tcBorders>
              <w:top w:val="nil"/>
            </w:tcBorders>
          </w:tcPr>
          <w:p w14:paraId="70E0F863" w14:textId="582653AB" w:rsidR="00FF1F4F" w:rsidRDefault="00FF1F4F" w:rsidP="00393827">
            <w:pPr>
              <w:pStyle w:val="Tabletext"/>
              <w:jc w:val="center"/>
            </w:pPr>
            <w:hyperlink r:id="rId24" w:history="1">
              <w:r w:rsidRPr="00EA182B">
                <w:rPr>
                  <w:rStyle w:val="Hyperlink"/>
                  <w:lang w:val="en-US"/>
                </w:rPr>
                <w:t>C20</w:t>
              </w:r>
              <w:r w:rsidRPr="00EA182B">
                <w:rPr>
                  <w:rStyle w:val="Hyperlink"/>
                  <w:lang w:val="en-US"/>
                </w:rPr>
                <w:t>/</w:t>
              </w:r>
              <w:r w:rsidRPr="00EA182B">
                <w:rPr>
                  <w:rStyle w:val="Hyperlink"/>
                  <w:lang w:val="en-US"/>
                </w:rPr>
                <w:t>6</w:t>
              </w:r>
              <w:r w:rsidRPr="00EA182B">
                <w:rPr>
                  <w:rStyle w:val="Hyperlink"/>
                  <w:lang w:val="en-US"/>
                </w:rPr>
                <w:t>8</w:t>
              </w:r>
            </w:hyperlink>
          </w:p>
        </w:tc>
        <w:tc>
          <w:tcPr>
            <w:tcW w:w="6190" w:type="dxa"/>
            <w:vMerge/>
          </w:tcPr>
          <w:p w14:paraId="01A5E375" w14:textId="77777777" w:rsidR="00FF1F4F" w:rsidRPr="005629F4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809" w:type="dxa"/>
            <w:vMerge/>
          </w:tcPr>
          <w:p w14:paraId="5413ABC9" w14:textId="77777777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F1F4F" w:rsidRPr="004258B8" w14:paraId="779790D9" w14:textId="77777777" w:rsidTr="00FF1F4F">
        <w:trPr>
          <w:cantSplit/>
          <w:jc w:val="center"/>
        </w:trPr>
        <w:tc>
          <w:tcPr>
            <w:tcW w:w="4167" w:type="dxa"/>
            <w:tcBorders>
              <w:bottom w:val="nil"/>
            </w:tcBorders>
          </w:tcPr>
          <w:p w14:paraId="7F512858" w14:textId="187A3880" w:rsidR="00FF1F4F" w:rsidRPr="00131420" w:rsidRDefault="00FF1F4F" w:rsidP="00FF1F4F">
            <w:pPr>
              <w:pStyle w:val="Tabletext"/>
              <w:keepNext/>
              <w:keepLines/>
              <w:rPr>
                <w:lang w:val="es-ES"/>
              </w:rPr>
            </w:pPr>
            <w:r w:rsidRPr="00131420">
              <w:rPr>
                <w:lang w:val="es-ES"/>
              </w:rPr>
              <w:lastRenderedPageBreak/>
              <w:t>Preparativos para la AMNT-20</w:t>
            </w:r>
          </w:p>
        </w:tc>
        <w:tc>
          <w:tcPr>
            <w:tcW w:w="1822" w:type="dxa"/>
            <w:tcBorders>
              <w:bottom w:val="nil"/>
            </w:tcBorders>
          </w:tcPr>
          <w:p w14:paraId="1241A75A" w14:textId="581915C8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  <w:hyperlink r:id="rId25" w:history="1">
              <w:r w:rsidRPr="00EA182B">
                <w:rPr>
                  <w:rStyle w:val="Hyperlink"/>
                  <w:lang w:val="en-US"/>
                </w:rPr>
                <w:t>C20</w:t>
              </w:r>
              <w:r w:rsidRPr="00EA182B">
                <w:rPr>
                  <w:rStyle w:val="Hyperlink"/>
                  <w:lang w:val="en-US"/>
                </w:rPr>
                <w:t>/</w:t>
              </w:r>
              <w:r w:rsidRPr="00EA182B">
                <w:rPr>
                  <w:rStyle w:val="Hyperlink"/>
                  <w:lang w:val="en-US"/>
                </w:rPr>
                <w:t>2</w:t>
              </w:r>
              <w:r w:rsidRPr="00EA182B">
                <w:rPr>
                  <w:rStyle w:val="Hyperlink"/>
                  <w:lang w:val="en-US"/>
                </w:rPr>
                <w:t>4</w:t>
              </w:r>
            </w:hyperlink>
          </w:p>
        </w:tc>
        <w:tc>
          <w:tcPr>
            <w:tcW w:w="6190" w:type="dxa"/>
            <w:vMerge w:val="restart"/>
          </w:tcPr>
          <w:p w14:paraId="7BBDE4FC" w14:textId="38B5B5EC" w:rsidR="00FF1F4F" w:rsidRPr="00D57908" w:rsidRDefault="00FF1F4F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>
              <w:rPr>
                <w:lang w:val="es-ES"/>
              </w:rPr>
              <w:t>Se propuso</w:t>
            </w:r>
            <w:r w:rsidRPr="00B133C5">
              <w:rPr>
                <w:bCs/>
              </w:rPr>
              <w:t xml:space="preserve"> que la próxima reunión presencial del Consejo </w:t>
            </w:r>
            <w:r w:rsidRPr="006809B6">
              <w:t>tome</w:t>
            </w:r>
            <w:r w:rsidRPr="00B133C5">
              <w:rPr>
                <w:bCs/>
              </w:rPr>
              <w:t xml:space="preserve"> nota del Documento C20/24</w:t>
            </w:r>
            <w:r>
              <w:rPr>
                <w:bCs/>
              </w:rPr>
              <w:t>.</w:t>
            </w:r>
          </w:p>
          <w:p w14:paraId="3F0687B7" w14:textId="66C28BA2" w:rsidR="00FF1F4F" w:rsidRPr="004258B8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  <w:r w:rsidRPr="004258B8">
              <w:rPr>
                <w:lang w:val="es-ES"/>
              </w:rPr>
              <w:t>–</w:t>
            </w:r>
            <w:r w:rsidRPr="004258B8">
              <w:rPr>
                <w:lang w:val="es-ES"/>
              </w:rPr>
              <w:tab/>
            </w:r>
            <w:r w:rsidRPr="006809B6">
              <w:t>Se</w:t>
            </w:r>
            <w:r w:rsidRPr="004258B8">
              <w:rPr>
                <w:lang w:val="es-ES"/>
              </w:rPr>
              <w:t xml:space="preserve"> propuso que el Consejo apruebe el cambio de fecha de la AMNT-20</w:t>
            </w:r>
            <w:r>
              <w:rPr>
                <w:lang w:val="es-ES"/>
              </w:rPr>
              <w:t>, a saber, del</w:t>
            </w:r>
            <w:r w:rsidRPr="004258B8">
              <w:rPr>
                <w:lang w:val="es-ES"/>
              </w:rPr>
              <w:t xml:space="preserve"> 23 </w:t>
            </w:r>
            <w:r>
              <w:rPr>
                <w:lang w:val="es-ES"/>
              </w:rPr>
              <w:t xml:space="preserve">de febrero al </w:t>
            </w:r>
            <w:r w:rsidRPr="004258B8">
              <w:rPr>
                <w:lang w:val="es-ES"/>
              </w:rPr>
              <w:t xml:space="preserve">5 </w:t>
            </w:r>
            <w:r>
              <w:rPr>
                <w:lang w:val="es-ES"/>
              </w:rPr>
              <w:t>de marzo de </w:t>
            </w:r>
            <w:r w:rsidRPr="004258B8">
              <w:rPr>
                <w:lang w:val="es-ES"/>
              </w:rPr>
              <w:t xml:space="preserve">2021, </w:t>
            </w:r>
            <w:r>
              <w:rPr>
                <w:lang w:val="es-ES"/>
              </w:rPr>
              <w:t>como propuso India</w:t>
            </w:r>
            <w:r w:rsidRPr="004258B8">
              <w:rPr>
                <w:lang w:val="es-ES"/>
              </w:rPr>
              <w:t>.</w:t>
            </w:r>
          </w:p>
          <w:p w14:paraId="78914E2B" w14:textId="1AFDEE6D" w:rsidR="00FF1F4F" w:rsidRPr="00D57908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Pr="006809B6">
              <w:t>Habida</w:t>
            </w:r>
            <w:r w:rsidRPr="00B133C5">
              <w:t xml:space="preserve"> cuenta de que se </w:t>
            </w:r>
            <w:r>
              <w:t>debía</w:t>
            </w:r>
            <w:r w:rsidRPr="00B133C5">
              <w:t xml:space="preserve"> tomar una decisión con carácter urgente, </w:t>
            </w:r>
            <w:r>
              <w:t>se consideró necesario</w:t>
            </w:r>
            <w:r w:rsidRPr="00B133C5">
              <w:t xml:space="preserve"> organizar una consulta por correspondencia, de conformidad con lo dispuesto en el Artículo 3 del Convenio y la Sección 7 del </w:t>
            </w:r>
            <w:bookmarkStart w:id="9" w:name="_Hlk66968198"/>
            <w:r w:rsidRPr="00B133C5">
              <w:t xml:space="preserve">Reglamento general de las conferencias, asambleas y reuniones de la Unión </w:t>
            </w:r>
            <w:bookmarkEnd w:id="9"/>
            <w:r w:rsidRPr="00B133C5">
              <w:t xml:space="preserve">en relación con el </w:t>
            </w:r>
            <w:r w:rsidRPr="00B133C5">
              <w:rPr>
                <w:i/>
                <w:iCs/>
              </w:rPr>
              <w:t>Cambio de fechas o de lugar de una conferencia o asamblea</w:t>
            </w:r>
            <w:r w:rsidRPr="00B133C5">
              <w:t>.</w:t>
            </w:r>
          </w:p>
        </w:tc>
        <w:tc>
          <w:tcPr>
            <w:tcW w:w="1809" w:type="dxa"/>
            <w:vMerge w:val="restart"/>
          </w:tcPr>
          <w:p w14:paraId="7970CDE4" w14:textId="58AB8ABF" w:rsidR="00FF1F4F" w:rsidRPr="004258B8" w:rsidRDefault="00FF1F4F" w:rsidP="00393827">
            <w:pPr>
              <w:pStyle w:val="Tabletext"/>
              <w:rPr>
                <w:lang w:val="es-ES"/>
              </w:rPr>
            </w:pPr>
            <w:r w:rsidRPr="004258B8">
              <w:rPr>
                <w:lang w:val="es-ES"/>
              </w:rPr>
              <w:t>Se aprobó el cambio de fecha de la AMNT-20 (</w:t>
            </w:r>
            <w:hyperlink r:id="rId26" w:history="1">
              <w:r>
                <w:rPr>
                  <w:rStyle w:val="Hyperlink"/>
                  <w:lang w:val="es-ES"/>
                </w:rPr>
                <w:t>Acuerdo 608</w:t>
              </w:r>
            </w:hyperlink>
            <w:r>
              <w:rPr>
                <w:lang w:val="es-ES"/>
              </w:rPr>
              <w:t xml:space="preserve"> modificado)</w:t>
            </w:r>
            <w:r w:rsidRPr="004258B8">
              <w:rPr>
                <w:lang w:val="es-ES"/>
              </w:rPr>
              <w:t>.</w:t>
            </w:r>
          </w:p>
        </w:tc>
      </w:tr>
      <w:tr w:rsidR="00FF1F4F" w:rsidRPr="004258B8" w14:paraId="714F841D" w14:textId="77777777" w:rsidTr="00FF1F4F">
        <w:trPr>
          <w:cantSplit/>
          <w:jc w:val="center"/>
        </w:trPr>
        <w:tc>
          <w:tcPr>
            <w:tcW w:w="4167" w:type="dxa"/>
            <w:tcBorders>
              <w:top w:val="nil"/>
            </w:tcBorders>
          </w:tcPr>
          <w:p w14:paraId="76C5D44B" w14:textId="24BA41C7" w:rsidR="00FF1F4F" w:rsidRPr="00131420" w:rsidRDefault="00FF1F4F" w:rsidP="00173D6F">
            <w:pPr>
              <w:pStyle w:val="Tabletext"/>
              <w:tabs>
                <w:tab w:val="left" w:pos="311"/>
              </w:tabs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Pr="00393827">
              <w:rPr>
                <w:i/>
                <w:iCs/>
                <w:lang w:val="es-ES"/>
              </w:rPr>
              <w:t>Contribución de India</w:t>
            </w:r>
          </w:p>
        </w:tc>
        <w:tc>
          <w:tcPr>
            <w:tcW w:w="1822" w:type="dxa"/>
            <w:tcBorders>
              <w:top w:val="nil"/>
            </w:tcBorders>
          </w:tcPr>
          <w:p w14:paraId="1E6E3324" w14:textId="0FBB3B95" w:rsidR="00FF1F4F" w:rsidRDefault="00FF1F4F" w:rsidP="00393827">
            <w:pPr>
              <w:pStyle w:val="Tabletext"/>
              <w:jc w:val="center"/>
            </w:pPr>
            <w:hyperlink r:id="rId27" w:history="1">
              <w:r w:rsidRPr="00EA182B">
                <w:rPr>
                  <w:rStyle w:val="Hyperlink"/>
                  <w:lang w:val="en-US"/>
                </w:rPr>
                <w:t>V</w:t>
              </w:r>
              <w:r w:rsidRPr="00EA182B">
                <w:rPr>
                  <w:rStyle w:val="Hyperlink"/>
                  <w:lang w:val="en-US"/>
                </w:rPr>
                <w:t>C</w:t>
              </w:r>
              <w:r w:rsidRPr="00EA182B">
                <w:rPr>
                  <w:rStyle w:val="Hyperlink"/>
                  <w:lang w:val="en-US"/>
                </w:rPr>
                <w:t>/</w:t>
              </w:r>
              <w:r w:rsidRPr="00EA182B">
                <w:rPr>
                  <w:rStyle w:val="Hyperlink"/>
                  <w:lang w:val="en-US"/>
                </w:rPr>
                <w:t>5</w:t>
              </w:r>
            </w:hyperlink>
          </w:p>
        </w:tc>
        <w:tc>
          <w:tcPr>
            <w:tcW w:w="6190" w:type="dxa"/>
            <w:vMerge/>
          </w:tcPr>
          <w:p w14:paraId="04ACA328" w14:textId="77777777" w:rsidR="00FF1F4F" w:rsidRPr="005629F4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809" w:type="dxa"/>
            <w:vMerge/>
          </w:tcPr>
          <w:p w14:paraId="6DFBD60C" w14:textId="77777777" w:rsidR="00FF1F4F" w:rsidRPr="004258B8" w:rsidRDefault="00FF1F4F" w:rsidP="00393827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EA182B" w:rsidRPr="00EA182B" w14:paraId="1A54AFAE" w14:textId="77777777" w:rsidTr="00E92052">
        <w:trPr>
          <w:jc w:val="center"/>
        </w:trPr>
        <w:tc>
          <w:tcPr>
            <w:tcW w:w="4167" w:type="dxa"/>
          </w:tcPr>
          <w:p w14:paraId="0C9CB9C4" w14:textId="1E985994" w:rsidR="00EA182B" w:rsidRPr="00131420" w:rsidRDefault="00085D6C" w:rsidP="00131420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Preparativos para la CMDT-21</w:t>
            </w:r>
          </w:p>
        </w:tc>
        <w:tc>
          <w:tcPr>
            <w:tcW w:w="1822" w:type="dxa"/>
          </w:tcPr>
          <w:p w14:paraId="738F3B17" w14:textId="738A3F33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28" w:history="1">
              <w:r w:rsidR="00EA182B" w:rsidRPr="00EA182B">
                <w:rPr>
                  <w:rStyle w:val="Hyperlink"/>
                  <w:lang w:val="en-US"/>
                </w:rPr>
                <w:t>C20</w:t>
              </w:r>
              <w:r w:rsidR="00EA182B" w:rsidRPr="00EA182B">
                <w:rPr>
                  <w:rStyle w:val="Hyperlink"/>
                  <w:lang w:val="en-US"/>
                </w:rPr>
                <w:t>/</w:t>
              </w:r>
              <w:r w:rsidR="00EA182B" w:rsidRPr="00EA182B">
                <w:rPr>
                  <w:rStyle w:val="Hyperlink"/>
                  <w:lang w:val="en-US"/>
                </w:rPr>
                <w:t>3</w:t>
              </w:r>
              <w:r w:rsidR="00EA182B" w:rsidRPr="00EA182B">
                <w:rPr>
                  <w:rStyle w:val="Hyperlink"/>
                  <w:lang w:val="en-US"/>
                </w:rPr>
                <w:t>0</w:t>
              </w:r>
            </w:hyperlink>
          </w:p>
        </w:tc>
        <w:tc>
          <w:tcPr>
            <w:tcW w:w="6190" w:type="dxa"/>
          </w:tcPr>
          <w:p w14:paraId="58DAC59C" w14:textId="03A6251E" w:rsidR="00EA182B" w:rsidRPr="00D57908" w:rsidRDefault="005629F4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4258B8">
              <w:rPr>
                <w:lang w:val="es-ES"/>
              </w:rPr>
              <w:t>S</w:t>
            </w:r>
            <w:r w:rsidR="00131420">
              <w:rPr>
                <w:lang w:val="es-ES"/>
              </w:rPr>
              <w:t>e</w:t>
            </w:r>
            <w:r w:rsidR="004258B8">
              <w:t xml:space="preserve"> propuso</w:t>
            </w:r>
            <w:r w:rsidRPr="00085D6C">
              <w:rPr>
                <w:bCs/>
              </w:rPr>
              <w:t xml:space="preserve"> </w:t>
            </w:r>
            <w:r w:rsidR="00085D6C" w:rsidRPr="00085D6C">
              <w:rPr>
                <w:bCs/>
              </w:rPr>
              <w:t xml:space="preserve">que la próxima reunión presencial del </w:t>
            </w:r>
            <w:r w:rsidR="00085D6C" w:rsidRPr="005629F4">
              <w:rPr>
                <w:lang w:val="es-ES"/>
              </w:rPr>
              <w:t>Consejo</w:t>
            </w:r>
            <w:r w:rsidR="00085D6C" w:rsidRPr="00085D6C">
              <w:rPr>
                <w:bCs/>
              </w:rPr>
              <w:t xml:space="preserve"> </w:t>
            </w:r>
            <w:r w:rsidR="00085D6C" w:rsidRPr="006809B6">
              <w:t>tome</w:t>
            </w:r>
            <w:r w:rsidR="00085D6C" w:rsidRPr="00085D6C">
              <w:rPr>
                <w:bCs/>
              </w:rPr>
              <w:t xml:space="preserve"> nota del Documento C20/30.</w:t>
            </w:r>
          </w:p>
        </w:tc>
        <w:tc>
          <w:tcPr>
            <w:tcW w:w="1809" w:type="dxa"/>
          </w:tcPr>
          <w:p w14:paraId="5BDBCD02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EA182B" w14:paraId="68F72C63" w14:textId="77777777" w:rsidTr="00E92052">
        <w:trPr>
          <w:jc w:val="center"/>
        </w:trPr>
        <w:tc>
          <w:tcPr>
            <w:tcW w:w="4167" w:type="dxa"/>
          </w:tcPr>
          <w:p w14:paraId="3DE4538B" w14:textId="30343BD4" w:rsidR="00EA182B" w:rsidRPr="00131420" w:rsidRDefault="00085D6C" w:rsidP="00131420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Preparativos para el FMPT-21</w:t>
            </w:r>
            <w:r w:rsidR="00EA182B" w:rsidRPr="00131420">
              <w:rPr>
                <w:lang w:val="es-ES"/>
              </w:rPr>
              <w:t xml:space="preserve"> (Res. 2, </w:t>
            </w:r>
            <w:r w:rsidR="00091E10">
              <w:rPr>
                <w:lang w:val="es-ES"/>
              </w:rPr>
              <w:t>A </w:t>
            </w:r>
            <w:r w:rsidR="00EA182B" w:rsidRPr="00131420">
              <w:rPr>
                <w:lang w:val="es-ES"/>
              </w:rPr>
              <w:t>611)</w:t>
            </w:r>
          </w:p>
        </w:tc>
        <w:tc>
          <w:tcPr>
            <w:tcW w:w="1822" w:type="dxa"/>
          </w:tcPr>
          <w:p w14:paraId="7B65D136" w14:textId="6DE90DBE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29" w:history="1">
              <w:r w:rsidR="00EA182B" w:rsidRPr="00EA182B">
                <w:rPr>
                  <w:rStyle w:val="Hyperlink"/>
                  <w:lang w:val="en-US"/>
                </w:rPr>
                <w:t>C</w:t>
              </w:r>
              <w:r w:rsidR="00EA182B" w:rsidRPr="00EA182B">
                <w:rPr>
                  <w:rStyle w:val="Hyperlink"/>
                  <w:lang w:val="en-US"/>
                </w:rPr>
                <w:t>2</w:t>
              </w:r>
              <w:r w:rsidR="00EA182B" w:rsidRPr="00EA182B">
                <w:rPr>
                  <w:rStyle w:val="Hyperlink"/>
                  <w:lang w:val="en-US"/>
                </w:rPr>
                <w:t>0</w:t>
              </w:r>
              <w:r w:rsidR="00EA182B" w:rsidRPr="00EA182B">
                <w:rPr>
                  <w:rStyle w:val="Hyperlink"/>
                  <w:lang w:val="en-US"/>
                </w:rPr>
                <w:t>/</w:t>
              </w:r>
              <w:r w:rsidR="00EA182B" w:rsidRPr="00EA182B">
                <w:rPr>
                  <w:rStyle w:val="Hyperlink"/>
                  <w:lang w:val="en-US"/>
                </w:rPr>
                <w:t>5</w:t>
              </w:r>
            </w:hyperlink>
          </w:p>
        </w:tc>
        <w:tc>
          <w:tcPr>
            <w:tcW w:w="6190" w:type="dxa"/>
          </w:tcPr>
          <w:p w14:paraId="0C17FD08" w14:textId="72E79EC6" w:rsidR="00EA182B" w:rsidRPr="00D57908" w:rsidRDefault="005629F4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4258B8">
              <w:rPr>
                <w:lang w:val="es-ES"/>
              </w:rPr>
              <w:t>S</w:t>
            </w:r>
            <w:r w:rsidR="00131420">
              <w:rPr>
                <w:lang w:val="es-ES"/>
              </w:rPr>
              <w:t>e</w:t>
            </w:r>
            <w:r w:rsidR="004258B8">
              <w:t xml:space="preserve"> propuso</w:t>
            </w:r>
            <w:r w:rsidRPr="00085D6C">
              <w:rPr>
                <w:bCs/>
              </w:rPr>
              <w:t xml:space="preserve"> </w:t>
            </w:r>
            <w:r w:rsidR="00085D6C" w:rsidRPr="00085D6C">
              <w:rPr>
                <w:bCs/>
              </w:rPr>
              <w:t xml:space="preserve">que la próxima reunión presencial del Consejo tome nota del informe presentado en el </w:t>
            </w:r>
            <w:r w:rsidR="00085D6C" w:rsidRPr="005629F4">
              <w:rPr>
                <w:lang w:val="es-ES"/>
              </w:rPr>
              <w:t>Documento</w:t>
            </w:r>
            <w:r w:rsidR="00E127DF">
              <w:rPr>
                <w:bCs/>
              </w:rPr>
              <w:t> </w:t>
            </w:r>
            <w:r w:rsidR="00085D6C" w:rsidRPr="00085D6C">
              <w:rPr>
                <w:bCs/>
              </w:rPr>
              <w:t>C20/5.</w:t>
            </w:r>
          </w:p>
          <w:p w14:paraId="0F52CB7D" w14:textId="3ED9FD6B" w:rsidR="00EA182B" w:rsidRPr="004258B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4258B8">
              <w:rPr>
                <w:lang w:val="es-ES"/>
              </w:rPr>
              <w:t>–</w:t>
            </w:r>
            <w:r w:rsidRPr="004258B8">
              <w:rPr>
                <w:lang w:val="es-ES"/>
              </w:rPr>
              <w:tab/>
            </w:r>
            <w:r w:rsidR="004258B8" w:rsidRPr="004258B8">
              <w:rPr>
                <w:lang w:val="es-ES"/>
              </w:rPr>
              <w:t xml:space="preserve">Se instó a la Secretaría a celebrar una consulta con los Estados Miembros del Consejo acerca de las nuevas fechas del </w:t>
            </w:r>
            <w:r w:rsidR="004258B8" w:rsidRPr="006809B6">
              <w:t>FMPT</w:t>
            </w:r>
            <w:r w:rsidR="004258B8">
              <w:t xml:space="preserve"> en 2022, habida cuenta de que era un tema de carácter urgente</w:t>
            </w:r>
            <w:r w:rsidR="00EA182B" w:rsidRPr="004258B8">
              <w:rPr>
                <w:lang w:val="es-ES"/>
              </w:rPr>
              <w:t>.</w:t>
            </w:r>
          </w:p>
          <w:p w14:paraId="76553AFF" w14:textId="553D1CDF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Pr="009D6E5F">
              <w:t xml:space="preserve">Se </w:t>
            </w:r>
            <w:r w:rsidR="004258B8">
              <w:t>instó</w:t>
            </w:r>
            <w:r w:rsidR="009D6E5F" w:rsidRPr="009D6E5F">
              <w:t xml:space="preserve"> a la Secretaría a revisar la posible </w:t>
            </w:r>
            <w:r w:rsidR="009D6E5F" w:rsidRPr="005629F4">
              <w:rPr>
                <w:lang w:val="es-ES"/>
              </w:rPr>
              <w:t>reprogramación</w:t>
            </w:r>
            <w:r w:rsidR="009D6E5F" w:rsidRPr="009D6E5F">
              <w:t xml:space="preserve"> del FMPT-21 y presentar las opciones en el momento de examinar el programa de eventos el viernes 12 de junio</w:t>
            </w:r>
            <w:r w:rsidR="00EA182B" w:rsidRPr="00D57908">
              <w:rPr>
                <w:lang w:val="es-ES"/>
              </w:rPr>
              <w:t>.</w:t>
            </w:r>
          </w:p>
          <w:p w14:paraId="3EC53881" w14:textId="23E4A950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4258B8">
              <w:rPr>
                <w:lang w:val="es-ES"/>
              </w:rPr>
              <w:t>Se instó a la Secretaría a preparar</w:t>
            </w:r>
            <w:r w:rsidRPr="009D6E5F">
              <w:t xml:space="preserve"> </w:t>
            </w:r>
            <w:r w:rsidR="009D6E5F" w:rsidRPr="009D6E5F">
              <w:t xml:space="preserve">un calendario revisado del proceso </w:t>
            </w:r>
            <w:r w:rsidR="009D6E5F" w:rsidRPr="005629F4">
              <w:rPr>
                <w:lang w:val="es-ES"/>
              </w:rPr>
              <w:t>preparatorio</w:t>
            </w:r>
            <w:r w:rsidR="009D6E5F" w:rsidRPr="009D6E5F">
              <w:t xml:space="preserve"> para su examen durante la próxima reunión del GIE-FMPT</w:t>
            </w:r>
            <w:r w:rsidR="009D6E5F">
              <w:t>.</w:t>
            </w:r>
          </w:p>
        </w:tc>
        <w:tc>
          <w:tcPr>
            <w:tcW w:w="1809" w:type="dxa"/>
          </w:tcPr>
          <w:p w14:paraId="2F158E0C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C5B3F" w:rsidRPr="00EA182B" w14:paraId="2861D2BE" w14:textId="77777777" w:rsidTr="00E92052">
        <w:trPr>
          <w:jc w:val="center"/>
        </w:trPr>
        <w:tc>
          <w:tcPr>
            <w:tcW w:w="4167" w:type="dxa"/>
            <w:shd w:val="clear" w:color="auto" w:fill="BFBFBF"/>
          </w:tcPr>
          <w:p w14:paraId="6D6EBD7C" w14:textId="5316CBB8" w:rsidR="00EA182B" w:rsidRPr="00C03BB4" w:rsidRDefault="00C03BB4" w:rsidP="00922B61">
            <w:pPr>
              <w:pStyle w:val="Tabletext"/>
              <w:keepNext/>
              <w:keepLines/>
              <w:rPr>
                <w:b/>
                <w:bCs/>
                <w:lang w:val="es-ES"/>
              </w:rPr>
            </w:pPr>
            <w:r w:rsidRPr="00C03BB4">
              <w:rPr>
                <w:b/>
                <w:bCs/>
                <w:lang w:val="es-ES"/>
              </w:rPr>
              <w:lastRenderedPageBreak/>
              <w:t>Miércoles</w:t>
            </w:r>
            <w:r w:rsidR="00EA182B" w:rsidRPr="00C03BB4">
              <w:rPr>
                <w:b/>
                <w:bCs/>
                <w:lang w:val="es-ES"/>
              </w:rPr>
              <w:t xml:space="preserve">, 10 </w:t>
            </w:r>
            <w:r w:rsidRPr="00C03BB4">
              <w:rPr>
                <w:b/>
                <w:bCs/>
                <w:lang w:val="es-ES"/>
              </w:rPr>
              <w:t>de junio</w:t>
            </w:r>
            <w:r w:rsidR="00EA182B" w:rsidRPr="00C03BB4">
              <w:rPr>
                <w:b/>
                <w:bCs/>
                <w:lang w:val="es-ES"/>
              </w:rPr>
              <w:t>, 12.00-15.00</w:t>
            </w:r>
            <w:r w:rsidRPr="00C03BB4">
              <w:rPr>
                <w:b/>
                <w:bCs/>
                <w:lang w:val="es-ES"/>
              </w:rPr>
              <w:t xml:space="preserve"> horas</w:t>
            </w:r>
          </w:p>
        </w:tc>
        <w:tc>
          <w:tcPr>
            <w:tcW w:w="1822" w:type="dxa"/>
            <w:shd w:val="clear" w:color="auto" w:fill="BFBFBF"/>
          </w:tcPr>
          <w:p w14:paraId="4C6830FD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6190" w:type="dxa"/>
            <w:shd w:val="clear" w:color="auto" w:fill="BFBFBF"/>
          </w:tcPr>
          <w:p w14:paraId="542C25F6" w14:textId="77777777" w:rsidR="00EA182B" w:rsidRPr="00EA182B" w:rsidRDefault="00EA182B" w:rsidP="00EC5B3F">
            <w:pPr>
              <w:pStyle w:val="Tabletext"/>
              <w:rPr>
                <w:lang w:val="en-US"/>
              </w:rPr>
            </w:pPr>
          </w:p>
        </w:tc>
        <w:tc>
          <w:tcPr>
            <w:tcW w:w="1809" w:type="dxa"/>
            <w:shd w:val="clear" w:color="auto" w:fill="BFBFBF"/>
          </w:tcPr>
          <w:p w14:paraId="3CB93638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EA182B" w:rsidRPr="00EA182B" w14:paraId="1244624F" w14:textId="77777777" w:rsidTr="00E92052">
        <w:trPr>
          <w:jc w:val="center"/>
        </w:trPr>
        <w:tc>
          <w:tcPr>
            <w:tcW w:w="4167" w:type="dxa"/>
          </w:tcPr>
          <w:p w14:paraId="4BDE990A" w14:textId="39F61223" w:rsidR="00EA182B" w:rsidRPr="00D624A9" w:rsidRDefault="00D624A9" w:rsidP="00EC5B3F">
            <w:pPr>
              <w:pStyle w:val="Tabletext"/>
            </w:pPr>
            <w:r w:rsidRPr="00D624A9">
              <w:t xml:space="preserve">Resultado de los debates de la Consulta virtual de los </w:t>
            </w:r>
            <w:r>
              <w:t>consejeros</w:t>
            </w:r>
            <w:r w:rsidR="00EA182B" w:rsidRPr="00D624A9">
              <w:t xml:space="preserve">, 9-12 </w:t>
            </w:r>
            <w:r>
              <w:t>de junio de</w:t>
            </w:r>
            <w:r w:rsidR="00922B61">
              <w:t> </w:t>
            </w:r>
            <w:r w:rsidR="00EA182B" w:rsidRPr="00D624A9">
              <w:t>2020</w:t>
            </w:r>
          </w:p>
        </w:tc>
        <w:tc>
          <w:tcPr>
            <w:tcW w:w="1822" w:type="dxa"/>
          </w:tcPr>
          <w:p w14:paraId="35A2028E" w14:textId="16B476F0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30" w:history="1">
              <w:r w:rsidR="00EA182B" w:rsidRPr="00EA182B">
                <w:rPr>
                  <w:rStyle w:val="Hyperlink"/>
                  <w:lang w:val="en-US"/>
                </w:rPr>
                <w:t>DT/</w:t>
              </w:r>
              <w:r w:rsidR="00EA182B" w:rsidRPr="00EA182B">
                <w:rPr>
                  <w:rStyle w:val="Hyperlink"/>
                  <w:lang w:val="en-US"/>
                </w:rPr>
                <w:t>1</w:t>
              </w:r>
            </w:hyperlink>
          </w:p>
        </w:tc>
        <w:tc>
          <w:tcPr>
            <w:tcW w:w="6190" w:type="dxa"/>
          </w:tcPr>
          <w:p w14:paraId="2348C6F9" w14:textId="1CA0385E" w:rsidR="00EA182B" w:rsidRPr="00D624A9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D624A9">
              <w:rPr>
                <w:lang w:val="es-ES"/>
              </w:rPr>
              <w:t>–</w:t>
            </w:r>
            <w:r w:rsidRPr="00D624A9">
              <w:rPr>
                <w:lang w:val="es-ES"/>
              </w:rPr>
              <w:tab/>
            </w:r>
            <w:r w:rsidR="00D624A9" w:rsidRPr="00D624A9">
              <w:rPr>
                <w:lang w:val="es-ES"/>
              </w:rPr>
              <w:t xml:space="preserve">Los consejeros expresaron su agradecimiento por el </w:t>
            </w:r>
            <w:r w:rsidR="00D624A9" w:rsidRPr="006809B6">
              <w:t>documento</w:t>
            </w:r>
            <w:r w:rsidR="00D624A9" w:rsidRPr="00D624A9">
              <w:rPr>
                <w:lang w:val="es-ES"/>
              </w:rPr>
              <w:t xml:space="preserve"> e indicaron que en él se reflejan fielmente los resultados de los debates</w:t>
            </w:r>
            <w:r w:rsidR="00EA182B" w:rsidRPr="00D624A9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3A05F993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D624A9" w14:paraId="18D4AD2C" w14:textId="77777777" w:rsidTr="00E92052">
        <w:trPr>
          <w:jc w:val="center"/>
        </w:trPr>
        <w:tc>
          <w:tcPr>
            <w:tcW w:w="4167" w:type="dxa"/>
          </w:tcPr>
          <w:p w14:paraId="647C255F" w14:textId="262D8806" w:rsidR="00EA182B" w:rsidRPr="00C03BB4" w:rsidRDefault="00D17213" w:rsidP="00EC5B3F">
            <w:pPr>
              <w:pStyle w:val="Tabletext"/>
              <w:rPr>
                <w:lang w:val="es-ES"/>
              </w:rPr>
            </w:pPr>
            <w:r w:rsidRPr="00C03BB4">
              <w:rPr>
                <w:lang w:val="es-ES"/>
              </w:rPr>
              <w:t xml:space="preserve">Aplicación de la recuperación de costes a la tramitación de notificaciones de redes de satélites </w:t>
            </w:r>
            <w:r w:rsidR="00EA182B" w:rsidRPr="00C03BB4">
              <w:rPr>
                <w:lang w:val="es-ES"/>
              </w:rPr>
              <w:t>(</w:t>
            </w:r>
            <w:r w:rsidR="00091E10">
              <w:rPr>
                <w:lang w:val="es-ES"/>
              </w:rPr>
              <w:t>A</w:t>
            </w:r>
            <w:r w:rsidR="00EA182B" w:rsidRPr="00C03BB4">
              <w:rPr>
                <w:lang w:val="es-ES"/>
              </w:rPr>
              <w:t xml:space="preserve"> 482(MOD))</w:t>
            </w:r>
          </w:p>
        </w:tc>
        <w:tc>
          <w:tcPr>
            <w:tcW w:w="1822" w:type="dxa"/>
          </w:tcPr>
          <w:p w14:paraId="09B2A1F4" w14:textId="1B0AC8E2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31" w:history="1">
              <w:r w:rsidR="00EA182B" w:rsidRPr="00EA182B">
                <w:rPr>
                  <w:rStyle w:val="Hyperlink"/>
                  <w:bCs/>
                  <w:lang w:val="en-US"/>
                </w:rPr>
                <w:t>C2</w:t>
              </w:r>
              <w:r w:rsidR="00EA182B" w:rsidRPr="00EA182B">
                <w:rPr>
                  <w:rStyle w:val="Hyperlink"/>
                  <w:bCs/>
                  <w:lang w:val="en-US"/>
                </w:rPr>
                <w:t>0</w:t>
              </w:r>
              <w:r w:rsidR="00EA182B" w:rsidRPr="00EA182B">
                <w:rPr>
                  <w:rStyle w:val="Hyperlink"/>
                  <w:bCs/>
                  <w:lang w:val="en-US"/>
                </w:rPr>
                <w:t>/16</w:t>
              </w:r>
            </w:hyperlink>
          </w:p>
        </w:tc>
        <w:tc>
          <w:tcPr>
            <w:tcW w:w="6190" w:type="dxa"/>
          </w:tcPr>
          <w:p w14:paraId="24FBCB75" w14:textId="5073BAF7" w:rsidR="00EA182B" w:rsidRPr="005629F4" w:rsidRDefault="005629F4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D624A9">
              <w:rPr>
                <w:lang w:val="es-ES"/>
              </w:rPr>
              <w:t xml:space="preserve">Se propuso que la próxima reunión presencial del Consejo </w:t>
            </w:r>
            <w:r w:rsidR="00D17213" w:rsidRPr="005629F4">
              <w:rPr>
                <w:bCs/>
                <w:lang w:val="es-ES"/>
              </w:rPr>
              <w:t xml:space="preserve">tome nota del informe consignado en el </w:t>
            </w:r>
            <w:r w:rsidR="00D17213" w:rsidRPr="006809B6">
              <w:t>Documento</w:t>
            </w:r>
            <w:r w:rsidR="00922B61">
              <w:rPr>
                <w:bCs/>
                <w:lang w:val="es-ES"/>
              </w:rPr>
              <w:t> </w:t>
            </w:r>
            <w:r w:rsidR="00D17213" w:rsidRPr="005629F4">
              <w:rPr>
                <w:bCs/>
                <w:lang w:val="es-ES"/>
              </w:rPr>
              <w:t>C20/16</w:t>
            </w:r>
            <w:r w:rsidR="00BE5CEE">
              <w:rPr>
                <w:bCs/>
                <w:lang w:val="es-ES"/>
              </w:rPr>
              <w:t>.</w:t>
            </w:r>
          </w:p>
          <w:p w14:paraId="6AB91BB9" w14:textId="6E0449AB" w:rsidR="00EA182B" w:rsidRPr="005629F4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  <w:t xml:space="preserve">Habida </w:t>
            </w:r>
            <w:r w:rsidR="00D17213" w:rsidRPr="005629F4">
              <w:rPr>
                <w:lang w:val="es-ES"/>
              </w:rPr>
              <w:t>cuenta de la urgencia del asunto, se organi</w:t>
            </w:r>
            <w:r w:rsidR="00D624A9">
              <w:rPr>
                <w:lang w:val="es-ES"/>
              </w:rPr>
              <w:t>zó</w:t>
            </w:r>
            <w:r w:rsidR="00D17213" w:rsidRPr="005629F4">
              <w:rPr>
                <w:lang w:val="es-ES"/>
              </w:rPr>
              <w:t xml:space="preserve"> una </w:t>
            </w:r>
            <w:r w:rsidR="00D17213" w:rsidRPr="006809B6">
              <w:t>consulta</w:t>
            </w:r>
            <w:r w:rsidR="00D17213" w:rsidRPr="005629F4">
              <w:rPr>
                <w:lang w:val="es-ES"/>
              </w:rPr>
              <w:t xml:space="preserve"> por correspondencia de los Estados Miembros del Consejo sobre la aprobación del proyecto modificado del Acuerdo 482 tal como figura en el Documento</w:t>
            </w:r>
            <w:r w:rsidR="00922B61">
              <w:rPr>
                <w:lang w:val="es-ES"/>
              </w:rPr>
              <w:t> </w:t>
            </w:r>
            <w:hyperlink r:id="rId32" w:history="1">
              <w:r w:rsidR="00D17213" w:rsidRPr="00091E10">
                <w:rPr>
                  <w:rStyle w:val="Hyperlink"/>
                  <w:lang w:val="es-ES"/>
                </w:rPr>
                <w:t>DT/2</w:t>
              </w:r>
            </w:hyperlink>
            <w:r w:rsidR="00D17213" w:rsidRPr="005629F4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5A696857" w14:textId="2F4CD477" w:rsidR="00EA182B" w:rsidRPr="00D624A9" w:rsidRDefault="00D624A9" w:rsidP="00091E10">
            <w:pPr>
              <w:pStyle w:val="Tabletext"/>
              <w:rPr>
                <w:lang w:val="es-ES"/>
              </w:rPr>
            </w:pPr>
            <w:r w:rsidRPr="00D624A9">
              <w:rPr>
                <w:lang w:val="es-ES"/>
              </w:rPr>
              <w:t>Se adoptó el</w:t>
            </w:r>
            <w:r w:rsidR="00EA182B" w:rsidRPr="00D624A9">
              <w:rPr>
                <w:lang w:val="es-ES"/>
              </w:rPr>
              <w:t xml:space="preserve"> </w:t>
            </w:r>
            <w:hyperlink r:id="rId33" w:history="1">
              <w:r w:rsidRPr="00D624A9">
                <w:rPr>
                  <w:rStyle w:val="Hyperlink"/>
                  <w:lang w:val="es-ES"/>
                </w:rPr>
                <w:t>Acuerdo</w:t>
              </w:r>
              <w:r w:rsidR="00EA182B" w:rsidRPr="00D624A9">
                <w:rPr>
                  <w:rStyle w:val="Hyperlink"/>
                  <w:lang w:val="es-ES"/>
                </w:rPr>
                <w:t xml:space="preserve"> </w:t>
              </w:r>
              <w:r w:rsidR="00EA182B" w:rsidRPr="00D624A9">
                <w:rPr>
                  <w:rStyle w:val="Hyperlink"/>
                  <w:lang w:val="es-ES"/>
                </w:rPr>
                <w:t>482</w:t>
              </w:r>
            </w:hyperlink>
            <w:r w:rsidR="00EA182B" w:rsidRPr="00D624A9">
              <w:rPr>
                <w:lang w:val="es-ES"/>
              </w:rPr>
              <w:t xml:space="preserve"> </w:t>
            </w:r>
            <w:r w:rsidR="00922B61">
              <w:t>mo</w:t>
            </w:r>
            <w:r>
              <w:t>dificado</w:t>
            </w:r>
            <w:r w:rsidR="00EA182B" w:rsidRPr="00D624A9">
              <w:rPr>
                <w:lang w:val="es-ES"/>
              </w:rPr>
              <w:t>.</w:t>
            </w:r>
          </w:p>
        </w:tc>
      </w:tr>
      <w:tr w:rsidR="00EA182B" w:rsidRPr="00D624A9" w14:paraId="329B414F" w14:textId="77777777" w:rsidTr="00E92052">
        <w:trPr>
          <w:jc w:val="center"/>
        </w:trPr>
        <w:tc>
          <w:tcPr>
            <w:tcW w:w="4167" w:type="dxa"/>
          </w:tcPr>
          <w:p w14:paraId="3204231D" w14:textId="3E4ECE05" w:rsidR="00EA182B" w:rsidRPr="00D57908" w:rsidRDefault="00D17213" w:rsidP="00EC5B3F">
            <w:pPr>
              <w:pStyle w:val="Tabletext"/>
              <w:rPr>
                <w:lang w:val="es-ES"/>
              </w:rPr>
            </w:pPr>
            <w:r w:rsidRPr="00D57908">
              <w:rPr>
                <w:lang w:val="es-ES"/>
              </w:rPr>
              <w:t>Informe sobre la AR-19 y la CMR-19</w:t>
            </w:r>
          </w:p>
        </w:tc>
        <w:tc>
          <w:tcPr>
            <w:tcW w:w="1822" w:type="dxa"/>
          </w:tcPr>
          <w:p w14:paraId="63C3D6DD" w14:textId="0267FC02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34" w:history="1">
              <w:r w:rsidR="00EA182B" w:rsidRPr="00EA182B">
                <w:rPr>
                  <w:rStyle w:val="Hyperlink"/>
                  <w:lang w:val="en-US"/>
                </w:rPr>
                <w:t>C20</w:t>
              </w:r>
              <w:r w:rsidR="00EA182B" w:rsidRPr="00EA182B">
                <w:rPr>
                  <w:rStyle w:val="Hyperlink"/>
                  <w:lang w:val="en-US"/>
                </w:rPr>
                <w:t>/</w:t>
              </w:r>
              <w:r w:rsidR="00EA182B" w:rsidRPr="00EA182B">
                <w:rPr>
                  <w:rStyle w:val="Hyperlink"/>
                  <w:lang w:val="en-US"/>
                </w:rPr>
                <w:t>27</w:t>
              </w:r>
            </w:hyperlink>
          </w:p>
          <w:p w14:paraId="6B16D97D" w14:textId="191FB3C9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35" w:history="1">
              <w:r w:rsidR="00EA182B" w:rsidRPr="00EA182B">
                <w:rPr>
                  <w:rStyle w:val="Hyperlink"/>
                  <w:lang w:val="en-US"/>
                </w:rPr>
                <w:t>VC</w:t>
              </w:r>
              <w:r w:rsidR="00EA182B" w:rsidRPr="00EA182B">
                <w:rPr>
                  <w:rStyle w:val="Hyperlink"/>
                  <w:lang w:val="en-US"/>
                </w:rPr>
                <w:t>/</w:t>
              </w:r>
              <w:r w:rsidR="00EA182B" w:rsidRPr="00EA182B">
                <w:rPr>
                  <w:rStyle w:val="Hyperlink"/>
                  <w:lang w:val="en-US"/>
                </w:rPr>
                <w:t>11</w:t>
              </w:r>
            </w:hyperlink>
          </w:p>
          <w:p w14:paraId="66A27E41" w14:textId="236A5D9D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36" w:history="1">
              <w:r w:rsidR="00EA182B" w:rsidRPr="00EA182B">
                <w:rPr>
                  <w:rStyle w:val="Hyperlink"/>
                  <w:lang w:val="en-US"/>
                </w:rPr>
                <w:t>VC</w:t>
              </w:r>
              <w:r w:rsidR="00EA182B" w:rsidRPr="00EA182B">
                <w:rPr>
                  <w:rStyle w:val="Hyperlink"/>
                  <w:lang w:val="en-US"/>
                </w:rPr>
                <w:t>/</w:t>
              </w:r>
              <w:r w:rsidR="00EA182B" w:rsidRPr="00EA182B">
                <w:rPr>
                  <w:rStyle w:val="Hyperlink"/>
                  <w:lang w:val="en-US"/>
                </w:rPr>
                <w:t>9</w:t>
              </w:r>
            </w:hyperlink>
          </w:p>
        </w:tc>
        <w:tc>
          <w:tcPr>
            <w:tcW w:w="6190" w:type="dxa"/>
          </w:tcPr>
          <w:p w14:paraId="02D2688C" w14:textId="434B6BDC" w:rsidR="00EA182B" w:rsidRPr="00D57908" w:rsidRDefault="005629F4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D624A9">
              <w:rPr>
                <w:lang w:val="es-ES"/>
              </w:rPr>
              <w:t>S</w:t>
            </w:r>
            <w:r w:rsidR="00131420">
              <w:rPr>
                <w:lang w:val="es-ES"/>
              </w:rPr>
              <w:t>e</w:t>
            </w:r>
            <w:r w:rsidR="00D624A9">
              <w:t xml:space="preserve"> propuso que la próxima</w:t>
            </w:r>
            <w:r w:rsidR="00D17213" w:rsidRPr="00D17213">
              <w:rPr>
                <w:bCs/>
                <w:lang w:val="es-ES"/>
              </w:rPr>
              <w:t xml:space="preserve"> reunión </w:t>
            </w:r>
            <w:r w:rsidR="00D17213" w:rsidRPr="005629F4">
              <w:rPr>
                <w:lang w:val="es-ES"/>
              </w:rPr>
              <w:t>presencial</w:t>
            </w:r>
            <w:r w:rsidR="00D624A9">
              <w:rPr>
                <w:lang w:val="es-ES"/>
              </w:rPr>
              <w:t xml:space="preserve"> </w:t>
            </w:r>
            <w:r w:rsidR="00D624A9">
              <w:t>del Consejo</w:t>
            </w:r>
            <w:r w:rsidR="00D17213" w:rsidRPr="00D17213">
              <w:rPr>
                <w:bCs/>
                <w:lang w:val="es-ES"/>
              </w:rPr>
              <w:t xml:space="preserve"> </w:t>
            </w:r>
            <w:r w:rsidR="00D17213" w:rsidRPr="006809B6">
              <w:t>tome</w:t>
            </w:r>
            <w:r w:rsidR="00D17213" w:rsidRPr="00D17213">
              <w:rPr>
                <w:bCs/>
                <w:lang w:val="es-ES"/>
              </w:rPr>
              <w:t xml:space="preserve"> nota del informe contenido en el Documento</w:t>
            </w:r>
            <w:r w:rsidR="00922B61">
              <w:rPr>
                <w:bCs/>
                <w:lang w:val="es-ES"/>
              </w:rPr>
              <w:t> </w:t>
            </w:r>
            <w:r w:rsidR="00D17213" w:rsidRPr="00D17213">
              <w:rPr>
                <w:bCs/>
                <w:lang w:val="es-ES"/>
              </w:rPr>
              <w:t>C20/27.</w:t>
            </w:r>
          </w:p>
          <w:p w14:paraId="5D0169AC" w14:textId="2FF895A7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D624A9">
              <w:rPr>
                <w:lang w:val="es-ES"/>
              </w:rPr>
              <w:t>Habida cuenta de la urgencia del tema, se organizó</w:t>
            </w:r>
            <w:r w:rsidR="00D17213" w:rsidRPr="00D17213">
              <w:t xml:space="preserve"> una consulta por correspondencia de los Estados Miembros del Consejo para apoyar las solicitudes formuladas en los Documentos VC/11 y VC/9.</w:t>
            </w:r>
          </w:p>
          <w:p w14:paraId="1A3FC8C6" w14:textId="1E89F75B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D624A9">
              <w:rPr>
                <w:lang w:val="es-ES"/>
              </w:rPr>
              <w:t xml:space="preserve">Se alentó </w:t>
            </w:r>
            <w:r w:rsidR="00D17213" w:rsidRPr="00D17213">
              <w:t>a la BR a seguir prestando asistencia a los Estados Miembros en la implementación de la Resolución</w:t>
            </w:r>
            <w:r w:rsidR="00922B61">
              <w:t> </w:t>
            </w:r>
            <w:r w:rsidR="00D17213" w:rsidRPr="00D17213">
              <w:t xml:space="preserve">559, </w:t>
            </w:r>
            <w:r w:rsidR="00D17213" w:rsidRPr="005629F4">
              <w:rPr>
                <w:lang w:val="es-ES"/>
              </w:rPr>
              <w:t>en</w:t>
            </w:r>
            <w:r w:rsidR="00D17213" w:rsidRPr="00D17213">
              <w:t xml:space="preserve"> particular a aquellos que aún no hayan presentado notificación al respecto a finales de 2020.</w:t>
            </w:r>
          </w:p>
        </w:tc>
        <w:tc>
          <w:tcPr>
            <w:tcW w:w="1809" w:type="dxa"/>
          </w:tcPr>
          <w:p w14:paraId="1C0623E1" w14:textId="6F9A1815" w:rsidR="00EA182B" w:rsidRPr="00D624A9" w:rsidRDefault="00D624A9" w:rsidP="00091E10">
            <w:pPr>
              <w:pStyle w:val="Tabletext"/>
              <w:rPr>
                <w:lang w:val="es-ES"/>
              </w:rPr>
            </w:pPr>
            <w:r w:rsidRPr="00D624A9">
              <w:rPr>
                <w:lang w:val="es-ES"/>
              </w:rPr>
              <w:t>Se aprobaron las solicitudes formuladas en los Documentos</w:t>
            </w:r>
            <w:r w:rsidR="00EA182B" w:rsidRPr="00D624A9">
              <w:rPr>
                <w:lang w:val="es-ES"/>
              </w:rPr>
              <w:t xml:space="preserve"> VC/11 </w:t>
            </w:r>
            <w:r w:rsidRPr="00D624A9">
              <w:rPr>
                <w:lang w:val="es-ES"/>
              </w:rPr>
              <w:t>y</w:t>
            </w:r>
            <w:r w:rsidR="00EA182B" w:rsidRPr="00D624A9">
              <w:rPr>
                <w:lang w:val="es-ES"/>
              </w:rPr>
              <w:t xml:space="preserve"> VC/9.</w:t>
            </w:r>
          </w:p>
        </w:tc>
      </w:tr>
      <w:tr w:rsidR="00EA182B" w:rsidRPr="00EA182B" w14:paraId="39D20E7C" w14:textId="77777777" w:rsidTr="00E92052">
        <w:trPr>
          <w:cantSplit/>
          <w:jc w:val="center"/>
        </w:trPr>
        <w:tc>
          <w:tcPr>
            <w:tcW w:w="4167" w:type="dxa"/>
          </w:tcPr>
          <w:p w14:paraId="092553FC" w14:textId="0E9CADFF" w:rsidR="00EA182B" w:rsidRPr="00D57908" w:rsidRDefault="00D17213" w:rsidP="00EC5B3F">
            <w:pPr>
              <w:pStyle w:val="Tabletext"/>
              <w:rPr>
                <w:lang w:val="es-ES"/>
              </w:rPr>
            </w:pPr>
            <w:r w:rsidRPr="00D57908">
              <w:rPr>
                <w:lang w:val="es-ES"/>
              </w:rPr>
              <w:lastRenderedPageBreak/>
              <w:t>Resultados de la CMR-19 con repercusiones financieras</w:t>
            </w:r>
          </w:p>
        </w:tc>
        <w:tc>
          <w:tcPr>
            <w:tcW w:w="1822" w:type="dxa"/>
          </w:tcPr>
          <w:p w14:paraId="7813ADAE" w14:textId="4915EEC7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37" w:history="1">
              <w:r w:rsidR="00EA182B" w:rsidRPr="00EA182B">
                <w:rPr>
                  <w:rStyle w:val="Hyperlink"/>
                  <w:bCs/>
                  <w:lang w:val="en-US"/>
                </w:rPr>
                <w:t>C20</w:t>
              </w:r>
              <w:r w:rsidR="00EA182B" w:rsidRPr="00EA182B">
                <w:rPr>
                  <w:rStyle w:val="Hyperlink"/>
                  <w:bCs/>
                  <w:lang w:val="en-US"/>
                </w:rPr>
                <w:t>/</w:t>
              </w:r>
              <w:r w:rsidR="00EA182B" w:rsidRPr="00EA182B">
                <w:rPr>
                  <w:rStyle w:val="Hyperlink"/>
                  <w:bCs/>
                  <w:lang w:val="en-US"/>
                </w:rPr>
                <w:t>56</w:t>
              </w:r>
            </w:hyperlink>
          </w:p>
        </w:tc>
        <w:tc>
          <w:tcPr>
            <w:tcW w:w="6190" w:type="dxa"/>
          </w:tcPr>
          <w:p w14:paraId="25FAE2D3" w14:textId="77DD096E" w:rsidR="00EA182B" w:rsidRPr="005629F4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D624A9">
              <w:rPr>
                <w:lang w:val="es-ES"/>
              </w:rPr>
              <w:t>Se propuso que la</w:t>
            </w:r>
            <w:r w:rsidR="00D17213" w:rsidRPr="005629F4">
              <w:rPr>
                <w:lang w:val="es-ES"/>
              </w:rPr>
              <w:t xml:space="preserve"> próxima reunión presencial</w:t>
            </w:r>
            <w:r w:rsidR="00D624A9">
              <w:rPr>
                <w:lang w:val="es-ES"/>
              </w:rPr>
              <w:t xml:space="preserve"> del Consejo</w:t>
            </w:r>
            <w:r w:rsidR="00D17213" w:rsidRPr="005629F4">
              <w:rPr>
                <w:lang w:val="es-ES"/>
              </w:rPr>
              <w:t xml:space="preserve"> </w:t>
            </w:r>
            <w:r w:rsidR="00D17213" w:rsidRPr="006809B6">
              <w:t>autorice</w:t>
            </w:r>
            <w:r w:rsidR="00D17213" w:rsidRPr="005629F4">
              <w:rPr>
                <w:lang w:val="es-ES"/>
              </w:rPr>
              <w:t xml:space="preserve"> al Secretario General a adoptar las medidas pertinentes con carácter prioritario</w:t>
            </w:r>
            <w:r w:rsidR="00EA182B" w:rsidRPr="005629F4">
              <w:rPr>
                <w:lang w:val="es-ES"/>
              </w:rPr>
              <w:t>:</w:t>
            </w:r>
          </w:p>
          <w:p w14:paraId="24DC80CF" w14:textId="79A85183" w:rsidR="00EA182B" w:rsidRPr="005629F4" w:rsidRDefault="005629F4" w:rsidP="00264CF4">
            <w:pPr>
              <w:pStyle w:val="Tabletext"/>
              <w:ind w:left="982" w:hanging="437"/>
              <w:rPr>
                <w:lang w:val="es-ES"/>
              </w:rPr>
            </w:pPr>
            <w:r w:rsidRPr="005629F4">
              <w:rPr>
                <w:lang w:val="es-ES"/>
              </w:rPr>
              <w:t>•</w:t>
            </w:r>
            <w:r w:rsidRPr="005629F4">
              <w:rPr>
                <w:lang w:val="es-ES"/>
              </w:rPr>
              <w:tab/>
            </w:r>
            <w:r w:rsidR="00D17213" w:rsidRPr="006809B6">
              <w:rPr>
                <w:lang w:val="es-ES"/>
              </w:rPr>
              <w:t>para</w:t>
            </w:r>
            <w:r w:rsidR="00D17213" w:rsidRPr="005629F4">
              <w:rPr>
                <w:lang w:val="es-ES"/>
              </w:rPr>
              <w:t xml:space="preserve"> asignar fondos de los ahorros anuales generados durante la ejecución del presupuesto en 2020</w:t>
            </w:r>
            <w:r w:rsidR="004A05B1">
              <w:rPr>
                <w:lang w:val="es-ES"/>
              </w:rPr>
              <w:t>;</w:t>
            </w:r>
            <w:r w:rsidR="00D17213" w:rsidRPr="005629F4">
              <w:rPr>
                <w:lang w:val="es-ES"/>
              </w:rPr>
              <w:t xml:space="preserve"> o</w:t>
            </w:r>
          </w:p>
          <w:p w14:paraId="3A465BF8" w14:textId="03C6CB9B" w:rsidR="00EA182B" w:rsidRPr="005629F4" w:rsidRDefault="005629F4" w:rsidP="00264CF4">
            <w:pPr>
              <w:pStyle w:val="Tabletext"/>
              <w:ind w:left="982" w:hanging="437"/>
              <w:rPr>
                <w:lang w:val="es-ES"/>
              </w:rPr>
            </w:pPr>
            <w:r w:rsidRPr="005629F4">
              <w:rPr>
                <w:lang w:val="es-ES"/>
              </w:rPr>
              <w:t>•</w:t>
            </w:r>
            <w:r w:rsidRPr="005629F4">
              <w:rPr>
                <w:lang w:val="es-ES"/>
              </w:rPr>
              <w:tab/>
            </w:r>
            <w:r w:rsidR="00D17213" w:rsidRPr="005629F4">
              <w:rPr>
                <w:lang w:val="es-ES"/>
              </w:rPr>
              <w:t>a solicitar contribuciones voluntarias</w:t>
            </w:r>
            <w:r w:rsidR="004A05B1">
              <w:rPr>
                <w:lang w:val="es-ES"/>
              </w:rPr>
              <w:t>;</w:t>
            </w:r>
          </w:p>
          <w:p w14:paraId="3842F99C" w14:textId="109572BD" w:rsidR="00EA182B" w:rsidRPr="005629F4" w:rsidRDefault="005629F4" w:rsidP="00264CF4">
            <w:pPr>
              <w:pStyle w:val="Tabletext"/>
              <w:ind w:left="982" w:hanging="437"/>
              <w:rPr>
                <w:lang w:val="es-ES"/>
              </w:rPr>
            </w:pPr>
            <w:r w:rsidRPr="005629F4">
              <w:rPr>
                <w:lang w:val="es-ES"/>
              </w:rPr>
              <w:t>•</w:t>
            </w:r>
            <w:r w:rsidRPr="005629F4">
              <w:rPr>
                <w:lang w:val="es-ES"/>
              </w:rPr>
              <w:tab/>
            </w:r>
            <w:r w:rsidR="00D17213" w:rsidRPr="006809B6">
              <w:rPr>
                <w:lang w:val="es-ES"/>
              </w:rPr>
              <w:t>pero</w:t>
            </w:r>
            <w:r w:rsidR="00D17213" w:rsidRPr="005629F4">
              <w:rPr>
                <w:lang w:val="es-ES"/>
              </w:rPr>
              <w:t xml:space="preserve"> no a hacer una detracción de la Cuenta de Provisión</w:t>
            </w:r>
            <w:r w:rsidR="004A05B1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7C6E9834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D624A9" w14:paraId="0C09300D" w14:textId="77777777" w:rsidTr="00E92052">
        <w:trPr>
          <w:jc w:val="center"/>
        </w:trPr>
        <w:tc>
          <w:tcPr>
            <w:tcW w:w="4167" w:type="dxa"/>
          </w:tcPr>
          <w:p w14:paraId="4A826DCF" w14:textId="3F4C9563" w:rsidR="00EA182B" w:rsidRPr="00D57908" w:rsidRDefault="00D17213" w:rsidP="00EC5B3F">
            <w:pPr>
              <w:pStyle w:val="Tabletext"/>
              <w:rPr>
                <w:lang w:val="es-ES"/>
              </w:rPr>
            </w:pPr>
            <w:r w:rsidRPr="00D57908">
              <w:rPr>
                <w:lang w:val="es-ES"/>
              </w:rPr>
              <w:t>Conferencia Mundial de Radiocomunicaciones de 2023</w:t>
            </w:r>
          </w:p>
        </w:tc>
        <w:tc>
          <w:tcPr>
            <w:tcW w:w="1822" w:type="dxa"/>
          </w:tcPr>
          <w:p w14:paraId="08BB71F9" w14:textId="79B2BFEA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38" w:history="1">
              <w:r w:rsidR="00EA182B" w:rsidRPr="00EA182B">
                <w:rPr>
                  <w:rStyle w:val="Hyperlink"/>
                  <w:bCs/>
                  <w:lang w:val="en-US"/>
                </w:rPr>
                <w:t>C20</w:t>
              </w:r>
              <w:r w:rsidR="00EA182B" w:rsidRPr="00EA182B">
                <w:rPr>
                  <w:rStyle w:val="Hyperlink"/>
                  <w:bCs/>
                  <w:lang w:val="en-US"/>
                </w:rPr>
                <w:t>/</w:t>
              </w:r>
              <w:r w:rsidR="00EA182B" w:rsidRPr="00EA182B">
                <w:rPr>
                  <w:rStyle w:val="Hyperlink"/>
                  <w:bCs/>
                  <w:lang w:val="en-US"/>
                </w:rPr>
                <w:t>55</w:t>
              </w:r>
            </w:hyperlink>
          </w:p>
        </w:tc>
        <w:tc>
          <w:tcPr>
            <w:tcW w:w="6190" w:type="dxa"/>
          </w:tcPr>
          <w:p w14:paraId="1A1013C8" w14:textId="3A1FCC86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D624A9">
              <w:rPr>
                <w:lang w:val="es-ES"/>
              </w:rPr>
              <w:t>Se propuso que la</w:t>
            </w:r>
            <w:r w:rsidR="00D17213" w:rsidRPr="00D17213">
              <w:rPr>
                <w:lang w:val="es-ES"/>
              </w:rPr>
              <w:t xml:space="preserve"> próxima reunión presencial</w:t>
            </w:r>
            <w:r w:rsidR="00D624A9">
              <w:rPr>
                <w:lang w:val="es-ES"/>
              </w:rPr>
              <w:t xml:space="preserve"> del Consejo</w:t>
            </w:r>
            <w:r w:rsidR="00D17213" w:rsidRPr="00D17213">
              <w:rPr>
                <w:lang w:val="es-ES"/>
              </w:rPr>
              <w:t xml:space="preserve"> tome nota del interés manifestado por la Administración de los Emiratos Árabes Unidos de acoger la CMR-23</w:t>
            </w:r>
            <w:r w:rsidR="00EA182B" w:rsidRPr="00D57908">
              <w:rPr>
                <w:lang w:val="es-ES"/>
              </w:rPr>
              <w:t>.</w:t>
            </w:r>
          </w:p>
          <w:p w14:paraId="75D3AD94" w14:textId="5098E9E8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Pr="00D17213">
              <w:rPr>
                <w:lang w:val="es-ES"/>
              </w:rPr>
              <w:t xml:space="preserve">Dada </w:t>
            </w:r>
            <w:r w:rsidR="00D17213" w:rsidRPr="00D17213">
              <w:rPr>
                <w:lang w:val="es-ES"/>
              </w:rPr>
              <w:t xml:space="preserve">la urgencia del asunto, </w:t>
            </w:r>
            <w:r w:rsidR="00D624A9">
              <w:rPr>
                <w:lang w:val="es-ES"/>
              </w:rPr>
              <w:t>se organizó</w:t>
            </w:r>
            <w:r w:rsidR="00D17213" w:rsidRPr="00D17213">
              <w:rPr>
                <w:lang w:val="es-ES"/>
              </w:rPr>
              <w:t xml:space="preserve"> una consulta por </w:t>
            </w:r>
            <w:r w:rsidR="00D17213" w:rsidRPr="006809B6">
              <w:t>correspondencia</w:t>
            </w:r>
            <w:r w:rsidR="00D17213" w:rsidRPr="00D17213">
              <w:rPr>
                <w:lang w:val="es-ES"/>
              </w:rPr>
              <w:t xml:space="preserve"> a los Estados Miembros del Consejo para determinar el orden del día de la CMR-23 mediante la adopción de la Resolución que figura en el Anexo C</w:t>
            </w:r>
            <w:r w:rsidR="00D17213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54B7035F" w14:textId="27811F5F" w:rsidR="00EA182B" w:rsidRPr="00A548E9" w:rsidRDefault="00D624A9" w:rsidP="004A05B1">
            <w:pPr>
              <w:pStyle w:val="Tabletext"/>
              <w:rPr>
                <w:lang w:val="es-ES"/>
              </w:rPr>
            </w:pPr>
            <w:r w:rsidRPr="00A548E9">
              <w:rPr>
                <w:lang w:val="es-ES"/>
              </w:rPr>
              <w:t>Se adoptó el orden del día de la CMR</w:t>
            </w:r>
            <w:r w:rsidR="00EA182B" w:rsidRPr="00A548E9">
              <w:rPr>
                <w:lang w:val="es-ES"/>
              </w:rPr>
              <w:t>-23 (</w:t>
            </w:r>
            <w:hyperlink r:id="rId39" w:history="1">
              <w:r w:rsidR="00EA182B" w:rsidRPr="00A548E9">
                <w:rPr>
                  <w:rStyle w:val="Hyperlink"/>
                  <w:lang w:val="es-ES"/>
                </w:rPr>
                <w:t>Resolu</w:t>
              </w:r>
              <w:r w:rsidRPr="00A548E9">
                <w:rPr>
                  <w:rStyle w:val="Hyperlink"/>
                  <w:lang w:val="es-ES"/>
                </w:rPr>
                <w:t>c</w:t>
              </w:r>
              <w:r w:rsidRPr="00A548E9">
                <w:rPr>
                  <w:rStyle w:val="Hyperlink"/>
                  <w:lang w:val="es-ES"/>
                </w:rPr>
                <w:t>ión</w:t>
              </w:r>
              <w:r w:rsidR="00EA182B" w:rsidRPr="00A548E9">
                <w:rPr>
                  <w:rStyle w:val="Hyperlink"/>
                  <w:lang w:val="es-ES"/>
                </w:rPr>
                <w:t xml:space="preserve"> 1399</w:t>
              </w:r>
            </w:hyperlink>
            <w:r w:rsidR="00EA182B" w:rsidRPr="00A548E9">
              <w:rPr>
                <w:lang w:val="es-ES"/>
              </w:rPr>
              <w:t>).</w:t>
            </w:r>
          </w:p>
        </w:tc>
      </w:tr>
      <w:tr w:rsidR="00EA182B" w:rsidRPr="00EA182B" w14:paraId="1AB671F6" w14:textId="77777777" w:rsidTr="00E92052">
        <w:trPr>
          <w:jc w:val="center"/>
        </w:trPr>
        <w:tc>
          <w:tcPr>
            <w:tcW w:w="4167" w:type="dxa"/>
          </w:tcPr>
          <w:p w14:paraId="578522B6" w14:textId="436B8519" w:rsidR="00EA182B" w:rsidRPr="00131420" w:rsidRDefault="00D17213" w:rsidP="00EC5B3F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Apoyo a la TSB</w:t>
            </w:r>
          </w:p>
        </w:tc>
        <w:tc>
          <w:tcPr>
            <w:tcW w:w="1822" w:type="dxa"/>
          </w:tcPr>
          <w:p w14:paraId="29917E9A" w14:textId="0F9EE33B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40" w:history="1">
              <w:r w:rsidR="00EA182B" w:rsidRPr="00EA182B">
                <w:rPr>
                  <w:rStyle w:val="Hyperlink"/>
                  <w:lang w:val="en-US"/>
                </w:rPr>
                <w:t>C20</w:t>
              </w:r>
              <w:r w:rsidR="00EA182B" w:rsidRPr="00EA182B">
                <w:rPr>
                  <w:rStyle w:val="Hyperlink"/>
                  <w:lang w:val="en-US"/>
                </w:rPr>
                <w:t>/</w:t>
              </w:r>
              <w:r w:rsidR="00EA182B" w:rsidRPr="00EA182B">
                <w:rPr>
                  <w:rStyle w:val="Hyperlink"/>
                  <w:lang w:val="en-US"/>
                </w:rPr>
                <w:t>14</w:t>
              </w:r>
            </w:hyperlink>
          </w:p>
        </w:tc>
        <w:tc>
          <w:tcPr>
            <w:tcW w:w="6190" w:type="dxa"/>
          </w:tcPr>
          <w:p w14:paraId="4DB2B5A8" w14:textId="3BDA68BA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D624A9">
              <w:rPr>
                <w:lang w:val="es-ES"/>
              </w:rPr>
              <w:t>Se instó</w:t>
            </w:r>
            <w:r w:rsidRPr="00D17213">
              <w:rPr>
                <w:lang w:val="es-ES"/>
              </w:rPr>
              <w:t xml:space="preserve"> </w:t>
            </w:r>
            <w:r w:rsidR="00D17213" w:rsidRPr="00D17213">
              <w:rPr>
                <w:lang w:val="es-ES"/>
              </w:rPr>
              <w:t xml:space="preserve">a la TSB a proporcionar información y </w:t>
            </w:r>
            <w:r w:rsidR="00D17213" w:rsidRPr="006809B6">
              <w:t>aclaraciones</w:t>
            </w:r>
            <w:r w:rsidR="00D17213" w:rsidRPr="00D17213">
              <w:rPr>
                <w:lang w:val="es-ES"/>
              </w:rPr>
              <w:t xml:space="preserve"> adicionales sobre su solicitud de personal adicional a fin de proseguir el debate sobre el Documento C20/14 en la próxima reunión </w:t>
            </w:r>
            <w:r w:rsidR="00D624A9">
              <w:rPr>
                <w:lang w:val="es-ES"/>
              </w:rPr>
              <w:t>presencial</w:t>
            </w:r>
            <w:r w:rsidR="00D17213" w:rsidRPr="00D17213">
              <w:rPr>
                <w:lang w:val="es-ES"/>
              </w:rPr>
              <w:t xml:space="preserve"> del Consejo</w:t>
            </w:r>
            <w:r w:rsidR="00D17213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5BEFD475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EA182B" w14:paraId="491BD6F9" w14:textId="77777777" w:rsidTr="00E92052">
        <w:trPr>
          <w:jc w:val="center"/>
        </w:trPr>
        <w:tc>
          <w:tcPr>
            <w:tcW w:w="4167" w:type="dxa"/>
          </w:tcPr>
          <w:p w14:paraId="643E9B98" w14:textId="43B02C0C" w:rsidR="00EA182B" w:rsidRPr="00D57908" w:rsidRDefault="00D624A9" w:rsidP="00EC5B3F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Informe del Auditor Externo:</w:t>
            </w:r>
            <w:r w:rsidR="00D17213" w:rsidRPr="00D57908">
              <w:rPr>
                <w:lang w:val="es-ES"/>
              </w:rPr>
              <w:t xml:space="preserve"> cuentas de la Unión en relación con ITU TELECOM World</w:t>
            </w:r>
            <w:r w:rsidR="00BE5CEE">
              <w:rPr>
                <w:lang w:val="es-ES"/>
              </w:rPr>
              <w:t> </w:t>
            </w:r>
            <w:r w:rsidR="00D17213" w:rsidRPr="00D57908">
              <w:rPr>
                <w:lang w:val="es-ES"/>
              </w:rPr>
              <w:t>2019</w:t>
            </w:r>
          </w:p>
        </w:tc>
        <w:tc>
          <w:tcPr>
            <w:tcW w:w="1822" w:type="dxa"/>
          </w:tcPr>
          <w:p w14:paraId="50E3FD05" w14:textId="5CA25BEB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41" w:history="1">
              <w:r w:rsidR="00EA182B" w:rsidRPr="00EA182B">
                <w:rPr>
                  <w:rStyle w:val="Hyperlink"/>
                  <w:lang w:val="en-US"/>
                </w:rPr>
                <w:t>C20/</w:t>
              </w:r>
              <w:r w:rsidR="00EA182B" w:rsidRPr="00EA182B">
                <w:rPr>
                  <w:rStyle w:val="Hyperlink"/>
                  <w:lang w:val="en-US"/>
                </w:rPr>
                <w:t>4</w:t>
              </w:r>
              <w:r w:rsidR="00EA182B" w:rsidRPr="00EA182B">
                <w:rPr>
                  <w:rStyle w:val="Hyperlink"/>
                  <w:lang w:val="en-US"/>
                </w:rPr>
                <w:t>1</w:t>
              </w:r>
            </w:hyperlink>
          </w:p>
        </w:tc>
        <w:tc>
          <w:tcPr>
            <w:tcW w:w="6190" w:type="dxa"/>
          </w:tcPr>
          <w:p w14:paraId="556E8ABF" w14:textId="47E14C8F" w:rsidR="00EA182B" w:rsidRPr="00D57908" w:rsidRDefault="005629F4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D624A9">
              <w:rPr>
                <w:lang w:val="es-ES"/>
              </w:rPr>
              <w:t>Se propuso que la</w:t>
            </w:r>
            <w:r w:rsidR="00CD784B" w:rsidRPr="00CD784B">
              <w:rPr>
                <w:bCs/>
                <w:lang w:val="es-ES"/>
              </w:rPr>
              <w:t xml:space="preserve"> próxima reunión </w:t>
            </w:r>
            <w:r w:rsidR="00CD784B" w:rsidRPr="005629F4">
              <w:rPr>
                <w:lang w:val="es-ES"/>
              </w:rPr>
              <w:t>presencial</w:t>
            </w:r>
            <w:r w:rsidR="00D624A9">
              <w:rPr>
                <w:lang w:val="es-ES"/>
              </w:rPr>
              <w:t xml:space="preserve"> del Consejo</w:t>
            </w:r>
            <w:r w:rsidR="00CD784B" w:rsidRPr="00CD784B">
              <w:rPr>
                <w:bCs/>
                <w:lang w:val="es-ES"/>
              </w:rPr>
              <w:t xml:space="preserve"> </w:t>
            </w:r>
            <w:r w:rsidR="00CD784B" w:rsidRPr="006809B6">
              <w:t>apruebe</w:t>
            </w:r>
            <w:r w:rsidR="00CD784B" w:rsidRPr="00CD784B">
              <w:rPr>
                <w:bCs/>
                <w:lang w:val="es-ES"/>
              </w:rPr>
              <w:t xml:space="preserve"> las cuentas de ITU TELECOM World 2019 contenidas en el Documento C20/41.</w:t>
            </w:r>
          </w:p>
        </w:tc>
        <w:tc>
          <w:tcPr>
            <w:tcW w:w="1809" w:type="dxa"/>
          </w:tcPr>
          <w:p w14:paraId="0CCDAABD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C5B3F" w:rsidRPr="00EA182B" w14:paraId="5CEFB0E1" w14:textId="77777777" w:rsidTr="00E92052">
        <w:trPr>
          <w:jc w:val="center"/>
        </w:trPr>
        <w:tc>
          <w:tcPr>
            <w:tcW w:w="4167" w:type="dxa"/>
            <w:shd w:val="clear" w:color="auto" w:fill="BFBFBF"/>
          </w:tcPr>
          <w:p w14:paraId="4C12DEC8" w14:textId="5E79DE8F" w:rsidR="00EA182B" w:rsidRPr="00C03BB4" w:rsidRDefault="00C03BB4" w:rsidP="00BE5CEE">
            <w:pPr>
              <w:pStyle w:val="Tabletext"/>
              <w:keepNext/>
              <w:keepLines/>
              <w:rPr>
                <w:b/>
                <w:bCs/>
                <w:lang w:val="es-ES"/>
              </w:rPr>
            </w:pPr>
            <w:r w:rsidRPr="00C03BB4">
              <w:rPr>
                <w:b/>
                <w:bCs/>
                <w:lang w:val="es-ES"/>
              </w:rPr>
              <w:lastRenderedPageBreak/>
              <w:t>Jueves</w:t>
            </w:r>
            <w:r w:rsidR="00EA182B" w:rsidRPr="00C03BB4">
              <w:rPr>
                <w:b/>
                <w:bCs/>
                <w:lang w:val="es-ES"/>
              </w:rPr>
              <w:t xml:space="preserve">, 11 </w:t>
            </w:r>
            <w:r w:rsidRPr="00C03BB4">
              <w:rPr>
                <w:b/>
                <w:bCs/>
                <w:lang w:val="es-ES"/>
              </w:rPr>
              <w:t>de junio</w:t>
            </w:r>
            <w:r w:rsidR="00EA182B" w:rsidRPr="00C03BB4">
              <w:rPr>
                <w:b/>
                <w:bCs/>
                <w:lang w:val="es-ES"/>
              </w:rPr>
              <w:t>, 12.00-15.00</w:t>
            </w:r>
            <w:r w:rsidRPr="00C03BB4">
              <w:rPr>
                <w:b/>
                <w:bCs/>
                <w:lang w:val="es-ES"/>
              </w:rPr>
              <w:t xml:space="preserve"> horas</w:t>
            </w:r>
          </w:p>
        </w:tc>
        <w:tc>
          <w:tcPr>
            <w:tcW w:w="1822" w:type="dxa"/>
            <w:shd w:val="clear" w:color="auto" w:fill="BFBFBF"/>
          </w:tcPr>
          <w:p w14:paraId="0AF96DB6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6190" w:type="dxa"/>
            <w:shd w:val="clear" w:color="auto" w:fill="BFBFBF"/>
          </w:tcPr>
          <w:p w14:paraId="1DF2846F" w14:textId="77777777" w:rsidR="00EA182B" w:rsidRPr="00EA182B" w:rsidRDefault="00EA182B" w:rsidP="00EC5B3F">
            <w:pPr>
              <w:pStyle w:val="Tabletext"/>
              <w:rPr>
                <w:lang w:val="en-US"/>
              </w:rPr>
            </w:pPr>
          </w:p>
        </w:tc>
        <w:tc>
          <w:tcPr>
            <w:tcW w:w="1809" w:type="dxa"/>
            <w:shd w:val="clear" w:color="auto" w:fill="BFBFBF"/>
          </w:tcPr>
          <w:p w14:paraId="7BCF5B54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D624A9" w:rsidRPr="00EA182B" w14:paraId="02905A15" w14:textId="77777777" w:rsidTr="00FF1F4F">
        <w:trPr>
          <w:cantSplit/>
          <w:jc w:val="center"/>
        </w:trPr>
        <w:tc>
          <w:tcPr>
            <w:tcW w:w="4167" w:type="dxa"/>
          </w:tcPr>
          <w:p w14:paraId="7261A23E" w14:textId="454C779C" w:rsidR="00D624A9" w:rsidRPr="004A05B1" w:rsidRDefault="00D624A9" w:rsidP="00D624A9">
            <w:pPr>
              <w:pStyle w:val="Tabletext"/>
              <w:rPr>
                <w:lang w:val="es-ES"/>
              </w:rPr>
            </w:pPr>
            <w:r w:rsidRPr="00D624A9">
              <w:t xml:space="preserve">Resultado de los debates de la Consulta virtual de los </w:t>
            </w:r>
            <w:r>
              <w:t>consejeros</w:t>
            </w:r>
            <w:r w:rsidRPr="00D624A9">
              <w:t xml:space="preserve">, 9-12 </w:t>
            </w:r>
            <w:r>
              <w:t>de junio de</w:t>
            </w:r>
            <w:r w:rsidR="00922B61">
              <w:t> </w:t>
            </w:r>
            <w:r w:rsidRPr="00D624A9">
              <w:t>2020</w:t>
            </w:r>
          </w:p>
        </w:tc>
        <w:tc>
          <w:tcPr>
            <w:tcW w:w="1822" w:type="dxa"/>
          </w:tcPr>
          <w:p w14:paraId="269A240E" w14:textId="71021239" w:rsidR="00D624A9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42" w:history="1">
              <w:r w:rsidR="00D624A9" w:rsidRPr="00EA182B">
                <w:rPr>
                  <w:rStyle w:val="Hyperlink"/>
                  <w:lang w:val="en-US"/>
                </w:rPr>
                <w:t>DT/1(Rev</w:t>
              </w:r>
              <w:r w:rsidR="00D624A9" w:rsidRPr="00EA182B">
                <w:rPr>
                  <w:rStyle w:val="Hyperlink"/>
                  <w:lang w:val="en-US"/>
                </w:rPr>
                <w:t>.</w:t>
              </w:r>
              <w:r w:rsidR="00D624A9" w:rsidRPr="00EA182B">
                <w:rPr>
                  <w:rStyle w:val="Hyperlink"/>
                  <w:lang w:val="en-US"/>
                </w:rPr>
                <w:t>1)</w:t>
              </w:r>
            </w:hyperlink>
          </w:p>
        </w:tc>
        <w:tc>
          <w:tcPr>
            <w:tcW w:w="6190" w:type="dxa"/>
          </w:tcPr>
          <w:p w14:paraId="0265E68F" w14:textId="327D9A9B" w:rsidR="00D624A9" w:rsidRPr="00D624A9" w:rsidRDefault="00D624A9" w:rsidP="006809B6">
            <w:pPr>
              <w:pStyle w:val="Tabletext"/>
              <w:ind w:left="552" w:hanging="552"/>
              <w:rPr>
                <w:lang w:val="es-ES"/>
              </w:rPr>
            </w:pPr>
            <w:r w:rsidRPr="00D624A9">
              <w:rPr>
                <w:lang w:val="es-ES"/>
              </w:rPr>
              <w:t>–</w:t>
            </w:r>
            <w:r w:rsidRPr="00D624A9">
              <w:rPr>
                <w:lang w:val="es-ES"/>
              </w:rPr>
              <w:tab/>
              <w:t xml:space="preserve">No se formularon objeciones a la organización de una </w:t>
            </w:r>
            <w:r w:rsidRPr="006809B6">
              <w:t>consulta</w:t>
            </w:r>
            <w:r w:rsidRPr="00D624A9">
              <w:rPr>
                <w:lang w:val="es-ES"/>
              </w:rPr>
              <w:t xml:space="preserve"> sobre las solicitudes formuladas en los Documentos VC/11 y VC/9.</w:t>
            </w:r>
          </w:p>
          <w:p w14:paraId="1A4ABBA4" w14:textId="2DE30F5D" w:rsidR="00D624A9" w:rsidRPr="00D624A9" w:rsidRDefault="00D624A9" w:rsidP="006809B6">
            <w:pPr>
              <w:pStyle w:val="Tabletext"/>
              <w:ind w:left="552" w:hanging="552"/>
              <w:rPr>
                <w:lang w:val="es-ES"/>
              </w:rPr>
            </w:pPr>
            <w:r w:rsidRPr="00D624A9">
              <w:rPr>
                <w:lang w:val="es-ES"/>
              </w:rPr>
              <w:t>–</w:t>
            </w:r>
            <w:r w:rsidRPr="00D624A9">
              <w:rPr>
                <w:lang w:val="es-ES"/>
              </w:rPr>
              <w:tab/>
              <w:t xml:space="preserve">No se formularon observaciones sobre la supresión de la </w:t>
            </w:r>
            <w:r w:rsidRPr="006809B6">
              <w:t>palabra</w:t>
            </w:r>
            <w:r w:rsidRPr="00D624A9">
              <w:rPr>
                <w:lang w:val="es-ES"/>
              </w:rPr>
              <w:t xml:space="preserve"> </w:t>
            </w:r>
            <w:r w:rsidR="00131420">
              <w:rPr>
                <w:lang w:val="es-ES"/>
              </w:rPr>
              <w:t>"</w:t>
            </w:r>
            <w:r w:rsidRPr="00D624A9">
              <w:rPr>
                <w:lang w:val="es-ES"/>
              </w:rPr>
              <w:t>final</w:t>
            </w:r>
            <w:r w:rsidR="00131420">
              <w:rPr>
                <w:lang w:val="es-ES"/>
              </w:rPr>
              <w:t>"</w:t>
            </w:r>
            <w:r w:rsidRPr="00D624A9">
              <w:rPr>
                <w:lang w:val="es-ES"/>
              </w:rPr>
              <w:t xml:space="preserve"> d</w:t>
            </w:r>
            <w:r>
              <w:rPr>
                <w:lang w:val="es-ES"/>
              </w:rPr>
              <w:t>el resumen de la CMR</w:t>
            </w:r>
            <w:r w:rsidRPr="00D624A9">
              <w:rPr>
                <w:lang w:val="es-ES"/>
              </w:rPr>
              <w:t>-23.</w:t>
            </w:r>
          </w:p>
          <w:p w14:paraId="400D4531" w14:textId="40EAC948" w:rsidR="00D624A9" w:rsidRPr="005A7500" w:rsidRDefault="00D624A9" w:rsidP="006809B6">
            <w:pPr>
              <w:pStyle w:val="Tabletext"/>
              <w:ind w:left="552" w:hanging="552"/>
              <w:rPr>
                <w:lang w:val="es-ES"/>
              </w:rPr>
            </w:pPr>
            <w:r w:rsidRPr="005A7500">
              <w:rPr>
                <w:lang w:val="es-ES"/>
              </w:rPr>
              <w:t>–</w:t>
            </w:r>
            <w:r w:rsidRPr="005A7500">
              <w:rPr>
                <w:lang w:val="es-ES"/>
              </w:rPr>
              <w:tab/>
            </w:r>
            <w:r w:rsidR="005A7500" w:rsidRPr="005A7500">
              <w:rPr>
                <w:lang w:val="es-ES"/>
              </w:rPr>
              <w:t>Se confirmó la preparación de resúmenes de resultados con más detalles sobre los debates, incluida toda eventual reserva</w:t>
            </w:r>
            <w:r w:rsidRPr="005A7500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582445A3" w14:textId="77777777" w:rsidR="00D624A9" w:rsidRPr="00EA182B" w:rsidRDefault="00D624A9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EA182B" w14:paraId="441E1321" w14:textId="77777777" w:rsidTr="00E92052">
        <w:trPr>
          <w:jc w:val="center"/>
        </w:trPr>
        <w:tc>
          <w:tcPr>
            <w:tcW w:w="4167" w:type="dxa"/>
          </w:tcPr>
          <w:p w14:paraId="76DC7F43" w14:textId="600BFAC6" w:rsidR="00EA182B" w:rsidRPr="00B82945" w:rsidRDefault="00B82945" w:rsidP="00EC5B3F">
            <w:pPr>
              <w:pStyle w:val="Tabletext"/>
              <w:rPr>
                <w:lang w:val="es-ES"/>
              </w:rPr>
            </w:pPr>
            <w:r w:rsidRPr="00B82945">
              <w:rPr>
                <w:lang w:val="es-ES"/>
              </w:rPr>
              <w:t xml:space="preserve">Nombramiento de un nuevo Auditor Externo </w:t>
            </w:r>
            <w:r w:rsidR="00EA182B" w:rsidRPr="00B82945">
              <w:rPr>
                <w:lang w:val="es-ES"/>
              </w:rPr>
              <w:t xml:space="preserve">(Res 94, </w:t>
            </w:r>
            <w:r w:rsidR="00CE57F7">
              <w:rPr>
                <w:lang w:val="es-ES"/>
              </w:rPr>
              <w:t>A</w:t>
            </w:r>
            <w:r w:rsidR="00EA182B" w:rsidRPr="00B82945">
              <w:rPr>
                <w:lang w:val="es-ES"/>
              </w:rPr>
              <w:t xml:space="preserve"> 614)</w:t>
            </w:r>
          </w:p>
        </w:tc>
        <w:tc>
          <w:tcPr>
            <w:tcW w:w="1822" w:type="dxa"/>
          </w:tcPr>
          <w:p w14:paraId="040B30EC" w14:textId="5F4F81E5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43" w:history="1">
              <w:r w:rsidR="00EA182B" w:rsidRPr="00EA182B">
                <w:rPr>
                  <w:rStyle w:val="Hyperlink"/>
                  <w:bCs/>
                  <w:lang w:val="en-US"/>
                </w:rPr>
                <w:t>C2</w:t>
              </w:r>
              <w:r w:rsidR="00EA182B" w:rsidRPr="00EA182B">
                <w:rPr>
                  <w:rStyle w:val="Hyperlink"/>
                  <w:bCs/>
                  <w:lang w:val="en-US"/>
                </w:rPr>
                <w:t>0</w:t>
              </w:r>
              <w:r w:rsidR="00EA182B" w:rsidRPr="00EA182B">
                <w:rPr>
                  <w:rStyle w:val="Hyperlink"/>
                  <w:bCs/>
                  <w:lang w:val="en-US"/>
                </w:rPr>
                <w:t>/49</w:t>
              </w:r>
            </w:hyperlink>
          </w:p>
        </w:tc>
        <w:tc>
          <w:tcPr>
            <w:tcW w:w="6190" w:type="dxa"/>
          </w:tcPr>
          <w:p w14:paraId="3C60706D" w14:textId="002B58D9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CE57F7">
              <w:rPr>
                <w:lang w:val="es-ES"/>
              </w:rPr>
              <w:t>Se propuso que la próxima reunión presencial del</w:t>
            </w:r>
            <w:r w:rsidR="00457E6D" w:rsidRPr="00457E6D">
              <w:rPr>
                <w:bCs/>
              </w:rPr>
              <w:t xml:space="preserve"> Consejo </w:t>
            </w:r>
            <w:r w:rsidR="00457E6D" w:rsidRPr="006809B6">
              <w:t>tome</w:t>
            </w:r>
            <w:r w:rsidR="00457E6D" w:rsidRPr="00457E6D">
              <w:rPr>
                <w:bCs/>
              </w:rPr>
              <w:t xml:space="preserve"> nota del informe que figura en el Documento</w:t>
            </w:r>
            <w:r w:rsidR="00922B61">
              <w:rPr>
                <w:bCs/>
              </w:rPr>
              <w:t> </w:t>
            </w:r>
            <w:r w:rsidR="00457E6D" w:rsidRPr="00457E6D">
              <w:rPr>
                <w:bCs/>
              </w:rPr>
              <w:t>C20/49</w:t>
            </w:r>
            <w:r w:rsidR="00EA182B" w:rsidRPr="00D57908">
              <w:rPr>
                <w:lang w:val="es-ES"/>
              </w:rPr>
              <w:t>.</w:t>
            </w:r>
          </w:p>
          <w:p w14:paraId="5AC5E342" w14:textId="243F1CF1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CE57F7">
              <w:rPr>
                <w:lang w:val="es-ES"/>
              </w:rPr>
              <w:t xml:space="preserve">Se decidió proseguir </w:t>
            </w:r>
            <w:r w:rsidR="00457E6D" w:rsidRPr="00457E6D">
              <w:t xml:space="preserve">el debate al respecto en </w:t>
            </w:r>
            <w:r w:rsidR="00CE57F7">
              <w:t>la próxima reunión presencial del Consejo</w:t>
            </w:r>
            <w:r w:rsidR="00EA182B" w:rsidRPr="00D57908">
              <w:rPr>
                <w:lang w:val="es-ES"/>
              </w:rPr>
              <w:t>.</w:t>
            </w:r>
          </w:p>
          <w:p w14:paraId="74AC36C3" w14:textId="093802B7" w:rsidR="00EA182B" w:rsidRPr="00D57908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457E6D" w:rsidRPr="00457E6D">
              <w:t>En caso de que el Secretario General t</w:t>
            </w:r>
            <w:r w:rsidR="00CE57F7">
              <w:t>uviese</w:t>
            </w:r>
            <w:r w:rsidR="00457E6D" w:rsidRPr="00457E6D">
              <w:t xml:space="preserve"> la certeza de </w:t>
            </w:r>
            <w:r w:rsidR="00457E6D" w:rsidRPr="006809B6">
              <w:t>que</w:t>
            </w:r>
            <w:r w:rsidR="00457E6D" w:rsidRPr="00457E6D">
              <w:t xml:space="preserve"> no se podr</w:t>
            </w:r>
            <w:r w:rsidR="00CE57F7">
              <w:t>ía</w:t>
            </w:r>
            <w:r w:rsidR="00457E6D" w:rsidRPr="00457E6D">
              <w:t xml:space="preserve"> celebrar una reunión presencial antes de finales del año 2020, habría que considerar otra forma de proceder para poder tomar una decisión en dicho</w:t>
            </w:r>
            <w:r w:rsidR="004A05B1">
              <w:t xml:space="preserve"> </w:t>
            </w:r>
            <w:r w:rsidR="00457E6D" w:rsidRPr="00457E6D">
              <w:t>año</w:t>
            </w:r>
            <w:r w:rsidR="00457E6D">
              <w:t>.</w:t>
            </w:r>
          </w:p>
        </w:tc>
        <w:tc>
          <w:tcPr>
            <w:tcW w:w="1809" w:type="dxa"/>
          </w:tcPr>
          <w:p w14:paraId="0DBDC43D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EA182B" w14:paraId="55684B49" w14:textId="77777777" w:rsidTr="00E92052">
        <w:trPr>
          <w:cantSplit/>
          <w:jc w:val="center"/>
        </w:trPr>
        <w:tc>
          <w:tcPr>
            <w:tcW w:w="4167" w:type="dxa"/>
          </w:tcPr>
          <w:p w14:paraId="50D0B0F4" w14:textId="17EF44DB" w:rsidR="00EA182B" w:rsidRPr="00D57908" w:rsidRDefault="001F3E1E" w:rsidP="00EC5B3F">
            <w:pPr>
              <w:pStyle w:val="Tabletext"/>
              <w:rPr>
                <w:bCs/>
                <w:lang w:val="es-ES"/>
              </w:rPr>
            </w:pPr>
            <w:r w:rsidRPr="001F3E1E">
              <w:lastRenderedPageBreak/>
              <w:t>Nueva</w:t>
            </w:r>
            <w:r w:rsidRPr="001F3E1E">
              <w:rPr>
                <w:bCs/>
              </w:rPr>
              <w:t xml:space="preserve"> función de investigación y procedimiento conexo</w:t>
            </w:r>
          </w:p>
        </w:tc>
        <w:tc>
          <w:tcPr>
            <w:tcW w:w="1822" w:type="dxa"/>
          </w:tcPr>
          <w:p w14:paraId="712163EB" w14:textId="0DB76E91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44" w:history="1">
              <w:r w:rsidR="00EA182B" w:rsidRPr="00EA182B">
                <w:rPr>
                  <w:rStyle w:val="Hyperlink"/>
                  <w:lang w:val="en-US"/>
                </w:rPr>
                <w:t>C20/</w:t>
              </w:r>
              <w:r w:rsidR="00EA182B" w:rsidRPr="00EA182B">
                <w:rPr>
                  <w:rStyle w:val="Hyperlink"/>
                  <w:lang w:val="en-US"/>
                </w:rPr>
                <w:t>6</w:t>
              </w:r>
              <w:r w:rsidR="00EA182B" w:rsidRPr="00EA182B">
                <w:rPr>
                  <w:rStyle w:val="Hyperlink"/>
                  <w:lang w:val="en-US"/>
                </w:rPr>
                <w:t>0</w:t>
              </w:r>
            </w:hyperlink>
          </w:p>
          <w:p w14:paraId="29032210" w14:textId="1DBD70B5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45" w:history="1">
              <w:r w:rsidR="00EA182B" w:rsidRPr="00EA182B">
                <w:rPr>
                  <w:rStyle w:val="Hyperlink"/>
                  <w:lang w:val="en-US"/>
                </w:rPr>
                <w:t>VC</w:t>
              </w:r>
              <w:r w:rsidR="00EA182B" w:rsidRPr="00EA182B">
                <w:rPr>
                  <w:rStyle w:val="Hyperlink"/>
                  <w:lang w:val="en-US"/>
                </w:rPr>
                <w:t>/</w:t>
              </w:r>
              <w:r w:rsidR="00EA182B" w:rsidRPr="00EA182B">
                <w:rPr>
                  <w:rStyle w:val="Hyperlink"/>
                  <w:lang w:val="en-US"/>
                </w:rPr>
                <w:t>8</w:t>
              </w:r>
            </w:hyperlink>
          </w:p>
        </w:tc>
        <w:tc>
          <w:tcPr>
            <w:tcW w:w="6190" w:type="dxa"/>
          </w:tcPr>
          <w:p w14:paraId="783E84AB" w14:textId="0A739062" w:rsidR="00EA182B" w:rsidRPr="00D57908" w:rsidRDefault="005629F4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CE57F7">
              <w:rPr>
                <w:lang w:val="es-ES"/>
              </w:rPr>
              <w:t>Se propuso que la próxima reunión presencial del Consejo</w:t>
            </w:r>
            <w:r w:rsidR="001F3E1E" w:rsidRPr="001F3E1E">
              <w:rPr>
                <w:bCs/>
              </w:rPr>
              <w:t xml:space="preserve"> apoye el refuerzo de la función de investigación de la UIT </w:t>
            </w:r>
            <w:r w:rsidR="001F3E1E" w:rsidRPr="006809B6">
              <w:t>mediante</w:t>
            </w:r>
            <w:r w:rsidR="001F3E1E" w:rsidRPr="001F3E1E">
              <w:rPr>
                <w:bCs/>
              </w:rPr>
              <w:t xml:space="preserve"> la creación de un puesto independiente y específico, de nivel P.5 o P.4, que se financie con cargo a la Cuenta de Provisión</w:t>
            </w:r>
            <w:r w:rsidR="00EA182B" w:rsidRPr="00D57908">
              <w:rPr>
                <w:bCs/>
                <w:lang w:val="es-ES"/>
              </w:rPr>
              <w:t>.</w:t>
            </w:r>
          </w:p>
          <w:p w14:paraId="1174918E" w14:textId="64E460C2" w:rsidR="00EA182B" w:rsidRPr="00D57908" w:rsidRDefault="005629F4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CE57F7">
              <w:rPr>
                <w:lang w:val="es-ES"/>
              </w:rPr>
              <w:t>Se alentó a la Secretaría a velar</w:t>
            </w:r>
            <w:r w:rsidR="001F3E1E" w:rsidRPr="001F3E1E">
              <w:rPr>
                <w:bCs/>
              </w:rPr>
              <w:t xml:space="preserve"> por que la propuesta se </w:t>
            </w:r>
            <w:r w:rsidR="001F3E1E" w:rsidRPr="006809B6">
              <w:t>ajuste</w:t>
            </w:r>
            <w:r w:rsidR="001F3E1E" w:rsidRPr="001F3E1E">
              <w:rPr>
                <w:bCs/>
              </w:rPr>
              <w:t xml:space="preserve"> al marco jurídico y reglamentario en vigor de la UIT</w:t>
            </w:r>
            <w:r w:rsidR="00EA182B" w:rsidRPr="00D57908">
              <w:rPr>
                <w:bCs/>
                <w:lang w:val="es-ES"/>
              </w:rPr>
              <w:t>.</w:t>
            </w:r>
          </w:p>
          <w:p w14:paraId="4000AAC2" w14:textId="03310DE7" w:rsidR="00EA182B" w:rsidRPr="00D57908" w:rsidRDefault="005629F4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CE57F7">
              <w:rPr>
                <w:lang w:val="es-ES"/>
              </w:rPr>
              <w:t>Se alentó a la Secretaría a examinar y actualizar</w:t>
            </w:r>
            <w:r w:rsidR="001F3E1E" w:rsidRPr="001F3E1E">
              <w:rPr>
                <w:bCs/>
              </w:rPr>
              <w:t xml:space="preserve"> las </w:t>
            </w:r>
            <w:r w:rsidR="001F3E1E" w:rsidRPr="006809B6">
              <w:t>políticas</w:t>
            </w:r>
            <w:r w:rsidR="001F3E1E" w:rsidRPr="001F3E1E">
              <w:rPr>
                <w:bCs/>
              </w:rPr>
              <w:t xml:space="preserve"> vigentes, según proceda, habida cuenta de las prácticas </w:t>
            </w:r>
            <w:r w:rsidR="00CE57F7">
              <w:rPr>
                <w:bCs/>
              </w:rPr>
              <w:t xml:space="preserve">idóneas </w:t>
            </w:r>
            <w:r w:rsidR="001F3E1E" w:rsidRPr="001F3E1E">
              <w:rPr>
                <w:bCs/>
              </w:rPr>
              <w:t>de las demás organizaciones del sistema de las Naciones Unidas, así como de las recomendaciones de la</w:t>
            </w:r>
            <w:r w:rsidR="004A05B1">
              <w:rPr>
                <w:bCs/>
              </w:rPr>
              <w:t> </w:t>
            </w:r>
            <w:r w:rsidR="001F3E1E" w:rsidRPr="001F3E1E">
              <w:rPr>
                <w:bCs/>
              </w:rPr>
              <w:t>DCI</w:t>
            </w:r>
            <w:r w:rsidR="00EA182B" w:rsidRPr="00D57908">
              <w:rPr>
                <w:bCs/>
                <w:lang w:val="es-ES"/>
              </w:rPr>
              <w:t>.</w:t>
            </w:r>
          </w:p>
          <w:p w14:paraId="74A3BAD3" w14:textId="4BA1E217" w:rsidR="00EA182B" w:rsidRPr="00D57908" w:rsidRDefault="005629F4" w:rsidP="006809B6">
            <w:pPr>
              <w:pStyle w:val="Tabletext"/>
              <w:ind w:left="552" w:hanging="552"/>
              <w:rPr>
                <w:bCs/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CE57F7">
              <w:rPr>
                <w:lang w:val="es-ES"/>
              </w:rPr>
              <w:t xml:space="preserve">Se decidió </w:t>
            </w:r>
            <w:r w:rsidR="00922B61">
              <w:rPr>
                <w:bCs/>
              </w:rPr>
              <w:t>pr</w:t>
            </w:r>
            <w:r w:rsidR="00E52715" w:rsidRPr="001F3E1E">
              <w:rPr>
                <w:bCs/>
              </w:rPr>
              <w:t xml:space="preserve">oponer </w:t>
            </w:r>
            <w:r w:rsidR="001F3E1E" w:rsidRPr="001F3E1E">
              <w:rPr>
                <w:bCs/>
              </w:rPr>
              <w:t xml:space="preserve">a la próxima reunión presencial del Consejo que la </w:t>
            </w:r>
            <w:r w:rsidR="00CE57F7">
              <w:rPr>
                <w:bCs/>
              </w:rPr>
              <w:t>S</w:t>
            </w:r>
            <w:r w:rsidR="001F3E1E" w:rsidRPr="001F3E1E">
              <w:rPr>
                <w:bCs/>
              </w:rPr>
              <w:t xml:space="preserve">ecretaría integre en la Carta de Auditoría </w:t>
            </w:r>
            <w:r w:rsidR="001F3E1E" w:rsidRPr="006809B6">
              <w:t>Interna</w:t>
            </w:r>
            <w:r w:rsidR="001F3E1E" w:rsidRPr="001F3E1E">
              <w:rPr>
                <w:bCs/>
              </w:rPr>
              <w:t xml:space="preserve"> el mandato de la nueva función de investigación que se propone en el Documento VC/8, para que el Consejo lo examine, y modifique el título de la carta por el de "Carta de Auditoría Interna e Investigación"</w:t>
            </w:r>
            <w:r w:rsidR="00BE5CEE">
              <w:rPr>
                <w:bCs/>
              </w:rPr>
              <w:t>.</w:t>
            </w:r>
          </w:p>
        </w:tc>
        <w:tc>
          <w:tcPr>
            <w:tcW w:w="1809" w:type="dxa"/>
          </w:tcPr>
          <w:p w14:paraId="48433580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FF1F4F" w:rsidRPr="00EA182B" w14:paraId="2C4FC3B0" w14:textId="77777777" w:rsidTr="00FF1F4F">
        <w:trPr>
          <w:jc w:val="center"/>
        </w:trPr>
        <w:tc>
          <w:tcPr>
            <w:tcW w:w="4167" w:type="dxa"/>
            <w:tcBorders>
              <w:bottom w:val="nil"/>
            </w:tcBorders>
          </w:tcPr>
          <w:p w14:paraId="00EB1E58" w14:textId="790C91AE" w:rsidR="00FF1F4F" w:rsidRPr="00FF1F4F" w:rsidRDefault="00FF1F4F" w:rsidP="00EC5B3F">
            <w:pPr>
              <w:pStyle w:val="Tabletext"/>
              <w:rPr>
                <w:lang w:val="es-ES"/>
              </w:rPr>
            </w:pPr>
            <w:r w:rsidRPr="00C20765">
              <w:t>Informe</w:t>
            </w:r>
            <w:r w:rsidRPr="00C20765">
              <w:rPr>
                <w:bCs/>
              </w:rPr>
              <w:t xml:space="preserve"> sobre los avances registrados en el proyecto de Sede de la Unión</w:t>
            </w:r>
            <w:r w:rsidRPr="00D57908">
              <w:rPr>
                <w:lang w:val="es-ES"/>
              </w:rPr>
              <w:t xml:space="preserve"> (Res. 212, </w:t>
            </w:r>
            <w:r>
              <w:rPr>
                <w:lang w:val="es-ES"/>
              </w:rPr>
              <w:t>A </w:t>
            </w:r>
            <w:r w:rsidRPr="00D57908">
              <w:rPr>
                <w:lang w:val="es-ES"/>
              </w:rPr>
              <w:t>619)</w:t>
            </w:r>
          </w:p>
        </w:tc>
        <w:tc>
          <w:tcPr>
            <w:tcW w:w="1822" w:type="dxa"/>
            <w:tcBorders>
              <w:bottom w:val="nil"/>
            </w:tcBorders>
          </w:tcPr>
          <w:p w14:paraId="7AB00F51" w14:textId="6C47A889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  <w:hyperlink r:id="rId46" w:history="1">
              <w:r w:rsidRPr="00EA182B">
                <w:rPr>
                  <w:rStyle w:val="Hyperlink"/>
                  <w:lang w:val="en-US"/>
                </w:rPr>
                <w:t>C2</w:t>
              </w:r>
              <w:r w:rsidRPr="00EA182B">
                <w:rPr>
                  <w:rStyle w:val="Hyperlink"/>
                  <w:lang w:val="en-US"/>
                </w:rPr>
                <w:t>0</w:t>
              </w:r>
              <w:r w:rsidRPr="00EA182B">
                <w:rPr>
                  <w:rStyle w:val="Hyperlink"/>
                  <w:lang w:val="en-US"/>
                </w:rPr>
                <w:t>/</w:t>
              </w:r>
              <w:r w:rsidRPr="00EA182B">
                <w:rPr>
                  <w:rStyle w:val="Hyperlink"/>
                  <w:lang w:val="en-US"/>
                </w:rPr>
                <w:t>7</w:t>
              </w:r>
            </w:hyperlink>
          </w:p>
        </w:tc>
        <w:tc>
          <w:tcPr>
            <w:tcW w:w="6190" w:type="dxa"/>
            <w:vMerge w:val="restart"/>
          </w:tcPr>
          <w:p w14:paraId="4F489594" w14:textId="7F198BAE" w:rsidR="00FF1F4F" w:rsidRPr="00CE57F7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  <w:r w:rsidRPr="00CE57F7">
              <w:rPr>
                <w:lang w:val="es-ES"/>
              </w:rPr>
              <w:t>–</w:t>
            </w:r>
            <w:r w:rsidRPr="00CE57F7">
              <w:rPr>
                <w:lang w:val="es-ES"/>
              </w:rPr>
              <w:tab/>
              <w:t xml:space="preserve">El </w:t>
            </w:r>
            <w:r w:rsidRPr="006809B6">
              <w:t>debate</w:t>
            </w:r>
            <w:r w:rsidRPr="00CE57F7">
              <w:rPr>
                <w:lang w:val="es-ES"/>
              </w:rPr>
              <w:t xml:space="preserve"> al respecto se pros</w:t>
            </w:r>
            <w:r>
              <w:rPr>
                <w:lang w:val="es-ES"/>
              </w:rPr>
              <w:t>i</w:t>
            </w:r>
            <w:r w:rsidRPr="00CE57F7">
              <w:rPr>
                <w:lang w:val="es-ES"/>
              </w:rPr>
              <w:t>guió el viernes 12 de junio.</w:t>
            </w:r>
          </w:p>
        </w:tc>
        <w:tc>
          <w:tcPr>
            <w:tcW w:w="1809" w:type="dxa"/>
            <w:vMerge w:val="restart"/>
          </w:tcPr>
          <w:p w14:paraId="2E9F320C" w14:textId="77777777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FF1F4F" w:rsidRPr="00EA182B" w14:paraId="7D8F3A93" w14:textId="77777777" w:rsidTr="00FF1F4F">
        <w:trPr>
          <w:jc w:val="center"/>
        </w:trPr>
        <w:tc>
          <w:tcPr>
            <w:tcW w:w="4167" w:type="dxa"/>
            <w:tcBorders>
              <w:top w:val="nil"/>
            </w:tcBorders>
          </w:tcPr>
          <w:p w14:paraId="2EAEEB78" w14:textId="6C0E3B79" w:rsidR="00FF1F4F" w:rsidRPr="00C20765" w:rsidRDefault="00FF1F4F" w:rsidP="00EC5B3F">
            <w:pPr>
              <w:pStyle w:val="Tabletext"/>
            </w:pPr>
            <w:r w:rsidRPr="00C20765">
              <w:t>Informe</w:t>
            </w:r>
            <w:r w:rsidRPr="00C20765">
              <w:rPr>
                <w:bCs/>
              </w:rPr>
              <w:t xml:space="preserve"> resumido de la labor del Grupo Asesor de los Estados Miembros sobre el proyecto de Sede de la Unión </w:t>
            </w:r>
            <w:r w:rsidRPr="00D57908">
              <w:rPr>
                <w:lang w:val="es-ES"/>
              </w:rPr>
              <w:t>(Res. 212)</w:t>
            </w:r>
          </w:p>
        </w:tc>
        <w:tc>
          <w:tcPr>
            <w:tcW w:w="1822" w:type="dxa"/>
            <w:tcBorders>
              <w:top w:val="nil"/>
            </w:tcBorders>
          </w:tcPr>
          <w:p w14:paraId="078C34BC" w14:textId="281E304F" w:rsidR="00FF1F4F" w:rsidRDefault="00FF1F4F" w:rsidP="00393827">
            <w:pPr>
              <w:pStyle w:val="Tabletext"/>
              <w:jc w:val="center"/>
            </w:pPr>
            <w:hyperlink r:id="rId47" w:history="1">
              <w:r w:rsidRPr="00EA182B">
                <w:rPr>
                  <w:rStyle w:val="Hyperlink"/>
                  <w:lang w:val="en-US"/>
                </w:rPr>
                <w:t>C20</w:t>
              </w:r>
              <w:r w:rsidRPr="00EA182B">
                <w:rPr>
                  <w:rStyle w:val="Hyperlink"/>
                  <w:lang w:val="en-US"/>
                </w:rPr>
                <w:t>/</w:t>
              </w:r>
              <w:r w:rsidRPr="00EA182B">
                <w:rPr>
                  <w:rStyle w:val="Hyperlink"/>
                  <w:lang w:val="en-US"/>
                </w:rPr>
                <w:t>4</w:t>
              </w:r>
              <w:r w:rsidRPr="00EA182B">
                <w:rPr>
                  <w:rStyle w:val="Hyperlink"/>
                  <w:lang w:val="en-US"/>
                </w:rPr>
                <w:t>8</w:t>
              </w:r>
            </w:hyperlink>
          </w:p>
        </w:tc>
        <w:tc>
          <w:tcPr>
            <w:tcW w:w="6190" w:type="dxa"/>
            <w:vMerge/>
          </w:tcPr>
          <w:p w14:paraId="28CFD77B" w14:textId="77777777" w:rsidR="00FF1F4F" w:rsidRPr="00CE57F7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809" w:type="dxa"/>
            <w:vMerge/>
          </w:tcPr>
          <w:p w14:paraId="488A5297" w14:textId="77777777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EC5B3F" w:rsidRPr="00EA182B" w14:paraId="3B1C62B7" w14:textId="77777777" w:rsidTr="00E92052">
        <w:trPr>
          <w:jc w:val="center"/>
        </w:trPr>
        <w:tc>
          <w:tcPr>
            <w:tcW w:w="4167" w:type="dxa"/>
            <w:shd w:val="clear" w:color="auto" w:fill="BFBFBF"/>
          </w:tcPr>
          <w:p w14:paraId="0B12FBCD" w14:textId="4D0AFE6D" w:rsidR="00EA182B" w:rsidRPr="00C03BB4" w:rsidRDefault="00C03BB4" w:rsidP="00E92052">
            <w:pPr>
              <w:pStyle w:val="Tabletext"/>
              <w:keepNext/>
              <w:keepLines/>
              <w:rPr>
                <w:b/>
                <w:bCs/>
                <w:lang w:val="es-ES"/>
              </w:rPr>
            </w:pPr>
            <w:r w:rsidRPr="00C03BB4">
              <w:rPr>
                <w:b/>
                <w:bCs/>
                <w:lang w:val="es-ES"/>
              </w:rPr>
              <w:lastRenderedPageBreak/>
              <w:t>Viernes</w:t>
            </w:r>
            <w:r w:rsidR="00EA182B" w:rsidRPr="00C03BB4">
              <w:rPr>
                <w:b/>
                <w:bCs/>
                <w:lang w:val="es-ES"/>
              </w:rPr>
              <w:t xml:space="preserve">, 12 </w:t>
            </w:r>
            <w:r w:rsidRPr="00C03BB4">
              <w:rPr>
                <w:b/>
                <w:bCs/>
                <w:lang w:val="es-ES"/>
              </w:rPr>
              <w:t>de junio</w:t>
            </w:r>
            <w:r w:rsidR="00EA182B" w:rsidRPr="00C03BB4">
              <w:rPr>
                <w:b/>
                <w:bCs/>
                <w:lang w:val="es-ES"/>
              </w:rPr>
              <w:t>, 12.00-15.00</w:t>
            </w:r>
            <w:r w:rsidRPr="00C03BB4">
              <w:rPr>
                <w:b/>
                <w:bCs/>
                <w:lang w:val="es-ES"/>
              </w:rPr>
              <w:t xml:space="preserve"> horas</w:t>
            </w:r>
          </w:p>
        </w:tc>
        <w:tc>
          <w:tcPr>
            <w:tcW w:w="1822" w:type="dxa"/>
            <w:shd w:val="clear" w:color="auto" w:fill="BFBFBF"/>
          </w:tcPr>
          <w:p w14:paraId="7252982C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6190" w:type="dxa"/>
            <w:shd w:val="clear" w:color="auto" w:fill="BFBFBF"/>
          </w:tcPr>
          <w:p w14:paraId="65A4D2BB" w14:textId="77777777" w:rsidR="00EA182B" w:rsidRPr="00EA182B" w:rsidRDefault="00EA182B" w:rsidP="00EC5B3F">
            <w:pPr>
              <w:pStyle w:val="Tabletext"/>
              <w:rPr>
                <w:lang w:val="en-US"/>
              </w:rPr>
            </w:pPr>
          </w:p>
        </w:tc>
        <w:tc>
          <w:tcPr>
            <w:tcW w:w="1809" w:type="dxa"/>
            <w:shd w:val="clear" w:color="auto" w:fill="BFBFBF"/>
          </w:tcPr>
          <w:p w14:paraId="7F354EC9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CE57F7" w:rsidRPr="00EA182B" w14:paraId="47E0A8C1" w14:textId="77777777" w:rsidTr="00E92052">
        <w:trPr>
          <w:jc w:val="center"/>
        </w:trPr>
        <w:tc>
          <w:tcPr>
            <w:tcW w:w="4167" w:type="dxa"/>
            <w:shd w:val="clear" w:color="auto" w:fill="auto"/>
          </w:tcPr>
          <w:p w14:paraId="4B03DD52" w14:textId="73B2F257" w:rsidR="00CE57F7" w:rsidRPr="00FF1F4F" w:rsidRDefault="00CE57F7" w:rsidP="00CE57F7">
            <w:pPr>
              <w:pStyle w:val="Tabletext"/>
              <w:rPr>
                <w:lang w:val="es-ES"/>
              </w:rPr>
            </w:pPr>
            <w:r w:rsidRPr="00D624A9">
              <w:t xml:space="preserve">Resultado de los debates de la Consulta virtual de los </w:t>
            </w:r>
            <w:r>
              <w:t>consejeros</w:t>
            </w:r>
            <w:r w:rsidRPr="00D624A9">
              <w:t xml:space="preserve">, 9-12 </w:t>
            </w:r>
            <w:r>
              <w:t>de junio de</w:t>
            </w:r>
            <w:r w:rsidR="00466160">
              <w:t> </w:t>
            </w:r>
            <w:r w:rsidRPr="00D624A9">
              <w:t>2020</w:t>
            </w:r>
          </w:p>
        </w:tc>
        <w:tc>
          <w:tcPr>
            <w:tcW w:w="1822" w:type="dxa"/>
            <w:shd w:val="clear" w:color="auto" w:fill="auto"/>
          </w:tcPr>
          <w:p w14:paraId="6E4E80A2" w14:textId="75099ED3" w:rsidR="00CE57F7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48" w:history="1">
              <w:r w:rsidR="00CE57F7" w:rsidRPr="00EA182B">
                <w:rPr>
                  <w:rStyle w:val="Hyperlink"/>
                  <w:lang w:val="en-US"/>
                </w:rPr>
                <w:t>DT/1</w:t>
              </w:r>
              <w:r w:rsidR="00CE57F7" w:rsidRPr="00EA182B">
                <w:rPr>
                  <w:rStyle w:val="Hyperlink"/>
                  <w:lang w:val="en-US"/>
                </w:rPr>
                <w:t>(</w:t>
              </w:r>
              <w:r w:rsidR="00CE57F7" w:rsidRPr="00EA182B">
                <w:rPr>
                  <w:rStyle w:val="Hyperlink"/>
                  <w:lang w:val="en-US"/>
                </w:rPr>
                <w:t>Rev.2)</w:t>
              </w:r>
            </w:hyperlink>
          </w:p>
        </w:tc>
        <w:tc>
          <w:tcPr>
            <w:tcW w:w="6190" w:type="dxa"/>
            <w:shd w:val="clear" w:color="auto" w:fill="auto"/>
          </w:tcPr>
          <w:p w14:paraId="54A9ABA1" w14:textId="498D1FDB" w:rsidR="00CE57F7" w:rsidRPr="00CE57F7" w:rsidRDefault="00CE57F7" w:rsidP="006809B6">
            <w:pPr>
              <w:pStyle w:val="Tabletext"/>
              <w:ind w:left="552" w:hanging="552"/>
              <w:rPr>
                <w:lang w:val="es-ES"/>
              </w:rPr>
            </w:pPr>
            <w:r w:rsidRPr="00CE57F7">
              <w:rPr>
                <w:lang w:val="es-ES"/>
              </w:rPr>
              <w:t>–</w:t>
            </w:r>
            <w:r w:rsidRPr="00CE57F7">
              <w:rPr>
                <w:lang w:val="es-ES"/>
              </w:rPr>
              <w:tab/>
              <w:t xml:space="preserve">No se opusieron objeciones a la adición de </w:t>
            </w:r>
            <w:r w:rsidR="00131420">
              <w:rPr>
                <w:lang w:val="es-ES"/>
              </w:rPr>
              <w:t>"</w:t>
            </w:r>
            <w:r w:rsidRPr="00CE57F7">
              <w:rPr>
                <w:lang w:val="es-ES"/>
              </w:rPr>
              <w:t>para poder tomar una decisión en dicho año</w:t>
            </w:r>
            <w:r w:rsidR="00131420">
              <w:rPr>
                <w:lang w:val="es-ES"/>
              </w:rPr>
              <w:t>"</w:t>
            </w:r>
            <w:r w:rsidRPr="00CE57F7">
              <w:rPr>
                <w:lang w:val="es-ES"/>
              </w:rPr>
              <w:t xml:space="preserve"> al final del tercer punto de debate sobre el Documento C20/49.</w:t>
            </w:r>
          </w:p>
        </w:tc>
        <w:tc>
          <w:tcPr>
            <w:tcW w:w="1809" w:type="dxa"/>
          </w:tcPr>
          <w:p w14:paraId="0C2A252B" w14:textId="77777777" w:rsidR="00CE57F7" w:rsidRPr="00EA182B" w:rsidRDefault="00CE57F7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FF1F4F" w:rsidRPr="00EA182B" w14:paraId="2504289F" w14:textId="77777777" w:rsidTr="00FF1F4F">
        <w:trPr>
          <w:jc w:val="center"/>
        </w:trPr>
        <w:tc>
          <w:tcPr>
            <w:tcW w:w="4167" w:type="dxa"/>
            <w:tcBorders>
              <w:bottom w:val="nil"/>
            </w:tcBorders>
          </w:tcPr>
          <w:p w14:paraId="501EDA47" w14:textId="47F86376" w:rsidR="00FF1F4F" w:rsidRPr="00466160" w:rsidRDefault="00FF1F4F" w:rsidP="00EC5B3F">
            <w:pPr>
              <w:pStyle w:val="Tabletext"/>
              <w:rPr>
                <w:lang w:val="es-ES"/>
              </w:rPr>
            </w:pPr>
            <w:r w:rsidRPr="00C20765">
              <w:t>Informe</w:t>
            </w:r>
            <w:r w:rsidRPr="00C20765">
              <w:rPr>
                <w:bCs/>
              </w:rPr>
              <w:t xml:space="preserve"> sobre los avances registrados en el proyecto de Sede de la Unión</w:t>
            </w:r>
            <w:r w:rsidRPr="00D57908">
              <w:rPr>
                <w:lang w:val="es-ES"/>
              </w:rPr>
              <w:t xml:space="preserve"> (Res. 212, </w:t>
            </w:r>
            <w:r>
              <w:rPr>
                <w:lang w:val="es-ES"/>
              </w:rPr>
              <w:t>A </w:t>
            </w:r>
            <w:r w:rsidRPr="00D57908">
              <w:rPr>
                <w:lang w:val="es-ES"/>
              </w:rPr>
              <w:t>619)</w:t>
            </w:r>
          </w:p>
        </w:tc>
        <w:tc>
          <w:tcPr>
            <w:tcW w:w="1822" w:type="dxa"/>
            <w:tcBorders>
              <w:bottom w:val="nil"/>
            </w:tcBorders>
          </w:tcPr>
          <w:p w14:paraId="452462FD" w14:textId="3BC7525E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  <w:hyperlink r:id="rId49" w:history="1">
              <w:r w:rsidRPr="00EA182B">
                <w:rPr>
                  <w:rStyle w:val="Hyperlink"/>
                  <w:lang w:val="en-US"/>
                </w:rPr>
                <w:t>C2</w:t>
              </w:r>
              <w:r w:rsidRPr="00EA182B">
                <w:rPr>
                  <w:rStyle w:val="Hyperlink"/>
                  <w:lang w:val="en-US"/>
                </w:rPr>
                <w:t>0</w:t>
              </w:r>
              <w:r w:rsidRPr="00EA182B">
                <w:rPr>
                  <w:rStyle w:val="Hyperlink"/>
                  <w:lang w:val="en-US"/>
                </w:rPr>
                <w:t>/7</w:t>
              </w:r>
            </w:hyperlink>
          </w:p>
        </w:tc>
        <w:tc>
          <w:tcPr>
            <w:tcW w:w="6190" w:type="dxa"/>
            <w:vMerge w:val="restart"/>
          </w:tcPr>
          <w:p w14:paraId="1FF659DB" w14:textId="47E28133" w:rsidR="00FF1F4F" w:rsidRPr="005629F4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>
              <w:rPr>
                <w:lang w:val="es-ES"/>
              </w:rPr>
              <w:t>Se propuso que la próxima reunión presencial del Consejo</w:t>
            </w:r>
            <w:r w:rsidRPr="005629F4">
              <w:rPr>
                <w:lang w:val="es-ES"/>
              </w:rPr>
              <w:t xml:space="preserve"> tome nota del informe incluido en el Documento C20/7, </w:t>
            </w:r>
            <w:r w:rsidRPr="006809B6">
              <w:t>que</w:t>
            </w:r>
            <w:r w:rsidRPr="005629F4">
              <w:rPr>
                <w:lang w:val="es-ES"/>
              </w:rPr>
              <w:t xml:space="preserve"> la </w:t>
            </w:r>
            <w:r>
              <w:rPr>
                <w:lang w:val="es-ES"/>
              </w:rPr>
              <w:t>S</w:t>
            </w:r>
            <w:r w:rsidRPr="005629F4">
              <w:rPr>
                <w:lang w:val="es-ES"/>
              </w:rPr>
              <w:t>ecretaría actualizará a fin de responder a las preguntas y observaciones formuladas durante la reunión.</w:t>
            </w:r>
          </w:p>
          <w:p w14:paraId="48E1E726" w14:textId="30E0D297" w:rsidR="00FF1F4F" w:rsidRPr="005629F4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>
              <w:rPr>
                <w:lang w:val="es-ES"/>
              </w:rPr>
              <w:t>Se decidió p</w:t>
            </w:r>
            <w:r w:rsidRPr="005629F4">
              <w:rPr>
                <w:lang w:val="es-ES"/>
              </w:rPr>
              <w:t xml:space="preserve">roseguir el debate sobre las conclusiones que </w:t>
            </w:r>
            <w:r w:rsidRPr="006809B6">
              <w:t>figuran</w:t>
            </w:r>
            <w:r w:rsidRPr="005629F4">
              <w:rPr>
                <w:lang w:val="es-ES"/>
              </w:rPr>
              <w:t xml:space="preserve"> en el informe del GAEM en la próxima reunión presencial del Consejo.</w:t>
            </w:r>
          </w:p>
          <w:p w14:paraId="1D6D6650" w14:textId="1A05A595" w:rsidR="00FF1F4F" w:rsidRPr="005629F4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>
              <w:rPr>
                <w:lang w:val="es-ES"/>
              </w:rPr>
              <w:t>Se alentó a la Secretaría a examinar</w:t>
            </w:r>
            <w:r w:rsidRPr="005629F4">
              <w:rPr>
                <w:lang w:val="es-ES"/>
              </w:rPr>
              <w:t xml:space="preserve"> las repercusiones de</w:t>
            </w:r>
            <w:r>
              <w:rPr>
                <w:lang w:val="es-ES"/>
              </w:rPr>
              <w:t xml:space="preserve"> </w:t>
            </w:r>
            <w:r w:rsidRPr="005629F4">
              <w:rPr>
                <w:lang w:val="es-ES"/>
              </w:rPr>
              <w:t>l</w:t>
            </w:r>
            <w:r>
              <w:rPr>
                <w:lang w:val="es-ES"/>
              </w:rPr>
              <w:t>a</w:t>
            </w:r>
            <w:r w:rsidRPr="005629F4">
              <w:rPr>
                <w:lang w:val="es-ES"/>
              </w:rPr>
              <w:t xml:space="preserve"> COVID-19, </w:t>
            </w:r>
            <w:r>
              <w:rPr>
                <w:lang w:val="es-ES"/>
              </w:rPr>
              <w:t>a seguir</w:t>
            </w:r>
            <w:r w:rsidRPr="005629F4">
              <w:rPr>
                <w:lang w:val="es-ES"/>
              </w:rPr>
              <w:t xml:space="preserve"> investigando diferentes opciones para la venta de la Torre de cara a la próxima reunión del GAEM</w:t>
            </w:r>
            <w:r>
              <w:rPr>
                <w:lang w:val="es-ES"/>
              </w:rPr>
              <w:t xml:space="preserve"> y a informar</w:t>
            </w:r>
            <w:r w:rsidRPr="005629F4">
              <w:rPr>
                <w:lang w:val="es-ES"/>
              </w:rPr>
              <w:t xml:space="preserve"> al Consejo al respecto en su próxima reunión presencial.</w:t>
            </w:r>
          </w:p>
          <w:p w14:paraId="08FAC5CF" w14:textId="7094173C" w:rsidR="00FF1F4F" w:rsidRPr="005629F4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Pr="006809B6">
              <w:t>Los</w:t>
            </w:r>
            <w:r w:rsidRPr="005629F4">
              <w:rPr>
                <w:lang w:val="es-ES"/>
              </w:rPr>
              <w:t xml:space="preserve"> consejeros </w:t>
            </w:r>
            <w:r>
              <w:rPr>
                <w:lang w:val="es-ES"/>
              </w:rPr>
              <w:t>dijeron aguardar</w:t>
            </w:r>
            <w:r w:rsidRPr="005629F4">
              <w:rPr>
                <w:lang w:val="es-ES"/>
              </w:rPr>
              <w:t xml:space="preserve"> con interés la sesión de información que se celebrará a finales de septiembre.</w:t>
            </w:r>
          </w:p>
        </w:tc>
        <w:tc>
          <w:tcPr>
            <w:tcW w:w="1809" w:type="dxa"/>
            <w:vMerge w:val="restart"/>
          </w:tcPr>
          <w:p w14:paraId="17835943" w14:textId="77777777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FF1F4F" w:rsidRPr="00EA182B" w14:paraId="51BFDCBB" w14:textId="77777777" w:rsidTr="00FF1F4F">
        <w:trPr>
          <w:jc w:val="center"/>
        </w:trPr>
        <w:tc>
          <w:tcPr>
            <w:tcW w:w="4167" w:type="dxa"/>
            <w:tcBorders>
              <w:top w:val="nil"/>
            </w:tcBorders>
          </w:tcPr>
          <w:p w14:paraId="6D3D1027" w14:textId="2EBA9BD1" w:rsidR="00FF1F4F" w:rsidRPr="00C20765" w:rsidRDefault="00FF1F4F" w:rsidP="00EC5B3F">
            <w:pPr>
              <w:pStyle w:val="Tabletext"/>
            </w:pPr>
            <w:r w:rsidRPr="00C20765">
              <w:t>Informe</w:t>
            </w:r>
            <w:r w:rsidRPr="00C20765">
              <w:rPr>
                <w:bCs/>
              </w:rPr>
              <w:t xml:space="preserve"> resumido de la labor del Grupo Asesor de los Estados Miembros sobre el proyecto de Sede de la Unión </w:t>
            </w:r>
            <w:r w:rsidRPr="00D57908">
              <w:rPr>
                <w:lang w:val="es-ES"/>
              </w:rPr>
              <w:t>(Res. 212)</w:t>
            </w:r>
          </w:p>
        </w:tc>
        <w:tc>
          <w:tcPr>
            <w:tcW w:w="1822" w:type="dxa"/>
            <w:tcBorders>
              <w:top w:val="nil"/>
            </w:tcBorders>
          </w:tcPr>
          <w:p w14:paraId="5AA18CCC" w14:textId="4C8D1748" w:rsidR="00FF1F4F" w:rsidRDefault="00FF1F4F" w:rsidP="00393827">
            <w:pPr>
              <w:pStyle w:val="Tabletext"/>
              <w:jc w:val="center"/>
            </w:pPr>
            <w:hyperlink r:id="rId50" w:history="1">
              <w:r w:rsidRPr="00EA182B">
                <w:rPr>
                  <w:rStyle w:val="Hyperlink"/>
                  <w:lang w:val="en-US"/>
                </w:rPr>
                <w:t>C</w:t>
              </w:r>
              <w:r w:rsidRPr="00EA182B">
                <w:rPr>
                  <w:rStyle w:val="Hyperlink"/>
                  <w:lang w:val="en-US"/>
                </w:rPr>
                <w:t>2</w:t>
              </w:r>
              <w:r w:rsidRPr="00EA182B">
                <w:rPr>
                  <w:rStyle w:val="Hyperlink"/>
                  <w:lang w:val="en-US"/>
                </w:rPr>
                <w:t>0/48</w:t>
              </w:r>
            </w:hyperlink>
          </w:p>
        </w:tc>
        <w:tc>
          <w:tcPr>
            <w:tcW w:w="6190" w:type="dxa"/>
            <w:vMerge/>
          </w:tcPr>
          <w:p w14:paraId="02A345DB" w14:textId="77777777" w:rsidR="00FF1F4F" w:rsidRPr="005629F4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809" w:type="dxa"/>
            <w:vMerge/>
          </w:tcPr>
          <w:p w14:paraId="4CBB8A92" w14:textId="77777777" w:rsidR="00FF1F4F" w:rsidRPr="00EA182B" w:rsidRDefault="00FF1F4F" w:rsidP="003938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EA182B" w:rsidRPr="009915D8" w14:paraId="30BD2909" w14:textId="77777777" w:rsidTr="00E92052">
        <w:trPr>
          <w:cantSplit/>
          <w:jc w:val="center"/>
        </w:trPr>
        <w:tc>
          <w:tcPr>
            <w:tcW w:w="4167" w:type="dxa"/>
          </w:tcPr>
          <w:p w14:paraId="2B9727F7" w14:textId="7945D847" w:rsidR="00EA182B" w:rsidRPr="00D57908" w:rsidRDefault="0068786C" w:rsidP="00EC5B3F">
            <w:pPr>
              <w:pStyle w:val="Tabletext"/>
              <w:rPr>
                <w:lang w:val="es-ES"/>
              </w:rPr>
            </w:pPr>
            <w:r w:rsidRPr="0068786C">
              <w:lastRenderedPageBreak/>
              <w:t xml:space="preserve">Fechas y duración propuestas para las reuniones de 2021, 2022, 2023, 2024, 2025 y 2026 del Consejo y para las series de reuniones de 2020, 2021 y 2022 de los Grupos de Trabajo y Grupos de Expertos del Consejo </w:t>
            </w:r>
            <w:r w:rsidR="00EA182B" w:rsidRPr="00D57908">
              <w:rPr>
                <w:lang w:val="es-ES"/>
              </w:rPr>
              <w:t xml:space="preserve">(Res. 77, 111, </w:t>
            </w:r>
            <w:r w:rsidR="009915D8">
              <w:rPr>
                <w:lang w:val="es-ES"/>
              </w:rPr>
              <w:t>A</w:t>
            </w:r>
            <w:r w:rsidR="00EA182B" w:rsidRPr="00D57908">
              <w:rPr>
                <w:lang w:val="es-ES"/>
              </w:rPr>
              <w:t xml:space="preserve"> 612) </w:t>
            </w:r>
          </w:p>
        </w:tc>
        <w:tc>
          <w:tcPr>
            <w:tcW w:w="1822" w:type="dxa"/>
          </w:tcPr>
          <w:p w14:paraId="4BF70CB0" w14:textId="07937621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51" w:history="1">
              <w:r w:rsidR="00EA182B" w:rsidRPr="00EA182B">
                <w:rPr>
                  <w:rStyle w:val="Hyperlink"/>
                  <w:lang w:val="en-US"/>
                </w:rPr>
                <w:t>C2</w:t>
              </w:r>
              <w:r w:rsidR="00EA182B" w:rsidRPr="00EA182B">
                <w:rPr>
                  <w:rStyle w:val="Hyperlink"/>
                  <w:lang w:val="en-US"/>
                </w:rPr>
                <w:t>0</w:t>
              </w:r>
              <w:r w:rsidR="00EA182B" w:rsidRPr="00EA182B">
                <w:rPr>
                  <w:rStyle w:val="Hyperlink"/>
                  <w:lang w:val="en-US"/>
                </w:rPr>
                <w:t>/2</w:t>
              </w:r>
            </w:hyperlink>
          </w:p>
        </w:tc>
        <w:tc>
          <w:tcPr>
            <w:tcW w:w="6190" w:type="dxa"/>
          </w:tcPr>
          <w:p w14:paraId="5FAE92B4" w14:textId="7592F85C" w:rsidR="00EA182B" w:rsidRPr="005629F4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9915D8">
              <w:rPr>
                <w:lang w:val="es-ES"/>
              </w:rPr>
              <w:t>Al tratarse</w:t>
            </w:r>
            <w:r w:rsidR="0068786C" w:rsidRPr="005629F4">
              <w:rPr>
                <w:lang w:val="es-ES"/>
              </w:rPr>
              <w:t xml:space="preserve"> de un tema acuciante, pues las reservas de las salas deben hacerse lo antes posible para fijar el lugar de celebración, </w:t>
            </w:r>
            <w:r w:rsidR="009915D8">
              <w:rPr>
                <w:lang w:val="es-ES"/>
              </w:rPr>
              <w:t>se decidió</w:t>
            </w:r>
            <w:r w:rsidR="0068786C" w:rsidRPr="005629F4">
              <w:rPr>
                <w:lang w:val="es-ES"/>
              </w:rPr>
              <w:t xml:space="preserve"> organizar una consulta por correspondencia con los Estados Miembros del Consejo con miras a confirmar las fechas de sus reuniones de 2021 y </w:t>
            </w:r>
            <w:r w:rsidR="0068786C" w:rsidRPr="006809B6">
              <w:t>2022</w:t>
            </w:r>
            <w:r w:rsidR="0068786C" w:rsidRPr="005629F4">
              <w:rPr>
                <w:lang w:val="es-ES"/>
              </w:rPr>
              <w:t>, aprobar las fechas tanto de las reuniones de 2023, 2024, 2025 y 2026 del Consejo, como de las series de reuniones de 2020, 2021 y 2022 de los GTC y los GE, y adoptar el proyecto de Acuerdo que figura en el anexo al Documento C20/2</w:t>
            </w:r>
            <w:r w:rsidR="00EA182B" w:rsidRPr="005629F4">
              <w:rPr>
                <w:lang w:val="es-ES"/>
              </w:rPr>
              <w:t>.</w:t>
            </w:r>
          </w:p>
          <w:p w14:paraId="473EEA44" w14:textId="7FCBDADA" w:rsidR="00EA182B" w:rsidRPr="005629F4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9915D8">
              <w:rPr>
                <w:lang w:val="es-ES"/>
              </w:rPr>
              <w:t>Se alentó a la Secretaría a celebrar, tan pronto como</w:t>
            </w:r>
            <w:r w:rsidR="0068786C" w:rsidRPr="005629F4">
              <w:rPr>
                <w:lang w:val="es-ES"/>
              </w:rPr>
              <w:t xml:space="preserve"> </w:t>
            </w:r>
            <w:r w:rsidR="0068786C" w:rsidRPr="006809B6">
              <w:t>mejore</w:t>
            </w:r>
            <w:r w:rsidR="0068786C" w:rsidRPr="005629F4">
              <w:rPr>
                <w:lang w:val="es-ES"/>
              </w:rPr>
              <w:t xml:space="preserve"> la situación sanitaria, consultas con los Presidentes de los GTC y los GE a fin de decidir si las reuniones de los grupos deben celebrarse en septiembre y, en caso afirmativo, con qué formato</w:t>
            </w:r>
            <w:r w:rsidR="00EA182B" w:rsidRPr="005629F4">
              <w:rPr>
                <w:lang w:val="es-ES"/>
              </w:rPr>
              <w:t>.</w:t>
            </w:r>
          </w:p>
          <w:p w14:paraId="53AE1B9A" w14:textId="76E85F6D" w:rsidR="00EA182B" w:rsidRPr="005629F4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9915D8">
              <w:rPr>
                <w:lang w:val="es-ES"/>
              </w:rPr>
              <w:t xml:space="preserve">Se </w:t>
            </w:r>
            <w:r w:rsidR="009915D8" w:rsidRPr="006809B6">
              <w:t>alentó</w:t>
            </w:r>
            <w:r w:rsidR="009915D8">
              <w:rPr>
                <w:lang w:val="es-ES"/>
              </w:rPr>
              <w:t xml:space="preserve"> al Secretario General a proponer, t</w:t>
            </w:r>
            <w:r w:rsidR="0068786C" w:rsidRPr="005629F4">
              <w:rPr>
                <w:lang w:val="es-ES"/>
              </w:rPr>
              <w:t>an pronto como la situación sanitaria mejore, fechas para una reunión presencial del Consejo en 2020, de ser posible</w:t>
            </w:r>
            <w:r w:rsidR="00BE5CEE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5965C82C" w14:textId="72429886" w:rsidR="00EA182B" w:rsidRPr="009915D8" w:rsidRDefault="009915D8" w:rsidP="004A05B1">
            <w:pPr>
              <w:pStyle w:val="Tabletext"/>
              <w:rPr>
                <w:lang w:val="es-ES"/>
              </w:rPr>
            </w:pPr>
            <w:r w:rsidRPr="009915D8">
              <w:rPr>
                <w:lang w:val="es-ES"/>
              </w:rPr>
              <w:t xml:space="preserve">Se adoptó el </w:t>
            </w:r>
            <w:hyperlink r:id="rId52" w:history="1">
              <w:r w:rsidRPr="009915D8">
                <w:rPr>
                  <w:rStyle w:val="Hyperlink"/>
                  <w:lang w:val="es-ES"/>
                </w:rPr>
                <w:t>Acuerd</w:t>
              </w:r>
              <w:r w:rsidRPr="009915D8">
                <w:rPr>
                  <w:rStyle w:val="Hyperlink"/>
                  <w:lang w:val="es-ES"/>
                </w:rPr>
                <w:t>o</w:t>
              </w:r>
              <w:r w:rsidR="00EA182B" w:rsidRPr="009915D8">
                <w:rPr>
                  <w:rStyle w:val="Hyperlink"/>
                  <w:lang w:val="es-ES"/>
                </w:rPr>
                <w:t xml:space="preserve"> 620</w:t>
              </w:r>
            </w:hyperlink>
            <w:r w:rsidR="00EA182B" w:rsidRPr="009915D8">
              <w:rPr>
                <w:lang w:val="es-ES"/>
              </w:rPr>
              <w:t>.</w:t>
            </w:r>
          </w:p>
        </w:tc>
      </w:tr>
      <w:tr w:rsidR="00EA182B" w:rsidRPr="00EA182B" w14:paraId="7BC74314" w14:textId="77777777" w:rsidTr="00E92052">
        <w:trPr>
          <w:cantSplit/>
          <w:jc w:val="center"/>
        </w:trPr>
        <w:tc>
          <w:tcPr>
            <w:tcW w:w="4167" w:type="dxa"/>
          </w:tcPr>
          <w:p w14:paraId="63DC0B12" w14:textId="7643BCD0" w:rsidR="00EA182B" w:rsidRPr="00D57908" w:rsidRDefault="00AD79AB" w:rsidP="00EC5B3F">
            <w:pPr>
              <w:pStyle w:val="Tabletext"/>
              <w:rPr>
                <w:lang w:val="es-ES"/>
              </w:rPr>
            </w:pPr>
            <w:r w:rsidRPr="00AD79AB">
              <w:lastRenderedPageBreak/>
              <w:t>Nuevo índice de la UIT</w:t>
            </w:r>
          </w:p>
        </w:tc>
        <w:tc>
          <w:tcPr>
            <w:tcW w:w="1822" w:type="dxa"/>
          </w:tcPr>
          <w:p w14:paraId="0BA1925A" w14:textId="47CC4E34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53" w:history="1">
              <w:r w:rsidR="00EA182B" w:rsidRPr="00EA182B">
                <w:rPr>
                  <w:rStyle w:val="Hyperlink"/>
                  <w:lang w:val="en-US"/>
                </w:rPr>
                <w:t>C2</w:t>
              </w:r>
              <w:r w:rsidR="00EA182B" w:rsidRPr="00EA182B">
                <w:rPr>
                  <w:rStyle w:val="Hyperlink"/>
                  <w:lang w:val="en-US"/>
                </w:rPr>
                <w:t>0</w:t>
              </w:r>
              <w:r w:rsidR="00EA182B" w:rsidRPr="00EA182B">
                <w:rPr>
                  <w:rStyle w:val="Hyperlink"/>
                  <w:lang w:val="en-US"/>
                </w:rPr>
                <w:t>/62</w:t>
              </w:r>
            </w:hyperlink>
          </w:p>
          <w:p w14:paraId="50782DE2" w14:textId="7AA44B21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54" w:history="1">
              <w:r w:rsidR="00EA182B" w:rsidRPr="00EA182B">
                <w:rPr>
                  <w:rStyle w:val="Hyperlink"/>
                  <w:lang w:val="en-US"/>
                </w:rPr>
                <w:t>V</w:t>
              </w:r>
              <w:r w:rsidR="00EA182B" w:rsidRPr="00EA182B">
                <w:rPr>
                  <w:rStyle w:val="Hyperlink"/>
                  <w:lang w:val="en-US"/>
                </w:rPr>
                <w:t>C</w:t>
              </w:r>
              <w:r w:rsidR="00EA182B" w:rsidRPr="00EA182B">
                <w:rPr>
                  <w:rStyle w:val="Hyperlink"/>
                  <w:lang w:val="en-US"/>
                </w:rPr>
                <w:t>/3</w:t>
              </w:r>
            </w:hyperlink>
          </w:p>
          <w:p w14:paraId="2D8510DE" w14:textId="2ABC6807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55" w:history="1">
              <w:r w:rsidR="00EA182B" w:rsidRPr="00EA182B">
                <w:rPr>
                  <w:rStyle w:val="Hyperlink"/>
                  <w:lang w:val="en-US"/>
                </w:rPr>
                <w:t>V</w:t>
              </w:r>
              <w:r w:rsidR="00EA182B" w:rsidRPr="00EA182B">
                <w:rPr>
                  <w:rStyle w:val="Hyperlink"/>
                  <w:lang w:val="en-US"/>
                </w:rPr>
                <w:t>C</w:t>
              </w:r>
              <w:r w:rsidR="00EA182B" w:rsidRPr="00EA182B">
                <w:rPr>
                  <w:rStyle w:val="Hyperlink"/>
                  <w:lang w:val="en-US"/>
                </w:rPr>
                <w:t>/14</w:t>
              </w:r>
            </w:hyperlink>
          </w:p>
        </w:tc>
        <w:tc>
          <w:tcPr>
            <w:tcW w:w="6190" w:type="dxa"/>
          </w:tcPr>
          <w:p w14:paraId="64E4DF5A" w14:textId="60CAA596" w:rsidR="00EA182B" w:rsidRPr="005629F4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AD79AB" w:rsidRPr="005629F4">
              <w:rPr>
                <w:lang w:val="es-ES"/>
              </w:rPr>
              <w:t xml:space="preserve">Tras examinar los Documentos C20/62, VC/3 y VC/14, </w:t>
            </w:r>
            <w:r w:rsidR="009915D8">
              <w:rPr>
                <w:lang w:val="es-ES"/>
              </w:rPr>
              <w:t>s</w:t>
            </w:r>
            <w:r w:rsidR="00922B61">
              <w:rPr>
                <w:lang w:val="es-ES"/>
              </w:rPr>
              <w:t>e</w:t>
            </w:r>
            <w:r w:rsidR="009915D8">
              <w:t xml:space="preserve"> propuso</w:t>
            </w:r>
            <w:r w:rsidR="00AD79AB" w:rsidRPr="005629F4">
              <w:rPr>
                <w:lang w:val="es-ES"/>
              </w:rPr>
              <w:t xml:space="preserve"> al Consejo que, en su próxima reunión presencial, </w:t>
            </w:r>
            <w:r w:rsidR="00AD79AB" w:rsidRPr="006809B6">
              <w:t>examine</w:t>
            </w:r>
            <w:r w:rsidR="00AD79AB" w:rsidRPr="005629F4">
              <w:rPr>
                <w:lang w:val="es-ES"/>
              </w:rPr>
              <w:t xml:space="preserve"> las cuestiones planteadas en esos documentos y proporcione orientación sobre la forma de avanzar en la elaboración de un índice de la UIT</w:t>
            </w:r>
            <w:r w:rsidR="00EA182B" w:rsidRPr="005629F4">
              <w:rPr>
                <w:lang w:val="es-ES"/>
              </w:rPr>
              <w:t>.</w:t>
            </w:r>
          </w:p>
          <w:p w14:paraId="3B595D35" w14:textId="3C66E40D" w:rsidR="00EA182B" w:rsidRPr="005629F4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AD79AB" w:rsidRPr="005629F4">
              <w:rPr>
                <w:lang w:val="es-ES"/>
              </w:rPr>
              <w:t xml:space="preserve">Entretanto, </w:t>
            </w:r>
            <w:r w:rsidR="009915D8">
              <w:rPr>
                <w:lang w:val="es-ES"/>
              </w:rPr>
              <w:t>s</w:t>
            </w:r>
            <w:r w:rsidR="00922B61">
              <w:rPr>
                <w:lang w:val="es-ES"/>
              </w:rPr>
              <w:t>e</w:t>
            </w:r>
            <w:r w:rsidR="009915D8">
              <w:t xml:space="preserve"> alentó a la Secretaría</w:t>
            </w:r>
            <w:r w:rsidR="00AD79AB" w:rsidRPr="005629F4">
              <w:rPr>
                <w:lang w:val="es-ES"/>
              </w:rPr>
              <w:t xml:space="preserve"> a que siga colaborando con el </w:t>
            </w:r>
            <w:r w:rsidR="009915D8">
              <w:rPr>
                <w:lang w:val="es-ES"/>
              </w:rPr>
              <w:t>G</w:t>
            </w:r>
            <w:r w:rsidR="00AD79AB" w:rsidRPr="005629F4">
              <w:rPr>
                <w:lang w:val="es-ES"/>
              </w:rPr>
              <w:t xml:space="preserve">rupo de </w:t>
            </w:r>
            <w:r w:rsidR="009915D8">
              <w:rPr>
                <w:lang w:val="es-ES"/>
              </w:rPr>
              <w:t>E</w:t>
            </w:r>
            <w:r w:rsidR="00AD79AB" w:rsidRPr="005629F4">
              <w:rPr>
                <w:lang w:val="es-ES"/>
              </w:rPr>
              <w:t xml:space="preserve">xpertos en la elaboración de un índice basado en una metodología sólida, racional y </w:t>
            </w:r>
            <w:r w:rsidR="00AD79AB" w:rsidRPr="006809B6">
              <w:t>científicamente</w:t>
            </w:r>
            <w:r w:rsidR="00D779D2">
              <w:rPr>
                <w:lang w:val="es-ES"/>
              </w:rPr>
              <w:t xml:space="preserve"> </w:t>
            </w:r>
            <w:r w:rsidR="00AD79AB" w:rsidRPr="005629F4">
              <w:rPr>
                <w:lang w:val="es-ES"/>
              </w:rPr>
              <w:t xml:space="preserve">demostrada, y siga obrando en favor de la publicación de un índice preciso a la mayor brevedad, habida cuenta de lo estipulado en la Resolución 131 </w:t>
            </w:r>
            <w:r w:rsidR="009915D8">
              <w:rPr>
                <w:lang w:val="es-ES"/>
              </w:rPr>
              <w:t>d</w:t>
            </w:r>
            <w:r w:rsidR="00922B61">
              <w:rPr>
                <w:lang w:val="es-ES"/>
              </w:rPr>
              <w:t>e</w:t>
            </w:r>
            <w:r w:rsidR="009915D8">
              <w:t xml:space="preserve"> la</w:t>
            </w:r>
            <w:r w:rsidR="00BE5CEE">
              <w:t> </w:t>
            </w:r>
            <w:r w:rsidR="009915D8">
              <w:t>PP</w:t>
            </w:r>
            <w:r w:rsidR="00AD79AB" w:rsidRPr="005629F4">
              <w:rPr>
                <w:lang w:val="es-ES"/>
              </w:rPr>
              <w:t>.</w:t>
            </w:r>
          </w:p>
        </w:tc>
        <w:tc>
          <w:tcPr>
            <w:tcW w:w="1809" w:type="dxa"/>
          </w:tcPr>
          <w:p w14:paraId="6E59881A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9915D8" w14:paraId="6EF3E4D0" w14:textId="77777777" w:rsidTr="00E92052">
        <w:trPr>
          <w:jc w:val="center"/>
        </w:trPr>
        <w:tc>
          <w:tcPr>
            <w:tcW w:w="4167" w:type="dxa"/>
          </w:tcPr>
          <w:p w14:paraId="26655D5D" w14:textId="0246F1ED" w:rsidR="00EA182B" w:rsidRPr="00D57908" w:rsidRDefault="00AD79AB" w:rsidP="00EC5B3F">
            <w:pPr>
              <w:pStyle w:val="Tabletext"/>
              <w:rPr>
                <w:lang w:val="es-ES"/>
              </w:rPr>
            </w:pPr>
            <w:r w:rsidRPr="00AD79AB">
              <w:t>Lista de candidaturas a las presidencias y vicepresidencias de diversos Grupos de Trabajo del Consejo, Grupos de Expertos y Grupos Informales de Expertos</w:t>
            </w:r>
          </w:p>
        </w:tc>
        <w:tc>
          <w:tcPr>
            <w:tcW w:w="1822" w:type="dxa"/>
          </w:tcPr>
          <w:p w14:paraId="19BB7F72" w14:textId="6E6EAEC7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56" w:history="1">
              <w:r w:rsidR="00EA182B" w:rsidRPr="00EA182B">
                <w:rPr>
                  <w:rStyle w:val="Hyperlink"/>
                  <w:lang w:val="en-US"/>
                </w:rPr>
                <w:t>C20/21</w:t>
              </w:r>
              <w:r w:rsidR="00EA182B" w:rsidRPr="00EA182B">
                <w:rPr>
                  <w:rStyle w:val="Hyperlink"/>
                  <w:lang w:val="en-US"/>
                </w:rPr>
                <w:t>(</w:t>
              </w:r>
              <w:r w:rsidR="00EA182B" w:rsidRPr="00EA182B">
                <w:rPr>
                  <w:rStyle w:val="Hyperlink"/>
                  <w:lang w:val="en-US"/>
                </w:rPr>
                <w:t>Rev.2)</w:t>
              </w:r>
            </w:hyperlink>
          </w:p>
        </w:tc>
        <w:tc>
          <w:tcPr>
            <w:tcW w:w="6190" w:type="dxa"/>
          </w:tcPr>
          <w:p w14:paraId="4914F6E7" w14:textId="6253D1BD" w:rsidR="00EA182B" w:rsidRPr="00E52715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AD79AB" w:rsidRPr="00E52715">
              <w:rPr>
                <w:lang w:val="es-ES"/>
              </w:rPr>
              <w:t>Ante la urgencia de la cuestión</w:t>
            </w:r>
            <w:r w:rsidR="009915D8">
              <w:rPr>
                <w:lang w:val="es-ES"/>
              </w:rPr>
              <w:t xml:space="preserve"> </w:t>
            </w:r>
            <w:r w:rsidR="009915D8">
              <w:t>se decidió</w:t>
            </w:r>
            <w:r w:rsidR="00AD79AB" w:rsidRPr="00E52715">
              <w:rPr>
                <w:lang w:val="es-ES"/>
              </w:rPr>
              <w:t xml:space="preserve"> organizar una consulta por correspondencia con los Estados Miembros del Consejo a fin de aprobar el nombramiento de los nuevos titulares de los cargos de presidente y vicepresidente, de tal manera que estos puedan asumir sus funciones lo antes posible.</w:t>
            </w:r>
          </w:p>
        </w:tc>
        <w:tc>
          <w:tcPr>
            <w:tcW w:w="1809" w:type="dxa"/>
          </w:tcPr>
          <w:p w14:paraId="4450E87D" w14:textId="0CD6F75B" w:rsidR="00EA182B" w:rsidRPr="009915D8" w:rsidRDefault="009915D8" w:rsidP="00D779D2">
            <w:pPr>
              <w:pStyle w:val="Tabletext"/>
            </w:pPr>
            <w:r w:rsidRPr="009915D8">
              <w:rPr>
                <w:lang w:val="es-ES"/>
              </w:rPr>
              <w:t>Se aprobó la lista d</w:t>
            </w:r>
            <w:r>
              <w:rPr>
                <w:lang w:val="es-ES"/>
              </w:rPr>
              <w:t>e</w:t>
            </w:r>
            <w:r>
              <w:t xml:space="preserve"> candidaturas.</w:t>
            </w:r>
          </w:p>
        </w:tc>
      </w:tr>
      <w:tr w:rsidR="00EA182B" w:rsidRPr="00EA182B" w14:paraId="60BF7F02" w14:textId="77777777" w:rsidTr="00E92052">
        <w:trPr>
          <w:jc w:val="center"/>
        </w:trPr>
        <w:tc>
          <w:tcPr>
            <w:tcW w:w="4167" w:type="dxa"/>
          </w:tcPr>
          <w:p w14:paraId="1D9E04DD" w14:textId="5CC3BE96" w:rsidR="00EA182B" w:rsidRPr="00D57908" w:rsidRDefault="005629F4" w:rsidP="00EC5B3F">
            <w:pPr>
              <w:pStyle w:val="Tabletext"/>
              <w:rPr>
                <w:lang w:val="es-ES"/>
              </w:rPr>
            </w:pPr>
            <w:r w:rsidRPr="005629F4">
              <w:t>Calendario de futuras conferencias, asambleas y reuniones de la Unión: 2020</w:t>
            </w:r>
            <w:r w:rsidRPr="005629F4">
              <w:noBreakHyphen/>
              <w:t xml:space="preserve">2023 </w:t>
            </w:r>
            <w:r w:rsidR="00EA182B" w:rsidRPr="00D57908">
              <w:rPr>
                <w:bCs/>
                <w:iCs/>
                <w:lang w:val="es-ES"/>
              </w:rPr>
              <w:t>(Res. 77, 111)</w:t>
            </w:r>
          </w:p>
        </w:tc>
        <w:tc>
          <w:tcPr>
            <w:tcW w:w="1822" w:type="dxa"/>
          </w:tcPr>
          <w:p w14:paraId="522D4B28" w14:textId="7499C691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57" w:history="1">
              <w:r w:rsidR="00EA182B" w:rsidRPr="00EA182B">
                <w:rPr>
                  <w:rStyle w:val="Hyperlink"/>
                  <w:lang w:val="en-US"/>
                </w:rPr>
                <w:t>C20/</w:t>
              </w:r>
              <w:r w:rsidR="00EA182B" w:rsidRPr="00EA182B">
                <w:rPr>
                  <w:rStyle w:val="Hyperlink"/>
                  <w:lang w:val="en-US"/>
                </w:rPr>
                <w:t>3</w:t>
              </w:r>
              <w:r w:rsidR="00EA182B" w:rsidRPr="00EA182B">
                <w:rPr>
                  <w:rStyle w:val="Hyperlink"/>
                  <w:lang w:val="en-US"/>
                </w:rPr>
                <w:t>7</w:t>
              </w:r>
            </w:hyperlink>
          </w:p>
        </w:tc>
        <w:tc>
          <w:tcPr>
            <w:tcW w:w="6190" w:type="dxa"/>
          </w:tcPr>
          <w:p w14:paraId="2EA91234" w14:textId="0C365BAB" w:rsidR="00EA182B" w:rsidRPr="005629F4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9915D8">
              <w:rPr>
                <w:lang w:val="es-ES"/>
              </w:rPr>
              <w:t>S</w:t>
            </w:r>
            <w:r w:rsidR="00131420">
              <w:rPr>
                <w:lang w:val="es-ES"/>
              </w:rPr>
              <w:t>e</w:t>
            </w:r>
            <w:r w:rsidR="009915D8">
              <w:t xml:space="preserve"> alentó a la Secretaría a actualizar</w:t>
            </w:r>
            <w:r w:rsidRPr="005629F4">
              <w:rPr>
                <w:lang w:val="es-ES"/>
              </w:rPr>
              <w:t xml:space="preserve"> el Documento</w:t>
            </w:r>
            <w:r w:rsidR="00922B61">
              <w:rPr>
                <w:lang w:val="es-ES"/>
              </w:rPr>
              <w:t> </w:t>
            </w:r>
            <w:r w:rsidRPr="005629F4">
              <w:rPr>
                <w:lang w:val="es-ES"/>
              </w:rPr>
              <w:t xml:space="preserve">C20/37, teniendo en cuenta el resultado de los debates de la </w:t>
            </w:r>
            <w:r w:rsidR="009915D8">
              <w:rPr>
                <w:lang w:val="es-ES"/>
              </w:rPr>
              <w:t>C</w:t>
            </w:r>
            <w:r w:rsidRPr="005629F4">
              <w:rPr>
                <w:lang w:val="es-ES"/>
              </w:rPr>
              <w:t xml:space="preserve">onsulta virtual, a fin de evitar los periodos religiosos en la medida de lo posible, y </w:t>
            </w:r>
            <w:r w:rsidR="009915D8">
              <w:rPr>
                <w:lang w:val="es-ES"/>
              </w:rPr>
              <w:t>a</w:t>
            </w:r>
            <w:r w:rsidR="009915D8">
              <w:t xml:space="preserve"> someterlo</w:t>
            </w:r>
            <w:r w:rsidRPr="005629F4">
              <w:rPr>
                <w:lang w:val="es-ES"/>
              </w:rPr>
              <w:t xml:space="preserve"> a la próxima reunión presencial del Consejo.</w:t>
            </w:r>
          </w:p>
        </w:tc>
        <w:tc>
          <w:tcPr>
            <w:tcW w:w="1809" w:type="dxa"/>
          </w:tcPr>
          <w:p w14:paraId="272C121C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  <w:tr w:rsidR="00EA182B" w:rsidRPr="00EA182B" w14:paraId="13F328D7" w14:textId="77777777" w:rsidTr="00E92052">
        <w:trPr>
          <w:cantSplit/>
          <w:jc w:val="center"/>
        </w:trPr>
        <w:tc>
          <w:tcPr>
            <w:tcW w:w="4167" w:type="dxa"/>
          </w:tcPr>
          <w:p w14:paraId="2D784A77" w14:textId="63FE8364" w:rsidR="00EA182B" w:rsidRPr="00131420" w:rsidRDefault="005629F4" w:rsidP="00EC5B3F">
            <w:pPr>
              <w:pStyle w:val="Tabletext"/>
              <w:rPr>
                <w:bCs/>
                <w:lang w:val="es-ES"/>
              </w:rPr>
            </w:pPr>
            <w:bookmarkStart w:id="10" w:name="_Hlk44600380"/>
            <w:r w:rsidRPr="005629F4">
              <w:rPr>
                <w:bCs/>
              </w:rPr>
              <w:lastRenderedPageBreak/>
              <w:t>Repercusiones de la pandemia de COVID-19 sobre el funcionamiento y las actividades de la UIT</w:t>
            </w:r>
            <w:bookmarkEnd w:id="10"/>
          </w:p>
        </w:tc>
        <w:tc>
          <w:tcPr>
            <w:tcW w:w="1822" w:type="dxa"/>
          </w:tcPr>
          <w:p w14:paraId="7ACD8FCB" w14:textId="2E9EF9F5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58" w:history="1">
              <w:r w:rsidR="00EA182B" w:rsidRPr="00EA182B">
                <w:rPr>
                  <w:rStyle w:val="Hyperlink"/>
                  <w:lang w:val="en-US"/>
                </w:rPr>
                <w:t>V</w:t>
              </w:r>
              <w:r w:rsidR="00EA182B" w:rsidRPr="00EA182B">
                <w:rPr>
                  <w:rStyle w:val="Hyperlink"/>
                  <w:lang w:val="en-US"/>
                </w:rPr>
                <w:t>C</w:t>
              </w:r>
              <w:r w:rsidR="00EA182B" w:rsidRPr="00EA182B">
                <w:rPr>
                  <w:rStyle w:val="Hyperlink"/>
                  <w:lang w:val="en-US"/>
                </w:rPr>
                <w:t>/13</w:t>
              </w:r>
            </w:hyperlink>
          </w:p>
          <w:p w14:paraId="3B125369" w14:textId="2B4CB759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59" w:history="1">
              <w:r w:rsidR="00EA182B" w:rsidRPr="00EA182B">
                <w:rPr>
                  <w:rStyle w:val="Hyperlink"/>
                  <w:lang w:val="en-US"/>
                </w:rPr>
                <w:t>VC</w:t>
              </w:r>
              <w:r w:rsidR="00EA182B" w:rsidRPr="00EA182B">
                <w:rPr>
                  <w:rStyle w:val="Hyperlink"/>
                  <w:lang w:val="en-US"/>
                </w:rPr>
                <w:t>/</w:t>
              </w:r>
              <w:r w:rsidR="00EA182B" w:rsidRPr="00EA182B">
                <w:rPr>
                  <w:rStyle w:val="Hyperlink"/>
                  <w:lang w:val="en-US"/>
                </w:rPr>
                <w:t>2</w:t>
              </w:r>
            </w:hyperlink>
          </w:p>
          <w:p w14:paraId="4916B5F1" w14:textId="5A53177B" w:rsidR="00EA182B" w:rsidRPr="00EA182B" w:rsidRDefault="00A548E9" w:rsidP="00393827">
            <w:pPr>
              <w:pStyle w:val="Tabletext"/>
              <w:jc w:val="center"/>
              <w:rPr>
                <w:lang w:val="en-US"/>
              </w:rPr>
            </w:pPr>
            <w:hyperlink r:id="rId60" w:history="1">
              <w:r w:rsidR="00EA182B" w:rsidRPr="00EA182B">
                <w:rPr>
                  <w:rStyle w:val="Hyperlink"/>
                  <w:lang w:val="en-US"/>
                </w:rPr>
                <w:t>V</w:t>
              </w:r>
              <w:r w:rsidR="00EA182B" w:rsidRPr="00EA182B">
                <w:rPr>
                  <w:rStyle w:val="Hyperlink"/>
                  <w:lang w:val="en-US"/>
                </w:rPr>
                <w:t>C</w:t>
              </w:r>
              <w:r w:rsidR="00EA182B" w:rsidRPr="00EA182B">
                <w:rPr>
                  <w:rStyle w:val="Hyperlink"/>
                  <w:lang w:val="en-US"/>
                </w:rPr>
                <w:t>/10</w:t>
              </w:r>
            </w:hyperlink>
          </w:p>
        </w:tc>
        <w:tc>
          <w:tcPr>
            <w:tcW w:w="6190" w:type="dxa"/>
          </w:tcPr>
          <w:p w14:paraId="074EAD61" w14:textId="04158FE6" w:rsidR="00EA182B" w:rsidRPr="00E52715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9915D8">
              <w:rPr>
                <w:lang w:val="es-ES"/>
              </w:rPr>
              <w:t>S</w:t>
            </w:r>
            <w:r w:rsidR="00131420">
              <w:rPr>
                <w:lang w:val="es-ES"/>
              </w:rPr>
              <w:t>e</w:t>
            </w:r>
            <w:r w:rsidR="009915D8">
              <w:t xml:space="preserve"> alentó a la Secretaría a revisar</w:t>
            </w:r>
            <w:r w:rsidRPr="00E52715">
              <w:rPr>
                <w:lang w:val="es-ES"/>
              </w:rPr>
              <w:t xml:space="preserve"> el Documento VC/13 a fin de tener en cuenta los elementos que figuran en los </w:t>
            </w:r>
            <w:r w:rsidRPr="006809B6">
              <w:t>Documentos</w:t>
            </w:r>
            <w:r w:rsidRPr="00E52715">
              <w:rPr>
                <w:lang w:val="es-ES"/>
              </w:rPr>
              <w:t xml:space="preserve"> VC/2 y VC/10, las observaciones formuladas durante la </w:t>
            </w:r>
            <w:r w:rsidR="009915D8">
              <w:rPr>
                <w:lang w:val="es-ES"/>
              </w:rPr>
              <w:t>C</w:t>
            </w:r>
            <w:r w:rsidRPr="00E52715">
              <w:rPr>
                <w:lang w:val="es-ES"/>
              </w:rPr>
              <w:t xml:space="preserve">onsulta y las repercusiones financieras de la </w:t>
            </w:r>
            <w:r w:rsidRPr="006809B6">
              <w:t>pandemia</w:t>
            </w:r>
            <w:r w:rsidRPr="00E52715">
              <w:rPr>
                <w:lang w:val="es-ES"/>
              </w:rPr>
              <w:t xml:space="preserve"> de COVID-19 en la UIT, y </w:t>
            </w:r>
            <w:r w:rsidR="009915D8">
              <w:rPr>
                <w:lang w:val="es-ES"/>
              </w:rPr>
              <w:t>a</w:t>
            </w:r>
            <w:r w:rsidR="009915D8">
              <w:t xml:space="preserve"> someterlo</w:t>
            </w:r>
            <w:r w:rsidRPr="00E52715">
              <w:rPr>
                <w:lang w:val="es-ES"/>
              </w:rPr>
              <w:t xml:space="preserve"> a la próxima reunión presencial del Consejo</w:t>
            </w:r>
            <w:r w:rsidR="00EA182B" w:rsidRPr="00E52715">
              <w:rPr>
                <w:lang w:val="es-ES"/>
              </w:rPr>
              <w:t>.</w:t>
            </w:r>
          </w:p>
          <w:p w14:paraId="705E1902" w14:textId="1491693F" w:rsidR="00EA182B" w:rsidRPr="00E52715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9915D8">
              <w:rPr>
                <w:lang w:val="es-ES"/>
              </w:rPr>
              <w:t>S</w:t>
            </w:r>
            <w:r w:rsidR="00131420">
              <w:rPr>
                <w:lang w:val="es-ES"/>
              </w:rPr>
              <w:t>e</w:t>
            </w:r>
            <w:r w:rsidR="009915D8">
              <w:t xml:space="preserve"> alentó</w:t>
            </w:r>
            <w:r w:rsidRPr="00E52715">
              <w:rPr>
                <w:lang w:val="es-ES"/>
              </w:rPr>
              <w:t xml:space="preserve"> al Secretario General a desta</w:t>
            </w:r>
            <w:r w:rsidR="009915D8">
              <w:rPr>
                <w:lang w:val="es-ES"/>
              </w:rPr>
              <w:t>c</w:t>
            </w:r>
            <w:r w:rsidR="00131420">
              <w:rPr>
                <w:lang w:val="es-ES"/>
              </w:rPr>
              <w:t>ar</w:t>
            </w:r>
            <w:r w:rsidRPr="00E52715">
              <w:rPr>
                <w:lang w:val="es-ES"/>
              </w:rPr>
              <w:t xml:space="preserve"> las actividades de la UIT relacionadas con la respuesta a</w:t>
            </w:r>
            <w:r w:rsidR="00E92052">
              <w:rPr>
                <w:lang w:val="es-ES"/>
              </w:rPr>
              <w:t xml:space="preserve"> </w:t>
            </w:r>
            <w:r w:rsidRPr="00E52715">
              <w:rPr>
                <w:lang w:val="es-ES"/>
              </w:rPr>
              <w:t>l</w:t>
            </w:r>
            <w:r w:rsidR="00E92052">
              <w:rPr>
                <w:lang w:val="es-ES"/>
              </w:rPr>
              <w:t>a</w:t>
            </w:r>
            <w:r w:rsidRPr="00E52715">
              <w:rPr>
                <w:lang w:val="es-ES"/>
              </w:rPr>
              <w:t xml:space="preserve"> COVID-19 en los foros de las Naciones Unidas y </w:t>
            </w:r>
            <w:r w:rsidR="009915D8">
              <w:rPr>
                <w:lang w:val="es-ES"/>
              </w:rPr>
              <w:t>a</w:t>
            </w:r>
            <w:r w:rsidR="009915D8">
              <w:t xml:space="preserve"> seguir</w:t>
            </w:r>
            <w:r w:rsidRPr="00E52715">
              <w:rPr>
                <w:lang w:val="es-ES"/>
              </w:rPr>
              <w:t xml:space="preserve"> cooperando con otros organismos de las Naciones Unidas para promover la importante función de las TIC en la lucha mundial contra la pandemia</w:t>
            </w:r>
            <w:r w:rsidR="00EA182B" w:rsidRPr="00E52715">
              <w:rPr>
                <w:lang w:val="es-ES"/>
              </w:rPr>
              <w:t>.</w:t>
            </w:r>
          </w:p>
          <w:p w14:paraId="64F25976" w14:textId="3E93E977" w:rsidR="00EA182B" w:rsidRPr="00E52715" w:rsidRDefault="005629F4" w:rsidP="006809B6">
            <w:pPr>
              <w:pStyle w:val="Tabletext"/>
              <w:ind w:left="552" w:hanging="552"/>
              <w:rPr>
                <w:lang w:val="es-ES"/>
              </w:rPr>
            </w:pPr>
            <w:r w:rsidRPr="005629F4">
              <w:rPr>
                <w:lang w:val="es-ES"/>
              </w:rPr>
              <w:t>–</w:t>
            </w:r>
            <w:r w:rsidRPr="005629F4">
              <w:rPr>
                <w:lang w:val="es-ES"/>
              </w:rPr>
              <w:tab/>
            </w:r>
            <w:r w:rsidR="009915D8" w:rsidRPr="00131420">
              <w:rPr>
                <w:lang w:val="es-ES"/>
              </w:rPr>
              <w:t>S</w:t>
            </w:r>
            <w:r w:rsidR="00131420" w:rsidRPr="00131420">
              <w:rPr>
                <w:lang w:val="es-ES"/>
              </w:rPr>
              <w:t>e</w:t>
            </w:r>
            <w:r w:rsidR="009915D8" w:rsidRPr="00131420">
              <w:rPr>
                <w:lang w:val="es-ES"/>
              </w:rPr>
              <w:t xml:space="preserve"> alentó a la S</w:t>
            </w:r>
            <w:r w:rsidRPr="00131420">
              <w:rPr>
                <w:lang w:val="es-ES"/>
              </w:rPr>
              <w:t xml:space="preserve">ecretaría a </w:t>
            </w:r>
            <w:r w:rsidR="009915D8" w:rsidRPr="00131420">
              <w:rPr>
                <w:lang w:val="es-ES"/>
              </w:rPr>
              <w:t>seguir</w:t>
            </w:r>
            <w:r w:rsidRPr="00131420">
              <w:rPr>
                <w:lang w:val="es-ES"/>
              </w:rPr>
              <w:t xml:space="preserve"> abordando las diversas </w:t>
            </w:r>
            <w:r w:rsidRPr="006809B6">
              <w:t>dificultades</w:t>
            </w:r>
            <w:r w:rsidRPr="00131420">
              <w:rPr>
                <w:lang w:val="es-ES"/>
              </w:rPr>
              <w:t xml:space="preserve"> técnicas, jurídicas y logísticas con objeto de facilitar la participación a distancia en las reuniones de la</w:t>
            </w:r>
            <w:r w:rsidR="00BE5CEE">
              <w:rPr>
                <w:lang w:val="es-ES"/>
              </w:rPr>
              <w:t> </w:t>
            </w:r>
            <w:r w:rsidRPr="00131420">
              <w:rPr>
                <w:lang w:val="es-ES"/>
              </w:rPr>
              <w:t>UIT.</w:t>
            </w:r>
          </w:p>
        </w:tc>
        <w:tc>
          <w:tcPr>
            <w:tcW w:w="1809" w:type="dxa"/>
          </w:tcPr>
          <w:p w14:paraId="405EE7E6" w14:textId="77777777" w:rsidR="00EA182B" w:rsidRPr="00EA182B" w:rsidRDefault="00EA182B" w:rsidP="00393827">
            <w:pPr>
              <w:pStyle w:val="Tabletext"/>
              <w:jc w:val="center"/>
              <w:rPr>
                <w:lang w:val="en-US"/>
              </w:rPr>
            </w:pPr>
            <w:r w:rsidRPr="00EA182B">
              <w:rPr>
                <w:lang w:val="en-US"/>
              </w:rPr>
              <w:t>--</w:t>
            </w:r>
          </w:p>
        </w:tc>
      </w:tr>
    </w:tbl>
    <w:p w14:paraId="61084924" w14:textId="73BC1A65" w:rsidR="00BE5CEE" w:rsidRDefault="00BE5CEE" w:rsidP="00BE5CEE">
      <w:r>
        <w:br w:type="page"/>
      </w:r>
    </w:p>
    <w:p w14:paraId="5C599C66" w14:textId="16D77D2E" w:rsidR="00E52715" w:rsidRPr="009915D8" w:rsidRDefault="009915D8" w:rsidP="00E52715">
      <w:pPr>
        <w:pStyle w:val="Tabletitle"/>
      </w:pPr>
      <w:r w:rsidRPr="009915D8">
        <w:lastRenderedPageBreak/>
        <w:t>Resultados de los debates de la segunda Consulta virtual de los consejeros, celeb</w:t>
      </w:r>
      <w:r>
        <w:t>rada del 16 al 20 de noviembre de</w:t>
      </w:r>
      <w:r w:rsidR="00E52715" w:rsidRPr="009915D8">
        <w:t xml:space="preserve"> 2020 (</w:t>
      </w:r>
      <w:hyperlink r:id="rId61" w:history="1">
        <w:r w:rsidR="00E52715" w:rsidRPr="009915D8">
          <w:rPr>
            <w:rStyle w:val="Hyperlink"/>
          </w:rPr>
          <w:t>VCC</w:t>
        </w:r>
        <w:r w:rsidR="00131420">
          <w:rPr>
            <w:rStyle w:val="Hyperlink"/>
          </w:rPr>
          <w:noBreakHyphen/>
        </w:r>
        <w:r w:rsidR="00E52715" w:rsidRPr="009915D8">
          <w:rPr>
            <w:rStyle w:val="Hyperlink"/>
          </w:rPr>
          <w:t>2</w:t>
        </w:r>
        <w:r w:rsidR="00E52715" w:rsidRPr="009915D8">
          <w:rPr>
            <w:rStyle w:val="Hyperlink"/>
          </w:rPr>
          <w:t>/</w:t>
        </w:r>
        <w:r w:rsidR="00E52715" w:rsidRPr="009915D8">
          <w:rPr>
            <w:rStyle w:val="Hyperlink"/>
          </w:rPr>
          <w:t>DT/1(Rev.4)</w:t>
        </w:r>
      </w:hyperlink>
      <w:r w:rsidR="00E52715" w:rsidRPr="009915D8">
        <w:t xml:space="preserve">) </w:t>
      </w:r>
      <w:r>
        <w:t>y conclusiones alcanzadas por correspondencia</w:t>
      </w:r>
      <w:r w:rsidR="00E52715" w:rsidRPr="009915D8">
        <w:t xml:space="preserve"> (</w:t>
      </w:r>
      <w:hyperlink r:id="rId62" w:history="1">
        <w:r w:rsidR="00E52715" w:rsidRPr="009915D8">
          <w:rPr>
            <w:rStyle w:val="Hyperlink"/>
          </w:rPr>
          <w:t>DM</w:t>
        </w:r>
        <w:r w:rsidR="00E52715" w:rsidRPr="009915D8">
          <w:rPr>
            <w:rStyle w:val="Hyperlink"/>
          </w:rPr>
          <w:t>-</w:t>
        </w:r>
        <w:r w:rsidR="00E52715" w:rsidRPr="009915D8">
          <w:rPr>
            <w:rStyle w:val="Hyperlink"/>
          </w:rPr>
          <w:t>20/1022</w:t>
        </w:r>
      </w:hyperlink>
      <w:r w:rsidR="00E52715" w:rsidRPr="009915D8">
        <w:t xml:space="preserve">, </w:t>
      </w:r>
      <w:hyperlink r:id="rId63" w:history="1">
        <w:r w:rsidR="00E52715" w:rsidRPr="009915D8">
          <w:rPr>
            <w:rStyle w:val="Hyperlink"/>
          </w:rPr>
          <w:t>CL-20</w:t>
        </w:r>
        <w:r w:rsidR="00E52715" w:rsidRPr="009915D8">
          <w:rPr>
            <w:rStyle w:val="Hyperlink"/>
          </w:rPr>
          <w:t>/</w:t>
        </w:r>
        <w:r w:rsidR="00E52715" w:rsidRPr="009915D8">
          <w:rPr>
            <w:rStyle w:val="Hyperlink"/>
          </w:rPr>
          <w:t>51</w:t>
        </w:r>
      </w:hyperlink>
      <w:r w:rsidR="00E52715" w:rsidRPr="009915D8">
        <w:t>)</w:t>
      </w: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4134"/>
        <w:gridCol w:w="2181"/>
        <w:gridCol w:w="5746"/>
        <w:gridCol w:w="1927"/>
      </w:tblGrid>
      <w:tr w:rsidR="00E52715" w:rsidRPr="00131420" w14:paraId="7D83FE5D" w14:textId="77777777" w:rsidTr="0083579A">
        <w:trPr>
          <w:tblHeader/>
          <w:jc w:val="center"/>
        </w:trPr>
        <w:tc>
          <w:tcPr>
            <w:tcW w:w="4134" w:type="dxa"/>
            <w:shd w:val="clear" w:color="auto" w:fill="F2F2F2"/>
          </w:tcPr>
          <w:p w14:paraId="2F402145" w14:textId="601BFCCF" w:rsidR="00E52715" w:rsidRPr="00131420" w:rsidRDefault="009915D8" w:rsidP="00E52715">
            <w:pPr>
              <w:pStyle w:val="Tablehead"/>
              <w:rPr>
                <w:lang w:val="es-ES"/>
              </w:rPr>
            </w:pPr>
            <w:r w:rsidRPr="00131420">
              <w:rPr>
                <w:lang w:val="es-ES"/>
              </w:rPr>
              <w:t>Punto del orden del día</w:t>
            </w:r>
          </w:p>
        </w:tc>
        <w:tc>
          <w:tcPr>
            <w:tcW w:w="2181" w:type="dxa"/>
            <w:shd w:val="clear" w:color="auto" w:fill="F2F2F2"/>
          </w:tcPr>
          <w:p w14:paraId="4A492CDB" w14:textId="3D755909" w:rsidR="00E52715" w:rsidRPr="00131420" w:rsidRDefault="009915D8" w:rsidP="00970925">
            <w:pPr>
              <w:pStyle w:val="Tablehead"/>
              <w:rPr>
                <w:lang w:val="es-ES"/>
              </w:rPr>
            </w:pPr>
            <w:r w:rsidRPr="00131420">
              <w:rPr>
                <w:lang w:val="es-ES"/>
              </w:rPr>
              <w:t>Signatura de los documentos</w:t>
            </w:r>
          </w:p>
        </w:tc>
        <w:tc>
          <w:tcPr>
            <w:tcW w:w="5746" w:type="dxa"/>
            <w:shd w:val="clear" w:color="auto" w:fill="F2F2F2"/>
          </w:tcPr>
          <w:p w14:paraId="744AB0C3" w14:textId="52D609CF" w:rsidR="00E52715" w:rsidRPr="00131420" w:rsidRDefault="009915D8" w:rsidP="00E52715">
            <w:pPr>
              <w:pStyle w:val="Tablehead"/>
              <w:rPr>
                <w:lang w:val="es-ES"/>
              </w:rPr>
            </w:pPr>
            <w:r w:rsidRPr="00131420">
              <w:rPr>
                <w:lang w:val="es-ES"/>
              </w:rPr>
              <w:t>Resultado de la CVC-2</w:t>
            </w:r>
          </w:p>
        </w:tc>
        <w:tc>
          <w:tcPr>
            <w:tcW w:w="1927" w:type="dxa"/>
            <w:shd w:val="clear" w:color="auto" w:fill="F2F2F2"/>
          </w:tcPr>
          <w:p w14:paraId="706C158F" w14:textId="5AC86414" w:rsidR="00E52715" w:rsidRPr="00131420" w:rsidRDefault="009915D8" w:rsidP="00970925">
            <w:pPr>
              <w:pStyle w:val="Tablehead"/>
              <w:rPr>
                <w:lang w:val="es-ES"/>
              </w:rPr>
            </w:pPr>
            <w:r w:rsidRPr="00131420">
              <w:rPr>
                <w:lang w:val="es-ES"/>
              </w:rPr>
              <w:t xml:space="preserve">Resultado </w:t>
            </w:r>
            <w:r w:rsidR="00141016">
              <w:rPr>
                <w:lang w:val="es-ES"/>
              </w:rPr>
              <w:br/>
            </w:r>
            <w:r w:rsidRPr="00131420">
              <w:rPr>
                <w:lang w:val="es-ES"/>
              </w:rPr>
              <w:t xml:space="preserve">de la consulta </w:t>
            </w:r>
            <w:r w:rsidR="00141016">
              <w:rPr>
                <w:lang w:val="es-ES"/>
              </w:rPr>
              <w:br/>
            </w:r>
            <w:r w:rsidRPr="00131420">
              <w:rPr>
                <w:lang w:val="es-ES"/>
              </w:rPr>
              <w:t>escrita por correspondencia</w:t>
            </w:r>
          </w:p>
        </w:tc>
      </w:tr>
      <w:tr w:rsidR="00E52715" w:rsidRPr="00E52715" w14:paraId="6FB8FC61" w14:textId="77777777" w:rsidTr="0083579A">
        <w:trPr>
          <w:jc w:val="center"/>
        </w:trPr>
        <w:tc>
          <w:tcPr>
            <w:tcW w:w="4134" w:type="dxa"/>
            <w:shd w:val="clear" w:color="auto" w:fill="BFBFBF"/>
          </w:tcPr>
          <w:p w14:paraId="4BC239E2" w14:textId="69761800" w:rsidR="00E52715" w:rsidRPr="00C03BB4" w:rsidRDefault="00C03BB4" w:rsidP="00E52715">
            <w:pPr>
              <w:pStyle w:val="Tabletext"/>
              <w:rPr>
                <w:rFonts w:eastAsia="Times New Roman" w:cs="Times New Roman"/>
                <w:b/>
                <w:bCs/>
                <w:szCs w:val="20"/>
                <w:lang w:val="es-ES"/>
              </w:rPr>
            </w:pPr>
            <w:r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Lunes</w:t>
            </w:r>
            <w:r w:rsidR="00E52715"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 xml:space="preserve">, 16 </w:t>
            </w:r>
            <w:r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de noviembre</w:t>
            </w:r>
            <w:r w:rsidR="00E52715"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, 12.00</w:t>
            </w:r>
            <w:r w:rsidR="00141016">
              <w:rPr>
                <w:rFonts w:eastAsia="Times New Roman" w:cs="Times New Roman"/>
                <w:b/>
                <w:bCs/>
                <w:szCs w:val="20"/>
                <w:lang w:val="es-ES"/>
              </w:rPr>
              <w:noBreakHyphen/>
            </w:r>
            <w:r w:rsidR="00E52715"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15.00</w:t>
            </w:r>
            <w:r w:rsidR="00141016">
              <w:rPr>
                <w:rFonts w:eastAsia="Times New Roman" w:cs="Times New Roman"/>
                <w:b/>
                <w:bCs/>
                <w:szCs w:val="20"/>
                <w:lang w:val="es-ES"/>
              </w:rPr>
              <w:t> </w:t>
            </w:r>
            <w:r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horas</w:t>
            </w:r>
          </w:p>
        </w:tc>
        <w:tc>
          <w:tcPr>
            <w:tcW w:w="2181" w:type="dxa"/>
            <w:shd w:val="clear" w:color="auto" w:fill="BFBFBF"/>
          </w:tcPr>
          <w:p w14:paraId="753375EE" w14:textId="77777777" w:rsidR="00E52715" w:rsidRPr="00C323CB" w:rsidRDefault="00E52715" w:rsidP="00970925">
            <w:pPr>
              <w:pStyle w:val="Tabletext"/>
              <w:jc w:val="center"/>
              <w:rPr>
                <w:rFonts w:eastAsia="Times New Roman" w:cs="Times New Roman"/>
                <w:bCs/>
                <w:szCs w:val="20"/>
              </w:rPr>
            </w:pPr>
          </w:p>
        </w:tc>
        <w:tc>
          <w:tcPr>
            <w:tcW w:w="5746" w:type="dxa"/>
            <w:shd w:val="clear" w:color="auto" w:fill="BFBFBF"/>
          </w:tcPr>
          <w:p w14:paraId="52401BB4" w14:textId="77777777" w:rsidR="00E52715" w:rsidRPr="00C323CB" w:rsidRDefault="00E52715" w:rsidP="00C323CB">
            <w:pPr>
              <w:pStyle w:val="Tabletext"/>
              <w:rPr>
                <w:rFonts w:eastAsia="Times New Roman" w:cs="Times New Roman"/>
                <w:bCs/>
                <w:szCs w:val="20"/>
              </w:rPr>
            </w:pPr>
          </w:p>
        </w:tc>
        <w:tc>
          <w:tcPr>
            <w:tcW w:w="1927" w:type="dxa"/>
            <w:shd w:val="clear" w:color="auto" w:fill="BFBFBF"/>
          </w:tcPr>
          <w:p w14:paraId="0073A621" w14:textId="77777777" w:rsidR="00E52715" w:rsidRPr="00C323CB" w:rsidRDefault="00E52715" w:rsidP="00970925">
            <w:pPr>
              <w:pStyle w:val="Tabletext"/>
              <w:jc w:val="center"/>
              <w:rPr>
                <w:rFonts w:eastAsia="Times New Roman" w:cs="Times New Roman"/>
                <w:bCs/>
                <w:szCs w:val="20"/>
              </w:rPr>
            </w:pPr>
          </w:p>
        </w:tc>
      </w:tr>
      <w:tr w:rsidR="00E52715" w:rsidRPr="00E52715" w14:paraId="77006777" w14:textId="77777777" w:rsidTr="0083579A">
        <w:trPr>
          <w:jc w:val="center"/>
        </w:trPr>
        <w:tc>
          <w:tcPr>
            <w:tcW w:w="4134" w:type="dxa"/>
          </w:tcPr>
          <w:p w14:paraId="26B6FE84" w14:textId="7830625F" w:rsidR="00E52715" w:rsidRPr="00131420" w:rsidRDefault="006E19D2" w:rsidP="00C323CB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Discurso de apertura del Secretario General</w:t>
            </w:r>
          </w:p>
        </w:tc>
        <w:tc>
          <w:tcPr>
            <w:tcW w:w="2181" w:type="dxa"/>
          </w:tcPr>
          <w:p w14:paraId="554ED4E9" w14:textId="77777777" w:rsidR="00E52715" w:rsidRPr="00131420" w:rsidRDefault="00E52715" w:rsidP="00970925">
            <w:pPr>
              <w:pStyle w:val="Tabletext"/>
              <w:jc w:val="center"/>
              <w:rPr>
                <w:lang w:val="es-ES"/>
              </w:rPr>
            </w:pPr>
            <w:r w:rsidRPr="00131420">
              <w:rPr>
                <w:lang w:val="es-ES"/>
              </w:rPr>
              <w:t>--</w:t>
            </w:r>
          </w:p>
        </w:tc>
        <w:tc>
          <w:tcPr>
            <w:tcW w:w="5746" w:type="dxa"/>
          </w:tcPr>
          <w:p w14:paraId="4C4AC902" w14:textId="59471CA7" w:rsidR="00E52715" w:rsidRPr="006E19D2" w:rsidRDefault="006E19D2" w:rsidP="00C323CB">
            <w:pPr>
              <w:pStyle w:val="Tabletext"/>
              <w:rPr>
                <w:lang w:val="es-ES"/>
              </w:rPr>
            </w:pPr>
            <w:r w:rsidRPr="006E19D2">
              <w:rPr>
                <w:lang w:val="es-ES"/>
              </w:rPr>
              <w:t>El Secretario General pronunció s</w:t>
            </w:r>
            <w:r>
              <w:rPr>
                <w:lang w:val="es-ES"/>
              </w:rPr>
              <w:t>u discurso de apertura</w:t>
            </w:r>
            <w:r w:rsidR="00931321">
              <w:rPr>
                <w:lang w:val="es-ES"/>
              </w:rPr>
              <w:t>.</w:t>
            </w:r>
          </w:p>
        </w:tc>
        <w:tc>
          <w:tcPr>
            <w:tcW w:w="1927" w:type="dxa"/>
          </w:tcPr>
          <w:p w14:paraId="6C0E2DD0" w14:textId="77777777" w:rsidR="00E52715" w:rsidRPr="00C323CB" w:rsidRDefault="00E52715" w:rsidP="00970925">
            <w:pPr>
              <w:pStyle w:val="Tabletext"/>
              <w:jc w:val="center"/>
            </w:pPr>
            <w:r w:rsidRPr="00C323CB">
              <w:t>--</w:t>
            </w:r>
          </w:p>
        </w:tc>
      </w:tr>
      <w:tr w:rsidR="00E52715" w:rsidRPr="00E52715" w14:paraId="5AAAEE3E" w14:textId="77777777" w:rsidTr="0083579A">
        <w:trPr>
          <w:jc w:val="center"/>
        </w:trPr>
        <w:tc>
          <w:tcPr>
            <w:tcW w:w="4134" w:type="dxa"/>
          </w:tcPr>
          <w:p w14:paraId="658E3770" w14:textId="48C14019" w:rsidR="00E52715" w:rsidRPr="00C323CB" w:rsidRDefault="00E52715" w:rsidP="00E52715">
            <w:pPr>
              <w:pStyle w:val="Tabletext"/>
            </w:pPr>
            <w:r w:rsidRPr="00C323CB">
              <w:t xml:space="preserve">Nombramiento del presidente de la segunda </w:t>
            </w:r>
            <w:r w:rsidR="006E19D2">
              <w:t>C</w:t>
            </w:r>
            <w:r w:rsidRPr="00C323CB">
              <w:t>onsulta virtual</w:t>
            </w:r>
          </w:p>
        </w:tc>
        <w:tc>
          <w:tcPr>
            <w:tcW w:w="2181" w:type="dxa"/>
          </w:tcPr>
          <w:p w14:paraId="1BF1C398" w14:textId="77777777" w:rsidR="00E52715" w:rsidRPr="00C323CB" w:rsidRDefault="00E52715" w:rsidP="00970925">
            <w:pPr>
              <w:pStyle w:val="Tabletext"/>
              <w:jc w:val="center"/>
            </w:pPr>
            <w:r w:rsidRPr="00C323CB">
              <w:t>--</w:t>
            </w:r>
          </w:p>
        </w:tc>
        <w:tc>
          <w:tcPr>
            <w:tcW w:w="5746" w:type="dxa"/>
          </w:tcPr>
          <w:p w14:paraId="24E95405" w14:textId="18232AB5" w:rsidR="00E52715" w:rsidRPr="006E19D2" w:rsidRDefault="006E19D2" w:rsidP="00E52715">
            <w:pPr>
              <w:pStyle w:val="Tabletext"/>
            </w:pPr>
            <w:r w:rsidRPr="006E19D2">
              <w:t>El S</w:t>
            </w:r>
            <w:r w:rsidR="00E52715" w:rsidRPr="006E19D2">
              <w:t>r</w:t>
            </w:r>
            <w:r w:rsidRPr="006E19D2">
              <w:t>.</w:t>
            </w:r>
            <w:r w:rsidR="00E52715" w:rsidRPr="006E19D2">
              <w:t xml:space="preserve"> Saif Bin Ghelaita </w:t>
            </w:r>
            <w:r w:rsidRPr="006E19D2">
              <w:t>(EAU) fue designado Presidente de la segunda Consulta virtual de los co</w:t>
            </w:r>
            <w:r>
              <w:t>nsejeros</w:t>
            </w:r>
            <w:r w:rsidR="00E52715" w:rsidRPr="006E19D2">
              <w:t>.</w:t>
            </w:r>
          </w:p>
        </w:tc>
        <w:tc>
          <w:tcPr>
            <w:tcW w:w="1927" w:type="dxa"/>
          </w:tcPr>
          <w:p w14:paraId="26490754" w14:textId="77777777" w:rsidR="00E52715" w:rsidRPr="00C323CB" w:rsidRDefault="00E52715" w:rsidP="00970925">
            <w:pPr>
              <w:pStyle w:val="Tabletext"/>
              <w:jc w:val="center"/>
            </w:pPr>
            <w:r w:rsidRPr="00C323CB">
              <w:t>--</w:t>
            </w:r>
          </w:p>
        </w:tc>
      </w:tr>
      <w:tr w:rsidR="00E52715" w:rsidRPr="00E52715" w14:paraId="532FBF9F" w14:textId="77777777" w:rsidTr="0083579A">
        <w:trPr>
          <w:jc w:val="center"/>
        </w:trPr>
        <w:tc>
          <w:tcPr>
            <w:tcW w:w="4134" w:type="dxa"/>
          </w:tcPr>
          <w:p w14:paraId="6A829A5C" w14:textId="49F0F6D9" w:rsidR="00E52715" w:rsidRPr="00C323CB" w:rsidRDefault="006E19D2" w:rsidP="00E52715">
            <w:pPr>
              <w:pStyle w:val="Tabletext"/>
            </w:pPr>
            <w:r>
              <w:t>Discurso inaugural</w:t>
            </w:r>
            <w:r w:rsidR="00E52715" w:rsidRPr="00C323CB">
              <w:t xml:space="preserve"> del Presidente</w:t>
            </w:r>
          </w:p>
        </w:tc>
        <w:tc>
          <w:tcPr>
            <w:tcW w:w="2181" w:type="dxa"/>
          </w:tcPr>
          <w:p w14:paraId="2F68B375" w14:textId="77777777" w:rsidR="00E52715" w:rsidRPr="00C323CB" w:rsidRDefault="00E52715" w:rsidP="00970925">
            <w:pPr>
              <w:pStyle w:val="Tabletext"/>
              <w:jc w:val="center"/>
            </w:pPr>
            <w:r w:rsidRPr="00C323CB">
              <w:t>--</w:t>
            </w:r>
          </w:p>
        </w:tc>
        <w:tc>
          <w:tcPr>
            <w:tcW w:w="5746" w:type="dxa"/>
          </w:tcPr>
          <w:p w14:paraId="5EB968E4" w14:textId="045BE4BC" w:rsidR="00E52715" w:rsidRPr="006E19D2" w:rsidRDefault="006E19D2" w:rsidP="00E52715">
            <w:pPr>
              <w:pStyle w:val="Tabletext"/>
              <w:rPr>
                <w:lang w:val="es-ES"/>
              </w:rPr>
            </w:pPr>
            <w:r w:rsidRPr="006E19D2">
              <w:rPr>
                <w:lang w:val="es-ES"/>
              </w:rPr>
              <w:t>El Presidente pronunció su d</w:t>
            </w:r>
            <w:r>
              <w:rPr>
                <w:lang w:val="es-ES"/>
              </w:rPr>
              <w:t>iscurso inaugural.</w:t>
            </w:r>
          </w:p>
        </w:tc>
        <w:tc>
          <w:tcPr>
            <w:tcW w:w="1927" w:type="dxa"/>
          </w:tcPr>
          <w:p w14:paraId="09F9E76C" w14:textId="77777777" w:rsidR="00E52715" w:rsidRPr="00C323CB" w:rsidRDefault="00E52715" w:rsidP="00970925">
            <w:pPr>
              <w:pStyle w:val="Tabletext"/>
              <w:jc w:val="center"/>
            </w:pPr>
            <w:r w:rsidRPr="00C323CB">
              <w:t>--</w:t>
            </w:r>
          </w:p>
        </w:tc>
      </w:tr>
      <w:tr w:rsidR="00186BE5" w:rsidRPr="00E52715" w14:paraId="69B6B929" w14:textId="77777777" w:rsidTr="0083579A">
        <w:trPr>
          <w:jc w:val="center"/>
        </w:trPr>
        <w:tc>
          <w:tcPr>
            <w:tcW w:w="4134" w:type="dxa"/>
            <w:tcBorders>
              <w:bottom w:val="nil"/>
            </w:tcBorders>
          </w:tcPr>
          <w:p w14:paraId="7E50AB53" w14:textId="55FB0766" w:rsidR="00186BE5" w:rsidRPr="00105DB2" w:rsidRDefault="00186BE5" w:rsidP="00105DB2">
            <w:pPr>
              <w:pStyle w:val="Tabletext"/>
            </w:pPr>
            <w:r w:rsidRPr="00C323CB">
              <w:t xml:space="preserve">Aprobación del proyecto de orden del día de la segunda </w:t>
            </w:r>
            <w:r>
              <w:t>C</w:t>
            </w:r>
            <w:r w:rsidRPr="00C323CB">
              <w:t>onsulta virtual</w:t>
            </w:r>
          </w:p>
        </w:tc>
        <w:tc>
          <w:tcPr>
            <w:tcW w:w="2181" w:type="dxa"/>
            <w:tcBorders>
              <w:bottom w:val="nil"/>
            </w:tcBorders>
          </w:tcPr>
          <w:p w14:paraId="09C150EB" w14:textId="51FB6208" w:rsidR="00186BE5" w:rsidRPr="00186BE5" w:rsidRDefault="00186BE5" w:rsidP="00970925">
            <w:pPr>
              <w:pStyle w:val="Tabletext"/>
              <w:jc w:val="center"/>
            </w:pPr>
            <w:hyperlink r:id="rId64" w:history="1">
              <w:r w:rsidRPr="00E52715">
                <w:rPr>
                  <w:rStyle w:val="Hyperlink"/>
                  <w:lang w:val="en-US"/>
                </w:rPr>
                <w:t>VC-2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1</w:t>
              </w:r>
            </w:hyperlink>
          </w:p>
        </w:tc>
        <w:tc>
          <w:tcPr>
            <w:tcW w:w="5746" w:type="dxa"/>
            <w:vMerge w:val="restart"/>
          </w:tcPr>
          <w:p w14:paraId="5849EC29" w14:textId="29F09DAB" w:rsidR="00186BE5" w:rsidRPr="00C323CB" w:rsidRDefault="00186BE5" w:rsidP="006809B6">
            <w:pPr>
              <w:pStyle w:val="Tabletext"/>
              <w:ind w:left="552" w:hanging="552"/>
            </w:pPr>
            <w:r w:rsidRPr="006E19D2">
              <w:rPr>
                <w:lang w:val="es-ES"/>
              </w:rPr>
              <w:t>–</w:t>
            </w:r>
            <w:r w:rsidRPr="006E19D2">
              <w:rPr>
                <w:lang w:val="es-ES"/>
              </w:rPr>
              <w:tab/>
              <w:t>Los consejeros acordaron mantener en el orden del día los Informes del Grupo de Trabajo del Consejo y todas las contribucion</w:t>
            </w:r>
            <w:r>
              <w:rPr>
                <w:lang w:val="es-ES"/>
              </w:rPr>
              <w:t>es conexas</w:t>
            </w:r>
            <w:r w:rsidRPr="006E19D2">
              <w:rPr>
                <w:lang w:val="es-ES"/>
              </w:rPr>
              <w:t xml:space="preserve">. </w:t>
            </w:r>
            <w:r w:rsidRPr="00C323CB">
              <w:t>Sin embargo, no se presentar</w:t>
            </w:r>
            <w:r>
              <w:t>o</w:t>
            </w:r>
            <w:r w:rsidRPr="00C323CB">
              <w:t>n individualmente ni se debati</w:t>
            </w:r>
            <w:r>
              <w:t>eron</w:t>
            </w:r>
            <w:r w:rsidRPr="00C323CB">
              <w:t>, sino que se tom</w:t>
            </w:r>
            <w:r>
              <w:t>ó</w:t>
            </w:r>
            <w:r w:rsidRPr="00C323CB">
              <w:t xml:space="preserve"> nota de ellos y se refrendar</w:t>
            </w:r>
            <w:r>
              <w:t>on las recomendaciones en su conjunto</w:t>
            </w:r>
            <w:r w:rsidRPr="00C323CB">
              <w:t>. El informe del GTC</w:t>
            </w:r>
            <w:r>
              <w:noBreakHyphen/>
            </w:r>
            <w:r w:rsidRPr="00C323CB">
              <w:t>RHF se examin</w:t>
            </w:r>
            <w:r>
              <w:t>ó</w:t>
            </w:r>
            <w:r w:rsidRPr="00C323CB">
              <w:t xml:space="preserve"> por separado</w:t>
            </w:r>
            <w:r>
              <w:t>.</w:t>
            </w:r>
          </w:p>
          <w:p w14:paraId="26F5C1DB" w14:textId="7A862581" w:rsidR="00186BE5" w:rsidRPr="00C323CB" w:rsidRDefault="00186BE5" w:rsidP="006809B6">
            <w:pPr>
              <w:pStyle w:val="Tabletext"/>
              <w:ind w:left="552" w:hanging="552"/>
            </w:pPr>
            <w:r>
              <w:t>–</w:t>
            </w:r>
            <w:r>
              <w:tab/>
              <w:t>Los consejeros acordaron</w:t>
            </w:r>
            <w:r w:rsidRPr="00C323CB">
              <w:t xml:space="preserve"> que los documentos de la </w:t>
            </w:r>
            <w:r>
              <w:t>S</w:t>
            </w:r>
            <w:r w:rsidRPr="00C323CB">
              <w:t xml:space="preserve">ecretaría publicados </w:t>
            </w:r>
            <w:r>
              <w:t>fuera</w:t>
            </w:r>
            <w:r w:rsidRPr="00C323CB">
              <w:t xml:space="preserve"> de plazo (después de 30</w:t>
            </w:r>
            <w:r w:rsidR="003A4337">
              <w:t> </w:t>
            </w:r>
            <w:r w:rsidRPr="00C323CB">
              <w:t xml:space="preserve">días antes de la CVC) se mantuvieran en el </w:t>
            </w:r>
            <w:r>
              <w:t>orden del día</w:t>
            </w:r>
            <w:r w:rsidRPr="00C323CB">
              <w:t xml:space="preserve"> para su presentación y debate, y que las consultas oficiales relacionadas con un documento tardío de la </w:t>
            </w:r>
            <w:r>
              <w:t>S</w:t>
            </w:r>
            <w:r w:rsidRPr="00C323CB">
              <w:t>ecretaría sólo comenzaran en una CVC o en un Consejo un mes después de la publicación del documento.</w:t>
            </w:r>
          </w:p>
          <w:p w14:paraId="3D1AA3AF" w14:textId="337183A2" w:rsidR="00186BE5" w:rsidRPr="00C323CB" w:rsidRDefault="00186BE5" w:rsidP="006809B6">
            <w:pPr>
              <w:pStyle w:val="Tabletext"/>
              <w:ind w:left="552" w:hanging="552"/>
            </w:pPr>
            <w:r>
              <w:t>–</w:t>
            </w:r>
            <w:r>
              <w:tab/>
              <w:t>Se acordó que</w:t>
            </w:r>
            <w:r w:rsidRPr="00C323CB">
              <w:t xml:space="preserve"> las preocupaciones planteadas en el Documento VC-2/5(Co</w:t>
            </w:r>
            <w:r w:rsidR="0083579A">
              <w:t>r</w:t>
            </w:r>
            <w:r w:rsidRPr="00C323CB">
              <w:t>r.1) se h</w:t>
            </w:r>
            <w:r>
              <w:t>icieran</w:t>
            </w:r>
            <w:r w:rsidRPr="00C323CB">
              <w:t xml:space="preserve"> constar en el resumen de los debates y</w:t>
            </w:r>
            <w:r>
              <w:t xml:space="preserve"> que</w:t>
            </w:r>
            <w:r w:rsidRPr="00C323CB">
              <w:t xml:space="preserve">, para una futura CVC, de </w:t>
            </w:r>
            <w:r w:rsidRPr="00C323CB">
              <w:lastRenderedPageBreak/>
              <w:t xml:space="preserve">existir, se acordaran fechas claras </w:t>
            </w:r>
            <w:r>
              <w:t>para su cumplimiento estricto</w:t>
            </w:r>
            <w:r w:rsidRPr="00C323CB">
              <w:t>.</w:t>
            </w:r>
          </w:p>
          <w:p w14:paraId="42064219" w14:textId="010C7039" w:rsidR="00186BE5" w:rsidRPr="006E19D2" w:rsidRDefault="00186BE5" w:rsidP="006809B6">
            <w:pPr>
              <w:pStyle w:val="Tabletext"/>
              <w:ind w:left="552" w:hanging="552"/>
            </w:pPr>
            <w:r w:rsidRPr="006E19D2">
              <w:t>–</w:t>
            </w:r>
            <w:r w:rsidRPr="006E19D2">
              <w:tab/>
              <w:t>Los consejeros acordaron trasladar el documento sobre controles internos (C20/63(Rev.1))</w:t>
            </w:r>
            <w:r>
              <w:t xml:space="preserve"> del grupo 2 al grupo</w:t>
            </w:r>
            <w:r w:rsidR="003A4337">
              <w:t> </w:t>
            </w:r>
            <w:r>
              <w:t>1 y examinarlo después del Informe del CAIG</w:t>
            </w:r>
            <w:r w:rsidRPr="006E19D2">
              <w:t>.</w:t>
            </w:r>
          </w:p>
          <w:p w14:paraId="0522848A" w14:textId="23E8C4C9" w:rsidR="00186BE5" w:rsidRPr="006E19D2" w:rsidRDefault="00186BE5" w:rsidP="006809B6">
            <w:pPr>
              <w:pStyle w:val="Tabletext"/>
              <w:ind w:left="552" w:hanging="552"/>
            </w:pPr>
            <w:r w:rsidRPr="006E19D2">
              <w:t>–</w:t>
            </w:r>
            <w:r w:rsidRPr="006E19D2">
              <w:tab/>
              <w:t>Una vez efectuado ese cambio, los consejeros aprobaron el orden del</w:t>
            </w:r>
            <w:r>
              <w:t xml:space="preserve"> día de la Consulta virtual reproducido en el Documento</w:t>
            </w:r>
            <w:r w:rsidRPr="006E19D2">
              <w:t xml:space="preserve"> VC-2/1.</w:t>
            </w:r>
          </w:p>
        </w:tc>
        <w:tc>
          <w:tcPr>
            <w:tcW w:w="1927" w:type="dxa"/>
            <w:vMerge w:val="restart"/>
          </w:tcPr>
          <w:p w14:paraId="1843523D" w14:textId="77777777" w:rsidR="00186BE5" w:rsidRPr="00E52715" w:rsidRDefault="00186BE5" w:rsidP="00970925">
            <w:pPr>
              <w:pStyle w:val="Tabletext"/>
              <w:jc w:val="center"/>
              <w:rPr>
                <w:rFonts w:eastAsia="Times New Roman" w:cs="Times New Roman"/>
                <w:bCs/>
                <w:szCs w:val="20"/>
              </w:rPr>
            </w:pPr>
            <w:r w:rsidRPr="00E52715">
              <w:rPr>
                <w:rFonts w:eastAsia="Times New Roman" w:cs="Times New Roman"/>
                <w:bCs/>
                <w:szCs w:val="20"/>
              </w:rPr>
              <w:lastRenderedPageBreak/>
              <w:t>--</w:t>
            </w:r>
          </w:p>
        </w:tc>
      </w:tr>
      <w:tr w:rsidR="00186BE5" w:rsidRPr="00E52715" w14:paraId="0DD3D0F0" w14:textId="77777777" w:rsidTr="0083579A">
        <w:trPr>
          <w:jc w:val="center"/>
        </w:trPr>
        <w:tc>
          <w:tcPr>
            <w:tcW w:w="4134" w:type="dxa"/>
            <w:tcBorders>
              <w:top w:val="nil"/>
            </w:tcBorders>
          </w:tcPr>
          <w:p w14:paraId="2F2194D2" w14:textId="63B0C27C" w:rsidR="00186BE5" w:rsidRPr="00C323CB" w:rsidRDefault="00105DB2" w:rsidP="00173D6F">
            <w:pPr>
              <w:pStyle w:val="Tabletext"/>
              <w:tabs>
                <w:tab w:val="left" w:pos="311"/>
              </w:tabs>
              <w:ind w:left="311" w:hanging="311"/>
            </w:pPr>
            <w:r w:rsidRPr="00105DB2">
              <w:rPr>
                <w:lang w:val="es-ES"/>
              </w:rPr>
              <w:t>–</w:t>
            </w:r>
            <w:r w:rsidRPr="00105DB2">
              <w:rPr>
                <w:lang w:val="es-ES"/>
              </w:rPr>
              <w:tab/>
            </w:r>
            <w:r w:rsidRPr="00105DB2">
              <w:rPr>
                <w:i/>
                <w:iCs/>
                <w:lang w:val="es-ES"/>
              </w:rPr>
              <w:t>Contribución de Azerbaiyán, Belarús, Uzbekistán, Federación de Rusia</w:t>
            </w:r>
          </w:p>
        </w:tc>
        <w:tc>
          <w:tcPr>
            <w:tcW w:w="2181" w:type="dxa"/>
            <w:tcBorders>
              <w:top w:val="nil"/>
            </w:tcBorders>
          </w:tcPr>
          <w:p w14:paraId="3656F815" w14:textId="24D3B957" w:rsidR="00186BE5" w:rsidRDefault="00186BE5" w:rsidP="00970925">
            <w:pPr>
              <w:pStyle w:val="Tabletext"/>
              <w:jc w:val="center"/>
            </w:pPr>
            <w:hyperlink r:id="rId65" w:history="1">
              <w:r w:rsidRPr="00E52715">
                <w:rPr>
                  <w:rStyle w:val="Hyperlink"/>
                  <w:lang w:val="en-US"/>
                </w:rPr>
                <w:t>VC-2/5(C</w:t>
              </w:r>
              <w:r w:rsidRPr="00E52715">
                <w:rPr>
                  <w:rStyle w:val="Hyperlink"/>
                  <w:lang w:val="en-US"/>
                </w:rPr>
                <w:t>o</w:t>
              </w:r>
              <w:r w:rsidR="0083579A">
                <w:rPr>
                  <w:rStyle w:val="Hyperlink"/>
                  <w:lang w:val="en-US"/>
                </w:rPr>
                <w:t>r</w:t>
              </w:r>
              <w:r w:rsidRPr="00E52715">
                <w:rPr>
                  <w:rStyle w:val="Hyperlink"/>
                  <w:lang w:val="en-US"/>
                </w:rPr>
                <w:t>r.1)</w:t>
              </w:r>
            </w:hyperlink>
          </w:p>
        </w:tc>
        <w:tc>
          <w:tcPr>
            <w:tcW w:w="5746" w:type="dxa"/>
            <w:vMerge/>
          </w:tcPr>
          <w:p w14:paraId="41781585" w14:textId="77777777" w:rsidR="00186BE5" w:rsidRPr="006E19D2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36DE6BA1" w14:textId="77777777" w:rsidR="00186BE5" w:rsidRPr="00E52715" w:rsidRDefault="00186BE5" w:rsidP="00970925">
            <w:pPr>
              <w:pStyle w:val="Tabletext"/>
              <w:jc w:val="center"/>
              <w:rPr>
                <w:bCs/>
              </w:rPr>
            </w:pPr>
          </w:p>
        </w:tc>
      </w:tr>
      <w:tr w:rsidR="00E52715" w:rsidRPr="00E52715" w14:paraId="3722D189" w14:textId="77777777" w:rsidTr="0083579A">
        <w:trPr>
          <w:jc w:val="center"/>
        </w:trPr>
        <w:tc>
          <w:tcPr>
            <w:tcW w:w="4134" w:type="dxa"/>
          </w:tcPr>
          <w:p w14:paraId="21EA5348" w14:textId="472E0AF9" w:rsidR="00E52715" w:rsidRPr="006E19D2" w:rsidRDefault="006E19D2" w:rsidP="00E52715">
            <w:pPr>
              <w:pStyle w:val="Tabletext"/>
              <w:rPr>
                <w:lang w:val="es-ES"/>
              </w:rPr>
            </w:pPr>
            <w:r w:rsidRPr="006E19D2">
              <w:rPr>
                <w:lang w:val="es-ES"/>
              </w:rPr>
              <w:t xml:space="preserve">Observaciones sobre el proyecto de plan de gestión del tiempo de </w:t>
            </w:r>
            <w:r>
              <w:rPr>
                <w:lang w:val="es-ES"/>
              </w:rPr>
              <w:t>la segunda Consulta virtual</w:t>
            </w:r>
          </w:p>
        </w:tc>
        <w:tc>
          <w:tcPr>
            <w:tcW w:w="2181" w:type="dxa"/>
          </w:tcPr>
          <w:p w14:paraId="3589AE86" w14:textId="2F1B3ABD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66" w:history="1">
              <w:r w:rsidR="00E52715" w:rsidRPr="00E52715">
                <w:rPr>
                  <w:rStyle w:val="Hyperlink"/>
                  <w:lang w:val="en-US"/>
                </w:rPr>
                <w:t>VC-2/ADM</w:t>
              </w:r>
              <w:r w:rsidR="00E52715" w:rsidRPr="00E52715">
                <w:rPr>
                  <w:rStyle w:val="Hyperlink"/>
                  <w:lang w:val="en-US"/>
                </w:rPr>
                <w:t>/</w:t>
              </w:r>
              <w:r w:rsidR="00E52715" w:rsidRPr="00E52715">
                <w:rPr>
                  <w:rStyle w:val="Hyperlink"/>
                  <w:lang w:val="en-US"/>
                </w:rPr>
                <w:t>1(Rev.1</w:t>
              </w:r>
            </w:hyperlink>
            <w:r w:rsidR="00E52715" w:rsidRPr="00E52715">
              <w:rPr>
                <w:rFonts w:eastAsia="Times New Roman" w:cs="Times New Roman"/>
                <w:szCs w:val="20"/>
                <w:lang w:val="en-US"/>
              </w:rPr>
              <w:t>)</w:t>
            </w:r>
          </w:p>
        </w:tc>
        <w:tc>
          <w:tcPr>
            <w:tcW w:w="5746" w:type="dxa"/>
          </w:tcPr>
          <w:p w14:paraId="7DF91B73" w14:textId="34C29201" w:rsidR="00E52715" w:rsidRPr="00C323CB" w:rsidRDefault="00C323CB" w:rsidP="006809B6">
            <w:pPr>
              <w:pStyle w:val="Tabletext"/>
              <w:ind w:left="552" w:hanging="552"/>
            </w:pPr>
            <w:r>
              <w:t>–</w:t>
            </w:r>
            <w:r>
              <w:tab/>
            </w:r>
            <w:r w:rsidR="006E19D2">
              <w:t>Los consejeros acordaron</w:t>
            </w:r>
            <w:r w:rsidR="00E52715" w:rsidRPr="00C323CB">
              <w:t xml:space="preserve"> </w:t>
            </w:r>
            <w:r w:rsidRPr="00C323CB">
              <w:t xml:space="preserve">que si, una vez terminado el </w:t>
            </w:r>
            <w:r w:rsidR="006E19D2">
              <w:t>g</w:t>
            </w:r>
            <w:r w:rsidRPr="00C323CB">
              <w:t>rupo</w:t>
            </w:r>
            <w:r w:rsidR="003A4337">
              <w:t> </w:t>
            </w:r>
            <w:r w:rsidRPr="00C323CB">
              <w:t xml:space="preserve">1, el tiempo disponible para los temas del </w:t>
            </w:r>
            <w:r w:rsidR="006E19D2">
              <w:t>g</w:t>
            </w:r>
            <w:r w:rsidRPr="00C323CB">
              <w:t>rupo</w:t>
            </w:r>
            <w:r w:rsidR="006809B6">
              <w:t> </w:t>
            </w:r>
            <w:r w:rsidRPr="00C323CB">
              <w:t xml:space="preserve">2 era limitado, los temas del </w:t>
            </w:r>
            <w:r w:rsidR="006E19D2">
              <w:t>g</w:t>
            </w:r>
            <w:r w:rsidRPr="00C323CB">
              <w:t>rupo 2 se reordenaran como se indica en el Documento</w:t>
            </w:r>
            <w:r w:rsidR="00922B61">
              <w:t> </w:t>
            </w:r>
            <w:r w:rsidRPr="00C323CB">
              <w:t xml:space="preserve">DT/2. La </w:t>
            </w:r>
            <w:r w:rsidR="006E19D2">
              <w:t>S</w:t>
            </w:r>
            <w:r w:rsidRPr="00C323CB">
              <w:t>ecretaría volvería a evaluar los avances al final de la reunión del martes y el Presidente informaría a los consejeros.</w:t>
            </w:r>
          </w:p>
          <w:p w14:paraId="589F03A3" w14:textId="58129E32" w:rsidR="00E52715" w:rsidRPr="00C323CB" w:rsidRDefault="00C323CB" w:rsidP="006809B6">
            <w:pPr>
              <w:pStyle w:val="Tabletext"/>
              <w:ind w:left="552" w:hanging="552"/>
            </w:pPr>
            <w:r>
              <w:t>–</w:t>
            </w:r>
            <w:r>
              <w:tab/>
            </w:r>
            <w:r w:rsidR="006E19D2">
              <w:t>Los consejeros aprobaron</w:t>
            </w:r>
            <w:r w:rsidR="00E52715" w:rsidRPr="00C323CB">
              <w:t xml:space="preserve"> </w:t>
            </w:r>
            <w:r w:rsidRPr="00C323CB">
              <w:t>el proyecto de plan de gestión del tiempo</w:t>
            </w:r>
            <w:r w:rsidR="00E52715" w:rsidRPr="00C323CB">
              <w:t xml:space="preserve"> </w:t>
            </w:r>
            <w:r w:rsidR="006E19D2">
              <w:t>del Documento</w:t>
            </w:r>
            <w:r w:rsidR="00922B61">
              <w:t> </w:t>
            </w:r>
            <w:r w:rsidR="00E52715" w:rsidRPr="00C323CB">
              <w:t>VC</w:t>
            </w:r>
            <w:r w:rsidR="00922B61">
              <w:noBreakHyphen/>
            </w:r>
            <w:r w:rsidR="00E52715" w:rsidRPr="00C323CB">
              <w:t>2/ADM/1(Rev.1).</w:t>
            </w:r>
          </w:p>
        </w:tc>
        <w:tc>
          <w:tcPr>
            <w:tcW w:w="1927" w:type="dxa"/>
          </w:tcPr>
          <w:p w14:paraId="675B5D9A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6E19D2" w:rsidRPr="00E52715" w14:paraId="22F416B0" w14:textId="77777777" w:rsidTr="0083579A">
        <w:trPr>
          <w:jc w:val="center"/>
        </w:trPr>
        <w:tc>
          <w:tcPr>
            <w:tcW w:w="4134" w:type="dxa"/>
          </w:tcPr>
          <w:p w14:paraId="4DCD4086" w14:textId="590DF233" w:rsidR="006E19D2" w:rsidRPr="00131420" w:rsidRDefault="006E19D2" w:rsidP="006E19D2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Cuestiones de organización</w:t>
            </w:r>
          </w:p>
        </w:tc>
        <w:tc>
          <w:tcPr>
            <w:tcW w:w="2181" w:type="dxa"/>
          </w:tcPr>
          <w:p w14:paraId="563120A8" w14:textId="07117914" w:rsidR="006E19D2" w:rsidRPr="00C323CB" w:rsidRDefault="006E19D2" w:rsidP="00970925">
            <w:pPr>
              <w:pStyle w:val="Tabletext"/>
              <w:jc w:val="center"/>
            </w:pPr>
            <w:r w:rsidRPr="00EA182B">
              <w:rPr>
                <w:lang w:val="en-US"/>
              </w:rPr>
              <w:t>--</w:t>
            </w:r>
          </w:p>
        </w:tc>
        <w:tc>
          <w:tcPr>
            <w:tcW w:w="5746" w:type="dxa"/>
          </w:tcPr>
          <w:p w14:paraId="35BEADEA" w14:textId="0005224D" w:rsidR="006E19D2" w:rsidRPr="006E19D2" w:rsidRDefault="006E19D2" w:rsidP="006E19D2">
            <w:pPr>
              <w:pStyle w:val="Tabletext"/>
              <w:rPr>
                <w:lang w:val="es-ES"/>
              </w:rPr>
            </w:pPr>
            <w:r w:rsidRPr="004258B8">
              <w:rPr>
                <w:lang w:val="es-ES"/>
              </w:rPr>
              <w:t xml:space="preserve">El Secretario </w:t>
            </w:r>
            <w:r>
              <w:rPr>
                <w:lang w:val="es-ES"/>
              </w:rPr>
              <w:t>dio a los participantes información sobre la organización de la Consulta.</w:t>
            </w:r>
          </w:p>
        </w:tc>
        <w:tc>
          <w:tcPr>
            <w:tcW w:w="1927" w:type="dxa"/>
          </w:tcPr>
          <w:p w14:paraId="6F22BE86" w14:textId="77777777" w:rsidR="006E19D2" w:rsidRPr="00E52715" w:rsidRDefault="006E19D2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E3224E" w14:paraId="54F504D7" w14:textId="77777777" w:rsidTr="0083579A">
        <w:trPr>
          <w:jc w:val="center"/>
        </w:trPr>
        <w:tc>
          <w:tcPr>
            <w:tcW w:w="4134" w:type="dxa"/>
          </w:tcPr>
          <w:p w14:paraId="09172918" w14:textId="139C2E76" w:rsidR="00E52715" w:rsidRPr="00131420" w:rsidRDefault="00C323CB" w:rsidP="00E52715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Lista de candidaturas para presidentes y vicepresidentes de los GTC, los GE y los</w:t>
            </w:r>
            <w:r w:rsidR="00466160">
              <w:rPr>
                <w:lang w:val="es-ES"/>
              </w:rPr>
              <w:t> </w:t>
            </w:r>
            <w:r w:rsidRPr="00131420">
              <w:rPr>
                <w:lang w:val="es-ES"/>
              </w:rPr>
              <w:t>GEI</w:t>
            </w:r>
          </w:p>
        </w:tc>
        <w:tc>
          <w:tcPr>
            <w:tcW w:w="2181" w:type="dxa"/>
          </w:tcPr>
          <w:p w14:paraId="58903850" w14:textId="697A1020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67" w:history="1">
              <w:r w:rsidR="00466160">
                <w:rPr>
                  <w:rStyle w:val="Hyperlink"/>
                  <w:lang w:val="en-US"/>
                </w:rPr>
                <w:t>C20/21(Rev.3</w:t>
              </w:r>
              <w:r w:rsidR="006809B6">
                <w:rPr>
                  <w:rStyle w:val="Hyperlink"/>
                  <w:lang w:val="en-US"/>
                </w:rPr>
                <w:t>)</w:t>
              </w:r>
              <w:r w:rsidR="00466160">
                <w:rPr>
                  <w:rStyle w:val="Hyperlink"/>
                  <w:lang w:val="en-US"/>
                </w:rPr>
                <w:t>(Co</w:t>
              </w:r>
              <w:r w:rsidR="0083579A">
                <w:rPr>
                  <w:rStyle w:val="Hyperlink"/>
                  <w:lang w:val="en-US"/>
                </w:rPr>
                <w:t>r</w:t>
              </w:r>
              <w:r w:rsidR="00466160">
                <w:rPr>
                  <w:rStyle w:val="Hyperlink"/>
                  <w:lang w:val="en-US"/>
                </w:rPr>
                <w:t>r.1)</w:t>
              </w:r>
            </w:hyperlink>
          </w:p>
        </w:tc>
        <w:tc>
          <w:tcPr>
            <w:tcW w:w="5746" w:type="dxa"/>
          </w:tcPr>
          <w:p w14:paraId="2FCD308D" w14:textId="09E1A1E6" w:rsidR="00E52715" w:rsidRPr="00DC744A" w:rsidRDefault="00DC744A" w:rsidP="006809B6">
            <w:pPr>
              <w:pStyle w:val="Tabletext"/>
              <w:ind w:left="552" w:hanging="552"/>
            </w:pPr>
            <w:r>
              <w:t>–</w:t>
            </w:r>
            <w:r>
              <w:tab/>
            </w:r>
            <w:r w:rsidRPr="00DC744A">
              <w:t xml:space="preserve">Habida cuenta de que los vicepresidentes deberían </w:t>
            </w:r>
            <w:r w:rsidR="00E3224E">
              <w:t>asumir sus funciones</w:t>
            </w:r>
            <w:r w:rsidRPr="00DC744A">
              <w:t xml:space="preserve"> antes de la primera serie de reuniones de los GTC y los GE de 2021, se </w:t>
            </w:r>
            <w:r w:rsidR="00E3224E">
              <w:t xml:space="preserve">decidió </w:t>
            </w:r>
            <w:r w:rsidRPr="00DC744A">
              <w:t xml:space="preserve">invitar a los Estados Miembros del Consejo a nombrar por correspondencia a los dos nuevos vicepresidentes de los GTC que figuran en el anexo </w:t>
            </w:r>
            <w:r w:rsidR="00E3224E">
              <w:t>al I</w:t>
            </w:r>
            <w:r w:rsidRPr="00DC744A">
              <w:t>nforme del Documento C20/21(Rev.3)(Co</w:t>
            </w:r>
            <w:r w:rsidR="0083579A">
              <w:t>r</w:t>
            </w:r>
            <w:r w:rsidRPr="00DC744A">
              <w:t>r.1).</w:t>
            </w:r>
          </w:p>
        </w:tc>
        <w:tc>
          <w:tcPr>
            <w:tcW w:w="1927" w:type="dxa"/>
          </w:tcPr>
          <w:p w14:paraId="6DCC62BE" w14:textId="6EB65A6E" w:rsidR="00E52715" w:rsidRPr="00E3224E" w:rsidRDefault="00E3224E" w:rsidP="00970925">
            <w:pPr>
              <w:pStyle w:val="Tabletext"/>
              <w:rPr>
                <w:lang w:val="es-ES"/>
              </w:rPr>
            </w:pPr>
            <w:r w:rsidRPr="00E3224E">
              <w:rPr>
                <w:lang w:val="es-ES"/>
              </w:rPr>
              <w:t>Se aprobó la lista d</w:t>
            </w:r>
            <w:r>
              <w:rPr>
                <w:lang w:val="es-ES"/>
              </w:rPr>
              <w:t>e candidaturas.</w:t>
            </w:r>
          </w:p>
        </w:tc>
      </w:tr>
      <w:tr w:rsidR="00186BE5" w:rsidRPr="00E52715" w14:paraId="094CB616" w14:textId="77777777" w:rsidTr="0083579A">
        <w:trPr>
          <w:jc w:val="center"/>
        </w:trPr>
        <w:tc>
          <w:tcPr>
            <w:tcW w:w="4134" w:type="dxa"/>
            <w:tcBorders>
              <w:bottom w:val="nil"/>
            </w:tcBorders>
          </w:tcPr>
          <w:p w14:paraId="3EEBEC47" w14:textId="0484AFE6" w:rsidR="00186BE5" w:rsidRPr="00186BE5" w:rsidRDefault="00186BE5" w:rsidP="00186BE5">
            <w:pPr>
              <w:pStyle w:val="Tabletext"/>
              <w:rPr>
                <w:lang w:val="es-ES"/>
              </w:rPr>
            </w:pPr>
            <w:r w:rsidRPr="00DC744A">
              <w:rPr>
                <w:lang w:val="es-ES"/>
              </w:rPr>
              <w:lastRenderedPageBreak/>
              <w:t>Día Mundial de las Telecomunicaciones y la Sociedad de la Información</w:t>
            </w:r>
            <w:r w:rsidRPr="00D57908">
              <w:rPr>
                <w:lang w:val="es-ES"/>
              </w:rPr>
              <w:t xml:space="preserve"> (Res. 68)</w:t>
            </w:r>
          </w:p>
        </w:tc>
        <w:tc>
          <w:tcPr>
            <w:tcW w:w="2181" w:type="dxa"/>
            <w:tcBorders>
              <w:bottom w:val="nil"/>
            </w:tcBorders>
          </w:tcPr>
          <w:p w14:paraId="16102068" w14:textId="0ED9003C" w:rsidR="00186BE5" w:rsidRPr="00E52715" w:rsidRDefault="00186BE5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68" w:history="1">
              <w:r w:rsidRPr="00E52715">
                <w:rPr>
                  <w:rStyle w:val="Hyperlink"/>
                  <w:lang w:val="en-US"/>
                </w:rPr>
                <w:t>C2</w:t>
              </w:r>
              <w:r w:rsidRPr="00E52715">
                <w:rPr>
                  <w:rStyle w:val="Hyperlink"/>
                  <w:lang w:val="en-US"/>
                </w:rPr>
                <w:t>0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17</w:t>
              </w:r>
            </w:hyperlink>
          </w:p>
        </w:tc>
        <w:tc>
          <w:tcPr>
            <w:tcW w:w="5746" w:type="dxa"/>
            <w:vMerge w:val="restart"/>
          </w:tcPr>
          <w:p w14:paraId="03B80309" w14:textId="4BDF6B53" w:rsidR="00186BE5" w:rsidRPr="00DC744A" w:rsidRDefault="00186BE5" w:rsidP="006809B6">
            <w:pPr>
              <w:pStyle w:val="Tabletext"/>
              <w:ind w:left="552" w:hanging="552"/>
            </w:pPr>
            <w:r w:rsidRPr="00DC744A">
              <w:t>–</w:t>
            </w:r>
            <w:r w:rsidRPr="00DC744A">
              <w:tab/>
              <w:t xml:space="preserve">Teniendo en cuenta que la </w:t>
            </w:r>
            <w:r>
              <w:t>S</w:t>
            </w:r>
            <w:r w:rsidRPr="00DC744A">
              <w:t xml:space="preserve">ecretaría debía comenzar los preparativos para el DMTSI a principios de 2021, se </w:t>
            </w:r>
            <w:r>
              <w:t xml:space="preserve">decidió </w:t>
            </w:r>
            <w:r w:rsidRPr="00DC744A">
              <w:t>realizar una consulta por correspondencia de los Estados Miembros del Consejo para aprobar el tema "Acelerar la transformación digital en tiempos difíciles" para el DMTSI-21.</w:t>
            </w:r>
          </w:p>
        </w:tc>
        <w:tc>
          <w:tcPr>
            <w:tcW w:w="1927" w:type="dxa"/>
            <w:vMerge w:val="restart"/>
          </w:tcPr>
          <w:p w14:paraId="45592E29" w14:textId="7094D77E" w:rsidR="00186BE5" w:rsidRPr="00131420" w:rsidRDefault="00186BE5" w:rsidP="00970925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Se aprobó el tema.</w:t>
            </w:r>
          </w:p>
        </w:tc>
      </w:tr>
      <w:tr w:rsidR="00186BE5" w:rsidRPr="00E52715" w14:paraId="76CED231" w14:textId="77777777" w:rsidTr="0083579A">
        <w:trPr>
          <w:jc w:val="center"/>
        </w:trPr>
        <w:tc>
          <w:tcPr>
            <w:tcW w:w="4134" w:type="dxa"/>
            <w:tcBorders>
              <w:top w:val="nil"/>
            </w:tcBorders>
          </w:tcPr>
          <w:p w14:paraId="6814F9D2" w14:textId="4B099497" w:rsidR="00186BE5" w:rsidRPr="00DC744A" w:rsidRDefault="00186BE5" w:rsidP="00173D6F">
            <w:pPr>
              <w:pStyle w:val="Tabletext"/>
              <w:tabs>
                <w:tab w:val="left" w:pos="311"/>
              </w:tabs>
              <w:ind w:left="311" w:hanging="311"/>
              <w:rPr>
                <w:lang w:val="es-ES"/>
              </w:rPr>
            </w:pPr>
            <w:r w:rsidRPr="00E3224E">
              <w:rPr>
                <w:i/>
                <w:iCs/>
                <w:lang w:val="es-ES"/>
              </w:rPr>
              <w:t>–</w:t>
            </w:r>
            <w:r w:rsidRPr="00E3224E">
              <w:rPr>
                <w:i/>
                <w:iCs/>
                <w:lang w:val="es-ES"/>
              </w:rPr>
              <w:tab/>
              <w:t>Contribución de la Federación de Rusia</w:t>
            </w:r>
          </w:p>
        </w:tc>
        <w:tc>
          <w:tcPr>
            <w:tcW w:w="2181" w:type="dxa"/>
            <w:tcBorders>
              <w:top w:val="nil"/>
            </w:tcBorders>
          </w:tcPr>
          <w:p w14:paraId="07C0CB2E" w14:textId="5BE4B172" w:rsidR="00186BE5" w:rsidRDefault="00186BE5" w:rsidP="00970925">
            <w:pPr>
              <w:pStyle w:val="Tabletext"/>
              <w:jc w:val="center"/>
            </w:pPr>
            <w:hyperlink r:id="rId69" w:history="1">
              <w:r w:rsidRPr="00E52715">
                <w:rPr>
                  <w:rStyle w:val="Hyperlink"/>
                  <w:lang w:val="en-US"/>
                </w:rPr>
                <w:t>C20/</w:t>
              </w:r>
              <w:r w:rsidRPr="00E52715">
                <w:rPr>
                  <w:rStyle w:val="Hyperlink"/>
                  <w:lang w:val="en-US"/>
                </w:rPr>
                <w:t>6</w:t>
              </w:r>
              <w:r w:rsidRPr="00E52715">
                <w:rPr>
                  <w:rStyle w:val="Hyperlink"/>
                  <w:lang w:val="en-US"/>
                </w:rPr>
                <w:t>8</w:t>
              </w:r>
            </w:hyperlink>
          </w:p>
        </w:tc>
        <w:tc>
          <w:tcPr>
            <w:tcW w:w="5746" w:type="dxa"/>
            <w:vMerge/>
          </w:tcPr>
          <w:p w14:paraId="0A3F47AE" w14:textId="77777777" w:rsidR="00186BE5" w:rsidRPr="00DC744A" w:rsidRDefault="00186BE5" w:rsidP="006809B6">
            <w:pPr>
              <w:pStyle w:val="Tabletext"/>
              <w:ind w:left="552" w:hanging="552"/>
            </w:pPr>
          </w:p>
        </w:tc>
        <w:tc>
          <w:tcPr>
            <w:tcW w:w="1927" w:type="dxa"/>
            <w:vMerge/>
          </w:tcPr>
          <w:p w14:paraId="38AD98E1" w14:textId="77777777" w:rsidR="00186BE5" w:rsidRPr="00131420" w:rsidRDefault="00186BE5" w:rsidP="00970925">
            <w:pPr>
              <w:pStyle w:val="Tabletext"/>
              <w:rPr>
                <w:lang w:val="es-ES"/>
              </w:rPr>
            </w:pPr>
          </w:p>
        </w:tc>
      </w:tr>
      <w:tr w:rsidR="00E52715" w:rsidRPr="00E3224E" w14:paraId="7D0B6C8C" w14:textId="77777777" w:rsidTr="0083579A">
        <w:trPr>
          <w:jc w:val="center"/>
        </w:trPr>
        <w:tc>
          <w:tcPr>
            <w:tcW w:w="4134" w:type="dxa"/>
          </w:tcPr>
          <w:p w14:paraId="5EF21FA4" w14:textId="2FC6C17D" w:rsidR="00E52715" w:rsidRPr="00D57908" w:rsidRDefault="00DC744A" w:rsidP="00DC744A">
            <w:pPr>
              <w:pStyle w:val="Tabletext"/>
              <w:rPr>
                <w:rFonts w:eastAsia="Times New Roman" w:cs="Times New Roman"/>
                <w:bCs/>
                <w:szCs w:val="20"/>
                <w:lang w:val="es-ES"/>
              </w:rPr>
            </w:pPr>
            <w:r w:rsidRPr="00DC744A">
              <w:rPr>
                <w:lang w:val="es-ES"/>
              </w:rPr>
              <w:t>Informe</w:t>
            </w:r>
            <w:r w:rsidRPr="00DC744A">
              <w:rPr>
                <w:rFonts w:eastAsia="Times New Roman" w:cs="Times New Roman"/>
                <w:szCs w:val="20"/>
                <w:lang w:val="es-ES"/>
              </w:rPr>
              <w:t xml:space="preserve"> del Presidente del Grupo de Trabajo del Consejo sobre Recursos Humanos y Financieros (</w:t>
            </w:r>
            <w:bookmarkStart w:id="11" w:name="_Hlk59028546"/>
            <w:r w:rsidRPr="00DC744A">
              <w:rPr>
                <w:rFonts w:eastAsia="Times New Roman" w:cs="Times New Roman"/>
                <w:szCs w:val="20"/>
                <w:lang w:val="es-ES"/>
              </w:rPr>
              <w:t>GTC-RHF</w:t>
            </w:r>
            <w:bookmarkEnd w:id="11"/>
            <w:r w:rsidRPr="00DC744A">
              <w:rPr>
                <w:rFonts w:eastAsia="Times New Roman" w:cs="Times New Roman"/>
                <w:szCs w:val="20"/>
                <w:lang w:val="es-ES"/>
              </w:rPr>
              <w:t>)</w:t>
            </w:r>
            <w:r w:rsidR="00E52715" w:rsidRPr="00D57908">
              <w:rPr>
                <w:rFonts w:eastAsia="Times New Roman" w:cs="Times New Roman"/>
                <w:szCs w:val="20"/>
                <w:lang w:val="es-ES"/>
              </w:rPr>
              <w:t xml:space="preserve"> (</w:t>
            </w:r>
            <w:r w:rsidR="00E3224E">
              <w:rPr>
                <w:rFonts w:eastAsia="Times New Roman" w:cs="Times New Roman"/>
                <w:szCs w:val="20"/>
                <w:lang w:val="es-ES"/>
              </w:rPr>
              <w:t>A</w:t>
            </w:r>
            <w:r w:rsidR="00105DB2">
              <w:rPr>
                <w:rFonts w:eastAsia="Times New Roman" w:cs="Times New Roman"/>
                <w:szCs w:val="20"/>
                <w:lang w:val="es-ES"/>
              </w:rPr>
              <w:t> </w:t>
            </w:r>
            <w:r w:rsidR="00E52715" w:rsidRPr="00D57908">
              <w:rPr>
                <w:rFonts w:eastAsia="Times New Roman" w:cs="Times New Roman"/>
                <w:szCs w:val="20"/>
                <w:lang w:val="es-ES"/>
              </w:rPr>
              <w:t xml:space="preserve">558, </w:t>
            </w:r>
            <w:r w:rsidR="00E3224E">
              <w:rPr>
                <w:rFonts w:eastAsia="Times New Roman" w:cs="Times New Roman"/>
                <w:szCs w:val="20"/>
                <w:lang w:val="es-ES"/>
              </w:rPr>
              <w:t>A</w:t>
            </w:r>
            <w:r w:rsidR="00105DB2">
              <w:rPr>
                <w:rFonts w:eastAsia="Times New Roman" w:cs="Times New Roman"/>
                <w:szCs w:val="20"/>
                <w:lang w:val="es-ES"/>
              </w:rPr>
              <w:t> </w:t>
            </w:r>
            <w:r w:rsidR="00E52715" w:rsidRPr="00D57908">
              <w:rPr>
                <w:rFonts w:eastAsia="Times New Roman" w:cs="Times New Roman"/>
                <w:szCs w:val="20"/>
                <w:lang w:val="es-ES"/>
              </w:rPr>
              <w:t xml:space="preserve">563(MOD)) (Res. 151, 152, 158, 169, 170, </w:t>
            </w:r>
            <w:r w:rsidR="00E3224E">
              <w:rPr>
                <w:rFonts w:eastAsia="Times New Roman" w:cs="Times New Roman"/>
                <w:szCs w:val="20"/>
                <w:lang w:val="es-ES"/>
              </w:rPr>
              <w:t>A</w:t>
            </w:r>
            <w:r w:rsidR="00105DB2">
              <w:rPr>
                <w:rFonts w:eastAsia="Times New Roman" w:cs="Times New Roman"/>
                <w:szCs w:val="20"/>
                <w:lang w:val="es-ES"/>
              </w:rPr>
              <w:t> </w:t>
            </w:r>
            <w:r w:rsidR="00E52715" w:rsidRPr="00D57908">
              <w:rPr>
                <w:rFonts w:eastAsia="Times New Roman" w:cs="Times New Roman"/>
                <w:szCs w:val="20"/>
                <w:lang w:val="es-ES"/>
              </w:rPr>
              <w:t xml:space="preserve">558, </w:t>
            </w:r>
            <w:r w:rsidR="00E3224E">
              <w:rPr>
                <w:rFonts w:eastAsia="Times New Roman" w:cs="Times New Roman"/>
                <w:szCs w:val="20"/>
                <w:lang w:val="es-ES"/>
              </w:rPr>
              <w:t>A</w:t>
            </w:r>
            <w:r w:rsidR="00E52715" w:rsidRPr="00D57908">
              <w:rPr>
                <w:rFonts w:eastAsia="Times New Roman" w:cs="Times New Roman"/>
                <w:szCs w:val="20"/>
                <w:lang w:val="es-ES"/>
              </w:rPr>
              <w:t xml:space="preserve"> 563(MOD)) </w:t>
            </w:r>
            <w:r w:rsidR="00E52715" w:rsidRPr="00D57908">
              <w:rPr>
                <w:rFonts w:eastAsia="Times New Roman" w:cs="Times New Roman"/>
                <w:i/>
                <w:iCs/>
                <w:szCs w:val="20"/>
                <w:lang w:val="es-ES"/>
              </w:rPr>
              <w:t>(ADM 4)</w:t>
            </w:r>
          </w:p>
        </w:tc>
        <w:tc>
          <w:tcPr>
            <w:tcW w:w="2181" w:type="dxa"/>
          </w:tcPr>
          <w:p w14:paraId="09B4B285" w14:textId="21F6EF6A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70" w:history="1">
              <w:r w:rsidR="00E52715" w:rsidRPr="00E52715">
                <w:rPr>
                  <w:rStyle w:val="Hyperlink"/>
                  <w:lang w:val="en-US"/>
                </w:rPr>
                <w:t>C20</w:t>
              </w:r>
              <w:r w:rsidR="00E52715" w:rsidRPr="00E52715">
                <w:rPr>
                  <w:rStyle w:val="Hyperlink"/>
                  <w:lang w:val="en-US"/>
                </w:rPr>
                <w:t>/</w:t>
              </w:r>
              <w:r w:rsidR="00E52715" w:rsidRPr="00E52715">
                <w:rPr>
                  <w:rStyle w:val="Hyperlink"/>
                  <w:lang w:val="en-US"/>
                </w:rPr>
                <w:t>50</w:t>
              </w:r>
            </w:hyperlink>
          </w:p>
        </w:tc>
        <w:tc>
          <w:tcPr>
            <w:tcW w:w="5746" w:type="dxa"/>
          </w:tcPr>
          <w:p w14:paraId="743146EB" w14:textId="1CAE6AEE" w:rsidR="00E52715" w:rsidRPr="00DC744A" w:rsidRDefault="00DC744A" w:rsidP="006809B6">
            <w:pPr>
              <w:pStyle w:val="Tabletext"/>
              <w:ind w:left="552" w:hanging="552"/>
            </w:pPr>
            <w:r w:rsidRPr="00DC744A">
              <w:t>–</w:t>
            </w:r>
            <w:r w:rsidRPr="00DC744A">
              <w:tab/>
            </w:r>
            <w:r w:rsidR="00E3224E">
              <w:t>Al tratarse</w:t>
            </w:r>
            <w:r w:rsidRPr="00DC744A">
              <w:t xml:space="preserve"> de cuestiones urgentes, se </w:t>
            </w:r>
            <w:r w:rsidR="00E3224E">
              <w:t xml:space="preserve">decidió </w:t>
            </w:r>
            <w:r w:rsidRPr="00DC744A">
              <w:t>llevar a cabo una consulta por correspondencia de los Estados Miembros del Consejo para</w:t>
            </w:r>
            <w:r w:rsidR="00E52715" w:rsidRPr="00DC744A">
              <w:t>:</w:t>
            </w:r>
          </w:p>
          <w:p w14:paraId="217AA4D4" w14:textId="23C1C3AF" w:rsidR="00E52715" w:rsidRPr="00DC744A" w:rsidRDefault="00DC744A" w:rsidP="00264CF4">
            <w:pPr>
              <w:pStyle w:val="Tabletext"/>
              <w:ind w:left="982" w:hanging="437"/>
            </w:pPr>
            <w:r w:rsidRPr="00DC744A">
              <w:t>1)</w:t>
            </w:r>
            <w:r w:rsidRPr="00DC744A">
              <w:tab/>
              <w:t>tomar nota del informe;</w:t>
            </w:r>
          </w:p>
          <w:p w14:paraId="79120B70" w14:textId="4F172418" w:rsidR="00E52715" w:rsidRPr="00DC744A" w:rsidRDefault="00DC744A" w:rsidP="00264CF4">
            <w:pPr>
              <w:pStyle w:val="Tabletext"/>
              <w:ind w:left="982" w:hanging="437"/>
            </w:pPr>
            <w:r w:rsidRPr="00DC744A">
              <w:t>2)</w:t>
            </w:r>
            <w:r w:rsidRPr="00DC744A">
              <w:tab/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aprobar</w:t>
            </w:r>
            <w:r w:rsidRPr="00DC744A">
              <w:t xml:space="preserve"> la revisión de la Resolución 1299 que figura en el Anexo 2 del Documento</w:t>
            </w:r>
            <w:r w:rsidR="006809B6">
              <w:t> </w:t>
            </w:r>
            <w:r w:rsidRPr="00DC744A">
              <w:t>C20/50;</w:t>
            </w:r>
          </w:p>
          <w:p w14:paraId="444DD142" w14:textId="6AF23730" w:rsidR="00E52715" w:rsidRPr="00DC744A" w:rsidRDefault="00DC744A" w:rsidP="00264CF4">
            <w:pPr>
              <w:pStyle w:val="Tabletext"/>
              <w:ind w:left="982" w:hanging="437"/>
            </w:pPr>
            <w:r w:rsidRPr="00DC744A">
              <w:t>3)</w:t>
            </w:r>
            <w:r w:rsidRPr="00DC744A">
              <w:tab/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aprobar</w:t>
            </w:r>
            <w:r w:rsidRPr="00DC744A">
              <w:t xml:space="preserve"> las enmiendas al Reglamento Financiero y las Reglas Financieras que figuran en el Anexo 3 del Documento</w:t>
            </w:r>
            <w:r w:rsidR="006809B6">
              <w:t> </w:t>
            </w:r>
            <w:r w:rsidRPr="00DC744A">
              <w:t>C20/50; y</w:t>
            </w:r>
          </w:p>
          <w:p w14:paraId="78619755" w14:textId="409F1D30" w:rsidR="00E52715" w:rsidRPr="00DC744A" w:rsidRDefault="00DC744A" w:rsidP="00264CF4">
            <w:pPr>
              <w:pStyle w:val="Tabletext"/>
              <w:ind w:left="982" w:hanging="437"/>
            </w:pPr>
            <w:r w:rsidRPr="00DC744A">
              <w:t>4)</w:t>
            </w:r>
            <w:r w:rsidRPr="00DC744A">
              <w:tab/>
            </w:r>
            <w:r w:rsidRPr="00264CF4">
              <w:rPr>
                <w:lang w:val="es-ES"/>
              </w:rPr>
              <w:t>aprobar</w:t>
            </w:r>
            <w:r w:rsidRPr="00DC744A">
              <w:t xml:space="preserve"> las nuevas directrices sobre becas </w:t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que</w:t>
            </w:r>
            <w:r w:rsidRPr="00DC744A">
              <w:t xml:space="preserve"> figuran en el Anexo 1 del Documento</w:t>
            </w:r>
            <w:r w:rsidR="00922B61">
              <w:t> </w:t>
            </w:r>
            <w:r w:rsidRPr="00DC744A">
              <w:t>C20/50, con la supresión del texto entre corchetes.</w:t>
            </w:r>
          </w:p>
        </w:tc>
        <w:tc>
          <w:tcPr>
            <w:tcW w:w="1927" w:type="dxa"/>
          </w:tcPr>
          <w:p w14:paraId="52F78739" w14:textId="17801618" w:rsidR="00E52715" w:rsidRPr="00131420" w:rsidRDefault="00E3224E" w:rsidP="00970925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Se tomó nota del Informe; se adoptó la</w:t>
            </w:r>
            <w:r w:rsidR="00E52715" w:rsidRPr="00131420">
              <w:rPr>
                <w:lang w:val="es-ES"/>
              </w:rPr>
              <w:t xml:space="preserve"> </w:t>
            </w:r>
            <w:hyperlink r:id="rId71" w:history="1">
              <w:r w:rsidR="00E52715" w:rsidRPr="00131420">
                <w:rPr>
                  <w:rStyle w:val="Hyperlink"/>
                  <w:lang w:val="es-ES"/>
                </w:rPr>
                <w:t>Reso</w:t>
              </w:r>
              <w:r w:rsidR="00E52715" w:rsidRPr="00131420">
                <w:rPr>
                  <w:rStyle w:val="Hyperlink"/>
                  <w:lang w:val="es-ES"/>
                </w:rPr>
                <w:t>l</w:t>
              </w:r>
              <w:r w:rsidR="00E52715" w:rsidRPr="00131420">
                <w:rPr>
                  <w:rStyle w:val="Hyperlink"/>
                  <w:lang w:val="es-ES"/>
                </w:rPr>
                <w:t>u</w:t>
              </w:r>
              <w:r w:rsidRPr="00131420">
                <w:rPr>
                  <w:rStyle w:val="Hyperlink"/>
                  <w:lang w:val="es-ES"/>
                </w:rPr>
                <w:t>ción</w:t>
              </w:r>
              <w:r w:rsidR="00E52715" w:rsidRPr="00131420">
                <w:rPr>
                  <w:rStyle w:val="Hyperlink"/>
                  <w:lang w:val="es-ES"/>
                </w:rPr>
                <w:t xml:space="preserve"> 1299</w:t>
              </w:r>
            </w:hyperlink>
            <w:r w:rsidR="00E52715" w:rsidRPr="00131420">
              <w:rPr>
                <w:lang w:val="es-ES"/>
              </w:rPr>
              <w:t xml:space="preserve">; </w:t>
            </w:r>
            <w:r w:rsidRPr="00131420">
              <w:rPr>
                <w:lang w:val="es-ES"/>
              </w:rPr>
              <w:t>se aprobaron las enmiendas al Reglamento Financiero y las Reglas Financieras</w:t>
            </w:r>
            <w:r w:rsidR="00E52715" w:rsidRPr="00131420">
              <w:rPr>
                <w:lang w:val="es-ES"/>
              </w:rPr>
              <w:t xml:space="preserve">; </w:t>
            </w:r>
            <w:r w:rsidRPr="00131420">
              <w:rPr>
                <w:lang w:val="es-ES"/>
              </w:rPr>
              <w:t>y se aprobaron las nuevas directrices sobre becas.</w:t>
            </w:r>
          </w:p>
        </w:tc>
      </w:tr>
      <w:tr w:rsidR="00105DB2" w:rsidRPr="00E52715" w14:paraId="3DFC93C7" w14:textId="77777777" w:rsidTr="0083579A">
        <w:trPr>
          <w:jc w:val="center"/>
        </w:trPr>
        <w:tc>
          <w:tcPr>
            <w:tcW w:w="4134" w:type="dxa"/>
            <w:tcBorders>
              <w:bottom w:val="nil"/>
            </w:tcBorders>
          </w:tcPr>
          <w:p w14:paraId="3A5024B4" w14:textId="4C13EDAA" w:rsidR="00105DB2" w:rsidRPr="00131420" w:rsidRDefault="00105DB2" w:rsidP="00DC744A">
            <w:pPr>
              <w:pStyle w:val="Tabletext"/>
              <w:rPr>
                <w:lang w:val="es-ES"/>
              </w:rPr>
            </w:pPr>
            <w:bookmarkStart w:id="12" w:name="_Hlk65259731"/>
            <w:r w:rsidRPr="001A5A30">
              <w:rPr>
                <w:lang w:val="es-ES"/>
              </w:rPr>
              <w:t>Preparativos para la AMNT-21</w:t>
            </w:r>
          </w:p>
          <w:p w14:paraId="1BABA3DF" w14:textId="762EA793" w:rsidR="00105DB2" w:rsidRPr="00131420" w:rsidRDefault="00105DB2" w:rsidP="00105DB2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Acuerdo 608 modificado (tras la Consulta)</w:t>
            </w:r>
            <w:bookmarkEnd w:id="12"/>
          </w:p>
        </w:tc>
        <w:tc>
          <w:tcPr>
            <w:tcW w:w="2181" w:type="dxa"/>
            <w:tcBorders>
              <w:bottom w:val="nil"/>
            </w:tcBorders>
          </w:tcPr>
          <w:p w14:paraId="22BA69DF" w14:textId="640B51CA" w:rsidR="00105DB2" w:rsidRPr="00E52715" w:rsidRDefault="00105DB2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u w:val="single"/>
                <w:lang w:val="en-US"/>
              </w:rPr>
            </w:pPr>
            <w:hyperlink r:id="rId72" w:history="1">
              <w:r w:rsidRPr="00E52715">
                <w:rPr>
                  <w:rStyle w:val="Hyperlink"/>
                  <w:lang w:val="en-US"/>
                </w:rPr>
                <w:t>C2</w:t>
              </w:r>
              <w:r w:rsidRPr="00E52715">
                <w:rPr>
                  <w:rStyle w:val="Hyperlink"/>
                  <w:lang w:val="en-US"/>
                </w:rPr>
                <w:t>0</w:t>
              </w:r>
              <w:r w:rsidRPr="00E52715">
                <w:rPr>
                  <w:rStyle w:val="Hyperlink"/>
                  <w:lang w:val="en-US"/>
                </w:rPr>
                <w:t>/24(R</w:t>
              </w:r>
              <w:r w:rsidRPr="00E52715">
                <w:rPr>
                  <w:rStyle w:val="Hyperlink"/>
                  <w:lang w:val="en-US"/>
                </w:rPr>
                <w:t>e</w:t>
              </w:r>
              <w:r w:rsidRPr="00E52715">
                <w:rPr>
                  <w:rStyle w:val="Hyperlink"/>
                  <w:lang w:val="en-US"/>
                </w:rPr>
                <w:t>v.1</w:t>
              </w:r>
            </w:hyperlink>
            <w:r w:rsidRPr="00E52715">
              <w:rPr>
                <w:rFonts w:eastAsia="Times New Roman" w:cs="Times New Roman"/>
                <w:szCs w:val="20"/>
                <w:u w:val="single"/>
                <w:lang w:val="en-US"/>
              </w:rPr>
              <w:t>)</w:t>
            </w:r>
          </w:p>
          <w:p w14:paraId="37C27EBF" w14:textId="11E65446" w:rsidR="00105DB2" w:rsidRPr="00105DB2" w:rsidRDefault="00105DB2" w:rsidP="00970925">
            <w:pPr>
              <w:pStyle w:val="Tabletext"/>
              <w:spacing w:before="20" w:after="20"/>
              <w:jc w:val="center"/>
              <w:rPr>
                <w:rFonts w:eastAsia="Times New Roman" w:cs="Times New Roman"/>
                <w:szCs w:val="20"/>
                <w:lang w:val="en-GB"/>
              </w:rPr>
            </w:pPr>
            <w:hyperlink r:id="rId73" w:history="1">
              <w:r w:rsidRPr="00E52715">
                <w:rPr>
                  <w:rStyle w:val="Hyperlink"/>
                  <w:lang w:val="en-US"/>
                </w:rPr>
                <w:t>C2</w:t>
              </w:r>
              <w:r w:rsidRPr="00E52715">
                <w:rPr>
                  <w:rStyle w:val="Hyperlink"/>
                  <w:lang w:val="en-US"/>
                </w:rPr>
                <w:t>0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7</w:t>
              </w:r>
              <w:r w:rsidRPr="00E52715">
                <w:rPr>
                  <w:rStyle w:val="Hyperlink"/>
                  <w:lang w:val="en-US"/>
                </w:rPr>
                <w:t>2</w:t>
              </w:r>
            </w:hyperlink>
          </w:p>
        </w:tc>
        <w:tc>
          <w:tcPr>
            <w:tcW w:w="5746" w:type="dxa"/>
            <w:vMerge w:val="restart"/>
          </w:tcPr>
          <w:p w14:paraId="3B85290C" w14:textId="5D2EA7A5" w:rsidR="00105DB2" w:rsidRPr="00E3224E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  <w:r w:rsidRPr="00E3224E">
              <w:rPr>
                <w:lang w:val="es-ES"/>
              </w:rPr>
              <w:t>–</w:t>
            </w:r>
            <w:r w:rsidRPr="00E3224E">
              <w:rPr>
                <w:lang w:val="es-ES"/>
              </w:rPr>
              <w:tab/>
              <w:t xml:space="preserve">Los debates se prosiguieron el martes 17 de </w:t>
            </w:r>
            <w:r w:rsidRPr="006809B6">
              <w:t>noviembre</w:t>
            </w:r>
            <w:r w:rsidRPr="00E3224E">
              <w:rPr>
                <w:lang w:val="es-ES"/>
              </w:rPr>
              <w:t>.</w:t>
            </w:r>
          </w:p>
        </w:tc>
        <w:tc>
          <w:tcPr>
            <w:tcW w:w="1927" w:type="dxa"/>
            <w:vMerge w:val="restart"/>
          </w:tcPr>
          <w:p w14:paraId="7E848C05" w14:textId="77777777" w:rsidR="00105DB2" w:rsidRPr="00E52715" w:rsidRDefault="00105DB2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105DB2" w:rsidRPr="00E52715" w14:paraId="4D0B3268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3A2F04E6" w14:textId="3CD7A006" w:rsidR="00105DB2" w:rsidRPr="00131420" w:rsidRDefault="00105DB2" w:rsidP="00173D6F">
            <w:pPr>
              <w:pStyle w:val="Tabletext"/>
              <w:tabs>
                <w:tab w:val="left" w:pos="311"/>
              </w:tabs>
              <w:ind w:left="311" w:hanging="311"/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Pr="00131420">
              <w:rPr>
                <w:i/>
                <w:iCs/>
                <w:lang w:val="es-ES"/>
              </w:rPr>
              <w:t>Contribución de India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38DBC0E6" w14:textId="5A22FDC8" w:rsidR="00105DB2" w:rsidRDefault="00105DB2" w:rsidP="00970925">
            <w:pPr>
              <w:pStyle w:val="Tabletext"/>
              <w:jc w:val="center"/>
            </w:pPr>
            <w:hyperlink r:id="rId74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-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3</w:t>
              </w:r>
            </w:hyperlink>
            <w:r>
              <w:rPr>
                <w:rFonts w:eastAsia="Times New Roman" w:cs="Times New Roman"/>
                <w:szCs w:val="20"/>
              </w:rPr>
              <w:br/>
            </w:r>
            <w:hyperlink r:id="rId75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-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2</w:t>
              </w:r>
            </w:hyperlink>
          </w:p>
        </w:tc>
        <w:tc>
          <w:tcPr>
            <w:tcW w:w="5746" w:type="dxa"/>
            <w:vMerge/>
          </w:tcPr>
          <w:p w14:paraId="61840D1F" w14:textId="77777777" w:rsidR="00105DB2" w:rsidRPr="00E3224E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21F848BD" w14:textId="77777777" w:rsidR="00105DB2" w:rsidRPr="00E52715" w:rsidRDefault="00105DB2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105DB2" w:rsidRPr="00E52715" w14:paraId="44264513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41999F04" w14:textId="59E54E93" w:rsidR="00105DB2" w:rsidRPr="00131420" w:rsidRDefault="00105DB2" w:rsidP="00173D6F">
            <w:pPr>
              <w:pStyle w:val="Tabletext"/>
              <w:tabs>
                <w:tab w:val="left" w:pos="311"/>
              </w:tabs>
              <w:ind w:left="311" w:hanging="311"/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Pr="00131420">
              <w:rPr>
                <w:i/>
                <w:iCs/>
                <w:lang w:val="es-ES"/>
              </w:rPr>
              <w:t>Contribución de la Federación de Rusia, Azerbaiyán, Belarús, Uzbekistán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3D76311F" w14:textId="300C9812" w:rsidR="00105DB2" w:rsidRDefault="00105DB2" w:rsidP="00970925">
            <w:pPr>
              <w:pStyle w:val="Tabletext"/>
              <w:jc w:val="center"/>
            </w:pPr>
            <w:hyperlink r:id="rId76" w:history="1">
              <w:r>
                <w:rPr>
                  <w:rStyle w:val="Hyperlink"/>
                  <w:lang w:val="en-US"/>
                </w:rPr>
                <w:t>VC-2/4</w:t>
              </w:r>
              <w:r>
                <w:rPr>
                  <w:rStyle w:val="Hyperlink"/>
                  <w:lang w:val="en-US"/>
                </w:rPr>
                <w:t>(</w:t>
              </w:r>
              <w:r>
                <w:rPr>
                  <w:rStyle w:val="Hyperlink"/>
                  <w:lang w:val="en-US"/>
                </w:rPr>
                <w:t>C</w:t>
              </w:r>
              <w:r>
                <w:rPr>
                  <w:rStyle w:val="Hyperlink"/>
                  <w:lang w:val="en-US"/>
                </w:rPr>
                <w:t>o</w:t>
              </w:r>
              <w:r w:rsidR="00F90BFF">
                <w:rPr>
                  <w:rStyle w:val="Hyperlink"/>
                  <w:lang w:val="en-US"/>
                </w:rPr>
                <w:t>r</w:t>
              </w:r>
              <w:r w:rsidR="0083579A">
                <w:rPr>
                  <w:rStyle w:val="Hyperlink"/>
                  <w:lang w:val="en-US"/>
                </w:rPr>
                <w:t>r</w:t>
              </w:r>
              <w:r>
                <w:rPr>
                  <w:rStyle w:val="Hyperlink"/>
                  <w:lang w:val="en-US"/>
                </w:rPr>
                <w:t>.1)</w:t>
              </w:r>
            </w:hyperlink>
          </w:p>
        </w:tc>
        <w:tc>
          <w:tcPr>
            <w:tcW w:w="5746" w:type="dxa"/>
            <w:vMerge/>
          </w:tcPr>
          <w:p w14:paraId="7A4755D7" w14:textId="77777777" w:rsidR="00105DB2" w:rsidRPr="00E3224E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1DB5024F" w14:textId="77777777" w:rsidR="00105DB2" w:rsidRPr="00E52715" w:rsidRDefault="00105DB2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105DB2" w:rsidRPr="00E52715" w14:paraId="373B5889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0B34C279" w14:textId="43B512B3" w:rsidR="00105DB2" w:rsidRPr="00131420" w:rsidRDefault="00105DB2" w:rsidP="00173D6F">
            <w:pPr>
              <w:pStyle w:val="Tabletext"/>
              <w:tabs>
                <w:tab w:val="left" w:pos="311"/>
              </w:tabs>
              <w:ind w:left="311" w:hanging="311"/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Pr="00131420">
              <w:rPr>
                <w:i/>
                <w:iCs/>
                <w:lang w:val="es-ES"/>
              </w:rPr>
              <w:t>Contribución de Canadá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021543E6" w14:textId="0C534A02" w:rsidR="00105DB2" w:rsidRDefault="00105DB2" w:rsidP="00970925">
            <w:pPr>
              <w:pStyle w:val="Tabletext"/>
              <w:jc w:val="center"/>
            </w:pPr>
            <w:hyperlink r:id="rId77" w:history="1">
              <w:r w:rsidRPr="00E52715">
                <w:rPr>
                  <w:rStyle w:val="Hyperlink"/>
                  <w:lang w:val="en-US"/>
                </w:rPr>
                <w:t>V</w:t>
              </w:r>
              <w:r w:rsidRPr="00E52715">
                <w:rPr>
                  <w:rStyle w:val="Hyperlink"/>
                  <w:lang w:val="en-US"/>
                </w:rPr>
                <w:t>C</w:t>
              </w:r>
              <w:r w:rsidRPr="00E52715">
                <w:rPr>
                  <w:rStyle w:val="Hyperlink"/>
                  <w:lang w:val="en-US"/>
                </w:rPr>
                <w:t>-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7</w:t>
              </w:r>
            </w:hyperlink>
          </w:p>
        </w:tc>
        <w:tc>
          <w:tcPr>
            <w:tcW w:w="5746" w:type="dxa"/>
            <w:vMerge/>
          </w:tcPr>
          <w:p w14:paraId="04DA7AEB" w14:textId="77777777" w:rsidR="00105DB2" w:rsidRPr="00E3224E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4CAA2ADE" w14:textId="77777777" w:rsidR="00105DB2" w:rsidRPr="00E52715" w:rsidRDefault="00105DB2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105DB2" w:rsidRPr="00E52715" w14:paraId="148BB169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7AC05EC6" w14:textId="6122F904" w:rsidR="00105DB2" w:rsidRPr="00131420" w:rsidRDefault="00105DB2" w:rsidP="00173D6F">
            <w:pPr>
              <w:pStyle w:val="Tabletext"/>
              <w:tabs>
                <w:tab w:val="left" w:pos="311"/>
              </w:tabs>
              <w:ind w:left="311" w:hanging="311"/>
              <w:rPr>
                <w:lang w:val="es-ES"/>
              </w:rPr>
            </w:pPr>
            <w:r w:rsidRPr="00131420">
              <w:rPr>
                <w:lang w:val="es-ES"/>
              </w:rPr>
              <w:lastRenderedPageBreak/>
              <w:t>–</w:t>
            </w:r>
            <w:r w:rsidRPr="00131420">
              <w:rPr>
                <w:lang w:val="es-ES"/>
              </w:rPr>
              <w:tab/>
            </w:r>
            <w:r w:rsidRPr="00131420">
              <w:rPr>
                <w:i/>
                <w:iCs/>
                <w:lang w:val="es-ES"/>
              </w:rPr>
              <w:t>Contribución de Estados Unidos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4100DE6C" w14:textId="5E9F09A7" w:rsidR="00105DB2" w:rsidRDefault="00105DB2" w:rsidP="00970925">
            <w:pPr>
              <w:pStyle w:val="Tabletext"/>
              <w:jc w:val="center"/>
            </w:pPr>
            <w:hyperlink r:id="rId78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-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/8</w:t>
              </w:r>
            </w:hyperlink>
          </w:p>
        </w:tc>
        <w:tc>
          <w:tcPr>
            <w:tcW w:w="5746" w:type="dxa"/>
            <w:vMerge/>
          </w:tcPr>
          <w:p w14:paraId="59619EE3" w14:textId="77777777" w:rsidR="00105DB2" w:rsidRPr="00E3224E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11195983" w14:textId="77777777" w:rsidR="00105DB2" w:rsidRPr="00E52715" w:rsidRDefault="00105DB2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105DB2" w:rsidRPr="00E52715" w14:paraId="13409695" w14:textId="77777777" w:rsidTr="0083579A">
        <w:trPr>
          <w:jc w:val="center"/>
        </w:trPr>
        <w:tc>
          <w:tcPr>
            <w:tcW w:w="4134" w:type="dxa"/>
            <w:tcBorders>
              <w:top w:val="nil"/>
            </w:tcBorders>
          </w:tcPr>
          <w:p w14:paraId="4E21D32C" w14:textId="4AB1076E" w:rsidR="00105DB2" w:rsidRPr="00131420" w:rsidRDefault="00105DB2" w:rsidP="00173D6F">
            <w:pPr>
              <w:pStyle w:val="Tabletext"/>
              <w:tabs>
                <w:tab w:val="left" w:pos="311"/>
              </w:tabs>
              <w:ind w:left="311" w:hanging="311"/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Pr="00131420">
              <w:rPr>
                <w:i/>
                <w:iCs/>
                <w:lang w:val="es-ES"/>
              </w:rPr>
              <w:t>Contribución de Bulgaria, Croacia, República Checa, Dinamarca, Finlandia, Francia, Alemania, Hungría, Lituania, Malta, Países Bajos, Noruega, Polonia, Rumania, República Eslovaca, España, Suecia, Reino Unido</w:t>
            </w:r>
          </w:p>
        </w:tc>
        <w:tc>
          <w:tcPr>
            <w:tcW w:w="2181" w:type="dxa"/>
            <w:tcBorders>
              <w:top w:val="nil"/>
            </w:tcBorders>
          </w:tcPr>
          <w:p w14:paraId="02AF2A83" w14:textId="3D25F8D5" w:rsidR="00105DB2" w:rsidRDefault="00105DB2" w:rsidP="00970925">
            <w:pPr>
              <w:pStyle w:val="Tabletext"/>
              <w:jc w:val="center"/>
            </w:pPr>
            <w:hyperlink r:id="rId79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-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/9</w:t>
              </w:r>
            </w:hyperlink>
          </w:p>
        </w:tc>
        <w:tc>
          <w:tcPr>
            <w:tcW w:w="5746" w:type="dxa"/>
            <w:vMerge/>
          </w:tcPr>
          <w:p w14:paraId="14FE89CE" w14:textId="77777777" w:rsidR="00105DB2" w:rsidRPr="00E3224E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03F96FBF" w14:textId="77777777" w:rsidR="00105DB2" w:rsidRPr="00E52715" w:rsidRDefault="00105DB2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E52715" w:rsidRPr="00E52715" w14:paraId="7DE2294A" w14:textId="77777777" w:rsidTr="0083579A">
        <w:trPr>
          <w:jc w:val="center"/>
        </w:trPr>
        <w:tc>
          <w:tcPr>
            <w:tcW w:w="4134" w:type="dxa"/>
            <w:shd w:val="clear" w:color="auto" w:fill="D9D9D9"/>
          </w:tcPr>
          <w:p w14:paraId="1DBE0BCB" w14:textId="35B12423" w:rsidR="00E52715" w:rsidRPr="00C03BB4" w:rsidRDefault="00C03BB4" w:rsidP="00E52715">
            <w:pPr>
              <w:pStyle w:val="Tabletext"/>
              <w:rPr>
                <w:rFonts w:eastAsia="Times New Roman" w:cs="Times New Roman"/>
                <w:b/>
                <w:bCs/>
                <w:szCs w:val="20"/>
                <w:lang w:val="es-ES"/>
              </w:rPr>
            </w:pPr>
            <w:r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Martes</w:t>
            </w:r>
            <w:r w:rsidR="00E52715"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 xml:space="preserve">, 17 </w:t>
            </w:r>
            <w:r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de noviembre</w:t>
            </w:r>
            <w:r w:rsidR="00E52715"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, 12.00</w:t>
            </w:r>
            <w:r w:rsidR="00141016">
              <w:rPr>
                <w:rFonts w:eastAsia="Times New Roman" w:cs="Times New Roman"/>
                <w:b/>
                <w:bCs/>
                <w:szCs w:val="20"/>
                <w:lang w:val="es-ES"/>
              </w:rPr>
              <w:noBreakHyphen/>
            </w:r>
            <w:r w:rsidR="00E52715"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15.00</w:t>
            </w:r>
            <w:r w:rsidR="00141016">
              <w:rPr>
                <w:rFonts w:eastAsia="Times New Roman" w:cs="Times New Roman"/>
                <w:b/>
                <w:bCs/>
                <w:szCs w:val="20"/>
                <w:lang w:val="es-ES"/>
              </w:rPr>
              <w:t> </w:t>
            </w:r>
            <w:r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horas</w:t>
            </w:r>
          </w:p>
        </w:tc>
        <w:tc>
          <w:tcPr>
            <w:tcW w:w="2181" w:type="dxa"/>
            <w:shd w:val="clear" w:color="auto" w:fill="D9D9D9"/>
          </w:tcPr>
          <w:p w14:paraId="1ED71DB3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5746" w:type="dxa"/>
            <w:shd w:val="clear" w:color="auto" w:fill="D9D9D9"/>
          </w:tcPr>
          <w:p w14:paraId="3D9B2349" w14:textId="77777777" w:rsidR="00E52715" w:rsidRPr="00E52715" w:rsidRDefault="00E52715" w:rsidP="00E52715">
            <w:pPr>
              <w:pStyle w:val="Tabletext"/>
              <w:rPr>
                <w:lang w:val="en-US"/>
              </w:rPr>
            </w:pPr>
          </w:p>
        </w:tc>
        <w:tc>
          <w:tcPr>
            <w:tcW w:w="1927" w:type="dxa"/>
            <w:shd w:val="clear" w:color="auto" w:fill="D9D9D9"/>
          </w:tcPr>
          <w:p w14:paraId="03A57766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E52715" w:rsidRPr="00E52715" w14:paraId="00D72B1E" w14:textId="77777777" w:rsidTr="0083579A">
        <w:trPr>
          <w:jc w:val="center"/>
        </w:trPr>
        <w:tc>
          <w:tcPr>
            <w:tcW w:w="4134" w:type="dxa"/>
          </w:tcPr>
          <w:p w14:paraId="685706A6" w14:textId="22CCA178" w:rsidR="00E52715" w:rsidRPr="00D57908" w:rsidRDefault="00F4016F" w:rsidP="00F4016F">
            <w:pPr>
              <w:pStyle w:val="Tabletext"/>
              <w:rPr>
                <w:lang w:val="es-ES"/>
              </w:rPr>
            </w:pPr>
            <w:r w:rsidRPr="00F4016F">
              <w:rPr>
                <w:lang w:val="es-ES"/>
              </w:rPr>
              <w:t>Resultado de las deliberaciones mantenidas el 16 de noviembre de 2020</w:t>
            </w:r>
          </w:p>
        </w:tc>
        <w:tc>
          <w:tcPr>
            <w:tcW w:w="2181" w:type="dxa"/>
          </w:tcPr>
          <w:p w14:paraId="6DA6F76D" w14:textId="21376727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80" w:history="1">
              <w:r w:rsidR="00E52715" w:rsidRPr="00E52715">
                <w:rPr>
                  <w:rStyle w:val="Hyperlink"/>
                  <w:lang w:val="en-US"/>
                </w:rPr>
                <w:t>VC-2/</w:t>
              </w:r>
              <w:r w:rsidR="00E52715" w:rsidRPr="00E52715">
                <w:rPr>
                  <w:rStyle w:val="Hyperlink"/>
                  <w:lang w:val="en-US"/>
                </w:rPr>
                <w:t>D</w:t>
              </w:r>
              <w:r w:rsidR="00E52715" w:rsidRPr="00E52715">
                <w:rPr>
                  <w:rStyle w:val="Hyperlink"/>
                  <w:lang w:val="en-US"/>
                </w:rPr>
                <w:t>T/1</w:t>
              </w:r>
            </w:hyperlink>
          </w:p>
        </w:tc>
        <w:tc>
          <w:tcPr>
            <w:tcW w:w="5746" w:type="dxa"/>
          </w:tcPr>
          <w:p w14:paraId="396F0ABB" w14:textId="4AF6DBC1" w:rsidR="00E52715" w:rsidRPr="00131420" w:rsidRDefault="00F4016F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131420">
              <w:rPr>
                <w:rFonts w:eastAsia="Times New Roman" w:cs="Times New Roman"/>
                <w:szCs w:val="20"/>
                <w:lang w:val="es-ES"/>
              </w:rPr>
              <w:t>–</w:t>
            </w:r>
            <w:r w:rsidRPr="00131420">
              <w:rPr>
                <w:rFonts w:eastAsia="Times New Roman" w:cs="Times New Roman"/>
                <w:szCs w:val="20"/>
                <w:lang w:val="es-ES"/>
              </w:rPr>
              <w:tab/>
            </w:r>
            <w:r w:rsidR="00E3224E" w:rsidRPr="00131420">
              <w:rPr>
                <w:rFonts w:eastAsia="Times New Roman" w:cs="Times New Roman"/>
                <w:szCs w:val="20"/>
                <w:lang w:val="es-ES"/>
              </w:rPr>
              <w:t>En lo relativo a las directrices sobre becas</w:t>
            </w:r>
            <w:r w:rsidR="00E52715" w:rsidRPr="00131420">
              <w:rPr>
                <w:rFonts w:eastAsia="Times New Roman" w:cs="Times New Roman"/>
                <w:szCs w:val="20"/>
                <w:lang w:val="es-ES"/>
              </w:rPr>
              <w:t xml:space="preserve"> (C20/50), </w:t>
            </w:r>
            <w:r w:rsidR="00E3224E" w:rsidRPr="00131420">
              <w:rPr>
                <w:rFonts w:eastAsia="Times New Roman" w:cs="Times New Roman"/>
                <w:szCs w:val="20"/>
                <w:lang w:val="es-ES"/>
              </w:rPr>
              <w:t>se acordó suprimir el texto y los corchetes y aprobar las nuevas directrices como figuran en el Anexo</w:t>
            </w:r>
            <w:r w:rsidR="00E52715" w:rsidRPr="00131420">
              <w:rPr>
                <w:rFonts w:eastAsia="Times New Roman" w:cs="Times New Roman"/>
                <w:szCs w:val="20"/>
                <w:lang w:val="es-ES"/>
              </w:rPr>
              <w:t xml:space="preserve"> 1. </w:t>
            </w:r>
            <w:r w:rsidR="00E3224E" w:rsidRPr="00131420">
              <w:rPr>
                <w:rFonts w:eastAsia="Times New Roman" w:cs="Times New Roman"/>
                <w:szCs w:val="20"/>
                <w:lang w:val="es-ES"/>
              </w:rPr>
              <w:t>Este punto se integrará también en las consultas por correspondencia. El texto anterior se ha modificado en consecuencia</w:t>
            </w:r>
            <w:r w:rsidR="00E52715" w:rsidRPr="00131420">
              <w:rPr>
                <w:rFonts w:eastAsia="Times New Roman" w:cs="Times New Roman"/>
                <w:szCs w:val="20"/>
                <w:lang w:val="es-ES"/>
              </w:rPr>
              <w:t>.</w:t>
            </w:r>
          </w:p>
          <w:p w14:paraId="73FB84C4" w14:textId="7BD6BBD0" w:rsidR="00E52715" w:rsidRPr="00131420" w:rsidRDefault="00F147E6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="00E3224E" w:rsidRPr="00131420">
              <w:rPr>
                <w:lang w:val="es-ES"/>
              </w:rPr>
              <w:t>En lo tocante al orden del día, la Federación de Rusia solicitó que el segundo punto anterior rezase</w:t>
            </w:r>
            <w:r w:rsidR="00E52715" w:rsidRPr="00131420">
              <w:rPr>
                <w:rFonts w:eastAsia="Times New Roman" w:cs="Times New Roman"/>
                <w:szCs w:val="20"/>
                <w:lang w:val="es-ES"/>
              </w:rPr>
              <w:t xml:space="preserve">: </w:t>
            </w:r>
            <w:r w:rsidR="00131420">
              <w:rPr>
                <w:rFonts w:eastAsia="Times New Roman" w:cs="Times New Roman"/>
                <w:szCs w:val="20"/>
                <w:lang w:val="es-ES"/>
              </w:rPr>
              <w:t>"</w:t>
            </w:r>
            <w:r w:rsidR="00E3224E" w:rsidRPr="00131420">
              <w:rPr>
                <w:lang w:val="es-ES"/>
              </w:rPr>
              <w:t>Los consejeros acordaron que los documentos de la Secretaría publicados fuera de plazo (después de 30</w:t>
            </w:r>
            <w:r w:rsidR="001A5A30">
              <w:rPr>
                <w:lang w:val="es-ES"/>
              </w:rPr>
              <w:t> </w:t>
            </w:r>
            <w:r w:rsidR="00E3224E" w:rsidRPr="00131420">
              <w:rPr>
                <w:lang w:val="es-ES"/>
              </w:rPr>
              <w:t>días antes de la CVC) se mantuvieran en el orden del día para su presentación y debate, y que las consultas oficiales relacionadas con un documento tardío de la Secretaría sólo comenzaran en una CVC o en un Consejo un mes después de la publicación del documento</w:t>
            </w:r>
            <w:r w:rsidR="00131420" w:rsidRPr="00131420">
              <w:rPr>
                <w:rFonts w:eastAsia="Times New Roman" w:cs="Times New Roman"/>
                <w:iCs/>
                <w:szCs w:val="20"/>
                <w:lang w:val="es-ES"/>
              </w:rPr>
              <w:t>"</w:t>
            </w:r>
            <w:r w:rsidRPr="00131420">
              <w:rPr>
                <w:rFonts w:eastAsia="Times New Roman" w:cs="Times New Roman"/>
                <w:i/>
                <w:szCs w:val="20"/>
                <w:lang w:val="es-ES"/>
              </w:rPr>
              <w:t>.</w:t>
            </w:r>
            <w:r w:rsidR="00131420">
              <w:rPr>
                <w:rFonts w:eastAsia="Times New Roman" w:cs="Times New Roman"/>
                <w:i/>
                <w:szCs w:val="20"/>
                <w:lang w:val="es-ES"/>
              </w:rPr>
              <w:t xml:space="preserve"> </w:t>
            </w:r>
            <w:r w:rsidR="00E3224E" w:rsidRPr="00131420">
              <w:rPr>
                <w:rFonts w:eastAsia="Times New Roman" w:cs="Times New Roman"/>
                <w:szCs w:val="20"/>
                <w:lang w:val="es-ES"/>
              </w:rPr>
              <w:t>El punto anterior se actualizó en consecuencia</w:t>
            </w:r>
            <w:r w:rsidR="00E52715" w:rsidRPr="00131420">
              <w:rPr>
                <w:rFonts w:eastAsia="Times New Roman" w:cs="Times New Roman"/>
                <w:szCs w:val="20"/>
                <w:lang w:val="es-ES"/>
              </w:rPr>
              <w:t>.</w:t>
            </w:r>
          </w:p>
        </w:tc>
        <w:tc>
          <w:tcPr>
            <w:tcW w:w="1927" w:type="dxa"/>
          </w:tcPr>
          <w:p w14:paraId="1321556E" w14:textId="77777777" w:rsidR="00E52715" w:rsidRPr="00131420" w:rsidRDefault="00E52715" w:rsidP="00970925">
            <w:pPr>
              <w:pStyle w:val="Tabletext"/>
              <w:jc w:val="center"/>
              <w:rPr>
                <w:lang w:val="es-ES"/>
              </w:rPr>
            </w:pPr>
            <w:r w:rsidRPr="00131420">
              <w:rPr>
                <w:lang w:val="es-ES"/>
              </w:rPr>
              <w:t>--</w:t>
            </w:r>
          </w:p>
        </w:tc>
      </w:tr>
      <w:tr w:rsidR="00E52715" w:rsidRPr="00E52715" w14:paraId="46F2C0A8" w14:textId="77777777" w:rsidTr="0083579A">
        <w:trPr>
          <w:jc w:val="center"/>
        </w:trPr>
        <w:tc>
          <w:tcPr>
            <w:tcW w:w="4134" w:type="dxa"/>
          </w:tcPr>
          <w:p w14:paraId="599DBC51" w14:textId="251990E3" w:rsidR="00E52715" w:rsidRPr="00F147E6" w:rsidRDefault="00F147E6" w:rsidP="00F147E6">
            <w:pPr>
              <w:pStyle w:val="Tabletext"/>
              <w:rPr>
                <w:lang w:val="es-ES"/>
              </w:rPr>
            </w:pPr>
            <w:r w:rsidRPr="00F147E6">
              <w:rPr>
                <w:lang w:val="es-ES"/>
              </w:rPr>
              <w:lastRenderedPageBreak/>
              <w:t xml:space="preserve">Preparativos para el FMPT-21 </w:t>
            </w:r>
            <w:r w:rsidR="00E52715" w:rsidRPr="00F147E6">
              <w:rPr>
                <w:lang w:val="es-ES"/>
              </w:rPr>
              <w:t xml:space="preserve">(Res. 2, </w:t>
            </w:r>
            <w:r w:rsidR="00E3224E">
              <w:rPr>
                <w:lang w:val="es-ES"/>
              </w:rPr>
              <w:t>A</w:t>
            </w:r>
            <w:r w:rsidR="00786399">
              <w:rPr>
                <w:lang w:val="es-ES"/>
              </w:rPr>
              <w:t> </w:t>
            </w:r>
            <w:r w:rsidR="00E52715" w:rsidRPr="00F147E6">
              <w:rPr>
                <w:lang w:val="es-ES"/>
              </w:rPr>
              <w:t>611)</w:t>
            </w:r>
          </w:p>
        </w:tc>
        <w:tc>
          <w:tcPr>
            <w:tcW w:w="2181" w:type="dxa"/>
          </w:tcPr>
          <w:p w14:paraId="134E65E4" w14:textId="6842AFC0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81" w:history="1">
              <w:r w:rsidR="00E52715" w:rsidRPr="00E52715">
                <w:rPr>
                  <w:rStyle w:val="Hyperlink"/>
                  <w:lang w:val="en-US"/>
                </w:rPr>
                <w:t>C20/5(</w:t>
              </w:r>
              <w:r w:rsidR="00E52715" w:rsidRPr="00E52715">
                <w:rPr>
                  <w:rStyle w:val="Hyperlink"/>
                  <w:lang w:val="en-US"/>
                </w:rPr>
                <w:t>R</w:t>
              </w:r>
              <w:r w:rsidR="00E52715" w:rsidRPr="00E52715">
                <w:rPr>
                  <w:rStyle w:val="Hyperlink"/>
                  <w:lang w:val="en-US"/>
                </w:rPr>
                <w:t>ev.1</w:t>
              </w:r>
            </w:hyperlink>
            <w:r w:rsidR="00E52715" w:rsidRPr="00E52715">
              <w:rPr>
                <w:rFonts w:eastAsia="Times New Roman" w:cs="Times New Roman"/>
                <w:szCs w:val="20"/>
                <w:u w:val="single"/>
                <w:lang w:val="en-US"/>
              </w:rPr>
              <w:t>)</w:t>
            </w:r>
          </w:p>
        </w:tc>
        <w:tc>
          <w:tcPr>
            <w:tcW w:w="5746" w:type="dxa"/>
          </w:tcPr>
          <w:p w14:paraId="41A7A170" w14:textId="332F88E3" w:rsidR="00E52715" w:rsidRPr="00D57908" w:rsidRDefault="00117644" w:rsidP="006809B6">
            <w:pPr>
              <w:pStyle w:val="Tabletext"/>
              <w:ind w:left="552" w:hanging="552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222144">
              <w:rPr>
                <w:lang w:val="es-ES"/>
              </w:rPr>
              <w:t>Se suspendió el debate</w:t>
            </w:r>
            <w:r w:rsidR="00E52715" w:rsidRPr="00D57908">
              <w:rPr>
                <w:lang w:val="es-ES"/>
              </w:rPr>
              <w:t xml:space="preserve"> </w:t>
            </w:r>
            <w:r w:rsidR="00F147E6" w:rsidRPr="00D57908">
              <w:rPr>
                <w:lang w:val="es-ES"/>
              </w:rPr>
              <w:t xml:space="preserve">a fin de adaptarse a los calendarios de las partes externas para los siguientes temas </w:t>
            </w:r>
            <w:r w:rsidR="00F147E6" w:rsidRPr="00131420">
              <w:t>del</w:t>
            </w:r>
            <w:r w:rsidR="00F147E6" w:rsidRPr="00D57908">
              <w:rPr>
                <w:lang w:val="es-ES"/>
              </w:rPr>
              <w:t xml:space="preserve"> orden del día</w:t>
            </w:r>
            <w:r w:rsidR="00922B61">
              <w:rPr>
                <w:lang w:val="es-ES"/>
              </w:rPr>
              <w:t>.</w:t>
            </w:r>
          </w:p>
        </w:tc>
        <w:tc>
          <w:tcPr>
            <w:tcW w:w="1927" w:type="dxa"/>
          </w:tcPr>
          <w:p w14:paraId="56E915B6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222144" w14:paraId="0BB97833" w14:textId="77777777" w:rsidTr="0083579A">
        <w:trPr>
          <w:jc w:val="center"/>
        </w:trPr>
        <w:tc>
          <w:tcPr>
            <w:tcW w:w="4134" w:type="dxa"/>
          </w:tcPr>
          <w:p w14:paraId="69D5C931" w14:textId="2E0C0363" w:rsidR="00E52715" w:rsidRPr="00F147E6" w:rsidRDefault="00F147E6" w:rsidP="00F147E6">
            <w:pPr>
              <w:pStyle w:val="Tabletext"/>
              <w:rPr>
                <w:lang w:val="es-ES"/>
              </w:rPr>
            </w:pPr>
            <w:r w:rsidRPr="00F147E6">
              <w:rPr>
                <w:lang w:val="es-ES"/>
              </w:rPr>
              <w:t xml:space="preserve">Cuentas auditadas: </w:t>
            </w:r>
            <w:bookmarkStart w:id="13" w:name="_Hlk59454285"/>
            <w:r w:rsidR="00786399">
              <w:rPr>
                <w:lang w:val="es-ES"/>
              </w:rPr>
              <w:t>i</w:t>
            </w:r>
            <w:r w:rsidR="00786399" w:rsidRPr="00F147E6">
              <w:rPr>
                <w:lang w:val="es-ES"/>
              </w:rPr>
              <w:t xml:space="preserve">nforme </w:t>
            </w:r>
            <w:r w:rsidRPr="00F147E6">
              <w:rPr>
                <w:lang w:val="es-ES"/>
              </w:rPr>
              <w:t xml:space="preserve">de gestión financiera </w:t>
            </w:r>
            <w:bookmarkEnd w:id="13"/>
            <w:r w:rsidRPr="00F147E6">
              <w:rPr>
                <w:lang w:val="es-ES"/>
              </w:rPr>
              <w:t>auditada para el ejercicio 2019</w:t>
            </w:r>
          </w:p>
        </w:tc>
        <w:tc>
          <w:tcPr>
            <w:tcW w:w="2181" w:type="dxa"/>
          </w:tcPr>
          <w:p w14:paraId="499446AD" w14:textId="1C75CC32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82" w:history="1">
              <w:r w:rsidR="00E52715" w:rsidRPr="00E52715">
                <w:rPr>
                  <w:rStyle w:val="Hyperlink"/>
                  <w:lang w:val="en-US"/>
                </w:rPr>
                <w:t>C20/42(R</w:t>
              </w:r>
              <w:r w:rsidR="00E52715" w:rsidRPr="00E52715">
                <w:rPr>
                  <w:rStyle w:val="Hyperlink"/>
                  <w:lang w:val="en-US"/>
                </w:rPr>
                <w:t>e</w:t>
              </w:r>
              <w:r w:rsidR="00E52715" w:rsidRPr="00E52715">
                <w:rPr>
                  <w:rStyle w:val="Hyperlink"/>
                  <w:lang w:val="en-US"/>
                </w:rPr>
                <w:t>v.1)</w:t>
              </w:r>
            </w:hyperlink>
          </w:p>
        </w:tc>
        <w:tc>
          <w:tcPr>
            <w:tcW w:w="5746" w:type="dxa"/>
          </w:tcPr>
          <w:p w14:paraId="58682793" w14:textId="12A9FBE4" w:rsidR="00E52715" w:rsidRPr="00D57908" w:rsidRDefault="00117644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222144">
              <w:rPr>
                <w:lang w:val="es-ES"/>
              </w:rPr>
              <w:t>Al tratarse</w:t>
            </w:r>
            <w:r w:rsidR="00F147E6" w:rsidRPr="00D57908">
              <w:rPr>
                <w:rFonts w:eastAsia="Times New Roman" w:cs="Times New Roman"/>
                <w:szCs w:val="20"/>
                <w:lang w:val="es-ES"/>
              </w:rPr>
              <w:t xml:space="preserve"> de cuestiones urgentes, se </w:t>
            </w:r>
            <w:r w:rsidR="00222144">
              <w:rPr>
                <w:rFonts w:eastAsia="Times New Roman" w:cs="Times New Roman"/>
                <w:szCs w:val="20"/>
                <w:lang w:val="es-ES"/>
              </w:rPr>
              <w:t xml:space="preserve">decidió </w:t>
            </w:r>
            <w:r w:rsidR="00F147E6" w:rsidRPr="00D57908">
              <w:rPr>
                <w:rFonts w:eastAsia="Times New Roman" w:cs="Times New Roman"/>
                <w:szCs w:val="20"/>
                <w:lang w:val="es-ES"/>
              </w:rPr>
              <w:t>llevar a cabo una consulta por correspondencia de los Estados Miembros del Consejo sobre el informe de gestión financiera relativo a las cuentas auditadas y sobre la aprobación del proyecto de Resolución que figura en el Anexo A.</w:t>
            </w:r>
          </w:p>
        </w:tc>
        <w:tc>
          <w:tcPr>
            <w:tcW w:w="1927" w:type="dxa"/>
          </w:tcPr>
          <w:p w14:paraId="2EC30C3E" w14:textId="13B3D5DF" w:rsidR="00E52715" w:rsidRPr="00222144" w:rsidRDefault="00222144" w:rsidP="00970925">
            <w:pPr>
              <w:pStyle w:val="Tabletext"/>
              <w:rPr>
                <w:lang w:val="es-ES"/>
              </w:rPr>
            </w:pPr>
            <w:r w:rsidRPr="00222144">
              <w:rPr>
                <w:lang w:val="es-ES"/>
              </w:rPr>
              <w:t>Se aprobó el Informe de ges</w:t>
            </w:r>
            <w:r w:rsidR="00131420">
              <w:rPr>
                <w:lang w:val="es-ES"/>
              </w:rPr>
              <w:t>t</w:t>
            </w:r>
            <w:r w:rsidRPr="00222144">
              <w:rPr>
                <w:lang w:val="es-ES"/>
              </w:rPr>
              <w:t>ión financiera</w:t>
            </w:r>
            <w:r w:rsidR="00E52715" w:rsidRPr="00222144">
              <w:rPr>
                <w:lang w:val="es-ES"/>
              </w:rPr>
              <w:t xml:space="preserve"> (</w:t>
            </w:r>
            <w:hyperlink r:id="rId83" w:history="1">
              <w:r w:rsidR="00E52715" w:rsidRPr="00222144">
                <w:rPr>
                  <w:rStyle w:val="Hyperlink"/>
                  <w:lang w:val="es-ES"/>
                </w:rPr>
                <w:t>R</w:t>
              </w:r>
              <w:r w:rsidR="00E52715" w:rsidRPr="00222144">
                <w:rPr>
                  <w:rStyle w:val="Hyperlink"/>
                  <w:lang w:val="es-ES"/>
                </w:rPr>
                <w:t>1</w:t>
              </w:r>
              <w:r w:rsidR="00E52715" w:rsidRPr="00222144">
                <w:rPr>
                  <w:rStyle w:val="Hyperlink"/>
                  <w:lang w:val="es-ES"/>
                </w:rPr>
                <w:t>400</w:t>
              </w:r>
            </w:hyperlink>
            <w:r w:rsidR="00E52715" w:rsidRPr="00222144">
              <w:rPr>
                <w:lang w:val="es-ES"/>
              </w:rPr>
              <w:t>).</w:t>
            </w:r>
          </w:p>
        </w:tc>
      </w:tr>
      <w:tr w:rsidR="00E52715" w:rsidRPr="00222144" w14:paraId="7B079A4C" w14:textId="77777777" w:rsidTr="0083579A">
        <w:trPr>
          <w:jc w:val="center"/>
        </w:trPr>
        <w:tc>
          <w:tcPr>
            <w:tcW w:w="4134" w:type="dxa"/>
          </w:tcPr>
          <w:p w14:paraId="6544EF8D" w14:textId="504D1BDD" w:rsidR="00E52715" w:rsidRPr="00F147E6" w:rsidRDefault="00F147E6" w:rsidP="00F147E6">
            <w:pPr>
              <w:pStyle w:val="Tabletext"/>
              <w:rPr>
                <w:lang w:val="es-ES"/>
              </w:rPr>
            </w:pPr>
            <w:r w:rsidRPr="00F147E6">
              <w:rPr>
                <w:lang w:val="es-ES"/>
              </w:rPr>
              <w:t xml:space="preserve">Informe del Auditor Externo: </w:t>
            </w:r>
            <w:r w:rsidR="00786399">
              <w:rPr>
                <w:lang w:val="es-ES"/>
              </w:rPr>
              <w:t>c</w:t>
            </w:r>
            <w:r w:rsidRPr="00F147E6">
              <w:rPr>
                <w:lang w:val="es-ES"/>
              </w:rPr>
              <w:t>uentas de la Unión 2019</w:t>
            </w:r>
          </w:p>
        </w:tc>
        <w:tc>
          <w:tcPr>
            <w:tcW w:w="2181" w:type="dxa"/>
          </w:tcPr>
          <w:p w14:paraId="20A6E8D0" w14:textId="58DD06CF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84" w:history="1">
              <w:r w:rsidR="00E52715" w:rsidRPr="00E52715">
                <w:rPr>
                  <w:rStyle w:val="Hyperlink"/>
                  <w:lang w:val="en-US"/>
                </w:rPr>
                <w:t>C2</w:t>
              </w:r>
              <w:r w:rsidR="00E52715" w:rsidRPr="00E52715">
                <w:rPr>
                  <w:rStyle w:val="Hyperlink"/>
                  <w:lang w:val="en-US"/>
                </w:rPr>
                <w:t>0</w:t>
              </w:r>
              <w:r w:rsidR="00E52715" w:rsidRPr="00E52715">
                <w:rPr>
                  <w:rStyle w:val="Hyperlink"/>
                  <w:lang w:val="en-US"/>
                </w:rPr>
                <w:t>/40</w:t>
              </w:r>
            </w:hyperlink>
          </w:p>
        </w:tc>
        <w:tc>
          <w:tcPr>
            <w:tcW w:w="5746" w:type="dxa"/>
          </w:tcPr>
          <w:p w14:paraId="3E3E3F51" w14:textId="65864B36" w:rsidR="00E52715" w:rsidRPr="00D57908" w:rsidRDefault="00117644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222144">
              <w:rPr>
                <w:lang w:val="es-ES"/>
              </w:rPr>
              <w:t>Al tratarse de</w:t>
            </w:r>
            <w:r w:rsidR="00F147E6" w:rsidRPr="00D57908">
              <w:rPr>
                <w:rFonts w:eastAsia="Times New Roman" w:cs="Times New Roman"/>
                <w:szCs w:val="20"/>
                <w:lang w:val="es-ES"/>
              </w:rPr>
              <w:t xml:space="preserve"> un tema urgente, se </w:t>
            </w:r>
            <w:r w:rsidR="00222144">
              <w:rPr>
                <w:rFonts w:eastAsia="Times New Roman" w:cs="Times New Roman"/>
                <w:szCs w:val="20"/>
                <w:lang w:val="es-ES"/>
              </w:rPr>
              <w:t xml:space="preserve">decidió </w:t>
            </w:r>
            <w:r w:rsidR="00F147E6" w:rsidRPr="00D57908">
              <w:rPr>
                <w:rFonts w:eastAsia="Times New Roman" w:cs="Times New Roman"/>
                <w:szCs w:val="20"/>
                <w:lang w:val="es-ES"/>
              </w:rPr>
              <w:t xml:space="preserve">llevar a </w:t>
            </w:r>
            <w:r w:rsidR="00F147E6" w:rsidRPr="006809B6">
              <w:t>cabo</w:t>
            </w:r>
            <w:r w:rsidR="00F147E6" w:rsidRPr="00D57908">
              <w:rPr>
                <w:rFonts w:eastAsia="Times New Roman" w:cs="Times New Roman"/>
                <w:szCs w:val="20"/>
                <w:lang w:val="es-ES"/>
              </w:rPr>
              <w:t xml:space="preserve"> una consulta por correspondencia de los Estados Miembros del Consejo sobre la aprobación de las cuentas auditadas del </w:t>
            </w:r>
            <w:r w:rsidR="00131420" w:rsidRPr="00D57908">
              <w:rPr>
                <w:rFonts w:eastAsia="Times New Roman" w:cs="Times New Roman"/>
                <w:szCs w:val="20"/>
                <w:lang w:val="es-ES"/>
              </w:rPr>
              <w:t xml:space="preserve">Documento </w:t>
            </w:r>
            <w:r w:rsidR="00F147E6" w:rsidRPr="00D57908">
              <w:rPr>
                <w:rFonts w:eastAsia="Times New Roman" w:cs="Times New Roman"/>
                <w:szCs w:val="20"/>
                <w:lang w:val="es-ES"/>
              </w:rPr>
              <w:t>C20/40.</w:t>
            </w:r>
          </w:p>
        </w:tc>
        <w:tc>
          <w:tcPr>
            <w:tcW w:w="1927" w:type="dxa"/>
          </w:tcPr>
          <w:p w14:paraId="750FD266" w14:textId="1DC898D9" w:rsidR="00E52715" w:rsidRPr="00222144" w:rsidRDefault="00222144" w:rsidP="00970925">
            <w:pPr>
              <w:pStyle w:val="Tabletext"/>
              <w:rPr>
                <w:lang w:val="es-ES"/>
              </w:rPr>
            </w:pPr>
            <w:r w:rsidRPr="00222144">
              <w:rPr>
                <w:lang w:val="es-ES"/>
              </w:rPr>
              <w:t>Se aprobó el Informe d</w:t>
            </w:r>
            <w:r>
              <w:rPr>
                <w:lang w:val="es-ES"/>
              </w:rPr>
              <w:t>el Auditor Externo.</w:t>
            </w:r>
          </w:p>
        </w:tc>
      </w:tr>
      <w:tr w:rsidR="00E52715" w:rsidRPr="00E52715" w14:paraId="3A1FE3C6" w14:textId="77777777" w:rsidTr="0083579A">
        <w:trPr>
          <w:jc w:val="center"/>
        </w:trPr>
        <w:tc>
          <w:tcPr>
            <w:tcW w:w="4134" w:type="dxa"/>
          </w:tcPr>
          <w:p w14:paraId="6DB75090" w14:textId="04D5A96D" w:rsidR="00E52715" w:rsidRPr="00F147E6" w:rsidRDefault="00F147E6" w:rsidP="00F147E6">
            <w:pPr>
              <w:pStyle w:val="Tabletext"/>
              <w:rPr>
                <w:lang w:val="es-ES"/>
              </w:rPr>
            </w:pPr>
            <w:r w:rsidRPr="00F147E6">
              <w:rPr>
                <w:lang w:val="es-ES"/>
              </w:rPr>
              <w:t>Informe del Auditor Interno sobre actividades de auditoría interna</w:t>
            </w:r>
          </w:p>
        </w:tc>
        <w:tc>
          <w:tcPr>
            <w:tcW w:w="2181" w:type="dxa"/>
          </w:tcPr>
          <w:p w14:paraId="2C9AA75D" w14:textId="4553DE3E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85" w:history="1">
              <w:r w:rsidR="00E52715" w:rsidRPr="00E52715">
                <w:rPr>
                  <w:rStyle w:val="Hyperlink"/>
                  <w:lang w:val="en-US"/>
                </w:rPr>
                <w:t>C20/</w:t>
              </w:r>
              <w:r w:rsidR="00E52715" w:rsidRPr="00E52715">
                <w:rPr>
                  <w:rStyle w:val="Hyperlink"/>
                  <w:lang w:val="en-US"/>
                </w:rPr>
                <w:t>4</w:t>
              </w:r>
              <w:r w:rsidR="00E52715" w:rsidRPr="00E52715">
                <w:rPr>
                  <w:rStyle w:val="Hyperlink"/>
                  <w:lang w:val="en-US"/>
                </w:rPr>
                <w:t>4</w:t>
              </w:r>
            </w:hyperlink>
          </w:p>
        </w:tc>
        <w:tc>
          <w:tcPr>
            <w:tcW w:w="5746" w:type="dxa"/>
          </w:tcPr>
          <w:p w14:paraId="441368C9" w14:textId="67645500" w:rsidR="00E52715" w:rsidRPr="00D57908" w:rsidRDefault="00117644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222144">
              <w:rPr>
                <w:lang w:val="es-ES"/>
              </w:rPr>
              <w:t>Al tratarse de</w:t>
            </w:r>
            <w:r w:rsidRPr="00D57908">
              <w:rPr>
                <w:rFonts w:eastAsia="Times New Roman" w:cs="Times New Roman"/>
                <w:szCs w:val="20"/>
                <w:lang w:val="es-ES"/>
              </w:rPr>
              <w:t xml:space="preserve"> cuestiones urgentes, se </w:t>
            </w:r>
            <w:r w:rsidR="00222144">
              <w:rPr>
                <w:rFonts w:eastAsia="Times New Roman" w:cs="Times New Roman"/>
                <w:szCs w:val="20"/>
                <w:lang w:val="es-ES"/>
              </w:rPr>
              <w:t xml:space="preserve">decidió </w:t>
            </w:r>
            <w:r w:rsidRPr="006809B6">
              <w:t>realizar</w:t>
            </w:r>
            <w:r w:rsidRPr="00D57908">
              <w:rPr>
                <w:rFonts w:eastAsia="Times New Roman" w:cs="Times New Roman"/>
                <w:szCs w:val="20"/>
                <w:lang w:val="es-ES"/>
              </w:rPr>
              <w:t xml:space="preserve"> una consulta por correspondencia de los Estados Miembros del Consejo para tomar nota del informe del Auditor Interno sobre las actividades de auditoría interna.</w:t>
            </w:r>
          </w:p>
        </w:tc>
        <w:tc>
          <w:tcPr>
            <w:tcW w:w="1927" w:type="dxa"/>
          </w:tcPr>
          <w:p w14:paraId="37A7C43B" w14:textId="0BD832D5" w:rsidR="00E52715" w:rsidRPr="00222144" w:rsidRDefault="00222144" w:rsidP="00970925">
            <w:pPr>
              <w:pStyle w:val="Tabletext"/>
              <w:rPr>
                <w:lang w:val="es-ES"/>
              </w:rPr>
            </w:pPr>
            <w:r w:rsidRPr="00222144">
              <w:rPr>
                <w:lang w:val="es-ES"/>
              </w:rPr>
              <w:t>Se tomó nota del I</w:t>
            </w:r>
            <w:r>
              <w:rPr>
                <w:lang w:val="es-ES"/>
              </w:rPr>
              <w:t>nforme.</w:t>
            </w:r>
          </w:p>
        </w:tc>
      </w:tr>
      <w:tr w:rsidR="00E52715" w:rsidRPr="00222144" w14:paraId="7B1FCE91" w14:textId="77777777" w:rsidTr="0083579A">
        <w:trPr>
          <w:jc w:val="center"/>
        </w:trPr>
        <w:tc>
          <w:tcPr>
            <w:tcW w:w="4134" w:type="dxa"/>
          </w:tcPr>
          <w:p w14:paraId="747202AF" w14:textId="526EE07F" w:rsidR="00E52715" w:rsidRPr="00117644" w:rsidRDefault="00117644" w:rsidP="00117644">
            <w:pPr>
              <w:pStyle w:val="Tabletext"/>
              <w:rPr>
                <w:lang w:val="es-ES"/>
              </w:rPr>
            </w:pPr>
            <w:r w:rsidRPr="00117644">
              <w:rPr>
                <w:lang w:val="es-ES"/>
              </w:rPr>
              <w:t>Informe del Comité Asesor Independiente sobre la Gestión (CAIG)</w:t>
            </w:r>
            <w:r w:rsidR="00E52715" w:rsidRPr="00117644">
              <w:rPr>
                <w:lang w:val="es-ES"/>
              </w:rPr>
              <w:br/>
              <w:t>(Res. 162) (</w:t>
            </w:r>
            <w:r w:rsidR="00222144">
              <w:rPr>
                <w:lang w:val="es-ES"/>
              </w:rPr>
              <w:t>A</w:t>
            </w:r>
            <w:r w:rsidR="00E52715" w:rsidRPr="00117644">
              <w:rPr>
                <w:lang w:val="es-ES"/>
              </w:rPr>
              <w:t xml:space="preserve"> 565)</w:t>
            </w:r>
          </w:p>
        </w:tc>
        <w:tc>
          <w:tcPr>
            <w:tcW w:w="2181" w:type="dxa"/>
          </w:tcPr>
          <w:p w14:paraId="54DDF905" w14:textId="091FBC06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86" w:history="1">
              <w:r w:rsidR="00E52715" w:rsidRPr="00E52715">
                <w:rPr>
                  <w:rStyle w:val="Hyperlink"/>
                  <w:lang w:val="en-US"/>
                </w:rPr>
                <w:t>C20/22</w:t>
              </w:r>
              <w:r w:rsidR="00E52715" w:rsidRPr="00E52715">
                <w:rPr>
                  <w:rStyle w:val="Hyperlink"/>
                  <w:lang w:val="en-US"/>
                </w:rPr>
                <w:t>(</w:t>
              </w:r>
              <w:r w:rsidR="00E52715" w:rsidRPr="00E52715">
                <w:rPr>
                  <w:rStyle w:val="Hyperlink"/>
                  <w:lang w:val="en-US"/>
                </w:rPr>
                <w:t>Rev.1)</w:t>
              </w:r>
            </w:hyperlink>
          </w:p>
        </w:tc>
        <w:tc>
          <w:tcPr>
            <w:tcW w:w="5746" w:type="dxa"/>
          </w:tcPr>
          <w:p w14:paraId="62A721FC" w14:textId="55476F39" w:rsidR="00E52715" w:rsidRPr="00D57908" w:rsidRDefault="00117644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222144">
              <w:rPr>
                <w:lang w:val="es-ES"/>
              </w:rPr>
              <w:t>Al tratarse de</w:t>
            </w:r>
            <w:r w:rsidRPr="00D57908">
              <w:rPr>
                <w:rFonts w:eastAsia="Times New Roman" w:cs="Times New Roman"/>
                <w:szCs w:val="20"/>
                <w:lang w:val="es-ES"/>
              </w:rPr>
              <w:t xml:space="preserve"> cuestiones urgentes, se </w:t>
            </w:r>
            <w:r w:rsidR="00222144">
              <w:rPr>
                <w:rFonts w:eastAsia="Times New Roman" w:cs="Times New Roman"/>
                <w:szCs w:val="20"/>
                <w:lang w:val="es-ES"/>
              </w:rPr>
              <w:t xml:space="preserve">decidió </w:t>
            </w:r>
            <w:r w:rsidRPr="00D57908">
              <w:rPr>
                <w:rFonts w:eastAsia="Times New Roman" w:cs="Times New Roman"/>
                <w:szCs w:val="20"/>
                <w:lang w:val="es-ES"/>
              </w:rPr>
              <w:t xml:space="preserve">llevar a </w:t>
            </w:r>
            <w:r w:rsidRPr="006809B6">
              <w:t>cabo</w:t>
            </w:r>
            <w:r w:rsidRPr="00D57908">
              <w:rPr>
                <w:rFonts w:eastAsia="Times New Roman" w:cs="Times New Roman"/>
                <w:szCs w:val="20"/>
                <w:lang w:val="es-ES"/>
              </w:rPr>
              <w:t xml:space="preserve"> una consulta por correspondencia de los Estados Miembros del Consejo para aprobar el informe del CAIG y sus recomendaciones con miras a la adopción de medidas por parte de la </w:t>
            </w:r>
            <w:r w:rsidR="00222144">
              <w:rPr>
                <w:rFonts w:eastAsia="Times New Roman" w:cs="Times New Roman"/>
                <w:szCs w:val="20"/>
                <w:lang w:val="es-ES"/>
              </w:rPr>
              <w:t>S</w:t>
            </w:r>
            <w:r w:rsidRPr="00D57908">
              <w:rPr>
                <w:rFonts w:eastAsia="Times New Roman" w:cs="Times New Roman"/>
                <w:szCs w:val="20"/>
                <w:lang w:val="es-ES"/>
              </w:rPr>
              <w:t>ecretaría.</w:t>
            </w:r>
          </w:p>
        </w:tc>
        <w:tc>
          <w:tcPr>
            <w:tcW w:w="1927" w:type="dxa"/>
          </w:tcPr>
          <w:p w14:paraId="40CFB356" w14:textId="79F6FCAF" w:rsidR="00E52715" w:rsidRPr="00222144" w:rsidRDefault="00222144" w:rsidP="00970925">
            <w:pPr>
              <w:pStyle w:val="Tabletext"/>
              <w:rPr>
                <w:lang w:val="es-ES"/>
              </w:rPr>
            </w:pPr>
            <w:r w:rsidRPr="00222144">
              <w:rPr>
                <w:lang w:val="es-ES"/>
              </w:rPr>
              <w:t>Se tomó nota del I</w:t>
            </w:r>
            <w:r>
              <w:rPr>
                <w:lang w:val="es-ES"/>
              </w:rPr>
              <w:t>nforme y de las recomendaciones.</w:t>
            </w:r>
          </w:p>
        </w:tc>
      </w:tr>
      <w:tr w:rsidR="00E52715" w:rsidRPr="00E52715" w14:paraId="6794DF91" w14:textId="77777777" w:rsidTr="0083579A">
        <w:trPr>
          <w:jc w:val="center"/>
        </w:trPr>
        <w:tc>
          <w:tcPr>
            <w:tcW w:w="4134" w:type="dxa"/>
          </w:tcPr>
          <w:p w14:paraId="0E449933" w14:textId="79F09F87" w:rsidR="00E52715" w:rsidRPr="00117644" w:rsidRDefault="00117644" w:rsidP="00117644">
            <w:pPr>
              <w:pStyle w:val="Tabletext"/>
              <w:rPr>
                <w:lang w:val="es-ES"/>
              </w:rPr>
            </w:pPr>
            <w:r w:rsidRPr="00117644">
              <w:rPr>
                <w:lang w:val="es-ES"/>
              </w:rPr>
              <w:t>Informe del Grupo de Trabajo de la UIT encargado de los controles internos</w:t>
            </w:r>
          </w:p>
        </w:tc>
        <w:tc>
          <w:tcPr>
            <w:tcW w:w="2181" w:type="dxa"/>
          </w:tcPr>
          <w:p w14:paraId="78B5EB34" w14:textId="35F31193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87" w:history="1">
              <w:r w:rsidR="00E52715" w:rsidRPr="00E52715">
                <w:rPr>
                  <w:rStyle w:val="Hyperlink"/>
                  <w:lang w:val="en-US"/>
                </w:rPr>
                <w:t>C20/63</w:t>
              </w:r>
              <w:r w:rsidR="00E52715" w:rsidRPr="00E52715">
                <w:rPr>
                  <w:rStyle w:val="Hyperlink"/>
                  <w:lang w:val="en-US"/>
                </w:rPr>
                <w:t>(</w:t>
              </w:r>
              <w:r w:rsidR="00E52715" w:rsidRPr="00E52715">
                <w:rPr>
                  <w:rStyle w:val="Hyperlink"/>
                  <w:lang w:val="en-US"/>
                </w:rPr>
                <w:t>Rev.1)</w:t>
              </w:r>
            </w:hyperlink>
          </w:p>
        </w:tc>
        <w:tc>
          <w:tcPr>
            <w:tcW w:w="5746" w:type="dxa"/>
          </w:tcPr>
          <w:p w14:paraId="760D1423" w14:textId="0A387982" w:rsidR="00E52715" w:rsidRPr="00D57908" w:rsidRDefault="00117644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222144" w:rsidRPr="006809B6">
              <w:t>Al</w:t>
            </w:r>
            <w:r w:rsidR="00222144">
              <w:rPr>
                <w:lang w:val="es-ES"/>
              </w:rPr>
              <w:t xml:space="preserve"> tratarse de cuestiones </w:t>
            </w:r>
            <w:r w:rsidRPr="00D57908">
              <w:rPr>
                <w:rFonts w:eastAsia="Times New Roman" w:cs="Times New Roman"/>
                <w:szCs w:val="20"/>
                <w:lang w:val="es-ES"/>
              </w:rPr>
              <w:t xml:space="preserve">urgentes, se </w:t>
            </w:r>
            <w:r w:rsidR="00222144">
              <w:rPr>
                <w:rFonts w:eastAsia="Times New Roman" w:cs="Times New Roman"/>
                <w:szCs w:val="20"/>
                <w:lang w:val="es-ES"/>
              </w:rPr>
              <w:t xml:space="preserve">decidió </w:t>
            </w:r>
            <w:r w:rsidRPr="00D57908">
              <w:rPr>
                <w:rFonts w:eastAsia="Times New Roman" w:cs="Times New Roman"/>
                <w:szCs w:val="20"/>
                <w:lang w:val="es-ES"/>
              </w:rPr>
              <w:t xml:space="preserve">llevar a cabo una consulta por correspondencia de los Estados Miembros del Consejo para tomar nota del </w:t>
            </w:r>
            <w:r w:rsidR="00222144">
              <w:rPr>
                <w:rFonts w:eastAsia="Times New Roman" w:cs="Times New Roman"/>
                <w:szCs w:val="20"/>
                <w:lang w:val="es-ES"/>
              </w:rPr>
              <w:t>I</w:t>
            </w:r>
            <w:r w:rsidRPr="00D57908">
              <w:rPr>
                <w:rFonts w:eastAsia="Times New Roman" w:cs="Times New Roman"/>
                <w:szCs w:val="20"/>
                <w:lang w:val="es-ES"/>
              </w:rPr>
              <w:t>nforme del Grupo de Trabajo encargado de los controles internos.</w:t>
            </w:r>
          </w:p>
        </w:tc>
        <w:tc>
          <w:tcPr>
            <w:tcW w:w="1927" w:type="dxa"/>
          </w:tcPr>
          <w:p w14:paraId="6ECA726E" w14:textId="54E83E89" w:rsidR="00E52715" w:rsidRPr="00222144" w:rsidRDefault="00222144" w:rsidP="00970925">
            <w:pPr>
              <w:pStyle w:val="Tabletext"/>
              <w:rPr>
                <w:lang w:val="es-ES"/>
              </w:rPr>
            </w:pPr>
            <w:r w:rsidRPr="00222144">
              <w:rPr>
                <w:lang w:val="es-ES"/>
              </w:rPr>
              <w:t>Se tomó nota del I</w:t>
            </w:r>
            <w:r>
              <w:rPr>
                <w:lang w:val="es-ES"/>
              </w:rPr>
              <w:t>nforme.</w:t>
            </w:r>
          </w:p>
        </w:tc>
      </w:tr>
      <w:tr w:rsidR="00E52715" w:rsidRPr="00E52715" w14:paraId="5941B97D" w14:textId="77777777" w:rsidTr="0083579A">
        <w:trPr>
          <w:jc w:val="center"/>
        </w:trPr>
        <w:tc>
          <w:tcPr>
            <w:tcW w:w="4134" w:type="dxa"/>
            <w:shd w:val="clear" w:color="auto" w:fill="D9D9D9"/>
          </w:tcPr>
          <w:p w14:paraId="5551B662" w14:textId="66A220D6" w:rsidR="00E52715" w:rsidRPr="00C03BB4" w:rsidRDefault="00C03BB4" w:rsidP="00E52715">
            <w:pPr>
              <w:pStyle w:val="Tabletext"/>
              <w:rPr>
                <w:rFonts w:eastAsia="Times New Roman" w:cs="Times New Roman"/>
                <w:b/>
                <w:bCs/>
                <w:szCs w:val="20"/>
                <w:lang w:val="es-ES"/>
              </w:rPr>
            </w:pPr>
            <w:r w:rsidRPr="00786399">
              <w:rPr>
                <w:rFonts w:eastAsia="Times New Roman" w:cs="Times New Roman"/>
                <w:b/>
                <w:bCs/>
                <w:szCs w:val="20"/>
                <w:lang w:val="es-ES"/>
              </w:rPr>
              <w:lastRenderedPageBreak/>
              <w:t>Miércoles</w:t>
            </w:r>
            <w:r w:rsidR="00E52715" w:rsidRPr="00786399">
              <w:rPr>
                <w:rFonts w:eastAsia="Times New Roman" w:cs="Times New Roman"/>
                <w:b/>
                <w:bCs/>
                <w:szCs w:val="20"/>
                <w:lang w:val="es-ES"/>
              </w:rPr>
              <w:t xml:space="preserve">, 18 </w:t>
            </w:r>
            <w:r w:rsidRPr="00786399">
              <w:rPr>
                <w:rFonts w:eastAsia="Times New Roman" w:cs="Times New Roman"/>
                <w:b/>
                <w:bCs/>
                <w:szCs w:val="20"/>
                <w:lang w:val="es-ES"/>
              </w:rPr>
              <w:t>de noviembre</w:t>
            </w:r>
            <w:r w:rsidR="00E52715" w:rsidRPr="00786399">
              <w:rPr>
                <w:rFonts w:eastAsia="Times New Roman" w:cs="Times New Roman"/>
                <w:b/>
                <w:bCs/>
                <w:szCs w:val="20"/>
                <w:lang w:val="es-ES"/>
              </w:rPr>
              <w:t>, 12.00</w:t>
            </w:r>
            <w:r w:rsidR="00264CF4" w:rsidRPr="00786399">
              <w:rPr>
                <w:rFonts w:eastAsia="Times New Roman" w:cs="Times New Roman"/>
                <w:b/>
                <w:bCs/>
                <w:szCs w:val="20"/>
                <w:lang w:val="es-ES"/>
              </w:rPr>
              <w:noBreakHyphen/>
            </w:r>
            <w:r w:rsidR="00E52715" w:rsidRPr="00786399">
              <w:rPr>
                <w:rFonts w:eastAsia="Times New Roman" w:cs="Times New Roman"/>
                <w:b/>
                <w:bCs/>
                <w:szCs w:val="20"/>
                <w:lang w:val="es-ES"/>
              </w:rPr>
              <w:t>15.00</w:t>
            </w:r>
            <w:r w:rsidR="00264CF4" w:rsidRPr="00786399">
              <w:rPr>
                <w:rFonts w:eastAsia="Times New Roman" w:cs="Times New Roman"/>
                <w:b/>
                <w:bCs/>
                <w:szCs w:val="20"/>
                <w:lang w:val="es-ES"/>
              </w:rPr>
              <w:t> </w:t>
            </w:r>
            <w:r w:rsidRPr="00786399">
              <w:rPr>
                <w:rFonts w:eastAsia="Times New Roman" w:cs="Times New Roman"/>
                <w:b/>
                <w:bCs/>
                <w:szCs w:val="20"/>
                <w:lang w:val="es-ES"/>
              </w:rPr>
              <w:t>horas</w:t>
            </w:r>
          </w:p>
        </w:tc>
        <w:tc>
          <w:tcPr>
            <w:tcW w:w="2181" w:type="dxa"/>
            <w:shd w:val="clear" w:color="auto" w:fill="D9D9D9"/>
          </w:tcPr>
          <w:p w14:paraId="3ACEBF58" w14:textId="77777777" w:rsidR="00E52715" w:rsidRPr="00F147E6" w:rsidRDefault="00E52715" w:rsidP="00970925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746" w:type="dxa"/>
            <w:shd w:val="clear" w:color="auto" w:fill="D9D9D9"/>
          </w:tcPr>
          <w:p w14:paraId="288F6278" w14:textId="77777777" w:rsidR="00E52715" w:rsidRPr="00F147E6" w:rsidRDefault="00E52715" w:rsidP="00E52715">
            <w:pPr>
              <w:pStyle w:val="Tabletext"/>
              <w:rPr>
                <w:lang w:val="es-ES"/>
              </w:rPr>
            </w:pPr>
          </w:p>
        </w:tc>
        <w:tc>
          <w:tcPr>
            <w:tcW w:w="1927" w:type="dxa"/>
            <w:shd w:val="clear" w:color="auto" w:fill="D9D9D9"/>
          </w:tcPr>
          <w:p w14:paraId="1FC164B8" w14:textId="77777777" w:rsidR="00E52715" w:rsidRPr="00F147E6" w:rsidRDefault="00E52715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E52715" w:rsidRPr="00E52715" w14:paraId="0854C400" w14:textId="77777777" w:rsidTr="0083579A">
        <w:trPr>
          <w:jc w:val="center"/>
        </w:trPr>
        <w:tc>
          <w:tcPr>
            <w:tcW w:w="4134" w:type="dxa"/>
          </w:tcPr>
          <w:p w14:paraId="4975D7A9" w14:textId="4CE20782" w:rsidR="00E52715" w:rsidRPr="00DA41A5" w:rsidRDefault="00DA41A5" w:rsidP="00DA41A5">
            <w:pPr>
              <w:pStyle w:val="Tabletext"/>
              <w:rPr>
                <w:lang w:val="es-ES"/>
              </w:rPr>
            </w:pPr>
            <w:r w:rsidRPr="00DA41A5">
              <w:rPr>
                <w:lang w:val="es-ES"/>
              </w:rPr>
              <w:t>Resultados de las deliberaciones mantenidas el 17 de noviembre de 2020</w:t>
            </w:r>
          </w:p>
        </w:tc>
        <w:tc>
          <w:tcPr>
            <w:tcW w:w="2181" w:type="dxa"/>
          </w:tcPr>
          <w:p w14:paraId="48DF53C6" w14:textId="26ECA6A0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88" w:history="1">
              <w:r w:rsidR="00E52715" w:rsidRPr="00E52715">
                <w:rPr>
                  <w:rStyle w:val="Hyperlink"/>
                  <w:lang w:val="en-US"/>
                </w:rPr>
                <w:t>VC-2</w:t>
              </w:r>
              <w:r w:rsidR="00E52715" w:rsidRPr="00E52715">
                <w:rPr>
                  <w:rStyle w:val="Hyperlink"/>
                  <w:lang w:val="en-US"/>
                </w:rPr>
                <w:t>/</w:t>
              </w:r>
              <w:r w:rsidR="00E52715" w:rsidRPr="00E52715">
                <w:rPr>
                  <w:rStyle w:val="Hyperlink"/>
                  <w:lang w:val="en-US"/>
                </w:rPr>
                <w:t>DT/1(Rev.1)</w:t>
              </w:r>
            </w:hyperlink>
          </w:p>
        </w:tc>
        <w:tc>
          <w:tcPr>
            <w:tcW w:w="5746" w:type="dxa"/>
          </w:tcPr>
          <w:p w14:paraId="3A9DA38E" w14:textId="526DC5C0" w:rsidR="00E52715" w:rsidRPr="00DA41A5" w:rsidRDefault="00DA41A5" w:rsidP="006809B6">
            <w:pPr>
              <w:pStyle w:val="Tabletext"/>
              <w:ind w:left="552" w:hanging="552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E52715" w:rsidRPr="00DA41A5">
              <w:rPr>
                <w:lang w:val="es-ES"/>
              </w:rPr>
              <w:t xml:space="preserve">No </w:t>
            </w:r>
            <w:r w:rsidR="00222144">
              <w:rPr>
                <w:lang w:val="es-ES"/>
              </w:rPr>
              <w:t>se formularon observaciones</w:t>
            </w:r>
            <w:r w:rsidR="00E52715" w:rsidRPr="00DA41A5">
              <w:rPr>
                <w:lang w:val="es-ES"/>
              </w:rPr>
              <w:t>.</w:t>
            </w:r>
          </w:p>
        </w:tc>
        <w:tc>
          <w:tcPr>
            <w:tcW w:w="1927" w:type="dxa"/>
          </w:tcPr>
          <w:p w14:paraId="4C984325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E52715" w14:paraId="0BD53B30" w14:textId="77777777" w:rsidTr="0083579A">
        <w:trPr>
          <w:jc w:val="center"/>
        </w:trPr>
        <w:tc>
          <w:tcPr>
            <w:tcW w:w="4134" w:type="dxa"/>
          </w:tcPr>
          <w:p w14:paraId="36EFFA82" w14:textId="3B4A92E7" w:rsidR="00E52715" w:rsidRPr="00DA41A5" w:rsidRDefault="00DA41A5" w:rsidP="00DA41A5">
            <w:pPr>
              <w:pStyle w:val="Tabletext"/>
              <w:rPr>
                <w:lang w:val="es-ES"/>
              </w:rPr>
            </w:pPr>
            <w:r w:rsidRPr="00DA41A5">
              <w:rPr>
                <w:lang w:val="es-ES"/>
              </w:rPr>
              <w:t>Preparativos para la CMDT-21</w:t>
            </w:r>
          </w:p>
        </w:tc>
        <w:tc>
          <w:tcPr>
            <w:tcW w:w="2181" w:type="dxa"/>
          </w:tcPr>
          <w:p w14:paraId="2F6A2425" w14:textId="5C74D8CE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89" w:history="1">
              <w:r w:rsidR="00E52715" w:rsidRPr="00E52715">
                <w:rPr>
                  <w:rStyle w:val="Hyperlink"/>
                  <w:lang w:val="en-US"/>
                </w:rPr>
                <w:t>C20/30(</w:t>
              </w:r>
              <w:r w:rsidR="00E52715" w:rsidRPr="00E52715">
                <w:rPr>
                  <w:rStyle w:val="Hyperlink"/>
                  <w:lang w:val="en-US"/>
                </w:rPr>
                <w:t>R</w:t>
              </w:r>
              <w:r w:rsidR="00E52715" w:rsidRPr="00E52715">
                <w:rPr>
                  <w:rStyle w:val="Hyperlink"/>
                  <w:lang w:val="en-US"/>
                </w:rPr>
                <w:t>ev.1)</w:t>
              </w:r>
            </w:hyperlink>
          </w:p>
        </w:tc>
        <w:tc>
          <w:tcPr>
            <w:tcW w:w="5746" w:type="dxa"/>
          </w:tcPr>
          <w:p w14:paraId="15F96DE5" w14:textId="5CFCD98B" w:rsidR="00E52715" w:rsidRPr="00DA41A5" w:rsidRDefault="0095200E" w:rsidP="006809B6">
            <w:pPr>
              <w:pStyle w:val="Tabletext"/>
              <w:ind w:left="552" w:hanging="552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222144">
              <w:rPr>
                <w:lang w:val="es-ES"/>
              </w:rPr>
              <w:t xml:space="preserve">Al tratarse de un tema </w:t>
            </w:r>
            <w:r w:rsidR="00DA41A5" w:rsidRPr="00DA41A5">
              <w:rPr>
                <w:lang w:val="es-ES"/>
              </w:rPr>
              <w:t xml:space="preserve">urgente para la continuidad de las actividades, se </w:t>
            </w:r>
            <w:r w:rsidR="00222144">
              <w:rPr>
                <w:lang w:val="es-ES"/>
              </w:rPr>
              <w:t xml:space="preserve">decidió </w:t>
            </w:r>
            <w:r w:rsidR="00DA41A5" w:rsidRPr="00DA41A5">
              <w:rPr>
                <w:lang w:val="es-ES"/>
              </w:rPr>
              <w:t xml:space="preserve">llevar a cabo una consulta por correspondencia de los Estados Miembros del Consejo para tomar nota del </w:t>
            </w:r>
            <w:r w:rsidR="00222144">
              <w:rPr>
                <w:lang w:val="es-ES"/>
              </w:rPr>
              <w:t>I</w:t>
            </w:r>
            <w:r w:rsidR="00DA41A5" w:rsidRPr="00DA41A5">
              <w:rPr>
                <w:lang w:val="es-ES"/>
              </w:rPr>
              <w:t>nforme que figura en el Documento C20/30(Rev.1).</w:t>
            </w:r>
          </w:p>
          <w:p w14:paraId="1CF9A47D" w14:textId="046C7057" w:rsidR="00E52715" w:rsidRPr="00DA41A5" w:rsidRDefault="0095200E" w:rsidP="006809B6">
            <w:pPr>
              <w:pStyle w:val="Tabletext"/>
              <w:ind w:left="552" w:hanging="552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222144" w:rsidRPr="006809B6">
              <w:t>Se</w:t>
            </w:r>
            <w:r w:rsidR="00222144">
              <w:rPr>
                <w:lang w:val="es-ES"/>
              </w:rPr>
              <w:t xml:space="preserve"> acordó preparar</w:t>
            </w:r>
            <w:r w:rsidR="00DA41A5" w:rsidRPr="00DA41A5">
              <w:rPr>
                <w:lang w:val="es-ES"/>
              </w:rPr>
              <w:t xml:space="preserve"> un plan de contingencia </w:t>
            </w:r>
            <w:r w:rsidR="00222144">
              <w:rPr>
                <w:lang w:val="es-ES"/>
              </w:rPr>
              <w:t>en</w:t>
            </w:r>
            <w:r w:rsidR="00DA41A5" w:rsidRPr="00DA41A5">
              <w:rPr>
                <w:lang w:val="es-ES"/>
              </w:rPr>
              <w:t xml:space="preserve"> caso de que la CMDT no pudiera celebrarse en Etiopía.</w:t>
            </w:r>
          </w:p>
        </w:tc>
        <w:tc>
          <w:tcPr>
            <w:tcW w:w="1927" w:type="dxa"/>
          </w:tcPr>
          <w:p w14:paraId="30280F07" w14:textId="7BE0457C" w:rsidR="00E52715" w:rsidRPr="00222144" w:rsidRDefault="00222144" w:rsidP="00970925">
            <w:pPr>
              <w:pStyle w:val="Tabletext"/>
              <w:rPr>
                <w:lang w:val="es-ES"/>
              </w:rPr>
            </w:pPr>
            <w:r w:rsidRPr="00222144">
              <w:rPr>
                <w:lang w:val="es-ES"/>
              </w:rPr>
              <w:t>Se tomó nota del I</w:t>
            </w:r>
            <w:r>
              <w:rPr>
                <w:lang w:val="es-ES"/>
              </w:rPr>
              <w:t>nforme.</w:t>
            </w:r>
          </w:p>
        </w:tc>
      </w:tr>
      <w:tr w:rsidR="00186BE5" w:rsidRPr="00222144" w14:paraId="3B1F7F9E" w14:textId="77777777" w:rsidTr="0083579A">
        <w:trPr>
          <w:jc w:val="center"/>
        </w:trPr>
        <w:tc>
          <w:tcPr>
            <w:tcW w:w="4134" w:type="dxa"/>
            <w:tcBorders>
              <w:bottom w:val="nil"/>
            </w:tcBorders>
          </w:tcPr>
          <w:p w14:paraId="0E4C6A65" w14:textId="27EBB01C" w:rsidR="00186BE5" w:rsidRPr="00131420" w:rsidRDefault="00186BE5" w:rsidP="00DA41A5">
            <w:pPr>
              <w:pStyle w:val="Tabletext"/>
              <w:rPr>
                <w:lang w:val="es-ES"/>
              </w:rPr>
            </w:pPr>
            <w:bookmarkStart w:id="14" w:name="_Hlk65259760"/>
            <w:r w:rsidRPr="00131420">
              <w:rPr>
                <w:lang w:val="es-ES"/>
              </w:rPr>
              <w:t>Preparativos para la AMNT-21</w:t>
            </w:r>
          </w:p>
          <w:p w14:paraId="7976EA9B" w14:textId="090F5660" w:rsidR="00186BE5" w:rsidRPr="00131420" w:rsidRDefault="00186BE5" w:rsidP="00186BE5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Acuerdo 608 modificado (tras la Consulta)</w:t>
            </w:r>
            <w:bookmarkEnd w:id="14"/>
          </w:p>
        </w:tc>
        <w:tc>
          <w:tcPr>
            <w:tcW w:w="2181" w:type="dxa"/>
            <w:tcBorders>
              <w:bottom w:val="nil"/>
            </w:tcBorders>
          </w:tcPr>
          <w:p w14:paraId="621325CE" w14:textId="46EBAC83" w:rsidR="00186BE5" w:rsidRPr="00E52715" w:rsidRDefault="00186BE5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u w:val="single"/>
                <w:lang w:val="en-US"/>
              </w:rPr>
            </w:pPr>
            <w:hyperlink r:id="rId90" w:history="1">
              <w:r>
                <w:rPr>
                  <w:rStyle w:val="Hyperlink"/>
                  <w:lang w:val="en-US"/>
                </w:rPr>
                <w:t>C20/24</w:t>
              </w:r>
              <w:r>
                <w:rPr>
                  <w:rStyle w:val="Hyperlink"/>
                  <w:lang w:val="en-US"/>
                </w:rPr>
                <w:t>(</w:t>
              </w:r>
              <w:r>
                <w:rPr>
                  <w:rStyle w:val="Hyperlink"/>
                  <w:lang w:val="en-US"/>
                </w:rPr>
                <w:t>Rev.1)</w:t>
              </w:r>
            </w:hyperlink>
          </w:p>
          <w:p w14:paraId="67CF1DCF" w14:textId="62A03DE3" w:rsidR="00186BE5" w:rsidRPr="00186BE5" w:rsidRDefault="00186BE5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91" w:history="1">
              <w:r w:rsidRPr="00E52715">
                <w:rPr>
                  <w:rStyle w:val="Hyperlink"/>
                  <w:lang w:val="en-US"/>
                </w:rPr>
                <w:t>C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0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7</w:t>
              </w:r>
              <w:r w:rsidRPr="00E52715">
                <w:rPr>
                  <w:rStyle w:val="Hyperlink"/>
                  <w:lang w:val="en-US"/>
                </w:rPr>
                <w:t>2</w:t>
              </w:r>
            </w:hyperlink>
          </w:p>
        </w:tc>
        <w:tc>
          <w:tcPr>
            <w:tcW w:w="5746" w:type="dxa"/>
            <w:vMerge w:val="restart"/>
          </w:tcPr>
          <w:p w14:paraId="0FB77860" w14:textId="3EFA7371" w:rsidR="00186BE5" w:rsidRPr="00DA41A5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  <w:t xml:space="preserve">Al </w:t>
            </w:r>
            <w:r w:rsidRPr="006809B6">
              <w:t>tratarse</w:t>
            </w:r>
            <w:r>
              <w:rPr>
                <w:lang w:val="es-ES"/>
              </w:rPr>
              <w:t xml:space="preserve"> de un tema urgente, se decidió</w:t>
            </w:r>
            <w:r w:rsidRPr="00DA41A5">
              <w:rPr>
                <w:lang w:val="es-ES"/>
              </w:rPr>
              <w:t xml:space="preserve"> llevar a cabo una consulta por correspondencia con los Estados Miembros del Consejo:</w:t>
            </w:r>
          </w:p>
          <w:p w14:paraId="0C91BD1D" w14:textId="30D2843E" w:rsidR="00186BE5" w:rsidRPr="00DA41A5" w:rsidRDefault="00186BE5" w:rsidP="00264CF4">
            <w:pPr>
              <w:pStyle w:val="Tabletext"/>
              <w:ind w:left="982" w:hanging="437"/>
              <w:rPr>
                <w:lang w:val="es-ES"/>
              </w:rPr>
            </w:pPr>
            <w:r w:rsidRPr="00DA41A5">
              <w:rPr>
                <w:lang w:val="es-ES"/>
              </w:rPr>
              <w:t>1)</w:t>
            </w:r>
            <w:r>
              <w:rPr>
                <w:lang w:val="es-ES"/>
              </w:rPr>
              <w:tab/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para</w:t>
            </w:r>
            <w:r w:rsidRPr="00DA41A5">
              <w:rPr>
                <w:lang w:val="es-ES"/>
              </w:rPr>
              <w:t xml:space="preserve"> </w:t>
            </w:r>
            <w:r w:rsidRPr="00DA41A5">
              <w:t>tomar</w:t>
            </w:r>
            <w:r w:rsidRPr="00DA41A5">
              <w:rPr>
                <w:lang w:val="es-ES"/>
              </w:rPr>
              <w:t xml:space="preserve"> nota del Documento</w:t>
            </w:r>
            <w:r>
              <w:rPr>
                <w:lang w:val="es-ES"/>
              </w:rPr>
              <w:t> </w:t>
            </w:r>
            <w:r w:rsidRPr="00DA41A5">
              <w:rPr>
                <w:lang w:val="es-ES"/>
              </w:rPr>
              <w:t>C20/24(Rev.1);</w:t>
            </w:r>
          </w:p>
          <w:p w14:paraId="4E10CAE4" w14:textId="18437619" w:rsidR="00186BE5" w:rsidRPr="00DA41A5" w:rsidRDefault="00186BE5" w:rsidP="00264CF4">
            <w:pPr>
              <w:pStyle w:val="Tabletext"/>
              <w:ind w:left="982" w:hanging="437"/>
              <w:rPr>
                <w:lang w:val="es-ES"/>
              </w:rPr>
            </w:pPr>
            <w:r w:rsidRPr="00DA41A5">
              <w:rPr>
                <w:lang w:val="es-ES"/>
              </w:rPr>
              <w:t>2)</w:t>
            </w:r>
            <w:r>
              <w:rPr>
                <w:lang w:val="es-ES"/>
              </w:rPr>
              <w:tab/>
            </w:r>
            <w:r w:rsidRPr="00DA41A5">
              <w:rPr>
                <w:lang w:val="es-ES"/>
              </w:rPr>
              <w:t xml:space="preserve">a </w:t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fin</w:t>
            </w:r>
            <w:r w:rsidRPr="00DA41A5">
              <w:rPr>
                <w:lang w:val="es-ES"/>
              </w:rPr>
              <w:t xml:space="preserve"> de aprobar la modificación del</w:t>
            </w:r>
            <w:r>
              <w:rPr>
                <w:lang w:val="es-ES"/>
              </w:rPr>
              <w:t xml:space="preserve"> Acuerdo</w:t>
            </w:r>
            <w:r w:rsidRPr="00DA41A5">
              <w:rPr>
                <w:lang w:val="es-ES"/>
              </w:rPr>
              <w:t xml:space="preserve"> 608 para programar la AMNT del 1 al 9 de marzo de</w:t>
            </w:r>
            <w:r w:rsidR="00786399">
              <w:rPr>
                <w:lang w:val="es-ES"/>
              </w:rPr>
              <w:t> </w:t>
            </w:r>
            <w:r w:rsidRPr="00DA41A5">
              <w:rPr>
                <w:lang w:val="es-ES"/>
              </w:rPr>
              <w:t>2022, precedida por el SMN el 28 de febrero de 2022; y</w:t>
            </w:r>
          </w:p>
          <w:p w14:paraId="75445FFF" w14:textId="44B15DCB" w:rsidR="00186BE5" w:rsidRPr="00DA41A5" w:rsidRDefault="00186BE5" w:rsidP="00264CF4">
            <w:pPr>
              <w:pStyle w:val="Tabletext"/>
              <w:ind w:left="982" w:hanging="437"/>
              <w:rPr>
                <w:lang w:val="es-ES"/>
              </w:rPr>
            </w:pPr>
            <w:r w:rsidRPr="00DA41A5">
              <w:rPr>
                <w:lang w:val="es-ES"/>
              </w:rPr>
              <w:t>3)</w:t>
            </w:r>
            <w:r>
              <w:rPr>
                <w:lang w:val="es-ES"/>
              </w:rPr>
              <w:tab/>
            </w:r>
            <w:r w:rsidRPr="00DA41A5">
              <w:rPr>
                <w:lang w:val="es-ES"/>
              </w:rPr>
              <w:t xml:space="preserve">para </w:t>
            </w:r>
            <w:r w:rsidRPr="00DA41A5">
              <w:t>tomar</w:t>
            </w:r>
            <w:r w:rsidRPr="00DA41A5">
              <w:rPr>
                <w:lang w:val="es-ES"/>
              </w:rPr>
              <w:t xml:space="preserve"> nota del plan de continuidad de </w:t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los</w:t>
            </w:r>
            <w:r w:rsidRPr="00DA41A5">
              <w:rPr>
                <w:lang w:val="es-ES"/>
              </w:rPr>
              <w:t xml:space="preserve"> trabajos del UIT-T hasta la AMNT de marzo de</w:t>
            </w:r>
            <w:r w:rsidR="00786399">
              <w:rPr>
                <w:lang w:val="es-ES"/>
              </w:rPr>
              <w:t> </w:t>
            </w:r>
            <w:r w:rsidRPr="00DA41A5">
              <w:rPr>
                <w:lang w:val="es-ES"/>
              </w:rPr>
              <w:t>2022 que figura en el Documento VC-2/3.</w:t>
            </w:r>
          </w:p>
          <w:p w14:paraId="5B23AB4D" w14:textId="6C0047AE" w:rsidR="00186BE5" w:rsidRPr="00222144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  <w:r w:rsidRPr="00222144">
              <w:rPr>
                <w:lang w:val="es-ES"/>
              </w:rPr>
              <w:t>–</w:t>
            </w:r>
            <w:r w:rsidRPr="00222144">
              <w:rPr>
                <w:lang w:val="es-ES"/>
              </w:rPr>
              <w:tab/>
              <w:t xml:space="preserve">Se </w:t>
            </w:r>
            <w:r w:rsidRPr="006809B6">
              <w:t>tomó</w:t>
            </w:r>
            <w:r w:rsidRPr="00222144">
              <w:rPr>
                <w:lang w:val="es-ES"/>
              </w:rPr>
              <w:t xml:space="preserve"> nota de lo siguiente:</w:t>
            </w:r>
          </w:p>
          <w:p w14:paraId="29A89DB5" w14:textId="5B3B4C6B" w:rsidR="00186BE5" w:rsidRPr="0095200E" w:rsidRDefault="00186BE5" w:rsidP="00264CF4">
            <w:pPr>
              <w:pStyle w:val="Tabletext"/>
              <w:ind w:left="982" w:hanging="437"/>
              <w:rPr>
                <w:lang w:val="es-ES"/>
              </w:rPr>
            </w:pPr>
            <w:r w:rsidRPr="0095200E">
              <w:rPr>
                <w:lang w:val="es-ES"/>
              </w:rPr>
              <w:t>•</w:t>
            </w:r>
            <w:r w:rsidRPr="0095200E">
              <w:rPr>
                <w:lang w:val="es-ES"/>
              </w:rPr>
              <w:tab/>
              <w:t>el GANT celebrará tres reuniones antes de la</w:t>
            </w:r>
            <w:r w:rsidR="00786399">
              <w:rPr>
                <w:lang w:val="es-ES"/>
              </w:rPr>
              <w:t> </w:t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AMNT</w:t>
            </w:r>
            <w:r w:rsidRPr="0095200E">
              <w:rPr>
                <w:lang w:val="es-ES"/>
              </w:rPr>
              <w:t xml:space="preserve"> para dar continuidad a los trabajos del UIT</w:t>
            </w:r>
            <w:r w:rsidR="00393827">
              <w:rPr>
                <w:lang w:val="es-ES"/>
              </w:rPr>
              <w:noBreakHyphen/>
            </w:r>
            <w:r w:rsidRPr="0095200E">
              <w:rPr>
                <w:lang w:val="es-ES"/>
              </w:rPr>
              <w:t>T y preparar la AMNT;</w:t>
            </w:r>
          </w:p>
          <w:p w14:paraId="44B6EE36" w14:textId="77777777" w:rsidR="00186BE5" w:rsidRPr="0095200E" w:rsidRDefault="00186BE5" w:rsidP="00264CF4">
            <w:pPr>
              <w:pStyle w:val="Tabletext"/>
              <w:ind w:left="982" w:hanging="437"/>
              <w:rPr>
                <w:lang w:val="es-ES"/>
              </w:rPr>
            </w:pPr>
            <w:r w:rsidRPr="0095200E">
              <w:rPr>
                <w:lang w:val="es-ES"/>
              </w:rPr>
              <w:lastRenderedPageBreak/>
              <w:t>•</w:t>
            </w:r>
            <w:r w:rsidRPr="0095200E">
              <w:rPr>
                <w:lang w:val="es-ES"/>
              </w:rPr>
              <w:tab/>
              <w:t xml:space="preserve">antes de cada reunión del GANT se celebrará una reunión interregional para seguir </w:t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desarrollando</w:t>
            </w:r>
            <w:r w:rsidRPr="0095200E">
              <w:rPr>
                <w:lang w:val="es-ES"/>
              </w:rPr>
              <w:t xml:space="preserve"> el consenso entre las regiones;</w:t>
            </w:r>
          </w:p>
          <w:p w14:paraId="38DD7611" w14:textId="73B50D93" w:rsidR="00186BE5" w:rsidRPr="0095200E" w:rsidRDefault="00186BE5" w:rsidP="00264CF4">
            <w:pPr>
              <w:pStyle w:val="Tabletext"/>
              <w:ind w:left="982" w:hanging="437"/>
              <w:rPr>
                <w:lang w:val="es-ES"/>
              </w:rPr>
            </w:pPr>
            <w:r w:rsidRPr="0095200E">
              <w:rPr>
                <w:lang w:val="es-ES"/>
              </w:rPr>
              <w:t>•</w:t>
            </w:r>
            <w:r w:rsidRPr="0095200E">
              <w:rPr>
                <w:lang w:val="es-ES"/>
              </w:rPr>
              <w:tab/>
              <w:t xml:space="preserve">la TSB reconsiderará el calendario de </w:t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reuniones</w:t>
            </w:r>
            <w:r w:rsidRPr="0095200E">
              <w:rPr>
                <w:lang w:val="es-ES"/>
              </w:rPr>
              <w:t xml:space="preserve"> de las Comisiones de Estudio del</w:t>
            </w:r>
            <w:r>
              <w:rPr>
                <w:lang w:val="es-ES"/>
              </w:rPr>
              <w:t> </w:t>
            </w:r>
            <w:r w:rsidRPr="0095200E">
              <w:rPr>
                <w:lang w:val="es-ES"/>
              </w:rPr>
              <w:t>UIT-T para 2021;</w:t>
            </w:r>
          </w:p>
          <w:p w14:paraId="340DB9D9" w14:textId="32039796" w:rsidR="00186BE5" w:rsidRPr="00DA41A5" w:rsidRDefault="00186BE5" w:rsidP="00264CF4">
            <w:pPr>
              <w:pStyle w:val="Tabletext"/>
              <w:ind w:left="982" w:hanging="437"/>
              <w:rPr>
                <w:lang w:val="es-ES"/>
              </w:rPr>
            </w:pPr>
            <w:r w:rsidRPr="0095200E">
              <w:rPr>
                <w:lang w:val="es-ES"/>
              </w:rPr>
              <w:t>•</w:t>
            </w:r>
            <w:r w:rsidRPr="0095200E">
              <w:rPr>
                <w:lang w:val="es-ES"/>
              </w:rPr>
              <w:tab/>
            </w:r>
            <w:r w:rsidRPr="006809B6">
              <w:rPr>
                <w:rFonts w:eastAsia="Times New Roman" w:cs="Times New Roman"/>
                <w:szCs w:val="20"/>
                <w:lang w:val="es-ES"/>
              </w:rPr>
              <w:t>el</w:t>
            </w:r>
            <w:r w:rsidRPr="0095200E">
              <w:rPr>
                <w:lang w:val="es-ES"/>
              </w:rPr>
              <w:t xml:space="preserve"> GANT se celebrará en formato virtual y adoptará decisiones por consenso.</w:t>
            </w:r>
          </w:p>
        </w:tc>
        <w:tc>
          <w:tcPr>
            <w:tcW w:w="1927" w:type="dxa"/>
            <w:vMerge w:val="restart"/>
          </w:tcPr>
          <w:p w14:paraId="0D9F80DE" w14:textId="537038D0" w:rsidR="00186BE5" w:rsidRPr="00131420" w:rsidRDefault="00186BE5" w:rsidP="00970925">
            <w:pPr>
              <w:pStyle w:val="Tabletext"/>
              <w:rPr>
                <w:rFonts w:eastAsia="Times New Roman" w:cs="Times New Roman"/>
                <w:szCs w:val="20"/>
                <w:lang w:val="es-ES"/>
              </w:rPr>
            </w:pPr>
            <w:r w:rsidRPr="00131420">
              <w:rPr>
                <w:rFonts w:eastAsia="Times New Roman" w:cs="Times New Roman"/>
                <w:szCs w:val="20"/>
                <w:lang w:val="es-ES"/>
              </w:rPr>
              <w:lastRenderedPageBreak/>
              <w:t>Se tomó nota del plan de continuidad de los trabajos del UIT-T. Se ado</w:t>
            </w:r>
            <w:r>
              <w:rPr>
                <w:rFonts w:eastAsia="Times New Roman" w:cs="Times New Roman"/>
                <w:szCs w:val="20"/>
                <w:lang w:val="es-ES"/>
              </w:rPr>
              <w:t>p</w:t>
            </w:r>
            <w:r w:rsidRPr="00131420">
              <w:rPr>
                <w:rFonts w:eastAsia="Times New Roman" w:cs="Times New Roman"/>
                <w:szCs w:val="20"/>
                <w:lang w:val="es-ES"/>
              </w:rPr>
              <w:t xml:space="preserve">tó el </w:t>
            </w:r>
            <w:hyperlink r:id="rId92" w:history="1">
              <w:r w:rsidRPr="00131420">
                <w:rPr>
                  <w:rStyle w:val="Hyperlink"/>
                  <w:lang w:val="es-ES"/>
                </w:rPr>
                <w:t>Acuerdo</w:t>
              </w:r>
              <w:r w:rsidRPr="00131420">
                <w:rPr>
                  <w:rStyle w:val="Hyperlink"/>
                  <w:lang w:val="es-ES"/>
                </w:rPr>
                <w:t xml:space="preserve"> </w:t>
              </w:r>
              <w:r w:rsidRPr="00131420">
                <w:rPr>
                  <w:rStyle w:val="Hyperlink"/>
                  <w:lang w:val="es-ES"/>
                </w:rPr>
                <w:t>608</w:t>
              </w:r>
            </w:hyperlink>
            <w:r w:rsidRPr="00131420">
              <w:rPr>
                <w:rFonts w:eastAsia="Times New Roman" w:cs="Times New Roman"/>
                <w:szCs w:val="20"/>
                <w:lang w:val="es-ES"/>
              </w:rPr>
              <w:t xml:space="preserve"> m</w:t>
            </w:r>
            <w:r w:rsidRPr="00131420">
              <w:rPr>
                <w:lang w:val="es-ES"/>
              </w:rPr>
              <w:t>odificado</w:t>
            </w:r>
            <w:r w:rsidRPr="00131420">
              <w:rPr>
                <w:rFonts w:eastAsia="Times New Roman" w:cs="Times New Roman"/>
                <w:szCs w:val="20"/>
                <w:lang w:val="es-ES"/>
              </w:rPr>
              <w:t>.</w:t>
            </w:r>
          </w:p>
        </w:tc>
      </w:tr>
      <w:tr w:rsidR="00186BE5" w:rsidRPr="00222144" w14:paraId="241FD17F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2A5B096E" w14:textId="33207FBE" w:rsidR="00186BE5" w:rsidRPr="00186BE5" w:rsidRDefault="00186BE5" w:rsidP="00173D6F">
            <w:pPr>
              <w:pStyle w:val="Tabletext"/>
              <w:tabs>
                <w:tab w:val="left" w:pos="311"/>
              </w:tabs>
              <w:ind w:left="311" w:hanging="311"/>
              <w:rPr>
                <w:i/>
                <w:iCs/>
                <w:lang w:val="es-ES"/>
              </w:rPr>
            </w:pPr>
            <w:r w:rsidRPr="00131420">
              <w:rPr>
                <w:i/>
                <w:iCs/>
                <w:lang w:val="es-ES"/>
              </w:rPr>
              <w:t>–</w:t>
            </w:r>
            <w:r w:rsidRPr="00131420">
              <w:rPr>
                <w:i/>
                <w:iCs/>
                <w:lang w:val="es-ES"/>
              </w:rPr>
              <w:tab/>
              <w:t>Contribución de India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018581C7" w14:textId="28EB36C0" w:rsidR="00186BE5" w:rsidRDefault="00186BE5" w:rsidP="00970925">
            <w:pPr>
              <w:pStyle w:val="Tabletext"/>
              <w:jc w:val="center"/>
            </w:pPr>
            <w:hyperlink r:id="rId93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-</w:t>
              </w:r>
              <w:r w:rsidRPr="00E52715">
                <w:rPr>
                  <w:rStyle w:val="Hyperlink"/>
                  <w:lang w:val="en-US"/>
                </w:rPr>
                <w:t>2/3</w:t>
              </w:r>
            </w:hyperlink>
            <w:r w:rsidRPr="00E52715">
              <w:rPr>
                <w:rFonts w:eastAsia="Times New Roman" w:cs="Times New Roman"/>
                <w:szCs w:val="20"/>
                <w:lang w:val="en-US"/>
              </w:rPr>
              <w:br/>
            </w:r>
            <w:hyperlink r:id="rId94" w:history="1">
              <w:r w:rsidRPr="00E52715">
                <w:rPr>
                  <w:rStyle w:val="Hyperlink"/>
                  <w:lang w:val="en-US"/>
                </w:rPr>
                <w:t>V</w:t>
              </w:r>
              <w:r w:rsidRPr="00E52715">
                <w:rPr>
                  <w:rStyle w:val="Hyperlink"/>
                  <w:lang w:val="en-US"/>
                </w:rPr>
                <w:t>C</w:t>
              </w:r>
              <w:r w:rsidRPr="00E52715">
                <w:rPr>
                  <w:rStyle w:val="Hyperlink"/>
                  <w:lang w:val="en-US"/>
                </w:rPr>
                <w:t>-2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2</w:t>
              </w:r>
            </w:hyperlink>
          </w:p>
        </w:tc>
        <w:tc>
          <w:tcPr>
            <w:tcW w:w="5746" w:type="dxa"/>
            <w:vMerge/>
          </w:tcPr>
          <w:p w14:paraId="79D06756" w14:textId="77777777" w:rsidR="00186BE5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4B19495A" w14:textId="77777777" w:rsidR="00186BE5" w:rsidRPr="00131420" w:rsidRDefault="00186BE5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186BE5" w:rsidRPr="00222144" w14:paraId="519EC709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1AD37D32" w14:textId="277115DF" w:rsidR="00186BE5" w:rsidRPr="00186BE5" w:rsidRDefault="00186BE5" w:rsidP="00173D6F">
            <w:pPr>
              <w:pStyle w:val="Tabletext"/>
              <w:tabs>
                <w:tab w:val="left" w:pos="311"/>
              </w:tabs>
              <w:ind w:left="311" w:hanging="311"/>
              <w:rPr>
                <w:i/>
                <w:iCs/>
                <w:lang w:val="es-ES"/>
              </w:rPr>
            </w:pPr>
            <w:r w:rsidRPr="00131420">
              <w:rPr>
                <w:i/>
                <w:iCs/>
                <w:lang w:val="es-ES"/>
              </w:rPr>
              <w:t>–</w:t>
            </w:r>
            <w:r w:rsidRPr="00131420">
              <w:rPr>
                <w:i/>
                <w:iCs/>
                <w:lang w:val="es-ES"/>
              </w:rPr>
              <w:tab/>
              <w:t>Contribución de la Federación de Rusia, Azerbaiyán, Belarús, Uzbekistán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3E76B491" w14:textId="6E32C81F" w:rsidR="00186BE5" w:rsidRDefault="00186BE5" w:rsidP="00970925">
            <w:pPr>
              <w:pStyle w:val="Tabletext"/>
              <w:jc w:val="center"/>
            </w:pPr>
            <w:hyperlink r:id="rId95" w:history="1">
              <w:r>
                <w:rPr>
                  <w:rStyle w:val="Hyperlink"/>
                  <w:lang w:val="en-US"/>
                </w:rPr>
                <w:t>VC-2</w:t>
              </w:r>
              <w:r>
                <w:rPr>
                  <w:rStyle w:val="Hyperlink"/>
                  <w:lang w:val="en-US"/>
                </w:rPr>
                <w:t>/</w:t>
              </w:r>
              <w:r>
                <w:rPr>
                  <w:rStyle w:val="Hyperlink"/>
                  <w:lang w:val="en-US"/>
                </w:rPr>
                <w:t>4</w:t>
              </w:r>
              <w:r>
                <w:rPr>
                  <w:rStyle w:val="Hyperlink"/>
                  <w:lang w:val="en-US"/>
                </w:rPr>
                <w:t>(</w:t>
              </w:r>
              <w:r>
                <w:rPr>
                  <w:rStyle w:val="Hyperlink"/>
                  <w:lang w:val="en-US"/>
                </w:rPr>
                <w:t>C</w:t>
              </w:r>
              <w:r>
                <w:rPr>
                  <w:rStyle w:val="Hyperlink"/>
                  <w:lang w:val="en-US"/>
                </w:rPr>
                <w:t>o</w:t>
              </w:r>
              <w:r w:rsidR="0083579A">
                <w:rPr>
                  <w:rStyle w:val="Hyperlink"/>
                  <w:lang w:val="en-US"/>
                </w:rPr>
                <w:t>r</w:t>
              </w:r>
              <w:r>
                <w:rPr>
                  <w:rStyle w:val="Hyperlink"/>
                  <w:lang w:val="en-US"/>
                </w:rPr>
                <w:t>r.1)</w:t>
              </w:r>
            </w:hyperlink>
          </w:p>
        </w:tc>
        <w:tc>
          <w:tcPr>
            <w:tcW w:w="5746" w:type="dxa"/>
            <w:vMerge/>
          </w:tcPr>
          <w:p w14:paraId="6AF9EA80" w14:textId="77777777" w:rsidR="00186BE5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10A629D0" w14:textId="77777777" w:rsidR="00186BE5" w:rsidRPr="00131420" w:rsidRDefault="00186BE5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186BE5" w:rsidRPr="00222144" w14:paraId="1E153E86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53468021" w14:textId="4B837A97" w:rsidR="00186BE5" w:rsidRPr="00186BE5" w:rsidRDefault="00186BE5" w:rsidP="00173D6F">
            <w:pPr>
              <w:pStyle w:val="Tabletext"/>
              <w:tabs>
                <w:tab w:val="left" w:pos="311"/>
              </w:tabs>
              <w:ind w:left="311" w:hanging="311"/>
              <w:rPr>
                <w:i/>
                <w:iCs/>
                <w:lang w:val="es-ES"/>
              </w:rPr>
            </w:pPr>
            <w:r w:rsidRPr="00131420">
              <w:rPr>
                <w:i/>
                <w:iCs/>
                <w:lang w:val="es-ES"/>
              </w:rPr>
              <w:t>–</w:t>
            </w:r>
            <w:r w:rsidRPr="00131420">
              <w:rPr>
                <w:i/>
                <w:iCs/>
                <w:lang w:val="es-ES"/>
              </w:rPr>
              <w:tab/>
              <w:t>Contribución de Canadá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52AE665A" w14:textId="1E3CE1B3" w:rsidR="00186BE5" w:rsidRDefault="00186BE5" w:rsidP="00970925">
            <w:pPr>
              <w:pStyle w:val="Tabletext"/>
              <w:jc w:val="center"/>
            </w:pPr>
            <w:hyperlink r:id="rId96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-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/7</w:t>
              </w:r>
            </w:hyperlink>
          </w:p>
        </w:tc>
        <w:tc>
          <w:tcPr>
            <w:tcW w:w="5746" w:type="dxa"/>
            <w:vMerge/>
          </w:tcPr>
          <w:p w14:paraId="079967E9" w14:textId="77777777" w:rsidR="00186BE5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233407A0" w14:textId="77777777" w:rsidR="00186BE5" w:rsidRPr="00131420" w:rsidRDefault="00186BE5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186BE5" w:rsidRPr="00222144" w14:paraId="36CD192F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300C5367" w14:textId="06950B28" w:rsidR="00186BE5" w:rsidRPr="00186BE5" w:rsidRDefault="00186BE5" w:rsidP="00173D6F">
            <w:pPr>
              <w:pStyle w:val="Tabletext"/>
              <w:tabs>
                <w:tab w:val="left" w:pos="311"/>
              </w:tabs>
              <w:ind w:left="311" w:hanging="311"/>
              <w:rPr>
                <w:i/>
                <w:iCs/>
                <w:lang w:val="es-ES"/>
              </w:rPr>
            </w:pPr>
            <w:r w:rsidRPr="00131420">
              <w:rPr>
                <w:i/>
                <w:iCs/>
                <w:lang w:val="es-ES"/>
              </w:rPr>
              <w:t>–</w:t>
            </w:r>
            <w:r w:rsidRPr="00131420">
              <w:rPr>
                <w:i/>
                <w:iCs/>
                <w:lang w:val="es-ES"/>
              </w:rPr>
              <w:tab/>
              <w:t>Contribución de Estados Unidos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63E85D26" w14:textId="1FDCA15E" w:rsidR="00186BE5" w:rsidRPr="00186BE5" w:rsidRDefault="00186BE5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u w:val="single"/>
                <w:lang w:val="en-US"/>
              </w:rPr>
            </w:pPr>
            <w:hyperlink r:id="rId97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-</w:t>
              </w:r>
              <w:r w:rsidRPr="00E52715">
                <w:rPr>
                  <w:rStyle w:val="Hyperlink"/>
                  <w:lang w:val="en-US"/>
                </w:rPr>
                <w:t>2/8</w:t>
              </w:r>
            </w:hyperlink>
          </w:p>
        </w:tc>
        <w:tc>
          <w:tcPr>
            <w:tcW w:w="5746" w:type="dxa"/>
            <w:vMerge/>
          </w:tcPr>
          <w:p w14:paraId="644A66A0" w14:textId="77777777" w:rsidR="00186BE5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154FF094" w14:textId="77777777" w:rsidR="00186BE5" w:rsidRPr="00131420" w:rsidRDefault="00186BE5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186BE5" w:rsidRPr="00222144" w14:paraId="10A37140" w14:textId="77777777" w:rsidTr="0083579A">
        <w:trPr>
          <w:jc w:val="center"/>
        </w:trPr>
        <w:tc>
          <w:tcPr>
            <w:tcW w:w="4134" w:type="dxa"/>
            <w:tcBorders>
              <w:top w:val="nil"/>
            </w:tcBorders>
          </w:tcPr>
          <w:p w14:paraId="754BFB7C" w14:textId="014841B2" w:rsidR="00186BE5" w:rsidRPr="00131420" w:rsidRDefault="00186BE5" w:rsidP="00173D6F">
            <w:pPr>
              <w:pStyle w:val="Tabletext"/>
              <w:tabs>
                <w:tab w:val="left" w:pos="311"/>
              </w:tabs>
              <w:ind w:left="311" w:hanging="311"/>
              <w:rPr>
                <w:lang w:val="es-ES"/>
              </w:rPr>
            </w:pPr>
            <w:r w:rsidRPr="00131420">
              <w:rPr>
                <w:i/>
                <w:iCs/>
                <w:lang w:val="es-ES"/>
              </w:rPr>
              <w:t>–</w:t>
            </w:r>
            <w:r w:rsidRPr="00131420">
              <w:rPr>
                <w:i/>
                <w:iCs/>
                <w:lang w:val="es-ES"/>
              </w:rPr>
              <w:tab/>
              <w:t>Contribución de Bulgaria, Croacia, República Checa, Dinamarca, Finlandia Francia, Alemania, Hungría, Lituania, Malta, Países Bajos, Noruega, Polonia, Rumania, República Eslovaca, España, Suecia, Reino Unido</w:t>
            </w:r>
          </w:p>
        </w:tc>
        <w:tc>
          <w:tcPr>
            <w:tcW w:w="2181" w:type="dxa"/>
            <w:tcBorders>
              <w:top w:val="nil"/>
            </w:tcBorders>
          </w:tcPr>
          <w:p w14:paraId="7EFBB4F6" w14:textId="2DE075BD" w:rsidR="00186BE5" w:rsidRDefault="00186BE5" w:rsidP="00970925">
            <w:pPr>
              <w:pStyle w:val="Tabletext"/>
              <w:jc w:val="center"/>
            </w:pPr>
            <w:hyperlink r:id="rId98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-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9</w:t>
              </w:r>
            </w:hyperlink>
          </w:p>
        </w:tc>
        <w:tc>
          <w:tcPr>
            <w:tcW w:w="5746" w:type="dxa"/>
            <w:vMerge/>
          </w:tcPr>
          <w:p w14:paraId="195A3762" w14:textId="77777777" w:rsidR="00186BE5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350B6160" w14:textId="77777777" w:rsidR="00186BE5" w:rsidRPr="00131420" w:rsidRDefault="00186BE5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E52715" w:rsidRPr="00E16BD6" w14:paraId="519A1455" w14:textId="77777777" w:rsidTr="0083579A">
        <w:trPr>
          <w:jc w:val="center"/>
        </w:trPr>
        <w:tc>
          <w:tcPr>
            <w:tcW w:w="4134" w:type="dxa"/>
          </w:tcPr>
          <w:p w14:paraId="426FA85D" w14:textId="44A95957" w:rsidR="00E52715" w:rsidRPr="00D57908" w:rsidRDefault="00646A5B" w:rsidP="00646A5B">
            <w:pPr>
              <w:pStyle w:val="Tabletext"/>
              <w:rPr>
                <w:lang w:val="es-ES"/>
              </w:rPr>
            </w:pPr>
            <w:r w:rsidRPr="00602A80">
              <w:rPr>
                <w:lang w:val="es-ES"/>
              </w:rPr>
              <w:t xml:space="preserve">Preparativos para el FMPT-21 </w:t>
            </w:r>
            <w:r w:rsidR="00E52715" w:rsidRPr="00602A80">
              <w:rPr>
                <w:lang w:val="es-ES"/>
              </w:rPr>
              <w:t xml:space="preserve">(Res. 2, </w:t>
            </w:r>
            <w:r w:rsidR="00E16BD6" w:rsidRPr="00602A80">
              <w:rPr>
                <w:lang w:val="es-ES"/>
              </w:rPr>
              <w:t>A</w:t>
            </w:r>
            <w:r w:rsidR="00786399" w:rsidRPr="00602A80">
              <w:rPr>
                <w:lang w:val="es-ES"/>
              </w:rPr>
              <w:t> </w:t>
            </w:r>
            <w:r w:rsidR="00E52715" w:rsidRPr="00602A80">
              <w:rPr>
                <w:lang w:val="es-ES"/>
              </w:rPr>
              <w:t>611)</w:t>
            </w:r>
          </w:p>
        </w:tc>
        <w:tc>
          <w:tcPr>
            <w:tcW w:w="2181" w:type="dxa"/>
          </w:tcPr>
          <w:p w14:paraId="509ADB11" w14:textId="7115E558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99" w:history="1">
              <w:r w:rsidR="00CC1EB6">
                <w:rPr>
                  <w:rStyle w:val="Hyperlink"/>
                  <w:lang w:val="en-US"/>
                </w:rPr>
                <w:t>C20/5(Rev.1)</w:t>
              </w:r>
            </w:hyperlink>
          </w:p>
        </w:tc>
        <w:tc>
          <w:tcPr>
            <w:tcW w:w="5746" w:type="dxa"/>
          </w:tcPr>
          <w:p w14:paraId="5FD2E880" w14:textId="1B365256" w:rsidR="00E52715" w:rsidRPr="00D57908" w:rsidRDefault="00BD11FA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>
              <w:rPr>
                <w:rFonts w:eastAsia="Times New Roman" w:cs="Times New Roman"/>
                <w:szCs w:val="20"/>
                <w:lang w:val="es-ES"/>
              </w:rPr>
              <w:t>–</w:t>
            </w:r>
            <w:r>
              <w:rPr>
                <w:rFonts w:eastAsia="Times New Roman" w:cs="Times New Roman"/>
                <w:szCs w:val="20"/>
                <w:lang w:val="es-ES"/>
              </w:rPr>
              <w:tab/>
            </w:r>
            <w:r w:rsidR="00E16BD6" w:rsidRPr="006809B6">
              <w:t>Al</w:t>
            </w:r>
            <w:r w:rsidR="00E16BD6">
              <w:rPr>
                <w:rFonts w:eastAsia="Times New Roman" w:cs="Times New Roman"/>
                <w:szCs w:val="20"/>
                <w:lang w:val="es-ES"/>
              </w:rPr>
              <w:t xml:space="preserve"> tratarse de un tema urgente, se decidió llevar</w:t>
            </w:r>
            <w:r w:rsidRPr="00BD11FA">
              <w:rPr>
                <w:rFonts w:eastAsia="Times New Roman" w:cs="Times New Roman"/>
                <w:szCs w:val="20"/>
                <w:lang w:val="es-ES"/>
              </w:rPr>
              <w:t xml:space="preserve"> a cabo una consulta por correspondencia con los Estados Miembros del Consejo:</w:t>
            </w:r>
          </w:p>
          <w:p w14:paraId="7EE3C00A" w14:textId="04F2528B" w:rsidR="00BD11FA" w:rsidRDefault="00BD11FA" w:rsidP="00264CF4">
            <w:pPr>
              <w:pStyle w:val="Tabletext"/>
              <w:ind w:left="982" w:hanging="437"/>
              <w:rPr>
                <w:rFonts w:eastAsia="Times New Roman" w:cs="Times New Roman"/>
                <w:szCs w:val="20"/>
                <w:lang w:val="es-ES"/>
              </w:rPr>
            </w:pPr>
            <w:r w:rsidRPr="00BD11FA">
              <w:rPr>
                <w:rFonts w:eastAsia="Times New Roman" w:cs="Times New Roman"/>
                <w:szCs w:val="20"/>
                <w:lang w:val="es-ES"/>
              </w:rPr>
              <w:t>1)</w:t>
            </w:r>
            <w:r>
              <w:rPr>
                <w:rFonts w:eastAsia="Times New Roman" w:cs="Times New Roman"/>
                <w:szCs w:val="20"/>
                <w:lang w:val="es-ES"/>
              </w:rPr>
              <w:tab/>
            </w:r>
            <w:r w:rsidRPr="00BD11FA">
              <w:rPr>
                <w:rFonts w:eastAsia="Times New Roman" w:cs="Times New Roman"/>
                <w:szCs w:val="20"/>
                <w:lang w:val="es-ES"/>
              </w:rPr>
              <w:t xml:space="preserve">para tomar nota del </w:t>
            </w:r>
            <w:r w:rsidR="00E16BD6">
              <w:rPr>
                <w:rFonts w:eastAsia="Times New Roman" w:cs="Times New Roman"/>
                <w:szCs w:val="20"/>
                <w:lang w:val="es-ES"/>
              </w:rPr>
              <w:t>I</w:t>
            </w:r>
            <w:r w:rsidRPr="00BD11FA">
              <w:rPr>
                <w:rFonts w:eastAsia="Times New Roman" w:cs="Times New Roman"/>
                <w:szCs w:val="20"/>
                <w:lang w:val="es-ES"/>
              </w:rPr>
              <w:t>nforme que figura en el Documento C20/5(Rev.1);</w:t>
            </w:r>
          </w:p>
          <w:p w14:paraId="6341CBFA" w14:textId="4AA43BD9" w:rsidR="00BD11FA" w:rsidRDefault="00BD11FA" w:rsidP="00602A80">
            <w:pPr>
              <w:pStyle w:val="Tabletext"/>
              <w:ind w:left="982" w:hanging="437"/>
              <w:rPr>
                <w:rFonts w:eastAsia="Times New Roman" w:cs="Times New Roman"/>
                <w:szCs w:val="20"/>
                <w:lang w:val="es-ES"/>
              </w:rPr>
            </w:pPr>
            <w:r w:rsidRPr="00BD11FA">
              <w:rPr>
                <w:rFonts w:eastAsia="Times New Roman" w:cs="Times New Roman"/>
                <w:szCs w:val="20"/>
                <w:lang w:val="es-ES"/>
              </w:rPr>
              <w:t>2)</w:t>
            </w:r>
            <w:r>
              <w:rPr>
                <w:rFonts w:eastAsia="Times New Roman" w:cs="Times New Roman"/>
                <w:szCs w:val="20"/>
                <w:lang w:val="es-ES"/>
              </w:rPr>
              <w:tab/>
            </w:r>
            <w:r w:rsidRPr="00BD11FA">
              <w:rPr>
                <w:rFonts w:eastAsia="Times New Roman" w:cs="Times New Roman"/>
                <w:szCs w:val="20"/>
                <w:lang w:val="es-ES"/>
              </w:rPr>
              <w:t xml:space="preserve">para reprogramar la reunión presencial del FMPT </w:t>
            </w:r>
            <w:r w:rsidR="00E16BD6">
              <w:rPr>
                <w:rFonts w:eastAsia="Times New Roman" w:cs="Times New Roman"/>
                <w:szCs w:val="20"/>
                <w:lang w:val="es-ES"/>
              </w:rPr>
              <w:t>en</w:t>
            </w:r>
            <w:r w:rsidRPr="00BD11FA">
              <w:rPr>
                <w:rFonts w:eastAsia="Times New Roman" w:cs="Times New Roman"/>
                <w:szCs w:val="20"/>
                <w:lang w:val="es-ES"/>
              </w:rPr>
              <w:t xml:space="preserve"> diciembre de 2021, con fechas que se confirmar</w:t>
            </w:r>
            <w:r w:rsidR="00E16BD6">
              <w:rPr>
                <w:rFonts w:eastAsia="Times New Roman" w:cs="Times New Roman"/>
                <w:szCs w:val="20"/>
                <w:lang w:val="es-ES"/>
              </w:rPr>
              <w:t>ía</w:t>
            </w:r>
            <w:r w:rsidRPr="00BD11FA">
              <w:rPr>
                <w:rFonts w:eastAsia="Times New Roman" w:cs="Times New Roman"/>
                <w:szCs w:val="20"/>
                <w:lang w:val="es-ES"/>
              </w:rPr>
              <w:t>n el jueves 19 de noviembre de 2020; y</w:t>
            </w:r>
          </w:p>
          <w:p w14:paraId="003AD2D2" w14:textId="3AE9F780" w:rsidR="00E52715" w:rsidRPr="00D57908" w:rsidRDefault="00BD11FA" w:rsidP="00264CF4">
            <w:pPr>
              <w:pStyle w:val="Tabletext"/>
              <w:ind w:left="982" w:hanging="437"/>
              <w:rPr>
                <w:rFonts w:eastAsia="Times New Roman" w:cs="Times New Roman"/>
                <w:szCs w:val="20"/>
                <w:lang w:val="es-ES"/>
              </w:rPr>
            </w:pPr>
            <w:r w:rsidRPr="00BD11FA">
              <w:rPr>
                <w:rFonts w:eastAsia="Times New Roman" w:cs="Times New Roman"/>
                <w:szCs w:val="20"/>
                <w:lang w:val="es-ES"/>
              </w:rPr>
              <w:t>3)</w:t>
            </w:r>
            <w:r>
              <w:rPr>
                <w:rFonts w:eastAsia="Times New Roman" w:cs="Times New Roman"/>
                <w:szCs w:val="20"/>
                <w:lang w:val="es-ES"/>
              </w:rPr>
              <w:tab/>
            </w:r>
            <w:r w:rsidRPr="00BD11FA">
              <w:rPr>
                <w:rFonts w:eastAsia="Times New Roman" w:cs="Times New Roman"/>
                <w:szCs w:val="20"/>
                <w:lang w:val="es-ES"/>
              </w:rPr>
              <w:t xml:space="preserve">para aprobar un Acuerdo 611 </w:t>
            </w:r>
            <w:r w:rsidR="00E16BD6">
              <w:rPr>
                <w:rFonts w:eastAsia="Times New Roman" w:cs="Times New Roman"/>
                <w:szCs w:val="20"/>
                <w:lang w:val="es-ES"/>
              </w:rPr>
              <w:t>modificado</w:t>
            </w:r>
            <w:r w:rsidRPr="00BD11FA">
              <w:rPr>
                <w:rFonts w:eastAsia="Times New Roman" w:cs="Times New Roman"/>
                <w:szCs w:val="20"/>
                <w:lang w:val="es-ES"/>
              </w:rPr>
              <w:t xml:space="preserve"> con las nuevas fechas y el calendario preparatorio.</w:t>
            </w:r>
          </w:p>
        </w:tc>
        <w:tc>
          <w:tcPr>
            <w:tcW w:w="1927" w:type="dxa"/>
          </w:tcPr>
          <w:p w14:paraId="6BB67457" w14:textId="0B8360FA" w:rsidR="00E52715" w:rsidRPr="00131420" w:rsidRDefault="00E16BD6" w:rsidP="00970925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Se tomó nota del Informe</w:t>
            </w:r>
            <w:r w:rsidR="00E52715" w:rsidRPr="00131420">
              <w:rPr>
                <w:lang w:val="es-ES"/>
              </w:rPr>
              <w:t xml:space="preserve">. </w:t>
            </w:r>
            <w:r w:rsidRPr="00131420">
              <w:rPr>
                <w:lang w:val="es-ES"/>
              </w:rPr>
              <w:t>Se reprogramó la reunión presencial del FMPT del 16 al 18 de diciembre de</w:t>
            </w:r>
            <w:r w:rsidR="00602A80">
              <w:rPr>
                <w:lang w:val="es-ES"/>
              </w:rPr>
              <w:t> </w:t>
            </w:r>
            <w:r w:rsidR="00E52715" w:rsidRPr="00131420">
              <w:rPr>
                <w:lang w:val="es-ES"/>
              </w:rPr>
              <w:t xml:space="preserve">2021. </w:t>
            </w:r>
            <w:r w:rsidRPr="00131420">
              <w:rPr>
                <w:lang w:val="es-ES"/>
              </w:rPr>
              <w:t>Se adoptó el</w:t>
            </w:r>
            <w:r w:rsidR="00E52715" w:rsidRPr="00131420">
              <w:rPr>
                <w:lang w:val="es-ES"/>
              </w:rPr>
              <w:t xml:space="preserve"> </w:t>
            </w:r>
            <w:hyperlink r:id="rId100" w:history="1">
              <w:r w:rsidRPr="00131420">
                <w:rPr>
                  <w:rStyle w:val="Hyperlink"/>
                  <w:lang w:val="es-ES"/>
                </w:rPr>
                <w:t>Acuerdo</w:t>
              </w:r>
              <w:r w:rsidR="0083579A">
                <w:rPr>
                  <w:rStyle w:val="Hyperlink"/>
                  <w:lang w:val="es-ES"/>
                </w:rPr>
                <w:t> </w:t>
              </w:r>
              <w:r w:rsidR="00E52715" w:rsidRPr="00131420">
                <w:rPr>
                  <w:rStyle w:val="Hyperlink"/>
                  <w:lang w:val="es-ES"/>
                </w:rPr>
                <w:t>611</w:t>
              </w:r>
            </w:hyperlink>
            <w:r w:rsidR="00E52715" w:rsidRPr="00131420">
              <w:rPr>
                <w:lang w:val="es-ES"/>
              </w:rPr>
              <w:t xml:space="preserve"> </w:t>
            </w:r>
            <w:r w:rsidRPr="00131420">
              <w:rPr>
                <w:lang w:val="es-ES"/>
              </w:rPr>
              <w:t>modificado</w:t>
            </w:r>
            <w:r w:rsidR="00E52715" w:rsidRPr="00131420">
              <w:rPr>
                <w:lang w:val="es-ES"/>
              </w:rPr>
              <w:t>.</w:t>
            </w:r>
          </w:p>
        </w:tc>
      </w:tr>
      <w:tr w:rsidR="00E52715" w:rsidRPr="00E52715" w14:paraId="2BDFEF2C" w14:textId="77777777" w:rsidTr="0083579A">
        <w:trPr>
          <w:jc w:val="center"/>
        </w:trPr>
        <w:tc>
          <w:tcPr>
            <w:tcW w:w="4134" w:type="dxa"/>
          </w:tcPr>
          <w:p w14:paraId="1F0AEA4E" w14:textId="133A8412" w:rsidR="00E52715" w:rsidRPr="00D57908" w:rsidRDefault="00BD11FA" w:rsidP="00BD11FA">
            <w:pPr>
              <w:pStyle w:val="Tabletext"/>
              <w:rPr>
                <w:lang w:val="es-ES"/>
              </w:rPr>
            </w:pPr>
            <w:r w:rsidRPr="00BD11FA">
              <w:rPr>
                <w:lang w:val="es-ES"/>
              </w:rPr>
              <w:t>Calendario de futuras conferencias, asambleas y reuniones de la Unión: 2020</w:t>
            </w:r>
            <w:r w:rsidRPr="00BD11FA">
              <w:rPr>
                <w:lang w:val="es-ES"/>
              </w:rPr>
              <w:noBreakHyphen/>
              <w:t xml:space="preserve">2023 </w:t>
            </w:r>
            <w:r w:rsidR="00E52715" w:rsidRPr="00D57908">
              <w:rPr>
                <w:lang w:val="es-ES"/>
              </w:rPr>
              <w:t>(Res. 77, 111)</w:t>
            </w:r>
          </w:p>
        </w:tc>
        <w:tc>
          <w:tcPr>
            <w:tcW w:w="2181" w:type="dxa"/>
          </w:tcPr>
          <w:p w14:paraId="00CB7B9F" w14:textId="54B852FC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01" w:history="1">
              <w:r w:rsidR="00E52715" w:rsidRPr="00E52715">
                <w:rPr>
                  <w:rStyle w:val="Hyperlink"/>
                  <w:lang w:val="en-US"/>
                </w:rPr>
                <w:t>C20/37(</w:t>
              </w:r>
              <w:r w:rsidR="00E52715" w:rsidRPr="00E52715">
                <w:rPr>
                  <w:rStyle w:val="Hyperlink"/>
                  <w:lang w:val="en-US"/>
                </w:rPr>
                <w:t>R</w:t>
              </w:r>
              <w:r w:rsidR="00E52715" w:rsidRPr="00E52715">
                <w:rPr>
                  <w:rStyle w:val="Hyperlink"/>
                  <w:lang w:val="en-US"/>
                </w:rPr>
                <w:t>ev.1)</w:t>
              </w:r>
            </w:hyperlink>
          </w:p>
        </w:tc>
        <w:tc>
          <w:tcPr>
            <w:tcW w:w="5746" w:type="dxa"/>
          </w:tcPr>
          <w:p w14:paraId="1952289A" w14:textId="0CDA526D" w:rsidR="00E52715" w:rsidRPr="00D57908" w:rsidRDefault="00BD11FA" w:rsidP="006809B6">
            <w:pPr>
              <w:pStyle w:val="Tabletext"/>
              <w:ind w:left="552" w:hanging="552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BD11FA">
              <w:rPr>
                <w:lang w:val="es-ES"/>
              </w:rPr>
              <w:t xml:space="preserve">Los consejeros </w:t>
            </w:r>
            <w:r w:rsidR="00E16BD6">
              <w:rPr>
                <w:lang w:val="es-ES"/>
              </w:rPr>
              <w:t>alentaron</w:t>
            </w:r>
            <w:r w:rsidRPr="00BD11FA">
              <w:rPr>
                <w:lang w:val="es-ES"/>
              </w:rPr>
              <w:t xml:space="preserve"> a la </w:t>
            </w:r>
            <w:r w:rsidR="00E16BD6">
              <w:rPr>
                <w:lang w:val="es-ES"/>
              </w:rPr>
              <w:t>S</w:t>
            </w:r>
            <w:r w:rsidRPr="00BD11FA">
              <w:rPr>
                <w:lang w:val="es-ES"/>
              </w:rPr>
              <w:t xml:space="preserve">ecretaría a tener en cuenta el debate y las intervenciones al redactar la </w:t>
            </w:r>
            <w:r w:rsidRPr="006809B6">
              <w:t>versión</w:t>
            </w:r>
            <w:r w:rsidRPr="00BD11FA">
              <w:rPr>
                <w:lang w:val="es-ES"/>
              </w:rPr>
              <w:t xml:space="preserve"> actualizada del documento para la reunión del Consejo de 2021.</w:t>
            </w:r>
          </w:p>
        </w:tc>
        <w:tc>
          <w:tcPr>
            <w:tcW w:w="1927" w:type="dxa"/>
          </w:tcPr>
          <w:p w14:paraId="7FEC6B5E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E52715" w14:paraId="4608E499" w14:textId="77777777" w:rsidTr="0083579A">
        <w:trPr>
          <w:jc w:val="center"/>
        </w:trPr>
        <w:tc>
          <w:tcPr>
            <w:tcW w:w="4134" w:type="dxa"/>
          </w:tcPr>
          <w:p w14:paraId="48E72A26" w14:textId="36605C6D" w:rsidR="00E52715" w:rsidRPr="00BD11FA" w:rsidRDefault="00BD11FA" w:rsidP="00BD11FA">
            <w:pPr>
              <w:pStyle w:val="Tabletext"/>
              <w:rPr>
                <w:lang w:val="es-ES"/>
              </w:rPr>
            </w:pPr>
            <w:r w:rsidRPr="00BD11FA">
              <w:rPr>
                <w:lang w:val="es-ES"/>
              </w:rPr>
              <w:t>Decisiones adoptadas por la Asamblea General de las Naciones Unidas en relación con las condiciones de servicio en el régimen común de las Naciones Unidas</w:t>
            </w:r>
          </w:p>
        </w:tc>
        <w:tc>
          <w:tcPr>
            <w:tcW w:w="2181" w:type="dxa"/>
          </w:tcPr>
          <w:p w14:paraId="6748D25D" w14:textId="5E6CCD75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02" w:history="1">
              <w:r w:rsidR="00E52715" w:rsidRPr="00E52715">
                <w:rPr>
                  <w:rStyle w:val="Hyperlink"/>
                  <w:lang w:val="en-US"/>
                </w:rPr>
                <w:t>C2</w:t>
              </w:r>
              <w:r w:rsidR="00E52715" w:rsidRPr="00E52715">
                <w:rPr>
                  <w:rStyle w:val="Hyperlink"/>
                  <w:lang w:val="en-US"/>
                </w:rPr>
                <w:t>0</w:t>
              </w:r>
              <w:r w:rsidR="00E52715" w:rsidRPr="00E52715">
                <w:rPr>
                  <w:rStyle w:val="Hyperlink"/>
                  <w:lang w:val="en-US"/>
                </w:rPr>
                <w:t>/23</w:t>
              </w:r>
            </w:hyperlink>
          </w:p>
        </w:tc>
        <w:tc>
          <w:tcPr>
            <w:tcW w:w="5746" w:type="dxa"/>
          </w:tcPr>
          <w:p w14:paraId="6FBB1C77" w14:textId="031B4E14" w:rsidR="00E52715" w:rsidRPr="00E16BD6" w:rsidRDefault="00BD11FA" w:rsidP="006809B6">
            <w:pPr>
              <w:pStyle w:val="Tabletext"/>
              <w:ind w:left="552" w:hanging="552"/>
              <w:rPr>
                <w:lang w:val="es-ES"/>
              </w:rPr>
            </w:pPr>
            <w:r w:rsidRPr="00E16BD6">
              <w:rPr>
                <w:lang w:val="es-ES"/>
              </w:rPr>
              <w:t>–</w:t>
            </w:r>
            <w:r w:rsidRPr="00E16BD6">
              <w:rPr>
                <w:lang w:val="es-ES"/>
              </w:rPr>
              <w:tab/>
            </w:r>
            <w:r w:rsidR="00E16BD6" w:rsidRPr="00E16BD6">
              <w:rPr>
                <w:lang w:val="es-ES"/>
              </w:rPr>
              <w:t>El debate se prosiguió el jueves 19 de noviembre</w:t>
            </w:r>
            <w:r w:rsidR="00E52715" w:rsidRPr="00E16BD6">
              <w:rPr>
                <w:lang w:val="es-ES"/>
              </w:rPr>
              <w:t>.</w:t>
            </w:r>
          </w:p>
        </w:tc>
        <w:tc>
          <w:tcPr>
            <w:tcW w:w="1927" w:type="dxa"/>
          </w:tcPr>
          <w:p w14:paraId="783FE389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E52715" w14:paraId="4F3495C5" w14:textId="77777777" w:rsidTr="0083579A">
        <w:trPr>
          <w:jc w:val="center"/>
        </w:trPr>
        <w:tc>
          <w:tcPr>
            <w:tcW w:w="4134" w:type="dxa"/>
            <w:shd w:val="clear" w:color="auto" w:fill="D9D9D9"/>
          </w:tcPr>
          <w:p w14:paraId="5E3695BA" w14:textId="7515720A" w:rsidR="00E52715" w:rsidRPr="00C03BB4" w:rsidRDefault="00C03BB4" w:rsidP="003A4337">
            <w:pPr>
              <w:pStyle w:val="Tabletext"/>
              <w:keepNext/>
              <w:keepLines/>
              <w:rPr>
                <w:rFonts w:eastAsia="Times New Roman" w:cs="Times New Roman"/>
                <w:b/>
                <w:bCs/>
                <w:szCs w:val="20"/>
                <w:lang w:val="es-ES"/>
              </w:rPr>
            </w:pPr>
            <w:r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lastRenderedPageBreak/>
              <w:t>Jueves</w:t>
            </w:r>
            <w:r w:rsidR="00E52715"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 xml:space="preserve">, 19 </w:t>
            </w:r>
            <w:r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de noviembre</w:t>
            </w:r>
            <w:r w:rsidR="00E52715"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, 12.00</w:t>
            </w:r>
            <w:r w:rsidR="00141016">
              <w:rPr>
                <w:rFonts w:eastAsia="Times New Roman" w:cs="Times New Roman"/>
                <w:b/>
                <w:bCs/>
                <w:szCs w:val="20"/>
                <w:lang w:val="es-ES"/>
              </w:rPr>
              <w:noBreakHyphen/>
            </w:r>
            <w:r w:rsidR="00E52715"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15.00</w:t>
            </w:r>
            <w:r w:rsidR="00141016">
              <w:rPr>
                <w:rFonts w:eastAsia="Times New Roman" w:cs="Times New Roman"/>
                <w:b/>
                <w:bCs/>
                <w:szCs w:val="20"/>
                <w:lang w:val="es-ES"/>
              </w:rPr>
              <w:t> </w:t>
            </w:r>
            <w:r w:rsidRPr="00C03BB4">
              <w:rPr>
                <w:rFonts w:eastAsia="Times New Roman" w:cs="Times New Roman"/>
                <w:b/>
                <w:bCs/>
                <w:szCs w:val="20"/>
                <w:lang w:val="es-ES"/>
              </w:rPr>
              <w:t>horas</w:t>
            </w:r>
          </w:p>
        </w:tc>
        <w:tc>
          <w:tcPr>
            <w:tcW w:w="2181" w:type="dxa"/>
            <w:shd w:val="clear" w:color="auto" w:fill="D9D9D9"/>
          </w:tcPr>
          <w:p w14:paraId="6F1AD9BC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5746" w:type="dxa"/>
            <w:shd w:val="clear" w:color="auto" w:fill="D9D9D9"/>
          </w:tcPr>
          <w:p w14:paraId="741FE0FA" w14:textId="77777777" w:rsidR="00E52715" w:rsidRPr="00E52715" w:rsidRDefault="00E52715" w:rsidP="00E52715">
            <w:pPr>
              <w:pStyle w:val="Tabletext"/>
              <w:rPr>
                <w:lang w:val="en-US"/>
              </w:rPr>
            </w:pPr>
          </w:p>
        </w:tc>
        <w:tc>
          <w:tcPr>
            <w:tcW w:w="1927" w:type="dxa"/>
            <w:shd w:val="clear" w:color="auto" w:fill="D9D9D9"/>
          </w:tcPr>
          <w:p w14:paraId="0606D561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E52715" w:rsidRPr="00E52715" w14:paraId="742AB876" w14:textId="77777777" w:rsidTr="0083579A">
        <w:trPr>
          <w:jc w:val="center"/>
        </w:trPr>
        <w:tc>
          <w:tcPr>
            <w:tcW w:w="4134" w:type="dxa"/>
          </w:tcPr>
          <w:p w14:paraId="2F6294DD" w14:textId="27D1DC26" w:rsidR="00E52715" w:rsidRPr="00496A5E" w:rsidRDefault="00496A5E" w:rsidP="00496A5E">
            <w:pPr>
              <w:pStyle w:val="Tabletext"/>
              <w:rPr>
                <w:lang w:val="es-ES"/>
              </w:rPr>
            </w:pPr>
            <w:r w:rsidRPr="00496A5E">
              <w:rPr>
                <w:lang w:val="es-ES"/>
              </w:rPr>
              <w:t>Resultados de las deliberaciones mantenidas el 18 de noviembre de 2020</w:t>
            </w:r>
          </w:p>
        </w:tc>
        <w:tc>
          <w:tcPr>
            <w:tcW w:w="2181" w:type="dxa"/>
          </w:tcPr>
          <w:p w14:paraId="73F5A425" w14:textId="19FC0466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03" w:history="1">
              <w:r w:rsidR="00E52715" w:rsidRPr="00E52715">
                <w:rPr>
                  <w:rStyle w:val="Hyperlink"/>
                  <w:lang w:val="en-US"/>
                </w:rPr>
                <w:t>VC-2/DT/1(</w:t>
              </w:r>
              <w:r w:rsidR="00E52715" w:rsidRPr="00E52715">
                <w:rPr>
                  <w:rStyle w:val="Hyperlink"/>
                  <w:lang w:val="en-US"/>
                </w:rPr>
                <w:t>R</w:t>
              </w:r>
              <w:r w:rsidR="00E52715" w:rsidRPr="00E52715">
                <w:rPr>
                  <w:rStyle w:val="Hyperlink"/>
                  <w:lang w:val="en-US"/>
                </w:rPr>
                <w:t>ev.2)</w:t>
              </w:r>
            </w:hyperlink>
          </w:p>
        </w:tc>
        <w:tc>
          <w:tcPr>
            <w:tcW w:w="5746" w:type="dxa"/>
          </w:tcPr>
          <w:p w14:paraId="31A712AF" w14:textId="7B5379F0" w:rsidR="00E52715" w:rsidRPr="00131420" w:rsidRDefault="009540FB" w:rsidP="006809B6">
            <w:pPr>
              <w:pStyle w:val="Tabletext"/>
              <w:ind w:left="552" w:hanging="552"/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="00496A5E" w:rsidRPr="00131420">
              <w:rPr>
                <w:lang w:val="es-ES"/>
              </w:rPr>
              <w:t>En relación con el FMPT, el Presidente inform</w:t>
            </w:r>
            <w:r w:rsidR="0072320A" w:rsidRPr="00131420">
              <w:rPr>
                <w:lang w:val="es-ES"/>
              </w:rPr>
              <w:t>ó</w:t>
            </w:r>
            <w:r w:rsidR="00496A5E" w:rsidRPr="00131420">
              <w:rPr>
                <w:lang w:val="es-ES"/>
              </w:rPr>
              <w:t xml:space="preserve"> a la reunión de que las únicas fechas disponibles del CICG </w:t>
            </w:r>
            <w:r w:rsidR="0072320A" w:rsidRPr="00131420">
              <w:rPr>
                <w:lang w:val="es-ES"/>
              </w:rPr>
              <w:t>eran</w:t>
            </w:r>
            <w:r w:rsidR="00496A5E" w:rsidRPr="00131420">
              <w:rPr>
                <w:lang w:val="es-ES"/>
              </w:rPr>
              <w:t xml:space="preserve"> del 16 al 18 de diciembre de 2021. No obstante, </w:t>
            </w:r>
            <w:r w:rsidR="00496A5E" w:rsidRPr="006809B6">
              <w:t>según</w:t>
            </w:r>
            <w:r w:rsidR="00496A5E" w:rsidRPr="00131420">
              <w:rPr>
                <w:lang w:val="es-ES"/>
              </w:rPr>
              <w:t xml:space="preserve"> la información recibida por el Secretario General</w:t>
            </w:r>
            <w:r w:rsidR="0072320A" w:rsidRPr="00131420">
              <w:rPr>
                <w:lang w:val="es-ES"/>
              </w:rPr>
              <w:t xml:space="preserve"> el jueves por la mañana,</w:t>
            </w:r>
            <w:r w:rsidR="00496A5E" w:rsidRPr="00131420">
              <w:rPr>
                <w:lang w:val="es-ES"/>
              </w:rPr>
              <w:t xml:space="preserve"> un Estado Miembro se </w:t>
            </w:r>
            <w:r w:rsidR="0072320A" w:rsidRPr="00131420">
              <w:rPr>
                <w:lang w:val="es-ES"/>
              </w:rPr>
              <w:t>mostraba</w:t>
            </w:r>
            <w:r w:rsidR="00496A5E" w:rsidRPr="00131420">
              <w:rPr>
                <w:lang w:val="es-ES"/>
              </w:rPr>
              <w:t xml:space="preserve"> interesado en acoger el evento y </w:t>
            </w:r>
            <w:r w:rsidR="0072320A" w:rsidRPr="00131420">
              <w:rPr>
                <w:lang w:val="es-ES"/>
              </w:rPr>
              <w:t>solicitó</w:t>
            </w:r>
            <w:r w:rsidR="00496A5E" w:rsidRPr="00131420">
              <w:rPr>
                <w:lang w:val="es-ES"/>
              </w:rPr>
              <w:t xml:space="preserve"> más información antes de confirmar su interés. El Presidente </w:t>
            </w:r>
            <w:r w:rsidR="0072320A" w:rsidRPr="00131420">
              <w:rPr>
                <w:lang w:val="es-ES"/>
              </w:rPr>
              <w:t xml:space="preserve">dijo que </w:t>
            </w:r>
            <w:r w:rsidR="00496A5E" w:rsidRPr="00131420">
              <w:rPr>
                <w:lang w:val="es-ES"/>
              </w:rPr>
              <w:t>volver</w:t>
            </w:r>
            <w:r w:rsidR="0072320A" w:rsidRPr="00131420">
              <w:rPr>
                <w:lang w:val="es-ES"/>
              </w:rPr>
              <w:t>ía</w:t>
            </w:r>
            <w:r w:rsidR="00496A5E" w:rsidRPr="00131420">
              <w:rPr>
                <w:lang w:val="es-ES"/>
              </w:rPr>
              <w:t xml:space="preserve"> a tratar más detalladamente este asunto el día siguiente.</w:t>
            </w:r>
          </w:p>
          <w:p w14:paraId="71848522" w14:textId="19797553" w:rsidR="00E52715" w:rsidRPr="00131420" w:rsidRDefault="009540FB" w:rsidP="006809B6">
            <w:pPr>
              <w:pStyle w:val="Tabletext"/>
              <w:ind w:left="552" w:hanging="552"/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="00496A5E" w:rsidRPr="00131420">
              <w:rPr>
                <w:lang w:val="es-ES"/>
              </w:rPr>
              <w:t>El Presidente rec</w:t>
            </w:r>
            <w:r w:rsidR="00131420" w:rsidRPr="00131420">
              <w:rPr>
                <w:lang w:val="es-ES"/>
              </w:rPr>
              <w:t>o</w:t>
            </w:r>
            <w:r w:rsidR="00496A5E" w:rsidRPr="00131420">
              <w:rPr>
                <w:lang w:val="es-ES"/>
              </w:rPr>
              <w:t>rd</w:t>
            </w:r>
            <w:r w:rsidR="0072320A" w:rsidRPr="00131420">
              <w:rPr>
                <w:lang w:val="es-ES"/>
              </w:rPr>
              <w:t xml:space="preserve">ó </w:t>
            </w:r>
            <w:r w:rsidR="00496A5E" w:rsidRPr="00131420">
              <w:rPr>
                <w:lang w:val="es-ES"/>
              </w:rPr>
              <w:t xml:space="preserve">que, según mencionó el </w:t>
            </w:r>
            <w:r w:rsidR="00496A5E" w:rsidRPr="006809B6">
              <w:t>Presidente</w:t>
            </w:r>
            <w:r w:rsidR="00496A5E" w:rsidRPr="00131420">
              <w:rPr>
                <w:lang w:val="es-ES"/>
              </w:rPr>
              <w:t xml:space="preserve"> del GIE, Sr. Fabio Bigi, se celebrar</w:t>
            </w:r>
            <w:r w:rsidR="0072320A" w:rsidRPr="00131420">
              <w:rPr>
                <w:lang w:val="es-ES"/>
              </w:rPr>
              <w:t>ía</w:t>
            </w:r>
            <w:r w:rsidR="00496A5E" w:rsidRPr="00131420">
              <w:rPr>
                <w:lang w:val="es-ES"/>
              </w:rPr>
              <w:t>n reuniones preparatorias durante la</w:t>
            </w:r>
            <w:r w:rsidR="0072320A" w:rsidRPr="00131420">
              <w:rPr>
                <w:lang w:val="es-ES"/>
              </w:rPr>
              <w:t>s</w:t>
            </w:r>
            <w:r w:rsidR="00496A5E" w:rsidRPr="00131420">
              <w:rPr>
                <w:lang w:val="es-ES"/>
              </w:rPr>
              <w:t xml:space="preserve"> serie</w:t>
            </w:r>
            <w:r w:rsidR="0072320A" w:rsidRPr="00131420">
              <w:rPr>
                <w:lang w:val="es-ES"/>
              </w:rPr>
              <w:t>s</w:t>
            </w:r>
            <w:r w:rsidR="00496A5E" w:rsidRPr="00131420">
              <w:rPr>
                <w:lang w:val="es-ES"/>
              </w:rPr>
              <w:t xml:space="preserve"> de reuniones de enero/febrero y septiembre de los Grupos de Trabajo del Consejo (GTC) en 2021, y también una con ocasión del Foro de la CMSI.</w:t>
            </w:r>
          </w:p>
          <w:p w14:paraId="03F46716" w14:textId="6D513C65" w:rsidR="00E52715" w:rsidRPr="00131420" w:rsidRDefault="009540FB" w:rsidP="006809B6">
            <w:pPr>
              <w:pStyle w:val="Tabletext"/>
              <w:ind w:left="552" w:hanging="552"/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="00E039AA" w:rsidRPr="00131420">
              <w:rPr>
                <w:lang w:val="es-ES"/>
              </w:rPr>
              <w:t>La Secretaría publicar</w:t>
            </w:r>
            <w:r w:rsidR="0072320A" w:rsidRPr="00131420">
              <w:rPr>
                <w:lang w:val="es-ES"/>
              </w:rPr>
              <w:t>ía</w:t>
            </w:r>
            <w:r w:rsidR="00E039AA" w:rsidRPr="00131420">
              <w:rPr>
                <w:lang w:val="es-ES"/>
              </w:rPr>
              <w:t xml:space="preserve"> un documento temporal (DT) </w:t>
            </w:r>
            <w:r w:rsidR="00E039AA" w:rsidRPr="006809B6">
              <w:t>con</w:t>
            </w:r>
            <w:r w:rsidR="00E039AA" w:rsidRPr="00131420">
              <w:rPr>
                <w:lang w:val="es-ES"/>
              </w:rPr>
              <w:t xml:space="preserve"> el Acuerdo 611 modificado y el calendario preparatorio.</w:t>
            </w:r>
          </w:p>
          <w:p w14:paraId="522362AD" w14:textId="3C6213CC" w:rsidR="00E52715" w:rsidRPr="00131420" w:rsidRDefault="009540FB" w:rsidP="006809B6">
            <w:pPr>
              <w:pStyle w:val="Tabletext"/>
              <w:ind w:left="552" w:hanging="552"/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="0072320A" w:rsidRPr="00131420">
              <w:rPr>
                <w:lang w:val="es-ES"/>
              </w:rPr>
              <w:t>En cuanto al calendario de reuniones</w:t>
            </w:r>
            <w:r w:rsidR="00E52715" w:rsidRPr="00131420">
              <w:rPr>
                <w:lang w:val="es-ES"/>
              </w:rPr>
              <w:t xml:space="preserve">, </w:t>
            </w:r>
            <w:r w:rsidR="00E039AA" w:rsidRPr="00131420">
              <w:rPr>
                <w:lang w:val="es-ES"/>
              </w:rPr>
              <w:t>la Secretaría examinar</w:t>
            </w:r>
            <w:r w:rsidR="0072320A" w:rsidRPr="00131420">
              <w:rPr>
                <w:lang w:val="es-ES"/>
              </w:rPr>
              <w:t>ía</w:t>
            </w:r>
            <w:r w:rsidR="00E039AA" w:rsidRPr="00131420">
              <w:rPr>
                <w:lang w:val="es-ES"/>
              </w:rPr>
              <w:t xml:space="preserve"> el calendario de los GTC para 2022 e informar</w:t>
            </w:r>
            <w:r w:rsidR="0072320A" w:rsidRPr="00131420">
              <w:rPr>
                <w:lang w:val="es-ES"/>
              </w:rPr>
              <w:t>ía</w:t>
            </w:r>
            <w:r w:rsidR="00E039AA" w:rsidRPr="00131420">
              <w:rPr>
                <w:lang w:val="es-ES"/>
              </w:rPr>
              <w:t xml:space="preserve"> al respecto en la próxima reunión del Consejo.</w:t>
            </w:r>
          </w:p>
        </w:tc>
        <w:tc>
          <w:tcPr>
            <w:tcW w:w="1927" w:type="dxa"/>
          </w:tcPr>
          <w:p w14:paraId="328D5CB7" w14:textId="77777777" w:rsidR="00E52715" w:rsidRPr="00131420" w:rsidRDefault="00E52715" w:rsidP="00970925">
            <w:pPr>
              <w:pStyle w:val="Tabletext"/>
              <w:jc w:val="center"/>
              <w:rPr>
                <w:lang w:val="es-ES"/>
              </w:rPr>
            </w:pPr>
            <w:r w:rsidRPr="00131420">
              <w:rPr>
                <w:lang w:val="es-ES"/>
              </w:rPr>
              <w:t>--</w:t>
            </w:r>
          </w:p>
        </w:tc>
      </w:tr>
      <w:tr w:rsidR="00E52715" w:rsidRPr="0072320A" w14:paraId="7A54B13E" w14:textId="77777777" w:rsidTr="0083579A">
        <w:trPr>
          <w:jc w:val="center"/>
        </w:trPr>
        <w:tc>
          <w:tcPr>
            <w:tcW w:w="4134" w:type="dxa"/>
          </w:tcPr>
          <w:p w14:paraId="25F37ADC" w14:textId="4FB52B53" w:rsidR="00E52715" w:rsidRPr="00D57908" w:rsidRDefault="00E039AA" w:rsidP="00E039AA">
            <w:pPr>
              <w:pStyle w:val="Tabletext"/>
              <w:rPr>
                <w:lang w:val="es-ES"/>
              </w:rPr>
            </w:pPr>
            <w:r w:rsidRPr="00E039AA">
              <w:t>Decisiones de la Asamblea General de las Naciones Unidas sobre las condiciones de empleo dentro del régimen común de las Naciones Unidas</w:t>
            </w:r>
          </w:p>
        </w:tc>
        <w:tc>
          <w:tcPr>
            <w:tcW w:w="2181" w:type="dxa"/>
          </w:tcPr>
          <w:p w14:paraId="08BD044B" w14:textId="4CC0AD98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04" w:history="1">
              <w:r w:rsidR="00E52715" w:rsidRPr="00E52715">
                <w:rPr>
                  <w:rStyle w:val="Hyperlink"/>
                  <w:lang w:val="en-US"/>
                </w:rPr>
                <w:t>C20/</w:t>
              </w:r>
              <w:r w:rsidR="00E52715" w:rsidRPr="00E52715">
                <w:rPr>
                  <w:rStyle w:val="Hyperlink"/>
                  <w:lang w:val="en-US"/>
                </w:rPr>
                <w:t>2</w:t>
              </w:r>
              <w:r w:rsidR="00E52715" w:rsidRPr="00E52715">
                <w:rPr>
                  <w:rStyle w:val="Hyperlink"/>
                  <w:lang w:val="en-US"/>
                </w:rPr>
                <w:t>3</w:t>
              </w:r>
            </w:hyperlink>
          </w:p>
        </w:tc>
        <w:tc>
          <w:tcPr>
            <w:tcW w:w="5746" w:type="dxa"/>
          </w:tcPr>
          <w:p w14:paraId="565A77D4" w14:textId="484E929C" w:rsidR="00E52715" w:rsidRPr="00131420" w:rsidRDefault="009540FB" w:rsidP="006809B6">
            <w:pPr>
              <w:pStyle w:val="Tabletext"/>
              <w:ind w:left="552" w:hanging="552"/>
              <w:rPr>
                <w:lang w:val="es-ES"/>
              </w:rPr>
            </w:pPr>
            <w:r w:rsidRPr="00131420">
              <w:rPr>
                <w:lang w:val="es-ES"/>
              </w:rPr>
              <w:t>–</w:t>
            </w:r>
            <w:r w:rsidRPr="00131420">
              <w:rPr>
                <w:lang w:val="es-ES"/>
              </w:rPr>
              <w:tab/>
            </w:r>
            <w:r w:rsidR="00E039AA" w:rsidRPr="00131420">
              <w:rPr>
                <w:lang w:val="es-ES"/>
              </w:rPr>
              <w:t xml:space="preserve">Dada la urgencia de este punto, se </w:t>
            </w:r>
            <w:r w:rsidR="0072320A" w:rsidRPr="00131420">
              <w:rPr>
                <w:lang w:val="es-ES"/>
              </w:rPr>
              <w:t>decidió llevar</w:t>
            </w:r>
            <w:r w:rsidR="00E039AA" w:rsidRPr="00131420">
              <w:rPr>
                <w:lang w:val="es-ES"/>
              </w:rPr>
              <w:t xml:space="preserve"> a cabo una consulta por correspondencia de los </w:t>
            </w:r>
            <w:r w:rsidR="00E039AA" w:rsidRPr="006809B6">
              <w:t>Estados</w:t>
            </w:r>
            <w:r w:rsidR="00E039AA" w:rsidRPr="00131420">
              <w:rPr>
                <w:lang w:val="es-ES"/>
              </w:rPr>
              <w:t xml:space="preserve"> Miembros del Consejo sobre la aprobación del proyecto de Resolución</w:t>
            </w:r>
            <w:r w:rsidR="00602A80">
              <w:rPr>
                <w:lang w:val="es-ES"/>
              </w:rPr>
              <w:t>.</w:t>
            </w:r>
          </w:p>
        </w:tc>
        <w:tc>
          <w:tcPr>
            <w:tcW w:w="1927" w:type="dxa"/>
          </w:tcPr>
          <w:p w14:paraId="67B3DDE6" w14:textId="134063A0" w:rsidR="00E52715" w:rsidRPr="00131420" w:rsidRDefault="0072320A" w:rsidP="00970925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 xml:space="preserve">Se adoptó la </w:t>
            </w:r>
            <w:hyperlink r:id="rId105" w:history="1">
              <w:r w:rsidR="00E52715" w:rsidRPr="00131420">
                <w:rPr>
                  <w:rStyle w:val="Hyperlink"/>
                  <w:lang w:val="es-ES"/>
                </w:rPr>
                <w:t>Resolu</w:t>
              </w:r>
              <w:r w:rsidRPr="00131420">
                <w:rPr>
                  <w:rStyle w:val="Hyperlink"/>
                  <w:lang w:val="es-ES"/>
                </w:rPr>
                <w:t>ci</w:t>
              </w:r>
              <w:r w:rsidRPr="00131420">
                <w:rPr>
                  <w:rStyle w:val="Hyperlink"/>
                  <w:lang w:val="es-ES"/>
                </w:rPr>
                <w:t>ó</w:t>
              </w:r>
              <w:r w:rsidRPr="00131420">
                <w:rPr>
                  <w:rStyle w:val="Hyperlink"/>
                  <w:lang w:val="es-ES"/>
                </w:rPr>
                <w:t>n</w:t>
              </w:r>
              <w:r w:rsidR="00E52715" w:rsidRPr="00131420">
                <w:rPr>
                  <w:rStyle w:val="Hyperlink"/>
                  <w:lang w:val="es-ES"/>
                </w:rPr>
                <w:t xml:space="preserve"> 1401</w:t>
              </w:r>
            </w:hyperlink>
            <w:r w:rsidR="00E52715" w:rsidRPr="00131420">
              <w:rPr>
                <w:lang w:val="es-ES"/>
              </w:rPr>
              <w:t>.</w:t>
            </w:r>
          </w:p>
        </w:tc>
      </w:tr>
      <w:tr w:rsidR="00105DB2" w:rsidRPr="0072320A" w14:paraId="0B944132" w14:textId="77777777" w:rsidTr="0083579A">
        <w:trPr>
          <w:jc w:val="center"/>
        </w:trPr>
        <w:tc>
          <w:tcPr>
            <w:tcW w:w="4134" w:type="dxa"/>
            <w:tcBorders>
              <w:bottom w:val="nil"/>
            </w:tcBorders>
          </w:tcPr>
          <w:p w14:paraId="3DA0954A" w14:textId="6D02BF9F" w:rsidR="00105DB2" w:rsidRPr="00105DB2" w:rsidRDefault="00105DB2" w:rsidP="00105DB2">
            <w:pPr>
              <w:pStyle w:val="Tabletext"/>
              <w:rPr>
                <w:lang w:val="es-ES"/>
              </w:rPr>
            </w:pPr>
            <w:r w:rsidRPr="00E039AA">
              <w:lastRenderedPageBreak/>
              <w:t>Nueva función de investigación y procedimiento conexo</w:t>
            </w:r>
          </w:p>
        </w:tc>
        <w:tc>
          <w:tcPr>
            <w:tcW w:w="2181" w:type="dxa"/>
            <w:tcBorders>
              <w:bottom w:val="nil"/>
            </w:tcBorders>
          </w:tcPr>
          <w:p w14:paraId="548BFF97" w14:textId="15FDED6E" w:rsidR="00105DB2" w:rsidRPr="00E52715" w:rsidRDefault="00105DB2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u w:val="single"/>
                <w:lang w:val="en-US"/>
              </w:rPr>
            </w:pPr>
            <w:hyperlink r:id="rId106" w:history="1">
              <w:r w:rsidRPr="00E52715">
                <w:rPr>
                  <w:rStyle w:val="Hyperlink"/>
                  <w:lang w:val="en-US"/>
                </w:rPr>
                <w:t>C20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6</w:t>
              </w:r>
              <w:r w:rsidRPr="00E52715">
                <w:rPr>
                  <w:rStyle w:val="Hyperlink"/>
                  <w:lang w:val="en-US"/>
                </w:rPr>
                <w:t>0</w:t>
              </w:r>
            </w:hyperlink>
          </w:p>
          <w:p w14:paraId="385AF297" w14:textId="678D2BA2" w:rsidR="00105DB2" w:rsidRPr="00E52715" w:rsidRDefault="00105DB2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07" w:history="1">
              <w:r w:rsidRPr="00E52715">
                <w:rPr>
                  <w:rStyle w:val="Hyperlink"/>
                  <w:lang w:val="en-US"/>
                </w:rPr>
                <w:t>C20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7</w:t>
              </w:r>
              <w:r w:rsidRPr="00E52715">
                <w:rPr>
                  <w:rStyle w:val="Hyperlink"/>
                  <w:lang w:val="en-US"/>
                </w:rPr>
                <w:t>8</w:t>
              </w:r>
            </w:hyperlink>
          </w:p>
        </w:tc>
        <w:tc>
          <w:tcPr>
            <w:tcW w:w="5746" w:type="dxa"/>
            <w:vMerge w:val="restart"/>
          </w:tcPr>
          <w:p w14:paraId="14194B26" w14:textId="5C831BDA" w:rsidR="00105DB2" w:rsidRPr="00E039AA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E039AA">
              <w:rPr>
                <w:lang w:val="es-ES"/>
              </w:rPr>
              <w:t xml:space="preserve">Dada la urgencia de este asunto, se </w:t>
            </w:r>
            <w:r>
              <w:rPr>
                <w:lang w:val="es-ES"/>
              </w:rPr>
              <w:t>decidió llevar</w:t>
            </w:r>
            <w:r w:rsidRPr="00E039AA">
              <w:rPr>
                <w:lang w:val="es-ES"/>
              </w:rPr>
              <w:t xml:space="preserve"> a cabo una consulta por correspondencia a los Estados Miembros del Consejo </w:t>
            </w:r>
            <w:r>
              <w:rPr>
                <w:lang w:val="es-ES"/>
              </w:rPr>
              <w:t>para refrendar</w:t>
            </w:r>
            <w:r w:rsidRPr="00E039AA">
              <w:rPr>
                <w:lang w:val="es-ES"/>
              </w:rPr>
              <w:t xml:space="preserve"> el fortalecimiento de la función de investigación de la</w:t>
            </w:r>
            <w:r>
              <w:rPr>
                <w:lang w:val="es-ES"/>
              </w:rPr>
              <w:t> </w:t>
            </w:r>
            <w:r w:rsidRPr="00E039AA">
              <w:rPr>
                <w:lang w:val="es-ES"/>
              </w:rPr>
              <w:t>UIT mediante la creación de un puesto especial e independiente, en la categoría P.5 o P.4, que se financiará mediante una detracción de la Cuenta de Provisión.</w:t>
            </w:r>
          </w:p>
          <w:p w14:paraId="29649E70" w14:textId="44600B08" w:rsidR="00105DB2" w:rsidRPr="00E039AA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E039AA">
              <w:rPr>
                <w:lang w:val="es-ES"/>
              </w:rPr>
              <w:t>Los consejeros invita</w:t>
            </w:r>
            <w:r>
              <w:rPr>
                <w:lang w:val="es-ES"/>
              </w:rPr>
              <w:t>ro</w:t>
            </w:r>
            <w:r w:rsidRPr="00E039AA">
              <w:rPr>
                <w:lang w:val="es-ES"/>
              </w:rPr>
              <w:t xml:space="preserve">n a la Secretaría a tener en </w:t>
            </w:r>
            <w:r w:rsidRPr="006809B6">
              <w:t>cuenta</w:t>
            </w:r>
            <w:r w:rsidRPr="00E039AA">
              <w:rPr>
                <w:lang w:val="es-ES"/>
              </w:rPr>
              <w:t xml:space="preserve"> las observaciones y recomendaciones de la DCI y a presentar una versión revisada de la Carta de Auditoría Interna e Investigación en la reunión de 2021 del Consejo.</w:t>
            </w:r>
          </w:p>
          <w:p w14:paraId="141EF9EB" w14:textId="2AD82E8C" w:rsidR="00105DB2" w:rsidRPr="0072320A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  <w:r w:rsidRPr="0072320A">
              <w:rPr>
                <w:lang w:val="es-ES"/>
              </w:rPr>
              <w:t>–</w:t>
            </w:r>
            <w:r w:rsidRPr="0072320A">
              <w:rPr>
                <w:lang w:val="es-ES"/>
              </w:rPr>
              <w:tab/>
              <w:t xml:space="preserve">Se </w:t>
            </w:r>
            <w:r>
              <w:rPr>
                <w:lang w:val="es-ES"/>
              </w:rPr>
              <w:t xml:space="preserve">decidió </w:t>
            </w:r>
            <w:r w:rsidRPr="0072320A">
              <w:rPr>
                <w:lang w:val="es-ES"/>
              </w:rPr>
              <w:t xml:space="preserve">incluir en el </w:t>
            </w:r>
            <w:r w:rsidR="005F79A6">
              <w:rPr>
                <w:lang w:val="es-ES"/>
              </w:rPr>
              <w:t>r</w:t>
            </w:r>
            <w:r w:rsidRPr="0072320A">
              <w:rPr>
                <w:lang w:val="es-ES"/>
              </w:rPr>
              <w:t xml:space="preserve">esumen de los debates la declaración formulada por la </w:t>
            </w:r>
            <w:r>
              <w:rPr>
                <w:lang w:val="es-ES"/>
              </w:rPr>
              <w:t>Federación de Rusia</w:t>
            </w:r>
            <w:r w:rsidRPr="0072320A">
              <w:rPr>
                <w:lang w:val="es-ES"/>
              </w:rPr>
              <w:t>.</w:t>
            </w:r>
          </w:p>
        </w:tc>
        <w:tc>
          <w:tcPr>
            <w:tcW w:w="1927" w:type="dxa"/>
            <w:vMerge w:val="restart"/>
          </w:tcPr>
          <w:p w14:paraId="03666DF0" w14:textId="186B13CF" w:rsidR="00105DB2" w:rsidRPr="0072320A" w:rsidRDefault="00105DB2" w:rsidP="00970925">
            <w:pPr>
              <w:pStyle w:val="Tabletext"/>
              <w:rPr>
                <w:lang w:val="es-ES"/>
              </w:rPr>
            </w:pPr>
            <w:r w:rsidRPr="0072320A">
              <w:rPr>
                <w:lang w:val="es-ES"/>
              </w:rPr>
              <w:t>Se refrendó el fortalecimiento de la función de investigación de la</w:t>
            </w:r>
            <w:r w:rsidR="005F79A6">
              <w:rPr>
                <w:lang w:val="es-ES"/>
              </w:rPr>
              <w:t> </w:t>
            </w:r>
            <w:r w:rsidRPr="0072320A">
              <w:rPr>
                <w:lang w:val="es-ES"/>
              </w:rPr>
              <w:t>UIT mediante la creación de un puesto especial e independiente, en la c</w:t>
            </w:r>
            <w:r>
              <w:rPr>
                <w:lang w:val="es-ES"/>
              </w:rPr>
              <w:t>ategoría</w:t>
            </w:r>
            <w:r w:rsidRPr="0072320A">
              <w:rPr>
                <w:lang w:val="es-ES"/>
              </w:rPr>
              <w:t xml:space="preserve"> P.5 o P.4</w:t>
            </w:r>
            <w:r>
              <w:rPr>
                <w:lang w:val="es-ES"/>
              </w:rPr>
              <w:t>, que se financiará mediante una detracción de la Cuenta de Provisión</w:t>
            </w:r>
            <w:r w:rsidRPr="0072320A">
              <w:rPr>
                <w:lang w:val="es-ES"/>
              </w:rPr>
              <w:t>.</w:t>
            </w:r>
          </w:p>
        </w:tc>
      </w:tr>
      <w:tr w:rsidR="00105DB2" w:rsidRPr="0072320A" w14:paraId="5996D566" w14:textId="77777777" w:rsidTr="0083579A">
        <w:trPr>
          <w:jc w:val="center"/>
        </w:trPr>
        <w:tc>
          <w:tcPr>
            <w:tcW w:w="4134" w:type="dxa"/>
            <w:tcBorders>
              <w:top w:val="nil"/>
            </w:tcBorders>
          </w:tcPr>
          <w:p w14:paraId="4F35C489" w14:textId="777BCC95" w:rsidR="00105DB2" w:rsidRPr="00E039AA" w:rsidRDefault="00105DB2" w:rsidP="00173D6F">
            <w:pPr>
              <w:pStyle w:val="Tabletext"/>
              <w:tabs>
                <w:tab w:val="left" w:pos="311"/>
              </w:tabs>
              <w:ind w:left="311" w:hanging="311"/>
            </w:pPr>
            <w:r w:rsidRPr="0072320A">
              <w:rPr>
                <w:bCs/>
                <w:i/>
                <w:iCs/>
                <w:lang w:val="es-ES"/>
              </w:rPr>
              <w:t>–</w:t>
            </w:r>
            <w:r w:rsidRPr="0072320A">
              <w:rPr>
                <w:bCs/>
                <w:i/>
                <w:iCs/>
                <w:lang w:val="es-ES"/>
              </w:rPr>
              <w:tab/>
              <w:t>Contribución de Estados Unidos</w:t>
            </w:r>
          </w:p>
        </w:tc>
        <w:tc>
          <w:tcPr>
            <w:tcW w:w="2181" w:type="dxa"/>
            <w:tcBorders>
              <w:top w:val="nil"/>
            </w:tcBorders>
          </w:tcPr>
          <w:p w14:paraId="5CC18EDD" w14:textId="5FFB1FCB" w:rsidR="00105DB2" w:rsidRDefault="00105DB2" w:rsidP="00970925">
            <w:pPr>
              <w:pStyle w:val="Tabletext"/>
              <w:jc w:val="center"/>
            </w:pPr>
            <w:hyperlink r:id="rId108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8</w:t>
              </w:r>
            </w:hyperlink>
          </w:p>
        </w:tc>
        <w:tc>
          <w:tcPr>
            <w:tcW w:w="5746" w:type="dxa"/>
            <w:vMerge/>
          </w:tcPr>
          <w:p w14:paraId="08929EFD" w14:textId="77777777" w:rsidR="00105DB2" w:rsidRPr="00452326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7BE9F632" w14:textId="77777777" w:rsidR="00105DB2" w:rsidRPr="0072320A" w:rsidRDefault="00105DB2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E52715" w:rsidRPr="00E52715" w14:paraId="49AFB158" w14:textId="77777777" w:rsidTr="0083579A">
        <w:trPr>
          <w:jc w:val="center"/>
        </w:trPr>
        <w:tc>
          <w:tcPr>
            <w:tcW w:w="4134" w:type="dxa"/>
          </w:tcPr>
          <w:p w14:paraId="5195C6B2" w14:textId="3DFC75C3" w:rsidR="00593494" w:rsidRPr="00593494" w:rsidRDefault="00E039AA" w:rsidP="00593494">
            <w:pPr>
              <w:pStyle w:val="Tabletext"/>
              <w:rPr>
                <w:lang w:val="es-ES"/>
              </w:rPr>
            </w:pPr>
            <w:r w:rsidRPr="00E21960">
              <w:t xml:space="preserve">Nombramiento del nuevo </w:t>
            </w:r>
            <w:r w:rsidR="00E21960" w:rsidRPr="00E21960">
              <w:t>Auditor Externo</w:t>
            </w:r>
            <w:r w:rsidR="00E21960" w:rsidRPr="00E21960">
              <w:rPr>
                <w:lang w:val="es-ES"/>
              </w:rPr>
              <w:t xml:space="preserve"> </w:t>
            </w:r>
            <w:r w:rsidR="00E52715" w:rsidRPr="00E21960">
              <w:rPr>
                <w:lang w:val="es-ES"/>
              </w:rPr>
              <w:t xml:space="preserve">(Res 94, </w:t>
            </w:r>
            <w:r w:rsidR="0072320A" w:rsidRPr="00E21960">
              <w:rPr>
                <w:lang w:val="es-ES"/>
              </w:rPr>
              <w:t>A</w:t>
            </w:r>
            <w:r w:rsidR="00E21960" w:rsidRPr="00E21960">
              <w:rPr>
                <w:lang w:val="es-ES"/>
              </w:rPr>
              <w:t> </w:t>
            </w:r>
            <w:r w:rsidR="00E52715" w:rsidRPr="00E21960">
              <w:rPr>
                <w:lang w:val="es-ES"/>
              </w:rPr>
              <w:t>614)</w:t>
            </w:r>
          </w:p>
        </w:tc>
        <w:tc>
          <w:tcPr>
            <w:tcW w:w="2181" w:type="dxa"/>
          </w:tcPr>
          <w:p w14:paraId="79F488F5" w14:textId="3B634EA9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09" w:history="1">
              <w:r w:rsidR="00E52715" w:rsidRPr="00E52715">
                <w:rPr>
                  <w:rStyle w:val="Hyperlink"/>
                  <w:bCs/>
                  <w:lang w:val="en-US"/>
                </w:rPr>
                <w:t>C20</w:t>
              </w:r>
              <w:r w:rsidR="00E52715" w:rsidRPr="00E52715">
                <w:rPr>
                  <w:rStyle w:val="Hyperlink"/>
                  <w:bCs/>
                  <w:lang w:val="en-US"/>
                </w:rPr>
                <w:t>/</w:t>
              </w:r>
              <w:r w:rsidR="00E52715" w:rsidRPr="00E52715">
                <w:rPr>
                  <w:rStyle w:val="Hyperlink"/>
                  <w:bCs/>
                  <w:lang w:val="en-US"/>
                </w:rPr>
                <w:t>49</w:t>
              </w:r>
            </w:hyperlink>
          </w:p>
        </w:tc>
        <w:tc>
          <w:tcPr>
            <w:tcW w:w="5746" w:type="dxa"/>
          </w:tcPr>
          <w:p w14:paraId="3537073B" w14:textId="7027A06C" w:rsidR="00E52715" w:rsidRPr="00452326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E039AA" w:rsidRPr="00E039AA">
              <w:rPr>
                <w:rFonts w:eastAsia="Times New Roman" w:cs="Times New Roman"/>
                <w:szCs w:val="20"/>
              </w:rPr>
              <w:t xml:space="preserve">Dada la urgencia de este asunto, se </w:t>
            </w:r>
            <w:r w:rsidR="0072320A">
              <w:rPr>
                <w:rFonts w:eastAsia="Times New Roman" w:cs="Times New Roman"/>
                <w:szCs w:val="20"/>
              </w:rPr>
              <w:t>decidió llevar</w:t>
            </w:r>
            <w:r w:rsidR="00E039AA" w:rsidRPr="00E039AA">
              <w:rPr>
                <w:rFonts w:eastAsia="Times New Roman" w:cs="Times New Roman"/>
                <w:szCs w:val="20"/>
              </w:rPr>
              <w:t xml:space="preserve"> a cabo una </w:t>
            </w:r>
            <w:r w:rsidR="00E039AA" w:rsidRPr="00E039AA">
              <w:rPr>
                <w:lang w:val="es-ES"/>
              </w:rPr>
              <w:t>consulta</w:t>
            </w:r>
            <w:r w:rsidR="00E039AA" w:rsidRPr="00E039AA">
              <w:rPr>
                <w:rFonts w:eastAsia="Times New Roman" w:cs="Times New Roman"/>
                <w:szCs w:val="20"/>
              </w:rPr>
              <w:t xml:space="preserve"> por correspondencia de los </w:t>
            </w:r>
            <w:r w:rsidR="00E039AA" w:rsidRPr="006809B6">
              <w:t>Estados</w:t>
            </w:r>
            <w:r w:rsidR="00E039AA" w:rsidRPr="00E039AA">
              <w:rPr>
                <w:rFonts w:eastAsia="Times New Roman" w:cs="Times New Roman"/>
                <w:szCs w:val="20"/>
              </w:rPr>
              <w:t xml:space="preserve"> Miembros del Consejo para adoptar el proyecto de Acuerdo </w:t>
            </w:r>
            <w:r w:rsidR="0072320A">
              <w:rPr>
                <w:rFonts w:eastAsia="Times New Roman" w:cs="Times New Roman"/>
                <w:szCs w:val="20"/>
              </w:rPr>
              <w:t>presentado</w:t>
            </w:r>
            <w:r w:rsidR="00E039AA" w:rsidRPr="00E039AA">
              <w:rPr>
                <w:rFonts w:eastAsia="Times New Roman" w:cs="Times New Roman"/>
                <w:szCs w:val="20"/>
              </w:rPr>
              <w:t xml:space="preserve"> en el Anexo A al Documento C20/49.</w:t>
            </w:r>
          </w:p>
        </w:tc>
        <w:tc>
          <w:tcPr>
            <w:tcW w:w="1927" w:type="dxa"/>
          </w:tcPr>
          <w:p w14:paraId="1B1D2F63" w14:textId="6BA2A95B" w:rsidR="00E52715" w:rsidRPr="0072320A" w:rsidRDefault="0072320A" w:rsidP="00970925">
            <w:pPr>
              <w:pStyle w:val="Tabletext"/>
              <w:rPr>
                <w:lang w:val="es-ES"/>
              </w:rPr>
            </w:pPr>
            <w:r>
              <w:t xml:space="preserve">Se adoptó el </w:t>
            </w:r>
            <w:hyperlink r:id="rId110" w:history="1">
              <w:r w:rsidRPr="0072320A">
                <w:rPr>
                  <w:rStyle w:val="Hyperlink"/>
                  <w:lang w:val="es-ES"/>
                </w:rPr>
                <w:t>A</w:t>
              </w:r>
              <w:r>
                <w:rPr>
                  <w:rStyle w:val="Hyperlink"/>
                </w:rPr>
                <w:t>cuerd</w:t>
              </w:r>
              <w:r>
                <w:rPr>
                  <w:rStyle w:val="Hyperlink"/>
                </w:rPr>
                <w:t>o</w:t>
              </w:r>
              <w:r w:rsidR="00E52715" w:rsidRPr="0072320A">
                <w:rPr>
                  <w:rStyle w:val="Hyperlink"/>
                  <w:lang w:val="es-ES"/>
                </w:rPr>
                <w:t xml:space="preserve"> 621</w:t>
              </w:r>
            </w:hyperlink>
            <w:r w:rsidR="00E52715" w:rsidRPr="0072320A">
              <w:rPr>
                <w:lang w:val="es-ES"/>
              </w:rPr>
              <w:t>.</w:t>
            </w:r>
          </w:p>
        </w:tc>
      </w:tr>
      <w:tr w:rsidR="00105DB2" w:rsidRPr="00E52715" w14:paraId="3E7AF578" w14:textId="77777777" w:rsidTr="0083579A">
        <w:trPr>
          <w:jc w:val="center"/>
        </w:trPr>
        <w:tc>
          <w:tcPr>
            <w:tcW w:w="4134" w:type="dxa"/>
            <w:tcBorders>
              <w:bottom w:val="nil"/>
            </w:tcBorders>
          </w:tcPr>
          <w:p w14:paraId="4E21FA61" w14:textId="348CBFA2" w:rsidR="00105DB2" w:rsidRPr="0072320A" w:rsidRDefault="00105DB2" w:rsidP="00FF1F4F">
            <w:pPr>
              <w:pStyle w:val="Tabletext"/>
              <w:keepNext/>
              <w:keepLines/>
              <w:rPr>
                <w:lang w:val="es-ES"/>
              </w:rPr>
            </w:pPr>
            <w:r w:rsidRPr="009118A8">
              <w:lastRenderedPageBreak/>
              <w:t>Informe sobre los avances registrados en el proyecto de Sede de la Unión</w:t>
            </w:r>
            <w:r w:rsidRPr="009118A8">
              <w:rPr>
                <w:b/>
                <w:lang w:val="es-ES"/>
              </w:rPr>
              <w:t xml:space="preserve"> </w:t>
            </w:r>
            <w:r w:rsidRPr="009118A8">
              <w:rPr>
                <w:lang w:val="es-ES"/>
              </w:rPr>
              <w:t>(Res. 212, A 619)</w:t>
            </w:r>
          </w:p>
        </w:tc>
        <w:tc>
          <w:tcPr>
            <w:tcW w:w="2181" w:type="dxa"/>
            <w:tcBorders>
              <w:bottom w:val="nil"/>
            </w:tcBorders>
          </w:tcPr>
          <w:p w14:paraId="6F973528" w14:textId="66FD4824" w:rsidR="00105DB2" w:rsidRPr="00E52715" w:rsidRDefault="00105DB2" w:rsidP="00970925">
            <w:pPr>
              <w:pStyle w:val="Tabletext"/>
              <w:keepNext/>
              <w:keepLines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11" w:history="1">
              <w:r w:rsidRPr="00E52715">
                <w:rPr>
                  <w:rStyle w:val="Hyperlink"/>
                  <w:lang w:val="en-US"/>
                </w:rPr>
                <w:t>C20/7(R</w:t>
              </w:r>
              <w:r w:rsidRPr="00E52715">
                <w:rPr>
                  <w:rStyle w:val="Hyperlink"/>
                  <w:lang w:val="en-US"/>
                </w:rPr>
                <w:t>e</w:t>
              </w:r>
              <w:r w:rsidRPr="00E52715">
                <w:rPr>
                  <w:rStyle w:val="Hyperlink"/>
                  <w:lang w:val="en-US"/>
                </w:rPr>
                <w:t>v.1)</w:t>
              </w:r>
            </w:hyperlink>
          </w:p>
        </w:tc>
        <w:tc>
          <w:tcPr>
            <w:tcW w:w="5746" w:type="dxa"/>
            <w:vMerge w:val="restart"/>
          </w:tcPr>
          <w:p w14:paraId="16DF3326" w14:textId="4F264F96" w:rsidR="00105DB2" w:rsidRPr="00381A36" w:rsidRDefault="00105DB2" w:rsidP="00FF1F4F">
            <w:pPr>
              <w:pStyle w:val="Tabletext"/>
              <w:keepNext/>
              <w:keepLines/>
              <w:ind w:left="552" w:hanging="552"/>
              <w:rPr>
                <w:rFonts w:eastAsia="Times New Roman" w:cs="Times New Roman"/>
                <w:szCs w:val="20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381A36">
              <w:rPr>
                <w:rFonts w:eastAsia="Times New Roman" w:cs="Times New Roman"/>
                <w:szCs w:val="20"/>
              </w:rPr>
              <w:t>Los consejeros toma</w:t>
            </w:r>
            <w:r>
              <w:rPr>
                <w:rFonts w:eastAsia="Times New Roman" w:cs="Times New Roman"/>
                <w:szCs w:val="20"/>
              </w:rPr>
              <w:t>r</w:t>
            </w:r>
            <w:r>
              <w:t>on</w:t>
            </w:r>
            <w:r w:rsidRPr="00381A36">
              <w:rPr>
                <w:rFonts w:eastAsia="Times New Roman" w:cs="Times New Roman"/>
                <w:szCs w:val="20"/>
              </w:rPr>
              <w:t xml:space="preserve"> nota del </w:t>
            </w:r>
            <w:r w:rsidRPr="006809B6">
              <w:t>Documento</w:t>
            </w:r>
            <w:r>
              <w:rPr>
                <w:rFonts w:eastAsia="Times New Roman" w:cs="Times New Roman"/>
                <w:szCs w:val="20"/>
              </w:rPr>
              <w:t> </w:t>
            </w:r>
            <w:r w:rsidRPr="00381A36">
              <w:rPr>
                <w:rFonts w:eastAsia="Times New Roman" w:cs="Times New Roman"/>
                <w:szCs w:val="20"/>
              </w:rPr>
              <w:t>C20/7(Rev.1).</w:t>
            </w:r>
          </w:p>
          <w:p w14:paraId="0BB9F6C6" w14:textId="0371FB51" w:rsidR="00105DB2" w:rsidRPr="00381A36" w:rsidRDefault="00105DB2" w:rsidP="00FF1F4F">
            <w:pPr>
              <w:pStyle w:val="Tabletext"/>
              <w:keepNext/>
              <w:keepLines/>
              <w:ind w:left="552" w:hanging="552"/>
              <w:rPr>
                <w:rFonts w:eastAsia="Times New Roman" w:cs="Times New Roman"/>
                <w:szCs w:val="20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381A36">
              <w:rPr>
                <w:rFonts w:eastAsia="Times New Roman" w:cs="Times New Roman"/>
                <w:szCs w:val="20"/>
              </w:rPr>
              <w:t xml:space="preserve">Los </w:t>
            </w:r>
            <w:r w:rsidRPr="006809B6">
              <w:t>consejeros</w:t>
            </w:r>
            <w:r w:rsidRPr="00381A36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e</w:t>
            </w:r>
            <w:r>
              <w:t>xaminaron</w:t>
            </w:r>
            <w:r w:rsidRPr="00381A36">
              <w:rPr>
                <w:rFonts w:eastAsia="Times New Roman" w:cs="Times New Roman"/>
                <w:szCs w:val="20"/>
              </w:rPr>
              <w:t xml:space="preserve"> el Documento C20/77 y </w:t>
            </w:r>
            <w:r>
              <w:rPr>
                <w:rFonts w:eastAsia="Times New Roman" w:cs="Times New Roman"/>
                <w:szCs w:val="20"/>
              </w:rPr>
              <w:t>d</w:t>
            </w:r>
            <w:r>
              <w:t xml:space="preserve">ecidieron </w:t>
            </w:r>
            <w:r w:rsidRPr="00381A36">
              <w:rPr>
                <w:rFonts w:eastAsia="Times New Roman" w:cs="Times New Roman"/>
                <w:szCs w:val="20"/>
              </w:rPr>
              <w:t>tomar una decisión al respecto en la reunión de 2021 del Consejo.</w:t>
            </w:r>
          </w:p>
          <w:p w14:paraId="783CC5B8" w14:textId="43BC2D36" w:rsidR="00105DB2" w:rsidRPr="00381A36" w:rsidRDefault="00105DB2" w:rsidP="00FF1F4F">
            <w:pPr>
              <w:pStyle w:val="Tabletext"/>
              <w:keepNext/>
              <w:keepLines/>
              <w:ind w:left="552" w:hanging="552"/>
              <w:rPr>
                <w:rFonts w:eastAsia="Times New Roman" w:cs="Times New Roman"/>
                <w:szCs w:val="20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381A36">
              <w:rPr>
                <w:rFonts w:eastAsia="Times New Roman" w:cs="Times New Roman"/>
                <w:szCs w:val="20"/>
              </w:rPr>
              <w:t xml:space="preserve">La </w:t>
            </w:r>
            <w:r w:rsidRPr="006809B6">
              <w:t>Secretaría</w:t>
            </w:r>
            <w:r w:rsidRPr="00381A36">
              <w:rPr>
                <w:rFonts w:eastAsia="Times New Roman" w:cs="Times New Roman"/>
                <w:szCs w:val="20"/>
              </w:rPr>
              <w:t xml:space="preserve"> organizar</w:t>
            </w:r>
            <w:r>
              <w:rPr>
                <w:rFonts w:eastAsia="Times New Roman" w:cs="Times New Roman"/>
                <w:szCs w:val="20"/>
              </w:rPr>
              <w:t>í</w:t>
            </w:r>
            <w:r>
              <w:t>a</w:t>
            </w:r>
            <w:r w:rsidRPr="00381A36">
              <w:rPr>
                <w:rFonts w:eastAsia="Times New Roman" w:cs="Times New Roman"/>
                <w:szCs w:val="20"/>
              </w:rPr>
              <w:t xml:space="preserve"> una sesión informativa durante el primer semestre de 2021 una vez que se haya aprobado el préstamo, se hayan presentado los permisos de construcción y se conozcan las conclusiones iniciales sobre las futuras condiciones de trabajo del personal.</w:t>
            </w:r>
          </w:p>
        </w:tc>
        <w:tc>
          <w:tcPr>
            <w:tcW w:w="1927" w:type="dxa"/>
            <w:vMerge w:val="restart"/>
          </w:tcPr>
          <w:p w14:paraId="4E7A2219" w14:textId="77777777" w:rsidR="00105DB2" w:rsidRPr="00E52715" w:rsidRDefault="00105DB2" w:rsidP="00970925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105DB2" w:rsidRPr="00E52715" w14:paraId="4C9F3173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3586609B" w14:textId="0FFFB9D5" w:rsidR="00105DB2" w:rsidRPr="00105DB2" w:rsidRDefault="00105DB2" w:rsidP="00FF1F4F">
            <w:pPr>
              <w:pStyle w:val="Tabletext"/>
              <w:keepNext/>
              <w:keepLines/>
              <w:rPr>
                <w:lang w:val="es-ES"/>
              </w:rPr>
            </w:pPr>
            <w:r w:rsidRPr="00381A36">
              <w:t xml:space="preserve">Proyecto de Sede de la Unión </w:t>
            </w:r>
            <w:r>
              <w:t>–</w:t>
            </w:r>
            <w:r w:rsidRPr="00381A36">
              <w:t xml:space="preserve"> Análisis de las opciones de venta de la Torre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6D0D20A7" w14:textId="77777777" w:rsidR="00105DB2" w:rsidRPr="00105DB2" w:rsidRDefault="00105DB2" w:rsidP="00970925">
            <w:pPr>
              <w:pStyle w:val="Tabletext"/>
              <w:jc w:val="center"/>
            </w:pPr>
            <w:hyperlink r:id="rId112" w:history="1">
              <w:r w:rsidRPr="00E52715">
                <w:rPr>
                  <w:rStyle w:val="Hyperlink"/>
                  <w:lang w:val="en-US"/>
                </w:rPr>
                <w:t>C2</w:t>
              </w:r>
              <w:r w:rsidRPr="00E52715">
                <w:rPr>
                  <w:rStyle w:val="Hyperlink"/>
                  <w:lang w:val="en-US"/>
                </w:rPr>
                <w:t>0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77</w:t>
              </w:r>
            </w:hyperlink>
          </w:p>
          <w:p w14:paraId="7F34FA83" w14:textId="7BCC70B7" w:rsidR="00105DB2" w:rsidRDefault="00105DB2" w:rsidP="00970925">
            <w:pPr>
              <w:pStyle w:val="Tabletext"/>
              <w:jc w:val="center"/>
            </w:pPr>
            <w:hyperlink r:id="rId113" w:history="1">
              <w:r w:rsidRPr="00E52715">
                <w:rPr>
                  <w:rStyle w:val="Hyperlink"/>
                  <w:lang w:val="en-US"/>
                </w:rPr>
                <w:t>INF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0</w:t>
              </w:r>
            </w:hyperlink>
          </w:p>
        </w:tc>
        <w:tc>
          <w:tcPr>
            <w:tcW w:w="5746" w:type="dxa"/>
            <w:vMerge/>
          </w:tcPr>
          <w:p w14:paraId="2E7B7C7C" w14:textId="77777777" w:rsidR="00105DB2" w:rsidRPr="00452326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5263757E" w14:textId="77777777" w:rsidR="00105DB2" w:rsidRPr="00E52715" w:rsidRDefault="00105DB2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105DB2" w:rsidRPr="00E52715" w14:paraId="297B6D4B" w14:textId="77777777" w:rsidTr="0083579A">
        <w:trPr>
          <w:jc w:val="center"/>
        </w:trPr>
        <w:tc>
          <w:tcPr>
            <w:tcW w:w="4134" w:type="dxa"/>
            <w:tcBorders>
              <w:top w:val="nil"/>
            </w:tcBorders>
          </w:tcPr>
          <w:p w14:paraId="1238D7FB" w14:textId="2B644E0D" w:rsidR="00105DB2" w:rsidRPr="00E039AA" w:rsidRDefault="00105DB2" w:rsidP="00FF1F4F">
            <w:pPr>
              <w:pStyle w:val="Tabletext"/>
              <w:keepNext/>
              <w:keepLines/>
            </w:pPr>
            <w:r w:rsidRPr="0072320A">
              <w:rPr>
                <w:lang w:val="es-ES"/>
              </w:rPr>
              <w:t>Consecuencias de</w:t>
            </w:r>
            <w:r>
              <w:rPr>
                <w:lang w:val="es-ES"/>
              </w:rPr>
              <w:t xml:space="preserve"> </w:t>
            </w:r>
            <w:r w:rsidRPr="0072320A">
              <w:rPr>
                <w:lang w:val="es-ES"/>
              </w:rPr>
              <w:t>l</w:t>
            </w:r>
            <w:r>
              <w:rPr>
                <w:lang w:val="es-ES"/>
              </w:rPr>
              <w:t>a</w:t>
            </w:r>
            <w:r w:rsidRPr="0072320A">
              <w:rPr>
                <w:lang w:val="es-ES"/>
              </w:rPr>
              <w:t xml:space="preserve"> COVID-19 en el diseño</w:t>
            </w:r>
          </w:p>
        </w:tc>
        <w:tc>
          <w:tcPr>
            <w:tcW w:w="2181" w:type="dxa"/>
            <w:tcBorders>
              <w:top w:val="nil"/>
            </w:tcBorders>
          </w:tcPr>
          <w:p w14:paraId="29C26B70" w14:textId="28D5AE14" w:rsidR="00105DB2" w:rsidRDefault="00105DB2" w:rsidP="00970925">
            <w:pPr>
              <w:pStyle w:val="Tabletext"/>
              <w:jc w:val="center"/>
            </w:pPr>
            <w:hyperlink r:id="rId114" w:history="1">
              <w:r w:rsidRPr="00E52715">
                <w:rPr>
                  <w:rStyle w:val="Hyperlink"/>
                  <w:lang w:val="en-US"/>
                </w:rPr>
                <w:t>INF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21</w:t>
              </w:r>
            </w:hyperlink>
          </w:p>
        </w:tc>
        <w:tc>
          <w:tcPr>
            <w:tcW w:w="5746" w:type="dxa"/>
            <w:vMerge/>
          </w:tcPr>
          <w:p w14:paraId="22A06475" w14:textId="77777777" w:rsidR="00105DB2" w:rsidRPr="00452326" w:rsidRDefault="00105DB2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7E3A9BE4" w14:textId="77777777" w:rsidR="00105DB2" w:rsidRPr="00E52715" w:rsidRDefault="00105DB2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E52715" w:rsidRPr="00E52715" w14:paraId="4892068B" w14:textId="77777777" w:rsidTr="0083579A">
        <w:trPr>
          <w:jc w:val="center"/>
        </w:trPr>
        <w:tc>
          <w:tcPr>
            <w:tcW w:w="4134" w:type="dxa"/>
          </w:tcPr>
          <w:p w14:paraId="0E27D503" w14:textId="0F305CDA" w:rsidR="00E52715" w:rsidRPr="00381A36" w:rsidRDefault="00381A36" w:rsidP="00381A36">
            <w:pPr>
              <w:pStyle w:val="Tabletext"/>
            </w:pPr>
            <w:r w:rsidRPr="00381A36">
              <w:t>Informe resumido de la labor del Grupo Asesor de los Estados Miembros sobre el proyecto de Sede de la Unión</w:t>
            </w:r>
            <w:r w:rsidR="00E52715" w:rsidRPr="00381A36">
              <w:t xml:space="preserve"> (Res. 212)</w:t>
            </w:r>
          </w:p>
        </w:tc>
        <w:tc>
          <w:tcPr>
            <w:tcW w:w="2181" w:type="dxa"/>
          </w:tcPr>
          <w:p w14:paraId="29239474" w14:textId="3877C874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15" w:history="1">
              <w:r w:rsidR="00E52715" w:rsidRPr="00E52715">
                <w:rPr>
                  <w:rStyle w:val="Hyperlink"/>
                  <w:lang w:val="en-US"/>
                </w:rPr>
                <w:t>C20/48(</w:t>
              </w:r>
              <w:r w:rsidR="00E52715" w:rsidRPr="00E52715">
                <w:rPr>
                  <w:rStyle w:val="Hyperlink"/>
                  <w:lang w:val="en-US"/>
                </w:rPr>
                <w:t>R</w:t>
              </w:r>
              <w:r w:rsidR="00E52715" w:rsidRPr="00E52715">
                <w:rPr>
                  <w:rStyle w:val="Hyperlink"/>
                  <w:lang w:val="en-US"/>
                </w:rPr>
                <w:t>ev.1)</w:t>
              </w:r>
            </w:hyperlink>
          </w:p>
        </w:tc>
        <w:tc>
          <w:tcPr>
            <w:tcW w:w="5746" w:type="dxa"/>
          </w:tcPr>
          <w:p w14:paraId="5503011A" w14:textId="2AFD5158" w:rsidR="00E52715" w:rsidRPr="00381A36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381A36" w:rsidRPr="00381A36">
              <w:rPr>
                <w:rFonts w:eastAsia="Times New Roman" w:cs="Times New Roman"/>
                <w:szCs w:val="20"/>
              </w:rPr>
              <w:t>Los consejeros invita</w:t>
            </w:r>
            <w:r w:rsidR="0072320A">
              <w:rPr>
                <w:rFonts w:eastAsia="Times New Roman" w:cs="Times New Roman"/>
                <w:szCs w:val="20"/>
              </w:rPr>
              <w:t>r</w:t>
            </w:r>
            <w:r w:rsidR="0072320A">
              <w:t>o</w:t>
            </w:r>
            <w:r w:rsidR="00381A36" w:rsidRPr="00381A36">
              <w:rPr>
                <w:rFonts w:eastAsia="Times New Roman" w:cs="Times New Roman"/>
                <w:szCs w:val="20"/>
              </w:rPr>
              <w:t xml:space="preserve">n al GAEM a tomar </w:t>
            </w:r>
            <w:r w:rsidR="00381A36" w:rsidRPr="009118A8">
              <w:t>en</w:t>
            </w:r>
            <w:r w:rsidR="0072320A">
              <w:t xml:space="preserve"> c</w:t>
            </w:r>
            <w:r w:rsidR="004E0909">
              <w:t>onsideración</w:t>
            </w:r>
            <w:r w:rsidR="0072320A">
              <w:t xml:space="preserve"> las</w:t>
            </w:r>
            <w:r w:rsidR="00381A36" w:rsidRPr="00381A36">
              <w:rPr>
                <w:rFonts w:eastAsia="Times New Roman" w:cs="Times New Roman"/>
                <w:szCs w:val="20"/>
              </w:rPr>
              <w:t xml:space="preserve"> observaciones formuladas en la reunión y a tenerlas en cuenta en su labor futura.</w:t>
            </w:r>
          </w:p>
          <w:p w14:paraId="6F4E2FEA" w14:textId="6BEF39C8" w:rsidR="00E52715" w:rsidRPr="00381A36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381A36" w:rsidRPr="00381A36">
              <w:rPr>
                <w:rFonts w:eastAsia="Times New Roman" w:cs="Times New Roman"/>
                <w:szCs w:val="20"/>
              </w:rPr>
              <w:t>Se ac</w:t>
            </w:r>
            <w:r w:rsidR="004E0909">
              <w:rPr>
                <w:rFonts w:eastAsia="Times New Roman" w:cs="Times New Roman"/>
                <w:szCs w:val="20"/>
              </w:rPr>
              <w:t>o</w:t>
            </w:r>
            <w:r w:rsidR="00381A36" w:rsidRPr="00381A36">
              <w:rPr>
                <w:rFonts w:eastAsia="Times New Roman" w:cs="Times New Roman"/>
                <w:szCs w:val="20"/>
              </w:rPr>
              <w:t>rd</w:t>
            </w:r>
            <w:r w:rsidR="004E0909">
              <w:rPr>
                <w:rFonts w:eastAsia="Times New Roman" w:cs="Times New Roman"/>
                <w:szCs w:val="20"/>
              </w:rPr>
              <w:t>ó</w:t>
            </w:r>
            <w:r w:rsidR="00381A36" w:rsidRPr="00381A36">
              <w:rPr>
                <w:rFonts w:eastAsia="Times New Roman" w:cs="Times New Roman"/>
                <w:szCs w:val="20"/>
              </w:rPr>
              <w:t xml:space="preserve"> que cualquier problema relacionado con el </w:t>
            </w:r>
            <w:r w:rsidR="00381A36" w:rsidRPr="006809B6">
              <w:t>fondo</w:t>
            </w:r>
            <w:r w:rsidR="00381A36" w:rsidRPr="00381A36">
              <w:rPr>
                <w:rFonts w:eastAsia="Times New Roman" w:cs="Times New Roman"/>
                <w:szCs w:val="20"/>
              </w:rPr>
              <w:t xml:space="preserve"> de registro de riesgos se examinar</w:t>
            </w:r>
            <w:r w:rsidR="004E0909">
              <w:rPr>
                <w:rFonts w:eastAsia="Times New Roman" w:cs="Times New Roman"/>
                <w:szCs w:val="20"/>
              </w:rPr>
              <w:t>í</w:t>
            </w:r>
            <w:r w:rsidR="004E0909">
              <w:t>a</w:t>
            </w:r>
            <w:r w:rsidR="00381A36" w:rsidRPr="00381A36">
              <w:rPr>
                <w:rFonts w:eastAsia="Times New Roman" w:cs="Times New Roman"/>
                <w:szCs w:val="20"/>
              </w:rPr>
              <w:t xml:space="preserve"> en la reunión del GTC-</w:t>
            </w:r>
            <w:r w:rsidR="00381A36" w:rsidRPr="009118A8">
              <w:t>RHF</w:t>
            </w:r>
            <w:r w:rsidR="00381A36" w:rsidRPr="00381A36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14:paraId="25910C4F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E52715" w14:paraId="717C555D" w14:textId="77777777" w:rsidTr="0083579A">
        <w:trPr>
          <w:jc w:val="center"/>
        </w:trPr>
        <w:tc>
          <w:tcPr>
            <w:tcW w:w="4134" w:type="dxa"/>
          </w:tcPr>
          <w:p w14:paraId="2511E627" w14:textId="66FED4A1" w:rsidR="00E52715" w:rsidRPr="00381A36" w:rsidRDefault="00381A36" w:rsidP="00381A36">
            <w:pPr>
              <w:pStyle w:val="Tabletext"/>
            </w:pPr>
            <w:r w:rsidRPr="00381A36">
              <w:t>Estrategia sobre las condiciones de trabajo del personal y plan de ejecución</w:t>
            </w:r>
            <w:r w:rsidR="00E52715" w:rsidRPr="00381A36">
              <w:t xml:space="preserve"> (</w:t>
            </w:r>
            <w:r w:rsidR="00F34551">
              <w:t>A</w:t>
            </w:r>
            <w:r w:rsidR="00E52715" w:rsidRPr="00381A36">
              <w:t xml:space="preserve"> 619)</w:t>
            </w:r>
          </w:p>
        </w:tc>
        <w:tc>
          <w:tcPr>
            <w:tcW w:w="2181" w:type="dxa"/>
          </w:tcPr>
          <w:p w14:paraId="3AB72FF9" w14:textId="21D0160F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16" w:history="1">
              <w:r w:rsidR="00E52715" w:rsidRPr="00E52715">
                <w:rPr>
                  <w:rStyle w:val="Hyperlink"/>
                  <w:lang w:val="en-US"/>
                </w:rPr>
                <w:t>C20</w:t>
              </w:r>
              <w:r w:rsidR="00E52715" w:rsidRPr="00E52715">
                <w:rPr>
                  <w:rStyle w:val="Hyperlink"/>
                  <w:lang w:val="en-US"/>
                </w:rPr>
                <w:t>/</w:t>
              </w:r>
              <w:r w:rsidR="00E52715" w:rsidRPr="00E52715">
                <w:rPr>
                  <w:rStyle w:val="Hyperlink"/>
                  <w:lang w:val="en-US"/>
                </w:rPr>
                <w:t>29</w:t>
              </w:r>
            </w:hyperlink>
          </w:p>
        </w:tc>
        <w:tc>
          <w:tcPr>
            <w:tcW w:w="5746" w:type="dxa"/>
          </w:tcPr>
          <w:p w14:paraId="20B83A14" w14:textId="7BD53556" w:rsidR="00E52715" w:rsidRPr="00922B61" w:rsidRDefault="009540FB" w:rsidP="006809B6">
            <w:pPr>
              <w:pStyle w:val="Tabletext"/>
              <w:ind w:left="552" w:hanging="552"/>
              <w:rPr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381A36" w:rsidRPr="00922B61">
              <w:rPr>
                <w:lang w:val="es-ES"/>
              </w:rPr>
              <w:t>La Secretaría celebrar</w:t>
            </w:r>
            <w:r w:rsidR="004E0909" w:rsidRPr="00922B61">
              <w:rPr>
                <w:lang w:val="es-ES"/>
              </w:rPr>
              <w:t>ía</w:t>
            </w:r>
            <w:r w:rsidR="00381A36" w:rsidRPr="00922B61">
              <w:rPr>
                <w:lang w:val="es-ES"/>
              </w:rPr>
              <w:t xml:space="preserve"> una sesión informativa </w:t>
            </w:r>
            <w:r w:rsidR="00381A36" w:rsidRPr="006809B6">
              <w:t>durante</w:t>
            </w:r>
            <w:r w:rsidR="00381A36" w:rsidRPr="00922B61">
              <w:rPr>
                <w:lang w:val="es-ES"/>
              </w:rPr>
              <w:t xml:space="preserve"> el primer semestre de 2021, una vez se conozcan las conclusiones preliminares sobre las futuras condiciones de trabajo del personal</w:t>
            </w:r>
            <w:r w:rsidR="00E52715" w:rsidRPr="00922B61">
              <w:rPr>
                <w:lang w:val="es-ES"/>
              </w:rPr>
              <w:t>.</w:t>
            </w:r>
          </w:p>
          <w:p w14:paraId="5698C3D7" w14:textId="74055705" w:rsidR="00E52715" w:rsidRPr="00381A36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4E0909">
              <w:rPr>
                <w:lang w:val="es-ES"/>
              </w:rPr>
              <w:t>L</w:t>
            </w:r>
            <w:r w:rsidR="004E0909">
              <w:t>os consejeros acordaron</w:t>
            </w:r>
            <w:r w:rsidR="00381A36" w:rsidRPr="00381A36">
              <w:rPr>
                <w:rFonts w:eastAsia="Times New Roman" w:cs="Times New Roman"/>
                <w:szCs w:val="20"/>
              </w:rPr>
              <w:t xml:space="preserve"> examinar el Documento</w:t>
            </w:r>
            <w:r w:rsidR="00CC1EB6">
              <w:rPr>
                <w:rFonts w:eastAsia="Times New Roman" w:cs="Times New Roman"/>
                <w:szCs w:val="20"/>
              </w:rPr>
              <w:t> </w:t>
            </w:r>
            <w:r w:rsidR="00381A36" w:rsidRPr="00381A36">
              <w:rPr>
                <w:rFonts w:eastAsia="Times New Roman" w:cs="Times New Roman"/>
                <w:szCs w:val="20"/>
              </w:rPr>
              <w:t xml:space="preserve">C20/29 en la </w:t>
            </w:r>
            <w:r w:rsidR="004E0909">
              <w:rPr>
                <w:rFonts w:eastAsia="Times New Roman" w:cs="Times New Roman"/>
                <w:szCs w:val="20"/>
              </w:rPr>
              <w:t>s</w:t>
            </w:r>
            <w:r w:rsidR="004E0909">
              <w:t>iguiente</w:t>
            </w:r>
            <w:r w:rsidR="00381A36" w:rsidRPr="00381A36">
              <w:rPr>
                <w:rFonts w:eastAsia="Times New Roman" w:cs="Times New Roman"/>
                <w:szCs w:val="20"/>
              </w:rPr>
              <w:t xml:space="preserve"> reunión del</w:t>
            </w:r>
            <w:r w:rsidR="0083579A">
              <w:rPr>
                <w:rFonts w:eastAsia="Times New Roman" w:cs="Times New Roman"/>
                <w:szCs w:val="20"/>
              </w:rPr>
              <w:t> </w:t>
            </w:r>
            <w:r w:rsidR="00381A36" w:rsidRPr="00381A36">
              <w:rPr>
                <w:rFonts w:eastAsia="Times New Roman" w:cs="Times New Roman"/>
                <w:szCs w:val="20"/>
              </w:rPr>
              <w:t>GTC</w:t>
            </w:r>
            <w:r w:rsidR="00CC1EB6">
              <w:rPr>
                <w:rFonts w:eastAsia="Times New Roman" w:cs="Times New Roman"/>
                <w:szCs w:val="20"/>
              </w:rPr>
              <w:noBreakHyphen/>
            </w:r>
            <w:r w:rsidR="00381A36" w:rsidRPr="00381A36">
              <w:rPr>
                <w:rFonts w:eastAsia="Times New Roman" w:cs="Times New Roman"/>
                <w:szCs w:val="20"/>
              </w:rPr>
              <w:t>RHF</w:t>
            </w:r>
            <w:r w:rsidR="00381A36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14:paraId="3D9E003F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FF1F4F" w:rsidRPr="004E0909" w14:paraId="7B65DA6C" w14:textId="77777777" w:rsidTr="0083579A">
        <w:trPr>
          <w:jc w:val="center"/>
        </w:trPr>
        <w:tc>
          <w:tcPr>
            <w:tcW w:w="4134" w:type="dxa"/>
            <w:tcBorders>
              <w:bottom w:val="nil"/>
            </w:tcBorders>
          </w:tcPr>
          <w:p w14:paraId="6172D7EA" w14:textId="7FCE6452" w:rsidR="00FF1F4F" w:rsidRPr="00381A36" w:rsidRDefault="00FF1F4F" w:rsidP="00DB580A">
            <w:pPr>
              <w:pStyle w:val="Tabletext"/>
              <w:keepNext/>
              <w:keepLines/>
            </w:pPr>
            <w:r w:rsidRPr="00381A36">
              <w:lastRenderedPageBreak/>
              <w:t>Informe del Grupo de Trabajo del Consejo sobre los idiomas (Res. 154, R</w:t>
            </w:r>
            <w:r>
              <w:t> </w:t>
            </w:r>
            <w:r w:rsidRPr="00381A36">
              <w:t>1372 MOD)</w:t>
            </w:r>
          </w:p>
        </w:tc>
        <w:tc>
          <w:tcPr>
            <w:tcW w:w="2181" w:type="dxa"/>
            <w:tcBorders>
              <w:bottom w:val="nil"/>
            </w:tcBorders>
          </w:tcPr>
          <w:p w14:paraId="7F6E706D" w14:textId="6D935A0F" w:rsidR="00FF1F4F" w:rsidRPr="00FF1F4F" w:rsidRDefault="00FF1F4F" w:rsidP="00970925">
            <w:pPr>
              <w:pStyle w:val="Tabletext"/>
              <w:keepNext/>
              <w:keepLines/>
              <w:jc w:val="center"/>
              <w:rPr>
                <w:rFonts w:eastAsia="Times New Roman" w:cs="Times New Roman"/>
                <w:szCs w:val="20"/>
                <w:u w:val="single"/>
                <w:lang w:val="en-US"/>
              </w:rPr>
            </w:pPr>
            <w:hyperlink r:id="rId117" w:history="1">
              <w:r w:rsidRPr="00E52715">
                <w:rPr>
                  <w:rStyle w:val="Hyperlink"/>
                  <w:lang w:val="en-US"/>
                </w:rPr>
                <w:t>C2</w:t>
              </w:r>
              <w:r w:rsidRPr="00E52715">
                <w:rPr>
                  <w:rStyle w:val="Hyperlink"/>
                  <w:lang w:val="en-US"/>
                </w:rPr>
                <w:t>0</w:t>
              </w:r>
              <w:r w:rsidRPr="00E52715">
                <w:rPr>
                  <w:rStyle w:val="Hyperlink"/>
                  <w:lang w:val="en-US"/>
                </w:rPr>
                <w:t>/12</w:t>
              </w:r>
            </w:hyperlink>
          </w:p>
        </w:tc>
        <w:tc>
          <w:tcPr>
            <w:tcW w:w="5746" w:type="dxa"/>
            <w:vMerge w:val="restart"/>
          </w:tcPr>
          <w:p w14:paraId="4ADBFFCE" w14:textId="4A211BC8" w:rsidR="00FF1F4F" w:rsidRPr="00922B61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922B61">
              <w:rPr>
                <w:lang w:val="es-ES"/>
              </w:rPr>
              <w:t xml:space="preserve">Habida cuenta de que los Grupos de Trabajo del </w:t>
            </w:r>
            <w:r w:rsidRPr="006809B6">
              <w:t>Consejo</w:t>
            </w:r>
            <w:r w:rsidRPr="00922B61">
              <w:rPr>
                <w:lang w:val="es-ES"/>
              </w:rPr>
              <w:t xml:space="preserve"> se reunirían a principios de 2021, se decidió realizar una consulta por correspondencia para tomar nota y refrendar los informes.</w:t>
            </w:r>
          </w:p>
          <w:p w14:paraId="74F16590" w14:textId="0961ED48" w:rsidR="00FF1F4F" w:rsidRPr="00922B61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  <w:r w:rsidRPr="00922B61">
              <w:rPr>
                <w:lang w:val="es-ES"/>
              </w:rPr>
              <w:t>–</w:t>
            </w:r>
            <w:r w:rsidRPr="00922B61">
              <w:rPr>
                <w:lang w:val="es-ES"/>
              </w:rPr>
              <w:tab/>
              <w:t xml:space="preserve">En cuanto a la contribución de la Federación de Rusia </w:t>
            </w:r>
            <w:r w:rsidRPr="006809B6">
              <w:t>presentada</w:t>
            </w:r>
            <w:r w:rsidRPr="00922B61">
              <w:rPr>
                <w:lang w:val="es-ES"/>
              </w:rPr>
              <w:t xml:space="preserve"> en el Documento C20/67, se acordó estudiar esas propuestas en la siguiente reunión del Grupo de Trabajo del Consejo sobre los idiomas.</w:t>
            </w:r>
          </w:p>
        </w:tc>
        <w:tc>
          <w:tcPr>
            <w:tcW w:w="1927" w:type="dxa"/>
            <w:vMerge w:val="restart"/>
          </w:tcPr>
          <w:p w14:paraId="6BD23C72" w14:textId="7F307C8E" w:rsidR="00FF1F4F" w:rsidRPr="004E0909" w:rsidRDefault="00FF1F4F" w:rsidP="00970925">
            <w:pPr>
              <w:pStyle w:val="Tabletext"/>
              <w:rPr>
                <w:lang w:val="es-ES"/>
              </w:rPr>
            </w:pPr>
            <w:r w:rsidRPr="004E0909">
              <w:rPr>
                <w:lang w:val="es-ES"/>
              </w:rPr>
              <w:t>Se tomó nota de l</w:t>
            </w:r>
            <w:r>
              <w:rPr>
                <w:lang w:val="es-ES"/>
              </w:rPr>
              <w:t xml:space="preserve">os </w:t>
            </w:r>
            <w:r w:rsidR="00E65132">
              <w:rPr>
                <w:lang w:val="es-ES"/>
              </w:rPr>
              <w:t>i</w:t>
            </w:r>
            <w:r>
              <w:rPr>
                <w:lang w:val="es-ES"/>
              </w:rPr>
              <w:t>nformes y de las recomendaciones.</w:t>
            </w:r>
          </w:p>
        </w:tc>
      </w:tr>
      <w:tr w:rsidR="00FF1F4F" w:rsidRPr="004E0909" w14:paraId="39FA452D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1B513823" w14:textId="2882550F" w:rsidR="00FF1F4F" w:rsidRPr="00381A36" w:rsidRDefault="00FF1F4F" w:rsidP="00173D6F">
            <w:pPr>
              <w:pStyle w:val="Tabletext"/>
              <w:keepNext/>
              <w:keepLines/>
              <w:tabs>
                <w:tab w:val="left" w:pos="311"/>
              </w:tabs>
              <w:ind w:left="312" w:hanging="312"/>
            </w:pPr>
            <w:r>
              <w:t>–</w:t>
            </w:r>
            <w:r>
              <w:tab/>
            </w:r>
            <w:r w:rsidRPr="00F34551">
              <w:rPr>
                <w:i/>
                <w:iCs/>
              </w:rPr>
              <w:t>Contribu</w:t>
            </w:r>
            <w:r>
              <w:rPr>
                <w:i/>
                <w:iCs/>
              </w:rPr>
              <w:t>ción de la Federación de Rusia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15E35582" w14:textId="03EDBBF9" w:rsidR="00FF1F4F" w:rsidRDefault="00FF1F4F" w:rsidP="00970925">
            <w:pPr>
              <w:pStyle w:val="Tabletext"/>
              <w:keepNext/>
              <w:keepLines/>
              <w:jc w:val="center"/>
            </w:pPr>
            <w:hyperlink r:id="rId118" w:history="1">
              <w:r w:rsidRPr="00E52715">
                <w:rPr>
                  <w:rStyle w:val="Hyperlink"/>
                  <w:lang w:val="en-US"/>
                </w:rPr>
                <w:t>C2</w:t>
              </w:r>
              <w:r w:rsidRPr="00E52715">
                <w:rPr>
                  <w:rStyle w:val="Hyperlink"/>
                  <w:lang w:val="en-US"/>
                </w:rPr>
                <w:t>0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6</w:t>
              </w:r>
              <w:r w:rsidRPr="00E52715">
                <w:rPr>
                  <w:rStyle w:val="Hyperlink"/>
                  <w:lang w:val="en-US"/>
                </w:rPr>
                <w:t>7</w:t>
              </w:r>
            </w:hyperlink>
          </w:p>
        </w:tc>
        <w:tc>
          <w:tcPr>
            <w:tcW w:w="5746" w:type="dxa"/>
            <w:vMerge/>
          </w:tcPr>
          <w:p w14:paraId="4D5417F2" w14:textId="77777777" w:rsidR="00FF1F4F" w:rsidRPr="00452326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2E276FD7" w14:textId="77777777" w:rsidR="00FF1F4F" w:rsidRPr="004E0909" w:rsidRDefault="00FF1F4F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FF1F4F" w:rsidRPr="004E0909" w14:paraId="116A50B7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513CA06B" w14:textId="6C3959AC" w:rsidR="00FF1F4F" w:rsidRPr="00381A36" w:rsidRDefault="00FF1F4F" w:rsidP="00381A36">
            <w:pPr>
              <w:pStyle w:val="Tabletext"/>
            </w:pPr>
            <w:r w:rsidRPr="00381A36">
              <w:t>Informe sobre los resultados de las actividades del GTC-CMSI+ODS (Res. 140, R 1281, R 1332(MOD), R 1334(MOD))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1DE3173E" w14:textId="3B32CB27" w:rsidR="00FF1F4F" w:rsidRDefault="00FF1F4F" w:rsidP="00970925">
            <w:pPr>
              <w:pStyle w:val="Tabletext"/>
              <w:jc w:val="center"/>
            </w:pPr>
            <w:hyperlink r:id="rId119" w:history="1">
              <w:r w:rsidRPr="00E52715">
                <w:rPr>
                  <w:rStyle w:val="Hyperlink"/>
                  <w:lang w:val="en-US"/>
                </w:rPr>
                <w:t>C20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8</w:t>
              </w:r>
            </w:hyperlink>
          </w:p>
        </w:tc>
        <w:tc>
          <w:tcPr>
            <w:tcW w:w="5746" w:type="dxa"/>
            <w:vMerge/>
          </w:tcPr>
          <w:p w14:paraId="2BFF6E5B" w14:textId="77777777" w:rsidR="00FF1F4F" w:rsidRPr="00452326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013961D1" w14:textId="77777777" w:rsidR="00FF1F4F" w:rsidRPr="004E0909" w:rsidRDefault="00FF1F4F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FF1F4F" w:rsidRPr="004E0909" w14:paraId="55EBDFAB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36A74264" w14:textId="7ABC9331" w:rsidR="00FF1F4F" w:rsidRPr="00381A36" w:rsidRDefault="00FF1F4F" w:rsidP="00381A36">
            <w:pPr>
              <w:pStyle w:val="Tabletext"/>
            </w:pPr>
            <w:r w:rsidRPr="00381A36">
              <w:t>Informe del Presidente del Grupo de Trabajo del Consejo sobre cuestiones de política pública internacional relacionadas con Internet (GTC-Internet) (R 1305, R</w:t>
            </w:r>
            <w:r>
              <w:t> </w:t>
            </w:r>
            <w:r w:rsidRPr="00381A36">
              <w:t>1336(MOD)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49AAC75D" w14:textId="630B253E" w:rsidR="00FF1F4F" w:rsidRPr="00FF1F4F" w:rsidRDefault="00FF1F4F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u w:val="single"/>
                <w:lang w:val="en-US"/>
              </w:rPr>
            </w:pPr>
            <w:hyperlink r:id="rId120" w:history="1">
              <w:r w:rsidRPr="00E52715">
                <w:rPr>
                  <w:rStyle w:val="Hyperlink"/>
                  <w:lang w:val="en-US"/>
                </w:rPr>
                <w:t>C20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5</w:t>
              </w:r>
              <w:r w:rsidRPr="00E52715">
                <w:rPr>
                  <w:rStyle w:val="Hyperlink"/>
                  <w:lang w:val="en-US"/>
                </w:rPr>
                <w:t>1</w:t>
              </w:r>
            </w:hyperlink>
          </w:p>
        </w:tc>
        <w:tc>
          <w:tcPr>
            <w:tcW w:w="5746" w:type="dxa"/>
            <w:vMerge/>
          </w:tcPr>
          <w:p w14:paraId="37AF1274" w14:textId="77777777" w:rsidR="00FF1F4F" w:rsidRPr="00452326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5263B38C" w14:textId="77777777" w:rsidR="00FF1F4F" w:rsidRPr="004E0909" w:rsidRDefault="00FF1F4F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FF1F4F" w:rsidRPr="004E0909" w14:paraId="61E3A7C2" w14:textId="77777777" w:rsidTr="0083579A">
        <w:trPr>
          <w:jc w:val="center"/>
        </w:trPr>
        <w:tc>
          <w:tcPr>
            <w:tcW w:w="4134" w:type="dxa"/>
            <w:tcBorders>
              <w:top w:val="nil"/>
            </w:tcBorders>
          </w:tcPr>
          <w:p w14:paraId="54F08CD8" w14:textId="4474000D" w:rsidR="00FF1F4F" w:rsidRPr="00381A36" w:rsidRDefault="00FF1F4F" w:rsidP="00381A36">
            <w:pPr>
              <w:pStyle w:val="Tabletext"/>
            </w:pPr>
            <w:r w:rsidRPr="00381A36">
              <w:t>Informe del Grupo de Trabajo del Consejo sobre la protección de la infancia en línea (Res. 179, R 1306(MOD))</w:t>
            </w:r>
          </w:p>
        </w:tc>
        <w:tc>
          <w:tcPr>
            <w:tcW w:w="2181" w:type="dxa"/>
            <w:tcBorders>
              <w:top w:val="nil"/>
            </w:tcBorders>
          </w:tcPr>
          <w:p w14:paraId="2B581FA0" w14:textId="6DA0C26B" w:rsidR="00FF1F4F" w:rsidRDefault="00FF1F4F" w:rsidP="00970925">
            <w:pPr>
              <w:pStyle w:val="Tabletext"/>
              <w:jc w:val="center"/>
            </w:pPr>
            <w:hyperlink r:id="rId121" w:history="1">
              <w:r w:rsidRPr="00E52715">
                <w:rPr>
                  <w:rStyle w:val="Hyperlink"/>
                  <w:lang w:val="en-US"/>
                </w:rPr>
                <w:t>C20/5</w:t>
              </w:r>
              <w:r w:rsidRPr="00E52715">
                <w:rPr>
                  <w:rStyle w:val="Hyperlink"/>
                  <w:lang w:val="en-US"/>
                </w:rPr>
                <w:t>7</w:t>
              </w:r>
            </w:hyperlink>
          </w:p>
        </w:tc>
        <w:tc>
          <w:tcPr>
            <w:tcW w:w="5746" w:type="dxa"/>
            <w:vMerge/>
          </w:tcPr>
          <w:p w14:paraId="6EC1F8D7" w14:textId="77777777" w:rsidR="00FF1F4F" w:rsidRPr="00452326" w:rsidRDefault="00FF1F4F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22744765" w14:textId="77777777" w:rsidR="00FF1F4F" w:rsidRPr="004E0909" w:rsidRDefault="00FF1F4F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E52715" w:rsidRPr="00E52715" w14:paraId="4755F84C" w14:textId="77777777" w:rsidTr="0083579A">
        <w:trPr>
          <w:jc w:val="center"/>
        </w:trPr>
        <w:tc>
          <w:tcPr>
            <w:tcW w:w="4134" w:type="dxa"/>
            <w:shd w:val="clear" w:color="auto" w:fill="D9D9D9"/>
          </w:tcPr>
          <w:p w14:paraId="0D794890" w14:textId="2AB5022D" w:rsidR="00E52715" w:rsidRPr="00C03BB4" w:rsidRDefault="00C03BB4" w:rsidP="009118A8">
            <w:pPr>
              <w:pStyle w:val="Tabletext"/>
              <w:keepNext/>
              <w:keepLines/>
              <w:rPr>
                <w:rFonts w:eastAsia="Times New Roman" w:cs="Times New Roman"/>
                <w:b/>
                <w:bCs/>
                <w:szCs w:val="20"/>
                <w:lang w:val="es-ES"/>
              </w:rPr>
            </w:pPr>
            <w:r w:rsidRPr="009118A8">
              <w:rPr>
                <w:rFonts w:eastAsia="Times New Roman" w:cs="Times New Roman"/>
                <w:b/>
                <w:bCs/>
                <w:szCs w:val="20"/>
                <w:lang w:val="es-ES"/>
              </w:rPr>
              <w:t>Viernes, 20 de noviembre</w:t>
            </w:r>
            <w:r w:rsidR="00E52715" w:rsidRPr="009118A8">
              <w:rPr>
                <w:rFonts w:eastAsia="Times New Roman" w:cs="Times New Roman"/>
                <w:b/>
                <w:bCs/>
                <w:szCs w:val="20"/>
                <w:lang w:val="es-ES"/>
              </w:rPr>
              <w:t>, 12.00</w:t>
            </w:r>
            <w:r w:rsidR="00141016" w:rsidRPr="009118A8">
              <w:rPr>
                <w:rFonts w:eastAsia="Times New Roman" w:cs="Times New Roman"/>
                <w:b/>
                <w:bCs/>
                <w:szCs w:val="20"/>
                <w:lang w:val="es-ES"/>
              </w:rPr>
              <w:noBreakHyphen/>
            </w:r>
            <w:r w:rsidR="00E52715" w:rsidRPr="009118A8">
              <w:rPr>
                <w:rFonts w:eastAsia="Times New Roman" w:cs="Times New Roman"/>
                <w:b/>
                <w:bCs/>
                <w:szCs w:val="20"/>
                <w:lang w:val="es-ES"/>
              </w:rPr>
              <w:t>15.00</w:t>
            </w:r>
            <w:r w:rsidR="00141016" w:rsidRPr="009118A8">
              <w:rPr>
                <w:rFonts w:eastAsia="Times New Roman" w:cs="Times New Roman"/>
                <w:b/>
                <w:bCs/>
                <w:szCs w:val="20"/>
                <w:lang w:val="es-ES"/>
              </w:rPr>
              <w:t> </w:t>
            </w:r>
            <w:r w:rsidRPr="009118A8">
              <w:rPr>
                <w:rFonts w:eastAsia="Times New Roman" w:cs="Times New Roman"/>
                <w:b/>
                <w:bCs/>
                <w:szCs w:val="20"/>
                <w:lang w:val="es-ES"/>
              </w:rPr>
              <w:t>horas</w:t>
            </w:r>
          </w:p>
        </w:tc>
        <w:tc>
          <w:tcPr>
            <w:tcW w:w="2181" w:type="dxa"/>
            <w:shd w:val="clear" w:color="auto" w:fill="D9D9D9"/>
          </w:tcPr>
          <w:p w14:paraId="00E18260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5746" w:type="dxa"/>
            <w:shd w:val="clear" w:color="auto" w:fill="D9D9D9"/>
          </w:tcPr>
          <w:p w14:paraId="665349FB" w14:textId="77777777" w:rsidR="00E52715" w:rsidRPr="00E52715" w:rsidRDefault="00E52715" w:rsidP="00E52715">
            <w:pPr>
              <w:pStyle w:val="Tabletext"/>
              <w:rPr>
                <w:lang w:val="en-US"/>
              </w:rPr>
            </w:pPr>
          </w:p>
        </w:tc>
        <w:tc>
          <w:tcPr>
            <w:tcW w:w="1927" w:type="dxa"/>
            <w:shd w:val="clear" w:color="auto" w:fill="D9D9D9"/>
          </w:tcPr>
          <w:p w14:paraId="244A095D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E52715" w:rsidRPr="00E52715" w14:paraId="647B1D02" w14:textId="77777777" w:rsidTr="0083579A">
        <w:trPr>
          <w:cantSplit/>
          <w:jc w:val="center"/>
        </w:trPr>
        <w:tc>
          <w:tcPr>
            <w:tcW w:w="4134" w:type="dxa"/>
            <w:shd w:val="clear" w:color="auto" w:fill="auto"/>
          </w:tcPr>
          <w:p w14:paraId="48234856" w14:textId="7FB5A5D9" w:rsidR="00E52715" w:rsidRPr="00141016" w:rsidRDefault="00F34551" w:rsidP="00F34551">
            <w:pPr>
              <w:pStyle w:val="Tabletext"/>
              <w:rPr>
                <w:lang w:val="es-ES"/>
              </w:rPr>
            </w:pPr>
            <w:r w:rsidRPr="00F34551">
              <w:rPr>
                <w:lang w:val="es-ES"/>
              </w:rPr>
              <w:t>Resultados de los debates mantenidos el 19</w:t>
            </w:r>
            <w:r w:rsidR="009118A8">
              <w:rPr>
                <w:lang w:val="es-ES"/>
              </w:rPr>
              <w:t> </w:t>
            </w:r>
            <w:r w:rsidRPr="00F34551">
              <w:rPr>
                <w:lang w:val="es-ES"/>
              </w:rPr>
              <w:t>de noviembre de 2020</w:t>
            </w:r>
          </w:p>
        </w:tc>
        <w:tc>
          <w:tcPr>
            <w:tcW w:w="2181" w:type="dxa"/>
            <w:shd w:val="clear" w:color="auto" w:fill="auto"/>
          </w:tcPr>
          <w:p w14:paraId="0C9AE516" w14:textId="56DF0E90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22" w:history="1">
              <w:r w:rsidR="00E52715" w:rsidRPr="00E52715">
                <w:rPr>
                  <w:rStyle w:val="Hyperlink"/>
                  <w:lang w:val="en-US"/>
                </w:rPr>
                <w:t>VC-2/DT/1(R</w:t>
              </w:r>
              <w:r w:rsidR="00E52715" w:rsidRPr="00E52715">
                <w:rPr>
                  <w:rStyle w:val="Hyperlink"/>
                  <w:lang w:val="en-US"/>
                </w:rPr>
                <w:t>e</w:t>
              </w:r>
              <w:r w:rsidR="00E52715" w:rsidRPr="00E52715">
                <w:rPr>
                  <w:rStyle w:val="Hyperlink"/>
                  <w:lang w:val="en-US"/>
                </w:rPr>
                <w:t>v.3)</w:t>
              </w:r>
            </w:hyperlink>
          </w:p>
        </w:tc>
        <w:tc>
          <w:tcPr>
            <w:tcW w:w="5746" w:type="dxa"/>
            <w:shd w:val="clear" w:color="auto" w:fill="auto"/>
          </w:tcPr>
          <w:p w14:paraId="2D53284D" w14:textId="4310A07F" w:rsidR="00E52715" w:rsidRPr="00452326" w:rsidRDefault="009540FB" w:rsidP="00DB580A">
            <w:pPr>
              <w:pStyle w:val="Tabletext"/>
              <w:ind w:left="552" w:right="-57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F34551" w:rsidRPr="00F34551">
              <w:rPr>
                <w:rFonts w:eastAsia="Times New Roman" w:cs="Times New Roman"/>
                <w:szCs w:val="20"/>
                <w:lang w:val="es-ES"/>
              </w:rPr>
              <w:t xml:space="preserve">El Presidente informó a la reunión de que, en relación con la cuestión del próximo FMPT, se había publicado en el Documento </w:t>
            </w:r>
            <w:hyperlink r:id="rId123" w:history="1">
              <w:r w:rsidR="00F34551" w:rsidRPr="00F34551">
                <w:rPr>
                  <w:rStyle w:val="Hyperlink"/>
                  <w:rFonts w:eastAsia="Times New Roman" w:cs="Times New Roman"/>
                  <w:szCs w:val="20"/>
                  <w:lang w:val="es-ES"/>
                </w:rPr>
                <w:t>VC-2</w:t>
              </w:r>
              <w:r w:rsidR="00F34551" w:rsidRPr="00F34551">
                <w:rPr>
                  <w:rStyle w:val="Hyperlink"/>
                  <w:rFonts w:eastAsia="Times New Roman" w:cs="Times New Roman"/>
                  <w:szCs w:val="20"/>
                  <w:lang w:val="es-ES"/>
                </w:rPr>
                <w:t>/</w:t>
              </w:r>
              <w:r w:rsidR="00F34551" w:rsidRPr="00F34551">
                <w:rPr>
                  <w:rStyle w:val="Hyperlink"/>
                  <w:rFonts w:eastAsia="Times New Roman" w:cs="Times New Roman"/>
                  <w:szCs w:val="20"/>
                  <w:lang w:val="es-ES"/>
                </w:rPr>
                <w:t>DT/3</w:t>
              </w:r>
            </w:hyperlink>
            <w:r w:rsidR="00F34551" w:rsidRPr="00F34551">
              <w:rPr>
                <w:rFonts w:eastAsia="Times New Roman" w:cs="Times New Roman"/>
                <w:szCs w:val="20"/>
                <w:lang w:val="es-ES"/>
              </w:rPr>
              <w:t xml:space="preserve"> </w:t>
            </w:r>
            <w:r w:rsidR="004E0909">
              <w:rPr>
                <w:rFonts w:eastAsia="Times New Roman" w:cs="Times New Roman"/>
                <w:szCs w:val="20"/>
                <w:lang w:val="es-ES"/>
              </w:rPr>
              <w:t>el</w:t>
            </w:r>
            <w:r w:rsidR="00F34551" w:rsidRPr="00F34551">
              <w:rPr>
                <w:rFonts w:eastAsia="Times New Roman" w:cs="Times New Roman"/>
                <w:szCs w:val="20"/>
                <w:lang w:val="es-ES"/>
              </w:rPr>
              <w:t xml:space="preserve"> Acuerdo 611 modificado, en el que se t</w:t>
            </w:r>
            <w:r w:rsidR="004E0909">
              <w:rPr>
                <w:rFonts w:eastAsia="Times New Roman" w:cs="Times New Roman"/>
                <w:szCs w:val="20"/>
                <w:lang w:val="es-ES"/>
              </w:rPr>
              <w:t>ienen</w:t>
            </w:r>
            <w:r w:rsidR="00F34551" w:rsidRPr="00F34551">
              <w:rPr>
                <w:rFonts w:eastAsia="Times New Roman" w:cs="Times New Roman"/>
                <w:szCs w:val="20"/>
                <w:lang w:val="es-ES"/>
              </w:rPr>
              <w:t xml:space="preserve"> en cuenta las nuevas fechas y el calendario actualizado del proceso </w:t>
            </w:r>
            <w:r w:rsidR="00F34551" w:rsidRPr="00F34551">
              <w:rPr>
                <w:rFonts w:eastAsia="Times New Roman" w:cs="Times New Roman"/>
                <w:szCs w:val="20"/>
              </w:rPr>
              <w:t>preparatorio</w:t>
            </w:r>
            <w:r w:rsidR="00F34551" w:rsidRPr="00F34551">
              <w:rPr>
                <w:rFonts w:eastAsia="Times New Roman" w:cs="Times New Roman"/>
                <w:szCs w:val="20"/>
                <w:lang w:val="es-ES"/>
              </w:rPr>
              <w:t xml:space="preserve">, y que se sometería a la aprobación de los consejeros por correspondencia. En cuanto al interés de un Estado Miembro por acoger el FMPT, </w:t>
            </w:r>
            <w:r w:rsidR="004E0909">
              <w:rPr>
                <w:rFonts w:eastAsia="Times New Roman" w:cs="Times New Roman"/>
                <w:szCs w:val="20"/>
                <w:lang w:val="es-ES"/>
              </w:rPr>
              <w:t>de hacerse</w:t>
            </w:r>
            <w:r w:rsidR="00F34551" w:rsidRPr="00F34551">
              <w:rPr>
                <w:rFonts w:eastAsia="Times New Roman" w:cs="Times New Roman"/>
                <w:szCs w:val="20"/>
                <w:lang w:val="es-ES"/>
              </w:rPr>
              <w:t xml:space="preserve"> una oferta confirmada, el Secretario General informaría a los Estados Miembros del Consejo en consecuencia.</w:t>
            </w:r>
          </w:p>
        </w:tc>
        <w:tc>
          <w:tcPr>
            <w:tcW w:w="1927" w:type="dxa"/>
          </w:tcPr>
          <w:p w14:paraId="6A3DEB5C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E52715" w14:paraId="3C0B8EA2" w14:textId="77777777" w:rsidTr="0083579A">
        <w:trPr>
          <w:jc w:val="center"/>
        </w:trPr>
        <w:tc>
          <w:tcPr>
            <w:tcW w:w="4134" w:type="dxa"/>
            <w:vAlign w:val="center"/>
          </w:tcPr>
          <w:p w14:paraId="6214C7D7" w14:textId="6762087D" w:rsidR="00E52715" w:rsidRPr="00F34551" w:rsidRDefault="00F34551" w:rsidP="00F34551">
            <w:pPr>
              <w:pStyle w:val="Tabletext"/>
              <w:rPr>
                <w:lang w:val="es-ES"/>
              </w:rPr>
            </w:pPr>
            <w:r w:rsidRPr="00F34551">
              <w:rPr>
                <w:lang w:val="es-ES"/>
              </w:rPr>
              <w:lastRenderedPageBreak/>
              <w:t xml:space="preserve">Informe sobre la contratación de un consultor en gestión externo independiente, incluidas recomendaciones y estrategias diversas </w:t>
            </w:r>
            <w:r w:rsidR="00E52715" w:rsidRPr="00F34551">
              <w:rPr>
                <w:lang w:val="es-ES"/>
              </w:rPr>
              <w:t>(Res. 11)</w:t>
            </w:r>
          </w:p>
        </w:tc>
        <w:tc>
          <w:tcPr>
            <w:tcW w:w="2181" w:type="dxa"/>
          </w:tcPr>
          <w:p w14:paraId="52437572" w14:textId="39EFB6F7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24" w:history="1">
              <w:r w:rsidR="00E52715" w:rsidRPr="00E52715">
                <w:rPr>
                  <w:rStyle w:val="Hyperlink"/>
                  <w:lang w:val="en-US"/>
                </w:rPr>
                <w:t>C2</w:t>
              </w:r>
              <w:r w:rsidR="00E52715" w:rsidRPr="00E52715">
                <w:rPr>
                  <w:rStyle w:val="Hyperlink"/>
                  <w:lang w:val="en-US"/>
                </w:rPr>
                <w:t>0</w:t>
              </w:r>
              <w:r w:rsidR="00E52715" w:rsidRPr="00E52715">
                <w:rPr>
                  <w:rStyle w:val="Hyperlink"/>
                  <w:lang w:val="en-US"/>
                </w:rPr>
                <w:t>/10</w:t>
              </w:r>
            </w:hyperlink>
          </w:p>
        </w:tc>
        <w:tc>
          <w:tcPr>
            <w:tcW w:w="5746" w:type="dxa"/>
          </w:tcPr>
          <w:p w14:paraId="00FD774D" w14:textId="180C0ABB" w:rsidR="00E52715" w:rsidRPr="00452326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F34551" w:rsidRPr="00F34551">
              <w:rPr>
                <w:rFonts w:eastAsia="Times New Roman" w:cs="Times New Roman"/>
                <w:szCs w:val="20"/>
                <w:lang w:val="es-ES"/>
              </w:rPr>
              <w:t xml:space="preserve">Los consejeros </w:t>
            </w:r>
            <w:r w:rsidR="004E0909">
              <w:rPr>
                <w:rFonts w:eastAsia="Times New Roman" w:cs="Times New Roman"/>
                <w:szCs w:val="20"/>
                <w:lang w:val="es-ES"/>
              </w:rPr>
              <w:t>acordaron</w:t>
            </w:r>
            <w:r w:rsidR="00F34551" w:rsidRPr="00F34551">
              <w:rPr>
                <w:rFonts w:eastAsia="Times New Roman" w:cs="Times New Roman"/>
                <w:szCs w:val="20"/>
                <w:lang w:val="es-ES"/>
              </w:rPr>
              <w:t xml:space="preserve"> que se proseguiría el estudio del informe que figura en el Documento C20/10 y se formularían recomendaciones en la reunión de 2021 del Consejo.</w:t>
            </w:r>
          </w:p>
        </w:tc>
        <w:tc>
          <w:tcPr>
            <w:tcW w:w="1927" w:type="dxa"/>
          </w:tcPr>
          <w:p w14:paraId="16D67322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4D68CD" w14:paraId="6067DEDC" w14:textId="77777777" w:rsidTr="0083579A">
        <w:trPr>
          <w:jc w:val="center"/>
        </w:trPr>
        <w:tc>
          <w:tcPr>
            <w:tcW w:w="4134" w:type="dxa"/>
          </w:tcPr>
          <w:p w14:paraId="226BB36F" w14:textId="7FA40148" w:rsidR="00E52715" w:rsidRPr="00F34551" w:rsidRDefault="00F34551" w:rsidP="00F34551">
            <w:pPr>
              <w:pStyle w:val="Tabletext"/>
              <w:rPr>
                <w:lang w:val="es-ES"/>
              </w:rPr>
            </w:pPr>
            <w:r w:rsidRPr="00F34551">
              <w:rPr>
                <w:lang w:val="es-ES"/>
              </w:rPr>
              <w:t xml:space="preserve">Atrasos y cuentas especiales de atraso </w:t>
            </w:r>
            <w:r w:rsidR="00E52715" w:rsidRPr="00F34551">
              <w:rPr>
                <w:lang w:val="es-ES"/>
              </w:rPr>
              <w:t>(Res.</w:t>
            </w:r>
            <w:r w:rsidR="00264CF4">
              <w:rPr>
                <w:lang w:val="es-ES"/>
              </w:rPr>
              <w:t> </w:t>
            </w:r>
            <w:r w:rsidR="00E52715" w:rsidRPr="00F34551">
              <w:rPr>
                <w:lang w:val="es-ES"/>
              </w:rPr>
              <w:t>41)</w:t>
            </w:r>
          </w:p>
        </w:tc>
        <w:tc>
          <w:tcPr>
            <w:tcW w:w="2181" w:type="dxa"/>
          </w:tcPr>
          <w:p w14:paraId="18CF6B90" w14:textId="7B3331A6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25" w:history="1">
              <w:r w:rsidR="00E52715" w:rsidRPr="00E52715">
                <w:rPr>
                  <w:rStyle w:val="Hyperlink"/>
                  <w:lang w:val="en-US"/>
                </w:rPr>
                <w:t>C20/11(Rev.1)</w:t>
              </w:r>
            </w:hyperlink>
          </w:p>
        </w:tc>
        <w:tc>
          <w:tcPr>
            <w:tcW w:w="5746" w:type="dxa"/>
          </w:tcPr>
          <w:p w14:paraId="685E3CAA" w14:textId="312BA8B1" w:rsidR="00E52715" w:rsidRPr="00F34551" w:rsidRDefault="00F34551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>
              <w:rPr>
                <w:rFonts w:eastAsia="Times New Roman" w:cs="Times New Roman"/>
                <w:szCs w:val="20"/>
                <w:lang w:val="es-ES"/>
              </w:rPr>
              <w:t>–</w:t>
            </w:r>
            <w:r>
              <w:rPr>
                <w:rFonts w:eastAsia="Times New Roman" w:cs="Times New Roman"/>
                <w:szCs w:val="20"/>
                <w:lang w:val="es-ES"/>
              </w:rPr>
              <w:tab/>
            </w:r>
            <w:r w:rsidR="004D68CD">
              <w:rPr>
                <w:rFonts w:eastAsia="Times New Roman" w:cs="Times New Roman"/>
                <w:szCs w:val="20"/>
                <w:lang w:val="es-ES"/>
              </w:rPr>
              <w:t xml:space="preserve">Al </w:t>
            </w:r>
            <w:r w:rsidR="004D68CD" w:rsidRPr="006809B6">
              <w:t>tratarse</w:t>
            </w:r>
            <w:r w:rsidR="004D68CD">
              <w:rPr>
                <w:rFonts w:eastAsia="Times New Roman" w:cs="Times New Roman"/>
                <w:szCs w:val="20"/>
                <w:lang w:val="es-ES"/>
              </w:rPr>
              <w:t xml:space="preserve"> de un tema urgente, se decidió llevar</w:t>
            </w:r>
            <w:r w:rsidRPr="00F34551">
              <w:rPr>
                <w:rFonts w:eastAsia="Times New Roman" w:cs="Times New Roman"/>
                <w:szCs w:val="20"/>
                <w:lang w:val="es-ES"/>
              </w:rPr>
              <w:t xml:space="preserve"> a cabo una consulta por correspondencia de los Estados Miembros del Consejo para</w:t>
            </w:r>
            <w:r w:rsidR="00E52715" w:rsidRPr="00F34551">
              <w:rPr>
                <w:rFonts w:eastAsia="Times New Roman" w:cs="Times New Roman"/>
                <w:szCs w:val="20"/>
                <w:lang w:val="es-ES"/>
              </w:rPr>
              <w:t>:</w:t>
            </w:r>
          </w:p>
          <w:p w14:paraId="10DEC62A" w14:textId="3708355F" w:rsidR="00F34551" w:rsidRDefault="00F34551" w:rsidP="00264CF4">
            <w:pPr>
              <w:pStyle w:val="Tabletext"/>
              <w:ind w:left="982" w:hanging="437"/>
              <w:rPr>
                <w:rFonts w:eastAsia="Times New Roman" w:cs="Times New Roman"/>
                <w:szCs w:val="20"/>
                <w:lang w:val="es-ES"/>
              </w:rPr>
            </w:pPr>
            <w:r w:rsidRPr="00F34551">
              <w:rPr>
                <w:rFonts w:eastAsia="Times New Roman" w:cs="Times New Roman"/>
                <w:szCs w:val="20"/>
                <w:lang w:val="es-ES"/>
              </w:rPr>
              <w:t>1)</w:t>
            </w:r>
            <w:r>
              <w:rPr>
                <w:rFonts w:eastAsia="Times New Roman" w:cs="Times New Roman"/>
                <w:szCs w:val="20"/>
                <w:lang w:val="es-ES"/>
              </w:rPr>
              <w:tab/>
            </w:r>
            <w:r w:rsidRPr="00F34551">
              <w:rPr>
                <w:rFonts w:eastAsia="Times New Roman" w:cs="Times New Roman"/>
                <w:szCs w:val="20"/>
                <w:lang w:val="es-ES"/>
              </w:rPr>
              <w:t>tomar nota del Documento C20/11(Rev.1);</w:t>
            </w:r>
          </w:p>
          <w:p w14:paraId="688F3B39" w14:textId="1D34E26A" w:rsidR="00F34551" w:rsidRDefault="00F34551" w:rsidP="00264CF4">
            <w:pPr>
              <w:pStyle w:val="Tabletext"/>
              <w:ind w:left="982" w:hanging="437"/>
              <w:rPr>
                <w:rFonts w:eastAsia="Times New Roman" w:cs="Times New Roman"/>
                <w:szCs w:val="20"/>
                <w:lang w:val="es-ES"/>
              </w:rPr>
            </w:pPr>
            <w:r>
              <w:rPr>
                <w:rFonts w:eastAsia="Times New Roman" w:cs="Times New Roman"/>
                <w:szCs w:val="20"/>
                <w:lang w:val="es-ES"/>
              </w:rPr>
              <w:t>2)</w:t>
            </w:r>
            <w:r>
              <w:rPr>
                <w:rFonts w:eastAsia="Times New Roman" w:cs="Times New Roman"/>
                <w:szCs w:val="20"/>
                <w:lang w:val="es-ES"/>
              </w:rPr>
              <w:tab/>
            </w:r>
            <w:r w:rsidRPr="00F34551">
              <w:rPr>
                <w:rFonts w:eastAsia="Times New Roman" w:cs="Times New Roman"/>
                <w:szCs w:val="20"/>
                <w:lang w:val="es-ES"/>
              </w:rPr>
              <w:t>autorizar al Secretario General a pasar a pérdidas y ganancias los intereses de mora y las deudas incobrables por valor de 2 720 252,63 CHF; y</w:t>
            </w:r>
          </w:p>
          <w:p w14:paraId="21DB48C2" w14:textId="466964A8" w:rsidR="00E52715" w:rsidRPr="00F34551" w:rsidRDefault="00F34551" w:rsidP="00264CF4">
            <w:pPr>
              <w:pStyle w:val="Tabletext"/>
              <w:ind w:left="982" w:hanging="437"/>
              <w:rPr>
                <w:rFonts w:eastAsia="Times New Roman" w:cs="Times New Roman"/>
                <w:szCs w:val="20"/>
                <w:lang w:val="es-ES"/>
              </w:rPr>
            </w:pPr>
            <w:r w:rsidRPr="00F34551">
              <w:rPr>
                <w:rFonts w:eastAsia="Times New Roman" w:cs="Times New Roman"/>
                <w:szCs w:val="20"/>
                <w:lang w:val="es-ES"/>
              </w:rPr>
              <w:t>3)</w:t>
            </w:r>
            <w:r>
              <w:rPr>
                <w:rFonts w:eastAsia="Times New Roman" w:cs="Times New Roman"/>
                <w:szCs w:val="20"/>
                <w:lang w:val="es-ES"/>
              </w:rPr>
              <w:tab/>
            </w:r>
            <w:r w:rsidRPr="00F34551">
              <w:rPr>
                <w:rFonts w:eastAsia="Times New Roman" w:cs="Times New Roman"/>
                <w:szCs w:val="20"/>
                <w:lang w:val="es-ES"/>
              </w:rPr>
              <w:t>adoptar el proyecto de Acuerdo que figura en el Anexo B del Documento C20/11(Rev.1).</w:t>
            </w:r>
          </w:p>
        </w:tc>
        <w:tc>
          <w:tcPr>
            <w:tcW w:w="1927" w:type="dxa"/>
          </w:tcPr>
          <w:p w14:paraId="7482FE6F" w14:textId="55EA61D2" w:rsidR="00E52715" w:rsidRPr="00131420" w:rsidRDefault="004D68CD" w:rsidP="00970925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>Se tomó nota del Informe</w:t>
            </w:r>
            <w:r w:rsidR="00E52715" w:rsidRPr="00131420">
              <w:rPr>
                <w:lang w:val="es-ES"/>
              </w:rPr>
              <w:t xml:space="preserve">. </w:t>
            </w:r>
            <w:r w:rsidRPr="00131420">
              <w:rPr>
                <w:lang w:val="es-ES"/>
              </w:rPr>
              <w:t>Se autorizó al Secretario General a pasar a pérdidas y ganancias los intereses de mora y las deudas incobrables por valor de</w:t>
            </w:r>
            <w:r w:rsidR="00E52715" w:rsidRPr="00131420">
              <w:rPr>
                <w:lang w:val="es-ES"/>
              </w:rPr>
              <w:t xml:space="preserve"> 2</w:t>
            </w:r>
            <w:r w:rsidR="00922B61">
              <w:rPr>
                <w:lang w:val="es-ES"/>
              </w:rPr>
              <w:t> </w:t>
            </w:r>
            <w:r w:rsidR="00E52715" w:rsidRPr="00131420">
              <w:rPr>
                <w:lang w:val="es-ES"/>
              </w:rPr>
              <w:t>720</w:t>
            </w:r>
            <w:r w:rsidR="00922B61">
              <w:rPr>
                <w:lang w:val="es-ES"/>
              </w:rPr>
              <w:t> </w:t>
            </w:r>
            <w:r w:rsidR="00E52715" w:rsidRPr="00131420">
              <w:rPr>
                <w:lang w:val="es-ES"/>
              </w:rPr>
              <w:t>252</w:t>
            </w:r>
            <w:r w:rsidRPr="00131420">
              <w:rPr>
                <w:lang w:val="es-ES"/>
              </w:rPr>
              <w:t>,</w:t>
            </w:r>
            <w:r w:rsidR="00E52715" w:rsidRPr="00131420">
              <w:rPr>
                <w:lang w:val="es-ES"/>
              </w:rPr>
              <w:t>63</w:t>
            </w:r>
            <w:r w:rsidR="00BE5CEE">
              <w:rPr>
                <w:lang w:val="es-ES"/>
              </w:rPr>
              <w:t> </w:t>
            </w:r>
            <w:r w:rsidRPr="00131420">
              <w:rPr>
                <w:lang w:val="es-ES"/>
              </w:rPr>
              <w:t>CHF</w:t>
            </w:r>
            <w:r w:rsidR="00E52715" w:rsidRPr="00131420">
              <w:rPr>
                <w:lang w:val="es-ES"/>
              </w:rPr>
              <w:t>.</w:t>
            </w:r>
            <w:r w:rsidRPr="00131420">
              <w:rPr>
                <w:lang w:val="es-ES"/>
              </w:rPr>
              <w:t xml:space="preserve"> Se adoptó el</w:t>
            </w:r>
            <w:r w:rsidR="00E52715" w:rsidRPr="00131420">
              <w:rPr>
                <w:lang w:val="es-ES"/>
              </w:rPr>
              <w:t xml:space="preserve"> </w:t>
            </w:r>
            <w:hyperlink r:id="rId126" w:history="1">
              <w:r w:rsidRPr="00131420">
                <w:rPr>
                  <w:rStyle w:val="Hyperlink"/>
                  <w:lang w:val="es-ES"/>
                </w:rPr>
                <w:t>Ac</w:t>
              </w:r>
              <w:r w:rsidRPr="00131420">
                <w:rPr>
                  <w:rStyle w:val="Hyperlink"/>
                  <w:lang w:val="es-ES"/>
                </w:rPr>
                <w:t>u</w:t>
              </w:r>
              <w:r w:rsidRPr="00131420">
                <w:rPr>
                  <w:rStyle w:val="Hyperlink"/>
                  <w:lang w:val="es-ES"/>
                </w:rPr>
                <w:t>erdo</w:t>
              </w:r>
              <w:r w:rsidR="00922B61">
                <w:rPr>
                  <w:rStyle w:val="Hyperlink"/>
                  <w:lang w:val="es-ES"/>
                </w:rPr>
                <w:t> </w:t>
              </w:r>
              <w:r w:rsidR="00E52715" w:rsidRPr="00131420">
                <w:rPr>
                  <w:rStyle w:val="Hyperlink"/>
                  <w:lang w:val="es-ES"/>
                </w:rPr>
                <w:t>622</w:t>
              </w:r>
            </w:hyperlink>
            <w:r w:rsidR="00E52715" w:rsidRPr="00131420">
              <w:rPr>
                <w:lang w:val="es-ES"/>
              </w:rPr>
              <w:t>.</w:t>
            </w:r>
          </w:p>
        </w:tc>
      </w:tr>
      <w:tr w:rsidR="00E52715" w:rsidRPr="004D68CD" w14:paraId="50CD55CB" w14:textId="77777777" w:rsidTr="0083579A">
        <w:trPr>
          <w:jc w:val="center"/>
        </w:trPr>
        <w:tc>
          <w:tcPr>
            <w:tcW w:w="4134" w:type="dxa"/>
          </w:tcPr>
          <w:p w14:paraId="0BDD858D" w14:textId="1BD783EA" w:rsidR="00E52715" w:rsidRPr="00452326" w:rsidRDefault="00F34551" w:rsidP="00F34551">
            <w:pPr>
              <w:pStyle w:val="Tabletext"/>
              <w:rPr>
                <w:lang w:val="es-ES"/>
              </w:rPr>
            </w:pPr>
            <w:r w:rsidRPr="00F34551">
              <w:rPr>
                <w:lang w:val="es-ES"/>
              </w:rPr>
              <w:t>Contribución de la República Islámica del Pakistán a los gastos de la Unión</w:t>
            </w:r>
          </w:p>
        </w:tc>
        <w:tc>
          <w:tcPr>
            <w:tcW w:w="2181" w:type="dxa"/>
          </w:tcPr>
          <w:p w14:paraId="4C592DB7" w14:textId="3815E3D1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27" w:history="1">
              <w:r w:rsidR="00E52715" w:rsidRPr="00E52715">
                <w:rPr>
                  <w:rStyle w:val="Hyperlink"/>
                  <w:lang w:val="en-US"/>
                </w:rPr>
                <w:t>C2</w:t>
              </w:r>
              <w:r w:rsidR="00E52715" w:rsidRPr="00E52715">
                <w:rPr>
                  <w:rStyle w:val="Hyperlink"/>
                  <w:lang w:val="en-US"/>
                </w:rPr>
                <w:t>0</w:t>
              </w:r>
              <w:r w:rsidR="00E52715" w:rsidRPr="00E52715">
                <w:rPr>
                  <w:rStyle w:val="Hyperlink"/>
                  <w:lang w:val="en-US"/>
                </w:rPr>
                <w:t>/73</w:t>
              </w:r>
            </w:hyperlink>
          </w:p>
        </w:tc>
        <w:tc>
          <w:tcPr>
            <w:tcW w:w="5746" w:type="dxa"/>
          </w:tcPr>
          <w:p w14:paraId="143BA7DD" w14:textId="41876E86" w:rsidR="00E52715" w:rsidRPr="00F34551" w:rsidRDefault="00F34551" w:rsidP="00DB580A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>
              <w:rPr>
                <w:rFonts w:eastAsia="Times New Roman" w:cs="Times New Roman"/>
                <w:szCs w:val="20"/>
                <w:lang w:val="es-ES"/>
              </w:rPr>
              <w:t>–</w:t>
            </w:r>
            <w:r>
              <w:rPr>
                <w:rFonts w:eastAsia="Times New Roman" w:cs="Times New Roman"/>
                <w:szCs w:val="20"/>
                <w:lang w:val="es-ES"/>
              </w:rPr>
              <w:tab/>
            </w:r>
            <w:r w:rsidR="004D68CD">
              <w:rPr>
                <w:rFonts w:eastAsia="Times New Roman" w:cs="Times New Roman"/>
                <w:szCs w:val="20"/>
                <w:lang w:val="es-ES"/>
              </w:rPr>
              <w:t>Al tratarse de un tema urgente, se decidió realizar</w:t>
            </w:r>
            <w:r w:rsidRPr="00F34551">
              <w:rPr>
                <w:rFonts w:eastAsia="Times New Roman" w:cs="Times New Roman"/>
                <w:szCs w:val="20"/>
                <w:lang w:val="es-ES"/>
              </w:rPr>
              <w:t xml:space="preserve"> una consulta por correspondencia de los Estados Miembros del Consejo para aprobar el proyecto de Resolución que figura en el Anexo C del Documento</w:t>
            </w:r>
            <w:r w:rsidR="00BE5CEE">
              <w:rPr>
                <w:rFonts w:eastAsia="Times New Roman" w:cs="Times New Roman"/>
                <w:szCs w:val="20"/>
                <w:lang w:val="es-ES"/>
              </w:rPr>
              <w:t> </w:t>
            </w:r>
            <w:r w:rsidRPr="00F34551">
              <w:rPr>
                <w:rFonts w:eastAsia="Times New Roman" w:cs="Times New Roman"/>
                <w:szCs w:val="20"/>
                <w:lang w:val="es-ES"/>
              </w:rPr>
              <w:t xml:space="preserve">C20/73 relativo a las unidades contributivas de la República Islámica del Pakistán, con la fecha acordada del 1 de enero de 2020, así </w:t>
            </w:r>
            <w:r w:rsidRPr="006809B6">
              <w:t>como</w:t>
            </w:r>
            <w:r w:rsidRPr="00F34551">
              <w:rPr>
                <w:rFonts w:eastAsia="Times New Roman" w:cs="Times New Roman"/>
                <w:szCs w:val="20"/>
                <w:lang w:val="es-ES"/>
              </w:rPr>
              <w:t xml:space="preserve"> el pago de la unidad suplementaria en 2018 y 2019 por un total de 636 000 CHF, en el entendimiento de que ello no debe sentar un precedente.</w:t>
            </w:r>
          </w:p>
        </w:tc>
        <w:tc>
          <w:tcPr>
            <w:tcW w:w="1927" w:type="dxa"/>
          </w:tcPr>
          <w:p w14:paraId="4FA38FB8" w14:textId="70D0E7F4" w:rsidR="00E52715" w:rsidRPr="00131420" w:rsidRDefault="004D68CD" w:rsidP="00970925">
            <w:pPr>
              <w:pStyle w:val="Tabletext"/>
              <w:rPr>
                <w:lang w:val="es-ES"/>
              </w:rPr>
            </w:pPr>
            <w:r w:rsidRPr="00131420">
              <w:rPr>
                <w:lang w:val="es-ES"/>
              </w:rPr>
              <w:t xml:space="preserve">Se adoptó la </w:t>
            </w:r>
            <w:hyperlink r:id="rId128" w:history="1">
              <w:r w:rsidR="00E52715" w:rsidRPr="00131420">
                <w:rPr>
                  <w:rStyle w:val="Hyperlink"/>
                  <w:lang w:val="es-ES"/>
                </w:rPr>
                <w:t>Resolu</w:t>
              </w:r>
              <w:r w:rsidRPr="00131420">
                <w:rPr>
                  <w:rStyle w:val="Hyperlink"/>
                  <w:lang w:val="es-ES"/>
                </w:rPr>
                <w:t>ción</w:t>
              </w:r>
              <w:r w:rsidR="00E52715" w:rsidRPr="00131420">
                <w:rPr>
                  <w:rStyle w:val="Hyperlink"/>
                  <w:lang w:val="es-ES"/>
                </w:rPr>
                <w:t xml:space="preserve"> </w:t>
              </w:r>
              <w:r w:rsidR="00E52715" w:rsidRPr="00131420">
                <w:rPr>
                  <w:rStyle w:val="Hyperlink"/>
                  <w:lang w:val="es-ES"/>
                </w:rPr>
                <w:t>1402</w:t>
              </w:r>
            </w:hyperlink>
            <w:r w:rsidR="00E52715" w:rsidRPr="00131420">
              <w:rPr>
                <w:lang w:val="es-ES"/>
              </w:rPr>
              <w:t>.</w:t>
            </w:r>
          </w:p>
        </w:tc>
      </w:tr>
      <w:tr w:rsidR="00E52715" w:rsidRPr="00E52715" w14:paraId="2423CC27" w14:textId="77777777" w:rsidTr="0083579A">
        <w:trPr>
          <w:jc w:val="center"/>
        </w:trPr>
        <w:tc>
          <w:tcPr>
            <w:tcW w:w="4134" w:type="dxa"/>
            <w:vAlign w:val="center"/>
          </w:tcPr>
          <w:p w14:paraId="70611F50" w14:textId="584460BD" w:rsidR="00E52715" w:rsidRPr="00F34551" w:rsidRDefault="00F34551" w:rsidP="00F34551">
            <w:pPr>
              <w:pStyle w:val="Tabletext"/>
              <w:rPr>
                <w:lang w:val="es-ES"/>
              </w:rPr>
            </w:pPr>
            <w:r w:rsidRPr="00F34551">
              <w:rPr>
                <w:lang w:val="es-ES"/>
              </w:rPr>
              <w:lastRenderedPageBreak/>
              <w:t xml:space="preserve">Informe sobre el examen general, incluidas las medidas convenientes sugeridas para garantizar la eficacia y eficiencia continuas de la presencia regional de la UIT, incluidas las recomendaciones del estudio del consultor externo </w:t>
            </w:r>
            <w:r w:rsidR="00E52715" w:rsidRPr="00F34551">
              <w:rPr>
                <w:lang w:val="es-ES"/>
              </w:rPr>
              <w:t xml:space="preserve">(Res. 25, </w:t>
            </w:r>
            <w:r w:rsidR="004D68CD">
              <w:rPr>
                <w:lang w:val="es-ES"/>
              </w:rPr>
              <w:t>A</w:t>
            </w:r>
            <w:r w:rsidR="00E52715" w:rsidRPr="00F34551">
              <w:rPr>
                <w:lang w:val="es-ES"/>
              </w:rPr>
              <w:t xml:space="preserve"> 616)</w:t>
            </w:r>
          </w:p>
        </w:tc>
        <w:tc>
          <w:tcPr>
            <w:tcW w:w="2181" w:type="dxa"/>
          </w:tcPr>
          <w:p w14:paraId="58FB46B5" w14:textId="3D79A17C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u w:val="single"/>
                <w:lang w:val="en-US"/>
              </w:rPr>
            </w:pPr>
            <w:hyperlink r:id="rId129" w:history="1">
              <w:r w:rsidR="00E52715" w:rsidRPr="00E52715">
                <w:rPr>
                  <w:rStyle w:val="Hyperlink"/>
                  <w:lang w:val="en-US"/>
                </w:rPr>
                <w:t>C20</w:t>
              </w:r>
              <w:r w:rsidR="00E52715" w:rsidRPr="00E52715">
                <w:rPr>
                  <w:rStyle w:val="Hyperlink"/>
                  <w:lang w:val="en-US"/>
                </w:rPr>
                <w:t>/</w:t>
              </w:r>
              <w:r w:rsidR="00E52715" w:rsidRPr="00E52715">
                <w:rPr>
                  <w:rStyle w:val="Hyperlink"/>
                  <w:lang w:val="en-US"/>
                </w:rPr>
                <w:t>74</w:t>
              </w:r>
            </w:hyperlink>
          </w:p>
          <w:p w14:paraId="3AD47754" w14:textId="0B8F90A4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30" w:history="1">
              <w:r w:rsidR="00E52715" w:rsidRPr="00E52715">
                <w:rPr>
                  <w:rStyle w:val="Hyperlink"/>
                  <w:lang w:val="en-US"/>
                </w:rPr>
                <w:t>C2</w:t>
              </w:r>
              <w:r w:rsidR="00E52715" w:rsidRPr="00E52715">
                <w:rPr>
                  <w:rStyle w:val="Hyperlink"/>
                  <w:lang w:val="en-US"/>
                </w:rPr>
                <w:t>0</w:t>
              </w:r>
              <w:r w:rsidR="00E52715" w:rsidRPr="00E52715">
                <w:rPr>
                  <w:rStyle w:val="Hyperlink"/>
                  <w:lang w:val="en-US"/>
                </w:rPr>
                <w:t>/75</w:t>
              </w:r>
            </w:hyperlink>
          </w:p>
        </w:tc>
        <w:tc>
          <w:tcPr>
            <w:tcW w:w="5746" w:type="dxa"/>
          </w:tcPr>
          <w:p w14:paraId="03F2A8BC" w14:textId="5F7AE81B" w:rsidR="00E52715" w:rsidRPr="00223007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223007" w:rsidRPr="00223007">
              <w:rPr>
                <w:rFonts w:eastAsia="Times New Roman" w:cs="Times New Roman"/>
                <w:szCs w:val="20"/>
                <w:lang w:val="es-ES"/>
              </w:rPr>
              <w:t xml:space="preserve">Los consejeros </w:t>
            </w:r>
            <w:r w:rsidR="004D68CD">
              <w:rPr>
                <w:rFonts w:eastAsia="Times New Roman" w:cs="Times New Roman"/>
                <w:szCs w:val="20"/>
                <w:lang w:val="es-ES"/>
              </w:rPr>
              <w:t xml:space="preserve">tomaron </w:t>
            </w:r>
            <w:r w:rsidR="00223007" w:rsidRPr="00223007">
              <w:rPr>
                <w:rFonts w:eastAsia="Times New Roman" w:cs="Times New Roman"/>
                <w:szCs w:val="20"/>
                <w:lang w:val="es-ES"/>
              </w:rPr>
              <w:t xml:space="preserve">nota de los informes que figuran en los Documentos C20/74 y C20/75 y </w:t>
            </w:r>
            <w:r w:rsidR="00223007" w:rsidRPr="006809B6">
              <w:t>convin</w:t>
            </w:r>
            <w:r w:rsidR="004D68CD" w:rsidRPr="006809B6">
              <w:t>ier</w:t>
            </w:r>
            <w:r w:rsidR="00223007" w:rsidRPr="006809B6">
              <w:t>o</w:t>
            </w:r>
            <w:r w:rsidR="004D68CD" w:rsidRPr="006809B6">
              <w:t>n</w:t>
            </w:r>
            <w:r w:rsidR="00223007" w:rsidRPr="00223007">
              <w:rPr>
                <w:rFonts w:eastAsia="Times New Roman" w:cs="Times New Roman"/>
                <w:szCs w:val="20"/>
                <w:lang w:val="es-ES"/>
              </w:rPr>
              <w:t xml:space="preserve"> en que el informe se examinaría más a fondo en el GTC-RHF o en un grupo </w:t>
            </w:r>
            <w:r w:rsidR="00223007" w:rsidRPr="00223007">
              <w:rPr>
                <w:rFonts w:eastAsia="Times New Roman" w:cs="Times New Roman"/>
                <w:i/>
                <w:iCs/>
                <w:szCs w:val="20"/>
                <w:lang w:val="es-ES"/>
              </w:rPr>
              <w:t>ad hoc</w:t>
            </w:r>
            <w:r w:rsidR="00223007" w:rsidRPr="00223007">
              <w:rPr>
                <w:rFonts w:eastAsia="Times New Roman" w:cs="Times New Roman"/>
                <w:szCs w:val="20"/>
                <w:lang w:val="es-ES"/>
              </w:rPr>
              <w:t xml:space="preserve"> del GTC</w:t>
            </w:r>
            <w:r w:rsidR="00BE5CEE">
              <w:rPr>
                <w:rFonts w:eastAsia="Times New Roman" w:cs="Times New Roman"/>
                <w:szCs w:val="20"/>
                <w:lang w:val="es-ES"/>
              </w:rPr>
              <w:noBreakHyphen/>
            </w:r>
            <w:r w:rsidR="00223007" w:rsidRPr="00223007">
              <w:rPr>
                <w:rFonts w:eastAsia="Times New Roman" w:cs="Times New Roman"/>
                <w:szCs w:val="20"/>
                <w:lang w:val="es-ES"/>
              </w:rPr>
              <w:t>RHF.</w:t>
            </w:r>
          </w:p>
        </w:tc>
        <w:tc>
          <w:tcPr>
            <w:tcW w:w="1927" w:type="dxa"/>
          </w:tcPr>
          <w:p w14:paraId="0F3FF843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186BE5" w:rsidRPr="00E52715" w14:paraId="61027A73" w14:textId="77777777" w:rsidTr="0083579A">
        <w:trPr>
          <w:jc w:val="center"/>
        </w:trPr>
        <w:tc>
          <w:tcPr>
            <w:tcW w:w="4134" w:type="dxa"/>
            <w:tcBorders>
              <w:bottom w:val="nil"/>
            </w:tcBorders>
          </w:tcPr>
          <w:p w14:paraId="0D14AC91" w14:textId="62B8A543" w:rsidR="00186BE5" w:rsidRPr="008407DF" w:rsidRDefault="00186BE5" w:rsidP="00186BE5">
            <w:pPr>
              <w:pStyle w:val="Tabletext"/>
              <w:rPr>
                <w:lang w:val="es-ES"/>
              </w:rPr>
            </w:pPr>
            <w:r w:rsidRPr="00223007">
              <w:rPr>
                <w:lang w:val="es-ES"/>
              </w:rPr>
              <w:t>Repercusiones de la pandemia de COVID</w:t>
            </w:r>
            <w:r>
              <w:rPr>
                <w:lang w:val="es-ES"/>
              </w:rPr>
              <w:noBreakHyphen/>
            </w:r>
            <w:r w:rsidRPr="00223007">
              <w:rPr>
                <w:lang w:val="es-ES"/>
              </w:rPr>
              <w:t>19 sobre el funcionamiento y las actividades de la UIT</w:t>
            </w:r>
          </w:p>
        </w:tc>
        <w:tc>
          <w:tcPr>
            <w:tcW w:w="2181" w:type="dxa"/>
            <w:tcBorders>
              <w:bottom w:val="nil"/>
            </w:tcBorders>
          </w:tcPr>
          <w:p w14:paraId="2E515D4D" w14:textId="230A50AD" w:rsidR="00186BE5" w:rsidRPr="00186BE5" w:rsidRDefault="00186BE5" w:rsidP="00970925">
            <w:pPr>
              <w:pStyle w:val="Tabletext"/>
              <w:jc w:val="center"/>
            </w:pPr>
            <w:hyperlink r:id="rId131" w:history="1">
              <w:r w:rsidRPr="00E52715">
                <w:rPr>
                  <w:rStyle w:val="Hyperlink"/>
                  <w:lang w:val="en-US"/>
                </w:rPr>
                <w:t>VC/13(Re</w:t>
              </w:r>
              <w:r w:rsidRPr="00E52715">
                <w:rPr>
                  <w:rStyle w:val="Hyperlink"/>
                  <w:lang w:val="en-US"/>
                </w:rPr>
                <w:t>v</w:t>
              </w:r>
              <w:r w:rsidRPr="00E52715">
                <w:rPr>
                  <w:rStyle w:val="Hyperlink"/>
                  <w:lang w:val="en-US"/>
                </w:rPr>
                <w:t>.1)</w:t>
              </w:r>
            </w:hyperlink>
          </w:p>
        </w:tc>
        <w:tc>
          <w:tcPr>
            <w:tcW w:w="5746" w:type="dxa"/>
            <w:vMerge w:val="restart"/>
          </w:tcPr>
          <w:p w14:paraId="02751570" w14:textId="2D344872" w:rsidR="00186BE5" w:rsidRPr="00223007" w:rsidRDefault="00186BE5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223007">
              <w:rPr>
                <w:rFonts w:eastAsia="Times New Roman" w:cs="Times New Roman"/>
                <w:szCs w:val="20"/>
                <w:lang w:val="es-ES"/>
              </w:rPr>
              <w:t xml:space="preserve">Los consejeros </w:t>
            </w:r>
            <w:r>
              <w:rPr>
                <w:rFonts w:eastAsia="Times New Roman" w:cs="Times New Roman"/>
                <w:szCs w:val="20"/>
                <w:lang w:val="es-ES"/>
              </w:rPr>
              <w:t>acordaron</w:t>
            </w:r>
            <w:r w:rsidRPr="00223007">
              <w:rPr>
                <w:rFonts w:eastAsia="Times New Roman" w:cs="Times New Roman"/>
                <w:szCs w:val="20"/>
                <w:lang w:val="es-ES"/>
              </w:rPr>
              <w:t xml:space="preserve"> alentar a la </w:t>
            </w:r>
            <w:r>
              <w:rPr>
                <w:rFonts w:eastAsia="Times New Roman" w:cs="Times New Roman"/>
                <w:szCs w:val="20"/>
                <w:lang w:val="es-ES"/>
              </w:rPr>
              <w:t>S</w:t>
            </w:r>
            <w:r w:rsidRPr="00223007">
              <w:rPr>
                <w:rFonts w:eastAsia="Times New Roman" w:cs="Times New Roman"/>
                <w:szCs w:val="20"/>
                <w:lang w:val="es-ES"/>
              </w:rPr>
              <w:t xml:space="preserve">ecretaría a </w:t>
            </w:r>
            <w:r w:rsidRPr="006809B6">
              <w:t>proseguir</w:t>
            </w:r>
            <w:r w:rsidRPr="00223007">
              <w:rPr>
                <w:rFonts w:eastAsia="Times New Roman" w:cs="Times New Roman"/>
                <w:szCs w:val="20"/>
                <w:lang w:val="es-ES"/>
              </w:rPr>
              <w:t xml:space="preserve"> con las medidas en curso, </w:t>
            </w:r>
            <w:r>
              <w:rPr>
                <w:rFonts w:eastAsia="Times New Roman" w:cs="Times New Roman"/>
                <w:szCs w:val="20"/>
                <w:lang w:val="es-ES"/>
              </w:rPr>
              <w:t xml:space="preserve">a </w:t>
            </w:r>
            <w:r w:rsidRPr="00223007">
              <w:rPr>
                <w:rFonts w:eastAsia="Times New Roman" w:cs="Times New Roman"/>
                <w:szCs w:val="20"/>
                <w:lang w:val="es-ES"/>
              </w:rPr>
              <w:t>aplicar las recomendaciones incluidas en la contribución VC</w:t>
            </w:r>
            <w:r>
              <w:rPr>
                <w:rFonts w:eastAsia="Times New Roman" w:cs="Times New Roman"/>
                <w:szCs w:val="20"/>
                <w:lang w:val="es-ES"/>
              </w:rPr>
              <w:noBreakHyphen/>
            </w:r>
            <w:r w:rsidRPr="00223007">
              <w:rPr>
                <w:rFonts w:eastAsia="Times New Roman" w:cs="Times New Roman"/>
                <w:szCs w:val="20"/>
                <w:lang w:val="es-ES"/>
              </w:rPr>
              <w:t>2/6(Co</w:t>
            </w:r>
            <w:r w:rsidR="0083579A">
              <w:rPr>
                <w:rFonts w:eastAsia="Times New Roman" w:cs="Times New Roman"/>
                <w:szCs w:val="20"/>
                <w:lang w:val="es-ES"/>
              </w:rPr>
              <w:t>r</w:t>
            </w:r>
            <w:r w:rsidRPr="00223007">
              <w:rPr>
                <w:rFonts w:eastAsia="Times New Roman" w:cs="Times New Roman"/>
                <w:szCs w:val="20"/>
                <w:lang w:val="es-ES"/>
              </w:rPr>
              <w:t>r.1), en la medida de lo posible y dentro de los límites de los recursos disponibles, y a presentar un documento actualizado al Consejo en su reunión de</w:t>
            </w:r>
            <w:r w:rsidR="00FF1F4F">
              <w:rPr>
                <w:rFonts w:eastAsia="Times New Roman" w:cs="Times New Roman"/>
                <w:szCs w:val="20"/>
                <w:lang w:val="es-ES"/>
              </w:rPr>
              <w:t> </w:t>
            </w:r>
            <w:r w:rsidRPr="00223007">
              <w:rPr>
                <w:rFonts w:eastAsia="Times New Roman" w:cs="Times New Roman"/>
                <w:szCs w:val="20"/>
                <w:lang w:val="es-ES"/>
              </w:rPr>
              <w:t>2021.</w:t>
            </w:r>
          </w:p>
        </w:tc>
        <w:tc>
          <w:tcPr>
            <w:tcW w:w="1927" w:type="dxa"/>
            <w:vMerge w:val="restart"/>
          </w:tcPr>
          <w:p w14:paraId="60C42D15" w14:textId="77777777" w:rsidR="00186BE5" w:rsidRPr="00E52715" w:rsidRDefault="00186BE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186BE5" w:rsidRPr="00E52715" w14:paraId="36708B64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547608BD" w14:textId="32CBCE5F" w:rsidR="00186BE5" w:rsidRPr="00186BE5" w:rsidRDefault="00186BE5" w:rsidP="00173D6F">
            <w:pPr>
              <w:pStyle w:val="Tabletext"/>
              <w:tabs>
                <w:tab w:val="left" w:pos="311"/>
              </w:tabs>
              <w:ind w:left="311" w:hanging="311"/>
              <w:rPr>
                <w:i/>
                <w:lang w:val="es-ES"/>
              </w:rPr>
            </w:pPr>
            <w:r w:rsidRPr="004D68CD">
              <w:rPr>
                <w:i/>
                <w:lang w:val="es-ES"/>
              </w:rPr>
              <w:t>–</w:t>
            </w:r>
            <w:r w:rsidRPr="004D68CD">
              <w:rPr>
                <w:i/>
                <w:lang w:val="es-ES"/>
              </w:rPr>
              <w:tab/>
              <w:t>Contribución de la Federación de Rusia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4F3A0C1B" w14:textId="5170C476" w:rsidR="00186BE5" w:rsidRPr="00186BE5" w:rsidRDefault="00186BE5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32" w:history="1">
              <w:r w:rsidRPr="00E52715">
                <w:rPr>
                  <w:rStyle w:val="Hyperlink"/>
                  <w:lang w:val="en-US"/>
                </w:rPr>
                <w:t>VC</w:t>
              </w:r>
              <w:r w:rsidRPr="00E52715">
                <w:rPr>
                  <w:rStyle w:val="Hyperlink"/>
                  <w:lang w:val="en-US"/>
                </w:rPr>
                <w:t>/</w:t>
              </w:r>
              <w:r w:rsidRPr="00E52715">
                <w:rPr>
                  <w:rStyle w:val="Hyperlink"/>
                  <w:lang w:val="en-US"/>
                </w:rPr>
                <w:t>2</w:t>
              </w:r>
            </w:hyperlink>
          </w:p>
        </w:tc>
        <w:tc>
          <w:tcPr>
            <w:tcW w:w="5746" w:type="dxa"/>
            <w:vMerge/>
          </w:tcPr>
          <w:p w14:paraId="00EF52A9" w14:textId="77777777" w:rsidR="00186BE5" w:rsidRPr="00452326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7842D19E" w14:textId="77777777" w:rsidR="00186BE5" w:rsidRPr="00E52715" w:rsidRDefault="00186BE5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186BE5" w:rsidRPr="00E52715" w14:paraId="377AAE65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16A05D69" w14:textId="20B07E7E" w:rsidR="00186BE5" w:rsidRPr="00186BE5" w:rsidRDefault="00186BE5" w:rsidP="00173D6F">
            <w:pPr>
              <w:pStyle w:val="Tabletext"/>
              <w:tabs>
                <w:tab w:val="left" w:pos="311"/>
              </w:tabs>
              <w:ind w:left="311" w:hanging="311"/>
              <w:rPr>
                <w:i/>
                <w:lang w:val="es-ES"/>
              </w:rPr>
            </w:pPr>
            <w:r w:rsidRPr="004D68CD">
              <w:rPr>
                <w:i/>
                <w:lang w:val="es-ES"/>
              </w:rPr>
              <w:t>–</w:t>
            </w:r>
            <w:r w:rsidRPr="004D68CD">
              <w:rPr>
                <w:i/>
                <w:lang w:val="es-ES"/>
              </w:rPr>
              <w:tab/>
              <w:t>Contribución de China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212C5612" w14:textId="63C3B4F2" w:rsidR="00186BE5" w:rsidRPr="00186BE5" w:rsidRDefault="00186BE5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u w:val="single"/>
                <w:lang w:val="en-US"/>
              </w:rPr>
            </w:pPr>
            <w:hyperlink r:id="rId133" w:history="1">
              <w:r w:rsidRPr="00E52715">
                <w:rPr>
                  <w:rStyle w:val="Hyperlink"/>
                  <w:lang w:val="en-US"/>
                </w:rPr>
                <w:t>V</w:t>
              </w:r>
              <w:r w:rsidRPr="00E52715">
                <w:rPr>
                  <w:rStyle w:val="Hyperlink"/>
                  <w:lang w:val="en-US"/>
                </w:rPr>
                <w:t>C</w:t>
              </w:r>
              <w:r w:rsidRPr="00E52715">
                <w:rPr>
                  <w:rStyle w:val="Hyperlink"/>
                  <w:lang w:val="en-US"/>
                </w:rPr>
                <w:t>/10</w:t>
              </w:r>
            </w:hyperlink>
          </w:p>
        </w:tc>
        <w:tc>
          <w:tcPr>
            <w:tcW w:w="5746" w:type="dxa"/>
            <w:vMerge/>
          </w:tcPr>
          <w:p w14:paraId="3CEEAA9C" w14:textId="77777777" w:rsidR="00186BE5" w:rsidRPr="00452326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2B13F3BF" w14:textId="77777777" w:rsidR="00186BE5" w:rsidRPr="00E52715" w:rsidRDefault="00186BE5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186BE5" w:rsidRPr="00E52715" w14:paraId="5FCAB8DB" w14:textId="77777777" w:rsidTr="0083579A">
        <w:trPr>
          <w:jc w:val="center"/>
        </w:trPr>
        <w:tc>
          <w:tcPr>
            <w:tcW w:w="4134" w:type="dxa"/>
            <w:tcBorders>
              <w:top w:val="nil"/>
              <w:bottom w:val="nil"/>
            </w:tcBorders>
          </w:tcPr>
          <w:p w14:paraId="78812185" w14:textId="434DAACE" w:rsidR="00186BE5" w:rsidRPr="00173D6F" w:rsidRDefault="00186BE5" w:rsidP="00173D6F">
            <w:pPr>
              <w:pStyle w:val="Tabletext"/>
              <w:tabs>
                <w:tab w:val="left" w:pos="311"/>
              </w:tabs>
              <w:ind w:left="311" w:hanging="311"/>
              <w:rPr>
                <w:bCs/>
                <w:i/>
                <w:iCs/>
                <w:lang w:val="es-ES"/>
              </w:rPr>
            </w:pPr>
            <w:r w:rsidRPr="00173D6F">
              <w:rPr>
                <w:bCs/>
                <w:lang w:val="es-ES"/>
              </w:rPr>
              <w:t>–</w:t>
            </w:r>
            <w:r w:rsidRPr="00173D6F">
              <w:rPr>
                <w:bCs/>
                <w:lang w:val="es-ES"/>
              </w:rPr>
              <w:tab/>
            </w:r>
            <w:r w:rsidRPr="00173D6F">
              <w:rPr>
                <w:bCs/>
                <w:i/>
                <w:iCs/>
                <w:lang w:val="es-ES"/>
              </w:rPr>
              <w:t>Contribución de Azerbaiyán, Belarús, Federación de Rusia, Uzbekistán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0CEFDA70" w14:textId="49CC0891" w:rsidR="00186BE5" w:rsidRPr="00186BE5" w:rsidRDefault="00186BE5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u w:val="single"/>
                <w:lang w:val="en-US"/>
              </w:rPr>
            </w:pPr>
            <w:hyperlink r:id="rId134" w:history="1">
              <w:r w:rsidRPr="00E52715">
                <w:rPr>
                  <w:rStyle w:val="Hyperlink"/>
                  <w:lang w:val="en-US"/>
                </w:rPr>
                <w:t>VC-2/6(C</w:t>
              </w:r>
              <w:r w:rsidRPr="00E52715">
                <w:rPr>
                  <w:rStyle w:val="Hyperlink"/>
                  <w:lang w:val="en-US"/>
                </w:rPr>
                <w:t>o</w:t>
              </w:r>
              <w:r w:rsidR="0083579A">
                <w:rPr>
                  <w:rStyle w:val="Hyperlink"/>
                  <w:lang w:val="en-US"/>
                </w:rPr>
                <w:t>r</w:t>
              </w:r>
              <w:r w:rsidRPr="00E52715">
                <w:rPr>
                  <w:rStyle w:val="Hyperlink"/>
                  <w:lang w:val="en-US"/>
                </w:rPr>
                <w:t>r.1)</w:t>
              </w:r>
            </w:hyperlink>
          </w:p>
        </w:tc>
        <w:tc>
          <w:tcPr>
            <w:tcW w:w="5746" w:type="dxa"/>
            <w:vMerge/>
          </w:tcPr>
          <w:p w14:paraId="689BBC8C" w14:textId="77777777" w:rsidR="00186BE5" w:rsidRPr="00452326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399D3A1A" w14:textId="77777777" w:rsidR="00186BE5" w:rsidRPr="00E52715" w:rsidRDefault="00186BE5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186BE5" w:rsidRPr="00E52715" w14:paraId="027F67DA" w14:textId="77777777" w:rsidTr="0083579A">
        <w:trPr>
          <w:jc w:val="center"/>
        </w:trPr>
        <w:tc>
          <w:tcPr>
            <w:tcW w:w="4134" w:type="dxa"/>
            <w:tcBorders>
              <w:top w:val="nil"/>
            </w:tcBorders>
          </w:tcPr>
          <w:p w14:paraId="7F229959" w14:textId="3DE7503E" w:rsidR="00186BE5" w:rsidRPr="00223007" w:rsidRDefault="00186BE5" w:rsidP="009118A8">
            <w:pPr>
              <w:pStyle w:val="Tabletext"/>
              <w:rPr>
                <w:lang w:val="es-ES"/>
              </w:rPr>
            </w:pPr>
            <w:r w:rsidRPr="008407DF">
              <w:rPr>
                <w:lang w:val="es-ES"/>
              </w:rPr>
              <w:t>Situación de las plataformas de reunió</w:t>
            </w:r>
            <w:r>
              <w:rPr>
                <w:lang w:val="es-ES"/>
              </w:rPr>
              <w:t>n virtual y de los servicios de apoyo</w:t>
            </w:r>
          </w:p>
        </w:tc>
        <w:tc>
          <w:tcPr>
            <w:tcW w:w="2181" w:type="dxa"/>
            <w:tcBorders>
              <w:top w:val="nil"/>
            </w:tcBorders>
          </w:tcPr>
          <w:p w14:paraId="6D61EBD5" w14:textId="0C23D31C" w:rsidR="00186BE5" w:rsidRDefault="00186BE5" w:rsidP="00970925">
            <w:pPr>
              <w:pStyle w:val="Tabletext"/>
              <w:jc w:val="center"/>
            </w:pPr>
            <w:hyperlink r:id="rId135" w:history="1">
              <w:r w:rsidRPr="00E52715">
                <w:rPr>
                  <w:rStyle w:val="Hyperlink"/>
                  <w:lang w:val="en-US"/>
                </w:rPr>
                <w:t>INF/</w:t>
              </w:r>
              <w:r w:rsidRPr="00E52715">
                <w:rPr>
                  <w:rStyle w:val="Hyperlink"/>
                  <w:lang w:val="en-US"/>
                </w:rPr>
                <w:t>2</w:t>
              </w:r>
              <w:r w:rsidRPr="00E52715">
                <w:rPr>
                  <w:rStyle w:val="Hyperlink"/>
                  <w:lang w:val="en-US"/>
                </w:rPr>
                <w:t>2</w:t>
              </w:r>
            </w:hyperlink>
          </w:p>
        </w:tc>
        <w:tc>
          <w:tcPr>
            <w:tcW w:w="5746" w:type="dxa"/>
            <w:vMerge/>
          </w:tcPr>
          <w:p w14:paraId="60A137FF" w14:textId="77777777" w:rsidR="00186BE5" w:rsidRPr="00452326" w:rsidRDefault="00186BE5" w:rsidP="006809B6">
            <w:pPr>
              <w:pStyle w:val="Tabletext"/>
              <w:ind w:left="552" w:hanging="552"/>
              <w:rPr>
                <w:lang w:val="es-ES"/>
              </w:rPr>
            </w:pPr>
          </w:p>
        </w:tc>
        <w:tc>
          <w:tcPr>
            <w:tcW w:w="1927" w:type="dxa"/>
            <w:vMerge/>
          </w:tcPr>
          <w:p w14:paraId="23EE27F3" w14:textId="77777777" w:rsidR="00186BE5" w:rsidRPr="00E52715" w:rsidRDefault="00186BE5" w:rsidP="00970925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E52715" w:rsidRPr="00E52715" w14:paraId="3785809E" w14:textId="77777777" w:rsidTr="0083579A">
        <w:trPr>
          <w:jc w:val="center"/>
        </w:trPr>
        <w:tc>
          <w:tcPr>
            <w:tcW w:w="4134" w:type="dxa"/>
          </w:tcPr>
          <w:p w14:paraId="37207195" w14:textId="74708FB9" w:rsidR="00E52715" w:rsidRPr="00452326" w:rsidRDefault="00223007" w:rsidP="00223007">
            <w:pPr>
              <w:pStyle w:val="Tabletext"/>
              <w:rPr>
                <w:lang w:val="es-ES"/>
              </w:rPr>
            </w:pPr>
            <w:r w:rsidRPr="00223007">
              <w:rPr>
                <w:lang w:val="es-ES"/>
              </w:rPr>
              <w:t xml:space="preserve">Continuidad </w:t>
            </w:r>
            <w:r w:rsidR="008407DF">
              <w:rPr>
                <w:lang w:val="es-ES"/>
              </w:rPr>
              <w:t>de las actividades</w:t>
            </w:r>
            <w:r w:rsidRPr="00223007">
              <w:rPr>
                <w:lang w:val="es-ES"/>
              </w:rPr>
              <w:t>: modelo para la gestión de la información</w:t>
            </w:r>
          </w:p>
        </w:tc>
        <w:tc>
          <w:tcPr>
            <w:tcW w:w="2181" w:type="dxa"/>
          </w:tcPr>
          <w:p w14:paraId="72B238DE" w14:textId="384E4A0B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36" w:history="1">
              <w:r w:rsidR="00E52715" w:rsidRPr="00E52715">
                <w:rPr>
                  <w:rStyle w:val="Hyperlink"/>
                  <w:lang w:val="en-US"/>
                </w:rPr>
                <w:t>C20</w:t>
              </w:r>
              <w:r w:rsidR="00E52715" w:rsidRPr="00E52715">
                <w:rPr>
                  <w:rStyle w:val="Hyperlink"/>
                  <w:lang w:val="en-US"/>
                </w:rPr>
                <w:t>/</w:t>
              </w:r>
              <w:r w:rsidR="00E52715" w:rsidRPr="00E52715">
                <w:rPr>
                  <w:rStyle w:val="Hyperlink"/>
                  <w:lang w:val="en-US"/>
                </w:rPr>
                <w:t>53</w:t>
              </w:r>
            </w:hyperlink>
          </w:p>
        </w:tc>
        <w:tc>
          <w:tcPr>
            <w:tcW w:w="5746" w:type="dxa"/>
          </w:tcPr>
          <w:p w14:paraId="3A3C9163" w14:textId="04B80AF3" w:rsidR="00E52715" w:rsidRPr="009540FB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6809B6">
              <w:t>Los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 consejeros </w:t>
            </w:r>
            <w:r w:rsidR="008407DF">
              <w:rPr>
                <w:rFonts w:eastAsia="Times New Roman" w:cs="Times New Roman"/>
                <w:szCs w:val="20"/>
                <w:lang w:val="es-ES"/>
              </w:rPr>
              <w:t>acordaron proseguir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 el debate de la propuesta contenida en el Documento C20/53 en el GTC-RHF e informar al Consejo en 2021</w:t>
            </w:r>
            <w:r w:rsidR="00E52715" w:rsidRPr="009540FB">
              <w:rPr>
                <w:rFonts w:eastAsia="Times New Roman" w:cs="Times New Roman"/>
                <w:szCs w:val="20"/>
                <w:lang w:val="es-ES"/>
              </w:rPr>
              <w:t>.</w:t>
            </w:r>
          </w:p>
          <w:p w14:paraId="40A25CCE" w14:textId="044E8F23" w:rsidR="00E52715" w:rsidRPr="009540FB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A </w:t>
            </w:r>
            <w:r w:rsidRPr="006809B6">
              <w:t>ese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 respecto, </w:t>
            </w:r>
            <w:r w:rsidR="008407DF">
              <w:rPr>
                <w:rFonts w:eastAsia="Times New Roman" w:cs="Times New Roman"/>
                <w:szCs w:val="20"/>
                <w:lang w:val="es-ES"/>
              </w:rPr>
              <w:t xml:space="preserve">los consejeros decidieron 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invitar a la </w:t>
            </w:r>
            <w:r w:rsidR="008407DF">
              <w:rPr>
                <w:rFonts w:eastAsia="Times New Roman" w:cs="Times New Roman"/>
                <w:szCs w:val="20"/>
                <w:lang w:val="es-ES"/>
              </w:rPr>
              <w:t>S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>ecretaría a preparar proyectos detallados para su examen por el GTC-RHF.</w:t>
            </w:r>
          </w:p>
        </w:tc>
        <w:tc>
          <w:tcPr>
            <w:tcW w:w="1927" w:type="dxa"/>
          </w:tcPr>
          <w:p w14:paraId="2FCF1C82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E52715" w14:paraId="4812F1FB" w14:textId="77777777" w:rsidTr="0083579A">
        <w:trPr>
          <w:cantSplit/>
          <w:jc w:val="center"/>
        </w:trPr>
        <w:tc>
          <w:tcPr>
            <w:tcW w:w="4134" w:type="dxa"/>
          </w:tcPr>
          <w:p w14:paraId="17A3FBA0" w14:textId="13D89C85" w:rsidR="00E52715" w:rsidRPr="00141016" w:rsidRDefault="00223007" w:rsidP="00223007">
            <w:pPr>
              <w:pStyle w:val="Tabletext"/>
              <w:rPr>
                <w:lang w:val="es-ES"/>
              </w:rPr>
            </w:pPr>
            <w:r w:rsidRPr="00141016">
              <w:rPr>
                <w:bCs/>
                <w:lang w:val="es-ES"/>
              </w:rPr>
              <w:lastRenderedPageBreak/>
              <w:t>Apoyo a la TSB</w:t>
            </w:r>
          </w:p>
        </w:tc>
        <w:tc>
          <w:tcPr>
            <w:tcW w:w="2181" w:type="dxa"/>
          </w:tcPr>
          <w:p w14:paraId="08F8F4E2" w14:textId="5D6C7FD2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37" w:history="1">
              <w:r w:rsidR="00E52715" w:rsidRPr="00E52715">
                <w:rPr>
                  <w:rStyle w:val="Hyperlink"/>
                  <w:lang w:val="en-US"/>
                </w:rPr>
                <w:t>C20/14</w:t>
              </w:r>
              <w:r w:rsidR="00E52715" w:rsidRPr="00E52715">
                <w:rPr>
                  <w:rStyle w:val="Hyperlink"/>
                  <w:lang w:val="en-US"/>
                </w:rPr>
                <w:t>(</w:t>
              </w:r>
              <w:r w:rsidR="00E52715" w:rsidRPr="00E52715">
                <w:rPr>
                  <w:rStyle w:val="Hyperlink"/>
                  <w:lang w:val="en-US"/>
                </w:rPr>
                <w:t>Rev.1)</w:t>
              </w:r>
            </w:hyperlink>
          </w:p>
        </w:tc>
        <w:tc>
          <w:tcPr>
            <w:tcW w:w="5746" w:type="dxa"/>
          </w:tcPr>
          <w:p w14:paraId="51D727B7" w14:textId="29C4FB25" w:rsidR="00E52715" w:rsidRPr="009540FB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>Los consejeros toma</w:t>
            </w:r>
            <w:r w:rsidR="008407DF">
              <w:rPr>
                <w:rFonts w:eastAsia="Times New Roman" w:cs="Times New Roman"/>
                <w:szCs w:val="20"/>
                <w:lang w:val="es-ES"/>
              </w:rPr>
              <w:t>ro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n nota del apoyo de muchos Estados Miembros pero, dado que no había consenso, se acordó aplazar el debate hasta la </w:t>
            </w:r>
            <w:r w:rsidRPr="006809B6">
              <w:t>reunión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 de 2021 del Consejo.</w:t>
            </w:r>
          </w:p>
          <w:p w14:paraId="461B785D" w14:textId="313872C9" w:rsidR="00E52715" w:rsidRPr="009540FB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>La Federación de Rusia prop</w:t>
            </w:r>
            <w:r w:rsidR="008407DF">
              <w:rPr>
                <w:rFonts w:eastAsia="Times New Roman" w:cs="Times New Roman"/>
                <w:szCs w:val="20"/>
                <w:lang w:val="es-ES"/>
              </w:rPr>
              <w:t>uso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 obviar el requisito del 5 por ciento de vacantes para que la TSB proveyera los puestos urgentes sin exceder el presupuesto. El Secretario General tomó nota de esa propuesta e informó a los consejeros de que trabajaría con el Director de la TSB para</w:t>
            </w:r>
            <w:r w:rsidR="00E52715" w:rsidRPr="009540FB">
              <w:rPr>
                <w:rFonts w:eastAsia="Times New Roman" w:cs="Times New Roman"/>
                <w:szCs w:val="20"/>
                <w:lang w:val="es-ES"/>
              </w:rPr>
              <w:t xml:space="preserve"> </w:t>
            </w:r>
            <w:r w:rsidR="008407DF">
              <w:rPr>
                <w:rFonts w:eastAsia="Times New Roman" w:cs="Times New Roman"/>
                <w:szCs w:val="20"/>
                <w:lang w:val="es-ES"/>
              </w:rPr>
              <w:t>encontrar una solución antes de la reunión de 2021 del Consejo</w:t>
            </w:r>
            <w:r w:rsidR="00E52715" w:rsidRPr="009540FB">
              <w:rPr>
                <w:rFonts w:eastAsia="Times New Roman" w:cs="Times New Roman"/>
                <w:szCs w:val="20"/>
                <w:lang w:val="es-ES"/>
              </w:rPr>
              <w:t>.</w:t>
            </w:r>
          </w:p>
        </w:tc>
        <w:tc>
          <w:tcPr>
            <w:tcW w:w="1927" w:type="dxa"/>
          </w:tcPr>
          <w:p w14:paraId="26E55C4E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8407DF" w14:paraId="6CEA45E7" w14:textId="77777777" w:rsidTr="0083579A">
        <w:trPr>
          <w:jc w:val="center"/>
        </w:trPr>
        <w:tc>
          <w:tcPr>
            <w:tcW w:w="4134" w:type="dxa"/>
          </w:tcPr>
          <w:p w14:paraId="19D9F544" w14:textId="3EBE3AD8" w:rsidR="00E52715" w:rsidRPr="00452326" w:rsidRDefault="009540FB" w:rsidP="009540FB">
            <w:pPr>
              <w:pStyle w:val="Tabletext"/>
              <w:rPr>
                <w:lang w:val="es-ES"/>
              </w:rPr>
            </w:pPr>
            <w:r w:rsidRPr="009540FB">
              <w:rPr>
                <w:lang w:val="es-ES"/>
              </w:rPr>
              <w:t>Informe sobre la implementación del plan de acción de gestión de riesgos</w:t>
            </w:r>
          </w:p>
        </w:tc>
        <w:tc>
          <w:tcPr>
            <w:tcW w:w="2181" w:type="dxa"/>
          </w:tcPr>
          <w:p w14:paraId="59A2E554" w14:textId="07216695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38" w:history="1">
              <w:r w:rsidR="00E52715" w:rsidRPr="00E52715">
                <w:rPr>
                  <w:rStyle w:val="Hyperlink"/>
                  <w:lang w:val="en-US"/>
                </w:rPr>
                <w:t>C20/61(Re</w:t>
              </w:r>
              <w:r w:rsidR="00E52715" w:rsidRPr="00E52715">
                <w:rPr>
                  <w:rStyle w:val="Hyperlink"/>
                  <w:lang w:val="en-US"/>
                </w:rPr>
                <w:t>v</w:t>
              </w:r>
              <w:r w:rsidR="00E52715" w:rsidRPr="00E52715">
                <w:rPr>
                  <w:rStyle w:val="Hyperlink"/>
                  <w:lang w:val="en-US"/>
                </w:rPr>
                <w:t>.1)</w:t>
              </w:r>
            </w:hyperlink>
          </w:p>
        </w:tc>
        <w:tc>
          <w:tcPr>
            <w:tcW w:w="5746" w:type="dxa"/>
          </w:tcPr>
          <w:p w14:paraId="5944A71F" w14:textId="7ED8DABB" w:rsidR="00E52715" w:rsidRPr="009540FB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8407DF">
              <w:rPr>
                <w:lang w:val="es-ES"/>
              </w:rPr>
              <w:t>Al tratarse de un tema urgente, se decidió realizar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 una consulta por correspondencia de los Estados Miembros del Consejo sobre la aprobación de las recomendaciones del </w:t>
            </w:r>
            <w:r w:rsidR="008407DF">
              <w:rPr>
                <w:rFonts w:eastAsia="Times New Roman" w:cs="Times New Roman"/>
                <w:szCs w:val="20"/>
                <w:lang w:val="es-ES"/>
              </w:rPr>
              <w:t>I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>nforme que figura en el Documento C20/61(Rev.1), así como de la política de gestión de riesgos revisada y la declaración sobre los riesgos asumibles de la UIT, que se aplicarían en el marco del presupuesto disponible.</w:t>
            </w:r>
          </w:p>
        </w:tc>
        <w:tc>
          <w:tcPr>
            <w:tcW w:w="1927" w:type="dxa"/>
          </w:tcPr>
          <w:p w14:paraId="39CC47C6" w14:textId="117F4B71" w:rsidR="00E52715" w:rsidRPr="008407DF" w:rsidRDefault="008407DF" w:rsidP="00970925">
            <w:pPr>
              <w:pStyle w:val="Tabletext"/>
              <w:rPr>
                <w:lang w:val="es-ES"/>
              </w:rPr>
            </w:pPr>
            <w:r w:rsidRPr="008407DF">
              <w:rPr>
                <w:lang w:val="es-ES"/>
              </w:rPr>
              <w:t>Se aprobaron las recomendaciones y la política de gestión de riesgos revisada y l</w:t>
            </w:r>
            <w:r>
              <w:rPr>
                <w:lang w:val="es-ES"/>
              </w:rPr>
              <w:t>a declaración sobre los riesgos asumibles de la</w:t>
            </w:r>
            <w:r w:rsidR="00DB580A">
              <w:rPr>
                <w:lang w:val="es-ES"/>
              </w:rPr>
              <w:t> </w:t>
            </w:r>
            <w:r>
              <w:rPr>
                <w:lang w:val="es-ES"/>
              </w:rPr>
              <w:t>UIT</w:t>
            </w:r>
            <w:r w:rsidR="00E52715" w:rsidRPr="008407DF">
              <w:rPr>
                <w:lang w:val="es-ES"/>
              </w:rPr>
              <w:t>.</w:t>
            </w:r>
          </w:p>
        </w:tc>
      </w:tr>
      <w:tr w:rsidR="00E52715" w:rsidRPr="008407DF" w14:paraId="20291BFE" w14:textId="77777777" w:rsidTr="0083579A">
        <w:trPr>
          <w:jc w:val="center"/>
        </w:trPr>
        <w:tc>
          <w:tcPr>
            <w:tcW w:w="4134" w:type="dxa"/>
          </w:tcPr>
          <w:p w14:paraId="728899FD" w14:textId="03CFEA29" w:rsidR="00E52715" w:rsidRPr="009540FB" w:rsidRDefault="009540FB" w:rsidP="009540FB">
            <w:pPr>
              <w:pStyle w:val="Tabletext"/>
              <w:rPr>
                <w:lang w:val="es-ES"/>
              </w:rPr>
            </w:pPr>
            <w:r w:rsidRPr="009540FB">
              <w:rPr>
                <w:lang w:val="es-ES"/>
              </w:rPr>
              <w:t>Solicitudes de exención</w:t>
            </w:r>
          </w:p>
        </w:tc>
        <w:tc>
          <w:tcPr>
            <w:tcW w:w="2181" w:type="dxa"/>
          </w:tcPr>
          <w:p w14:paraId="7D886E7A" w14:textId="13A4F478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39" w:history="1">
              <w:r w:rsidR="00E52715" w:rsidRPr="00E52715">
                <w:rPr>
                  <w:rStyle w:val="Hyperlink"/>
                  <w:lang w:val="en-US"/>
                </w:rPr>
                <w:t>C20/39</w:t>
              </w:r>
              <w:r w:rsidR="00E52715" w:rsidRPr="00E52715">
                <w:rPr>
                  <w:rStyle w:val="Hyperlink"/>
                  <w:lang w:val="en-US"/>
                </w:rPr>
                <w:t>(</w:t>
              </w:r>
              <w:r w:rsidR="00E52715" w:rsidRPr="00E52715">
                <w:rPr>
                  <w:rStyle w:val="Hyperlink"/>
                  <w:lang w:val="en-US"/>
                </w:rPr>
                <w:t>Rev.1)</w:t>
              </w:r>
            </w:hyperlink>
          </w:p>
        </w:tc>
        <w:tc>
          <w:tcPr>
            <w:tcW w:w="5746" w:type="dxa"/>
          </w:tcPr>
          <w:p w14:paraId="760329FD" w14:textId="05985CDC" w:rsidR="00E52715" w:rsidRPr="009540FB" w:rsidRDefault="009540FB" w:rsidP="006809B6">
            <w:pPr>
              <w:pStyle w:val="Tabletext"/>
              <w:ind w:left="552" w:hanging="552"/>
              <w:rPr>
                <w:rFonts w:eastAsia="Times New Roman" w:cs="Times New Roman"/>
                <w:szCs w:val="20"/>
                <w:lang w:val="es-ES"/>
              </w:rPr>
            </w:pPr>
            <w:r w:rsidRPr="00452326">
              <w:rPr>
                <w:lang w:val="es-ES"/>
              </w:rPr>
              <w:t>–</w:t>
            </w:r>
            <w:r w:rsidRPr="00452326">
              <w:rPr>
                <w:lang w:val="es-ES"/>
              </w:rPr>
              <w:tab/>
            </w:r>
            <w:r w:rsidR="008407DF">
              <w:rPr>
                <w:lang w:val="es-ES"/>
              </w:rPr>
              <w:t xml:space="preserve">Al tratarse de un tema urgente, se decidió llevar a </w:t>
            </w:r>
            <w:r w:rsidR="008407DF" w:rsidRPr="006809B6">
              <w:t>cabo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 xml:space="preserve"> una consulta por correspondencia de los Estados Miembros del Consejo sobre la aprobación de todas las solicitudes de exención que figuran en el Documento</w:t>
            </w:r>
            <w:r w:rsidR="00DB580A">
              <w:rPr>
                <w:rFonts w:eastAsia="Times New Roman" w:cs="Times New Roman"/>
                <w:szCs w:val="20"/>
                <w:lang w:val="es-ES"/>
              </w:rPr>
              <w:t> </w:t>
            </w:r>
            <w:r w:rsidRPr="009540FB">
              <w:rPr>
                <w:rFonts w:eastAsia="Times New Roman" w:cs="Times New Roman"/>
                <w:szCs w:val="20"/>
                <w:lang w:val="es-ES"/>
              </w:rPr>
              <w:t>C20/39(Rev.1).</w:t>
            </w:r>
          </w:p>
        </w:tc>
        <w:tc>
          <w:tcPr>
            <w:tcW w:w="1927" w:type="dxa"/>
          </w:tcPr>
          <w:p w14:paraId="726ECFDC" w14:textId="241C59B6" w:rsidR="00E52715" w:rsidRPr="008407DF" w:rsidRDefault="008407DF" w:rsidP="00970925">
            <w:pPr>
              <w:pStyle w:val="Tabletext"/>
              <w:rPr>
                <w:lang w:val="es-ES"/>
              </w:rPr>
            </w:pPr>
            <w:r w:rsidRPr="008407DF">
              <w:rPr>
                <w:lang w:val="es-ES"/>
              </w:rPr>
              <w:t>Se aprobaron todas las s</w:t>
            </w:r>
            <w:r>
              <w:rPr>
                <w:lang w:val="es-ES"/>
              </w:rPr>
              <w:t>olicitudes de exención.</w:t>
            </w:r>
          </w:p>
        </w:tc>
      </w:tr>
      <w:tr w:rsidR="00E52715" w:rsidRPr="008407DF" w14:paraId="001B3429" w14:textId="77777777" w:rsidTr="0083579A">
        <w:trPr>
          <w:jc w:val="center"/>
        </w:trPr>
        <w:tc>
          <w:tcPr>
            <w:tcW w:w="12061" w:type="dxa"/>
            <w:gridSpan w:val="3"/>
            <w:shd w:val="clear" w:color="auto" w:fill="D9D9D9"/>
            <w:vAlign w:val="center"/>
          </w:tcPr>
          <w:p w14:paraId="6423967E" w14:textId="243E69A3" w:rsidR="00E52715" w:rsidRPr="008407DF" w:rsidRDefault="008407DF" w:rsidP="009118A8">
            <w:pPr>
              <w:pStyle w:val="Tabletext"/>
              <w:keepNext/>
              <w:keepLines/>
              <w:rPr>
                <w:rFonts w:eastAsia="Times New Roman" w:cs="Times New Roman"/>
                <w:b/>
                <w:bCs/>
                <w:szCs w:val="20"/>
                <w:lang w:val="es-ES"/>
              </w:rPr>
            </w:pPr>
            <w:r w:rsidRPr="008407DF">
              <w:rPr>
                <w:rFonts w:eastAsia="Times New Roman" w:cs="Times New Roman"/>
                <w:b/>
                <w:bCs/>
                <w:szCs w:val="20"/>
                <w:lang w:val="es-ES"/>
              </w:rPr>
              <w:lastRenderedPageBreak/>
              <w:t>El debate sobre los siguientes puntos se dejó para la r</w:t>
            </w:r>
            <w:r>
              <w:rPr>
                <w:rFonts w:eastAsia="Times New Roman" w:cs="Times New Roman"/>
                <w:b/>
                <w:bCs/>
                <w:szCs w:val="20"/>
                <w:lang w:val="es-ES"/>
              </w:rPr>
              <w:t>eunión de 2021 del Consejo</w:t>
            </w:r>
            <w:r w:rsidR="00E52715" w:rsidRPr="008407DF">
              <w:rPr>
                <w:rFonts w:eastAsia="Times New Roman" w:cs="Times New Roman"/>
                <w:b/>
                <w:bCs/>
                <w:szCs w:val="20"/>
                <w:lang w:val="es-ES"/>
              </w:rPr>
              <w:t>:</w:t>
            </w:r>
          </w:p>
        </w:tc>
        <w:tc>
          <w:tcPr>
            <w:tcW w:w="1927" w:type="dxa"/>
            <w:shd w:val="clear" w:color="auto" w:fill="D9D9D9"/>
          </w:tcPr>
          <w:p w14:paraId="44515AF5" w14:textId="77777777" w:rsidR="00E52715" w:rsidRPr="008407DF" w:rsidRDefault="00E52715" w:rsidP="00970925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E52715" w:rsidRPr="00E52715" w14:paraId="0903A852" w14:textId="77777777" w:rsidTr="0083579A">
        <w:trPr>
          <w:jc w:val="center"/>
        </w:trPr>
        <w:tc>
          <w:tcPr>
            <w:tcW w:w="4134" w:type="dxa"/>
            <w:vAlign w:val="center"/>
          </w:tcPr>
          <w:p w14:paraId="2EACC37D" w14:textId="5918BAA2" w:rsidR="00E52715" w:rsidRPr="00452326" w:rsidRDefault="009540FB" w:rsidP="009540FB">
            <w:pPr>
              <w:pStyle w:val="Tabletext"/>
              <w:rPr>
                <w:lang w:val="es-ES"/>
              </w:rPr>
            </w:pPr>
            <w:r w:rsidRPr="009540FB">
              <w:t xml:space="preserve">Informe sobre los eventos ITU Telecom World </w:t>
            </w:r>
            <w:r w:rsidR="00E52715" w:rsidRPr="00452326">
              <w:rPr>
                <w:lang w:val="es-ES"/>
              </w:rPr>
              <w:t>(Res. 11, R 1292)</w:t>
            </w:r>
          </w:p>
        </w:tc>
        <w:tc>
          <w:tcPr>
            <w:tcW w:w="2181" w:type="dxa"/>
          </w:tcPr>
          <w:p w14:paraId="34D46DE6" w14:textId="371F2A41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40" w:history="1">
              <w:r w:rsidR="00E52715" w:rsidRPr="00E52715">
                <w:rPr>
                  <w:rStyle w:val="Hyperlink"/>
                  <w:lang w:val="en-US"/>
                </w:rPr>
                <w:t>C2</w:t>
              </w:r>
              <w:r w:rsidR="00E52715" w:rsidRPr="00E52715">
                <w:rPr>
                  <w:rStyle w:val="Hyperlink"/>
                  <w:lang w:val="en-US"/>
                </w:rPr>
                <w:t>0</w:t>
              </w:r>
              <w:r w:rsidR="00E52715" w:rsidRPr="00E52715">
                <w:rPr>
                  <w:rStyle w:val="Hyperlink"/>
                  <w:lang w:val="en-US"/>
                </w:rPr>
                <w:t>/19(Rev.1)</w:t>
              </w:r>
            </w:hyperlink>
          </w:p>
        </w:tc>
        <w:tc>
          <w:tcPr>
            <w:tcW w:w="5746" w:type="dxa"/>
          </w:tcPr>
          <w:p w14:paraId="5488F076" w14:textId="1799E8EA" w:rsidR="00E52715" w:rsidRPr="00E52715" w:rsidRDefault="00E52715" w:rsidP="006809B6">
            <w:pPr>
              <w:pStyle w:val="Tabletext"/>
              <w:ind w:left="552" w:hanging="552"/>
              <w:rPr>
                <w:lang w:val="en-US"/>
              </w:rPr>
            </w:pPr>
            <w:r>
              <w:rPr>
                <w:lang w:val="en-US"/>
              </w:rPr>
              <w:t>–</w:t>
            </w:r>
            <w:r>
              <w:rPr>
                <w:lang w:val="en-US"/>
              </w:rPr>
              <w:tab/>
            </w:r>
            <w:r w:rsidRPr="00E52715">
              <w:rPr>
                <w:lang w:val="en-US"/>
              </w:rPr>
              <w:t>N</w:t>
            </w:r>
            <w:r w:rsidR="008407DF">
              <w:rPr>
                <w:lang w:val="en-US"/>
              </w:rPr>
              <w:t>o disponible</w:t>
            </w:r>
          </w:p>
        </w:tc>
        <w:tc>
          <w:tcPr>
            <w:tcW w:w="1927" w:type="dxa"/>
          </w:tcPr>
          <w:p w14:paraId="247DCBE4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E52715" w14:paraId="28F64977" w14:textId="77777777" w:rsidTr="0083579A">
        <w:trPr>
          <w:jc w:val="center"/>
        </w:trPr>
        <w:tc>
          <w:tcPr>
            <w:tcW w:w="4134" w:type="dxa"/>
            <w:vAlign w:val="center"/>
          </w:tcPr>
          <w:p w14:paraId="6C5D17FF" w14:textId="1D375A3E" w:rsidR="00E52715" w:rsidRPr="00452326" w:rsidRDefault="009540FB" w:rsidP="009540FB">
            <w:pPr>
              <w:pStyle w:val="Tabletext"/>
              <w:rPr>
                <w:lang w:val="es-ES"/>
              </w:rPr>
            </w:pPr>
            <w:r w:rsidRPr="009540FB">
              <w:t>Informe de la Oficina de Ética</w:t>
            </w:r>
          </w:p>
        </w:tc>
        <w:tc>
          <w:tcPr>
            <w:tcW w:w="2181" w:type="dxa"/>
          </w:tcPr>
          <w:p w14:paraId="4A6E730B" w14:textId="1C60C866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41" w:history="1">
              <w:r w:rsidR="00E52715" w:rsidRPr="00E52715">
                <w:rPr>
                  <w:rStyle w:val="Hyperlink"/>
                  <w:lang w:val="en-US"/>
                </w:rPr>
                <w:t>C2</w:t>
              </w:r>
              <w:r w:rsidR="00E52715" w:rsidRPr="00E52715">
                <w:rPr>
                  <w:rStyle w:val="Hyperlink"/>
                  <w:lang w:val="en-US"/>
                </w:rPr>
                <w:t>0</w:t>
              </w:r>
              <w:r w:rsidR="00E52715" w:rsidRPr="00E52715">
                <w:rPr>
                  <w:rStyle w:val="Hyperlink"/>
                  <w:lang w:val="en-US"/>
                </w:rPr>
                <w:t>/59</w:t>
              </w:r>
            </w:hyperlink>
          </w:p>
        </w:tc>
        <w:tc>
          <w:tcPr>
            <w:tcW w:w="5746" w:type="dxa"/>
          </w:tcPr>
          <w:p w14:paraId="0A404BEF" w14:textId="1CDBC36F" w:rsidR="00E52715" w:rsidRPr="00E52715" w:rsidRDefault="00E52715" w:rsidP="006809B6">
            <w:pPr>
              <w:pStyle w:val="Tabletext"/>
              <w:ind w:left="552" w:hanging="552"/>
              <w:rPr>
                <w:lang w:val="en-US"/>
              </w:rPr>
            </w:pPr>
            <w:r>
              <w:rPr>
                <w:lang w:val="en-US"/>
              </w:rPr>
              <w:t>–</w:t>
            </w:r>
            <w:r>
              <w:rPr>
                <w:lang w:val="en-US"/>
              </w:rPr>
              <w:tab/>
            </w:r>
            <w:r w:rsidRPr="006809B6">
              <w:t>N</w:t>
            </w:r>
            <w:r w:rsidR="008407DF" w:rsidRPr="006809B6">
              <w:t>o</w:t>
            </w:r>
            <w:r w:rsidR="008407DF">
              <w:rPr>
                <w:lang w:val="en-US"/>
              </w:rPr>
              <w:t xml:space="preserve"> disponible</w:t>
            </w:r>
          </w:p>
        </w:tc>
        <w:tc>
          <w:tcPr>
            <w:tcW w:w="1927" w:type="dxa"/>
          </w:tcPr>
          <w:p w14:paraId="5FADC89E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  <w:tr w:rsidR="00E52715" w:rsidRPr="00E52715" w14:paraId="2841B57A" w14:textId="77777777" w:rsidTr="0083579A">
        <w:trPr>
          <w:jc w:val="center"/>
        </w:trPr>
        <w:tc>
          <w:tcPr>
            <w:tcW w:w="4134" w:type="dxa"/>
            <w:vAlign w:val="center"/>
          </w:tcPr>
          <w:p w14:paraId="0B6D1B92" w14:textId="02F02E4D" w:rsidR="00E52715" w:rsidRPr="00452326" w:rsidRDefault="009540FB" w:rsidP="009540FB">
            <w:pPr>
              <w:pStyle w:val="Tabletext"/>
              <w:rPr>
                <w:lang w:val="es-ES"/>
              </w:rPr>
            </w:pPr>
            <w:r w:rsidRPr="009540FB">
              <w:t xml:space="preserve">Fortalecimiento de la presencia regional </w:t>
            </w:r>
            <w:r w:rsidR="00E52715" w:rsidRPr="00452326">
              <w:rPr>
                <w:lang w:val="es-ES"/>
              </w:rPr>
              <w:t>(Res. 25)</w:t>
            </w:r>
          </w:p>
        </w:tc>
        <w:tc>
          <w:tcPr>
            <w:tcW w:w="2181" w:type="dxa"/>
          </w:tcPr>
          <w:p w14:paraId="73C7727F" w14:textId="216BA603" w:rsidR="00E52715" w:rsidRPr="00E52715" w:rsidRDefault="00A548E9" w:rsidP="00970925">
            <w:pPr>
              <w:pStyle w:val="Tabletext"/>
              <w:jc w:val="center"/>
              <w:rPr>
                <w:rFonts w:eastAsia="Times New Roman" w:cs="Times New Roman"/>
                <w:szCs w:val="20"/>
                <w:lang w:val="en-US"/>
              </w:rPr>
            </w:pPr>
            <w:hyperlink r:id="rId142" w:history="1">
              <w:r w:rsidR="00E52715" w:rsidRPr="00E52715">
                <w:rPr>
                  <w:rStyle w:val="Hyperlink"/>
                  <w:lang w:val="en-US"/>
                </w:rPr>
                <w:t>C20</w:t>
              </w:r>
              <w:r w:rsidR="00E52715" w:rsidRPr="00E52715">
                <w:rPr>
                  <w:rStyle w:val="Hyperlink"/>
                  <w:lang w:val="en-US"/>
                </w:rPr>
                <w:t>/</w:t>
              </w:r>
              <w:r w:rsidR="00E52715" w:rsidRPr="00E52715">
                <w:rPr>
                  <w:rStyle w:val="Hyperlink"/>
                  <w:lang w:val="en-US"/>
                </w:rPr>
                <w:t>25</w:t>
              </w:r>
            </w:hyperlink>
          </w:p>
        </w:tc>
        <w:tc>
          <w:tcPr>
            <w:tcW w:w="5746" w:type="dxa"/>
          </w:tcPr>
          <w:p w14:paraId="458076C3" w14:textId="10209E0A" w:rsidR="00E52715" w:rsidRPr="00E52715" w:rsidRDefault="00E52715" w:rsidP="006809B6">
            <w:pPr>
              <w:pStyle w:val="Tabletext"/>
              <w:ind w:left="552" w:hanging="552"/>
              <w:rPr>
                <w:lang w:val="en-US"/>
              </w:rPr>
            </w:pPr>
            <w:r>
              <w:rPr>
                <w:lang w:val="en-US"/>
              </w:rPr>
              <w:t>–</w:t>
            </w:r>
            <w:r>
              <w:rPr>
                <w:lang w:val="en-US"/>
              </w:rPr>
              <w:tab/>
            </w:r>
            <w:r w:rsidRPr="006809B6">
              <w:t>N</w:t>
            </w:r>
            <w:r w:rsidR="008407DF" w:rsidRPr="006809B6">
              <w:t>o</w:t>
            </w:r>
            <w:r w:rsidR="008407DF">
              <w:rPr>
                <w:lang w:val="en-US"/>
              </w:rPr>
              <w:t xml:space="preserve"> disponible</w:t>
            </w:r>
          </w:p>
        </w:tc>
        <w:tc>
          <w:tcPr>
            <w:tcW w:w="1927" w:type="dxa"/>
          </w:tcPr>
          <w:p w14:paraId="6C58DDCB" w14:textId="77777777" w:rsidR="00E52715" w:rsidRPr="00E52715" w:rsidRDefault="00E52715" w:rsidP="00970925">
            <w:pPr>
              <w:pStyle w:val="Tabletext"/>
              <w:jc w:val="center"/>
              <w:rPr>
                <w:lang w:val="en-US"/>
              </w:rPr>
            </w:pPr>
            <w:r w:rsidRPr="00E52715">
              <w:rPr>
                <w:lang w:val="en-US"/>
              </w:rPr>
              <w:t>--</w:t>
            </w:r>
          </w:p>
        </w:tc>
      </w:tr>
    </w:tbl>
    <w:p w14:paraId="7BDBBF31" w14:textId="77777777" w:rsidR="00E52715" w:rsidRPr="00E52715" w:rsidRDefault="00E52715" w:rsidP="00E52715">
      <w:pPr>
        <w:rPr>
          <w:lang w:val="fr-FR"/>
        </w:rPr>
      </w:pPr>
    </w:p>
    <w:p w14:paraId="02AB11D2" w14:textId="77777777" w:rsidR="00E52715" w:rsidRPr="00E52715" w:rsidRDefault="00E52715" w:rsidP="00E52715">
      <w:pPr>
        <w:jc w:val="center"/>
        <w:rPr>
          <w:lang w:val="en-GB"/>
        </w:rPr>
      </w:pPr>
      <w:r w:rsidRPr="00E52715">
        <w:rPr>
          <w:lang w:val="en-GB"/>
        </w:rPr>
        <w:t>_______________</w:t>
      </w:r>
    </w:p>
    <w:sectPr w:rsidR="00E52715" w:rsidRPr="00E52715" w:rsidSect="00EA182B">
      <w:headerReference w:type="first" r:id="rId143"/>
      <w:footerReference w:type="first" r:id="rId144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895C" w14:textId="77777777" w:rsidR="00264CF4" w:rsidRDefault="00264CF4">
      <w:r>
        <w:separator/>
      </w:r>
    </w:p>
  </w:endnote>
  <w:endnote w:type="continuationSeparator" w:id="0">
    <w:p w14:paraId="3863A615" w14:textId="77777777" w:rsidR="00264CF4" w:rsidRDefault="0026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C32EC" w14:textId="76DBB1AB" w:rsidR="00264CF4" w:rsidRDefault="00264CF4" w:rsidP="001F3E1E">
    <w:pPr>
      <w:pStyle w:val="Footer"/>
      <w:rPr>
        <w:lang w:val="en-US"/>
      </w:rPr>
    </w:pPr>
    <w:r>
      <w:fldChar w:fldCharType="begin"/>
    </w:r>
    <w:r w:rsidRPr="00452326">
      <w:rPr>
        <w:lang w:val="en-US"/>
      </w:rPr>
      <w:instrText xml:space="preserve"> FILENAME \p  \* MERGEFORMAT </w:instrText>
    </w:r>
    <w:r>
      <w:fldChar w:fldCharType="separate"/>
    </w:r>
    <w:r w:rsidR="003A4337">
      <w:rPr>
        <w:lang w:val="en-US"/>
      </w:rPr>
      <w:t>P:\ESP\SG\CONSEIL\C21\000\014S.docx</w:t>
    </w:r>
    <w:r>
      <w:fldChar w:fldCharType="end"/>
    </w:r>
    <w:r w:rsidRPr="00452326">
      <w:rPr>
        <w:lang w:val="en-US"/>
      </w:rPr>
      <w:t xml:space="preserve"> (483206)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05261" w14:textId="77777777" w:rsidR="00264CF4" w:rsidRDefault="00264CF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8654EDE" w14:textId="434694BD" w:rsidR="00264CF4" w:rsidRDefault="00264CF4">
    <w:pPr>
      <w:pStyle w:val="Footer"/>
      <w:rPr>
        <w:lang w:val="en-US"/>
      </w:rPr>
    </w:pPr>
    <w:r>
      <w:fldChar w:fldCharType="begin"/>
    </w:r>
    <w:r w:rsidRPr="00452326">
      <w:rPr>
        <w:lang w:val="en-US"/>
      </w:rPr>
      <w:instrText xml:space="preserve"> FILENAME \p \* MERGEFORMAT </w:instrText>
    </w:r>
    <w:r>
      <w:fldChar w:fldCharType="separate"/>
    </w:r>
    <w:r w:rsidR="003A4337">
      <w:rPr>
        <w:lang w:val="en-US"/>
      </w:rPr>
      <w:t>P:\ESP\SG\CONSEIL\C21\000\014S.docx</w:t>
    </w:r>
    <w:r>
      <w:fldChar w:fldCharType="end"/>
    </w:r>
    <w:r>
      <w:rPr>
        <w:lang w:val="en-US"/>
      </w:rPr>
      <w:t xml:space="preserve"> (483206)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A2711" w14:textId="701746FD" w:rsidR="00264CF4" w:rsidRPr="00EA182B" w:rsidRDefault="00264CF4" w:rsidP="00EA182B">
    <w:pPr>
      <w:pStyle w:val="Footer"/>
      <w:rPr>
        <w:lang w:val="en-US"/>
      </w:rPr>
    </w:pPr>
    <w:r>
      <w:fldChar w:fldCharType="begin"/>
    </w:r>
    <w:r w:rsidRPr="00452326">
      <w:rPr>
        <w:lang w:val="en-US"/>
      </w:rPr>
      <w:instrText xml:space="preserve"> FILENAME \p \* MERGEFORMAT </w:instrText>
    </w:r>
    <w:r>
      <w:fldChar w:fldCharType="separate"/>
    </w:r>
    <w:r w:rsidR="003A4337">
      <w:rPr>
        <w:lang w:val="en-US"/>
      </w:rPr>
      <w:t>P:\ESP\SG\CONSEIL\C21\000\014S.docx</w:t>
    </w:r>
    <w:r>
      <w:fldChar w:fldCharType="end"/>
    </w:r>
    <w:r>
      <w:rPr>
        <w:lang w:val="en-US"/>
      </w:rPr>
      <w:t xml:space="preserve"> (483206)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A4BA6" w14:textId="77777777" w:rsidR="00264CF4" w:rsidRDefault="00264CF4">
      <w:r>
        <w:t>____________________</w:t>
      </w:r>
    </w:p>
  </w:footnote>
  <w:footnote w:type="continuationSeparator" w:id="0">
    <w:p w14:paraId="334D75CF" w14:textId="77777777" w:rsidR="00264CF4" w:rsidRDefault="0026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5967" w14:textId="77777777" w:rsidR="00264CF4" w:rsidRDefault="00264CF4" w:rsidP="007657F0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C74C046" w14:textId="0B1591C6" w:rsidR="00264CF4" w:rsidRDefault="00264CF4" w:rsidP="00131420">
    <w:pPr>
      <w:pStyle w:val="Header"/>
      <w:spacing w:after="120"/>
    </w:pPr>
    <w:r>
      <w:t>C2</w:t>
    </w:r>
    <w:r w:rsidR="00AE174F">
      <w:t>1</w:t>
    </w:r>
    <w:r>
      <w:t>/14-S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32A34" w14:textId="77777777" w:rsidR="00264CF4" w:rsidRPr="00EA182B" w:rsidRDefault="00264CF4" w:rsidP="00EA182B">
    <w:pPr>
      <w:pStyle w:val="Header"/>
      <w:rPr>
        <w:lang w:val="en-GB"/>
      </w:rPr>
    </w:pPr>
    <w:r w:rsidRPr="00EA182B">
      <w:rPr>
        <w:lang w:val="en-GB"/>
      </w:rPr>
      <w:fldChar w:fldCharType="begin"/>
    </w:r>
    <w:r w:rsidRPr="00EA182B">
      <w:rPr>
        <w:lang w:val="en-GB"/>
      </w:rPr>
      <w:instrText>PAGE</w:instrText>
    </w:r>
    <w:r w:rsidRPr="00EA182B">
      <w:rPr>
        <w:lang w:val="en-GB"/>
      </w:rPr>
      <w:fldChar w:fldCharType="separate"/>
    </w:r>
    <w:r w:rsidRPr="00EA182B">
      <w:rPr>
        <w:lang w:val="en-GB"/>
      </w:rPr>
      <w:t>15</w:t>
    </w:r>
    <w:r w:rsidRPr="00EA182B">
      <w:fldChar w:fldCharType="end"/>
    </w:r>
  </w:p>
  <w:p w14:paraId="1CB6CAA2" w14:textId="77777777" w:rsidR="00264CF4" w:rsidRPr="00EA182B" w:rsidRDefault="00264CF4" w:rsidP="00131420">
    <w:pPr>
      <w:pStyle w:val="Header"/>
      <w:spacing w:after="120"/>
      <w:rPr>
        <w:bCs/>
        <w:lang w:val="en-GB"/>
      </w:rPr>
    </w:pPr>
    <w:r w:rsidRPr="00EA182B">
      <w:rPr>
        <w:bCs/>
        <w:lang w:val="en-GB"/>
      </w:rPr>
      <w:t>C21/14-</w:t>
    </w:r>
    <w:r>
      <w:rPr>
        <w:bCs/>
        <w:lang w:val="en-GB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62C3"/>
    <w:multiLevelType w:val="hybridMultilevel"/>
    <w:tmpl w:val="8430A718"/>
    <w:lvl w:ilvl="0" w:tplc="883E3F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13BD"/>
    <w:multiLevelType w:val="hybridMultilevel"/>
    <w:tmpl w:val="4C4EBE8C"/>
    <w:lvl w:ilvl="0" w:tplc="90A6BF2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B0155"/>
    <w:multiLevelType w:val="hybridMultilevel"/>
    <w:tmpl w:val="7716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96A"/>
    <w:multiLevelType w:val="hybridMultilevel"/>
    <w:tmpl w:val="6C6AAD02"/>
    <w:lvl w:ilvl="0" w:tplc="835607D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7E04"/>
    <w:multiLevelType w:val="hybridMultilevel"/>
    <w:tmpl w:val="6E8E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2CBE"/>
    <w:multiLevelType w:val="hybridMultilevel"/>
    <w:tmpl w:val="7250C3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07A01"/>
    <w:multiLevelType w:val="hybridMultilevel"/>
    <w:tmpl w:val="ACBA0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B556F"/>
    <w:multiLevelType w:val="hybridMultilevel"/>
    <w:tmpl w:val="A8AA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F7944"/>
    <w:multiLevelType w:val="hybridMultilevel"/>
    <w:tmpl w:val="D304C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E1070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9B"/>
    <w:rsid w:val="00085D6C"/>
    <w:rsid w:val="00091E10"/>
    <w:rsid w:val="00093EEB"/>
    <w:rsid w:val="000B0D00"/>
    <w:rsid w:val="000B7C15"/>
    <w:rsid w:val="000D1D0F"/>
    <w:rsid w:val="000F5290"/>
    <w:rsid w:val="0010165C"/>
    <w:rsid w:val="00105DB2"/>
    <w:rsid w:val="00117644"/>
    <w:rsid w:val="00131420"/>
    <w:rsid w:val="00141016"/>
    <w:rsid w:val="00146BFB"/>
    <w:rsid w:val="00173D6F"/>
    <w:rsid w:val="00186BE5"/>
    <w:rsid w:val="001959AA"/>
    <w:rsid w:val="001A5A30"/>
    <w:rsid w:val="001F14A2"/>
    <w:rsid w:val="001F3E1E"/>
    <w:rsid w:val="00222144"/>
    <w:rsid w:val="00223007"/>
    <w:rsid w:val="00264CF4"/>
    <w:rsid w:val="002801AA"/>
    <w:rsid w:val="0029159B"/>
    <w:rsid w:val="002C4676"/>
    <w:rsid w:val="002C70B0"/>
    <w:rsid w:val="002F3CC4"/>
    <w:rsid w:val="00381A36"/>
    <w:rsid w:val="00393827"/>
    <w:rsid w:val="003A4337"/>
    <w:rsid w:val="004258B8"/>
    <w:rsid w:val="00452326"/>
    <w:rsid w:val="00457E6D"/>
    <w:rsid w:val="00466160"/>
    <w:rsid w:val="00496A5E"/>
    <w:rsid w:val="004A05B1"/>
    <w:rsid w:val="004D68CD"/>
    <w:rsid w:val="004E0909"/>
    <w:rsid w:val="00513630"/>
    <w:rsid w:val="00560125"/>
    <w:rsid w:val="005629F4"/>
    <w:rsid w:val="00585553"/>
    <w:rsid w:val="00593494"/>
    <w:rsid w:val="005A7500"/>
    <w:rsid w:val="005B34D9"/>
    <w:rsid w:val="005D0CCF"/>
    <w:rsid w:val="005F3BCB"/>
    <w:rsid w:val="005F410F"/>
    <w:rsid w:val="005F79A6"/>
    <w:rsid w:val="0060149A"/>
    <w:rsid w:val="00601924"/>
    <w:rsid w:val="00602A80"/>
    <w:rsid w:val="006447EA"/>
    <w:rsid w:val="00646A5B"/>
    <w:rsid w:val="0064731F"/>
    <w:rsid w:val="00664572"/>
    <w:rsid w:val="006710F6"/>
    <w:rsid w:val="006809B6"/>
    <w:rsid w:val="0068786C"/>
    <w:rsid w:val="00695F8F"/>
    <w:rsid w:val="006C1B56"/>
    <w:rsid w:val="006D4761"/>
    <w:rsid w:val="006E19D2"/>
    <w:rsid w:val="0072320A"/>
    <w:rsid w:val="00726872"/>
    <w:rsid w:val="00760F1C"/>
    <w:rsid w:val="007657F0"/>
    <w:rsid w:val="0077252D"/>
    <w:rsid w:val="00786399"/>
    <w:rsid w:val="007955DA"/>
    <w:rsid w:val="007E5DD3"/>
    <w:rsid w:val="007F350B"/>
    <w:rsid w:val="00820BE4"/>
    <w:rsid w:val="00830ABF"/>
    <w:rsid w:val="0083579A"/>
    <w:rsid w:val="008407DF"/>
    <w:rsid w:val="008451E8"/>
    <w:rsid w:val="00900447"/>
    <w:rsid w:val="009118A8"/>
    <w:rsid w:val="00913B9C"/>
    <w:rsid w:val="00922B61"/>
    <w:rsid w:val="00931321"/>
    <w:rsid w:val="0095200E"/>
    <w:rsid w:val="009540FB"/>
    <w:rsid w:val="00956E77"/>
    <w:rsid w:val="00970925"/>
    <w:rsid w:val="009915D8"/>
    <w:rsid w:val="009D6084"/>
    <w:rsid w:val="009D6E5F"/>
    <w:rsid w:val="009E3E7F"/>
    <w:rsid w:val="009F4811"/>
    <w:rsid w:val="00A548E9"/>
    <w:rsid w:val="00AA390C"/>
    <w:rsid w:val="00AD79AB"/>
    <w:rsid w:val="00AE174F"/>
    <w:rsid w:val="00B0200A"/>
    <w:rsid w:val="00B133C5"/>
    <w:rsid w:val="00B574DB"/>
    <w:rsid w:val="00B826C2"/>
    <w:rsid w:val="00B82945"/>
    <w:rsid w:val="00B8298E"/>
    <w:rsid w:val="00BD0723"/>
    <w:rsid w:val="00BD11FA"/>
    <w:rsid w:val="00BD2518"/>
    <w:rsid w:val="00BE5CEE"/>
    <w:rsid w:val="00BF1D1C"/>
    <w:rsid w:val="00C03BB4"/>
    <w:rsid w:val="00C20765"/>
    <w:rsid w:val="00C20C59"/>
    <w:rsid w:val="00C2727F"/>
    <w:rsid w:val="00C323CB"/>
    <w:rsid w:val="00C55B1F"/>
    <w:rsid w:val="00C96AF7"/>
    <w:rsid w:val="00CC1EB6"/>
    <w:rsid w:val="00CD784B"/>
    <w:rsid w:val="00CE57F7"/>
    <w:rsid w:val="00CF1A67"/>
    <w:rsid w:val="00D17213"/>
    <w:rsid w:val="00D2750E"/>
    <w:rsid w:val="00D57908"/>
    <w:rsid w:val="00D62446"/>
    <w:rsid w:val="00D624A9"/>
    <w:rsid w:val="00D779D2"/>
    <w:rsid w:val="00DA41A5"/>
    <w:rsid w:val="00DA4EA2"/>
    <w:rsid w:val="00DB580A"/>
    <w:rsid w:val="00DC3D3E"/>
    <w:rsid w:val="00DC744A"/>
    <w:rsid w:val="00DE2C90"/>
    <w:rsid w:val="00DE3B24"/>
    <w:rsid w:val="00E039AA"/>
    <w:rsid w:val="00E06947"/>
    <w:rsid w:val="00E127DF"/>
    <w:rsid w:val="00E16BD6"/>
    <w:rsid w:val="00E21960"/>
    <w:rsid w:val="00E3224E"/>
    <w:rsid w:val="00E3592D"/>
    <w:rsid w:val="00E52715"/>
    <w:rsid w:val="00E65132"/>
    <w:rsid w:val="00E92052"/>
    <w:rsid w:val="00E92DE8"/>
    <w:rsid w:val="00EA182B"/>
    <w:rsid w:val="00EB1212"/>
    <w:rsid w:val="00EC5B3F"/>
    <w:rsid w:val="00ED65AB"/>
    <w:rsid w:val="00F12850"/>
    <w:rsid w:val="00F147E6"/>
    <w:rsid w:val="00F33BF4"/>
    <w:rsid w:val="00F34551"/>
    <w:rsid w:val="00F4016F"/>
    <w:rsid w:val="00F7105E"/>
    <w:rsid w:val="00F75F57"/>
    <w:rsid w:val="00F82FEE"/>
    <w:rsid w:val="00F90BFF"/>
    <w:rsid w:val="00FD1C97"/>
    <w:rsid w:val="00FD57D3"/>
    <w:rsid w:val="00FF11BD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EC9372"/>
  <w15:docId w15:val="{40731E27-B1E3-4CAC-B412-6FB1725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A182B"/>
    <w:rPr>
      <w:color w:val="605E5C"/>
      <w:shd w:val="clear" w:color="auto" w:fill="E1DFDD"/>
    </w:rPr>
  </w:style>
  <w:style w:type="paragraph" w:customStyle="1" w:styleId="Object">
    <w:name w:val="Object"/>
    <w:basedOn w:val="Subject"/>
    <w:next w:val="Subject"/>
    <w:rsid w:val="00E52715"/>
    <w:pPr>
      <w:tabs>
        <w:tab w:val="clear" w:pos="709"/>
      </w:tabs>
      <w:ind w:left="1134" w:hanging="1134"/>
    </w:pPr>
    <w:rPr>
      <w:lang w:val="en-GB"/>
    </w:rPr>
  </w:style>
  <w:style w:type="paragraph" w:styleId="NoSpacing">
    <w:name w:val="No Spacing"/>
    <w:uiPriority w:val="1"/>
    <w:qFormat/>
    <w:rsid w:val="00E527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7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715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uiPriority w:val="59"/>
    <w:rsid w:val="00E5271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7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E5271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271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5271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0-CL-C-0012/es" TargetMode="External"/><Relationship Id="rId21" Type="http://schemas.openxmlformats.org/officeDocument/2006/relationships/hyperlink" Target="https://www.itu.int/md/S20-CLVC-C-0001/es" TargetMode="External"/><Relationship Id="rId42" Type="http://schemas.openxmlformats.org/officeDocument/2006/relationships/hyperlink" Target="https://www.itu.int/md/S20-CLVC-200609-TD-0001/es" TargetMode="External"/><Relationship Id="rId63" Type="http://schemas.openxmlformats.org/officeDocument/2006/relationships/hyperlink" Target="https://www.itu.int/dms_pub/itu-s/md/20/sg/cir/S20-SG-CIR-0051!!PDF-S.pdf" TargetMode="External"/><Relationship Id="rId84" Type="http://schemas.openxmlformats.org/officeDocument/2006/relationships/hyperlink" Target="https://www.itu.int/md/S20-CL-C-0040/es" TargetMode="External"/><Relationship Id="rId138" Type="http://schemas.openxmlformats.org/officeDocument/2006/relationships/hyperlink" Target="https://www.itu.int/md/S20-CL-C-0061/es" TargetMode="External"/><Relationship Id="rId107" Type="http://schemas.openxmlformats.org/officeDocument/2006/relationships/hyperlink" Target="https://www.itu.int/md/S20-CL-C-0078/es" TargetMode="External"/><Relationship Id="rId11" Type="http://schemas.openxmlformats.org/officeDocument/2006/relationships/hyperlink" Target="https://www.itu.int/md/S20-SG-CIR-0040/es" TargetMode="External"/><Relationship Id="rId32" Type="http://schemas.openxmlformats.org/officeDocument/2006/relationships/hyperlink" Target="https://www.itu.int/md/S20-CLVC-200609-TD-0002/es" TargetMode="External"/><Relationship Id="rId53" Type="http://schemas.openxmlformats.org/officeDocument/2006/relationships/hyperlink" Target="https://www.itu.int/md/S20-CL-C-0062/es" TargetMode="External"/><Relationship Id="rId74" Type="http://schemas.openxmlformats.org/officeDocument/2006/relationships/hyperlink" Target="https://www.itu.int/md/S20-CLVC2-C-0003/es" TargetMode="External"/><Relationship Id="rId128" Type="http://schemas.openxmlformats.org/officeDocument/2006/relationships/hyperlink" Target="https://www.itu.int/md/S20-CL-C-0085/e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0-CL-C-0024/es" TargetMode="External"/><Relationship Id="rId95" Type="http://schemas.openxmlformats.org/officeDocument/2006/relationships/hyperlink" Target="https://www.itu.int/md/S20-CLVC2-C-0004/es" TargetMode="External"/><Relationship Id="rId22" Type="http://schemas.openxmlformats.org/officeDocument/2006/relationships/hyperlink" Target="https://www.itu.int/md/S20-CLVC-ADM-0001/es" TargetMode="External"/><Relationship Id="rId27" Type="http://schemas.openxmlformats.org/officeDocument/2006/relationships/hyperlink" Target="https://www.itu.int/md/S20-CLVC-C-0005/es" TargetMode="External"/><Relationship Id="rId43" Type="http://schemas.openxmlformats.org/officeDocument/2006/relationships/hyperlink" Target="https://www.itu.int/md/S20-CL-C-0049/es" TargetMode="External"/><Relationship Id="rId48" Type="http://schemas.openxmlformats.org/officeDocument/2006/relationships/hyperlink" Target="https://www.itu.int/md/S20-CLVC-200609-TD-0001/es" TargetMode="External"/><Relationship Id="rId64" Type="http://schemas.openxmlformats.org/officeDocument/2006/relationships/hyperlink" Target="https://www.itu.int/md/S20-CLVC2-C-0001/es" TargetMode="External"/><Relationship Id="rId69" Type="http://schemas.openxmlformats.org/officeDocument/2006/relationships/hyperlink" Target="https://www.itu.int/md/S20-CL-C-0068/es" TargetMode="External"/><Relationship Id="rId113" Type="http://schemas.openxmlformats.org/officeDocument/2006/relationships/hyperlink" Target="https://www.itu.int/md/S20-CL-INF-0020/es" TargetMode="External"/><Relationship Id="rId118" Type="http://schemas.openxmlformats.org/officeDocument/2006/relationships/hyperlink" Target="https://www.itu.int/md/S20-CL-C-0067/es" TargetMode="External"/><Relationship Id="rId134" Type="http://schemas.openxmlformats.org/officeDocument/2006/relationships/hyperlink" Target="https://www.itu.int/md/S20-CLVC2-C-0006/es" TargetMode="External"/><Relationship Id="rId139" Type="http://schemas.openxmlformats.org/officeDocument/2006/relationships/hyperlink" Target="https://www.itu.int/md/S20-CL-C-0039/es" TargetMode="External"/><Relationship Id="rId80" Type="http://schemas.openxmlformats.org/officeDocument/2006/relationships/hyperlink" Target="https://www.itu.int/md/S20-CLVC2-201116-TD-0001/es" TargetMode="External"/><Relationship Id="rId85" Type="http://schemas.openxmlformats.org/officeDocument/2006/relationships/hyperlink" Target="https://www.itu.int/md/S20-CL-C-0044/es" TargetMode="External"/><Relationship Id="rId12" Type="http://schemas.openxmlformats.org/officeDocument/2006/relationships/hyperlink" Target="https://www.itu.int/md/S20-CLVC2-201116-TD-0001/es" TargetMode="External"/><Relationship Id="rId17" Type="http://schemas.openxmlformats.org/officeDocument/2006/relationships/footer" Target="footer2.xml"/><Relationship Id="rId33" Type="http://schemas.openxmlformats.org/officeDocument/2006/relationships/hyperlink" Target="https://www.itu.int/md/S20-CL-C-0070/es" TargetMode="External"/><Relationship Id="rId38" Type="http://schemas.openxmlformats.org/officeDocument/2006/relationships/hyperlink" Target="https://www.itu.int/md/S20-CL-C-0055/es" TargetMode="External"/><Relationship Id="rId59" Type="http://schemas.openxmlformats.org/officeDocument/2006/relationships/hyperlink" Target="https://www.itu.int/md/S20-CLVC-C-0002/es" TargetMode="External"/><Relationship Id="rId103" Type="http://schemas.openxmlformats.org/officeDocument/2006/relationships/hyperlink" Target="https://www.itu.int/md/S20-CLVC2-201116-TD-0001/es" TargetMode="External"/><Relationship Id="rId108" Type="http://schemas.openxmlformats.org/officeDocument/2006/relationships/hyperlink" Target="https://www.itu.int/md/S20-CLVC-C-0008/es" TargetMode="External"/><Relationship Id="rId124" Type="http://schemas.openxmlformats.org/officeDocument/2006/relationships/hyperlink" Target="https://www.itu.int/md/S20-CL-C-0010/es" TargetMode="External"/><Relationship Id="rId129" Type="http://schemas.openxmlformats.org/officeDocument/2006/relationships/hyperlink" Target="https://www.itu.int/md/S20-CL-C-0074/es" TargetMode="External"/><Relationship Id="rId54" Type="http://schemas.openxmlformats.org/officeDocument/2006/relationships/hyperlink" Target="https://www.itu.int/md/S20-CLVC-C-0003/es" TargetMode="External"/><Relationship Id="rId70" Type="http://schemas.openxmlformats.org/officeDocument/2006/relationships/hyperlink" Target="https://www.itu.int/md/S20-CL-C-0050/es" TargetMode="External"/><Relationship Id="rId75" Type="http://schemas.openxmlformats.org/officeDocument/2006/relationships/hyperlink" Target="https://www.itu.int/md/S20-CLVC2-C-0002/es" TargetMode="External"/><Relationship Id="rId91" Type="http://schemas.openxmlformats.org/officeDocument/2006/relationships/hyperlink" Target="https://www.itu.int/md/S20-CL-C-0072/es" TargetMode="External"/><Relationship Id="rId96" Type="http://schemas.openxmlformats.org/officeDocument/2006/relationships/hyperlink" Target="https://www.itu.int/md/S20-CLVC2-C-0007/es" TargetMode="External"/><Relationship Id="rId140" Type="http://schemas.openxmlformats.org/officeDocument/2006/relationships/hyperlink" Target="https://www.itu.int/md/S20-CL-C-0019/es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0-CL-C-0017/es" TargetMode="External"/><Relationship Id="rId28" Type="http://schemas.openxmlformats.org/officeDocument/2006/relationships/hyperlink" Target="https://www.itu.int/md/S20-CL-C-0030/es" TargetMode="External"/><Relationship Id="rId49" Type="http://schemas.openxmlformats.org/officeDocument/2006/relationships/hyperlink" Target="https://www.itu.int/md/S20-CL-C-0007/es" TargetMode="External"/><Relationship Id="rId114" Type="http://schemas.openxmlformats.org/officeDocument/2006/relationships/hyperlink" Target="https://www.itu.int/md/S20-CL-INF-0021/es" TargetMode="External"/><Relationship Id="rId119" Type="http://schemas.openxmlformats.org/officeDocument/2006/relationships/hyperlink" Target="https://www.itu.int/md/S20-CL-C-0008/es" TargetMode="External"/><Relationship Id="rId44" Type="http://schemas.openxmlformats.org/officeDocument/2006/relationships/hyperlink" Target="https://www.itu.int/md/S20-CL-C-0060/es" TargetMode="External"/><Relationship Id="rId60" Type="http://schemas.openxmlformats.org/officeDocument/2006/relationships/hyperlink" Target="https://www.itu.int/md/S20-CLVC-C-0010/es" TargetMode="External"/><Relationship Id="rId65" Type="http://schemas.openxmlformats.org/officeDocument/2006/relationships/hyperlink" Target="https://www.itu.int/md/S20-CLVC2-C-0005/es" TargetMode="External"/><Relationship Id="rId81" Type="http://schemas.openxmlformats.org/officeDocument/2006/relationships/hyperlink" Target="https://www.itu.int/md/S20-CL-C-0005/es" TargetMode="External"/><Relationship Id="rId86" Type="http://schemas.openxmlformats.org/officeDocument/2006/relationships/hyperlink" Target="https://www.itu.int/md/S20-CL-C-0022/es" TargetMode="External"/><Relationship Id="rId130" Type="http://schemas.openxmlformats.org/officeDocument/2006/relationships/hyperlink" Target="https://www.itu.int/md/S20-CL-C-0075/es" TargetMode="External"/><Relationship Id="rId135" Type="http://schemas.openxmlformats.org/officeDocument/2006/relationships/hyperlink" Target="https://www.itu.int/md/S20-CL-INF-0022/es" TargetMode="External"/><Relationship Id="rId13" Type="http://schemas.openxmlformats.org/officeDocument/2006/relationships/hyperlink" Target="https://www.itu.int/md/S20-DM-CIR-01022/es" TargetMode="External"/><Relationship Id="rId18" Type="http://schemas.openxmlformats.org/officeDocument/2006/relationships/hyperlink" Target="https://www.itu.int/md/S20-CLVC-200609-TD-0001/es" TargetMode="External"/><Relationship Id="rId39" Type="http://schemas.openxmlformats.org/officeDocument/2006/relationships/hyperlink" Target="https://www.itu.int/md/S20-CL-C-0069/es" TargetMode="External"/><Relationship Id="rId109" Type="http://schemas.openxmlformats.org/officeDocument/2006/relationships/hyperlink" Target="https://www.itu.int/md/S20-CL-C-0049/es" TargetMode="External"/><Relationship Id="rId34" Type="http://schemas.openxmlformats.org/officeDocument/2006/relationships/hyperlink" Target="https://www.itu.int/md/S20-CL-C-0027/es" TargetMode="External"/><Relationship Id="rId50" Type="http://schemas.openxmlformats.org/officeDocument/2006/relationships/hyperlink" Target="https://www.itu.int/md/S20-CL-C-0048/es" TargetMode="External"/><Relationship Id="rId55" Type="http://schemas.openxmlformats.org/officeDocument/2006/relationships/hyperlink" Target="https://www.itu.int/md/S20-CLVC-C-0014/es" TargetMode="External"/><Relationship Id="rId76" Type="http://schemas.openxmlformats.org/officeDocument/2006/relationships/hyperlink" Target="https://www.itu.int/md/S20-CLVC2-C-0004/es" TargetMode="External"/><Relationship Id="rId97" Type="http://schemas.openxmlformats.org/officeDocument/2006/relationships/hyperlink" Target="https://www.itu.int/md/S20-CLVC2-C-0008/es" TargetMode="External"/><Relationship Id="rId104" Type="http://schemas.openxmlformats.org/officeDocument/2006/relationships/hyperlink" Target="https://www.itu.int/md/S20-CL-C-0023/es" TargetMode="External"/><Relationship Id="rId120" Type="http://schemas.openxmlformats.org/officeDocument/2006/relationships/hyperlink" Target="https://www.itu.int/md/S20-CL-C-0051/es" TargetMode="External"/><Relationship Id="rId125" Type="http://schemas.openxmlformats.org/officeDocument/2006/relationships/hyperlink" Target="https://www.itu.int/md/S20-CL-C-0011/es" TargetMode="External"/><Relationship Id="rId141" Type="http://schemas.openxmlformats.org/officeDocument/2006/relationships/hyperlink" Target="https://www.itu.int/md/S20-CL-C-0019/es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0-CL-C-0079/es" TargetMode="External"/><Relationship Id="rId92" Type="http://schemas.openxmlformats.org/officeDocument/2006/relationships/hyperlink" Target="https://www.itu.int/md/S20-CL-C-0072/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0-CL-C-0005/es" TargetMode="External"/><Relationship Id="rId24" Type="http://schemas.openxmlformats.org/officeDocument/2006/relationships/hyperlink" Target="https://www.itu.int/md/S20-CL-C-0068/es" TargetMode="External"/><Relationship Id="rId40" Type="http://schemas.openxmlformats.org/officeDocument/2006/relationships/hyperlink" Target="https://www.itu.int/md/S20-CL-C-0014/es" TargetMode="External"/><Relationship Id="rId45" Type="http://schemas.openxmlformats.org/officeDocument/2006/relationships/hyperlink" Target="https://www.itu.int/md/S20-CLVC-C-0008/es" TargetMode="External"/><Relationship Id="rId66" Type="http://schemas.openxmlformats.org/officeDocument/2006/relationships/hyperlink" Target="https://www.itu.int/md/S20-CLVC2-ADM-0001/es" TargetMode="External"/><Relationship Id="rId87" Type="http://schemas.openxmlformats.org/officeDocument/2006/relationships/hyperlink" Target="https://www.itu.int/md/S20-CL-C-0063/es" TargetMode="External"/><Relationship Id="rId110" Type="http://schemas.openxmlformats.org/officeDocument/2006/relationships/hyperlink" Target="https://www.itu.int/md/S20-CL-C-0083/es" TargetMode="External"/><Relationship Id="rId115" Type="http://schemas.openxmlformats.org/officeDocument/2006/relationships/hyperlink" Target="https://www.itu.int/md/S20-CL-C-0048/es" TargetMode="External"/><Relationship Id="rId131" Type="http://schemas.openxmlformats.org/officeDocument/2006/relationships/hyperlink" Target="https://www.itu.int/md/S20-CLVC-C-0013/es" TargetMode="External"/><Relationship Id="rId136" Type="http://schemas.openxmlformats.org/officeDocument/2006/relationships/hyperlink" Target="https://www.itu.int/md/S20-CL-C-0053/es" TargetMode="External"/><Relationship Id="rId61" Type="http://schemas.openxmlformats.org/officeDocument/2006/relationships/hyperlink" Target="https://www.itu.int/md/S20-CLVC2-201116-TD-0001/es" TargetMode="External"/><Relationship Id="rId82" Type="http://schemas.openxmlformats.org/officeDocument/2006/relationships/hyperlink" Target="https://www.itu.int/md/S20-CL-C-0042/es" TargetMode="External"/><Relationship Id="rId19" Type="http://schemas.openxmlformats.org/officeDocument/2006/relationships/hyperlink" Target="https://www.itu.int/md/S20-DM-CIR-01011/es" TargetMode="External"/><Relationship Id="rId14" Type="http://schemas.openxmlformats.org/officeDocument/2006/relationships/hyperlink" Target="https://www.itu.int/dms_pub/itu-s/md/20/sg/cir/S20-SG-CIR-0051!!PDF-S.pdf" TargetMode="External"/><Relationship Id="rId30" Type="http://schemas.openxmlformats.org/officeDocument/2006/relationships/hyperlink" Target="https://www.itu.int/md/S20-CLVC-200609-TD-0001/es" TargetMode="External"/><Relationship Id="rId35" Type="http://schemas.openxmlformats.org/officeDocument/2006/relationships/hyperlink" Target="https://www.itu.int/md/S20-CLVC-C-0011/es" TargetMode="External"/><Relationship Id="rId56" Type="http://schemas.openxmlformats.org/officeDocument/2006/relationships/hyperlink" Target="https://www.itu.int/md/S20-CL-C-0021/es" TargetMode="External"/><Relationship Id="rId77" Type="http://schemas.openxmlformats.org/officeDocument/2006/relationships/hyperlink" Target="https://www.itu.int/md/S20-CLVC2-C-0007/es" TargetMode="External"/><Relationship Id="rId100" Type="http://schemas.openxmlformats.org/officeDocument/2006/relationships/hyperlink" Target="https://www.itu.int/md/S20-CL-C-0081/es" TargetMode="External"/><Relationship Id="rId105" Type="http://schemas.openxmlformats.org/officeDocument/2006/relationships/hyperlink" Target="https://www.itu.int/md/S20-CL-C-0082/es" TargetMode="External"/><Relationship Id="rId126" Type="http://schemas.openxmlformats.org/officeDocument/2006/relationships/hyperlink" Target="https://www.itu.int/md/S20-CL-C-0084/e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0-CL-C-0002/es" TargetMode="External"/><Relationship Id="rId72" Type="http://schemas.openxmlformats.org/officeDocument/2006/relationships/hyperlink" Target="https://www.itu.int/md/S20-CL-C-0024/es" TargetMode="External"/><Relationship Id="rId93" Type="http://schemas.openxmlformats.org/officeDocument/2006/relationships/hyperlink" Target="https://www.itu.int/md/S20-CLVC2-C-0003/es" TargetMode="External"/><Relationship Id="rId98" Type="http://schemas.openxmlformats.org/officeDocument/2006/relationships/hyperlink" Target="https://www.itu.int/md/S20-CLVC2-C-0009/es" TargetMode="External"/><Relationship Id="rId121" Type="http://schemas.openxmlformats.org/officeDocument/2006/relationships/hyperlink" Target="https://www.itu.int/md/S20-CL-C-0057/es" TargetMode="External"/><Relationship Id="rId142" Type="http://schemas.openxmlformats.org/officeDocument/2006/relationships/hyperlink" Target="https://www.itu.int/md/S20-CL-C-0025/e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0-CL-C-0024/es" TargetMode="External"/><Relationship Id="rId46" Type="http://schemas.openxmlformats.org/officeDocument/2006/relationships/hyperlink" Target="https://www.itu.int/md/S20-CL-C-0007/es" TargetMode="External"/><Relationship Id="rId67" Type="http://schemas.openxmlformats.org/officeDocument/2006/relationships/hyperlink" Target="https://www.itu.int/md/S20-CL-C-0021/es" TargetMode="External"/><Relationship Id="rId116" Type="http://schemas.openxmlformats.org/officeDocument/2006/relationships/hyperlink" Target="https://www.itu.int/md/S20-CL-C-0029/es" TargetMode="External"/><Relationship Id="rId137" Type="http://schemas.openxmlformats.org/officeDocument/2006/relationships/hyperlink" Target="https://www.itu.int/md/S20-CL-C-0014/es" TargetMode="External"/><Relationship Id="rId20" Type="http://schemas.openxmlformats.org/officeDocument/2006/relationships/hyperlink" Target="https://www.itu.int/md/S20-SG-CIR-0040/es" TargetMode="External"/><Relationship Id="rId41" Type="http://schemas.openxmlformats.org/officeDocument/2006/relationships/hyperlink" Target="https://www.itu.int/md/S20-CL-C-0041/es" TargetMode="External"/><Relationship Id="rId62" Type="http://schemas.openxmlformats.org/officeDocument/2006/relationships/hyperlink" Target="https://www.itu.int/md/S20-DM-CIR-01022/es" TargetMode="External"/><Relationship Id="rId83" Type="http://schemas.openxmlformats.org/officeDocument/2006/relationships/hyperlink" Target="https://www.itu.int/md/S20-CL-C-0080/es" TargetMode="External"/><Relationship Id="rId88" Type="http://schemas.openxmlformats.org/officeDocument/2006/relationships/hyperlink" Target="https://www.itu.int/md/S20-CLVC2-201116-TD-0001/es" TargetMode="External"/><Relationship Id="rId111" Type="http://schemas.openxmlformats.org/officeDocument/2006/relationships/hyperlink" Target="https://www.itu.int/md/S20-CL-C-0007/es" TargetMode="External"/><Relationship Id="rId132" Type="http://schemas.openxmlformats.org/officeDocument/2006/relationships/hyperlink" Target="https://www.itu.int/md/S20-CLVC-C-0002/es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itu.int/md/S20-CLVC-C-0009/es" TargetMode="External"/><Relationship Id="rId57" Type="http://schemas.openxmlformats.org/officeDocument/2006/relationships/hyperlink" Target="https://www.itu.int/md/S20-CL-C-0037/es" TargetMode="External"/><Relationship Id="rId106" Type="http://schemas.openxmlformats.org/officeDocument/2006/relationships/hyperlink" Target="https://www.itu.int/md/S20-CL-C-0060/es" TargetMode="External"/><Relationship Id="rId127" Type="http://schemas.openxmlformats.org/officeDocument/2006/relationships/hyperlink" Target="https://www.itu.int/md/S20-CL-C-0073/es" TargetMode="External"/><Relationship Id="rId10" Type="http://schemas.openxmlformats.org/officeDocument/2006/relationships/hyperlink" Target="https://www.itu.int/md/S20-DM-CIR-01011/es" TargetMode="External"/><Relationship Id="rId31" Type="http://schemas.openxmlformats.org/officeDocument/2006/relationships/hyperlink" Target="https://www.itu.int/md/S20-CL-C-0016/es" TargetMode="External"/><Relationship Id="rId52" Type="http://schemas.openxmlformats.org/officeDocument/2006/relationships/hyperlink" Target="https://www.itu.int/md/S20-CL-C-0071/es" TargetMode="External"/><Relationship Id="rId73" Type="http://schemas.openxmlformats.org/officeDocument/2006/relationships/hyperlink" Target="https://www.itu.int/md/S20-CL-C-0072/es" TargetMode="External"/><Relationship Id="rId78" Type="http://schemas.openxmlformats.org/officeDocument/2006/relationships/hyperlink" Target="https://www.itu.int/md/S20-CLVC2-C-0008/es" TargetMode="External"/><Relationship Id="rId94" Type="http://schemas.openxmlformats.org/officeDocument/2006/relationships/hyperlink" Target="https://www.itu.int/md/S20-CLVC2-C-0002/es" TargetMode="External"/><Relationship Id="rId99" Type="http://schemas.openxmlformats.org/officeDocument/2006/relationships/hyperlink" Target="https://www.itu.int/md/S20-CL-C-0005/es" TargetMode="External"/><Relationship Id="rId101" Type="http://schemas.openxmlformats.org/officeDocument/2006/relationships/hyperlink" Target="https://www.itu.int/md/S20-CL-C-0037/es" TargetMode="External"/><Relationship Id="rId122" Type="http://schemas.openxmlformats.org/officeDocument/2006/relationships/hyperlink" Target="https://www.itu.int/md/S20-CLVC2-201116-TD-0001/es" TargetMode="External"/><Relationship Id="rId14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-200609-TD-0001/es" TargetMode="External"/><Relationship Id="rId26" Type="http://schemas.openxmlformats.org/officeDocument/2006/relationships/hyperlink" Target="https://www.itu.int/md/S20-CL-C-0072/es" TargetMode="External"/><Relationship Id="rId47" Type="http://schemas.openxmlformats.org/officeDocument/2006/relationships/hyperlink" Target="https://www.itu.int/md/S20-CL-C-0048/es" TargetMode="External"/><Relationship Id="rId68" Type="http://schemas.openxmlformats.org/officeDocument/2006/relationships/hyperlink" Target="https://www.itu.int/md/S20-CL-C-0017/es" TargetMode="External"/><Relationship Id="rId89" Type="http://schemas.openxmlformats.org/officeDocument/2006/relationships/hyperlink" Target="https://www.itu.int/md/S20-CL-C-0030/es" TargetMode="External"/><Relationship Id="rId112" Type="http://schemas.openxmlformats.org/officeDocument/2006/relationships/hyperlink" Target="https://www.itu.int/md/S20-CL-C-0077/es" TargetMode="External"/><Relationship Id="rId133" Type="http://schemas.openxmlformats.org/officeDocument/2006/relationships/hyperlink" Target="https://www.itu.int/md/S20-CLVC-C-0010/es" TargetMode="External"/><Relationship Id="rId16" Type="http://schemas.openxmlformats.org/officeDocument/2006/relationships/footer" Target="footer1.xml"/><Relationship Id="rId37" Type="http://schemas.openxmlformats.org/officeDocument/2006/relationships/hyperlink" Target="https://www.itu.int/md/S20-CL-C-0056/es" TargetMode="External"/><Relationship Id="rId58" Type="http://schemas.openxmlformats.org/officeDocument/2006/relationships/hyperlink" Target="https://www.itu.int/md/S20-CLVC-C-0013/es" TargetMode="External"/><Relationship Id="rId79" Type="http://schemas.openxmlformats.org/officeDocument/2006/relationships/hyperlink" Target="https://www.itu.int/md/S20-CLVC2-C-0009/es" TargetMode="External"/><Relationship Id="rId102" Type="http://schemas.openxmlformats.org/officeDocument/2006/relationships/hyperlink" Target="https://www.itu.int/md/S20-CL-C-0023/es" TargetMode="External"/><Relationship Id="rId123" Type="http://schemas.openxmlformats.org/officeDocument/2006/relationships/hyperlink" Target="https://www.itu.int/md/S20-CLVC2-201116-TD-0003/es" TargetMode="External"/><Relationship Id="rId14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ACE34-F7B4-48F3-98EE-B2CA5364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26</Pages>
  <Words>5838</Words>
  <Characters>38088</Characters>
  <Application>Microsoft Office Word</Application>
  <DocSecurity>0</DocSecurity>
  <Lines>317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43839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Spanish83</cp:lastModifiedBy>
  <cp:revision>21</cp:revision>
  <cp:lastPrinted>2006-03-24T09:51:00Z</cp:lastPrinted>
  <dcterms:created xsi:type="dcterms:W3CDTF">2021-03-17T15:30:00Z</dcterms:created>
  <dcterms:modified xsi:type="dcterms:W3CDTF">2021-03-18T15:28:00Z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