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26D50342" w:rsidR="002A2188" w:rsidRPr="0080253C" w:rsidRDefault="0080253C" w:rsidP="00BF4FAD">
            <w:pPr>
              <w:spacing w:before="360" w:after="48" w:line="240" w:lineRule="atLeast"/>
              <w:rPr>
                <w:position w:val="6"/>
              </w:rPr>
            </w:pPr>
            <w:bookmarkStart w:id="0" w:name="dc06"/>
            <w:bookmarkEnd w:id="0"/>
            <w:r w:rsidRPr="0080253C">
              <w:rPr>
                <w:b/>
                <w:bCs/>
                <w:position w:val="6"/>
                <w:sz w:val="30"/>
                <w:szCs w:val="30"/>
              </w:rPr>
              <w:t>Council 2021</w:t>
            </w:r>
            <w:r w:rsidRPr="0080253C">
              <w:rPr>
                <w:b/>
                <w:bCs/>
                <w:position w:val="6"/>
                <w:sz w:val="30"/>
                <w:szCs w:val="30"/>
              </w:rPr>
              <w:br/>
            </w:r>
            <w:r w:rsidRPr="0080253C">
              <w:rPr>
                <w:b/>
                <w:bCs/>
                <w:position w:val="6"/>
                <w:sz w:val="28"/>
                <w:szCs w:val="28"/>
              </w:rPr>
              <w:t>Virtual consultation of councillors, 8-18 June 2021</w:t>
            </w:r>
          </w:p>
        </w:tc>
        <w:tc>
          <w:tcPr>
            <w:tcW w:w="3120" w:type="dxa"/>
          </w:tcPr>
          <w:p w14:paraId="70FEFD32" w14:textId="538B3567" w:rsidR="002A2188" w:rsidRPr="00DA050C" w:rsidRDefault="0080253C" w:rsidP="003D4E18">
            <w:pPr>
              <w:spacing w:before="0" w:line="240" w:lineRule="atLeast"/>
              <w:rPr>
                <w:lang w:val="en-US"/>
              </w:rPr>
            </w:pPr>
            <w:bookmarkStart w:id="1" w:name="ditulogo"/>
            <w:bookmarkEnd w:id="1"/>
            <w:r>
              <w:rPr>
                <w:noProof/>
              </w:rPr>
              <w:drawing>
                <wp:inline distT="0" distB="0" distL="0" distR="0" wp14:anchorId="1E8CA3A9" wp14:editId="146F4BC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504EF">
            <w:pPr>
              <w:spacing w:before="0"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504EF">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7504EF">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7504EF">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4908B819" w:rsidR="002A2188" w:rsidRPr="00340766" w:rsidRDefault="00B468C4" w:rsidP="007504EF">
            <w:pPr>
              <w:tabs>
                <w:tab w:val="left" w:pos="851"/>
              </w:tabs>
              <w:spacing w:before="0" w:line="240" w:lineRule="atLeast"/>
              <w:rPr>
                <w:b/>
                <w:lang w:val="en-US"/>
              </w:rPr>
            </w:pPr>
            <w:bookmarkStart w:id="2" w:name="dmeeting" w:colFirst="0" w:colLast="0"/>
            <w:bookmarkStart w:id="3" w:name="dnum" w:colFirst="1" w:colLast="1"/>
            <w:r w:rsidRPr="00340766">
              <w:rPr>
                <w:b/>
                <w:lang w:val="en-US"/>
              </w:rPr>
              <w:t xml:space="preserve">Agenda item: </w:t>
            </w:r>
            <w:r w:rsidRPr="00340766">
              <w:rPr>
                <w:rFonts w:cs="Calibri"/>
                <w:b/>
                <w:szCs w:val="24"/>
                <w:lang w:val="en-US"/>
              </w:rPr>
              <w:t xml:space="preserve">ADM </w:t>
            </w:r>
            <w:r w:rsidR="003D4E18" w:rsidRPr="00340766">
              <w:rPr>
                <w:rFonts w:cs="Calibri"/>
                <w:b/>
                <w:szCs w:val="24"/>
                <w:lang w:val="en-US"/>
              </w:rPr>
              <w:t>10</w:t>
            </w:r>
          </w:p>
        </w:tc>
        <w:tc>
          <w:tcPr>
            <w:tcW w:w="3120" w:type="dxa"/>
          </w:tcPr>
          <w:p w14:paraId="2A332CB9" w14:textId="434EDA38" w:rsidR="002A2188" w:rsidRPr="003D4E18" w:rsidRDefault="000F5B57" w:rsidP="007504EF">
            <w:pPr>
              <w:tabs>
                <w:tab w:val="left" w:pos="851"/>
              </w:tabs>
              <w:spacing w:before="0" w:line="240" w:lineRule="atLeast"/>
              <w:rPr>
                <w:b/>
                <w:lang w:val="en-US"/>
              </w:rPr>
            </w:pPr>
            <w:r w:rsidRPr="003D4E18">
              <w:rPr>
                <w:b/>
                <w:lang w:val="en-US"/>
              </w:rPr>
              <w:t>Document C</w:t>
            </w:r>
            <w:r w:rsidR="00235D0A" w:rsidRPr="003D4E18">
              <w:rPr>
                <w:b/>
                <w:lang w:val="en-US"/>
              </w:rPr>
              <w:t>2</w:t>
            </w:r>
            <w:r w:rsidR="0080253C">
              <w:rPr>
                <w:b/>
                <w:lang w:val="en-US"/>
              </w:rPr>
              <w:t>1</w:t>
            </w:r>
            <w:r w:rsidR="002A2188" w:rsidRPr="003D4E18">
              <w:rPr>
                <w:b/>
                <w:lang w:val="en-US"/>
              </w:rPr>
              <w:t>/</w:t>
            </w:r>
            <w:r w:rsidR="00B468C4" w:rsidRPr="003D4E18">
              <w:rPr>
                <w:b/>
                <w:lang w:val="en-US"/>
              </w:rPr>
              <w:t>11</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504EF">
            <w:pPr>
              <w:tabs>
                <w:tab w:val="left" w:pos="851"/>
              </w:tabs>
              <w:spacing w:before="0" w:line="240" w:lineRule="atLeast"/>
              <w:rPr>
                <w:b/>
                <w:lang w:val="en-US"/>
              </w:rPr>
            </w:pPr>
            <w:bookmarkStart w:id="4" w:name="ddate" w:colFirst="1" w:colLast="1"/>
            <w:bookmarkEnd w:id="2"/>
            <w:bookmarkEnd w:id="3"/>
          </w:p>
        </w:tc>
        <w:tc>
          <w:tcPr>
            <w:tcW w:w="3120" w:type="dxa"/>
          </w:tcPr>
          <w:p w14:paraId="0D8ED0A9" w14:textId="62A19C79" w:rsidR="002A2188" w:rsidRPr="008B674F" w:rsidRDefault="00642071" w:rsidP="007504EF">
            <w:pPr>
              <w:tabs>
                <w:tab w:val="left" w:pos="993"/>
              </w:tabs>
              <w:spacing w:before="0"/>
              <w:rPr>
                <w:b/>
                <w:lang w:val="en-US"/>
              </w:rPr>
            </w:pPr>
            <w:r>
              <w:rPr>
                <w:b/>
                <w:lang w:val="en-US"/>
              </w:rPr>
              <w:t>22</w:t>
            </w:r>
            <w:r w:rsidR="002A1C1E" w:rsidRPr="008B674F">
              <w:rPr>
                <w:b/>
                <w:lang w:val="en-US"/>
              </w:rPr>
              <w:t xml:space="preserve"> </w:t>
            </w:r>
            <w:r w:rsidR="0080253C" w:rsidRPr="008B674F">
              <w:rPr>
                <w:b/>
                <w:lang w:val="en-US"/>
              </w:rPr>
              <w:t>April</w:t>
            </w:r>
            <w:r w:rsidR="002A1C1E" w:rsidRPr="008B674F">
              <w:rPr>
                <w:b/>
                <w:lang w:val="en-US"/>
              </w:rPr>
              <w:t xml:space="preserve"> 202</w:t>
            </w:r>
            <w:r w:rsidR="0080253C" w:rsidRPr="008B674F">
              <w:rPr>
                <w:b/>
                <w:lang w:val="en-US"/>
              </w:rPr>
              <w:t>1</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504EF">
            <w:pPr>
              <w:tabs>
                <w:tab w:val="left" w:pos="851"/>
              </w:tabs>
              <w:spacing w:before="0" w:line="240" w:lineRule="atLeast"/>
              <w:rPr>
                <w:b/>
                <w:lang w:val="en-US"/>
              </w:rPr>
            </w:pPr>
            <w:bookmarkStart w:id="5" w:name="dorlang" w:colFirst="1" w:colLast="1"/>
            <w:bookmarkEnd w:id="4"/>
          </w:p>
        </w:tc>
        <w:tc>
          <w:tcPr>
            <w:tcW w:w="3120" w:type="dxa"/>
          </w:tcPr>
          <w:p w14:paraId="0B021CCD" w14:textId="636659EB" w:rsidR="002A2188" w:rsidRPr="003D4E18" w:rsidRDefault="002A2188" w:rsidP="007504EF">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6" w:name="dsource" w:colFirst="0" w:colLast="0"/>
            <w:bookmarkEnd w:id="5"/>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77777777" w:rsidR="002A2188" w:rsidRPr="00DA050C" w:rsidRDefault="00B468C4" w:rsidP="00704E26">
            <w:pPr>
              <w:pStyle w:val="Title1"/>
              <w:rPr>
                <w:lang w:val="en-US"/>
              </w:rPr>
            </w:pPr>
            <w:bookmarkStart w:id="7" w:name="dtitle1" w:colFirst="0" w:colLast="0"/>
            <w:bookmarkEnd w:id="6"/>
            <w:r w:rsidRPr="00DA050C">
              <w:rPr>
                <w:lang w:val="en-US"/>
              </w:rPr>
              <w:t>ARREARS AND SPECIAL ARREARS ACCOUNTS</w:t>
            </w:r>
          </w:p>
        </w:tc>
      </w:tr>
      <w:bookmarkEnd w:id="7"/>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DA050C" w:rsidRDefault="00B468C4" w:rsidP="00B9612E">
            <w:pPr>
              <w:pStyle w:val="Headingb"/>
              <w:spacing w:before="120" w:after="120"/>
              <w:rPr>
                <w:lang w:val="en-US"/>
              </w:rPr>
            </w:pPr>
            <w:r w:rsidRPr="00DA050C">
              <w:rPr>
                <w:lang w:val="en-US"/>
              </w:rPr>
              <w:t>Summary</w:t>
            </w:r>
          </w:p>
          <w:p w14:paraId="10CD6E1A" w14:textId="7A29E5FE" w:rsidR="00B468C4" w:rsidRPr="008C0301" w:rsidRDefault="00B468C4" w:rsidP="00B9612E">
            <w:pPr>
              <w:spacing w:after="120"/>
              <w:jc w:val="both"/>
              <w:rPr>
                <w:lang w:val="en-US"/>
              </w:rPr>
            </w:pPr>
            <w:r w:rsidRPr="00DA050C">
              <w:rPr>
                <w:lang w:val="en-US"/>
              </w:rPr>
              <w:t>The P</w:t>
            </w:r>
            <w:r w:rsidR="005D2DC5">
              <w:rPr>
                <w:lang w:val="en-US"/>
              </w:rPr>
              <w:t>lenipotentiary Conference (Dubai, 2018</w:t>
            </w:r>
            <w:r w:rsidRPr="00DA050C">
              <w:rPr>
                <w:lang w:val="en-US"/>
              </w:rPr>
              <w:t>) instructed the Secretary-General to report annually to the Council on the measures taken and progress made towards collection of the debts of Member States, Sector Members</w:t>
            </w:r>
            <w:r w:rsidR="0080253C">
              <w:rPr>
                <w:lang w:val="en-US"/>
              </w:rPr>
              <w:t xml:space="preserve">, </w:t>
            </w:r>
            <w:r w:rsidRPr="00DA050C">
              <w:rPr>
                <w:lang w:val="en-US"/>
              </w:rPr>
              <w:t xml:space="preserve">Associates </w:t>
            </w:r>
            <w:r w:rsidR="0080253C">
              <w:rPr>
                <w:lang w:val="en-US"/>
              </w:rPr>
              <w:t xml:space="preserve">and Academia </w:t>
            </w:r>
            <w:r w:rsidRPr="00DA050C">
              <w:rPr>
                <w:lang w:val="en-US"/>
              </w:rPr>
              <w:t xml:space="preserve">in arrears or having special arrears accounts, and on all cases of non-compliance with the agreed terms of settlement. </w:t>
            </w:r>
            <w:r w:rsidRPr="008C0301">
              <w:rPr>
                <w:lang w:val="en-US"/>
              </w:rPr>
              <w:t>Previously, the Council, at its 1999 session, had laid down guidelines for repayment schedules for the settlement of arrears and special arrears accounts.</w:t>
            </w:r>
          </w:p>
          <w:p w14:paraId="340597EA" w14:textId="77777777" w:rsidR="00B468C4" w:rsidRPr="00DA050C" w:rsidRDefault="00B468C4" w:rsidP="00B9612E">
            <w:pPr>
              <w:pStyle w:val="Headingb"/>
              <w:spacing w:before="120" w:after="120"/>
              <w:rPr>
                <w:lang w:val="en-US"/>
              </w:rPr>
            </w:pPr>
            <w:r w:rsidRPr="00DA050C">
              <w:rPr>
                <w:lang w:val="en-US"/>
              </w:rPr>
              <w:t>Action required</w:t>
            </w:r>
          </w:p>
          <w:p w14:paraId="55A1B5E3" w14:textId="77777777" w:rsidR="00B468C4" w:rsidRPr="00DA050C" w:rsidRDefault="00B468C4" w:rsidP="00B9612E">
            <w:pPr>
              <w:spacing w:after="120"/>
              <w:rPr>
                <w:lang w:val="en-US"/>
              </w:rPr>
            </w:pPr>
            <w:r w:rsidRPr="00DA050C">
              <w:rPr>
                <w:lang w:val="en-US"/>
              </w:rPr>
              <w:t>The Council is requested:</w:t>
            </w:r>
          </w:p>
          <w:p w14:paraId="37CBA30D" w14:textId="77777777" w:rsidR="00B468C4" w:rsidRPr="00DA050C" w:rsidRDefault="00B468C4" w:rsidP="00B9612E">
            <w:pPr>
              <w:spacing w:after="120"/>
              <w:rPr>
                <w:lang w:val="en-US"/>
              </w:rPr>
            </w:pPr>
            <w:r w:rsidRPr="00DA050C">
              <w:rPr>
                <w:lang w:val="en-US"/>
              </w:rPr>
              <w:t>1)</w:t>
            </w:r>
            <w:r w:rsidRPr="00DA050C">
              <w:rPr>
                <w:lang w:val="en-US"/>
              </w:rPr>
              <w:tab/>
              <w:t xml:space="preserve">to </w:t>
            </w:r>
            <w:r w:rsidRPr="00DA050C">
              <w:rPr>
                <w:b/>
                <w:bCs/>
                <w:lang w:val="en-US"/>
              </w:rPr>
              <w:t>take note</w:t>
            </w:r>
            <w:r w:rsidRPr="00DA050C">
              <w:rPr>
                <w:lang w:val="en-US"/>
              </w:rPr>
              <w:t xml:space="preserve"> of this </w:t>
            </w:r>
            <w:proofErr w:type="gramStart"/>
            <w:r w:rsidRPr="00DA050C">
              <w:rPr>
                <w:lang w:val="en-US"/>
              </w:rPr>
              <w:t>document;</w:t>
            </w:r>
            <w:proofErr w:type="gramEnd"/>
          </w:p>
          <w:p w14:paraId="1A3AFE8B" w14:textId="42D238C6" w:rsidR="00B468C4" w:rsidRPr="00DA050C" w:rsidRDefault="00B468C4" w:rsidP="00B9612E">
            <w:pPr>
              <w:spacing w:after="120"/>
              <w:ind w:left="567" w:hanging="567"/>
              <w:rPr>
                <w:lang w:val="en-US"/>
              </w:rPr>
            </w:pPr>
            <w:r w:rsidRPr="00DA050C">
              <w:rPr>
                <w:lang w:val="en-US"/>
              </w:rPr>
              <w:t>2)</w:t>
            </w:r>
            <w:r w:rsidRPr="00DA050C">
              <w:rPr>
                <w:lang w:val="en-US"/>
              </w:rPr>
              <w:tab/>
              <w:t xml:space="preserve">to </w:t>
            </w:r>
            <w:r w:rsidRPr="00DA050C">
              <w:rPr>
                <w:b/>
                <w:bCs/>
                <w:lang w:val="en-US"/>
              </w:rPr>
              <w:t>authorize</w:t>
            </w:r>
            <w:r w:rsidRPr="00DA050C">
              <w:rPr>
                <w:lang w:val="en-US"/>
              </w:rPr>
              <w:t xml:space="preserve"> the Secretary-General to </w:t>
            </w:r>
            <w:r w:rsidRPr="00FC557C">
              <w:rPr>
                <w:lang w:val="en-US"/>
              </w:rPr>
              <w:t xml:space="preserve">write </w:t>
            </w:r>
            <w:r w:rsidRPr="0084621C">
              <w:rPr>
                <w:lang w:val="en-US"/>
              </w:rPr>
              <w:t xml:space="preserve">off </w:t>
            </w:r>
            <w:r w:rsidRPr="00935E31">
              <w:rPr>
                <w:b/>
                <w:bCs/>
                <w:lang w:val="en-US"/>
              </w:rPr>
              <w:t>CHF </w:t>
            </w:r>
            <w:r w:rsidR="00EE717A" w:rsidRPr="00935E31">
              <w:rPr>
                <w:b/>
                <w:bCs/>
                <w:lang w:val="en-US"/>
              </w:rPr>
              <w:t>2 7</w:t>
            </w:r>
            <w:r w:rsidR="00AF4E41" w:rsidRPr="00935E31">
              <w:rPr>
                <w:b/>
                <w:bCs/>
                <w:lang w:val="en-US"/>
              </w:rPr>
              <w:t>13</w:t>
            </w:r>
            <w:r w:rsidR="00EE717A" w:rsidRPr="00935E31">
              <w:rPr>
                <w:b/>
                <w:bCs/>
                <w:lang w:val="en-US"/>
              </w:rPr>
              <w:t xml:space="preserve"> </w:t>
            </w:r>
            <w:r w:rsidR="00AF4E41" w:rsidRPr="00935E31">
              <w:rPr>
                <w:b/>
                <w:bCs/>
                <w:lang w:val="en-US"/>
              </w:rPr>
              <w:t>401</w:t>
            </w:r>
            <w:r w:rsidR="00EE717A" w:rsidRPr="00935E31">
              <w:rPr>
                <w:b/>
                <w:bCs/>
                <w:lang w:val="en-US"/>
              </w:rPr>
              <w:t>.</w:t>
            </w:r>
            <w:r w:rsidR="00AF4E41" w:rsidRPr="00935E31">
              <w:rPr>
                <w:b/>
                <w:bCs/>
                <w:lang w:val="en-US"/>
              </w:rPr>
              <w:t>3</w:t>
            </w:r>
            <w:r w:rsidR="00EE717A" w:rsidRPr="00935E31">
              <w:rPr>
                <w:b/>
                <w:bCs/>
                <w:lang w:val="en-US"/>
              </w:rPr>
              <w:t xml:space="preserve">3 </w:t>
            </w:r>
            <w:r w:rsidRPr="0084621C">
              <w:rPr>
                <w:lang w:val="en-US"/>
              </w:rPr>
              <w:t>of</w:t>
            </w:r>
            <w:r w:rsidRPr="00DA050C">
              <w:rPr>
                <w:lang w:val="en-US"/>
              </w:rPr>
              <w:t xml:space="preserve"> interest on arrears and irrecoverable </w:t>
            </w:r>
            <w:proofErr w:type="gramStart"/>
            <w:r w:rsidRPr="00DA050C">
              <w:rPr>
                <w:lang w:val="en-US"/>
              </w:rPr>
              <w:t>debts;</w:t>
            </w:r>
            <w:proofErr w:type="gramEnd"/>
          </w:p>
          <w:p w14:paraId="6443E5A6" w14:textId="77777777" w:rsidR="00B468C4" w:rsidRPr="00DA050C" w:rsidRDefault="00B468C4" w:rsidP="00B9612E">
            <w:pPr>
              <w:spacing w:after="120"/>
              <w:rPr>
                <w:lang w:val="en-US"/>
              </w:rPr>
            </w:pPr>
            <w:r w:rsidRPr="00DA050C">
              <w:rPr>
                <w:lang w:val="en-US"/>
              </w:rPr>
              <w:t>3)</w:t>
            </w:r>
            <w:r w:rsidRPr="00DA050C">
              <w:rPr>
                <w:lang w:val="en-US"/>
              </w:rPr>
              <w:tab/>
              <w:t xml:space="preserve">to </w:t>
            </w:r>
            <w:r w:rsidRPr="00DA050C">
              <w:rPr>
                <w:b/>
                <w:bCs/>
                <w:lang w:val="en-US"/>
              </w:rPr>
              <w:t>adopt</w:t>
            </w:r>
            <w:r w:rsidRPr="00DA050C">
              <w:rPr>
                <w:lang w:val="en-US"/>
              </w:rPr>
              <w:t xml:space="preserve"> the draft decision attached in Annex B.</w:t>
            </w:r>
          </w:p>
          <w:p w14:paraId="1BCDF244" w14:textId="77777777" w:rsidR="00B468C4" w:rsidRPr="00DA050C" w:rsidRDefault="00B468C4" w:rsidP="00B9612E">
            <w:pPr>
              <w:pStyle w:val="Table"/>
              <w:keepNext w:val="0"/>
              <w:spacing w:before="120"/>
              <w:rPr>
                <w:rFonts w:ascii="Calibri" w:hAnsi="Calibri"/>
                <w:caps w:val="0"/>
                <w:sz w:val="22"/>
                <w:lang w:val="en-US"/>
              </w:rPr>
            </w:pPr>
            <w:r w:rsidRPr="00DA050C">
              <w:rPr>
                <w:rFonts w:ascii="Calibri" w:hAnsi="Calibri"/>
                <w:caps w:val="0"/>
                <w:sz w:val="22"/>
                <w:lang w:val="en-US"/>
              </w:rPr>
              <w:t>____________</w:t>
            </w:r>
          </w:p>
          <w:p w14:paraId="46D3CFD4" w14:textId="77777777" w:rsidR="00B468C4" w:rsidRPr="001C744F" w:rsidRDefault="00B468C4" w:rsidP="00B9612E">
            <w:pPr>
              <w:pStyle w:val="Headingb"/>
              <w:spacing w:before="120" w:after="120"/>
              <w:rPr>
                <w:lang w:val="en-US"/>
              </w:rPr>
            </w:pPr>
            <w:r w:rsidRPr="001C744F">
              <w:rPr>
                <w:lang w:val="en-US"/>
              </w:rPr>
              <w:t>References</w:t>
            </w:r>
          </w:p>
          <w:p w14:paraId="46D8C98A" w14:textId="748D2762" w:rsidR="002A2188" w:rsidRPr="00340766" w:rsidRDefault="00487610" w:rsidP="00B9612E">
            <w:pPr>
              <w:spacing w:after="120"/>
              <w:rPr>
                <w:lang w:val="en-US"/>
              </w:rPr>
            </w:pPr>
            <w:hyperlink r:id="rId9" w:history="1">
              <w:r w:rsidR="005C47A8" w:rsidRPr="003D4E18">
                <w:rPr>
                  <w:rStyle w:val="Hyperlink"/>
                  <w:i/>
                  <w:iCs/>
                  <w:color w:val="auto"/>
                  <w:lang w:val="en-US"/>
                </w:rPr>
                <w:t>CS 169</w:t>
              </w:r>
            </w:hyperlink>
            <w:r w:rsidR="005C47A8" w:rsidRPr="003D4E18">
              <w:rPr>
                <w:rStyle w:val="Hyperlink"/>
                <w:color w:val="auto"/>
                <w:u w:val="none"/>
                <w:lang w:val="en-US"/>
              </w:rPr>
              <w:t xml:space="preserve">, </w:t>
            </w:r>
            <w:hyperlink r:id="rId10" w:history="1">
              <w:r w:rsidR="005C47A8" w:rsidRPr="003D4E18">
                <w:rPr>
                  <w:rStyle w:val="Hyperlink"/>
                  <w:i/>
                  <w:iCs/>
                  <w:color w:val="auto"/>
                  <w:lang w:val="en-US"/>
                </w:rPr>
                <w:t>CV 474</w:t>
              </w:r>
            </w:hyperlink>
            <w:r w:rsidR="005C47A8" w:rsidRPr="003D4E18">
              <w:rPr>
                <w:rStyle w:val="Hyperlink"/>
                <w:color w:val="auto"/>
                <w:u w:val="none"/>
                <w:lang w:val="en-US"/>
              </w:rPr>
              <w:t>,</w:t>
            </w:r>
            <w:r w:rsidR="005C47A8" w:rsidRPr="003D4E18">
              <w:rPr>
                <w:rStyle w:val="Hyperlink"/>
                <w:i/>
                <w:iCs/>
                <w:color w:val="auto"/>
                <w:lang w:val="en-US"/>
              </w:rPr>
              <w:br/>
            </w:r>
            <w:hyperlink r:id="rId11" w:history="1">
              <w:r w:rsidR="005C47A8" w:rsidRPr="003D4E18">
                <w:rPr>
                  <w:rStyle w:val="Hyperlink"/>
                  <w:i/>
                  <w:iCs/>
                  <w:color w:val="auto"/>
                  <w:lang w:val="en-US"/>
                </w:rPr>
                <w:t>Resolutions 41 (Rev. Dubai, 2018)</w:t>
              </w:r>
            </w:hyperlink>
            <w:r w:rsidR="005C47A8" w:rsidRPr="003D4E18">
              <w:rPr>
                <w:rStyle w:val="Hyperlink"/>
                <w:i/>
                <w:iCs/>
                <w:color w:val="auto"/>
                <w:u w:val="none"/>
                <w:lang w:val="en-US"/>
              </w:rPr>
              <w:t xml:space="preserve"> and </w:t>
            </w:r>
            <w:hyperlink r:id="rId12" w:history="1">
              <w:r w:rsidR="005C47A8" w:rsidRPr="003D4E18">
                <w:rPr>
                  <w:rStyle w:val="Hyperlink"/>
                  <w:i/>
                  <w:iCs/>
                  <w:color w:val="auto"/>
                  <w:lang w:val="en-US"/>
                </w:rPr>
                <w:t>152 (Rev. Busan, 2014)</w:t>
              </w:r>
            </w:hyperlink>
            <w:r w:rsidR="005C47A8" w:rsidRPr="003D4E18">
              <w:rPr>
                <w:i/>
                <w:iCs/>
                <w:lang w:val="en-US"/>
              </w:rPr>
              <w:br/>
            </w:r>
            <w:hyperlink r:id="rId13" w:history="1">
              <w:r w:rsidR="005C47A8" w:rsidRPr="003D4E18">
                <w:rPr>
                  <w:rStyle w:val="Hyperlink"/>
                  <w:i/>
                  <w:iCs/>
                  <w:color w:val="auto"/>
                  <w:lang w:val="en-US"/>
                </w:rPr>
                <w:t>C99/27</w:t>
              </w:r>
            </w:hyperlink>
            <w:r w:rsidR="005C47A8" w:rsidRPr="003D4E18">
              <w:rPr>
                <w:bCs/>
                <w:lang w:val="en-US"/>
              </w:rPr>
              <w:t xml:space="preserve">, </w:t>
            </w:r>
            <w:hyperlink r:id="rId14" w:history="1">
              <w:r w:rsidR="005C47A8" w:rsidRPr="003D4E18">
                <w:rPr>
                  <w:rStyle w:val="Hyperlink"/>
                  <w:bCs/>
                  <w:i/>
                  <w:iCs/>
                  <w:color w:val="auto"/>
                  <w:lang w:val="en-US"/>
                </w:rPr>
                <w:t>C14/26</w:t>
              </w:r>
            </w:hyperlink>
            <w:r w:rsidR="005C47A8" w:rsidRPr="003D4E18">
              <w:rPr>
                <w:bCs/>
                <w:lang w:val="en-US"/>
              </w:rPr>
              <w:t>,</w:t>
            </w:r>
            <w:r w:rsidR="005C47A8" w:rsidRPr="003D4E18">
              <w:rPr>
                <w:lang w:val="en-US"/>
              </w:rPr>
              <w:t xml:space="preserve"> </w:t>
            </w:r>
            <w:hyperlink r:id="rId15" w:history="1">
              <w:r w:rsidR="005C47A8" w:rsidRPr="003D4E18">
                <w:rPr>
                  <w:rStyle w:val="Hyperlink"/>
                  <w:bCs/>
                  <w:i/>
                  <w:iCs/>
                  <w:color w:val="auto"/>
                  <w:lang w:val="en-US"/>
                </w:rPr>
                <w:t>C15/50</w:t>
              </w:r>
            </w:hyperlink>
            <w:r w:rsidR="005C47A8" w:rsidRPr="003D4E18">
              <w:rPr>
                <w:i/>
                <w:iCs/>
                <w:lang w:val="en-US"/>
              </w:rPr>
              <w:t xml:space="preserve">, </w:t>
            </w:r>
            <w:hyperlink r:id="rId16" w:history="1">
              <w:r w:rsidR="005C47A8" w:rsidRPr="003D4E18">
                <w:rPr>
                  <w:rStyle w:val="Hyperlink"/>
                  <w:bCs/>
                  <w:i/>
                  <w:iCs/>
                  <w:color w:val="auto"/>
                  <w:lang w:val="en-US"/>
                </w:rPr>
                <w:t>C16/42</w:t>
              </w:r>
            </w:hyperlink>
            <w:r w:rsidR="005C47A8" w:rsidRPr="003D4E18">
              <w:rPr>
                <w:lang w:val="en-US"/>
              </w:rPr>
              <w:t>,</w:t>
            </w:r>
            <w:r w:rsidR="005C47A8" w:rsidRPr="003D4E18">
              <w:rPr>
                <w:bCs/>
                <w:i/>
                <w:iCs/>
                <w:lang w:val="en-US"/>
              </w:rPr>
              <w:t xml:space="preserve"> </w:t>
            </w:r>
            <w:hyperlink r:id="rId17" w:history="1">
              <w:r w:rsidR="005C47A8" w:rsidRPr="003D4E18">
                <w:rPr>
                  <w:rStyle w:val="Hyperlink"/>
                  <w:bCs/>
                  <w:i/>
                  <w:iCs/>
                  <w:color w:val="auto"/>
                  <w:lang w:val="en-US"/>
                </w:rPr>
                <w:t>C17/42</w:t>
              </w:r>
            </w:hyperlink>
            <w:r w:rsidR="003D4E18">
              <w:rPr>
                <w:rStyle w:val="Hyperlink"/>
                <w:bCs/>
                <w:i/>
                <w:iCs/>
                <w:color w:val="auto"/>
                <w:u w:val="none"/>
                <w:lang w:val="en-US"/>
              </w:rPr>
              <w:t>,</w:t>
            </w:r>
            <w:r w:rsidR="005C47A8" w:rsidRPr="003D4E18">
              <w:rPr>
                <w:rStyle w:val="Hyperlink"/>
                <w:bCs/>
                <w:i/>
                <w:iCs/>
                <w:color w:val="auto"/>
                <w:u w:val="none"/>
                <w:lang w:val="en-US"/>
              </w:rPr>
              <w:t xml:space="preserve"> </w:t>
            </w:r>
            <w:hyperlink r:id="rId18" w:history="1">
              <w:r w:rsidR="005C47A8" w:rsidRPr="003D4E18">
                <w:rPr>
                  <w:rStyle w:val="Hyperlink"/>
                  <w:bCs/>
                  <w:i/>
                  <w:iCs/>
                  <w:color w:val="auto"/>
                  <w:lang w:val="en-US"/>
                </w:rPr>
                <w:t>C18/42</w:t>
              </w:r>
            </w:hyperlink>
            <w:r w:rsidR="00354F41">
              <w:rPr>
                <w:rStyle w:val="Hyperlink"/>
                <w:bCs/>
                <w:i/>
                <w:iCs/>
                <w:color w:val="auto"/>
                <w:u w:val="none"/>
                <w:lang w:val="en-US"/>
              </w:rPr>
              <w:t xml:space="preserve">, </w:t>
            </w:r>
            <w:hyperlink r:id="rId19" w:history="1">
              <w:r w:rsidR="003D4E18" w:rsidRPr="003D4E18">
                <w:rPr>
                  <w:rStyle w:val="Hyperlink"/>
                  <w:bCs/>
                  <w:i/>
                  <w:iCs/>
                  <w:color w:val="auto"/>
                  <w:lang w:val="en-US"/>
                </w:rPr>
                <w:t>C1</w:t>
              </w:r>
              <w:r w:rsidR="003D4E18">
                <w:rPr>
                  <w:rStyle w:val="Hyperlink"/>
                  <w:bCs/>
                  <w:i/>
                  <w:iCs/>
                  <w:color w:val="auto"/>
                  <w:lang w:val="en-US"/>
                </w:rPr>
                <w:t>9</w:t>
              </w:r>
              <w:r w:rsidR="003D4E18" w:rsidRPr="003D4E18">
                <w:rPr>
                  <w:rStyle w:val="Hyperlink"/>
                  <w:bCs/>
                  <w:i/>
                  <w:iCs/>
                  <w:color w:val="auto"/>
                  <w:lang w:val="en-US"/>
                </w:rPr>
                <w:t>/42</w:t>
              </w:r>
            </w:hyperlink>
            <w:r w:rsidR="000B540B">
              <w:rPr>
                <w:rStyle w:val="Hyperlink"/>
                <w:bCs/>
                <w:i/>
                <w:iCs/>
                <w:color w:val="auto"/>
                <w:u w:val="none"/>
                <w:lang w:val="en-US"/>
              </w:rPr>
              <w:t>,</w:t>
            </w:r>
            <w:r w:rsidR="00354F41">
              <w:rPr>
                <w:rStyle w:val="Hyperlink"/>
                <w:bCs/>
                <w:i/>
                <w:iCs/>
                <w:color w:val="auto"/>
                <w:u w:val="none"/>
                <w:lang w:val="en-US"/>
              </w:rPr>
              <w:t xml:space="preserve"> </w:t>
            </w:r>
            <w:hyperlink r:id="rId20" w:history="1">
              <w:r w:rsidR="00354F41" w:rsidRPr="000B540B">
                <w:rPr>
                  <w:rStyle w:val="Hyperlink"/>
                  <w:bCs/>
                  <w:i/>
                  <w:iCs/>
                  <w:color w:val="auto"/>
                  <w:lang w:val="en-US"/>
                </w:rPr>
                <w:t>C20/42</w:t>
              </w:r>
            </w:hyperlink>
            <w:r w:rsidR="000B540B">
              <w:rPr>
                <w:rStyle w:val="Hyperlink"/>
                <w:bCs/>
                <w:i/>
                <w:iCs/>
                <w:color w:val="auto"/>
                <w:u w:val="none"/>
                <w:lang w:val="en-US"/>
              </w:rPr>
              <w:t xml:space="preserve"> </w:t>
            </w:r>
            <w:r w:rsidR="000B540B" w:rsidRPr="000B540B">
              <w:rPr>
                <w:rStyle w:val="Hyperlink"/>
                <w:bCs/>
                <w:i/>
                <w:iCs/>
                <w:color w:val="auto"/>
                <w:u w:val="none"/>
                <w:lang w:val="en-US"/>
              </w:rPr>
              <w:t>and</w:t>
            </w:r>
            <w:r w:rsidR="00340766">
              <w:rPr>
                <w:rStyle w:val="Hyperlink"/>
                <w:bCs/>
                <w:i/>
                <w:iCs/>
                <w:color w:val="auto"/>
                <w:u w:val="none"/>
                <w:lang w:val="en-US"/>
              </w:rPr>
              <w:t xml:space="preserve"> </w:t>
            </w:r>
            <w:hyperlink r:id="rId21" w:history="1">
              <w:r w:rsidR="00340766" w:rsidRPr="003D4E18">
                <w:rPr>
                  <w:rStyle w:val="Hyperlink"/>
                  <w:bCs/>
                  <w:i/>
                  <w:iCs/>
                  <w:color w:val="auto"/>
                  <w:lang w:val="en-US"/>
                </w:rPr>
                <w:t>C</w:t>
              </w:r>
              <w:r w:rsidR="00340766">
                <w:rPr>
                  <w:rStyle w:val="Hyperlink"/>
                  <w:bCs/>
                  <w:i/>
                  <w:iCs/>
                  <w:color w:val="auto"/>
                  <w:lang w:val="en-US"/>
                </w:rPr>
                <w:t>21</w:t>
              </w:r>
              <w:r w:rsidR="00340766" w:rsidRPr="003D4E18">
                <w:rPr>
                  <w:rStyle w:val="Hyperlink"/>
                  <w:bCs/>
                  <w:i/>
                  <w:iCs/>
                  <w:color w:val="auto"/>
                  <w:lang w:val="en-US"/>
                </w:rPr>
                <w:t>/42</w:t>
              </w:r>
            </w:hyperlink>
          </w:p>
        </w:tc>
      </w:tr>
    </w:tbl>
    <w:p w14:paraId="11DD16F6" w14:textId="77777777" w:rsidR="002A2188" w:rsidRPr="00DA050C" w:rsidRDefault="002A2188" w:rsidP="002A2188">
      <w:pPr>
        <w:pStyle w:val="Normalaftertitle"/>
        <w:rPr>
          <w:lang w:val="en-US"/>
        </w:rPr>
      </w:pPr>
      <w:bookmarkStart w:id="8" w:name="dstart"/>
      <w:bookmarkStart w:id="9" w:name="dbreak"/>
      <w:bookmarkEnd w:id="8"/>
      <w:bookmarkEnd w:id="9"/>
    </w:p>
    <w:p w14:paraId="69C6A65E" w14:textId="77777777" w:rsidR="00B468C4"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14:paraId="04E95D89" w14:textId="77777777" w:rsidR="005A18EA" w:rsidRDefault="005A18EA" w:rsidP="005A18EA">
      <w:pPr>
        <w:rPr>
          <w:lang w:val="en-US"/>
        </w:rPr>
      </w:pPr>
      <w:r>
        <w:rPr>
          <w:lang w:val="en-US"/>
        </w:rPr>
        <w:br w:type="page"/>
      </w:r>
    </w:p>
    <w:p w14:paraId="7349A1E3" w14:textId="77777777" w:rsidR="00B9612E" w:rsidRDefault="00B9612E" w:rsidP="00B9612E">
      <w:pPr>
        <w:pStyle w:val="AnnexNo"/>
        <w:rPr>
          <w:lang w:val="en-US"/>
        </w:rPr>
      </w:pPr>
    </w:p>
    <w:p w14:paraId="6E49257C" w14:textId="42AC9E81" w:rsidR="00B468C4" w:rsidRPr="00DA050C" w:rsidRDefault="005A18EA" w:rsidP="00B9612E">
      <w:pPr>
        <w:pStyle w:val="AnnexNo"/>
        <w:spacing w:before="240"/>
        <w:rPr>
          <w:lang w:val="en-US"/>
        </w:rPr>
      </w:pPr>
      <w:r>
        <w:rPr>
          <w:lang w:val="en-US"/>
        </w:rPr>
        <w:t>ARRE</w:t>
      </w:r>
      <w:r w:rsidR="00B468C4" w:rsidRPr="00DA050C">
        <w:rPr>
          <w:lang w:val="en-US"/>
        </w:rPr>
        <w:t>ARS AND SPECIAL ARREARS ACCOUNTS</w:t>
      </w:r>
    </w:p>
    <w:p w14:paraId="072FFEE9" w14:textId="5CFAC476" w:rsidR="00B468C4" w:rsidRPr="00DA050C" w:rsidRDefault="00B468C4" w:rsidP="00B468C4">
      <w:pPr>
        <w:pStyle w:val="Heading1"/>
        <w:rPr>
          <w:lang w:val="en-US"/>
        </w:rPr>
      </w:pPr>
      <w:r w:rsidRPr="00DA050C">
        <w:rPr>
          <w:lang w:val="en-US"/>
        </w:rPr>
        <w:t>1</w:t>
      </w:r>
      <w:r w:rsidRPr="00DA050C">
        <w:rPr>
          <w:lang w:val="en-US"/>
        </w:rPr>
        <w:tab/>
        <w:t>Status of arrears and special arre</w:t>
      </w:r>
      <w:r w:rsidR="00F14CEE">
        <w:rPr>
          <w:lang w:val="en-US"/>
        </w:rPr>
        <w:t xml:space="preserve">ars </w:t>
      </w:r>
      <w:r w:rsidR="000F5B57">
        <w:rPr>
          <w:lang w:val="en-US"/>
        </w:rPr>
        <w:t xml:space="preserve">accounts </w:t>
      </w:r>
      <w:proofErr w:type="gramStart"/>
      <w:r w:rsidR="000F5B57">
        <w:rPr>
          <w:lang w:val="en-US"/>
        </w:rPr>
        <w:t>at</w:t>
      </w:r>
      <w:proofErr w:type="gramEnd"/>
      <w:r w:rsidR="000F5B57">
        <w:rPr>
          <w:lang w:val="en-US"/>
        </w:rPr>
        <w:t xml:space="preserve"> 31 December 20</w:t>
      </w:r>
      <w:r w:rsidR="0080253C">
        <w:rPr>
          <w:lang w:val="en-US"/>
        </w:rPr>
        <w:t>20</w:t>
      </w:r>
    </w:p>
    <w:p w14:paraId="5752E3AB" w14:textId="6B5203FA" w:rsidR="00B468C4" w:rsidRPr="00DA050C" w:rsidRDefault="00B468C4" w:rsidP="009746FE">
      <w:pPr>
        <w:jc w:val="both"/>
        <w:rPr>
          <w:lang w:val="en-US"/>
        </w:rPr>
      </w:pPr>
      <w:r w:rsidRPr="00DA050C">
        <w:rPr>
          <w:lang w:val="en-US"/>
        </w:rPr>
        <w:t>1.1</w:t>
      </w:r>
      <w:r w:rsidRPr="00DA050C">
        <w:rPr>
          <w:lang w:val="en-US"/>
        </w:rPr>
        <w:tab/>
        <w:t>The status of arrears and special arrea</w:t>
      </w:r>
      <w:r w:rsidR="000F5B57">
        <w:rPr>
          <w:lang w:val="en-US"/>
        </w:rPr>
        <w:t xml:space="preserve">rs accounts </w:t>
      </w:r>
      <w:proofErr w:type="gramStart"/>
      <w:r w:rsidR="000F5B57">
        <w:rPr>
          <w:lang w:val="en-US"/>
        </w:rPr>
        <w:t>at</w:t>
      </w:r>
      <w:proofErr w:type="gramEnd"/>
      <w:r w:rsidR="000F5B57">
        <w:rPr>
          <w:lang w:val="en-US"/>
        </w:rPr>
        <w:t xml:space="preserve"> 31 December 20</w:t>
      </w:r>
      <w:r w:rsidR="0080253C">
        <w:rPr>
          <w:lang w:val="en-US"/>
        </w:rPr>
        <w:t>20</w:t>
      </w:r>
      <w:r w:rsidR="00F14CEE">
        <w:rPr>
          <w:lang w:val="en-US"/>
        </w:rPr>
        <w:t xml:space="preserve"> is</w:t>
      </w:r>
      <w:r w:rsidRPr="00DA050C">
        <w:rPr>
          <w:lang w:val="en-US"/>
        </w:rPr>
        <w:t xml:space="preserve"> detailed in Annex C </w:t>
      </w:r>
      <w:r w:rsidR="008A35C5">
        <w:rPr>
          <w:lang w:val="en-US"/>
        </w:rPr>
        <w:t>of</w:t>
      </w:r>
      <w:r w:rsidRPr="00DA050C">
        <w:rPr>
          <w:lang w:val="en-US"/>
        </w:rPr>
        <w:t xml:space="preserve"> the Financi</w:t>
      </w:r>
      <w:r w:rsidR="000F5B57">
        <w:rPr>
          <w:lang w:val="en-US"/>
        </w:rPr>
        <w:t>al Operating Report for the 20</w:t>
      </w:r>
      <w:r w:rsidR="0080253C">
        <w:rPr>
          <w:lang w:val="en-US"/>
        </w:rPr>
        <w:t>2</w:t>
      </w:r>
      <w:r w:rsidR="000B053B">
        <w:rPr>
          <w:lang w:val="en-US"/>
        </w:rPr>
        <w:t>0</w:t>
      </w:r>
      <w:r w:rsidRPr="00DA050C">
        <w:rPr>
          <w:lang w:val="en-US"/>
        </w:rPr>
        <w:t xml:space="preserve"> financial year</w:t>
      </w:r>
      <w:r w:rsidRPr="000B540B">
        <w:rPr>
          <w:lang w:val="en-US"/>
        </w:rPr>
        <w:t xml:space="preserve"> (</w:t>
      </w:r>
      <w:hyperlink r:id="rId22" w:history="1">
        <w:r w:rsidRPr="000B540B">
          <w:rPr>
            <w:rStyle w:val="Hyperlink"/>
            <w:color w:val="auto"/>
            <w:lang w:val="en-US"/>
          </w:rPr>
          <w:t>Document </w:t>
        </w:r>
        <w:r w:rsidRPr="000B540B">
          <w:rPr>
            <w:rStyle w:val="Hyperlink"/>
            <w:bCs/>
            <w:color w:val="auto"/>
            <w:lang w:val="en-US"/>
          </w:rPr>
          <w:t>C</w:t>
        </w:r>
        <w:r w:rsidR="00354F41" w:rsidRPr="000B540B">
          <w:rPr>
            <w:rStyle w:val="Hyperlink"/>
            <w:bCs/>
            <w:color w:val="auto"/>
            <w:lang w:val="en-US"/>
          </w:rPr>
          <w:t>2</w:t>
        </w:r>
        <w:r w:rsidR="000B540B" w:rsidRPr="000B540B">
          <w:rPr>
            <w:rStyle w:val="Hyperlink"/>
            <w:bCs/>
            <w:color w:val="auto"/>
            <w:lang w:val="en-US"/>
          </w:rPr>
          <w:t>1</w:t>
        </w:r>
        <w:r w:rsidRPr="000B540B">
          <w:rPr>
            <w:rStyle w:val="Hyperlink"/>
            <w:bCs/>
            <w:color w:val="auto"/>
            <w:lang w:val="en-US"/>
          </w:rPr>
          <w:t>/</w:t>
        </w:r>
        <w:r w:rsidR="009746FE" w:rsidRPr="000B540B">
          <w:rPr>
            <w:rStyle w:val="Hyperlink"/>
            <w:bCs/>
            <w:color w:val="auto"/>
            <w:lang w:val="en-US"/>
          </w:rPr>
          <w:t>42</w:t>
        </w:r>
      </w:hyperlink>
      <w:r w:rsidRPr="000B540B">
        <w:rPr>
          <w:lang w:val="en-US"/>
        </w:rPr>
        <w:t>).</w:t>
      </w:r>
      <w:r w:rsidRPr="003D4E18">
        <w:rPr>
          <w:lang w:val="en-US"/>
        </w:rPr>
        <w:t xml:space="preserve"> </w:t>
      </w:r>
      <w:r w:rsidRPr="00DA050C">
        <w:rPr>
          <w:lang w:val="en-US"/>
        </w:rPr>
        <w:t>The changes in arrears, special arrears accounts and cancelled spe</w:t>
      </w:r>
      <w:r w:rsidR="00F14CEE">
        <w:rPr>
          <w:lang w:val="en-US"/>
        </w:rPr>
        <w:t xml:space="preserve">cial arrears accounts since </w:t>
      </w:r>
      <w:r w:rsidR="000F5B57" w:rsidRPr="0080253C">
        <w:rPr>
          <w:lang w:val="en-US"/>
        </w:rPr>
        <w:t>201</w:t>
      </w:r>
      <w:r w:rsidR="0080253C" w:rsidRPr="0080253C">
        <w:rPr>
          <w:lang w:val="en-US"/>
        </w:rPr>
        <w:t>3</w:t>
      </w:r>
      <w:r w:rsidR="005F3B12">
        <w:rPr>
          <w:lang w:val="en-US"/>
        </w:rPr>
        <w:t xml:space="preserve"> are given in Annex A of</w:t>
      </w:r>
      <w:r w:rsidRPr="00DA050C">
        <w:rPr>
          <w:lang w:val="en-US"/>
        </w:rPr>
        <w:t xml:space="preserve"> this document.</w:t>
      </w:r>
    </w:p>
    <w:p w14:paraId="21F50BB6" w14:textId="4CB0C7CC" w:rsidR="00B468C4" w:rsidRPr="00E1635E" w:rsidRDefault="00B468C4" w:rsidP="00470E71">
      <w:pPr>
        <w:jc w:val="both"/>
        <w:rPr>
          <w:lang w:val="en-US"/>
        </w:rPr>
      </w:pPr>
      <w:r w:rsidRPr="00AF0856">
        <w:rPr>
          <w:lang w:val="en-US"/>
        </w:rPr>
        <w:t>1.2</w:t>
      </w:r>
      <w:r w:rsidRPr="00AF0856">
        <w:rPr>
          <w:lang w:val="en-US"/>
        </w:rPr>
        <w:tab/>
      </w:r>
      <w:r w:rsidR="008A35C5">
        <w:rPr>
          <w:lang w:val="en-US"/>
        </w:rPr>
        <w:t>T</w:t>
      </w:r>
      <w:r w:rsidRPr="00AF0856">
        <w:rPr>
          <w:lang w:val="en-US"/>
        </w:rPr>
        <w:t xml:space="preserve">he sanctions </w:t>
      </w:r>
      <w:proofErr w:type="gramStart"/>
      <w:r w:rsidRPr="00AF0856">
        <w:rPr>
          <w:lang w:val="en-US"/>
        </w:rPr>
        <w:t>imposed</w:t>
      </w:r>
      <w:proofErr w:type="gramEnd"/>
      <w:r w:rsidRPr="00AF0856">
        <w:rPr>
          <w:lang w:val="en-US"/>
        </w:rPr>
        <w:t xml:space="preserve"> and efforts deployed to recover the amounts owed and wipe off irrecoverable debts have made it possible to curb the increase in arrears and obtain an appreciable and consisten</w:t>
      </w:r>
      <w:r w:rsidR="005D2DC5" w:rsidRPr="00AF0856">
        <w:rPr>
          <w:lang w:val="en-US"/>
        </w:rPr>
        <w:t>t reduction therein between 201</w:t>
      </w:r>
      <w:r w:rsidR="0080253C">
        <w:rPr>
          <w:lang w:val="en-US"/>
        </w:rPr>
        <w:t>3</w:t>
      </w:r>
      <w:r w:rsidR="00F14CEE" w:rsidRPr="00AF0856">
        <w:rPr>
          <w:lang w:val="en-US"/>
        </w:rPr>
        <w:t xml:space="preserve"> and </w:t>
      </w:r>
      <w:r w:rsidR="005D2DC5" w:rsidRPr="00AF0856">
        <w:rPr>
          <w:lang w:val="en-US"/>
        </w:rPr>
        <w:t>20</w:t>
      </w:r>
      <w:r w:rsidR="0080253C">
        <w:rPr>
          <w:lang w:val="en-US"/>
        </w:rPr>
        <w:t>20</w:t>
      </w:r>
      <w:r w:rsidRPr="00AF0856">
        <w:rPr>
          <w:lang w:val="en-US"/>
        </w:rPr>
        <w:t xml:space="preserve"> (see Annex A). </w:t>
      </w:r>
      <w:r w:rsidRPr="00EB2CC7">
        <w:rPr>
          <w:lang w:val="en-US"/>
        </w:rPr>
        <w:t>Thus, the total of arrears, special arrears accounts and cancelled special arrears accounts fell from CHF </w:t>
      </w:r>
      <w:r w:rsidR="00EB2CC7" w:rsidRPr="00EB2CC7">
        <w:rPr>
          <w:lang w:val="en-US"/>
        </w:rPr>
        <w:t>55</w:t>
      </w:r>
      <w:r w:rsidRPr="00EB2CC7">
        <w:rPr>
          <w:lang w:val="en-US"/>
        </w:rPr>
        <w:t>.</w:t>
      </w:r>
      <w:r w:rsidR="00EB2CC7" w:rsidRPr="00EB2CC7">
        <w:rPr>
          <w:lang w:val="en-US"/>
        </w:rPr>
        <w:t>1</w:t>
      </w:r>
      <w:r w:rsidR="00AF0856" w:rsidRPr="00EB2CC7">
        <w:rPr>
          <w:lang w:val="en-US"/>
        </w:rPr>
        <w:t xml:space="preserve"> million </w:t>
      </w:r>
      <w:proofErr w:type="gramStart"/>
      <w:r w:rsidR="00AF0856" w:rsidRPr="00EB2CC7">
        <w:rPr>
          <w:lang w:val="en-US"/>
        </w:rPr>
        <w:t>at</w:t>
      </w:r>
      <w:proofErr w:type="gramEnd"/>
      <w:r w:rsidR="00AF0856" w:rsidRPr="00EB2CC7">
        <w:rPr>
          <w:lang w:val="en-US"/>
        </w:rPr>
        <w:t xml:space="preserve"> 31 December 201</w:t>
      </w:r>
      <w:r w:rsidR="0080253C" w:rsidRPr="00EB2CC7">
        <w:rPr>
          <w:lang w:val="en-US"/>
        </w:rPr>
        <w:t>3</w:t>
      </w:r>
      <w:r w:rsidRPr="00EB2CC7">
        <w:rPr>
          <w:lang w:val="en-US"/>
        </w:rPr>
        <w:t xml:space="preserve"> to CHF </w:t>
      </w:r>
      <w:r w:rsidR="00EB2CC7" w:rsidRPr="00EB2CC7">
        <w:rPr>
          <w:lang w:val="en-US"/>
        </w:rPr>
        <w:t>40</w:t>
      </w:r>
      <w:r w:rsidRPr="00EB2CC7">
        <w:rPr>
          <w:lang w:val="en-US"/>
        </w:rPr>
        <w:t>.</w:t>
      </w:r>
      <w:r w:rsidR="00EB2CC7" w:rsidRPr="00EB2CC7">
        <w:rPr>
          <w:lang w:val="en-US"/>
        </w:rPr>
        <w:t>6</w:t>
      </w:r>
      <w:r w:rsidR="00AF0856" w:rsidRPr="00EB2CC7">
        <w:rPr>
          <w:lang w:val="en-US"/>
        </w:rPr>
        <w:t xml:space="preserve"> million at 31 December 20</w:t>
      </w:r>
      <w:r w:rsidR="0080253C" w:rsidRPr="00EB2CC7">
        <w:rPr>
          <w:lang w:val="en-US"/>
        </w:rPr>
        <w:t>20</w:t>
      </w:r>
      <w:r w:rsidRPr="00EB2CC7">
        <w:rPr>
          <w:lang w:val="en-US"/>
        </w:rPr>
        <w:t xml:space="preserve">, a decrease of </w:t>
      </w:r>
      <w:r w:rsidR="00EB2CC7" w:rsidRPr="00EB2CC7">
        <w:rPr>
          <w:lang w:val="en-US"/>
        </w:rPr>
        <w:t>26</w:t>
      </w:r>
      <w:r w:rsidRPr="00EB2CC7">
        <w:rPr>
          <w:lang w:val="en-US"/>
        </w:rPr>
        <w:t xml:space="preserve"> per cent.</w:t>
      </w:r>
    </w:p>
    <w:p w14:paraId="50CF10DE" w14:textId="7CF7D3FF" w:rsidR="00B468C4" w:rsidRPr="00B57035" w:rsidRDefault="00B468C4" w:rsidP="00470E71">
      <w:pPr>
        <w:jc w:val="both"/>
        <w:rPr>
          <w:lang w:val="en-US"/>
        </w:rPr>
      </w:pPr>
      <w:bookmarkStart w:id="10" w:name="_Hlk40343077"/>
      <w:r w:rsidRPr="003F57EF">
        <w:rPr>
          <w:lang w:val="en-US"/>
        </w:rPr>
        <w:t>1.3</w:t>
      </w:r>
      <w:r w:rsidRPr="003F57EF">
        <w:rPr>
          <w:lang w:val="en-US"/>
        </w:rPr>
        <w:tab/>
      </w:r>
      <w:r w:rsidR="00B16007" w:rsidRPr="00EB2CC7">
        <w:rPr>
          <w:lang w:val="en-US"/>
        </w:rPr>
        <w:t xml:space="preserve">It should be noted that </w:t>
      </w:r>
      <w:r w:rsidR="00E1635E" w:rsidRPr="00EB2CC7">
        <w:rPr>
          <w:lang w:val="en-US"/>
        </w:rPr>
        <w:t>t</w:t>
      </w:r>
      <w:r w:rsidRPr="00EB2CC7">
        <w:rPr>
          <w:lang w:val="en-US"/>
        </w:rPr>
        <w:t>he status of arrears in relation t</w:t>
      </w:r>
      <w:r w:rsidR="005D2DC5" w:rsidRPr="00EB2CC7">
        <w:rPr>
          <w:lang w:val="en-US"/>
        </w:rPr>
        <w:t>o last year</w:t>
      </w:r>
      <w:r w:rsidR="00E1635E" w:rsidRPr="00EB2CC7">
        <w:rPr>
          <w:lang w:val="en-US"/>
        </w:rPr>
        <w:t xml:space="preserve"> showed a </w:t>
      </w:r>
      <w:r w:rsidR="00EB2CC7" w:rsidRPr="00EB2CC7">
        <w:rPr>
          <w:lang w:val="en-US"/>
        </w:rPr>
        <w:t>certain stability</w:t>
      </w:r>
      <w:r w:rsidR="00B3484B">
        <w:rPr>
          <w:lang w:val="en-US"/>
        </w:rPr>
        <w:t>.</w:t>
      </w:r>
      <w:r w:rsidR="00EB2CC7" w:rsidRPr="00EB2CC7">
        <w:rPr>
          <w:lang w:val="en-US"/>
        </w:rPr>
        <w:t xml:space="preserve"> </w:t>
      </w:r>
      <w:r w:rsidR="008F76A1">
        <w:rPr>
          <w:lang w:val="en-US"/>
        </w:rPr>
        <w:t>I</w:t>
      </w:r>
      <w:r w:rsidR="00EB2CC7" w:rsidRPr="00EB2CC7">
        <w:rPr>
          <w:lang w:val="en-US"/>
        </w:rPr>
        <w:t>n 2020, the arrears ha</w:t>
      </w:r>
      <w:r w:rsidR="00EB2CC7">
        <w:rPr>
          <w:lang w:val="en-US"/>
        </w:rPr>
        <w:t>d</w:t>
      </w:r>
      <w:r w:rsidR="00EB2CC7" w:rsidRPr="00EB2CC7">
        <w:rPr>
          <w:lang w:val="en-US"/>
        </w:rPr>
        <w:t xml:space="preserve"> a slight increase of 2 per cent compared to 2019 (39.8 million).</w:t>
      </w:r>
    </w:p>
    <w:bookmarkEnd w:id="10"/>
    <w:p w14:paraId="32C706FD" w14:textId="6188BC40" w:rsidR="00B468C4" w:rsidRPr="00B9612E" w:rsidRDefault="00B468C4" w:rsidP="005D2DC5">
      <w:pPr>
        <w:pStyle w:val="Heading1"/>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3" w:history="1">
        <w:r w:rsidR="005D2DC5" w:rsidRPr="00B9612E">
          <w:rPr>
            <w:rStyle w:val="Hyperlink"/>
            <w:rFonts w:asciiTheme="minorHAnsi" w:hAnsiTheme="minorHAnsi" w:cstheme="minorHAnsi"/>
            <w:lang w:val="en-US"/>
          </w:rPr>
          <w:t>Resolution 41 (Rev. Dubai, 2018</w:t>
        </w:r>
        <w:r w:rsidRPr="00B9612E">
          <w:rPr>
            <w:rStyle w:val="Hyperlink"/>
            <w:rFonts w:asciiTheme="minorHAnsi" w:hAnsiTheme="minorHAnsi" w:cstheme="minorHAnsi"/>
            <w:lang w:val="en-US"/>
          </w:rPr>
          <w:t>)</w:t>
        </w:r>
      </w:hyperlink>
    </w:p>
    <w:p w14:paraId="1863F8CC" w14:textId="386AD615"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FF3DB9">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FF3DB9">
        <w:rPr>
          <w:lang w:val="en-US"/>
        </w:rPr>
        <w:t>”</w:t>
      </w:r>
      <w:r w:rsidRPr="00DA050C">
        <w:rPr>
          <w:lang w:val="en-US"/>
        </w:rPr>
        <w:t>.</w:t>
      </w:r>
    </w:p>
    <w:p w14:paraId="4E4C5844" w14:textId="1BA41F8B" w:rsidR="00B468C4" w:rsidRPr="00F73DB7"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FF3DB9">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FF3DB9" w:rsidRPr="00F73DB7">
        <w:rPr>
          <w:lang w:val="en-US"/>
        </w:rPr>
        <w:t>”</w:t>
      </w:r>
      <w:r w:rsidRPr="00F73DB7">
        <w:rPr>
          <w:lang w:val="en-US"/>
        </w:rPr>
        <w:t xml:space="preserve">, while </w:t>
      </w:r>
      <w:r w:rsidRPr="00F73DB7">
        <w:rPr>
          <w:i/>
          <w:iCs/>
          <w:lang w:val="en-US"/>
        </w:rPr>
        <w:t>resolves</w:t>
      </w:r>
      <w:r w:rsidRPr="00F73DB7">
        <w:rPr>
          <w:lang w:val="en-US"/>
        </w:rPr>
        <w:t xml:space="preserve"> 7 stipulates that, </w:t>
      </w:r>
      <w:r w:rsidR="00FF3DB9" w:rsidRPr="00F73DB7">
        <w:rPr>
          <w:lang w:val="en-US"/>
        </w:rPr>
        <w:t>“</w:t>
      </w:r>
      <w:r w:rsidRPr="00F73DB7">
        <w:rPr>
          <w:lang w:val="en-US"/>
        </w:rPr>
        <w:t xml:space="preserve">with a view to retaining members and recovering past debts owed, the Secretary-General may have flexibility in implementing </w:t>
      </w:r>
      <w:r w:rsidRPr="00F73DB7">
        <w:rPr>
          <w:i/>
          <w:iCs/>
          <w:lang w:val="en-US"/>
        </w:rPr>
        <w:t>resolves</w:t>
      </w:r>
      <w:r w:rsidRPr="00F73DB7">
        <w:rPr>
          <w:lang w:val="en-US"/>
        </w:rPr>
        <w:t xml:space="preserve"> 6 of this resolution and negotiating repayment plans with Sector Members and Associates</w:t>
      </w:r>
      <w:r w:rsidR="00FF3DB9" w:rsidRPr="00F73DB7">
        <w:rPr>
          <w:lang w:val="en-US"/>
        </w:rPr>
        <w:t>”</w:t>
      </w:r>
      <w:r w:rsidRPr="00F73DB7">
        <w:rPr>
          <w:lang w:val="en-US"/>
        </w:rPr>
        <w:t>.</w:t>
      </w:r>
    </w:p>
    <w:p w14:paraId="27E87F08" w14:textId="2D3BD9DD" w:rsidR="000D1BEB" w:rsidRPr="00AA5005" w:rsidRDefault="00AA5005" w:rsidP="008455D9">
      <w:pPr>
        <w:jc w:val="both"/>
        <w:rPr>
          <w:lang w:val="en-US"/>
        </w:rPr>
      </w:pPr>
      <w:r>
        <w:rPr>
          <w:lang w:val="en-US"/>
        </w:rPr>
        <w:t>2.</w:t>
      </w:r>
      <w:r w:rsidR="00B468C4" w:rsidRPr="00DA050C">
        <w:rPr>
          <w:lang w:val="en-US"/>
        </w:rPr>
        <w:t>3</w:t>
      </w:r>
      <w:r w:rsidR="00B468C4" w:rsidRPr="00DA050C">
        <w:rPr>
          <w:lang w:val="en-US"/>
        </w:rPr>
        <w:tab/>
        <w:t xml:space="preserve">Finally, under No. 474 of the Convention, amounts due in respect of contributions </w:t>
      </w:r>
      <w:r w:rsidR="00FF3DB9">
        <w:rPr>
          <w:lang w:val="en-US"/>
        </w:rPr>
        <w:t>“</w:t>
      </w:r>
      <w:r w:rsidR="00B468C4"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FF3DB9">
        <w:rPr>
          <w:lang w:val="en-US"/>
        </w:rPr>
        <w:t>”</w:t>
      </w:r>
      <w:r w:rsidR="00F14CEE">
        <w:rPr>
          <w:lang w:val="en-US"/>
        </w:rPr>
        <w:t xml:space="preserve">. </w:t>
      </w:r>
      <w:proofErr w:type="gramStart"/>
      <w:r w:rsidR="000D1BEB" w:rsidRPr="00AA5005">
        <w:rPr>
          <w:lang w:val="en-US"/>
        </w:rPr>
        <w:t>At</w:t>
      </w:r>
      <w:proofErr w:type="gramEnd"/>
      <w:r w:rsidR="000D1BEB" w:rsidRPr="00AA5005">
        <w:rPr>
          <w:lang w:val="en-US"/>
        </w:rPr>
        <w:t xml:space="preserve"> 31 December 2020, interest of CHF 2 089 189.00 had been calculated on arrears of contributions owed.</w:t>
      </w:r>
    </w:p>
    <w:p w14:paraId="1CB3C7F7" w14:textId="5CC19165" w:rsidR="00B509F3" w:rsidRPr="00AA5005" w:rsidRDefault="00AA5005" w:rsidP="0094077E">
      <w:pPr>
        <w:keepNext/>
        <w:keepLines/>
        <w:jc w:val="both"/>
        <w:rPr>
          <w:lang w:val="en-US"/>
        </w:rPr>
      </w:pPr>
      <w:r w:rsidRPr="00AA5005">
        <w:rPr>
          <w:lang w:val="en-US"/>
        </w:rPr>
        <w:t>2.4</w:t>
      </w:r>
      <w:r w:rsidRPr="00AA5005">
        <w:rPr>
          <w:lang w:val="en-US"/>
        </w:rPr>
        <w:tab/>
      </w:r>
      <w:r w:rsidR="000D1BEB" w:rsidRPr="00AA5005">
        <w:rPr>
          <w:lang w:val="en-US"/>
        </w:rPr>
        <w:t xml:space="preserve">It should be noted that due to </w:t>
      </w:r>
      <w:r w:rsidR="000D1BEB" w:rsidRPr="00AA5005">
        <w:rPr>
          <w:rFonts w:asciiTheme="minorHAnsi" w:hAnsiTheme="minorHAnsi" w:cstheme="minorHAnsi"/>
          <w:lang w:val="en-US"/>
        </w:rPr>
        <w:t>Covid-19</w:t>
      </w:r>
      <w:r w:rsidRPr="00AA5005">
        <w:rPr>
          <w:rFonts w:asciiTheme="minorHAnsi" w:hAnsiTheme="minorHAnsi" w:cstheme="minorHAnsi"/>
          <w:lang w:val="en-US"/>
        </w:rPr>
        <w:t xml:space="preserve"> </w:t>
      </w:r>
      <w:r w:rsidR="000D1BEB" w:rsidRPr="00AA5005">
        <w:rPr>
          <w:rFonts w:asciiTheme="minorHAnsi" w:hAnsiTheme="minorHAnsi" w:cstheme="minorHAnsi"/>
          <w:lang w:val="en-US"/>
        </w:rPr>
        <w:t>and following numerous requests from members to extend the deadline to settle their 2020 contributions, the Secretary-General decided to grant a grace period of six months to all ITU members before applying default interest on arrears. Therefore, in 2020, the</w:t>
      </w:r>
      <w:r w:rsidRPr="00AA5005">
        <w:rPr>
          <w:rFonts w:asciiTheme="minorHAnsi" w:hAnsiTheme="minorHAnsi" w:cstheme="minorHAnsi"/>
          <w:lang w:val="en-US"/>
        </w:rPr>
        <w:t xml:space="preserve">re was a decrease of 28 per cent of revenue from contributions’ interest compared to last year. In 2019, the interest calculated on arrears of contributions owed amounted to </w:t>
      </w:r>
      <w:r w:rsidR="00D378A2" w:rsidRPr="00AA5005">
        <w:rPr>
          <w:lang w:val="en-US"/>
        </w:rPr>
        <w:t>CHF</w:t>
      </w:r>
      <w:r w:rsidR="005E5476">
        <w:rPr>
          <w:lang w:val="en-US"/>
        </w:rPr>
        <w:t> </w:t>
      </w:r>
      <w:r w:rsidR="000D1BEB" w:rsidRPr="00AA5005">
        <w:rPr>
          <w:lang w:val="en-US"/>
        </w:rPr>
        <w:t>2</w:t>
      </w:r>
      <w:r w:rsidR="00D378A2" w:rsidRPr="00AA5005">
        <w:rPr>
          <w:lang w:val="en-US"/>
        </w:rPr>
        <w:t> </w:t>
      </w:r>
      <w:r w:rsidR="00C5217F" w:rsidRPr="00AA5005">
        <w:rPr>
          <w:lang w:val="en-US"/>
        </w:rPr>
        <w:t>918</w:t>
      </w:r>
      <w:r w:rsidR="00D378A2" w:rsidRPr="00AA5005">
        <w:rPr>
          <w:lang w:val="en-US"/>
        </w:rPr>
        <w:t> </w:t>
      </w:r>
      <w:r w:rsidR="00C5217F" w:rsidRPr="00AA5005">
        <w:rPr>
          <w:lang w:val="en-US"/>
        </w:rPr>
        <w:t>350</w:t>
      </w:r>
      <w:r w:rsidR="004D62F7" w:rsidRPr="00AA5005">
        <w:rPr>
          <w:lang w:val="en-US"/>
        </w:rPr>
        <w:t>.00</w:t>
      </w:r>
      <w:r w:rsidRPr="00AA5005">
        <w:rPr>
          <w:lang w:val="en-US"/>
        </w:rPr>
        <w:t>.</w:t>
      </w:r>
    </w:p>
    <w:p w14:paraId="5C446769" w14:textId="170D1E06" w:rsidR="00B468C4" w:rsidRPr="00DA050C" w:rsidRDefault="00B468C4" w:rsidP="008455D9">
      <w:pPr>
        <w:jc w:val="both"/>
        <w:rPr>
          <w:lang w:val="en-US"/>
        </w:rPr>
      </w:pPr>
      <w:r w:rsidRPr="00DA050C">
        <w:rPr>
          <w:lang w:val="en-US"/>
        </w:rPr>
        <w:t>2.</w:t>
      </w:r>
      <w:r w:rsidR="00AA5005">
        <w:rPr>
          <w:lang w:val="en-US"/>
        </w:rPr>
        <w:t>5</w:t>
      </w:r>
      <w:r w:rsidRPr="00DA050C">
        <w:rPr>
          <w:lang w:val="en-US"/>
        </w:rPr>
        <w:tab/>
      </w:r>
      <w:r w:rsidRPr="00C5217F">
        <w:rPr>
          <w:lang w:val="en-US"/>
        </w:rPr>
        <w:t xml:space="preserve">A statement of account is sent to each </w:t>
      </w:r>
      <w:r w:rsidRPr="00AA5005">
        <w:rPr>
          <w:lang w:val="en-US"/>
        </w:rPr>
        <w:t xml:space="preserve">debtor </w:t>
      </w:r>
      <w:r w:rsidR="00C5217F" w:rsidRPr="00AA5005">
        <w:rPr>
          <w:lang w:val="en-US"/>
        </w:rPr>
        <w:t>three</w:t>
      </w:r>
      <w:r w:rsidRPr="00AA5005">
        <w:rPr>
          <w:lang w:val="en-US"/>
        </w:rPr>
        <w:t xml:space="preserve"> times </w:t>
      </w:r>
      <w:r w:rsidRPr="00C5217F">
        <w:rPr>
          <w:lang w:val="en-US"/>
        </w:rPr>
        <w:t xml:space="preserve">a year, and the </w:t>
      </w:r>
      <w:r w:rsidRPr="00DA050C">
        <w:rPr>
          <w:lang w:val="en-US"/>
        </w:rPr>
        <w:t>outstanding amounts are given in the Finance Circular issued by the Financial Resources Management Department.</w:t>
      </w:r>
    </w:p>
    <w:p w14:paraId="47400122" w14:textId="0FA8A218" w:rsidR="00B468C4" w:rsidRPr="00DA050C" w:rsidRDefault="00B468C4" w:rsidP="008455D9">
      <w:pPr>
        <w:jc w:val="both"/>
        <w:rPr>
          <w:lang w:val="en-US"/>
        </w:rPr>
      </w:pPr>
      <w:r w:rsidRPr="00DA050C">
        <w:rPr>
          <w:lang w:val="en-US"/>
        </w:rPr>
        <w:lastRenderedPageBreak/>
        <w:t>2.</w:t>
      </w:r>
      <w:r w:rsidR="00AA5005">
        <w:rPr>
          <w:lang w:val="en-US"/>
        </w:rPr>
        <w:t>6</w:t>
      </w:r>
      <w:r w:rsidRPr="00DA050C">
        <w:rPr>
          <w:lang w:val="en-US"/>
        </w:rPr>
        <w:tab/>
        <w:t xml:space="preserve">Each year, a reminder is sent to Member States which have lost their right to </w:t>
      </w:r>
      <w:proofErr w:type="gramStart"/>
      <w:r w:rsidRPr="00DA050C">
        <w:rPr>
          <w:lang w:val="en-US"/>
        </w:rPr>
        <w:t>vote</w:t>
      </w:r>
      <w:proofErr w:type="gramEnd"/>
      <w:r w:rsidRPr="00DA050C">
        <w:rPr>
          <w:lang w:val="en-US"/>
        </w:rPr>
        <w:t xml:space="preserve"> or which are liable to lose their right to vote in the following year if their arrears are not settled. Member States in arrears for publications are also reminded that unless their arrears are settled, publications will be delivered only against prepayment.</w:t>
      </w:r>
    </w:p>
    <w:p w14:paraId="7D7854F5" w14:textId="207BE1FF" w:rsidR="00B468C4" w:rsidRPr="00DA050C" w:rsidRDefault="00B468C4" w:rsidP="00F06F8E">
      <w:pPr>
        <w:jc w:val="both"/>
        <w:rPr>
          <w:lang w:val="en-US"/>
        </w:rPr>
      </w:pPr>
      <w:r w:rsidRPr="00DA050C">
        <w:rPr>
          <w:lang w:val="en-US"/>
        </w:rPr>
        <w:t>2.</w:t>
      </w:r>
      <w:r w:rsidR="00AA5005">
        <w:rPr>
          <w:lang w:val="en-US"/>
        </w:rPr>
        <w:t>7</w:t>
      </w:r>
      <w:r w:rsidRPr="00DA050C">
        <w:rPr>
          <w:lang w:val="en-US"/>
        </w:rPr>
        <w:tab/>
        <w:t xml:space="preserve">The Secretary-General has taken all possible actions to reduce outstanding amounts, including special reminders </w:t>
      </w:r>
      <w:r w:rsidR="00AA5884">
        <w:rPr>
          <w:lang w:val="en-US"/>
        </w:rPr>
        <w:t>a</w:t>
      </w:r>
      <w:r w:rsidRPr="00DA050C">
        <w:rPr>
          <w:lang w:val="en-US"/>
        </w:rPr>
        <w:t>nd ongoing efforts by all the regional offices of the Union.</w:t>
      </w:r>
    </w:p>
    <w:p w14:paraId="0C603285" w14:textId="0F987991" w:rsidR="00B468C4" w:rsidRPr="00F06F8E" w:rsidRDefault="00B468C4" w:rsidP="008455D9">
      <w:pPr>
        <w:jc w:val="both"/>
        <w:rPr>
          <w:lang w:val="en-US"/>
        </w:rPr>
      </w:pPr>
      <w:r w:rsidRPr="00DA050C">
        <w:rPr>
          <w:lang w:val="en-US"/>
        </w:rPr>
        <w:t>2.</w:t>
      </w:r>
      <w:r w:rsidR="00AA5005">
        <w:rPr>
          <w:lang w:val="en-US"/>
        </w:rPr>
        <w:t>8</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14:paraId="617EC100" w14:textId="1715D782" w:rsidR="00B468C4" w:rsidRPr="00DA050C" w:rsidRDefault="00B468C4">
      <w:pPr>
        <w:jc w:val="both"/>
        <w:rPr>
          <w:lang w:val="en-US"/>
        </w:rPr>
      </w:pPr>
      <w:r w:rsidRPr="00F06F8E">
        <w:rPr>
          <w:lang w:val="en-US"/>
        </w:rPr>
        <w:t>2.</w:t>
      </w:r>
      <w:r w:rsidR="00AA5005">
        <w:rPr>
          <w:lang w:val="en-US"/>
        </w:rPr>
        <w:t>9</w:t>
      </w:r>
      <w:r w:rsidRPr="00F06F8E">
        <w:rPr>
          <w:lang w:val="en-US"/>
        </w:rPr>
        <w:tab/>
        <w:t>Sector Members, Associates</w:t>
      </w:r>
      <w:r w:rsidR="00487610">
        <w:rPr>
          <w:lang w:val="en-US"/>
        </w:rPr>
        <w:t>,</w:t>
      </w:r>
      <w:r w:rsidRPr="00F06F8E">
        <w:rPr>
          <w:lang w:val="en-US"/>
        </w:rPr>
        <w:t xml:space="preserve">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 xml:space="preserve">not complied with the agreed terms of settlement have been informed of the suspension of their participation in the work of the Sector(s) or, as appropriate, study group concerned. They receive regular reminders of the amounts that need to be settled </w:t>
      </w:r>
      <w:proofErr w:type="gramStart"/>
      <w:r w:rsidRPr="00DA050C">
        <w:rPr>
          <w:lang w:val="en-US"/>
        </w:rPr>
        <w:t>in order for</w:t>
      </w:r>
      <w:proofErr w:type="gramEnd"/>
      <w:r w:rsidRPr="00DA050C">
        <w:rPr>
          <w:lang w:val="en-US"/>
        </w:rPr>
        <w:t xml:space="preserve"> them to recover the right to participate in the work of the Union.</w:t>
      </w:r>
    </w:p>
    <w:p w14:paraId="56BF0F0A" w14:textId="3998BE5B" w:rsidR="007E475C" w:rsidRPr="00A95807" w:rsidRDefault="00B468C4" w:rsidP="00F06F8E">
      <w:pPr>
        <w:jc w:val="both"/>
        <w:rPr>
          <w:lang w:val="en-US"/>
        </w:rPr>
      </w:pPr>
      <w:bookmarkStart w:id="11" w:name="_Hlk40343108"/>
      <w:bookmarkStart w:id="12" w:name="_Hlk40343128"/>
      <w:r w:rsidRPr="00DA050C">
        <w:rPr>
          <w:lang w:val="en-US"/>
        </w:rPr>
        <w:t>2.</w:t>
      </w:r>
      <w:r w:rsidR="00AA5005">
        <w:rPr>
          <w:lang w:val="en-US"/>
        </w:rPr>
        <w:t>10</w:t>
      </w:r>
      <w:r w:rsidR="00AA5005">
        <w:rPr>
          <w:lang w:val="en-US"/>
        </w:rPr>
        <w:tab/>
      </w:r>
      <w:r w:rsidRPr="00A95807">
        <w:rPr>
          <w:lang w:val="en-US"/>
        </w:rPr>
        <w:t>Pursu</w:t>
      </w:r>
      <w:r w:rsidR="005D2DC5" w:rsidRPr="00A95807">
        <w:rPr>
          <w:lang w:val="en-US"/>
        </w:rPr>
        <w:t>ant to Resolution 41 (Rev. Dubai, 2018</w:t>
      </w:r>
      <w:r w:rsidRPr="00A95807">
        <w:rPr>
          <w:lang w:val="en-US"/>
        </w:rPr>
        <w:t xml:space="preserve">), </w:t>
      </w:r>
      <w:r w:rsidR="00A95807" w:rsidRPr="00A95807">
        <w:rPr>
          <w:lang w:val="en-US"/>
        </w:rPr>
        <w:t xml:space="preserve">one new special arrears account with a Member State was opened by the Secretary-General in </w:t>
      </w:r>
      <w:r w:rsidR="009A6221" w:rsidRPr="00A95807">
        <w:rPr>
          <w:lang w:val="en-US"/>
        </w:rPr>
        <w:t>20</w:t>
      </w:r>
      <w:r w:rsidR="000B053B">
        <w:rPr>
          <w:lang w:val="en-US"/>
        </w:rPr>
        <w:t>20</w:t>
      </w:r>
      <w:r w:rsidR="00A95807" w:rsidRPr="00A95807">
        <w:rPr>
          <w:lang w:val="en-US"/>
        </w:rPr>
        <w:t>. The Secretary-General thus signed a fifteen-year repayment agreement with Liberia.</w:t>
      </w:r>
      <w:bookmarkEnd w:id="11"/>
    </w:p>
    <w:bookmarkEnd w:id="12"/>
    <w:p w14:paraId="7AB0DE00" w14:textId="65A44F07" w:rsidR="00B468C4" w:rsidRPr="005E5476" w:rsidRDefault="009D48EA" w:rsidP="004969E0">
      <w:pPr>
        <w:jc w:val="both"/>
        <w:rPr>
          <w:lang w:val="en-US"/>
        </w:rPr>
      </w:pPr>
      <w:r>
        <w:rPr>
          <w:lang w:val="en-US"/>
        </w:rPr>
        <w:t>2.1</w:t>
      </w:r>
      <w:r w:rsidR="00AA5005">
        <w:rPr>
          <w:lang w:val="en-US"/>
        </w:rPr>
        <w:t>1</w:t>
      </w:r>
      <w:r>
        <w:rPr>
          <w:lang w:val="en-US"/>
        </w:rPr>
        <w:tab/>
      </w:r>
      <w:r w:rsidRPr="00A95807">
        <w:rPr>
          <w:lang w:val="en-US"/>
        </w:rPr>
        <w:t>The Administration</w:t>
      </w:r>
      <w:r w:rsidR="009A6221" w:rsidRPr="00A95807">
        <w:rPr>
          <w:lang w:val="en-US"/>
        </w:rPr>
        <w:t>s</w:t>
      </w:r>
      <w:r w:rsidR="00B468C4" w:rsidRPr="00A95807">
        <w:rPr>
          <w:lang w:val="en-US"/>
        </w:rPr>
        <w:t xml:space="preserve"> of </w:t>
      </w:r>
      <w:r w:rsidR="00684254" w:rsidRPr="00A95807">
        <w:rPr>
          <w:lang w:val="en-US"/>
        </w:rPr>
        <w:t>C</w:t>
      </w:r>
      <w:r w:rsidR="00A95807" w:rsidRPr="00A95807">
        <w:rPr>
          <w:lang w:val="en-US"/>
        </w:rPr>
        <w:t>entral</w:t>
      </w:r>
      <w:r w:rsidR="00487610">
        <w:rPr>
          <w:lang w:val="en-US"/>
        </w:rPr>
        <w:t xml:space="preserve"> </w:t>
      </w:r>
      <w:r w:rsidR="00A95807" w:rsidRPr="00A95807">
        <w:rPr>
          <w:lang w:val="en-US"/>
        </w:rPr>
        <w:t>African Republic</w:t>
      </w:r>
      <w:r w:rsidR="000938CD">
        <w:rPr>
          <w:lang w:val="en-US"/>
        </w:rPr>
        <w:t xml:space="preserve"> and </w:t>
      </w:r>
      <w:r w:rsidR="00A95807" w:rsidRPr="00A95807">
        <w:rPr>
          <w:lang w:val="en-US"/>
        </w:rPr>
        <w:t>Gabon h</w:t>
      </w:r>
      <w:r w:rsidRPr="00A95807">
        <w:rPr>
          <w:lang w:val="en-US"/>
        </w:rPr>
        <w:t>a</w:t>
      </w:r>
      <w:r w:rsidR="00684254" w:rsidRPr="00A95807">
        <w:rPr>
          <w:lang w:val="en-US"/>
        </w:rPr>
        <w:t>ve</w:t>
      </w:r>
      <w:r w:rsidRPr="00A95807">
        <w:rPr>
          <w:lang w:val="en-US"/>
        </w:rPr>
        <w:t xml:space="preserve"> failed to comply with </w:t>
      </w:r>
      <w:r w:rsidR="00684254" w:rsidRPr="00A95807">
        <w:rPr>
          <w:lang w:val="en-US"/>
        </w:rPr>
        <w:t>their</w:t>
      </w:r>
      <w:r w:rsidRPr="00A95807">
        <w:rPr>
          <w:lang w:val="en-US"/>
        </w:rPr>
        <w:t xml:space="preserve"> repayment schedule</w:t>
      </w:r>
      <w:r w:rsidR="00684254" w:rsidRPr="00A95807">
        <w:rPr>
          <w:lang w:val="en-US"/>
        </w:rPr>
        <w:t>s</w:t>
      </w:r>
      <w:r w:rsidR="00B041DF" w:rsidRPr="00A95807">
        <w:rPr>
          <w:lang w:val="en-US"/>
        </w:rPr>
        <w:t xml:space="preserve">, and </w:t>
      </w:r>
      <w:r w:rsidR="00684254" w:rsidRPr="00A95807">
        <w:rPr>
          <w:lang w:val="en-US"/>
        </w:rPr>
        <w:t xml:space="preserve">their </w:t>
      </w:r>
      <w:r w:rsidR="00B041DF" w:rsidRPr="00A95807">
        <w:rPr>
          <w:lang w:val="en-US"/>
        </w:rPr>
        <w:t>special arrears account</w:t>
      </w:r>
      <w:r w:rsidR="005E5476">
        <w:rPr>
          <w:lang w:val="en-US"/>
        </w:rPr>
        <w:t>s</w:t>
      </w:r>
      <w:r w:rsidR="00B041DF" w:rsidRPr="00A95807">
        <w:rPr>
          <w:lang w:val="en-US"/>
        </w:rPr>
        <w:t xml:space="preserve"> ha</w:t>
      </w:r>
      <w:r w:rsidR="00684254" w:rsidRPr="00A95807">
        <w:rPr>
          <w:lang w:val="en-US"/>
        </w:rPr>
        <w:t>ve</w:t>
      </w:r>
      <w:r w:rsidR="00B468C4" w:rsidRPr="00A95807">
        <w:rPr>
          <w:lang w:val="en-US"/>
        </w:rPr>
        <w:t xml:space="preserve"> therefore been cancelled.</w:t>
      </w:r>
    </w:p>
    <w:p w14:paraId="6E41B15D" w14:textId="3F5329B7" w:rsidR="00B468C4" w:rsidRPr="000938CD" w:rsidRDefault="00B468C4" w:rsidP="004F62DC">
      <w:pPr>
        <w:jc w:val="both"/>
        <w:rPr>
          <w:rFonts w:eastAsia="SimSun"/>
          <w:lang w:val="en-US" w:eastAsia="zh-CN"/>
        </w:rPr>
      </w:pPr>
      <w:r w:rsidRPr="000938CD">
        <w:rPr>
          <w:lang w:val="en-US"/>
        </w:rPr>
        <w:t>2.1</w:t>
      </w:r>
      <w:r w:rsidR="00AA5005" w:rsidRPr="000938CD">
        <w:rPr>
          <w:lang w:val="en-US"/>
        </w:rPr>
        <w:t>2</w:t>
      </w:r>
      <w:r w:rsidRPr="000938CD">
        <w:rPr>
          <w:lang w:val="en-US"/>
        </w:rPr>
        <w:tab/>
      </w:r>
      <w:r w:rsidRPr="000938CD">
        <w:rPr>
          <w:rFonts w:eastAsia="SimSun"/>
          <w:lang w:val="en-US" w:eastAsia="zh-CN"/>
        </w:rPr>
        <w:t xml:space="preserve">Attention is also drawn to the fact that </w:t>
      </w:r>
      <w:r w:rsidR="000938CD" w:rsidRPr="000938CD">
        <w:rPr>
          <w:rFonts w:eastAsia="SimSun"/>
          <w:lang w:val="en-US" w:eastAsia="zh-CN"/>
        </w:rPr>
        <w:t>ten</w:t>
      </w:r>
      <w:r w:rsidRPr="000938CD">
        <w:rPr>
          <w:rFonts w:eastAsia="SimSun"/>
          <w:lang w:val="en-US" w:eastAsia="zh-CN"/>
        </w:rPr>
        <w:t xml:space="preserve"> other accounts </w:t>
      </w:r>
      <w:r w:rsidR="004B72BC" w:rsidRPr="000938CD">
        <w:rPr>
          <w:rFonts w:eastAsia="SimSun"/>
          <w:lang w:val="en-US" w:eastAsia="zh-CN"/>
        </w:rPr>
        <w:t>had been cancelled prior to 20</w:t>
      </w:r>
      <w:r w:rsidR="000938CD" w:rsidRPr="000938CD">
        <w:rPr>
          <w:rFonts w:eastAsia="SimSun"/>
          <w:lang w:val="en-US" w:eastAsia="zh-CN"/>
        </w:rPr>
        <w:t>20</w:t>
      </w:r>
      <w:r w:rsidR="004D767B" w:rsidRPr="000938CD">
        <w:rPr>
          <w:rFonts w:eastAsia="SimSun"/>
          <w:lang w:val="en-US" w:eastAsia="zh-CN"/>
        </w:rPr>
        <w:t xml:space="preserve">. </w:t>
      </w:r>
      <w:r w:rsidRPr="000938CD">
        <w:rPr>
          <w:rFonts w:eastAsia="SimSun"/>
          <w:lang w:val="en-US" w:eastAsia="zh-CN"/>
        </w:rPr>
        <w:t xml:space="preserve">The Member States </w:t>
      </w:r>
      <w:r w:rsidR="004F62DC" w:rsidRPr="000938CD">
        <w:rPr>
          <w:rFonts w:eastAsia="SimSun"/>
          <w:lang w:val="en-US" w:eastAsia="zh-CN"/>
        </w:rPr>
        <w:t>(</w:t>
      </w:r>
      <w:r w:rsidR="000938CD" w:rsidRPr="000938CD">
        <w:rPr>
          <w:rFonts w:eastAsia="SimSun"/>
          <w:lang w:val="en-US" w:eastAsia="zh-CN"/>
        </w:rPr>
        <w:t>Comor</w:t>
      </w:r>
      <w:r w:rsidR="00487610">
        <w:rPr>
          <w:rFonts w:eastAsia="SimSun"/>
          <w:lang w:val="en-US" w:eastAsia="zh-CN"/>
        </w:rPr>
        <w:t>o</w:t>
      </w:r>
      <w:r w:rsidR="000938CD" w:rsidRPr="000938CD">
        <w:rPr>
          <w:rFonts w:eastAsia="SimSun"/>
          <w:lang w:val="en-US" w:eastAsia="zh-CN"/>
        </w:rPr>
        <w:t>s, Equatorial Guinea, Gambia, Guinea-</w:t>
      </w:r>
      <w:r w:rsidR="00487610" w:rsidRPr="000938CD">
        <w:rPr>
          <w:rFonts w:eastAsia="SimSun"/>
          <w:lang w:val="en-US" w:eastAsia="zh-CN"/>
        </w:rPr>
        <w:t>Bissau</w:t>
      </w:r>
      <w:r w:rsidR="000938CD" w:rsidRPr="000938CD">
        <w:rPr>
          <w:rFonts w:eastAsia="SimSun"/>
          <w:lang w:val="en-US" w:eastAsia="zh-CN"/>
        </w:rPr>
        <w:t>, Nicaragua</w:t>
      </w:r>
      <w:r w:rsidR="00487610">
        <w:rPr>
          <w:rFonts w:eastAsia="SimSun"/>
          <w:lang w:val="en-US" w:eastAsia="zh-CN"/>
        </w:rPr>
        <w:t>,</w:t>
      </w:r>
      <w:r w:rsidR="004F62DC" w:rsidRPr="000938CD">
        <w:rPr>
          <w:rFonts w:eastAsia="SimSun"/>
          <w:lang w:val="en-US" w:eastAsia="zh-CN"/>
        </w:rPr>
        <w:t xml:space="preserve"> </w:t>
      </w:r>
      <w:r w:rsidR="000938CD" w:rsidRPr="000938CD">
        <w:rPr>
          <w:rFonts w:eastAsia="SimSun"/>
          <w:lang w:val="en-US" w:eastAsia="zh-CN"/>
        </w:rPr>
        <w:t>and Sierra Leone</w:t>
      </w:r>
      <w:r w:rsidR="004F62DC" w:rsidRPr="000938CD">
        <w:rPr>
          <w:rFonts w:eastAsia="SimSun"/>
          <w:lang w:val="en-US" w:eastAsia="zh-CN"/>
        </w:rPr>
        <w:t xml:space="preserve">) as well </w:t>
      </w:r>
      <w:r w:rsidR="00B25B5D" w:rsidRPr="000938CD">
        <w:rPr>
          <w:rFonts w:eastAsia="SimSun"/>
          <w:lang w:val="en-US" w:eastAsia="zh-CN"/>
        </w:rPr>
        <w:t xml:space="preserve">as </w:t>
      </w:r>
      <w:r w:rsidR="004F62DC" w:rsidRPr="000938CD">
        <w:rPr>
          <w:rFonts w:eastAsia="SimSun"/>
          <w:lang w:val="en-US" w:eastAsia="zh-CN"/>
        </w:rPr>
        <w:t xml:space="preserve">the Entities </w:t>
      </w:r>
      <w:r w:rsidR="00B25B5D" w:rsidRPr="000938CD">
        <w:rPr>
          <w:rFonts w:eastAsia="SimSun"/>
          <w:lang w:val="en-US" w:eastAsia="zh-CN"/>
        </w:rPr>
        <w:t xml:space="preserve">concerned </w:t>
      </w:r>
      <w:r w:rsidR="00487610">
        <w:rPr>
          <w:rFonts w:eastAsia="SimSun"/>
          <w:lang w:val="en-US" w:eastAsia="zh-CN"/>
        </w:rPr>
        <w:t>(</w:t>
      </w:r>
      <w:proofErr w:type="spellStart"/>
      <w:r w:rsidR="004F62DC" w:rsidRPr="000938CD">
        <w:rPr>
          <w:rFonts w:eastAsia="SimSun"/>
          <w:lang w:val="en-US" w:eastAsia="zh-CN"/>
        </w:rPr>
        <w:t>Apprentissages</w:t>
      </w:r>
      <w:proofErr w:type="spellEnd"/>
      <w:r w:rsidR="004F62DC" w:rsidRPr="000938CD">
        <w:rPr>
          <w:rFonts w:eastAsia="SimSun"/>
          <w:lang w:val="en-US" w:eastAsia="zh-CN"/>
        </w:rPr>
        <w:t xml:space="preserve"> sans </w:t>
      </w:r>
      <w:proofErr w:type="spellStart"/>
      <w:r w:rsidR="004F62DC" w:rsidRPr="000938CD">
        <w:rPr>
          <w:rFonts w:eastAsia="SimSun"/>
          <w:lang w:val="en-US" w:eastAsia="zh-CN"/>
        </w:rPr>
        <w:t>Frontières</w:t>
      </w:r>
      <w:proofErr w:type="spellEnd"/>
      <w:r w:rsidR="00B25B5D" w:rsidRPr="000938CD">
        <w:rPr>
          <w:rFonts w:eastAsia="SimSun"/>
          <w:lang w:val="en-US" w:eastAsia="zh-CN"/>
        </w:rPr>
        <w:t xml:space="preserve"> (Switzerland)</w:t>
      </w:r>
      <w:r w:rsidR="004F62DC" w:rsidRPr="000938CD">
        <w:rPr>
          <w:rFonts w:eastAsia="SimSun"/>
          <w:lang w:val="en-US" w:eastAsia="zh-CN"/>
        </w:rPr>
        <w:t>, Cameroon Telecommunications</w:t>
      </w:r>
      <w:r w:rsidR="00B25B5D" w:rsidRPr="000938CD">
        <w:rPr>
          <w:rFonts w:eastAsia="SimSun"/>
          <w:lang w:val="en-US" w:eastAsia="zh-CN"/>
        </w:rPr>
        <w:t xml:space="preserve"> (CAMTEL)</w:t>
      </w:r>
      <w:r w:rsidR="004F62DC" w:rsidRPr="000938CD">
        <w:rPr>
          <w:rFonts w:eastAsia="SimSun"/>
          <w:lang w:val="en-US" w:eastAsia="zh-CN"/>
        </w:rPr>
        <w:t xml:space="preserve">, </w:t>
      </w:r>
      <w:proofErr w:type="spellStart"/>
      <w:r w:rsidR="004F62DC" w:rsidRPr="007C52F5">
        <w:rPr>
          <w:rFonts w:eastAsia="SimSun"/>
          <w:lang w:val="en-US" w:eastAsia="zh-CN"/>
        </w:rPr>
        <w:t>Ellipsat</w:t>
      </w:r>
      <w:proofErr w:type="spellEnd"/>
      <w:r w:rsidR="004F62DC" w:rsidRPr="007C52F5">
        <w:rPr>
          <w:rFonts w:eastAsia="SimSun"/>
          <w:lang w:val="en-US" w:eastAsia="zh-CN"/>
        </w:rPr>
        <w:t xml:space="preserve"> </w:t>
      </w:r>
      <w:r w:rsidR="00B25B5D" w:rsidRPr="007C52F5">
        <w:rPr>
          <w:rFonts w:eastAsia="SimSun"/>
          <w:lang w:val="en-US" w:eastAsia="zh-CN"/>
        </w:rPr>
        <w:t>Inc.</w:t>
      </w:r>
      <w:r w:rsidR="00B25B5D" w:rsidRPr="000938CD">
        <w:rPr>
          <w:rFonts w:eastAsia="SimSun"/>
          <w:lang w:val="en-US" w:eastAsia="zh-CN"/>
        </w:rPr>
        <w:t xml:space="preserve"> (U</w:t>
      </w:r>
      <w:r w:rsidR="007F7AB8">
        <w:rPr>
          <w:rFonts w:eastAsia="SimSun"/>
          <w:lang w:val="en-US" w:eastAsia="zh-CN"/>
        </w:rPr>
        <w:t>nited States of America</w:t>
      </w:r>
      <w:r w:rsidR="00B25B5D" w:rsidRPr="000938CD">
        <w:rPr>
          <w:rFonts w:eastAsia="SimSun"/>
          <w:lang w:val="en-US" w:eastAsia="zh-CN"/>
        </w:rPr>
        <w:t xml:space="preserve">) </w:t>
      </w:r>
      <w:r w:rsidR="004F62DC" w:rsidRPr="000938CD">
        <w:rPr>
          <w:rFonts w:eastAsia="SimSun"/>
          <w:lang w:val="en-US" w:eastAsia="zh-CN"/>
        </w:rPr>
        <w:t>and</w:t>
      </w:r>
      <w:r w:rsidR="00B25B5D" w:rsidRPr="000938CD">
        <w:rPr>
          <w:rFonts w:eastAsia="SimSun"/>
          <w:lang w:val="en-US" w:eastAsia="zh-CN"/>
        </w:rPr>
        <w:t xml:space="preserve"> Telecommunication Information Technology (TIT, Lebanon))</w:t>
      </w:r>
      <w:r w:rsidR="004F62DC" w:rsidRPr="000938CD">
        <w:rPr>
          <w:rFonts w:eastAsia="SimSun"/>
          <w:lang w:val="en-US" w:eastAsia="zh-CN"/>
        </w:rPr>
        <w:t xml:space="preserve"> </w:t>
      </w:r>
      <w:r w:rsidR="005F3B12" w:rsidRPr="000938CD">
        <w:rPr>
          <w:rFonts w:eastAsia="SimSun"/>
          <w:lang w:val="en-US" w:eastAsia="zh-CN"/>
        </w:rPr>
        <w:t xml:space="preserve">are thus obliged to negotiate </w:t>
      </w:r>
      <w:r w:rsidRPr="000938CD">
        <w:rPr>
          <w:rFonts w:eastAsia="SimSun"/>
          <w:lang w:val="en-US" w:eastAsia="zh-CN"/>
        </w:rPr>
        <w:t>new repayment schedule</w:t>
      </w:r>
      <w:r w:rsidR="00B25B5D" w:rsidRPr="000938CD">
        <w:rPr>
          <w:rFonts w:eastAsia="SimSun"/>
          <w:lang w:val="en-US" w:eastAsia="zh-CN"/>
        </w:rPr>
        <w:t>s</w:t>
      </w:r>
      <w:r w:rsidRPr="000938CD">
        <w:rPr>
          <w:rFonts w:eastAsia="SimSun"/>
          <w:lang w:val="en-US" w:eastAsia="zh-CN"/>
        </w:rPr>
        <w:t xml:space="preserve"> for their respective debts in accordance with the guidelines laid down by the Council. All other Member States, Sector Members</w:t>
      </w:r>
      <w:r w:rsidR="00487610">
        <w:rPr>
          <w:rFonts w:eastAsia="SimSun"/>
          <w:lang w:val="en-US" w:eastAsia="zh-CN"/>
        </w:rPr>
        <w:t>,</w:t>
      </w:r>
      <w:r w:rsidRPr="000938CD">
        <w:rPr>
          <w:rFonts w:eastAsia="SimSun"/>
          <w:lang w:val="en-US" w:eastAsia="zh-CN"/>
        </w:rPr>
        <w:t xml:space="preserve"> and Associates are strictly complying with their agreed repayment schedules.</w:t>
      </w:r>
    </w:p>
    <w:p w14:paraId="693E374A" w14:textId="050928F6" w:rsidR="00F5770F" w:rsidRPr="00CE583C" w:rsidRDefault="00F5770F" w:rsidP="00B9612E">
      <w:pPr>
        <w:jc w:val="both"/>
        <w:rPr>
          <w:lang w:val="en-US"/>
        </w:rPr>
      </w:pPr>
      <w:r w:rsidRPr="00641545">
        <w:rPr>
          <w:rFonts w:eastAsia="SimSun"/>
          <w:lang w:val="en-US" w:eastAsia="zh-CN"/>
        </w:rPr>
        <w:t>2.1</w:t>
      </w:r>
      <w:r w:rsidR="00AA5005">
        <w:rPr>
          <w:rFonts w:eastAsia="SimSun"/>
          <w:lang w:val="en-US" w:eastAsia="zh-CN"/>
        </w:rPr>
        <w:t>3</w:t>
      </w:r>
      <w:r w:rsidRPr="00641545">
        <w:rPr>
          <w:rFonts w:eastAsia="SimSun"/>
          <w:lang w:val="en-US" w:eastAsia="zh-CN"/>
        </w:rPr>
        <w:tab/>
      </w:r>
      <w:r w:rsidRPr="00412F81">
        <w:rPr>
          <w:lang w:val="en-US"/>
        </w:rPr>
        <w:t>Regarding satellite network filings</w:t>
      </w:r>
      <w:r w:rsidR="009F2427" w:rsidRPr="00412F81">
        <w:rPr>
          <w:lang w:val="en-US"/>
        </w:rPr>
        <w:t xml:space="preserve"> (SNF)</w:t>
      </w:r>
      <w:r w:rsidRPr="00412F81">
        <w:rPr>
          <w:lang w:val="en-US"/>
        </w:rPr>
        <w:t>, pursuant to Decision 545 (Council 2007), of the 28 administrations/operators that were entitled to</w:t>
      </w:r>
      <w:r w:rsidR="003654E8" w:rsidRPr="00412F81">
        <w:rPr>
          <w:lang w:val="en-US"/>
        </w:rPr>
        <w:t xml:space="preserve"> have their invoices revised, 2</w:t>
      </w:r>
      <w:r w:rsidR="001A5E80" w:rsidRPr="00412F81">
        <w:rPr>
          <w:lang w:val="en-US"/>
        </w:rPr>
        <w:t>7</w:t>
      </w:r>
      <w:r w:rsidRPr="00412F81">
        <w:rPr>
          <w:lang w:val="en-US"/>
        </w:rPr>
        <w:t xml:space="preserve"> have settled their debts, and one has signed a repayment schedule </w:t>
      </w:r>
      <w:r w:rsidRPr="007C52F5">
        <w:rPr>
          <w:lang w:val="en-US"/>
        </w:rPr>
        <w:t>(</w:t>
      </w:r>
      <w:proofErr w:type="spellStart"/>
      <w:r w:rsidRPr="007C52F5">
        <w:rPr>
          <w:lang w:val="en-US"/>
        </w:rPr>
        <w:t>Ellipsat</w:t>
      </w:r>
      <w:proofErr w:type="spellEnd"/>
      <w:r w:rsidR="007C52F5">
        <w:rPr>
          <w:lang w:val="en-US"/>
        </w:rPr>
        <w:t xml:space="preserve"> Inc.</w:t>
      </w:r>
      <w:r w:rsidRPr="00412F81">
        <w:rPr>
          <w:lang w:val="en-US"/>
        </w:rPr>
        <w:t xml:space="preserve">, United States of America, including the debt of the former Virtual </w:t>
      </w:r>
      <w:proofErr w:type="spellStart"/>
      <w:r w:rsidRPr="00412F81">
        <w:rPr>
          <w:lang w:val="en-US"/>
        </w:rPr>
        <w:t>Geosatellite</w:t>
      </w:r>
      <w:proofErr w:type="spellEnd"/>
      <w:r w:rsidRPr="00412F81">
        <w:rPr>
          <w:lang w:val="en-US"/>
        </w:rPr>
        <w:t xml:space="preserve">, bought by </w:t>
      </w:r>
      <w:proofErr w:type="spellStart"/>
      <w:r w:rsidRPr="007C52F5">
        <w:rPr>
          <w:lang w:val="en-US"/>
        </w:rPr>
        <w:t>Ellipsat</w:t>
      </w:r>
      <w:proofErr w:type="spellEnd"/>
      <w:r w:rsidR="007C52F5">
        <w:rPr>
          <w:lang w:val="en-US"/>
        </w:rPr>
        <w:t xml:space="preserve"> Inc.</w:t>
      </w:r>
      <w:r w:rsidR="008C0301" w:rsidRPr="00412F81">
        <w:rPr>
          <w:lang w:val="en-US"/>
        </w:rPr>
        <w:t xml:space="preserve">). </w:t>
      </w:r>
      <w:r w:rsidR="001A5E80" w:rsidRPr="00412F81">
        <w:rPr>
          <w:lang w:val="en-US"/>
        </w:rPr>
        <w:t xml:space="preserve">However, the </w:t>
      </w:r>
      <w:r w:rsidR="00AD1D77">
        <w:rPr>
          <w:lang w:val="en-US"/>
        </w:rPr>
        <w:t>r</w:t>
      </w:r>
      <w:r w:rsidR="001A5E80" w:rsidRPr="00412F81">
        <w:rPr>
          <w:lang w:val="en-US"/>
        </w:rPr>
        <w:t xml:space="preserve">epayment agreement signed by </w:t>
      </w:r>
      <w:proofErr w:type="spellStart"/>
      <w:r w:rsidR="001A5E80" w:rsidRPr="007C52F5">
        <w:rPr>
          <w:lang w:val="en-US"/>
        </w:rPr>
        <w:t>Ellipsa</w:t>
      </w:r>
      <w:r w:rsidR="00641545" w:rsidRPr="007C52F5">
        <w:rPr>
          <w:lang w:val="en-US"/>
        </w:rPr>
        <w:t>t</w:t>
      </w:r>
      <w:proofErr w:type="spellEnd"/>
      <w:r w:rsidR="007C52F5">
        <w:rPr>
          <w:lang w:val="en-US"/>
        </w:rPr>
        <w:t xml:space="preserve"> Inc.</w:t>
      </w:r>
      <w:r w:rsidR="00641545" w:rsidRPr="00412F81">
        <w:rPr>
          <w:lang w:val="en-US"/>
        </w:rPr>
        <w:t xml:space="preserve"> was cancelled in </w:t>
      </w:r>
      <w:r w:rsidR="001A5E80" w:rsidRPr="00412F81">
        <w:rPr>
          <w:lang w:val="en-US"/>
        </w:rPr>
        <w:t>201</w:t>
      </w:r>
      <w:r w:rsidR="00412F81" w:rsidRPr="00412F81">
        <w:rPr>
          <w:lang w:val="en-US"/>
        </w:rPr>
        <w:t>7</w:t>
      </w:r>
      <w:r w:rsidR="001A5E80" w:rsidRPr="00412F81">
        <w:rPr>
          <w:lang w:val="en-US"/>
        </w:rPr>
        <w:t xml:space="preserve"> for no</w:t>
      </w:r>
      <w:r w:rsidR="00641545" w:rsidRPr="00412F81">
        <w:rPr>
          <w:lang w:val="en-US"/>
        </w:rPr>
        <w:t>n-</w:t>
      </w:r>
      <w:r w:rsidR="001A5E80" w:rsidRPr="00412F81">
        <w:rPr>
          <w:lang w:val="en-US"/>
        </w:rPr>
        <w:t xml:space="preserve">payment. </w:t>
      </w:r>
      <w:proofErr w:type="gramStart"/>
      <w:r w:rsidR="00641545" w:rsidRPr="00412F81">
        <w:rPr>
          <w:lang w:val="en-US"/>
        </w:rPr>
        <w:t>A</w:t>
      </w:r>
      <w:r w:rsidR="001A5E80" w:rsidRPr="00412F81">
        <w:rPr>
          <w:lang w:val="en-US"/>
        </w:rPr>
        <w:t>t the moment</w:t>
      </w:r>
      <w:proofErr w:type="gramEnd"/>
      <w:r w:rsidR="001A5E80" w:rsidRPr="00412F81">
        <w:rPr>
          <w:lang w:val="en-US"/>
        </w:rPr>
        <w:t xml:space="preserve">, </w:t>
      </w:r>
      <w:proofErr w:type="spellStart"/>
      <w:r w:rsidR="001A5E80" w:rsidRPr="00412F81">
        <w:rPr>
          <w:lang w:val="en-US"/>
        </w:rPr>
        <w:t>Ellipsat</w:t>
      </w:r>
      <w:proofErr w:type="spellEnd"/>
      <w:r w:rsidR="00B7060E">
        <w:rPr>
          <w:lang w:val="en-US"/>
        </w:rPr>
        <w:t xml:space="preserve"> Inc. </w:t>
      </w:r>
      <w:r w:rsidR="001A5E80" w:rsidRPr="00412F81">
        <w:rPr>
          <w:lang w:val="en-US"/>
        </w:rPr>
        <w:t>is the only entity which has an outstanding debt</w:t>
      </w:r>
      <w:r w:rsidR="009F2427" w:rsidRPr="00412F81">
        <w:rPr>
          <w:lang w:val="en-US"/>
        </w:rPr>
        <w:t>,</w:t>
      </w:r>
      <w:r w:rsidR="001A5E80" w:rsidRPr="00412F81">
        <w:rPr>
          <w:lang w:val="en-US"/>
        </w:rPr>
        <w:t xml:space="preserve"> </w:t>
      </w:r>
      <w:r w:rsidR="009F2427" w:rsidRPr="00412F81">
        <w:rPr>
          <w:lang w:val="en-US"/>
        </w:rPr>
        <w:t xml:space="preserve">concerning SNF, </w:t>
      </w:r>
      <w:r w:rsidR="001A5E80" w:rsidRPr="00412F81">
        <w:rPr>
          <w:lang w:val="en-US"/>
        </w:rPr>
        <w:t>amounting to CHF</w:t>
      </w:r>
      <w:r w:rsidR="00B7060E">
        <w:rPr>
          <w:lang w:val="en-US"/>
        </w:rPr>
        <w:t> </w:t>
      </w:r>
      <w:r w:rsidR="00641545" w:rsidRPr="00412F81">
        <w:rPr>
          <w:lang w:val="en-US"/>
        </w:rPr>
        <w:t>3</w:t>
      </w:r>
      <w:r w:rsidR="000938CD" w:rsidRPr="00412F81">
        <w:rPr>
          <w:lang w:val="en-US"/>
        </w:rPr>
        <w:t>3</w:t>
      </w:r>
      <w:r w:rsidR="00874BCB" w:rsidRPr="00412F81">
        <w:rPr>
          <w:lang w:val="en-US"/>
        </w:rPr>
        <w:t> </w:t>
      </w:r>
      <w:r w:rsidR="009F2427" w:rsidRPr="00412F81">
        <w:rPr>
          <w:lang w:val="en-US"/>
        </w:rPr>
        <w:t>189</w:t>
      </w:r>
      <w:r w:rsidR="00641545" w:rsidRPr="00412F81">
        <w:rPr>
          <w:lang w:val="en-US"/>
        </w:rPr>
        <w:t xml:space="preserve"> </w:t>
      </w:r>
      <w:r w:rsidR="005B5ABE" w:rsidRPr="009F2427">
        <w:rPr>
          <w:lang w:val="en-US"/>
        </w:rPr>
        <w:t xml:space="preserve">on </w:t>
      </w:r>
      <w:r w:rsidR="001A5E80" w:rsidRPr="009F2427">
        <w:rPr>
          <w:lang w:val="en-US"/>
        </w:rPr>
        <w:t>31 December 20</w:t>
      </w:r>
      <w:r w:rsidR="000938CD" w:rsidRPr="009F2427">
        <w:rPr>
          <w:lang w:val="en-US"/>
        </w:rPr>
        <w:t>20</w:t>
      </w:r>
      <w:r w:rsidR="00641545" w:rsidRPr="009F2427">
        <w:rPr>
          <w:lang w:val="en-US"/>
        </w:rPr>
        <w:t>.</w:t>
      </w:r>
    </w:p>
    <w:p w14:paraId="12DC117D" w14:textId="19010DAC" w:rsidR="00B468C4" w:rsidRPr="00DA050C" w:rsidRDefault="00292E97" w:rsidP="008455D9">
      <w:pPr>
        <w:jc w:val="both"/>
        <w:rPr>
          <w:lang w:val="en-US"/>
        </w:rPr>
      </w:pPr>
      <w:r>
        <w:rPr>
          <w:rFonts w:eastAsia="SimSun"/>
          <w:szCs w:val="24"/>
          <w:lang w:val="en-US" w:eastAsia="zh-CN"/>
        </w:rPr>
        <w:t>2.1</w:t>
      </w:r>
      <w:r w:rsidR="00AA5005">
        <w:rPr>
          <w:rFonts w:eastAsia="SimSun"/>
          <w:szCs w:val="24"/>
          <w:lang w:val="en-US" w:eastAsia="zh-CN"/>
        </w:rPr>
        <w:t>4</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FF3DB9">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FF3DB9">
        <w:rPr>
          <w:lang w:val="en-US"/>
        </w:rPr>
        <w:t>’</w:t>
      </w:r>
      <w:r w:rsidR="00B468C4" w:rsidRPr="00DA050C">
        <w:rPr>
          <w:lang w:val="en-US"/>
        </w:rPr>
        <w:t xml:space="preserve"> Accounts were introduced.</w:t>
      </w:r>
    </w:p>
    <w:p w14:paraId="1F97A8B3" w14:textId="747420E7" w:rsidR="00B468C4" w:rsidRDefault="00292E97" w:rsidP="00DC7F29">
      <w:pPr>
        <w:jc w:val="both"/>
        <w:rPr>
          <w:lang w:val="en-US"/>
        </w:rPr>
      </w:pPr>
      <w:r>
        <w:rPr>
          <w:lang w:val="en-US"/>
        </w:rPr>
        <w:t>2</w:t>
      </w:r>
      <w:r w:rsidRPr="00641545">
        <w:rPr>
          <w:lang w:val="en-US"/>
        </w:rPr>
        <w:t>.1</w:t>
      </w:r>
      <w:r w:rsidR="00AA5005">
        <w:rPr>
          <w:lang w:val="en-US"/>
        </w:rPr>
        <w:t>5</w:t>
      </w:r>
      <w:r w:rsidR="008E7A8D" w:rsidRPr="00641545">
        <w:rPr>
          <w:lang w:val="en-US"/>
        </w:rPr>
        <w:tab/>
        <w:t xml:space="preserve">Thus, </w:t>
      </w:r>
      <w:r w:rsidR="005B5ABE">
        <w:rPr>
          <w:lang w:val="en-US"/>
        </w:rPr>
        <w:t xml:space="preserve">on </w:t>
      </w:r>
      <w:r w:rsidR="008E7A8D" w:rsidRPr="00641545">
        <w:rPr>
          <w:lang w:val="en-US"/>
        </w:rPr>
        <w:t>31 D</w:t>
      </w:r>
      <w:r w:rsidR="004B72BC" w:rsidRPr="00641545">
        <w:rPr>
          <w:lang w:val="en-US"/>
        </w:rPr>
        <w:t>ecember 20</w:t>
      </w:r>
      <w:r w:rsidR="00B509F3">
        <w:rPr>
          <w:lang w:val="en-US"/>
        </w:rPr>
        <w:t>20</w:t>
      </w:r>
      <w:r w:rsidR="00B468C4" w:rsidRPr="00641545">
        <w:rPr>
          <w:lang w:val="en-US"/>
        </w:rPr>
        <w:t>, the balance of the Reserve for Debtors</w:t>
      </w:r>
      <w:r w:rsidR="00FF3DB9">
        <w:rPr>
          <w:lang w:val="en-US"/>
        </w:rPr>
        <w:t>’</w:t>
      </w:r>
      <w:r w:rsidR="00B468C4" w:rsidRPr="00641545">
        <w:rPr>
          <w:lang w:val="en-US"/>
        </w:rPr>
        <w:t xml:space="preserve"> Accounts stood at </w:t>
      </w:r>
      <w:r w:rsidR="00B468C4" w:rsidRPr="00F61FAF">
        <w:rPr>
          <w:lang w:val="en-US"/>
        </w:rPr>
        <w:t>CHF </w:t>
      </w:r>
      <w:r w:rsidR="00947D45" w:rsidRPr="00F61FAF">
        <w:rPr>
          <w:lang w:val="en-US"/>
        </w:rPr>
        <w:t>42</w:t>
      </w:r>
      <w:r w:rsidR="00B468C4" w:rsidRPr="00F61FAF">
        <w:rPr>
          <w:lang w:val="en-US"/>
        </w:rPr>
        <w:t>.</w:t>
      </w:r>
      <w:r w:rsidR="00F61FAF" w:rsidRPr="00F61FAF">
        <w:rPr>
          <w:lang w:val="en-US"/>
        </w:rPr>
        <w:t>7</w:t>
      </w:r>
      <w:r w:rsidR="00B468C4" w:rsidRPr="00F61FAF">
        <w:rPr>
          <w:lang w:val="en-US"/>
        </w:rPr>
        <w:t xml:space="preserve"> million and covered </w:t>
      </w:r>
      <w:r w:rsidR="00B468C4" w:rsidRPr="00641545">
        <w:rPr>
          <w:lang w:val="en-US"/>
        </w:rPr>
        <w:t xml:space="preserve">100 per cent of the amounts to be </w:t>
      </w:r>
      <w:proofErr w:type="gramStart"/>
      <w:r w:rsidR="00B468C4" w:rsidRPr="00641545">
        <w:rPr>
          <w:lang w:val="en-US"/>
        </w:rPr>
        <w:t>taken into account</w:t>
      </w:r>
      <w:proofErr w:type="gramEnd"/>
      <w:r w:rsidR="00B468C4" w:rsidRPr="00641545">
        <w:rPr>
          <w:lang w:val="en-US"/>
        </w:rPr>
        <w:t xml:space="preserve"> by the Reserve in compliance with the aforementioned new principles. The balance of the Reserve for Debtors</w:t>
      </w:r>
      <w:r w:rsidR="00FF3DB9">
        <w:rPr>
          <w:lang w:val="en-US"/>
        </w:rPr>
        <w:t>’</w:t>
      </w:r>
      <w:r w:rsidR="00B468C4" w:rsidRPr="00641545">
        <w:rPr>
          <w:lang w:val="en-US"/>
        </w:rPr>
        <w:t xml:space="preserve"> Accounts is now reassessed systematically on 31 December each year. It is to be noted that this </w:t>
      </w:r>
      <w:r w:rsidR="00B468C4" w:rsidRPr="00641545">
        <w:rPr>
          <w:lang w:val="en-US"/>
        </w:rPr>
        <w:lastRenderedPageBreak/>
        <w:t>100</w:t>
      </w:r>
      <w:r w:rsidR="00DC7F29" w:rsidRPr="00641545">
        <w:rPr>
          <w:lang w:val="en-US"/>
        </w:rPr>
        <w:t> </w:t>
      </w:r>
      <w:r w:rsidR="00B468C4" w:rsidRPr="00641545">
        <w:rPr>
          <w:lang w:val="en-US"/>
        </w:rPr>
        <w:t xml:space="preserve">per cent coverage does not exonerate Member States, Sector Members, </w:t>
      </w:r>
      <w:r w:rsidR="00111848">
        <w:rPr>
          <w:lang w:val="en-US"/>
        </w:rPr>
        <w:t>Associates</w:t>
      </w:r>
      <w:r w:rsidR="00487610">
        <w:rPr>
          <w:lang w:val="en-US"/>
        </w:rPr>
        <w:t>,</w:t>
      </w:r>
      <w:r w:rsidR="00111848">
        <w:rPr>
          <w:lang w:val="en-US"/>
        </w:rPr>
        <w:t xml:space="preserve"> and </w:t>
      </w:r>
      <w:r w:rsidR="00B468C4" w:rsidRPr="00641545">
        <w:rPr>
          <w:lang w:val="en-US"/>
        </w:rPr>
        <w:t>Academia</w:t>
      </w:r>
      <w:r w:rsidR="00111848">
        <w:rPr>
          <w:lang w:val="en-US"/>
        </w:rPr>
        <w:t xml:space="preserve"> </w:t>
      </w:r>
      <w:r w:rsidR="00B468C4" w:rsidRPr="00641545">
        <w:rPr>
          <w:lang w:val="en-US"/>
        </w:rPr>
        <w:t>from their commitments to the Union.</w:t>
      </w:r>
    </w:p>
    <w:p w14:paraId="182FAF06" w14:textId="77777777" w:rsidR="00B468C4" w:rsidRPr="00AF4E41" w:rsidRDefault="00B468C4" w:rsidP="00A34441">
      <w:pPr>
        <w:pStyle w:val="Heading1"/>
        <w:spacing w:before="240"/>
        <w:ind w:left="0" w:firstLine="0"/>
      </w:pPr>
      <w:r w:rsidRPr="00AF4E41">
        <w:t>3</w:t>
      </w:r>
      <w:r w:rsidRPr="00AF4E41">
        <w:tab/>
        <w:t>Recommendation</w:t>
      </w:r>
    </w:p>
    <w:p w14:paraId="785A4468" w14:textId="62F45B4E" w:rsidR="00B468C4" w:rsidRPr="00DA050C" w:rsidRDefault="00B468C4" w:rsidP="0035222D">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w:t>
      </w:r>
      <w:proofErr w:type="gramStart"/>
      <w:r w:rsidRPr="00FC557C">
        <w:rPr>
          <w:lang w:val="en-US"/>
        </w:rPr>
        <w:t>off of</w:t>
      </w:r>
      <w:proofErr w:type="gramEnd"/>
      <w:r w:rsidRPr="00FC557C">
        <w:rPr>
          <w:lang w:val="en-US"/>
        </w:rPr>
        <w:t xml:space="preserve"> interest on arrears and irrecoverable </w:t>
      </w:r>
      <w:r w:rsidRPr="0084621C">
        <w:rPr>
          <w:lang w:val="en-US"/>
        </w:rPr>
        <w:t xml:space="preserve">debts </w:t>
      </w:r>
      <w:r w:rsidR="00406312" w:rsidRPr="0084621C">
        <w:rPr>
          <w:lang w:val="en-US"/>
        </w:rPr>
        <w:t>totaling</w:t>
      </w:r>
      <w:r w:rsidRPr="0084621C">
        <w:rPr>
          <w:lang w:val="en-US"/>
        </w:rPr>
        <w:t xml:space="preserve"> </w:t>
      </w:r>
      <w:r w:rsidRPr="00935E31">
        <w:rPr>
          <w:b/>
          <w:bCs/>
          <w:lang w:val="en-US"/>
        </w:rPr>
        <w:t>CHF</w:t>
      </w:r>
      <w:r w:rsidR="00E119F9" w:rsidRPr="00935E31">
        <w:rPr>
          <w:b/>
          <w:bCs/>
          <w:lang w:val="en-US"/>
        </w:rPr>
        <w:t> </w:t>
      </w:r>
      <w:r w:rsidR="00EE717A" w:rsidRPr="00935E31">
        <w:rPr>
          <w:b/>
          <w:bCs/>
          <w:lang w:val="en-US"/>
        </w:rPr>
        <w:t>2 7</w:t>
      </w:r>
      <w:r w:rsidR="00AF4E41" w:rsidRPr="00935E31">
        <w:rPr>
          <w:b/>
          <w:bCs/>
          <w:lang w:val="en-US"/>
        </w:rPr>
        <w:t>13</w:t>
      </w:r>
      <w:r w:rsidR="00EE717A" w:rsidRPr="00935E31">
        <w:rPr>
          <w:b/>
          <w:bCs/>
          <w:lang w:val="en-US"/>
        </w:rPr>
        <w:t xml:space="preserve"> </w:t>
      </w:r>
      <w:r w:rsidR="00AF4E41" w:rsidRPr="00935E31">
        <w:rPr>
          <w:b/>
          <w:bCs/>
          <w:lang w:val="en-US"/>
        </w:rPr>
        <w:t>401</w:t>
      </w:r>
      <w:r w:rsidR="00EE717A" w:rsidRPr="00935E31">
        <w:rPr>
          <w:b/>
          <w:bCs/>
          <w:lang w:val="en-US"/>
        </w:rPr>
        <w:t>.</w:t>
      </w:r>
      <w:r w:rsidR="00AF4E41" w:rsidRPr="00935E31">
        <w:rPr>
          <w:b/>
          <w:bCs/>
          <w:lang w:val="en-US"/>
        </w:rPr>
        <w:t>3</w:t>
      </w:r>
      <w:r w:rsidR="00EE717A" w:rsidRPr="00935E31">
        <w:rPr>
          <w:b/>
          <w:bCs/>
          <w:lang w:val="en-US"/>
        </w:rPr>
        <w:t>3</w:t>
      </w:r>
      <w:r w:rsidRPr="006B3E01">
        <w:rPr>
          <w:lang w:val="en-US"/>
        </w:rPr>
        <w:t xml:space="preserve">, </w:t>
      </w:r>
      <w:r w:rsidRPr="0084621C">
        <w:rPr>
          <w:lang w:val="en-US"/>
        </w:rPr>
        <w:t>in accordance with the guidelines laid down by the Council in 1999,</w:t>
      </w:r>
      <w:r w:rsidRPr="00DA050C">
        <w:rPr>
          <w:lang w:val="en-US"/>
        </w:rPr>
        <w:t xml:space="preserve"> against a corresponding withdrawal from the Reserve for Debtors</w:t>
      </w:r>
      <w:r w:rsidR="00FF3DB9">
        <w:rPr>
          <w:lang w:val="en-US"/>
        </w:rPr>
        <w:t>’</w:t>
      </w:r>
      <w:r w:rsidRPr="00DA050C">
        <w:rPr>
          <w:lang w:val="en-US"/>
        </w:rPr>
        <w:t xml:space="preserve"> Accounts. Details of the irrecoverable debts are as follows:</w:t>
      </w:r>
    </w:p>
    <w:p w14:paraId="39FF31B5" w14:textId="77777777" w:rsidR="00B468C4" w:rsidRPr="003B5884" w:rsidRDefault="00B468C4" w:rsidP="000D26CF">
      <w:pPr>
        <w:jc w:val="both"/>
        <w:rPr>
          <w:lang w:val="en-US"/>
        </w:rPr>
      </w:pPr>
      <w:bookmarkStart w:id="13" w:name="_Hlk40343829"/>
      <w:r w:rsidRPr="00DA050C">
        <w:rPr>
          <w:lang w:val="en-US"/>
        </w:rPr>
        <w:t>3.2</w:t>
      </w:r>
      <w:r w:rsidRPr="00DA050C">
        <w:rPr>
          <w:lang w:val="en-US"/>
        </w:rPr>
        <w:tab/>
      </w:r>
      <w:r w:rsidRPr="00C20635">
        <w:rPr>
          <w:lang w:val="en-US"/>
        </w:rPr>
        <w:t>Interest on arrears:</w:t>
      </w:r>
    </w:p>
    <w:p w14:paraId="4F52961E" w14:textId="08CB243F" w:rsidR="00EE717A" w:rsidRDefault="00E119F9" w:rsidP="003C22C5">
      <w:pPr>
        <w:pStyle w:val="enumlev2"/>
        <w:tabs>
          <w:tab w:val="clear" w:pos="1134"/>
          <w:tab w:val="clear" w:pos="1701"/>
          <w:tab w:val="left" w:pos="1418"/>
        </w:tabs>
        <w:ind w:left="0" w:firstLine="0"/>
        <w:jc w:val="both"/>
        <w:rPr>
          <w:lang w:val="en-US"/>
        </w:rPr>
      </w:pPr>
      <w:r w:rsidRPr="00DA050C">
        <w:rPr>
          <w:lang w:val="en-US"/>
        </w:rPr>
        <w:t>–</w:t>
      </w:r>
      <w:r>
        <w:rPr>
          <w:lang w:val="en-US"/>
        </w:rPr>
        <w:tab/>
      </w:r>
      <w:r w:rsidR="00EE717A">
        <w:rPr>
          <w:lang w:val="en-US"/>
        </w:rPr>
        <w:t>CHF</w:t>
      </w:r>
      <w:r>
        <w:rPr>
          <w:lang w:val="en-US"/>
        </w:rPr>
        <w:t> </w:t>
      </w:r>
      <w:r w:rsidR="00EE717A">
        <w:rPr>
          <w:lang w:val="en-US"/>
        </w:rPr>
        <w:t>7</w:t>
      </w:r>
      <w:r w:rsidR="00EC4E89">
        <w:rPr>
          <w:lang w:val="en-US"/>
        </w:rPr>
        <w:t>9 660</w:t>
      </w:r>
      <w:r w:rsidR="00EE717A">
        <w:rPr>
          <w:lang w:val="en-US"/>
        </w:rPr>
        <w:t>.</w:t>
      </w:r>
      <w:r w:rsidR="00EC4E89">
        <w:rPr>
          <w:lang w:val="en-US"/>
        </w:rPr>
        <w:t>4</w:t>
      </w:r>
      <w:r w:rsidR="00EE717A">
        <w:rPr>
          <w:lang w:val="en-US"/>
        </w:rPr>
        <w:t xml:space="preserve">5 </w:t>
      </w:r>
      <w:r w:rsidR="00EE717A" w:rsidRPr="003C22C5">
        <w:rPr>
          <w:spacing w:val="-2"/>
          <w:lang w:val="en-US"/>
        </w:rPr>
        <w:t xml:space="preserve">owed by </w:t>
      </w:r>
      <w:r w:rsidR="00EC4E89">
        <w:rPr>
          <w:spacing w:val="-2"/>
          <w:lang w:val="en-US"/>
        </w:rPr>
        <w:t xml:space="preserve">Iran, </w:t>
      </w:r>
      <w:r w:rsidR="00EE717A" w:rsidRPr="003C22C5">
        <w:rPr>
          <w:spacing w:val="-2"/>
          <w:lang w:val="en-US"/>
        </w:rPr>
        <w:t xml:space="preserve">which settled its </w:t>
      </w:r>
      <w:r w:rsidR="00EC4E89">
        <w:rPr>
          <w:spacing w:val="-2"/>
          <w:lang w:val="en-US"/>
        </w:rPr>
        <w:t>2016</w:t>
      </w:r>
      <w:r w:rsidR="00487610">
        <w:rPr>
          <w:spacing w:val="-2"/>
          <w:lang w:val="en-US"/>
        </w:rPr>
        <w:t>-</w:t>
      </w:r>
      <w:r w:rsidR="00EC4E89">
        <w:rPr>
          <w:spacing w:val="-2"/>
          <w:lang w:val="en-US"/>
        </w:rPr>
        <w:t xml:space="preserve">2019 </w:t>
      </w:r>
      <w:r w:rsidR="00EE717A" w:rsidRPr="003C22C5">
        <w:rPr>
          <w:spacing w:val="-2"/>
          <w:lang w:val="en-US"/>
        </w:rPr>
        <w:t>contributions</w:t>
      </w:r>
      <w:r w:rsidR="00EE717A">
        <w:rPr>
          <w:lang w:val="en-US"/>
        </w:rPr>
        <w:t>.</w:t>
      </w:r>
    </w:p>
    <w:p w14:paraId="7107A24A" w14:textId="7CC65D1C" w:rsidR="00EC4E89" w:rsidRDefault="00EC4E89" w:rsidP="003C22C5">
      <w:pPr>
        <w:pStyle w:val="enumlev2"/>
        <w:tabs>
          <w:tab w:val="clear" w:pos="1134"/>
          <w:tab w:val="clear" w:pos="1701"/>
          <w:tab w:val="left" w:pos="1418"/>
        </w:tabs>
        <w:ind w:left="0" w:firstLine="0"/>
        <w:jc w:val="both"/>
        <w:rPr>
          <w:lang w:val="en-US"/>
        </w:rPr>
      </w:pPr>
      <w:r w:rsidRPr="00DA050C">
        <w:rPr>
          <w:lang w:val="en-US"/>
        </w:rPr>
        <w:t>–</w:t>
      </w:r>
      <w:r>
        <w:rPr>
          <w:lang w:val="en-US"/>
        </w:rPr>
        <w:tab/>
        <w:t xml:space="preserve">CHF 511 822.30 </w:t>
      </w:r>
      <w:r w:rsidRPr="003C22C5">
        <w:rPr>
          <w:spacing w:val="-2"/>
          <w:lang w:val="en-US"/>
        </w:rPr>
        <w:t xml:space="preserve">owed by </w:t>
      </w:r>
      <w:r>
        <w:rPr>
          <w:spacing w:val="-2"/>
          <w:lang w:val="en-US"/>
        </w:rPr>
        <w:t xml:space="preserve">Tajikistan, </w:t>
      </w:r>
      <w:r w:rsidRPr="003C22C5">
        <w:rPr>
          <w:spacing w:val="-2"/>
          <w:lang w:val="en-US"/>
        </w:rPr>
        <w:t xml:space="preserve">which </w:t>
      </w:r>
      <w:r>
        <w:rPr>
          <w:spacing w:val="-2"/>
          <w:lang w:val="en-US"/>
        </w:rPr>
        <w:t>completed its ten-year repayment agreement.</w:t>
      </w:r>
    </w:p>
    <w:p w14:paraId="2E55E367" w14:textId="0430ADCD" w:rsidR="00EE717A" w:rsidRDefault="00EE717A" w:rsidP="0094077E">
      <w:pPr>
        <w:pStyle w:val="enumlev2"/>
        <w:tabs>
          <w:tab w:val="clear" w:pos="1134"/>
          <w:tab w:val="clear" w:pos="1701"/>
          <w:tab w:val="left" w:pos="1418"/>
        </w:tabs>
        <w:spacing w:before="120"/>
        <w:ind w:left="0" w:firstLine="0"/>
        <w:jc w:val="both"/>
        <w:rPr>
          <w:lang w:val="en-US"/>
        </w:rPr>
      </w:pPr>
      <w:r>
        <w:rPr>
          <w:lang w:val="en-US"/>
        </w:rPr>
        <w:tab/>
        <w:t xml:space="preserve">Total interest on arrears is </w:t>
      </w:r>
      <w:r>
        <w:rPr>
          <w:b/>
          <w:bCs/>
          <w:lang w:val="en-US"/>
        </w:rPr>
        <w:t xml:space="preserve">CHF </w:t>
      </w:r>
      <w:r w:rsidR="00EC4E89">
        <w:rPr>
          <w:b/>
          <w:bCs/>
          <w:lang w:val="en-US"/>
        </w:rPr>
        <w:t>591</w:t>
      </w:r>
      <w:r>
        <w:rPr>
          <w:b/>
          <w:bCs/>
          <w:lang w:val="en-US"/>
        </w:rPr>
        <w:t xml:space="preserve"> </w:t>
      </w:r>
      <w:r w:rsidR="00EC4E89">
        <w:rPr>
          <w:b/>
          <w:bCs/>
          <w:lang w:val="en-US"/>
        </w:rPr>
        <w:t>482</w:t>
      </w:r>
      <w:r>
        <w:rPr>
          <w:b/>
          <w:bCs/>
          <w:lang w:val="en-US"/>
        </w:rPr>
        <w:t>.</w:t>
      </w:r>
      <w:r w:rsidR="00EC4E89">
        <w:rPr>
          <w:b/>
          <w:bCs/>
          <w:lang w:val="en-US"/>
        </w:rPr>
        <w:t>7</w:t>
      </w:r>
      <w:r>
        <w:rPr>
          <w:b/>
          <w:bCs/>
          <w:lang w:val="en-US"/>
        </w:rPr>
        <w:t>5.</w:t>
      </w:r>
    </w:p>
    <w:bookmarkEnd w:id="13"/>
    <w:p w14:paraId="1211FDB0" w14:textId="77777777" w:rsidR="00B468C4" w:rsidRPr="00DA050C" w:rsidRDefault="00B468C4" w:rsidP="003C22C5">
      <w:pPr>
        <w:spacing w:before="240"/>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14:paraId="573DF55A" w14:textId="7D2631A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companies for which the recovery procedure has been exhausted;</w:t>
      </w:r>
      <w:r w:rsidR="00487610">
        <w:rPr>
          <w:lang w:val="en-US"/>
        </w:rPr>
        <w:t xml:space="preserve"> and</w:t>
      </w:r>
    </w:p>
    <w:p w14:paraId="7EFA545D" w14:textId="7777777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 xml:space="preserve">companies in court-supervised liquidation, according to the correspondence received from the administrations concerned or from national </w:t>
      </w:r>
      <w:r w:rsidR="001616C3">
        <w:rPr>
          <w:lang w:val="en-US"/>
        </w:rPr>
        <w:t xml:space="preserve">competent </w:t>
      </w:r>
      <w:r w:rsidRPr="00DA050C">
        <w:rPr>
          <w:lang w:val="en-US"/>
        </w:rPr>
        <w:t>authorities.</w:t>
      </w:r>
    </w:p>
    <w:p w14:paraId="148A63AE" w14:textId="2058A985" w:rsidR="00AF4E41" w:rsidRPr="0094077E" w:rsidRDefault="00B468C4" w:rsidP="003B5884">
      <w:pPr>
        <w:spacing w:after="60"/>
        <w:jc w:val="both"/>
        <w:rPr>
          <w:lang w:val="en-US"/>
        </w:rPr>
      </w:pPr>
      <w:r w:rsidRPr="00AF4E41">
        <w:rPr>
          <w:lang w:val="en-US"/>
        </w:rPr>
        <w:t>The companies in question are:</w:t>
      </w:r>
    </w:p>
    <w:tbl>
      <w:tblPr>
        <w:tblW w:w="7375" w:type="dxa"/>
        <w:jc w:val="center"/>
        <w:tblLook w:val="04A0" w:firstRow="1" w:lastRow="0" w:firstColumn="1" w:lastColumn="0" w:noHBand="0" w:noVBand="1"/>
      </w:tblPr>
      <w:tblGrid>
        <w:gridCol w:w="2065"/>
        <w:gridCol w:w="5310"/>
      </w:tblGrid>
      <w:tr w:rsidR="00AF4E41" w:rsidRPr="00AF4E41" w14:paraId="1DB71086" w14:textId="77777777" w:rsidTr="00A34441">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E027F7F"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A34441">
              <w:rPr>
                <w:rFonts w:cs="Calibri"/>
                <w:b/>
                <w:bCs/>
                <w:color w:val="000000"/>
                <w:sz w:val="22"/>
                <w:szCs w:val="22"/>
                <w:lang w:eastAsia="en-GB"/>
              </w:rPr>
              <w:t>Country</w:t>
            </w:r>
          </w:p>
        </w:tc>
        <w:tc>
          <w:tcPr>
            <w:tcW w:w="5310" w:type="dxa"/>
            <w:tcBorders>
              <w:top w:val="single" w:sz="4" w:space="0" w:color="auto"/>
              <w:left w:val="nil"/>
              <w:bottom w:val="single" w:sz="4" w:space="0" w:color="auto"/>
              <w:right w:val="single" w:sz="4" w:space="0" w:color="auto"/>
            </w:tcBorders>
            <w:shd w:val="clear" w:color="000000" w:fill="C0C0C0"/>
            <w:noWrap/>
            <w:vAlign w:val="center"/>
            <w:hideMark/>
          </w:tcPr>
          <w:p w14:paraId="20E21E74"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A34441">
              <w:rPr>
                <w:rFonts w:cs="Calibri"/>
                <w:b/>
                <w:bCs/>
                <w:color w:val="000000"/>
                <w:sz w:val="22"/>
                <w:szCs w:val="22"/>
                <w:lang w:eastAsia="en-GB"/>
              </w:rPr>
              <w:t>Company Name</w:t>
            </w:r>
          </w:p>
        </w:tc>
      </w:tr>
      <w:tr w:rsidR="00AF4E41" w:rsidRPr="00FE05B3" w14:paraId="42B8FE42"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301A9FE"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Algeria</w:t>
            </w:r>
          </w:p>
        </w:tc>
        <w:tc>
          <w:tcPr>
            <w:tcW w:w="5310" w:type="dxa"/>
            <w:tcBorders>
              <w:top w:val="nil"/>
              <w:left w:val="nil"/>
              <w:bottom w:val="single" w:sz="4" w:space="0" w:color="auto"/>
              <w:right w:val="single" w:sz="4" w:space="0" w:color="auto"/>
            </w:tcBorders>
            <w:shd w:val="clear" w:color="000000" w:fill="FFFFFF"/>
            <w:vAlign w:val="center"/>
            <w:hideMark/>
          </w:tcPr>
          <w:p w14:paraId="41E3296C"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proofErr w:type="spellStart"/>
            <w:r w:rsidRPr="00A34441">
              <w:rPr>
                <w:rFonts w:cs="Calibri"/>
                <w:sz w:val="22"/>
                <w:szCs w:val="22"/>
                <w:lang w:val="es-ES" w:eastAsia="en-GB"/>
              </w:rPr>
              <w:t>Wataniya</w:t>
            </w:r>
            <w:proofErr w:type="spellEnd"/>
            <w:r w:rsidRPr="00A34441">
              <w:rPr>
                <w:rFonts w:cs="Calibri"/>
                <w:sz w:val="22"/>
                <w:szCs w:val="22"/>
                <w:lang w:val="es-ES" w:eastAsia="en-GB"/>
              </w:rPr>
              <w:t xml:space="preserve"> Telecom </w:t>
            </w:r>
            <w:proofErr w:type="spellStart"/>
            <w:r w:rsidRPr="00A34441">
              <w:rPr>
                <w:rFonts w:cs="Calibri"/>
                <w:sz w:val="22"/>
                <w:szCs w:val="22"/>
                <w:lang w:val="es-ES" w:eastAsia="en-GB"/>
              </w:rPr>
              <w:t>Algérie</w:t>
            </w:r>
            <w:proofErr w:type="spellEnd"/>
            <w:r w:rsidRPr="00A34441">
              <w:rPr>
                <w:rFonts w:cs="Calibri"/>
                <w:sz w:val="22"/>
                <w:szCs w:val="22"/>
                <w:lang w:val="es-ES" w:eastAsia="en-GB"/>
              </w:rPr>
              <w:t xml:space="preserve"> Spa, Alger</w:t>
            </w:r>
          </w:p>
        </w:tc>
      </w:tr>
      <w:tr w:rsidR="00AF4E41" w:rsidRPr="00AF4E41" w14:paraId="03D565C6"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DFF04A4"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Egypt</w:t>
            </w:r>
          </w:p>
        </w:tc>
        <w:tc>
          <w:tcPr>
            <w:tcW w:w="5310" w:type="dxa"/>
            <w:tcBorders>
              <w:top w:val="nil"/>
              <w:left w:val="nil"/>
              <w:bottom w:val="single" w:sz="4" w:space="0" w:color="auto"/>
              <w:right w:val="single" w:sz="4" w:space="0" w:color="auto"/>
            </w:tcBorders>
            <w:shd w:val="clear" w:color="000000" w:fill="FFFFFF"/>
            <w:vAlign w:val="center"/>
            <w:hideMark/>
          </w:tcPr>
          <w:p w14:paraId="4B61D92D"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LINKdotNET</w:t>
            </w:r>
            <w:proofErr w:type="spellEnd"/>
            <w:r w:rsidRPr="00A34441">
              <w:rPr>
                <w:rFonts w:cs="Calibri"/>
                <w:sz w:val="22"/>
                <w:szCs w:val="22"/>
                <w:lang w:eastAsia="en-GB"/>
              </w:rPr>
              <w:t>, Cairo</w:t>
            </w:r>
          </w:p>
        </w:tc>
      </w:tr>
      <w:tr w:rsidR="00AF4E41" w:rsidRPr="00AF4E41" w14:paraId="1EB2D977"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CAE08EA"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Egypt</w:t>
            </w:r>
          </w:p>
        </w:tc>
        <w:tc>
          <w:tcPr>
            <w:tcW w:w="5310" w:type="dxa"/>
            <w:tcBorders>
              <w:top w:val="nil"/>
              <w:left w:val="nil"/>
              <w:bottom w:val="single" w:sz="4" w:space="0" w:color="auto"/>
              <w:right w:val="single" w:sz="4" w:space="0" w:color="auto"/>
            </w:tcBorders>
            <w:shd w:val="clear" w:color="000000" w:fill="FFFFFF"/>
            <w:vAlign w:val="center"/>
            <w:hideMark/>
          </w:tcPr>
          <w:p w14:paraId="2B98C463"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Trade Fairs International, Cairo</w:t>
            </w:r>
          </w:p>
        </w:tc>
      </w:tr>
      <w:tr w:rsidR="00AF4E41" w:rsidRPr="00AF4E41" w14:paraId="554B62A4"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E4D795B"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India</w:t>
            </w:r>
          </w:p>
        </w:tc>
        <w:tc>
          <w:tcPr>
            <w:tcW w:w="5310" w:type="dxa"/>
            <w:tcBorders>
              <w:top w:val="nil"/>
              <w:left w:val="nil"/>
              <w:bottom w:val="single" w:sz="4" w:space="0" w:color="auto"/>
              <w:right w:val="single" w:sz="4" w:space="0" w:color="auto"/>
            </w:tcBorders>
            <w:shd w:val="clear" w:color="000000" w:fill="FFFFFF"/>
            <w:vAlign w:val="center"/>
            <w:hideMark/>
          </w:tcPr>
          <w:p w14:paraId="0D356AB5"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TCIL, New Delhi</w:t>
            </w:r>
          </w:p>
        </w:tc>
      </w:tr>
      <w:tr w:rsidR="00AF4E41" w:rsidRPr="00AF4E41" w14:paraId="2D39120D"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81412F5"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Italy</w:t>
            </w:r>
          </w:p>
        </w:tc>
        <w:tc>
          <w:tcPr>
            <w:tcW w:w="5310" w:type="dxa"/>
            <w:tcBorders>
              <w:top w:val="nil"/>
              <w:left w:val="nil"/>
              <w:bottom w:val="single" w:sz="4" w:space="0" w:color="auto"/>
              <w:right w:val="single" w:sz="4" w:space="0" w:color="auto"/>
            </w:tcBorders>
            <w:shd w:val="clear" w:color="000000" w:fill="FFFFFF"/>
            <w:vAlign w:val="center"/>
            <w:hideMark/>
          </w:tcPr>
          <w:p w14:paraId="452811A0"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Aethra </w:t>
            </w:r>
            <w:proofErr w:type="spellStart"/>
            <w:r w:rsidRPr="00A34441">
              <w:rPr>
                <w:rFonts w:cs="Calibri"/>
                <w:sz w:val="22"/>
                <w:szCs w:val="22"/>
                <w:lang w:eastAsia="en-GB"/>
              </w:rPr>
              <w:t>srl</w:t>
            </w:r>
            <w:proofErr w:type="spellEnd"/>
            <w:r w:rsidRPr="00A34441">
              <w:rPr>
                <w:rFonts w:cs="Calibri"/>
                <w:sz w:val="22"/>
                <w:szCs w:val="22"/>
                <w:lang w:eastAsia="en-GB"/>
              </w:rPr>
              <w:t>, Ancona</w:t>
            </w:r>
          </w:p>
        </w:tc>
      </w:tr>
      <w:tr w:rsidR="00AF4E41" w:rsidRPr="00AF4E41" w14:paraId="1097A6A9"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17637EC"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Kazakhstan</w:t>
            </w:r>
          </w:p>
        </w:tc>
        <w:tc>
          <w:tcPr>
            <w:tcW w:w="5310" w:type="dxa"/>
            <w:tcBorders>
              <w:top w:val="nil"/>
              <w:left w:val="nil"/>
              <w:bottom w:val="single" w:sz="4" w:space="0" w:color="auto"/>
              <w:right w:val="single" w:sz="4" w:space="0" w:color="auto"/>
            </w:tcBorders>
            <w:shd w:val="clear" w:color="000000" w:fill="FFFFFF"/>
            <w:vAlign w:val="center"/>
            <w:hideMark/>
          </w:tcPr>
          <w:p w14:paraId="2F4BF8E1"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Kazakh Academy of Trans. &amp; Comm., Almaty</w:t>
            </w:r>
          </w:p>
        </w:tc>
      </w:tr>
      <w:tr w:rsidR="00AF4E41" w:rsidRPr="00AF4E41" w14:paraId="793371CC"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4E154FC"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Kuwait</w:t>
            </w:r>
          </w:p>
        </w:tc>
        <w:tc>
          <w:tcPr>
            <w:tcW w:w="5310" w:type="dxa"/>
            <w:tcBorders>
              <w:top w:val="nil"/>
              <w:left w:val="nil"/>
              <w:bottom w:val="single" w:sz="4" w:space="0" w:color="auto"/>
              <w:right w:val="single" w:sz="4" w:space="0" w:color="auto"/>
            </w:tcBorders>
            <w:shd w:val="clear" w:color="000000" w:fill="FFFFFF"/>
            <w:vAlign w:val="center"/>
            <w:hideMark/>
          </w:tcPr>
          <w:p w14:paraId="7386107D"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The Arabian Business Franchise, </w:t>
            </w:r>
            <w:proofErr w:type="spellStart"/>
            <w:r w:rsidRPr="00A34441">
              <w:rPr>
                <w:rFonts w:cs="Calibri"/>
                <w:sz w:val="22"/>
                <w:szCs w:val="22"/>
                <w:lang w:eastAsia="en-GB"/>
              </w:rPr>
              <w:t>Hawalli</w:t>
            </w:r>
            <w:proofErr w:type="spellEnd"/>
          </w:p>
        </w:tc>
      </w:tr>
      <w:tr w:rsidR="00AF4E41" w:rsidRPr="00AF4E41" w14:paraId="5CE32E85"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5A1945F"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Lebanon</w:t>
            </w:r>
          </w:p>
        </w:tc>
        <w:tc>
          <w:tcPr>
            <w:tcW w:w="5310" w:type="dxa"/>
            <w:tcBorders>
              <w:top w:val="nil"/>
              <w:left w:val="nil"/>
              <w:bottom w:val="single" w:sz="4" w:space="0" w:color="auto"/>
              <w:right w:val="single" w:sz="4" w:space="0" w:color="auto"/>
            </w:tcBorders>
            <w:shd w:val="clear" w:color="000000" w:fill="FFFFFF"/>
            <w:vAlign w:val="center"/>
            <w:hideMark/>
          </w:tcPr>
          <w:p w14:paraId="62C5E4B0"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Arabcom</w:t>
            </w:r>
            <w:proofErr w:type="spellEnd"/>
            <w:r w:rsidRPr="00A34441">
              <w:rPr>
                <w:rFonts w:cs="Calibri"/>
                <w:sz w:val="22"/>
                <w:szCs w:val="22"/>
                <w:lang w:eastAsia="en-GB"/>
              </w:rPr>
              <w:t xml:space="preserve"> </w:t>
            </w:r>
            <w:proofErr w:type="spellStart"/>
            <w:r w:rsidRPr="00A34441">
              <w:rPr>
                <w:rFonts w:cs="Calibri"/>
                <w:sz w:val="22"/>
                <w:szCs w:val="22"/>
                <w:lang w:eastAsia="en-GB"/>
              </w:rPr>
              <w:t>Hitek</w:t>
            </w:r>
            <w:proofErr w:type="spellEnd"/>
            <w:r w:rsidRPr="00A34441">
              <w:rPr>
                <w:rFonts w:cs="Calibri"/>
                <w:sz w:val="22"/>
                <w:szCs w:val="22"/>
                <w:lang w:eastAsia="en-GB"/>
              </w:rPr>
              <w:t>, Beirut</w:t>
            </w:r>
          </w:p>
        </w:tc>
      </w:tr>
      <w:tr w:rsidR="00AF4E41" w:rsidRPr="00AF4E41" w14:paraId="59A9E118"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27C8474"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Lebanon</w:t>
            </w:r>
          </w:p>
        </w:tc>
        <w:tc>
          <w:tcPr>
            <w:tcW w:w="5310" w:type="dxa"/>
            <w:tcBorders>
              <w:top w:val="nil"/>
              <w:left w:val="nil"/>
              <w:bottom w:val="single" w:sz="4" w:space="0" w:color="auto"/>
              <w:right w:val="single" w:sz="4" w:space="0" w:color="auto"/>
            </w:tcBorders>
            <w:shd w:val="clear" w:color="000000" w:fill="FFFFFF"/>
            <w:vAlign w:val="center"/>
            <w:hideMark/>
          </w:tcPr>
          <w:p w14:paraId="4DF20B57"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ExiCon</w:t>
            </w:r>
            <w:proofErr w:type="spellEnd"/>
            <w:r w:rsidRPr="00A34441">
              <w:rPr>
                <w:rFonts w:cs="Calibri"/>
                <w:sz w:val="22"/>
                <w:szCs w:val="22"/>
                <w:lang w:eastAsia="en-GB"/>
              </w:rPr>
              <w:t xml:space="preserve"> International Group, Beirut</w:t>
            </w:r>
          </w:p>
        </w:tc>
      </w:tr>
      <w:tr w:rsidR="00AF4E41" w:rsidRPr="00AF4E41" w14:paraId="1000142E"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52D4369"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Lebanon</w:t>
            </w:r>
          </w:p>
        </w:tc>
        <w:tc>
          <w:tcPr>
            <w:tcW w:w="5310" w:type="dxa"/>
            <w:tcBorders>
              <w:top w:val="nil"/>
              <w:left w:val="nil"/>
              <w:bottom w:val="single" w:sz="4" w:space="0" w:color="auto"/>
              <w:right w:val="single" w:sz="4" w:space="0" w:color="auto"/>
            </w:tcBorders>
            <w:shd w:val="clear" w:color="000000" w:fill="FFFFFF"/>
            <w:vAlign w:val="center"/>
            <w:hideMark/>
          </w:tcPr>
          <w:p w14:paraId="1480105A"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MTN/</w:t>
            </w:r>
            <w:proofErr w:type="spellStart"/>
            <w:r w:rsidRPr="00A34441">
              <w:rPr>
                <w:rFonts w:cs="Calibri"/>
                <w:sz w:val="22"/>
                <w:szCs w:val="22"/>
                <w:lang w:eastAsia="en-GB"/>
              </w:rPr>
              <w:t>Investcom</w:t>
            </w:r>
            <w:proofErr w:type="spellEnd"/>
            <w:r w:rsidRPr="00A34441">
              <w:rPr>
                <w:rFonts w:cs="Calibri"/>
                <w:sz w:val="22"/>
                <w:szCs w:val="22"/>
                <w:lang w:eastAsia="en-GB"/>
              </w:rPr>
              <w:t xml:space="preserve"> LLC, Beirut</w:t>
            </w:r>
          </w:p>
        </w:tc>
      </w:tr>
      <w:tr w:rsidR="00AF4E41" w:rsidRPr="00AF4E41" w14:paraId="4B2B4299"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E12E720"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Lebanon</w:t>
            </w:r>
          </w:p>
        </w:tc>
        <w:tc>
          <w:tcPr>
            <w:tcW w:w="5310" w:type="dxa"/>
            <w:tcBorders>
              <w:top w:val="nil"/>
              <w:left w:val="nil"/>
              <w:bottom w:val="single" w:sz="4" w:space="0" w:color="auto"/>
              <w:right w:val="single" w:sz="4" w:space="0" w:color="auto"/>
            </w:tcBorders>
            <w:shd w:val="clear" w:color="000000" w:fill="FFFFFF"/>
            <w:vAlign w:val="center"/>
            <w:hideMark/>
          </w:tcPr>
          <w:p w14:paraId="66399C3A" w14:textId="75E935AD"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Telecommunication Information Technology (TIT)</w:t>
            </w:r>
            <w:r w:rsidR="00935E31" w:rsidRPr="00A34441">
              <w:rPr>
                <w:rFonts w:cs="Calibri"/>
                <w:sz w:val="22"/>
                <w:szCs w:val="22"/>
                <w:lang w:eastAsia="en-GB"/>
              </w:rPr>
              <w:t>, Beirut</w:t>
            </w:r>
          </w:p>
        </w:tc>
      </w:tr>
      <w:tr w:rsidR="00AF4E41" w:rsidRPr="00AF4E41" w14:paraId="417735C8"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5A6C624"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Liberia</w:t>
            </w:r>
          </w:p>
        </w:tc>
        <w:tc>
          <w:tcPr>
            <w:tcW w:w="5310" w:type="dxa"/>
            <w:tcBorders>
              <w:top w:val="nil"/>
              <w:left w:val="nil"/>
              <w:bottom w:val="single" w:sz="4" w:space="0" w:color="auto"/>
              <w:right w:val="single" w:sz="4" w:space="0" w:color="auto"/>
            </w:tcBorders>
            <w:shd w:val="clear" w:color="000000" w:fill="FFFFFF"/>
            <w:vAlign w:val="center"/>
            <w:hideMark/>
          </w:tcPr>
          <w:p w14:paraId="7A0C35C1"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West Africa Telecom Inc., Monrovia </w:t>
            </w:r>
          </w:p>
        </w:tc>
      </w:tr>
      <w:tr w:rsidR="00AF4E41" w:rsidRPr="00AF4E41" w14:paraId="535ACD18"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5571F7D"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Mauritania</w:t>
            </w:r>
          </w:p>
        </w:tc>
        <w:tc>
          <w:tcPr>
            <w:tcW w:w="5310" w:type="dxa"/>
            <w:tcBorders>
              <w:top w:val="nil"/>
              <w:left w:val="nil"/>
              <w:bottom w:val="single" w:sz="4" w:space="0" w:color="auto"/>
              <w:right w:val="single" w:sz="4" w:space="0" w:color="auto"/>
            </w:tcBorders>
            <w:shd w:val="clear" w:color="000000" w:fill="FFFFFF"/>
            <w:vAlign w:val="center"/>
            <w:hideMark/>
          </w:tcPr>
          <w:p w14:paraId="4A5FAC1E"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MAURITEL SA, Nouakchott</w:t>
            </w:r>
          </w:p>
        </w:tc>
      </w:tr>
      <w:tr w:rsidR="00AF4E41" w:rsidRPr="00AF4E41" w14:paraId="5086169C"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D7AF586"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Netherlands</w:t>
            </w:r>
          </w:p>
        </w:tc>
        <w:tc>
          <w:tcPr>
            <w:tcW w:w="5310" w:type="dxa"/>
            <w:tcBorders>
              <w:top w:val="nil"/>
              <w:left w:val="nil"/>
              <w:bottom w:val="single" w:sz="4" w:space="0" w:color="auto"/>
              <w:right w:val="single" w:sz="4" w:space="0" w:color="auto"/>
            </w:tcBorders>
            <w:shd w:val="clear" w:color="000000" w:fill="FFFFFF"/>
            <w:vAlign w:val="center"/>
            <w:hideMark/>
          </w:tcPr>
          <w:p w14:paraId="5129ED6C"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SMITCOMS N.V., St. Maarten</w:t>
            </w:r>
          </w:p>
        </w:tc>
      </w:tr>
      <w:tr w:rsidR="00AF4E41" w:rsidRPr="00AF4E41" w14:paraId="3477CEF3"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31E385C"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Pakistan</w:t>
            </w:r>
          </w:p>
        </w:tc>
        <w:tc>
          <w:tcPr>
            <w:tcW w:w="5310" w:type="dxa"/>
            <w:tcBorders>
              <w:top w:val="nil"/>
              <w:left w:val="nil"/>
              <w:bottom w:val="single" w:sz="4" w:space="0" w:color="auto"/>
              <w:right w:val="single" w:sz="4" w:space="0" w:color="auto"/>
            </w:tcBorders>
            <w:shd w:val="clear" w:color="000000" w:fill="FFFFFF"/>
            <w:vAlign w:val="center"/>
            <w:hideMark/>
          </w:tcPr>
          <w:p w14:paraId="79650B84"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Paktel</w:t>
            </w:r>
            <w:proofErr w:type="spellEnd"/>
            <w:r w:rsidRPr="00A34441">
              <w:rPr>
                <w:rFonts w:cs="Calibri"/>
                <w:sz w:val="22"/>
                <w:szCs w:val="22"/>
                <w:lang w:eastAsia="en-GB"/>
              </w:rPr>
              <w:t xml:space="preserve"> Limited, Islamabad</w:t>
            </w:r>
          </w:p>
        </w:tc>
      </w:tr>
      <w:tr w:rsidR="00AF4E41" w:rsidRPr="00AF4E41" w14:paraId="3B5A5E83"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734B0DD3"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Philippines</w:t>
            </w:r>
          </w:p>
        </w:tc>
        <w:tc>
          <w:tcPr>
            <w:tcW w:w="5310" w:type="dxa"/>
            <w:tcBorders>
              <w:top w:val="nil"/>
              <w:left w:val="nil"/>
              <w:bottom w:val="single" w:sz="4" w:space="0" w:color="auto"/>
              <w:right w:val="single" w:sz="4" w:space="0" w:color="auto"/>
            </w:tcBorders>
            <w:shd w:val="clear" w:color="000000" w:fill="FFFFFF"/>
            <w:vAlign w:val="center"/>
            <w:hideMark/>
          </w:tcPr>
          <w:p w14:paraId="215E57C8"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PhilCom</w:t>
            </w:r>
            <w:proofErr w:type="spellEnd"/>
            <w:r w:rsidRPr="00A34441">
              <w:rPr>
                <w:rFonts w:cs="Calibri"/>
                <w:sz w:val="22"/>
                <w:szCs w:val="22"/>
                <w:lang w:eastAsia="en-GB"/>
              </w:rPr>
              <w:t>, Makati City</w:t>
            </w:r>
          </w:p>
        </w:tc>
      </w:tr>
      <w:tr w:rsidR="00AF4E41" w:rsidRPr="00AF4E41" w14:paraId="448AEE87"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4E88CAD"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Romania</w:t>
            </w:r>
          </w:p>
        </w:tc>
        <w:tc>
          <w:tcPr>
            <w:tcW w:w="5310" w:type="dxa"/>
            <w:tcBorders>
              <w:top w:val="nil"/>
              <w:left w:val="nil"/>
              <w:bottom w:val="single" w:sz="4" w:space="0" w:color="auto"/>
              <w:right w:val="single" w:sz="4" w:space="0" w:color="auto"/>
            </w:tcBorders>
            <w:shd w:val="clear" w:color="000000" w:fill="FFFFFF"/>
            <w:vAlign w:val="center"/>
            <w:hideMark/>
          </w:tcPr>
          <w:p w14:paraId="38698E75"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Polytech </w:t>
            </w:r>
            <w:proofErr w:type="spellStart"/>
            <w:r w:rsidRPr="00A34441">
              <w:rPr>
                <w:rFonts w:cs="Calibri"/>
                <w:sz w:val="22"/>
                <w:szCs w:val="22"/>
                <w:lang w:eastAsia="en-GB"/>
              </w:rPr>
              <w:t>Sch</w:t>
            </w:r>
            <w:proofErr w:type="spellEnd"/>
            <w:r w:rsidRPr="00A34441">
              <w:rPr>
                <w:rFonts w:cs="Calibri"/>
                <w:sz w:val="22"/>
                <w:szCs w:val="22"/>
                <w:lang w:eastAsia="en-GB"/>
              </w:rPr>
              <w:t xml:space="preserve"> of Bucharest Association, Bucharest</w:t>
            </w:r>
          </w:p>
        </w:tc>
      </w:tr>
      <w:tr w:rsidR="00AF4E41" w:rsidRPr="00AF4E41" w14:paraId="5F63CAC1" w14:textId="77777777" w:rsidTr="00A34441">
        <w:trPr>
          <w:trHeight w:val="315"/>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0ED8A96"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Russian Federation</w:t>
            </w:r>
          </w:p>
        </w:tc>
        <w:tc>
          <w:tcPr>
            <w:tcW w:w="5310" w:type="dxa"/>
            <w:tcBorders>
              <w:top w:val="nil"/>
              <w:left w:val="nil"/>
              <w:bottom w:val="single" w:sz="4" w:space="0" w:color="auto"/>
              <w:right w:val="single" w:sz="4" w:space="0" w:color="auto"/>
            </w:tcBorders>
            <w:shd w:val="clear" w:color="000000" w:fill="FFFFFF"/>
            <w:vAlign w:val="center"/>
            <w:hideMark/>
          </w:tcPr>
          <w:p w14:paraId="53EA524A"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JSC National Telemedicine Agency, Moscow</w:t>
            </w:r>
          </w:p>
        </w:tc>
      </w:tr>
      <w:tr w:rsidR="00AF4E41" w:rsidRPr="00AF4E41" w14:paraId="7146749A"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12664135"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Somalia</w:t>
            </w:r>
          </w:p>
        </w:tc>
        <w:tc>
          <w:tcPr>
            <w:tcW w:w="5310" w:type="dxa"/>
            <w:tcBorders>
              <w:top w:val="nil"/>
              <w:left w:val="nil"/>
              <w:bottom w:val="single" w:sz="4" w:space="0" w:color="auto"/>
              <w:right w:val="single" w:sz="4" w:space="0" w:color="auto"/>
            </w:tcBorders>
            <w:shd w:val="clear" w:color="000000" w:fill="FFFFFF"/>
            <w:vAlign w:val="center"/>
            <w:hideMark/>
          </w:tcPr>
          <w:p w14:paraId="77E041BA"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Telecom Somalia, Mogadishu</w:t>
            </w:r>
          </w:p>
        </w:tc>
      </w:tr>
      <w:tr w:rsidR="00AF4E41" w:rsidRPr="00AF4E41" w14:paraId="324BE905"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36F437D9"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South Africa</w:t>
            </w:r>
          </w:p>
        </w:tc>
        <w:tc>
          <w:tcPr>
            <w:tcW w:w="5310" w:type="dxa"/>
            <w:tcBorders>
              <w:top w:val="nil"/>
              <w:left w:val="nil"/>
              <w:bottom w:val="single" w:sz="4" w:space="0" w:color="auto"/>
              <w:right w:val="single" w:sz="4" w:space="0" w:color="auto"/>
            </w:tcBorders>
            <w:shd w:val="clear" w:color="000000" w:fill="FFFFFF"/>
            <w:vAlign w:val="center"/>
            <w:hideMark/>
          </w:tcPr>
          <w:p w14:paraId="520F5C11"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Cell C (Pty) Ltd, Benmore</w:t>
            </w:r>
          </w:p>
        </w:tc>
      </w:tr>
      <w:tr w:rsidR="00AF4E41" w:rsidRPr="00AF4E41" w14:paraId="4B8BA3ED" w14:textId="77777777" w:rsidTr="00A34441">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5372D6D"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Syrian Arab Republic </w:t>
            </w:r>
          </w:p>
        </w:tc>
        <w:tc>
          <w:tcPr>
            <w:tcW w:w="5310" w:type="dxa"/>
            <w:tcBorders>
              <w:top w:val="nil"/>
              <w:left w:val="nil"/>
              <w:bottom w:val="single" w:sz="4" w:space="0" w:color="auto"/>
              <w:right w:val="single" w:sz="4" w:space="0" w:color="auto"/>
            </w:tcBorders>
            <w:shd w:val="clear" w:color="000000" w:fill="FFFFFF"/>
            <w:vAlign w:val="center"/>
            <w:hideMark/>
          </w:tcPr>
          <w:p w14:paraId="50D66273" w14:textId="77777777"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Arab Regional </w:t>
            </w:r>
            <w:proofErr w:type="spellStart"/>
            <w:r w:rsidRPr="00A34441">
              <w:rPr>
                <w:rFonts w:cs="Calibri"/>
                <w:sz w:val="22"/>
                <w:szCs w:val="22"/>
                <w:lang w:eastAsia="en-GB"/>
              </w:rPr>
              <w:t>Isps</w:t>
            </w:r>
            <w:proofErr w:type="spellEnd"/>
            <w:r w:rsidRPr="00A34441">
              <w:rPr>
                <w:rFonts w:cs="Calibri"/>
                <w:sz w:val="22"/>
                <w:szCs w:val="22"/>
                <w:lang w:eastAsia="en-GB"/>
              </w:rPr>
              <w:t xml:space="preserve"> Association (ARISPA), Damascus</w:t>
            </w:r>
          </w:p>
        </w:tc>
      </w:tr>
      <w:tr w:rsidR="00AF4E41" w:rsidRPr="00AF4E41" w14:paraId="15D43A0F" w14:textId="77777777" w:rsidTr="00A34441">
        <w:trPr>
          <w:trHeight w:val="30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471CA63F" w14:textId="77777777"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Zimbabwe</w:t>
            </w:r>
          </w:p>
        </w:tc>
        <w:tc>
          <w:tcPr>
            <w:tcW w:w="5310" w:type="dxa"/>
            <w:tcBorders>
              <w:top w:val="nil"/>
              <w:left w:val="nil"/>
              <w:bottom w:val="single" w:sz="4" w:space="0" w:color="auto"/>
              <w:right w:val="single" w:sz="4" w:space="0" w:color="auto"/>
            </w:tcBorders>
            <w:shd w:val="clear" w:color="000000" w:fill="FFFFFF"/>
            <w:vAlign w:val="center"/>
            <w:hideMark/>
          </w:tcPr>
          <w:p w14:paraId="31228EFC" w14:textId="4A1D5B26"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proofErr w:type="spellStart"/>
            <w:r w:rsidRPr="00A34441">
              <w:rPr>
                <w:rFonts w:cs="Calibri"/>
                <w:sz w:val="22"/>
                <w:szCs w:val="22"/>
                <w:lang w:eastAsia="en-GB"/>
              </w:rPr>
              <w:t>NetOne</w:t>
            </w:r>
            <w:proofErr w:type="spellEnd"/>
            <w:r w:rsidRPr="00A34441">
              <w:rPr>
                <w:rFonts w:cs="Calibri"/>
                <w:sz w:val="22"/>
                <w:szCs w:val="22"/>
                <w:lang w:eastAsia="en-GB"/>
              </w:rPr>
              <w:t xml:space="preserve"> Cellular (</w:t>
            </w:r>
            <w:proofErr w:type="spellStart"/>
            <w:r w:rsidRPr="00A34441">
              <w:rPr>
                <w:rFonts w:cs="Calibri"/>
                <w:sz w:val="22"/>
                <w:szCs w:val="22"/>
                <w:lang w:eastAsia="en-GB"/>
              </w:rPr>
              <w:t>Pvt.</w:t>
            </w:r>
            <w:proofErr w:type="spellEnd"/>
            <w:r w:rsidRPr="00A34441">
              <w:rPr>
                <w:rFonts w:cs="Calibri"/>
                <w:sz w:val="22"/>
                <w:szCs w:val="22"/>
                <w:lang w:eastAsia="en-GB"/>
              </w:rPr>
              <w:t>) Ltd</w:t>
            </w:r>
            <w:r w:rsidR="00111848" w:rsidRPr="00A34441">
              <w:rPr>
                <w:rFonts w:cs="Calibri"/>
                <w:sz w:val="22"/>
                <w:szCs w:val="22"/>
                <w:lang w:eastAsia="en-GB"/>
              </w:rPr>
              <w:t>.</w:t>
            </w:r>
            <w:r w:rsidRPr="00A34441">
              <w:rPr>
                <w:rFonts w:cs="Calibri"/>
                <w:sz w:val="22"/>
                <w:szCs w:val="22"/>
                <w:lang w:eastAsia="en-GB"/>
              </w:rPr>
              <w:t>, Harare</w:t>
            </w:r>
          </w:p>
        </w:tc>
      </w:tr>
      <w:tr w:rsidR="00AF4E41" w:rsidRPr="00AF4E41" w14:paraId="2F987695" w14:textId="77777777" w:rsidTr="00A34441">
        <w:trPr>
          <w:trHeight w:val="420"/>
          <w:jc w:val="center"/>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DED404D" w14:textId="77777777" w:rsid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 xml:space="preserve">Resolution 99 </w:t>
            </w:r>
          </w:p>
          <w:p w14:paraId="09C40321" w14:textId="40B153EB" w:rsidR="00AF4E41" w:rsidRPr="00A34441" w:rsidRDefault="00AF4E41"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(Rev. Dubai, 2018)</w:t>
            </w:r>
          </w:p>
        </w:tc>
        <w:tc>
          <w:tcPr>
            <w:tcW w:w="5310" w:type="dxa"/>
            <w:tcBorders>
              <w:top w:val="nil"/>
              <w:left w:val="nil"/>
              <w:bottom w:val="single" w:sz="4" w:space="0" w:color="auto"/>
              <w:right w:val="single" w:sz="4" w:space="0" w:color="auto"/>
            </w:tcBorders>
            <w:shd w:val="clear" w:color="000000" w:fill="FFFFFF"/>
            <w:vAlign w:val="center"/>
            <w:hideMark/>
          </w:tcPr>
          <w:p w14:paraId="3FB8CCE0" w14:textId="234542D0" w:rsidR="00AF4E41" w:rsidRPr="00A34441" w:rsidRDefault="00AF4E41" w:rsidP="00AF4E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A34441">
              <w:rPr>
                <w:rFonts w:cs="Calibri"/>
                <w:sz w:val="22"/>
                <w:szCs w:val="22"/>
                <w:lang w:eastAsia="en-GB"/>
              </w:rPr>
              <w:t>BCI Comm. &amp; Adv. Technology, Ramallah</w:t>
            </w:r>
            <w:r w:rsidR="00A34441">
              <w:rPr>
                <w:rFonts w:cs="Calibri"/>
                <w:sz w:val="22"/>
                <w:szCs w:val="22"/>
                <w:lang w:eastAsia="en-GB"/>
              </w:rPr>
              <w:t>, Palestine</w:t>
            </w:r>
          </w:p>
        </w:tc>
      </w:tr>
    </w:tbl>
    <w:p w14:paraId="76BC9BE7" w14:textId="7A546526" w:rsidR="00EC4E89" w:rsidRPr="0094077E" w:rsidRDefault="0094077E" w:rsidP="0094077E">
      <w:pPr>
        <w:rPr>
          <w:sz w:val="22"/>
          <w:szCs w:val="22"/>
          <w:lang w:val="en-US"/>
        </w:rPr>
      </w:pPr>
      <w:bookmarkStart w:id="14" w:name="_Hlk40344222"/>
      <w:r>
        <w:rPr>
          <w:sz w:val="22"/>
          <w:szCs w:val="22"/>
          <w:lang w:val="en-US"/>
        </w:rPr>
        <w:tab/>
      </w:r>
      <w:r w:rsidR="00552A41" w:rsidRPr="0094077E">
        <w:rPr>
          <w:sz w:val="22"/>
          <w:szCs w:val="22"/>
          <w:lang w:val="en-US"/>
        </w:rPr>
        <w:t>These debts am</w:t>
      </w:r>
      <w:r w:rsidR="00B468C4" w:rsidRPr="0094077E">
        <w:rPr>
          <w:sz w:val="22"/>
          <w:szCs w:val="22"/>
          <w:lang w:val="en-US"/>
        </w:rPr>
        <w:t xml:space="preserve">ount to a total of </w:t>
      </w:r>
      <w:r w:rsidR="00B468C4" w:rsidRPr="0094077E">
        <w:rPr>
          <w:b/>
          <w:bCs/>
          <w:sz w:val="22"/>
          <w:szCs w:val="22"/>
          <w:lang w:val="en-US"/>
        </w:rPr>
        <w:t>CHF </w:t>
      </w:r>
      <w:r w:rsidR="00EE717A" w:rsidRPr="0094077E">
        <w:rPr>
          <w:b/>
          <w:bCs/>
          <w:sz w:val="22"/>
          <w:szCs w:val="22"/>
          <w:lang w:val="en-US"/>
        </w:rPr>
        <w:t xml:space="preserve">2 </w:t>
      </w:r>
      <w:r w:rsidR="00EC4E89" w:rsidRPr="0094077E">
        <w:rPr>
          <w:b/>
          <w:bCs/>
          <w:sz w:val="22"/>
          <w:szCs w:val="22"/>
          <w:lang w:val="en-US"/>
        </w:rPr>
        <w:t>1</w:t>
      </w:r>
      <w:r w:rsidR="00AF4E41" w:rsidRPr="0094077E">
        <w:rPr>
          <w:b/>
          <w:bCs/>
          <w:sz w:val="22"/>
          <w:szCs w:val="22"/>
          <w:lang w:val="en-US"/>
        </w:rPr>
        <w:t>21</w:t>
      </w:r>
      <w:r w:rsidR="00EE717A" w:rsidRPr="0094077E">
        <w:rPr>
          <w:b/>
          <w:bCs/>
          <w:sz w:val="22"/>
          <w:szCs w:val="22"/>
          <w:lang w:val="en-US"/>
        </w:rPr>
        <w:t xml:space="preserve"> </w:t>
      </w:r>
      <w:r w:rsidR="00AF4E41" w:rsidRPr="0094077E">
        <w:rPr>
          <w:b/>
          <w:bCs/>
          <w:sz w:val="22"/>
          <w:szCs w:val="22"/>
          <w:lang w:val="en-US"/>
        </w:rPr>
        <w:t>918</w:t>
      </w:r>
      <w:r w:rsidR="00EE717A" w:rsidRPr="0094077E">
        <w:rPr>
          <w:b/>
          <w:bCs/>
          <w:sz w:val="22"/>
          <w:szCs w:val="22"/>
          <w:lang w:val="en-US"/>
        </w:rPr>
        <w:t>.</w:t>
      </w:r>
      <w:r w:rsidR="00AF4E41" w:rsidRPr="0094077E">
        <w:rPr>
          <w:b/>
          <w:bCs/>
          <w:sz w:val="22"/>
          <w:szCs w:val="22"/>
          <w:lang w:val="en-US"/>
        </w:rPr>
        <w:t>58</w:t>
      </w:r>
      <w:r w:rsidR="00A61B65" w:rsidRPr="0094077E">
        <w:rPr>
          <w:b/>
          <w:bCs/>
          <w:sz w:val="22"/>
          <w:szCs w:val="22"/>
          <w:lang w:val="en-US"/>
        </w:rPr>
        <w:t>.</w:t>
      </w:r>
      <w:r w:rsidR="000E674B" w:rsidRPr="0094077E">
        <w:rPr>
          <w:b/>
          <w:bCs/>
          <w:sz w:val="22"/>
          <w:szCs w:val="22"/>
          <w:lang w:val="en-US"/>
        </w:rPr>
        <w:t xml:space="preserve"> </w:t>
      </w:r>
      <w:r w:rsidR="000E674B" w:rsidRPr="0094077E">
        <w:rPr>
          <w:sz w:val="22"/>
          <w:szCs w:val="22"/>
          <w:lang w:val="en-US"/>
        </w:rPr>
        <w:t xml:space="preserve">Annex B </w:t>
      </w:r>
      <w:r w:rsidR="00DA03C9" w:rsidRPr="0094077E">
        <w:rPr>
          <w:sz w:val="22"/>
          <w:szCs w:val="22"/>
          <w:lang w:val="en-US"/>
        </w:rPr>
        <w:t xml:space="preserve">contains </w:t>
      </w:r>
      <w:r w:rsidR="000E674B" w:rsidRPr="0094077E">
        <w:rPr>
          <w:sz w:val="22"/>
          <w:szCs w:val="22"/>
          <w:lang w:val="en-US"/>
        </w:rPr>
        <w:t>further details.</w:t>
      </w:r>
      <w:bookmarkEnd w:id="14"/>
      <w:r w:rsidR="00EC4E89">
        <w:rPr>
          <w:lang w:val="en-US"/>
        </w:rPr>
        <w:br w:type="page"/>
      </w:r>
    </w:p>
    <w:p w14:paraId="3CB5E3C1" w14:textId="77777777" w:rsidR="00B468C4" w:rsidRPr="00C20635" w:rsidRDefault="00B468C4" w:rsidP="005A18EA">
      <w:pPr>
        <w:pStyle w:val="AnnexNo"/>
        <w:spacing w:before="120"/>
        <w:rPr>
          <w:lang w:val="en-US"/>
        </w:rPr>
      </w:pPr>
      <w:r w:rsidRPr="00C20635">
        <w:rPr>
          <w:lang w:val="en-US"/>
        </w:rPr>
        <w:lastRenderedPageBreak/>
        <w:t>ANNEX A</w:t>
      </w:r>
    </w:p>
    <w:p w14:paraId="28EF4040" w14:textId="77777777" w:rsidR="00B468C4" w:rsidRPr="00DA050C" w:rsidRDefault="00B468C4" w:rsidP="00B468C4">
      <w:pPr>
        <w:pStyle w:val="Annextitle"/>
        <w:spacing w:after="0"/>
        <w:rPr>
          <w:lang w:val="en-US"/>
        </w:rPr>
      </w:pPr>
      <w:r w:rsidRPr="00DA050C">
        <w:rPr>
          <w:lang w:val="en-US"/>
        </w:rPr>
        <w:t>Changes in arrears and special arrears accounts</w:t>
      </w:r>
    </w:p>
    <w:p w14:paraId="7D80A89E" w14:textId="77777777"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(in CHF thousands)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EC4E89" w:rsidRPr="00EC4E89" w14:paraId="37DBFF54" w14:textId="77777777" w:rsidTr="00EC4E89">
        <w:trPr>
          <w:trHeight w:val="465"/>
          <w:jc w:val="center"/>
        </w:trPr>
        <w:tc>
          <w:tcPr>
            <w:tcW w:w="3395" w:type="dxa"/>
            <w:tcBorders>
              <w:top w:val="nil"/>
              <w:left w:val="nil"/>
              <w:bottom w:val="nil"/>
              <w:right w:val="nil"/>
            </w:tcBorders>
            <w:shd w:val="clear" w:color="auto" w:fill="auto"/>
            <w:noWrap/>
            <w:vAlign w:val="center"/>
            <w:hideMark/>
          </w:tcPr>
          <w:p w14:paraId="44E0375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 xml:space="preserve">Situation </w:t>
            </w:r>
            <w:proofErr w:type="gramStart"/>
            <w:r w:rsidRPr="00EC4E89">
              <w:rPr>
                <w:rFonts w:cs="Calibri"/>
                <w:b/>
                <w:bCs/>
                <w:color w:val="000000"/>
                <w:sz w:val="22"/>
                <w:szCs w:val="22"/>
                <w:lang w:eastAsia="en-GB"/>
              </w:rPr>
              <w:t>at</w:t>
            </w:r>
            <w:proofErr w:type="gramEnd"/>
            <w:r w:rsidRPr="00EC4E89">
              <w:rPr>
                <w:rFonts w:cs="Calibri"/>
                <w:b/>
                <w:bCs/>
                <w:color w:val="000000"/>
                <w:sz w:val="22"/>
                <w:szCs w:val="22"/>
                <w:lang w:eastAsia="en-GB"/>
              </w:rPr>
              <w:t xml:space="preserve"> 31 December </w:t>
            </w:r>
          </w:p>
        </w:tc>
        <w:tc>
          <w:tcPr>
            <w:tcW w:w="855" w:type="dxa"/>
            <w:tcBorders>
              <w:top w:val="nil"/>
              <w:left w:val="nil"/>
              <w:bottom w:val="nil"/>
              <w:right w:val="nil"/>
            </w:tcBorders>
            <w:shd w:val="clear" w:color="auto" w:fill="auto"/>
            <w:vAlign w:val="center"/>
            <w:hideMark/>
          </w:tcPr>
          <w:p w14:paraId="68B70AC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2013</w:t>
            </w:r>
          </w:p>
        </w:tc>
        <w:tc>
          <w:tcPr>
            <w:tcW w:w="855" w:type="dxa"/>
            <w:tcBorders>
              <w:top w:val="nil"/>
              <w:left w:val="nil"/>
              <w:bottom w:val="nil"/>
              <w:right w:val="nil"/>
            </w:tcBorders>
            <w:shd w:val="clear" w:color="auto" w:fill="auto"/>
            <w:vAlign w:val="center"/>
            <w:hideMark/>
          </w:tcPr>
          <w:p w14:paraId="51251A6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2014</w:t>
            </w:r>
          </w:p>
        </w:tc>
        <w:tc>
          <w:tcPr>
            <w:tcW w:w="855" w:type="dxa"/>
            <w:tcBorders>
              <w:top w:val="nil"/>
              <w:left w:val="nil"/>
              <w:bottom w:val="nil"/>
              <w:right w:val="nil"/>
            </w:tcBorders>
            <w:shd w:val="clear" w:color="auto" w:fill="auto"/>
            <w:vAlign w:val="center"/>
            <w:hideMark/>
          </w:tcPr>
          <w:p w14:paraId="1773D94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2015</w:t>
            </w:r>
          </w:p>
        </w:tc>
        <w:tc>
          <w:tcPr>
            <w:tcW w:w="856" w:type="dxa"/>
            <w:tcBorders>
              <w:top w:val="nil"/>
              <w:left w:val="nil"/>
              <w:bottom w:val="nil"/>
              <w:right w:val="nil"/>
            </w:tcBorders>
            <w:shd w:val="clear" w:color="auto" w:fill="auto"/>
            <w:vAlign w:val="center"/>
            <w:hideMark/>
          </w:tcPr>
          <w:p w14:paraId="5262970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2016</w:t>
            </w:r>
          </w:p>
        </w:tc>
        <w:tc>
          <w:tcPr>
            <w:tcW w:w="856" w:type="dxa"/>
            <w:tcBorders>
              <w:top w:val="nil"/>
              <w:left w:val="nil"/>
              <w:bottom w:val="nil"/>
              <w:right w:val="nil"/>
            </w:tcBorders>
            <w:shd w:val="clear" w:color="auto" w:fill="auto"/>
            <w:vAlign w:val="center"/>
            <w:hideMark/>
          </w:tcPr>
          <w:p w14:paraId="2B48265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C4E89">
              <w:rPr>
                <w:rFonts w:cs="Calibri"/>
                <w:b/>
                <w:bCs/>
                <w:sz w:val="22"/>
                <w:szCs w:val="22"/>
                <w:lang w:eastAsia="en-GB"/>
              </w:rPr>
              <w:t>2017</w:t>
            </w:r>
          </w:p>
        </w:tc>
        <w:tc>
          <w:tcPr>
            <w:tcW w:w="856" w:type="dxa"/>
            <w:tcBorders>
              <w:top w:val="nil"/>
              <w:left w:val="nil"/>
              <w:bottom w:val="nil"/>
              <w:right w:val="nil"/>
            </w:tcBorders>
            <w:shd w:val="clear" w:color="auto" w:fill="auto"/>
            <w:vAlign w:val="center"/>
            <w:hideMark/>
          </w:tcPr>
          <w:p w14:paraId="09F449D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C4E89">
              <w:rPr>
                <w:rFonts w:cs="Calibri"/>
                <w:b/>
                <w:bCs/>
                <w:sz w:val="22"/>
                <w:szCs w:val="22"/>
                <w:lang w:eastAsia="en-GB"/>
              </w:rPr>
              <w:t>2018</w:t>
            </w:r>
          </w:p>
        </w:tc>
        <w:tc>
          <w:tcPr>
            <w:tcW w:w="856" w:type="dxa"/>
            <w:tcBorders>
              <w:top w:val="nil"/>
              <w:left w:val="nil"/>
              <w:bottom w:val="nil"/>
              <w:right w:val="nil"/>
            </w:tcBorders>
            <w:shd w:val="clear" w:color="auto" w:fill="auto"/>
            <w:vAlign w:val="center"/>
            <w:hideMark/>
          </w:tcPr>
          <w:p w14:paraId="7BC1ED0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C4E89">
              <w:rPr>
                <w:rFonts w:cs="Calibri"/>
                <w:b/>
                <w:bCs/>
                <w:sz w:val="22"/>
                <w:szCs w:val="22"/>
                <w:lang w:eastAsia="en-GB"/>
              </w:rPr>
              <w:t>2019</w:t>
            </w:r>
          </w:p>
        </w:tc>
        <w:tc>
          <w:tcPr>
            <w:tcW w:w="856" w:type="dxa"/>
            <w:tcBorders>
              <w:top w:val="nil"/>
              <w:left w:val="nil"/>
              <w:bottom w:val="nil"/>
              <w:right w:val="nil"/>
            </w:tcBorders>
            <w:shd w:val="clear" w:color="auto" w:fill="auto"/>
            <w:vAlign w:val="center"/>
            <w:hideMark/>
          </w:tcPr>
          <w:p w14:paraId="59AF5EF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EC4E89">
              <w:rPr>
                <w:rFonts w:cs="Calibri"/>
                <w:b/>
                <w:bCs/>
                <w:sz w:val="22"/>
                <w:szCs w:val="22"/>
                <w:lang w:eastAsia="en-GB"/>
              </w:rPr>
              <w:t>2020</w:t>
            </w:r>
          </w:p>
        </w:tc>
      </w:tr>
      <w:tr w:rsidR="00EC4E89" w:rsidRPr="00EC4E89" w14:paraId="287B8C5B" w14:textId="77777777" w:rsidTr="00EC4E89">
        <w:trPr>
          <w:trHeight w:val="270"/>
          <w:jc w:val="center"/>
        </w:trPr>
        <w:tc>
          <w:tcPr>
            <w:tcW w:w="3395" w:type="dxa"/>
            <w:tcBorders>
              <w:top w:val="nil"/>
              <w:left w:val="nil"/>
              <w:bottom w:val="nil"/>
              <w:right w:val="nil"/>
            </w:tcBorders>
            <w:shd w:val="clear" w:color="auto" w:fill="auto"/>
            <w:noWrap/>
            <w:vAlign w:val="center"/>
            <w:hideMark/>
          </w:tcPr>
          <w:p w14:paraId="0DDF172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4288F52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B3106C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2DCAEB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727A0D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651087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BF240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D54BF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CF805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EC4E89" w:rsidRPr="00EC4E89" w14:paraId="5FB3EC6C" w14:textId="77777777" w:rsidTr="00EC4E89">
        <w:trPr>
          <w:trHeight w:val="465"/>
          <w:jc w:val="center"/>
        </w:trPr>
        <w:tc>
          <w:tcPr>
            <w:tcW w:w="3395" w:type="dxa"/>
            <w:tcBorders>
              <w:top w:val="nil"/>
              <w:left w:val="nil"/>
              <w:bottom w:val="nil"/>
              <w:right w:val="nil"/>
            </w:tcBorders>
            <w:shd w:val="clear" w:color="auto" w:fill="auto"/>
            <w:noWrap/>
            <w:vAlign w:val="center"/>
            <w:hideMark/>
          </w:tcPr>
          <w:p w14:paraId="26C4578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555F838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4C46B56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FAB047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ED647D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8E759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4313E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6049A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F694B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6331BA24" w14:textId="77777777" w:rsidTr="00EC4E89">
        <w:trPr>
          <w:trHeight w:val="300"/>
          <w:jc w:val="center"/>
        </w:trPr>
        <w:tc>
          <w:tcPr>
            <w:tcW w:w="3395" w:type="dxa"/>
            <w:tcBorders>
              <w:top w:val="nil"/>
              <w:left w:val="nil"/>
              <w:bottom w:val="nil"/>
              <w:right w:val="nil"/>
            </w:tcBorders>
            <w:shd w:val="clear" w:color="auto" w:fill="auto"/>
            <w:noWrap/>
            <w:vAlign w:val="center"/>
            <w:hideMark/>
          </w:tcPr>
          <w:p w14:paraId="1481D11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33E26E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2667E4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1080D6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CF7734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C0D2CA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075DB5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46B84D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BD2DB3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61140046"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05BEECC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088EE8F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10,141</w:t>
            </w:r>
          </w:p>
        </w:tc>
        <w:tc>
          <w:tcPr>
            <w:tcW w:w="855" w:type="dxa"/>
            <w:tcBorders>
              <w:top w:val="nil"/>
              <w:left w:val="nil"/>
              <w:bottom w:val="nil"/>
              <w:right w:val="nil"/>
            </w:tcBorders>
            <w:shd w:val="clear" w:color="auto" w:fill="auto"/>
            <w:vAlign w:val="center"/>
            <w:hideMark/>
          </w:tcPr>
          <w:p w14:paraId="6D8AF3B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7,825</w:t>
            </w:r>
          </w:p>
        </w:tc>
        <w:tc>
          <w:tcPr>
            <w:tcW w:w="855" w:type="dxa"/>
            <w:tcBorders>
              <w:top w:val="nil"/>
              <w:left w:val="nil"/>
              <w:bottom w:val="nil"/>
              <w:right w:val="nil"/>
            </w:tcBorders>
            <w:shd w:val="clear" w:color="auto" w:fill="auto"/>
            <w:vAlign w:val="center"/>
            <w:hideMark/>
          </w:tcPr>
          <w:p w14:paraId="06B4739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8,450</w:t>
            </w:r>
          </w:p>
        </w:tc>
        <w:tc>
          <w:tcPr>
            <w:tcW w:w="856" w:type="dxa"/>
            <w:tcBorders>
              <w:top w:val="nil"/>
              <w:left w:val="nil"/>
              <w:bottom w:val="nil"/>
              <w:right w:val="nil"/>
            </w:tcBorders>
            <w:shd w:val="clear" w:color="auto" w:fill="auto"/>
            <w:vAlign w:val="center"/>
            <w:hideMark/>
          </w:tcPr>
          <w:p w14:paraId="53C460D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10,070</w:t>
            </w:r>
          </w:p>
        </w:tc>
        <w:tc>
          <w:tcPr>
            <w:tcW w:w="856" w:type="dxa"/>
            <w:tcBorders>
              <w:top w:val="nil"/>
              <w:left w:val="nil"/>
              <w:bottom w:val="nil"/>
              <w:right w:val="nil"/>
            </w:tcBorders>
            <w:shd w:val="clear" w:color="auto" w:fill="auto"/>
            <w:vAlign w:val="center"/>
            <w:hideMark/>
          </w:tcPr>
          <w:p w14:paraId="2FC32BC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9,639</w:t>
            </w:r>
          </w:p>
        </w:tc>
        <w:tc>
          <w:tcPr>
            <w:tcW w:w="856" w:type="dxa"/>
            <w:tcBorders>
              <w:top w:val="nil"/>
              <w:left w:val="nil"/>
              <w:bottom w:val="nil"/>
              <w:right w:val="nil"/>
            </w:tcBorders>
            <w:shd w:val="clear" w:color="auto" w:fill="auto"/>
            <w:vAlign w:val="center"/>
            <w:hideMark/>
          </w:tcPr>
          <w:p w14:paraId="6D7298A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8,683</w:t>
            </w:r>
          </w:p>
        </w:tc>
        <w:tc>
          <w:tcPr>
            <w:tcW w:w="856" w:type="dxa"/>
            <w:tcBorders>
              <w:top w:val="nil"/>
              <w:left w:val="nil"/>
              <w:bottom w:val="nil"/>
              <w:right w:val="nil"/>
            </w:tcBorders>
            <w:shd w:val="clear" w:color="auto" w:fill="auto"/>
            <w:vAlign w:val="center"/>
            <w:hideMark/>
          </w:tcPr>
          <w:p w14:paraId="60571D1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8,965</w:t>
            </w:r>
          </w:p>
        </w:tc>
        <w:tc>
          <w:tcPr>
            <w:tcW w:w="856" w:type="dxa"/>
            <w:tcBorders>
              <w:top w:val="nil"/>
              <w:left w:val="nil"/>
              <w:bottom w:val="nil"/>
              <w:right w:val="nil"/>
            </w:tcBorders>
            <w:shd w:val="clear" w:color="auto" w:fill="auto"/>
            <w:vAlign w:val="center"/>
            <w:hideMark/>
          </w:tcPr>
          <w:p w14:paraId="09035D0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11,068</w:t>
            </w:r>
          </w:p>
        </w:tc>
      </w:tr>
      <w:tr w:rsidR="00EC4E89" w:rsidRPr="00EC4E89" w14:paraId="3C7715DC"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575B628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67DEF05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EB70EA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FB9D65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61828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D95FA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37E8C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EAFDD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18836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3EAF55C3" w14:textId="77777777" w:rsidTr="00EC4E89">
        <w:trPr>
          <w:trHeight w:val="288"/>
          <w:jc w:val="center"/>
        </w:trPr>
        <w:tc>
          <w:tcPr>
            <w:tcW w:w="3395" w:type="dxa"/>
            <w:tcBorders>
              <w:top w:val="nil"/>
              <w:left w:val="nil"/>
              <w:bottom w:val="nil"/>
              <w:right w:val="nil"/>
            </w:tcBorders>
            <w:shd w:val="clear" w:color="auto" w:fill="auto"/>
            <w:vAlign w:val="center"/>
            <w:hideMark/>
          </w:tcPr>
          <w:p w14:paraId="3F8E7F5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58B85EC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EC4E89">
              <w:rPr>
                <w:rFonts w:cs="Calibri"/>
                <w:color w:val="000000"/>
                <w:sz w:val="22"/>
                <w:szCs w:val="22"/>
                <w:u w:val="single"/>
                <w:lang w:eastAsia="en-GB"/>
              </w:rPr>
              <w:t>49</w:t>
            </w:r>
          </w:p>
        </w:tc>
        <w:tc>
          <w:tcPr>
            <w:tcW w:w="855" w:type="dxa"/>
            <w:tcBorders>
              <w:top w:val="nil"/>
              <w:left w:val="nil"/>
              <w:bottom w:val="nil"/>
              <w:right w:val="nil"/>
            </w:tcBorders>
            <w:shd w:val="clear" w:color="auto" w:fill="auto"/>
            <w:vAlign w:val="center"/>
            <w:hideMark/>
          </w:tcPr>
          <w:p w14:paraId="34191C9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EC4E89">
              <w:rPr>
                <w:rFonts w:cs="Calibri"/>
                <w:color w:val="000000"/>
                <w:sz w:val="22"/>
                <w:szCs w:val="22"/>
                <w:u w:val="single"/>
                <w:lang w:eastAsia="en-GB"/>
              </w:rPr>
              <w:t>36</w:t>
            </w:r>
          </w:p>
        </w:tc>
        <w:tc>
          <w:tcPr>
            <w:tcW w:w="855" w:type="dxa"/>
            <w:tcBorders>
              <w:top w:val="nil"/>
              <w:left w:val="nil"/>
              <w:bottom w:val="nil"/>
              <w:right w:val="nil"/>
            </w:tcBorders>
            <w:shd w:val="clear" w:color="auto" w:fill="auto"/>
            <w:vAlign w:val="center"/>
            <w:hideMark/>
          </w:tcPr>
          <w:p w14:paraId="426B737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2F39CAE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57294FD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37</w:t>
            </w:r>
          </w:p>
        </w:tc>
        <w:tc>
          <w:tcPr>
            <w:tcW w:w="856" w:type="dxa"/>
            <w:tcBorders>
              <w:top w:val="nil"/>
              <w:left w:val="nil"/>
              <w:bottom w:val="nil"/>
              <w:right w:val="nil"/>
            </w:tcBorders>
            <w:shd w:val="clear" w:color="auto" w:fill="auto"/>
            <w:vAlign w:val="center"/>
            <w:hideMark/>
          </w:tcPr>
          <w:p w14:paraId="66E7C73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40</w:t>
            </w:r>
          </w:p>
        </w:tc>
        <w:tc>
          <w:tcPr>
            <w:tcW w:w="856" w:type="dxa"/>
            <w:tcBorders>
              <w:top w:val="nil"/>
              <w:left w:val="nil"/>
              <w:bottom w:val="nil"/>
              <w:right w:val="nil"/>
            </w:tcBorders>
            <w:shd w:val="clear" w:color="auto" w:fill="auto"/>
            <w:vAlign w:val="center"/>
            <w:hideMark/>
          </w:tcPr>
          <w:p w14:paraId="64D33F7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41</w:t>
            </w:r>
          </w:p>
        </w:tc>
        <w:tc>
          <w:tcPr>
            <w:tcW w:w="856" w:type="dxa"/>
            <w:tcBorders>
              <w:top w:val="nil"/>
              <w:left w:val="nil"/>
              <w:bottom w:val="nil"/>
              <w:right w:val="nil"/>
            </w:tcBorders>
            <w:shd w:val="clear" w:color="auto" w:fill="auto"/>
            <w:vAlign w:val="center"/>
            <w:hideMark/>
          </w:tcPr>
          <w:p w14:paraId="1737471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47</w:t>
            </w:r>
          </w:p>
        </w:tc>
      </w:tr>
      <w:tr w:rsidR="00EC4E89" w:rsidRPr="00EC4E89" w14:paraId="25A95437" w14:textId="77777777" w:rsidTr="00EC4E89">
        <w:trPr>
          <w:trHeight w:val="288"/>
          <w:jc w:val="center"/>
        </w:trPr>
        <w:tc>
          <w:tcPr>
            <w:tcW w:w="3395" w:type="dxa"/>
            <w:tcBorders>
              <w:top w:val="nil"/>
              <w:left w:val="nil"/>
              <w:bottom w:val="nil"/>
              <w:right w:val="nil"/>
            </w:tcBorders>
            <w:shd w:val="clear" w:color="auto" w:fill="auto"/>
            <w:vAlign w:val="center"/>
            <w:hideMark/>
          </w:tcPr>
          <w:p w14:paraId="6779DED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49670FD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1D758E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D79D5A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605612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6DAD1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596894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B1E140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BF4493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28640C18"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6C10934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52EEE7B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10,190</w:t>
            </w:r>
          </w:p>
        </w:tc>
        <w:tc>
          <w:tcPr>
            <w:tcW w:w="855" w:type="dxa"/>
            <w:tcBorders>
              <w:top w:val="nil"/>
              <w:left w:val="nil"/>
              <w:bottom w:val="nil"/>
              <w:right w:val="nil"/>
            </w:tcBorders>
            <w:shd w:val="clear" w:color="auto" w:fill="auto"/>
            <w:vAlign w:val="center"/>
            <w:hideMark/>
          </w:tcPr>
          <w:p w14:paraId="323BC73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7,861</w:t>
            </w:r>
          </w:p>
        </w:tc>
        <w:tc>
          <w:tcPr>
            <w:tcW w:w="855" w:type="dxa"/>
            <w:tcBorders>
              <w:top w:val="nil"/>
              <w:left w:val="nil"/>
              <w:bottom w:val="nil"/>
              <w:right w:val="nil"/>
            </w:tcBorders>
            <w:shd w:val="clear" w:color="auto" w:fill="auto"/>
            <w:vAlign w:val="center"/>
            <w:hideMark/>
          </w:tcPr>
          <w:p w14:paraId="3A569F9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8,486</w:t>
            </w:r>
          </w:p>
        </w:tc>
        <w:tc>
          <w:tcPr>
            <w:tcW w:w="856" w:type="dxa"/>
            <w:tcBorders>
              <w:top w:val="nil"/>
              <w:left w:val="nil"/>
              <w:bottom w:val="nil"/>
              <w:right w:val="nil"/>
            </w:tcBorders>
            <w:shd w:val="clear" w:color="auto" w:fill="auto"/>
            <w:vAlign w:val="center"/>
            <w:hideMark/>
          </w:tcPr>
          <w:p w14:paraId="28351B1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10,106</w:t>
            </w:r>
          </w:p>
        </w:tc>
        <w:tc>
          <w:tcPr>
            <w:tcW w:w="856" w:type="dxa"/>
            <w:tcBorders>
              <w:top w:val="nil"/>
              <w:left w:val="nil"/>
              <w:bottom w:val="nil"/>
              <w:right w:val="nil"/>
            </w:tcBorders>
            <w:shd w:val="clear" w:color="auto" w:fill="auto"/>
            <w:vAlign w:val="center"/>
            <w:hideMark/>
          </w:tcPr>
          <w:p w14:paraId="185CA31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9,676</w:t>
            </w:r>
          </w:p>
        </w:tc>
        <w:tc>
          <w:tcPr>
            <w:tcW w:w="856" w:type="dxa"/>
            <w:tcBorders>
              <w:top w:val="nil"/>
              <w:left w:val="nil"/>
              <w:bottom w:val="nil"/>
              <w:right w:val="nil"/>
            </w:tcBorders>
            <w:shd w:val="clear" w:color="auto" w:fill="auto"/>
            <w:vAlign w:val="center"/>
            <w:hideMark/>
          </w:tcPr>
          <w:p w14:paraId="34E94E2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8,723</w:t>
            </w:r>
          </w:p>
        </w:tc>
        <w:tc>
          <w:tcPr>
            <w:tcW w:w="856" w:type="dxa"/>
            <w:tcBorders>
              <w:top w:val="nil"/>
              <w:left w:val="nil"/>
              <w:bottom w:val="nil"/>
              <w:right w:val="nil"/>
            </w:tcBorders>
            <w:shd w:val="clear" w:color="auto" w:fill="auto"/>
            <w:vAlign w:val="center"/>
            <w:hideMark/>
          </w:tcPr>
          <w:p w14:paraId="7567C26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9,006</w:t>
            </w:r>
          </w:p>
        </w:tc>
        <w:tc>
          <w:tcPr>
            <w:tcW w:w="856" w:type="dxa"/>
            <w:tcBorders>
              <w:top w:val="nil"/>
              <w:left w:val="nil"/>
              <w:bottom w:val="nil"/>
              <w:right w:val="nil"/>
            </w:tcBorders>
            <w:shd w:val="clear" w:color="auto" w:fill="auto"/>
            <w:vAlign w:val="center"/>
            <w:hideMark/>
          </w:tcPr>
          <w:p w14:paraId="28999E8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11,115</w:t>
            </w:r>
          </w:p>
        </w:tc>
      </w:tr>
      <w:tr w:rsidR="00EC4E89" w:rsidRPr="00EC4E89" w14:paraId="21FD0570"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2130C72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6754826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01C5AF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ADAF85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7530E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E253A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CB014E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1F60C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CF766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5862A691" w14:textId="77777777" w:rsidTr="00EC4E89">
        <w:trPr>
          <w:trHeight w:val="570"/>
          <w:jc w:val="center"/>
        </w:trPr>
        <w:tc>
          <w:tcPr>
            <w:tcW w:w="3395" w:type="dxa"/>
            <w:tcBorders>
              <w:top w:val="nil"/>
              <w:left w:val="nil"/>
              <w:bottom w:val="nil"/>
              <w:right w:val="nil"/>
            </w:tcBorders>
            <w:shd w:val="clear" w:color="auto" w:fill="auto"/>
            <w:noWrap/>
            <w:vAlign w:val="center"/>
            <w:hideMark/>
          </w:tcPr>
          <w:p w14:paraId="02C654E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0DB3289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2D29BF9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5A7E94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AE534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BBE24B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922F8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B35513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796D4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0D1FA7F9" w14:textId="77777777" w:rsidTr="00EC4E89">
        <w:trPr>
          <w:trHeight w:val="300"/>
          <w:jc w:val="center"/>
        </w:trPr>
        <w:tc>
          <w:tcPr>
            <w:tcW w:w="3395" w:type="dxa"/>
            <w:tcBorders>
              <w:top w:val="nil"/>
              <w:left w:val="nil"/>
              <w:bottom w:val="nil"/>
              <w:right w:val="nil"/>
            </w:tcBorders>
            <w:shd w:val="clear" w:color="auto" w:fill="auto"/>
            <w:noWrap/>
            <w:vAlign w:val="center"/>
            <w:hideMark/>
          </w:tcPr>
          <w:p w14:paraId="5B9CFE1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0CC840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0F2124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1B412C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441F04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AAC6C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2989FF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43E120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C45CEE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2BF7F0CE"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127BC17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30B8D88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16,484</w:t>
            </w:r>
          </w:p>
        </w:tc>
        <w:tc>
          <w:tcPr>
            <w:tcW w:w="855" w:type="dxa"/>
            <w:tcBorders>
              <w:top w:val="nil"/>
              <w:left w:val="nil"/>
              <w:bottom w:val="nil"/>
              <w:right w:val="nil"/>
            </w:tcBorders>
            <w:shd w:val="clear" w:color="auto" w:fill="auto"/>
            <w:vAlign w:val="center"/>
            <w:hideMark/>
          </w:tcPr>
          <w:p w14:paraId="3E58848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16,729</w:t>
            </w:r>
          </w:p>
        </w:tc>
        <w:tc>
          <w:tcPr>
            <w:tcW w:w="855" w:type="dxa"/>
            <w:tcBorders>
              <w:top w:val="nil"/>
              <w:left w:val="nil"/>
              <w:bottom w:val="nil"/>
              <w:right w:val="nil"/>
            </w:tcBorders>
            <w:shd w:val="clear" w:color="auto" w:fill="auto"/>
            <w:vAlign w:val="center"/>
            <w:hideMark/>
          </w:tcPr>
          <w:p w14:paraId="64E0C05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16,300</w:t>
            </w:r>
          </w:p>
        </w:tc>
        <w:tc>
          <w:tcPr>
            <w:tcW w:w="856" w:type="dxa"/>
            <w:tcBorders>
              <w:top w:val="nil"/>
              <w:left w:val="nil"/>
              <w:bottom w:val="nil"/>
              <w:right w:val="nil"/>
            </w:tcBorders>
            <w:shd w:val="clear" w:color="auto" w:fill="auto"/>
            <w:vAlign w:val="center"/>
            <w:hideMark/>
          </w:tcPr>
          <w:p w14:paraId="1D4014F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15,367</w:t>
            </w:r>
          </w:p>
        </w:tc>
        <w:tc>
          <w:tcPr>
            <w:tcW w:w="856" w:type="dxa"/>
            <w:tcBorders>
              <w:top w:val="nil"/>
              <w:left w:val="nil"/>
              <w:bottom w:val="nil"/>
              <w:right w:val="nil"/>
            </w:tcBorders>
            <w:shd w:val="clear" w:color="auto" w:fill="auto"/>
            <w:vAlign w:val="center"/>
            <w:hideMark/>
          </w:tcPr>
          <w:p w14:paraId="3E70FA2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13,938</w:t>
            </w:r>
          </w:p>
        </w:tc>
        <w:tc>
          <w:tcPr>
            <w:tcW w:w="856" w:type="dxa"/>
            <w:tcBorders>
              <w:top w:val="nil"/>
              <w:left w:val="nil"/>
              <w:bottom w:val="nil"/>
              <w:right w:val="nil"/>
            </w:tcBorders>
            <w:shd w:val="clear" w:color="auto" w:fill="auto"/>
            <w:vAlign w:val="center"/>
            <w:hideMark/>
          </w:tcPr>
          <w:p w14:paraId="0F39B3B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11,213</w:t>
            </w:r>
          </w:p>
        </w:tc>
        <w:tc>
          <w:tcPr>
            <w:tcW w:w="856" w:type="dxa"/>
            <w:tcBorders>
              <w:top w:val="nil"/>
              <w:left w:val="nil"/>
              <w:bottom w:val="nil"/>
              <w:right w:val="nil"/>
            </w:tcBorders>
            <w:shd w:val="clear" w:color="auto" w:fill="auto"/>
            <w:vAlign w:val="center"/>
            <w:hideMark/>
          </w:tcPr>
          <w:p w14:paraId="33B1200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11,193</w:t>
            </w:r>
          </w:p>
        </w:tc>
        <w:tc>
          <w:tcPr>
            <w:tcW w:w="856" w:type="dxa"/>
            <w:tcBorders>
              <w:top w:val="nil"/>
              <w:left w:val="nil"/>
              <w:bottom w:val="nil"/>
              <w:right w:val="nil"/>
            </w:tcBorders>
            <w:shd w:val="clear" w:color="auto" w:fill="auto"/>
            <w:vAlign w:val="center"/>
            <w:hideMark/>
          </w:tcPr>
          <w:p w14:paraId="2D2628C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9,356</w:t>
            </w:r>
          </w:p>
        </w:tc>
      </w:tr>
      <w:tr w:rsidR="00EC4E89" w:rsidRPr="00EC4E89" w14:paraId="60C1683F"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61DDC86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145D1E4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35EAED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265E79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7246E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16C47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7CCE9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0D84B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AA2E5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63A0B677"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76C9172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1B89D39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EC4E89">
              <w:rPr>
                <w:rFonts w:cs="Calibri"/>
                <w:color w:val="000000"/>
                <w:sz w:val="22"/>
                <w:szCs w:val="22"/>
                <w:u w:val="single"/>
                <w:lang w:eastAsia="en-GB"/>
              </w:rPr>
              <w:t>5</w:t>
            </w:r>
          </w:p>
        </w:tc>
        <w:tc>
          <w:tcPr>
            <w:tcW w:w="855" w:type="dxa"/>
            <w:tcBorders>
              <w:top w:val="nil"/>
              <w:left w:val="nil"/>
              <w:bottom w:val="nil"/>
              <w:right w:val="nil"/>
            </w:tcBorders>
            <w:shd w:val="clear" w:color="auto" w:fill="auto"/>
            <w:vAlign w:val="center"/>
            <w:hideMark/>
          </w:tcPr>
          <w:p w14:paraId="1187FA8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EC4E89">
              <w:rPr>
                <w:rFonts w:cs="Calibri"/>
                <w:color w:val="000000"/>
                <w:sz w:val="22"/>
                <w:szCs w:val="22"/>
                <w:u w:val="single"/>
                <w:lang w:eastAsia="en-GB"/>
              </w:rPr>
              <w:t>9</w:t>
            </w:r>
          </w:p>
        </w:tc>
        <w:tc>
          <w:tcPr>
            <w:tcW w:w="855" w:type="dxa"/>
            <w:tcBorders>
              <w:top w:val="nil"/>
              <w:left w:val="nil"/>
              <w:bottom w:val="nil"/>
              <w:right w:val="nil"/>
            </w:tcBorders>
            <w:shd w:val="clear" w:color="auto" w:fill="auto"/>
            <w:vAlign w:val="center"/>
            <w:hideMark/>
          </w:tcPr>
          <w:p w14:paraId="28A3451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12</w:t>
            </w:r>
          </w:p>
        </w:tc>
        <w:tc>
          <w:tcPr>
            <w:tcW w:w="856" w:type="dxa"/>
            <w:tcBorders>
              <w:top w:val="nil"/>
              <w:left w:val="nil"/>
              <w:bottom w:val="nil"/>
              <w:right w:val="nil"/>
            </w:tcBorders>
            <w:shd w:val="clear" w:color="auto" w:fill="auto"/>
            <w:vAlign w:val="center"/>
            <w:hideMark/>
          </w:tcPr>
          <w:p w14:paraId="1A9D7B3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6</w:t>
            </w:r>
          </w:p>
        </w:tc>
        <w:tc>
          <w:tcPr>
            <w:tcW w:w="856" w:type="dxa"/>
            <w:tcBorders>
              <w:top w:val="nil"/>
              <w:left w:val="nil"/>
              <w:bottom w:val="nil"/>
              <w:right w:val="nil"/>
            </w:tcBorders>
            <w:shd w:val="clear" w:color="auto" w:fill="auto"/>
            <w:vAlign w:val="center"/>
            <w:hideMark/>
          </w:tcPr>
          <w:p w14:paraId="268C9EE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5</w:t>
            </w:r>
          </w:p>
        </w:tc>
        <w:tc>
          <w:tcPr>
            <w:tcW w:w="856" w:type="dxa"/>
            <w:tcBorders>
              <w:top w:val="nil"/>
              <w:left w:val="nil"/>
              <w:bottom w:val="nil"/>
              <w:right w:val="nil"/>
            </w:tcBorders>
            <w:shd w:val="clear" w:color="auto" w:fill="auto"/>
            <w:vAlign w:val="center"/>
            <w:hideMark/>
          </w:tcPr>
          <w:p w14:paraId="7BB81CE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61393A0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6B7431A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EC4E89">
              <w:rPr>
                <w:rFonts w:cs="Calibri"/>
                <w:sz w:val="22"/>
                <w:szCs w:val="22"/>
                <w:u w:val="single"/>
                <w:lang w:eastAsia="en-GB"/>
              </w:rPr>
              <w:t>50</w:t>
            </w:r>
          </w:p>
        </w:tc>
      </w:tr>
      <w:tr w:rsidR="00EC4E89" w:rsidRPr="00EC4E89" w14:paraId="104026DD"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2784F07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3208C02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4C1166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E852CA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0F0E8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AE628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05F7E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304619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209D5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3D78BD67"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081F981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EC4E89">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3F1B9AB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16,489</w:t>
            </w:r>
          </w:p>
        </w:tc>
        <w:tc>
          <w:tcPr>
            <w:tcW w:w="855" w:type="dxa"/>
            <w:tcBorders>
              <w:top w:val="nil"/>
              <w:left w:val="nil"/>
              <w:bottom w:val="nil"/>
              <w:right w:val="nil"/>
            </w:tcBorders>
            <w:shd w:val="clear" w:color="auto" w:fill="auto"/>
            <w:vAlign w:val="center"/>
            <w:hideMark/>
          </w:tcPr>
          <w:p w14:paraId="210AC32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EC4E89">
              <w:rPr>
                <w:rFonts w:cs="Calibri"/>
                <w:color w:val="000000"/>
                <w:sz w:val="22"/>
                <w:szCs w:val="22"/>
                <w:lang w:eastAsia="en-GB"/>
              </w:rPr>
              <w:t>16,738</w:t>
            </w:r>
          </w:p>
        </w:tc>
        <w:tc>
          <w:tcPr>
            <w:tcW w:w="855" w:type="dxa"/>
            <w:tcBorders>
              <w:top w:val="nil"/>
              <w:left w:val="nil"/>
              <w:bottom w:val="nil"/>
              <w:right w:val="nil"/>
            </w:tcBorders>
            <w:shd w:val="clear" w:color="auto" w:fill="auto"/>
            <w:vAlign w:val="center"/>
            <w:hideMark/>
          </w:tcPr>
          <w:p w14:paraId="34ECBDB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16,312</w:t>
            </w:r>
          </w:p>
        </w:tc>
        <w:tc>
          <w:tcPr>
            <w:tcW w:w="856" w:type="dxa"/>
            <w:tcBorders>
              <w:top w:val="nil"/>
              <w:left w:val="nil"/>
              <w:bottom w:val="nil"/>
              <w:right w:val="nil"/>
            </w:tcBorders>
            <w:shd w:val="clear" w:color="auto" w:fill="auto"/>
            <w:vAlign w:val="center"/>
            <w:hideMark/>
          </w:tcPr>
          <w:p w14:paraId="7937624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15,373</w:t>
            </w:r>
          </w:p>
        </w:tc>
        <w:tc>
          <w:tcPr>
            <w:tcW w:w="856" w:type="dxa"/>
            <w:tcBorders>
              <w:top w:val="nil"/>
              <w:left w:val="nil"/>
              <w:bottom w:val="nil"/>
              <w:right w:val="nil"/>
            </w:tcBorders>
            <w:shd w:val="clear" w:color="auto" w:fill="auto"/>
            <w:vAlign w:val="center"/>
            <w:hideMark/>
          </w:tcPr>
          <w:p w14:paraId="5CC1681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13,943</w:t>
            </w:r>
          </w:p>
        </w:tc>
        <w:tc>
          <w:tcPr>
            <w:tcW w:w="856" w:type="dxa"/>
            <w:tcBorders>
              <w:top w:val="nil"/>
              <w:left w:val="nil"/>
              <w:bottom w:val="nil"/>
              <w:right w:val="nil"/>
            </w:tcBorders>
            <w:shd w:val="clear" w:color="auto" w:fill="auto"/>
            <w:vAlign w:val="center"/>
            <w:hideMark/>
          </w:tcPr>
          <w:p w14:paraId="02C2828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11,265</w:t>
            </w:r>
          </w:p>
        </w:tc>
        <w:tc>
          <w:tcPr>
            <w:tcW w:w="856" w:type="dxa"/>
            <w:tcBorders>
              <w:top w:val="nil"/>
              <w:left w:val="nil"/>
              <w:bottom w:val="nil"/>
              <w:right w:val="nil"/>
            </w:tcBorders>
            <w:shd w:val="clear" w:color="auto" w:fill="auto"/>
            <w:vAlign w:val="center"/>
            <w:hideMark/>
          </w:tcPr>
          <w:p w14:paraId="7B168F3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11,245</w:t>
            </w:r>
          </w:p>
        </w:tc>
        <w:tc>
          <w:tcPr>
            <w:tcW w:w="856" w:type="dxa"/>
            <w:tcBorders>
              <w:top w:val="nil"/>
              <w:left w:val="nil"/>
              <w:bottom w:val="nil"/>
              <w:right w:val="nil"/>
            </w:tcBorders>
            <w:shd w:val="clear" w:color="auto" w:fill="auto"/>
            <w:vAlign w:val="center"/>
            <w:hideMark/>
          </w:tcPr>
          <w:p w14:paraId="2B8236B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EC4E89">
              <w:rPr>
                <w:rFonts w:cs="Calibri"/>
                <w:sz w:val="22"/>
                <w:szCs w:val="22"/>
                <w:lang w:eastAsia="en-GB"/>
              </w:rPr>
              <w:t>9,406</w:t>
            </w:r>
          </w:p>
        </w:tc>
      </w:tr>
      <w:tr w:rsidR="00EC4E89" w:rsidRPr="00EC4E89" w14:paraId="40934E4C"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5C06EC7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10AB499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633A31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605674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857DD2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CC944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C6284C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A8D67B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D1B18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75EFDEDD"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6E2F886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EC4E89">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3091E77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EC4E89">
              <w:rPr>
                <w:rFonts w:cs="Calibri"/>
                <w:b/>
                <w:bCs/>
                <w:i/>
                <w:iCs/>
                <w:color w:val="000000"/>
                <w:sz w:val="22"/>
                <w:szCs w:val="22"/>
                <w:lang w:eastAsia="en-GB"/>
              </w:rPr>
              <w:t>26,625</w:t>
            </w:r>
          </w:p>
        </w:tc>
        <w:tc>
          <w:tcPr>
            <w:tcW w:w="855" w:type="dxa"/>
            <w:tcBorders>
              <w:top w:val="nil"/>
              <w:left w:val="nil"/>
              <w:bottom w:val="nil"/>
              <w:right w:val="nil"/>
            </w:tcBorders>
            <w:shd w:val="clear" w:color="auto" w:fill="auto"/>
            <w:vAlign w:val="center"/>
            <w:hideMark/>
          </w:tcPr>
          <w:p w14:paraId="68696B5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EC4E89">
              <w:rPr>
                <w:rFonts w:cs="Calibri"/>
                <w:b/>
                <w:bCs/>
                <w:i/>
                <w:iCs/>
                <w:color w:val="000000"/>
                <w:sz w:val="22"/>
                <w:szCs w:val="22"/>
                <w:lang w:eastAsia="en-GB"/>
              </w:rPr>
              <w:t>24,554</w:t>
            </w:r>
          </w:p>
        </w:tc>
        <w:tc>
          <w:tcPr>
            <w:tcW w:w="855" w:type="dxa"/>
            <w:tcBorders>
              <w:top w:val="nil"/>
              <w:left w:val="nil"/>
              <w:bottom w:val="nil"/>
              <w:right w:val="nil"/>
            </w:tcBorders>
            <w:shd w:val="clear" w:color="auto" w:fill="auto"/>
            <w:vAlign w:val="center"/>
            <w:hideMark/>
          </w:tcPr>
          <w:p w14:paraId="2F46C6E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24,750</w:t>
            </w:r>
          </w:p>
        </w:tc>
        <w:tc>
          <w:tcPr>
            <w:tcW w:w="856" w:type="dxa"/>
            <w:tcBorders>
              <w:top w:val="nil"/>
              <w:left w:val="nil"/>
              <w:bottom w:val="nil"/>
              <w:right w:val="nil"/>
            </w:tcBorders>
            <w:shd w:val="clear" w:color="auto" w:fill="auto"/>
            <w:vAlign w:val="center"/>
            <w:hideMark/>
          </w:tcPr>
          <w:p w14:paraId="4949B33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25,437</w:t>
            </w:r>
          </w:p>
        </w:tc>
        <w:tc>
          <w:tcPr>
            <w:tcW w:w="856" w:type="dxa"/>
            <w:tcBorders>
              <w:top w:val="nil"/>
              <w:left w:val="nil"/>
              <w:bottom w:val="nil"/>
              <w:right w:val="nil"/>
            </w:tcBorders>
            <w:shd w:val="clear" w:color="auto" w:fill="auto"/>
            <w:vAlign w:val="center"/>
            <w:hideMark/>
          </w:tcPr>
          <w:p w14:paraId="2B6DCF6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23,577</w:t>
            </w:r>
          </w:p>
        </w:tc>
        <w:tc>
          <w:tcPr>
            <w:tcW w:w="856" w:type="dxa"/>
            <w:tcBorders>
              <w:top w:val="nil"/>
              <w:left w:val="nil"/>
              <w:bottom w:val="nil"/>
              <w:right w:val="nil"/>
            </w:tcBorders>
            <w:shd w:val="clear" w:color="auto" w:fill="auto"/>
            <w:vAlign w:val="center"/>
            <w:hideMark/>
          </w:tcPr>
          <w:p w14:paraId="2EBB5F2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19,896</w:t>
            </w:r>
          </w:p>
        </w:tc>
        <w:tc>
          <w:tcPr>
            <w:tcW w:w="856" w:type="dxa"/>
            <w:tcBorders>
              <w:top w:val="nil"/>
              <w:left w:val="nil"/>
              <w:bottom w:val="nil"/>
              <w:right w:val="nil"/>
            </w:tcBorders>
            <w:shd w:val="clear" w:color="auto" w:fill="auto"/>
            <w:vAlign w:val="center"/>
            <w:hideMark/>
          </w:tcPr>
          <w:p w14:paraId="653DBA0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20,158</w:t>
            </w:r>
          </w:p>
        </w:tc>
        <w:tc>
          <w:tcPr>
            <w:tcW w:w="856" w:type="dxa"/>
            <w:tcBorders>
              <w:top w:val="nil"/>
              <w:left w:val="nil"/>
              <w:bottom w:val="nil"/>
              <w:right w:val="nil"/>
            </w:tcBorders>
            <w:shd w:val="clear" w:color="auto" w:fill="auto"/>
            <w:vAlign w:val="center"/>
            <w:hideMark/>
          </w:tcPr>
          <w:p w14:paraId="0C1753A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20,424</w:t>
            </w:r>
          </w:p>
        </w:tc>
      </w:tr>
      <w:tr w:rsidR="00EC4E89" w:rsidRPr="00EC4E89" w14:paraId="471A1383"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0E45B7E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23ACD6E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8BC7E4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24481D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36FDF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B997D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01F16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9723B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42AE0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637C9F8F"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4E6B567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EC4E89">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06DFFC5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EC4E89">
              <w:rPr>
                <w:rFonts w:cs="Calibri"/>
                <w:b/>
                <w:bCs/>
                <w:i/>
                <w:iCs/>
                <w:color w:val="000000"/>
                <w:sz w:val="22"/>
                <w:szCs w:val="22"/>
                <w:lang w:eastAsia="en-GB"/>
              </w:rPr>
              <w:t>54</w:t>
            </w:r>
          </w:p>
        </w:tc>
        <w:tc>
          <w:tcPr>
            <w:tcW w:w="855" w:type="dxa"/>
            <w:tcBorders>
              <w:top w:val="nil"/>
              <w:left w:val="nil"/>
              <w:bottom w:val="nil"/>
              <w:right w:val="nil"/>
            </w:tcBorders>
            <w:shd w:val="clear" w:color="auto" w:fill="auto"/>
            <w:vAlign w:val="center"/>
            <w:hideMark/>
          </w:tcPr>
          <w:p w14:paraId="59DFDCB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EC4E89">
              <w:rPr>
                <w:rFonts w:cs="Calibri"/>
                <w:b/>
                <w:bCs/>
                <w:i/>
                <w:iCs/>
                <w:color w:val="000000"/>
                <w:sz w:val="22"/>
                <w:szCs w:val="22"/>
                <w:lang w:eastAsia="en-GB"/>
              </w:rPr>
              <w:t>45</w:t>
            </w:r>
          </w:p>
        </w:tc>
        <w:tc>
          <w:tcPr>
            <w:tcW w:w="855" w:type="dxa"/>
            <w:tcBorders>
              <w:top w:val="nil"/>
              <w:left w:val="nil"/>
              <w:bottom w:val="nil"/>
              <w:right w:val="nil"/>
            </w:tcBorders>
            <w:shd w:val="clear" w:color="auto" w:fill="auto"/>
            <w:vAlign w:val="center"/>
            <w:hideMark/>
          </w:tcPr>
          <w:p w14:paraId="7C23F74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48</w:t>
            </w:r>
          </w:p>
        </w:tc>
        <w:tc>
          <w:tcPr>
            <w:tcW w:w="856" w:type="dxa"/>
            <w:tcBorders>
              <w:top w:val="nil"/>
              <w:left w:val="nil"/>
              <w:bottom w:val="nil"/>
              <w:right w:val="nil"/>
            </w:tcBorders>
            <w:shd w:val="clear" w:color="auto" w:fill="auto"/>
            <w:vAlign w:val="center"/>
            <w:hideMark/>
          </w:tcPr>
          <w:p w14:paraId="0AD3517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67E90BE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7279CC2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92</w:t>
            </w:r>
          </w:p>
        </w:tc>
        <w:tc>
          <w:tcPr>
            <w:tcW w:w="856" w:type="dxa"/>
            <w:tcBorders>
              <w:top w:val="nil"/>
              <w:left w:val="nil"/>
              <w:bottom w:val="nil"/>
              <w:right w:val="nil"/>
            </w:tcBorders>
            <w:shd w:val="clear" w:color="auto" w:fill="auto"/>
            <w:vAlign w:val="center"/>
            <w:hideMark/>
          </w:tcPr>
          <w:p w14:paraId="459988A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93</w:t>
            </w:r>
          </w:p>
        </w:tc>
        <w:tc>
          <w:tcPr>
            <w:tcW w:w="856" w:type="dxa"/>
            <w:tcBorders>
              <w:top w:val="nil"/>
              <w:left w:val="nil"/>
              <w:bottom w:val="nil"/>
              <w:right w:val="nil"/>
            </w:tcBorders>
            <w:shd w:val="clear" w:color="auto" w:fill="auto"/>
            <w:vAlign w:val="center"/>
            <w:hideMark/>
          </w:tcPr>
          <w:p w14:paraId="2E1B2C3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EC4E89">
              <w:rPr>
                <w:rFonts w:cs="Calibri"/>
                <w:b/>
                <w:bCs/>
                <w:i/>
                <w:iCs/>
                <w:sz w:val="22"/>
                <w:szCs w:val="22"/>
                <w:lang w:eastAsia="en-GB"/>
              </w:rPr>
              <w:t>97</w:t>
            </w:r>
          </w:p>
        </w:tc>
      </w:tr>
      <w:tr w:rsidR="00EC4E89" w:rsidRPr="00EC4E89" w14:paraId="6AD46AAF"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3F021FC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4F8994D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C1FF8D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19AFA5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181F2E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5177D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6E613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E94887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43605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7D32E88F"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720D9D6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0F5D677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26,679</w:t>
            </w:r>
          </w:p>
        </w:tc>
        <w:tc>
          <w:tcPr>
            <w:tcW w:w="855" w:type="dxa"/>
            <w:tcBorders>
              <w:top w:val="nil"/>
              <w:left w:val="nil"/>
              <w:bottom w:val="nil"/>
              <w:right w:val="nil"/>
            </w:tcBorders>
            <w:shd w:val="clear" w:color="auto" w:fill="auto"/>
            <w:vAlign w:val="center"/>
            <w:hideMark/>
          </w:tcPr>
          <w:p w14:paraId="0D58213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24,599</w:t>
            </w:r>
          </w:p>
        </w:tc>
        <w:tc>
          <w:tcPr>
            <w:tcW w:w="855" w:type="dxa"/>
            <w:tcBorders>
              <w:top w:val="nil"/>
              <w:left w:val="nil"/>
              <w:bottom w:val="nil"/>
              <w:right w:val="nil"/>
            </w:tcBorders>
            <w:shd w:val="clear" w:color="auto" w:fill="auto"/>
            <w:vAlign w:val="center"/>
            <w:hideMark/>
          </w:tcPr>
          <w:p w14:paraId="08FF300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24,798</w:t>
            </w:r>
          </w:p>
        </w:tc>
        <w:tc>
          <w:tcPr>
            <w:tcW w:w="856" w:type="dxa"/>
            <w:tcBorders>
              <w:top w:val="nil"/>
              <w:left w:val="nil"/>
              <w:bottom w:val="nil"/>
              <w:right w:val="nil"/>
            </w:tcBorders>
            <w:shd w:val="clear" w:color="auto" w:fill="auto"/>
            <w:vAlign w:val="center"/>
            <w:hideMark/>
          </w:tcPr>
          <w:p w14:paraId="40E1FF0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25,479</w:t>
            </w:r>
          </w:p>
        </w:tc>
        <w:tc>
          <w:tcPr>
            <w:tcW w:w="856" w:type="dxa"/>
            <w:tcBorders>
              <w:top w:val="nil"/>
              <w:left w:val="nil"/>
              <w:bottom w:val="nil"/>
              <w:right w:val="nil"/>
            </w:tcBorders>
            <w:shd w:val="clear" w:color="auto" w:fill="auto"/>
            <w:vAlign w:val="center"/>
            <w:hideMark/>
          </w:tcPr>
          <w:p w14:paraId="3901161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23,619</w:t>
            </w:r>
          </w:p>
        </w:tc>
        <w:tc>
          <w:tcPr>
            <w:tcW w:w="856" w:type="dxa"/>
            <w:tcBorders>
              <w:top w:val="nil"/>
              <w:left w:val="nil"/>
              <w:bottom w:val="nil"/>
              <w:right w:val="nil"/>
            </w:tcBorders>
            <w:shd w:val="clear" w:color="auto" w:fill="auto"/>
            <w:vAlign w:val="center"/>
            <w:hideMark/>
          </w:tcPr>
          <w:p w14:paraId="79B86D4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19,988</w:t>
            </w:r>
          </w:p>
        </w:tc>
        <w:tc>
          <w:tcPr>
            <w:tcW w:w="856" w:type="dxa"/>
            <w:tcBorders>
              <w:top w:val="nil"/>
              <w:left w:val="nil"/>
              <w:bottom w:val="nil"/>
              <w:right w:val="nil"/>
            </w:tcBorders>
            <w:shd w:val="clear" w:color="auto" w:fill="auto"/>
            <w:vAlign w:val="center"/>
            <w:hideMark/>
          </w:tcPr>
          <w:p w14:paraId="33462F1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20,251</w:t>
            </w:r>
          </w:p>
        </w:tc>
        <w:tc>
          <w:tcPr>
            <w:tcW w:w="856" w:type="dxa"/>
            <w:tcBorders>
              <w:top w:val="nil"/>
              <w:left w:val="nil"/>
              <w:bottom w:val="nil"/>
              <w:right w:val="nil"/>
            </w:tcBorders>
            <w:shd w:val="clear" w:color="auto" w:fill="auto"/>
            <w:vAlign w:val="center"/>
            <w:hideMark/>
          </w:tcPr>
          <w:p w14:paraId="2689529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20,521</w:t>
            </w:r>
          </w:p>
        </w:tc>
      </w:tr>
      <w:tr w:rsidR="00EC4E89" w:rsidRPr="00EC4E89" w14:paraId="712CB412"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2510B78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D5C859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17DAE6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D984FE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3E2A6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6ECC6C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49347B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34106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65103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1A50FD06" w14:textId="77777777" w:rsidTr="00EC4E89">
        <w:trPr>
          <w:trHeight w:val="576"/>
          <w:jc w:val="center"/>
        </w:trPr>
        <w:tc>
          <w:tcPr>
            <w:tcW w:w="3395" w:type="dxa"/>
            <w:tcBorders>
              <w:top w:val="nil"/>
              <w:left w:val="nil"/>
              <w:bottom w:val="nil"/>
              <w:right w:val="nil"/>
            </w:tcBorders>
            <w:shd w:val="clear" w:color="auto" w:fill="auto"/>
            <w:vAlign w:val="center"/>
            <w:hideMark/>
          </w:tcPr>
          <w:p w14:paraId="5B05146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EC4E89">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6CED2CB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10,019</w:t>
            </w:r>
          </w:p>
        </w:tc>
        <w:tc>
          <w:tcPr>
            <w:tcW w:w="855" w:type="dxa"/>
            <w:tcBorders>
              <w:top w:val="nil"/>
              <w:left w:val="nil"/>
              <w:bottom w:val="nil"/>
              <w:right w:val="nil"/>
            </w:tcBorders>
            <w:shd w:val="clear" w:color="auto" w:fill="auto"/>
            <w:vAlign w:val="center"/>
            <w:hideMark/>
          </w:tcPr>
          <w:p w14:paraId="61D8DB7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18,392</w:t>
            </w:r>
          </w:p>
        </w:tc>
        <w:tc>
          <w:tcPr>
            <w:tcW w:w="855" w:type="dxa"/>
            <w:tcBorders>
              <w:top w:val="nil"/>
              <w:left w:val="nil"/>
              <w:bottom w:val="nil"/>
              <w:right w:val="nil"/>
            </w:tcBorders>
            <w:shd w:val="clear" w:color="auto" w:fill="auto"/>
            <w:vAlign w:val="center"/>
            <w:hideMark/>
          </w:tcPr>
          <w:p w14:paraId="5767672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15,823</w:t>
            </w:r>
          </w:p>
        </w:tc>
        <w:tc>
          <w:tcPr>
            <w:tcW w:w="856" w:type="dxa"/>
            <w:tcBorders>
              <w:top w:val="nil"/>
              <w:left w:val="nil"/>
              <w:bottom w:val="nil"/>
              <w:right w:val="nil"/>
            </w:tcBorders>
            <w:shd w:val="clear" w:color="auto" w:fill="auto"/>
            <w:vAlign w:val="center"/>
            <w:hideMark/>
          </w:tcPr>
          <w:p w14:paraId="34EDFD1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8,094</w:t>
            </w:r>
          </w:p>
        </w:tc>
        <w:tc>
          <w:tcPr>
            <w:tcW w:w="856" w:type="dxa"/>
            <w:tcBorders>
              <w:top w:val="nil"/>
              <w:left w:val="nil"/>
              <w:bottom w:val="nil"/>
              <w:right w:val="nil"/>
            </w:tcBorders>
            <w:shd w:val="clear" w:color="auto" w:fill="auto"/>
            <w:vAlign w:val="center"/>
            <w:hideMark/>
          </w:tcPr>
          <w:p w14:paraId="2914449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7,601</w:t>
            </w:r>
          </w:p>
        </w:tc>
        <w:tc>
          <w:tcPr>
            <w:tcW w:w="856" w:type="dxa"/>
            <w:tcBorders>
              <w:top w:val="nil"/>
              <w:left w:val="nil"/>
              <w:bottom w:val="nil"/>
              <w:right w:val="nil"/>
            </w:tcBorders>
            <w:shd w:val="clear" w:color="auto" w:fill="auto"/>
            <w:vAlign w:val="center"/>
            <w:hideMark/>
          </w:tcPr>
          <w:p w14:paraId="0997FC6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17,229</w:t>
            </w:r>
          </w:p>
        </w:tc>
        <w:tc>
          <w:tcPr>
            <w:tcW w:w="856" w:type="dxa"/>
            <w:tcBorders>
              <w:top w:val="nil"/>
              <w:left w:val="nil"/>
              <w:bottom w:val="nil"/>
              <w:right w:val="nil"/>
            </w:tcBorders>
            <w:shd w:val="clear" w:color="auto" w:fill="auto"/>
            <w:vAlign w:val="center"/>
            <w:hideMark/>
          </w:tcPr>
          <w:p w14:paraId="26BB6B1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4,550</w:t>
            </w:r>
          </w:p>
        </w:tc>
        <w:tc>
          <w:tcPr>
            <w:tcW w:w="856" w:type="dxa"/>
            <w:tcBorders>
              <w:top w:val="nil"/>
              <w:left w:val="nil"/>
              <w:bottom w:val="nil"/>
              <w:right w:val="nil"/>
            </w:tcBorders>
            <w:shd w:val="clear" w:color="auto" w:fill="auto"/>
            <w:vAlign w:val="center"/>
            <w:hideMark/>
          </w:tcPr>
          <w:p w14:paraId="7F0913F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6,712</w:t>
            </w:r>
          </w:p>
        </w:tc>
      </w:tr>
      <w:tr w:rsidR="00EC4E89" w:rsidRPr="00EC4E89" w14:paraId="21EAE0A0"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30078B8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C7F697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EFCF9E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A0B00C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2AD76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96217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8FDCE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19721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83B9C5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EC4E89" w:rsidRPr="00EC4E89" w14:paraId="47031C99" w14:textId="77777777" w:rsidTr="00EC4E89">
        <w:trPr>
          <w:trHeight w:val="576"/>
          <w:jc w:val="center"/>
        </w:trPr>
        <w:tc>
          <w:tcPr>
            <w:tcW w:w="3395" w:type="dxa"/>
            <w:tcBorders>
              <w:top w:val="nil"/>
              <w:left w:val="nil"/>
              <w:bottom w:val="nil"/>
              <w:right w:val="nil"/>
            </w:tcBorders>
            <w:shd w:val="clear" w:color="auto" w:fill="auto"/>
            <w:vAlign w:val="center"/>
            <w:hideMark/>
          </w:tcPr>
          <w:p w14:paraId="4AB8143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EC4E89">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12EB933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17,768</w:t>
            </w:r>
          </w:p>
        </w:tc>
        <w:tc>
          <w:tcPr>
            <w:tcW w:w="855" w:type="dxa"/>
            <w:tcBorders>
              <w:top w:val="nil"/>
              <w:left w:val="nil"/>
              <w:bottom w:val="nil"/>
              <w:right w:val="nil"/>
            </w:tcBorders>
            <w:shd w:val="clear" w:color="auto" w:fill="auto"/>
            <w:vAlign w:val="center"/>
            <w:hideMark/>
          </w:tcPr>
          <w:p w14:paraId="727C532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8,582</w:t>
            </w:r>
          </w:p>
        </w:tc>
        <w:tc>
          <w:tcPr>
            <w:tcW w:w="855" w:type="dxa"/>
            <w:tcBorders>
              <w:top w:val="nil"/>
              <w:left w:val="nil"/>
              <w:bottom w:val="nil"/>
              <w:right w:val="nil"/>
            </w:tcBorders>
            <w:shd w:val="clear" w:color="auto" w:fill="auto"/>
            <w:vAlign w:val="center"/>
            <w:hideMark/>
          </w:tcPr>
          <w:p w14:paraId="268F617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10,418</w:t>
            </w:r>
          </w:p>
        </w:tc>
        <w:tc>
          <w:tcPr>
            <w:tcW w:w="856" w:type="dxa"/>
            <w:tcBorders>
              <w:top w:val="nil"/>
              <w:left w:val="nil"/>
              <w:bottom w:val="nil"/>
              <w:right w:val="nil"/>
            </w:tcBorders>
            <w:shd w:val="clear" w:color="auto" w:fill="auto"/>
            <w:vAlign w:val="center"/>
            <w:hideMark/>
          </w:tcPr>
          <w:p w14:paraId="659A67E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12,547</w:t>
            </w:r>
          </w:p>
        </w:tc>
        <w:tc>
          <w:tcPr>
            <w:tcW w:w="856" w:type="dxa"/>
            <w:tcBorders>
              <w:top w:val="nil"/>
              <w:left w:val="nil"/>
              <w:bottom w:val="nil"/>
              <w:right w:val="nil"/>
            </w:tcBorders>
            <w:shd w:val="clear" w:color="auto" w:fill="auto"/>
            <w:vAlign w:val="center"/>
            <w:hideMark/>
          </w:tcPr>
          <w:p w14:paraId="6F90A45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13,394</w:t>
            </w:r>
          </w:p>
        </w:tc>
        <w:tc>
          <w:tcPr>
            <w:tcW w:w="856" w:type="dxa"/>
            <w:tcBorders>
              <w:top w:val="nil"/>
              <w:left w:val="nil"/>
              <w:bottom w:val="nil"/>
              <w:right w:val="nil"/>
            </w:tcBorders>
            <w:shd w:val="clear" w:color="auto" w:fill="auto"/>
            <w:vAlign w:val="center"/>
            <w:hideMark/>
          </w:tcPr>
          <w:p w14:paraId="1AFD89E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2,111</w:t>
            </w:r>
          </w:p>
        </w:tc>
        <w:tc>
          <w:tcPr>
            <w:tcW w:w="856" w:type="dxa"/>
            <w:tcBorders>
              <w:top w:val="nil"/>
              <w:left w:val="nil"/>
              <w:bottom w:val="nil"/>
              <w:right w:val="nil"/>
            </w:tcBorders>
            <w:shd w:val="clear" w:color="auto" w:fill="auto"/>
            <w:vAlign w:val="center"/>
            <w:hideMark/>
          </w:tcPr>
          <w:p w14:paraId="0B9F425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14,644</w:t>
            </w:r>
          </w:p>
        </w:tc>
        <w:tc>
          <w:tcPr>
            <w:tcW w:w="856" w:type="dxa"/>
            <w:tcBorders>
              <w:top w:val="nil"/>
              <w:left w:val="nil"/>
              <w:bottom w:val="nil"/>
              <w:right w:val="nil"/>
            </w:tcBorders>
            <w:shd w:val="clear" w:color="auto" w:fill="auto"/>
            <w:vAlign w:val="center"/>
            <w:hideMark/>
          </w:tcPr>
          <w:p w14:paraId="77C1205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12,948</w:t>
            </w:r>
          </w:p>
        </w:tc>
      </w:tr>
      <w:tr w:rsidR="00EC4E89" w:rsidRPr="00EC4E89" w14:paraId="0AF6DFA0"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5D6CF5D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381F43C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277A52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308633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D269A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2CFCF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F292B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F416C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1BB4E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35CCD0F3" w14:textId="77777777" w:rsidTr="00EC4E89">
        <w:trPr>
          <w:trHeight w:val="555"/>
          <w:jc w:val="center"/>
        </w:trPr>
        <w:tc>
          <w:tcPr>
            <w:tcW w:w="3395" w:type="dxa"/>
            <w:tcBorders>
              <w:top w:val="nil"/>
              <w:left w:val="nil"/>
              <w:bottom w:val="nil"/>
              <w:right w:val="nil"/>
            </w:tcBorders>
            <w:shd w:val="clear" w:color="auto" w:fill="auto"/>
            <w:noWrap/>
            <w:vAlign w:val="center"/>
            <w:hideMark/>
          </w:tcPr>
          <w:p w14:paraId="3BEDC655" w14:textId="60CD67C4"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SATELLITE NETWORK FILINGS</w:t>
            </w:r>
          </w:p>
        </w:tc>
        <w:tc>
          <w:tcPr>
            <w:tcW w:w="855" w:type="dxa"/>
            <w:tcBorders>
              <w:top w:val="nil"/>
              <w:left w:val="nil"/>
              <w:bottom w:val="nil"/>
              <w:right w:val="nil"/>
            </w:tcBorders>
            <w:shd w:val="clear" w:color="auto" w:fill="auto"/>
            <w:vAlign w:val="center"/>
            <w:hideMark/>
          </w:tcPr>
          <w:p w14:paraId="2BDE701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571</w:t>
            </w:r>
          </w:p>
        </w:tc>
        <w:tc>
          <w:tcPr>
            <w:tcW w:w="855" w:type="dxa"/>
            <w:tcBorders>
              <w:top w:val="nil"/>
              <w:left w:val="nil"/>
              <w:bottom w:val="nil"/>
              <w:right w:val="nil"/>
            </w:tcBorders>
            <w:shd w:val="clear" w:color="auto" w:fill="auto"/>
            <w:vAlign w:val="center"/>
            <w:hideMark/>
          </w:tcPr>
          <w:p w14:paraId="0F7FDC1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577</w:t>
            </w:r>
          </w:p>
        </w:tc>
        <w:tc>
          <w:tcPr>
            <w:tcW w:w="855" w:type="dxa"/>
            <w:tcBorders>
              <w:top w:val="nil"/>
              <w:left w:val="nil"/>
              <w:bottom w:val="nil"/>
              <w:right w:val="nil"/>
            </w:tcBorders>
            <w:shd w:val="clear" w:color="auto" w:fill="auto"/>
            <w:vAlign w:val="center"/>
            <w:hideMark/>
          </w:tcPr>
          <w:p w14:paraId="372AD96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563</w:t>
            </w:r>
          </w:p>
        </w:tc>
        <w:tc>
          <w:tcPr>
            <w:tcW w:w="856" w:type="dxa"/>
            <w:tcBorders>
              <w:top w:val="nil"/>
              <w:left w:val="nil"/>
              <w:bottom w:val="nil"/>
              <w:right w:val="nil"/>
            </w:tcBorders>
            <w:shd w:val="clear" w:color="auto" w:fill="auto"/>
            <w:vAlign w:val="center"/>
            <w:hideMark/>
          </w:tcPr>
          <w:p w14:paraId="01E36B7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0C9D567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0B0A141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384</w:t>
            </w:r>
          </w:p>
        </w:tc>
        <w:tc>
          <w:tcPr>
            <w:tcW w:w="856" w:type="dxa"/>
            <w:tcBorders>
              <w:top w:val="nil"/>
              <w:left w:val="nil"/>
              <w:bottom w:val="nil"/>
              <w:right w:val="nil"/>
            </w:tcBorders>
            <w:shd w:val="clear" w:color="auto" w:fill="auto"/>
            <w:vAlign w:val="center"/>
            <w:hideMark/>
          </w:tcPr>
          <w:p w14:paraId="1CB12AB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263</w:t>
            </w:r>
          </w:p>
        </w:tc>
        <w:tc>
          <w:tcPr>
            <w:tcW w:w="856" w:type="dxa"/>
            <w:tcBorders>
              <w:top w:val="nil"/>
              <w:left w:val="nil"/>
              <w:bottom w:val="nil"/>
              <w:right w:val="nil"/>
            </w:tcBorders>
            <w:shd w:val="clear" w:color="auto" w:fill="auto"/>
            <w:vAlign w:val="center"/>
            <w:hideMark/>
          </w:tcPr>
          <w:p w14:paraId="53C132F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253</w:t>
            </w:r>
          </w:p>
        </w:tc>
      </w:tr>
      <w:tr w:rsidR="00EC4E89" w:rsidRPr="00EC4E89" w14:paraId="427A2644" w14:textId="77777777" w:rsidTr="00EC4E89">
        <w:trPr>
          <w:trHeight w:val="300"/>
          <w:jc w:val="center"/>
        </w:trPr>
        <w:tc>
          <w:tcPr>
            <w:tcW w:w="3395" w:type="dxa"/>
            <w:tcBorders>
              <w:top w:val="nil"/>
              <w:left w:val="nil"/>
              <w:bottom w:val="nil"/>
              <w:right w:val="nil"/>
            </w:tcBorders>
            <w:shd w:val="clear" w:color="auto" w:fill="auto"/>
            <w:noWrap/>
            <w:vAlign w:val="center"/>
            <w:hideMark/>
          </w:tcPr>
          <w:p w14:paraId="0D78BBF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BD0BE3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21E0DA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5FDEEF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C5883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089EC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7C0BDA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382BF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FCB35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17B0A84C" w14:textId="77777777" w:rsidTr="00EC4E89">
        <w:trPr>
          <w:trHeight w:val="576"/>
          <w:jc w:val="center"/>
        </w:trPr>
        <w:tc>
          <w:tcPr>
            <w:tcW w:w="3395" w:type="dxa"/>
            <w:tcBorders>
              <w:top w:val="nil"/>
              <w:left w:val="nil"/>
              <w:bottom w:val="nil"/>
              <w:right w:val="nil"/>
            </w:tcBorders>
            <w:shd w:val="clear" w:color="auto" w:fill="auto"/>
            <w:noWrap/>
            <w:vAlign w:val="center"/>
            <w:hideMark/>
          </w:tcPr>
          <w:p w14:paraId="631AE7F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1A42438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65</w:t>
            </w:r>
          </w:p>
        </w:tc>
        <w:tc>
          <w:tcPr>
            <w:tcW w:w="855" w:type="dxa"/>
            <w:tcBorders>
              <w:top w:val="nil"/>
              <w:left w:val="nil"/>
              <w:bottom w:val="nil"/>
              <w:right w:val="nil"/>
            </w:tcBorders>
            <w:shd w:val="clear" w:color="auto" w:fill="auto"/>
            <w:vAlign w:val="center"/>
            <w:hideMark/>
          </w:tcPr>
          <w:p w14:paraId="7B25667C"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EC4E89">
              <w:rPr>
                <w:rFonts w:cs="Calibri"/>
                <w:b/>
                <w:bCs/>
                <w:color w:val="000000"/>
                <w:sz w:val="22"/>
                <w:szCs w:val="22"/>
                <w:lang w:eastAsia="en-GB"/>
              </w:rPr>
              <w:t>72</w:t>
            </w:r>
          </w:p>
        </w:tc>
        <w:tc>
          <w:tcPr>
            <w:tcW w:w="855" w:type="dxa"/>
            <w:tcBorders>
              <w:top w:val="nil"/>
              <w:left w:val="nil"/>
              <w:bottom w:val="nil"/>
              <w:right w:val="nil"/>
            </w:tcBorders>
            <w:shd w:val="clear" w:color="auto" w:fill="auto"/>
            <w:vAlign w:val="center"/>
            <w:hideMark/>
          </w:tcPr>
          <w:p w14:paraId="64D9981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71</w:t>
            </w:r>
          </w:p>
        </w:tc>
        <w:tc>
          <w:tcPr>
            <w:tcW w:w="856" w:type="dxa"/>
            <w:tcBorders>
              <w:top w:val="nil"/>
              <w:left w:val="nil"/>
              <w:bottom w:val="nil"/>
              <w:right w:val="nil"/>
            </w:tcBorders>
            <w:shd w:val="clear" w:color="auto" w:fill="auto"/>
            <w:vAlign w:val="center"/>
            <w:hideMark/>
          </w:tcPr>
          <w:p w14:paraId="0AAC535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68</w:t>
            </w:r>
          </w:p>
        </w:tc>
        <w:tc>
          <w:tcPr>
            <w:tcW w:w="856" w:type="dxa"/>
            <w:tcBorders>
              <w:top w:val="nil"/>
              <w:left w:val="nil"/>
              <w:bottom w:val="nil"/>
              <w:right w:val="nil"/>
            </w:tcBorders>
            <w:shd w:val="clear" w:color="auto" w:fill="auto"/>
            <w:vAlign w:val="center"/>
            <w:hideMark/>
          </w:tcPr>
          <w:p w14:paraId="1006182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66</w:t>
            </w:r>
          </w:p>
        </w:tc>
        <w:tc>
          <w:tcPr>
            <w:tcW w:w="856" w:type="dxa"/>
            <w:tcBorders>
              <w:top w:val="nil"/>
              <w:left w:val="nil"/>
              <w:bottom w:val="nil"/>
              <w:right w:val="nil"/>
            </w:tcBorders>
            <w:shd w:val="clear" w:color="auto" w:fill="auto"/>
            <w:vAlign w:val="center"/>
            <w:hideMark/>
          </w:tcPr>
          <w:p w14:paraId="54D9916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39AC9C6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DF7D4E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63</w:t>
            </w:r>
          </w:p>
        </w:tc>
      </w:tr>
      <w:tr w:rsidR="00EC4E89" w:rsidRPr="00EC4E89" w14:paraId="076D7649"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6F352C6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5F609A4"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ADCD3B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4B1CB1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3CA495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26C69C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236CC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102A6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37F98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790B4CE8"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0D5F7CC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UIFN Maintenance Fees</w:t>
            </w:r>
          </w:p>
        </w:tc>
        <w:tc>
          <w:tcPr>
            <w:tcW w:w="855" w:type="dxa"/>
            <w:tcBorders>
              <w:top w:val="nil"/>
              <w:left w:val="nil"/>
              <w:bottom w:val="nil"/>
              <w:right w:val="nil"/>
            </w:tcBorders>
            <w:shd w:val="clear" w:color="auto" w:fill="auto"/>
            <w:vAlign w:val="center"/>
            <w:hideMark/>
          </w:tcPr>
          <w:p w14:paraId="2341AE5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9CAECB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68E90F6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5000250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09A46A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29945F5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EC4E89">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C1A3FB5"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29</w:t>
            </w:r>
          </w:p>
        </w:tc>
        <w:tc>
          <w:tcPr>
            <w:tcW w:w="856" w:type="dxa"/>
            <w:tcBorders>
              <w:top w:val="nil"/>
              <w:left w:val="nil"/>
              <w:bottom w:val="nil"/>
              <w:right w:val="nil"/>
            </w:tcBorders>
            <w:shd w:val="clear" w:color="auto" w:fill="auto"/>
            <w:vAlign w:val="center"/>
            <w:hideMark/>
          </w:tcPr>
          <w:p w14:paraId="560AD7F2"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EC4E89">
              <w:rPr>
                <w:rFonts w:cs="Calibri"/>
                <w:b/>
                <w:bCs/>
                <w:sz w:val="22"/>
                <w:szCs w:val="22"/>
                <w:lang w:eastAsia="en-GB"/>
              </w:rPr>
              <w:t>78</w:t>
            </w:r>
          </w:p>
        </w:tc>
      </w:tr>
      <w:tr w:rsidR="00EC4E89" w:rsidRPr="00EC4E89" w14:paraId="1C063173"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419252FF"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586DE1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20245C9"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C3C036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55BD9B7"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BC240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BE5B7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4C78593"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5C2BB8"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EC4E89" w:rsidRPr="00EC4E89" w14:paraId="169AB09E" w14:textId="77777777" w:rsidTr="00EC4E89">
        <w:trPr>
          <w:trHeight w:val="288"/>
          <w:jc w:val="center"/>
        </w:trPr>
        <w:tc>
          <w:tcPr>
            <w:tcW w:w="3395" w:type="dxa"/>
            <w:tcBorders>
              <w:top w:val="nil"/>
              <w:left w:val="nil"/>
              <w:bottom w:val="nil"/>
              <w:right w:val="nil"/>
            </w:tcBorders>
            <w:shd w:val="clear" w:color="auto" w:fill="auto"/>
            <w:noWrap/>
            <w:vAlign w:val="center"/>
            <w:hideMark/>
          </w:tcPr>
          <w:p w14:paraId="34A3C911"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EC4E89">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0A65652D"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EC4E89">
              <w:rPr>
                <w:rFonts w:cs="Calibri"/>
                <w:b/>
                <w:bCs/>
                <w:color w:val="000000"/>
                <w:sz w:val="22"/>
                <w:szCs w:val="22"/>
                <w:u w:val="double"/>
                <w:lang w:eastAsia="en-GB"/>
              </w:rPr>
              <w:t>55,102</w:t>
            </w:r>
          </w:p>
        </w:tc>
        <w:tc>
          <w:tcPr>
            <w:tcW w:w="855" w:type="dxa"/>
            <w:tcBorders>
              <w:top w:val="nil"/>
              <w:left w:val="nil"/>
              <w:bottom w:val="nil"/>
              <w:right w:val="nil"/>
            </w:tcBorders>
            <w:shd w:val="clear" w:color="auto" w:fill="auto"/>
            <w:vAlign w:val="center"/>
            <w:hideMark/>
          </w:tcPr>
          <w:p w14:paraId="6EE7143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EC4E89">
              <w:rPr>
                <w:rFonts w:cs="Calibri"/>
                <w:b/>
                <w:bCs/>
                <w:color w:val="000000"/>
                <w:sz w:val="22"/>
                <w:szCs w:val="22"/>
                <w:u w:val="double"/>
                <w:lang w:eastAsia="en-GB"/>
              </w:rPr>
              <w:t>52,222</w:t>
            </w:r>
          </w:p>
        </w:tc>
        <w:tc>
          <w:tcPr>
            <w:tcW w:w="855" w:type="dxa"/>
            <w:tcBorders>
              <w:top w:val="nil"/>
              <w:left w:val="nil"/>
              <w:bottom w:val="nil"/>
              <w:right w:val="nil"/>
            </w:tcBorders>
            <w:shd w:val="clear" w:color="auto" w:fill="auto"/>
            <w:vAlign w:val="center"/>
            <w:hideMark/>
          </w:tcPr>
          <w:p w14:paraId="31FF438B"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51,673</w:t>
            </w:r>
          </w:p>
        </w:tc>
        <w:tc>
          <w:tcPr>
            <w:tcW w:w="856" w:type="dxa"/>
            <w:tcBorders>
              <w:top w:val="nil"/>
              <w:left w:val="nil"/>
              <w:bottom w:val="nil"/>
              <w:right w:val="nil"/>
            </w:tcBorders>
            <w:shd w:val="clear" w:color="auto" w:fill="auto"/>
            <w:vAlign w:val="center"/>
            <w:hideMark/>
          </w:tcPr>
          <w:p w14:paraId="28CF02F0"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46,772</w:t>
            </w:r>
          </w:p>
        </w:tc>
        <w:tc>
          <w:tcPr>
            <w:tcW w:w="856" w:type="dxa"/>
            <w:tcBorders>
              <w:top w:val="nil"/>
              <w:left w:val="nil"/>
              <w:bottom w:val="nil"/>
              <w:right w:val="nil"/>
            </w:tcBorders>
            <w:shd w:val="clear" w:color="auto" w:fill="auto"/>
            <w:vAlign w:val="center"/>
            <w:hideMark/>
          </w:tcPr>
          <w:p w14:paraId="28B08A0E"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45,264</w:t>
            </w:r>
          </w:p>
        </w:tc>
        <w:tc>
          <w:tcPr>
            <w:tcW w:w="856" w:type="dxa"/>
            <w:tcBorders>
              <w:top w:val="nil"/>
              <w:left w:val="nil"/>
              <w:bottom w:val="nil"/>
              <w:right w:val="nil"/>
            </w:tcBorders>
            <w:shd w:val="clear" w:color="auto" w:fill="auto"/>
            <w:vAlign w:val="center"/>
            <w:hideMark/>
          </w:tcPr>
          <w:p w14:paraId="17ACFEE6"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39,775</w:t>
            </w:r>
          </w:p>
        </w:tc>
        <w:tc>
          <w:tcPr>
            <w:tcW w:w="856" w:type="dxa"/>
            <w:tcBorders>
              <w:top w:val="nil"/>
              <w:left w:val="nil"/>
              <w:bottom w:val="nil"/>
              <w:right w:val="nil"/>
            </w:tcBorders>
            <w:shd w:val="clear" w:color="auto" w:fill="auto"/>
            <w:vAlign w:val="center"/>
            <w:hideMark/>
          </w:tcPr>
          <w:p w14:paraId="62BB7FC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39,800</w:t>
            </w:r>
          </w:p>
        </w:tc>
        <w:tc>
          <w:tcPr>
            <w:tcW w:w="856" w:type="dxa"/>
            <w:tcBorders>
              <w:top w:val="nil"/>
              <w:left w:val="nil"/>
              <w:bottom w:val="nil"/>
              <w:right w:val="nil"/>
            </w:tcBorders>
            <w:shd w:val="clear" w:color="auto" w:fill="auto"/>
            <w:vAlign w:val="center"/>
            <w:hideMark/>
          </w:tcPr>
          <w:p w14:paraId="4E22581A" w14:textId="77777777" w:rsidR="00EC4E89" w:rsidRPr="00EC4E89" w:rsidRDefault="00EC4E89" w:rsidP="00EC4E89">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EC4E89">
              <w:rPr>
                <w:rFonts w:cs="Calibri"/>
                <w:b/>
                <w:bCs/>
                <w:sz w:val="22"/>
                <w:szCs w:val="22"/>
                <w:u w:val="double"/>
                <w:lang w:eastAsia="en-GB"/>
              </w:rPr>
              <w:t>40,575</w:t>
            </w:r>
          </w:p>
        </w:tc>
      </w:tr>
    </w:tbl>
    <w:p w14:paraId="79F337F2" w14:textId="77777777" w:rsidR="000063A6" w:rsidRPr="00EC4E89" w:rsidRDefault="000063A6" w:rsidP="008A3170">
      <w:pPr>
        <w:tabs>
          <w:tab w:val="left" w:pos="851"/>
          <w:tab w:val="left" w:pos="9356"/>
        </w:tabs>
        <w:spacing w:before="0" w:after="120"/>
        <w:jc w:val="both"/>
        <w:rPr>
          <w:lang w:val="fr-CH"/>
        </w:rPr>
      </w:pPr>
    </w:p>
    <w:p w14:paraId="60F9C25B" w14:textId="58E8508F" w:rsidR="00A34441" w:rsidRDefault="00B468C4" w:rsidP="00D15263">
      <w:pPr>
        <w:tabs>
          <w:tab w:val="clear" w:pos="567"/>
          <w:tab w:val="clear" w:pos="1134"/>
          <w:tab w:val="clear" w:pos="1701"/>
          <w:tab w:val="clear" w:pos="2268"/>
          <w:tab w:val="clear" w:pos="2835"/>
        </w:tabs>
        <w:overflowPunct/>
        <w:autoSpaceDE/>
        <w:autoSpaceDN/>
        <w:adjustRightInd/>
        <w:spacing w:before="0"/>
        <w:ind w:left="-284"/>
        <w:textAlignment w:val="auto"/>
        <w:rPr>
          <w:sz w:val="22"/>
          <w:szCs w:val="22"/>
          <w:lang w:val="en-US"/>
        </w:rPr>
      </w:pPr>
      <w:r w:rsidRPr="00A34441">
        <w:rPr>
          <w:sz w:val="22"/>
          <w:szCs w:val="22"/>
          <w:lang w:val="en-US"/>
        </w:rPr>
        <w:t>This table does not in</w:t>
      </w:r>
      <w:r w:rsidR="004B72BC" w:rsidRPr="00A34441">
        <w:rPr>
          <w:sz w:val="22"/>
          <w:szCs w:val="22"/>
          <w:lang w:val="en-US"/>
        </w:rPr>
        <w:t>clude current debtors (</w:t>
      </w:r>
      <w:proofErr w:type="gramStart"/>
      <w:r w:rsidR="004B72BC" w:rsidRPr="00A34441">
        <w:rPr>
          <w:sz w:val="22"/>
          <w:szCs w:val="22"/>
          <w:lang w:val="en-US"/>
        </w:rPr>
        <w:t>i.e.</w:t>
      </w:r>
      <w:proofErr w:type="gramEnd"/>
      <w:r w:rsidR="004B72BC" w:rsidRPr="00A34441">
        <w:rPr>
          <w:sz w:val="22"/>
          <w:szCs w:val="22"/>
          <w:lang w:val="en-US"/>
        </w:rPr>
        <w:t xml:space="preserve"> 20</w:t>
      </w:r>
      <w:r w:rsidR="00EC4E89" w:rsidRPr="00A34441">
        <w:rPr>
          <w:sz w:val="22"/>
          <w:szCs w:val="22"/>
          <w:lang w:val="en-US"/>
        </w:rPr>
        <w:t>20</w:t>
      </w:r>
      <w:r w:rsidRPr="00A34441">
        <w:rPr>
          <w:sz w:val="22"/>
          <w:szCs w:val="22"/>
          <w:lang w:val="en-US"/>
        </w:rPr>
        <w:t>), representing a sum of CHF </w:t>
      </w:r>
      <w:r w:rsidR="00F30EC8" w:rsidRPr="00A34441">
        <w:rPr>
          <w:sz w:val="22"/>
          <w:szCs w:val="22"/>
          <w:lang w:val="en-US"/>
        </w:rPr>
        <w:t>1</w:t>
      </w:r>
      <w:r w:rsidR="00DB19FC" w:rsidRPr="00A34441">
        <w:rPr>
          <w:sz w:val="22"/>
          <w:szCs w:val="22"/>
          <w:lang w:val="en-US"/>
        </w:rPr>
        <w:t>4</w:t>
      </w:r>
      <w:r w:rsidR="00F30EC8" w:rsidRPr="00A34441">
        <w:rPr>
          <w:sz w:val="22"/>
          <w:szCs w:val="22"/>
          <w:lang w:val="en-US"/>
        </w:rPr>
        <w:t> </w:t>
      </w:r>
      <w:r w:rsidR="00DB19FC" w:rsidRPr="00A34441">
        <w:rPr>
          <w:sz w:val="22"/>
          <w:szCs w:val="22"/>
          <w:lang w:val="en-US"/>
        </w:rPr>
        <w:t>29</w:t>
      </w:r>
      <w:r w:rsidR="00480173" w:rsidRPr="00A34441">
        <w:rPr>
          <w:sz w:val="22"/>
          <w:szCs w:val="22"/>
          <w:lang w:val="en-US"/>
        </w:rPr>
        <w:t>7</w:t>
      </w:r>
      <w:r w:rsidRPr="00A34441">
        <w:rPr>
          <w:sz w:val="22"/>
          <w:szCs w:val="22"/>
          <w:lang w:val="en-US"/>
        </w:rPr>
        <w:t xml:space="preserve"> 000 </w:t>
      </w:r>
      <w:r w:rsidR="004B72BC" w:rsidRPr="00A34441">
        <w:rPr>
          <w:sz w:val="22"/>
          <w:szCs w:val="22"/>
          <w:lang w:val="en-US"/>
        </w:rPr>
        <w:t>at</w:t>
      </w:r>
      <w:r w:rsidR="00A34441">
        <w:rPr>
          <w:sz w:val="22"/>
          <w:szCs w:val="22"/>
          <w:lang w:val="en-US"/>
        </w:rPr>
        <w:t xml:space="preserve"> </w:t>
      </w:r>
      <w:r w:rsidR="004B72BC" w:rsidRPr="00A34441">
        <w:rPr>
          <w:sz w:val="22"/>
          <w:szCs w:val="22"/>
          <w:lang w:val="en-US"/>
        </w:rPr>
        <w:t>31 December</w:t>
      </w:r>
      <w:r w:rsidR="00D15263">
        <w:rPr>
          <w:sz w:val="22"/>
          <w:szCs w:val="22"/>
          <w:lang w:val="en-US"/>
        </w:rPr>
        <w:t> </w:t>
      </w:r>
      <w:r w:rsidR="004B72BC" w:rsidRPr="00A34441">
        <w:rPr>
          <w:sz w:val="22"/>
          <w:szCs w:val="22"/>
          <w:lang w:val="en-US"/>
        </w:rPr>
        <w:t>20</w:t>
      </w:r>
      <w:r w:rsidR="00DB19FC" w:rsidRPr="00A34441">
        <w:rPr>
          <w:sz w:val="22"/>
          <w:szCs w:val="22"/>
          <w:lang w:val="en-US"/>
        </w:rPr>
        <w:t>20</w:t>
      </w:r>
      <w:r w:rsidRPr="00A34441">
        <w:rPr>
          <w:sz w:val="22"/>
          <w:szCs w:val="22"/>
          <w:lang w:val="en-US"/>
        </w:rPr>
        <w:t>, which brings the total amount to CHF </w:t>
      </w:r>
      <w:r w:rsidR="00F30EC8" w:rsidRPr="00A34441">
        <w:rPr>
          <w:sz w:val="22"/>
          <w:szCs w:val="22"/>
          <w:lang w:val="en-US"/>
        </w:rPr>
        <w:t>5</w:t>
      </w:r>
      <w:r w:rsidR="00DB19FC" w:rsidRPr="00A34441">
        <w:rPr>
          <w:sz w:val="22"/>
          <w:szCs w:val="22"/>
          <w:lang w:val="en-US"/>
        </w:rPr>
        <w:t>4</w:t>
      </w:r>
      <w:r w:rsidR="00F30EC8" w:rsidRPr="00A34441">
        <w:rPr>
          <w:sz w:val="22"/>
          <w:szCs w:val="22"/>
          <w:lang w:val="en-US"/>
        </w:rPr>
        <w:t> </w:t>
      </w:r>
      <w:r w:rsidR="00DB19FC" w:rsidRPr="00A34441">
        <w:rPr>
          <w:sz w:val="22"/>
          <w:szCs w:val="22"/>
          <w:lang w:val="en-US"/>
        </w:rPr>
        <w:t>872</w:t>
      </w:r>
      <w:r w:rsidRPr="00A34441">
        <w:rPr>
          <w:sz w:val="22"/>
          <w:szCs w:val="22"/>
          <w:lang w:val="en-US"/>
        </w:rPr>
        <w:t xml:space="preserve"> 000.</w:t>
      </w:r>
      <w:r w:rsidR="000063A6" w:rsidRPr="00A34441">
        <w:rPr>
          <w:sz w:val="22"/>
          <w:szCs w:val="22"/>
          <w:lang w:val="en-US"/>
        </w:rPr>
        <w:t xml:space="preserve"> </w:t>
      </w:r>
    </w:p>
    <w:p w14:paraId="02B634DB" w14:textId="111EA004" w:rsidR="00B468C4" w:rsidRPr="00D15263" w:rsidRDefault="00A34441" w:rsidP="00D15263">
      <w:pPr>
        <w:tabs>
          <w:tab w:val="clear" w:pos="567"/>
          <w:tab w:val="clear" w:pos="1134"/>
          <w:tab w:val="clear" w:pos="1701"/>
          <w:tab w:val="clear" w:pos="2268"/>
          <w:tab w:val="clear" w:pos="2835"/>
        </w:tabs>
        <w:overflowPunct/>
        <w:autoSpaceDE/>
        <w:autoSpaceDN/>
        <w:adjustRightInd/>
        <w:spacing w:before="0"/>
        <w:ind w:left="-284"/>
        <w:textAlignment w:val="auto"/>
        <w:rPr>
          <w:caps/>
          <w:sz w:val="22"/>
          <w:szCs w:val="22"/>
          <w:lang w:val="en-US"/>
        </w:rPr>
      </w:pPr>
      <w:r w:rsidRPr="00A34441">
        <w:rPr>
          <w:sz w:val="22"/>
          <w:szCs w:val="22"/>
          <w:lang w:val="en-US"/>
        </w:rPr>
        <w:t>In 2020, t</w:t>
      </w:r>
      <w:r w:rsidR="00111848" w:rsidRPr="00A34441">
        <w:rPr>
          <w:sz w:val="22"/>
          <w:szCs w:val="22"/>
          <w:lang w:val="en-US"/>
        </w:rPr>
        <w:t>he current debt</w:t>
      </w:r>
      <w:r w:rsidRPr="00A34441">
        <w:rPr>
          <w:sz w:val="22"/>
          <w:szCs w:val="22"/>
          <w:lang w:val="en-US"/>
        </w:rPr>
        <w:t>ors</w:t>
      </w:r>
      <w:r w:rsidR="00111848" w:rsidRPr="00A34441">
        <w:rPr>
          <w:sz w:val="22"/>
          <w:szCs w:val="22"/>
          <w:lang w:val="en-US"/>
        </w:rPr>
        <w:t xml:space="preserve"> </w:t>
      </w:r>
      <w:r w:rsidRPr="00A34441">
        <w:rPr>
          <w:sz w:val="22"/>
          <w:szCs w:val="22"/>
          <w:lang w:val="en-US"/>
        </w:rPr>
        <w:t>increased by 12</w:t>
      </w:r>
      <w:r w:rsidR="00D15263">
        <w:rPr>
          <w:sz w:val="22"/>
          <w:szCs w:val="22"/>
          <w:lang w:val="en-US"/>
        </w:rPr>
        <w:t xml:space="preserve"> per cent</w:t>
      </w:r>
      <w:r w:rsidRPr="00A34441">
        <w:rPr>
          <w:sz w:val="22"/>
          <w:szCs w:val="22"/>
          <w:lang w:val="en-US"/>
        </w:rPr>
        <w:t xml:space="preserve"> compared with the year 2019.</w:t>
      </w:r>
    </w:p>
    <w:p w14:paraId="2D3E5627" w14:textId="77777777" w:rsidR="00B468C4" w:rsidRPr="00AF4E41" w:rsidRDefault="00B468C4" w:rsidP="005A18EA">
      <w:pPr>
        <w:pStyle w:val="AnnexNo"/>
        <w:spacing w:before="840"/>
        <w:rPr>
          <w:lang w:val="en-US"/>
        </w:rPr>
      </w:pPr>
      <w:r w:rsidRPr="00AF4E41">
        <w:rPr>
          <w:lang w:val="en-US"/>
        </w:rPr>
        <w:lastRenderedPageBreak/>
        <w:t>ANNEX B</w:t>
      </w:r>
    </w:p>
    <w:p w14:paraId="4B7BE631" w14:textId="77777777" w:rsidR="00B468C4" w:rsidRPr="00DA050C" w:rsidRDefault="00B468C4" w:rsidP="006B3747">
      <w:pPr>
        <w:pStyle w:val="RecNo"/>
        <w:spacing w:before="240"/>
        <w:rPr>
          <w:lang w:val="en-US"/>
        </w:rPr>
      </w:pPr>
      <w:r w:rsidRPr="00DA050C">
        <w:rPr>
          <w:lang w:val="en-US"/>
        </w:rPr>
        <w:t>Draft decision</w:t>
      </w:r>
    </w:p>
    <w:p w14:paraId="6B3ABF56" w14:textId="77777777" w:rsidR="00B468C4" w:rsidRPr="00DA050C" w:rsidRDefault="00B468C4" w:rsidP="006B3747">
      <w:pPr>
        <w:pStyle w:val="Rectitle"/>
        <w:spacing w:before="120"/>
        <w:rPr>
          <w:lang w:val="en-US"/>
        </w:rPr>
      </w:pPr>
      <w:r w:rsidRPr="00DA050C">
        <w:rPr>
          <w:lang w:val="en-US"/>
        </w:rPr>
        <w:t>Cancellation of interest on arrears and irrecoverable debts</w:t>
      </w:r>
    </w:p>
    <w:p w14:paraId="47CB48C4" w14:textId="77777777" w:rsidR="00B468C4" w:rsidRPr="00DA050C" w:rsidRDefault="00B468C4" w:rsidP="00B468C4">
      <w:pPr>
        <w:pStyle w:val="Normalaftertitle"/>
        <w:rPr>
          <w:lang w:val="en-US"/>
        </w:rPr>
      </w:pPr>
      <w:r w:rsidRPr="00DA050C">
        <w:rPr>
          <w:lang w:val="en-US"/>
        </w:rPr>
        <w:t>The Council,</w:t>
      </w:r>
    </w:p>
    <w:p w14:paraId="5CB3713A" w14:textId="77777777" w:rsidR="00B468C4" w:rsidRPr="00DA050C" w:rsidRDefault="00B468C4" w:rsidP="00B468C4">
      <w:pPr>
        <w:pStyle w:val="Call"/>
        <w:rPr>
          <w:lang w:val="en-US"/>
        </w:rPr>
      </w:pPr>
      <w:r w:rsidRPr="00DA050C">
        <w:rPr>
          <w:lang w:val="en-US"/>
        </w:rPr>
        <w:t>having examined</w:t>
      </w:r>
    </w:p>
    <w:p w14:paraId="6B0B98BB" w14:textId="450DC43D" w:rsidR="00B468C4" w:rsidRPr="00FE1D28" w:rsidRDefault="00B468C4" w:rsidP="00B468C4">
      <w:pPr>
        <w:rPr>
          <w:lang w:val="en-US"/>
        </w:rPr>
      </w:pPr>
      <w:r w:rsidRPr="00DA050C">
        <w:rPr>
          <w:lang w:val="en-US"/>
        </w:rPr>
        <w:t>the report by the Secretary-General on arrears and specia</w:t>
      </w:r>
      <w:r w:rsidR="00FC13F4">
        <w:rPr>
          <w:lang w:val="en-US"/>
        </w:rPr>
        <w:t xml:space="preserve">l arrears accounts </w:t>
      </w:r>
      <w:r w:rsidR="00FC13F4" w:rsidRPr="00FE1D28">
        <w:rPr>
          <w:lang w:val="en-US"/>
        </w:rPr>
        <w:t>(</w:t>
      </w:r>
      <w:hyperlink r:id="rId24" w:history="1">
        <w:r w:rsidR="00FC6487" w:rsidRPr="00FE1D28">
          <w:rPr>
            <w:rStyle w:val="Hyperlink"/>
            <w:color w:val="auto"/>
            <w:lang w:val="en-US"/>
          </w:rPr>
          <w:t>Document C</w:t>
        </w:r>
        <w:r w:rsidR="009D7BD9" w:rsidRPr="00FE1D28">
          <w:rPr>
            <w:rStyle w:val="Hyperlink"/>
            <w:color w:val="auto"/>
            <w:lang w:val="en-US"/>
          </w:rPr>
          <w:t>2</w:t>
        </w:r>
        <w:r w:rsidR="00AE2F8F" w:rsidRPr="00FE1D28">
          <w:rPr>
            <w:rStyle w:val="Hyperlink"/>
            <w:color w:val="auto"/>
            <w:lang w:val="en-US"/>
          </w:rPr>
          <w:t>1</w:t>
        </w:r>
        <w:r w:rsidRPr="00FE1D28">
          <w:rPr>
            <w:rStyle w:val="Hyperlink"/>
            <w:color w:val="auto"/>
            <w:lang w:val="en-US"/>
          </w:rPr>
          <w:t>/11</w:t>
        </w:r>
      </w:hyperlink>
      <w:r w:rsidRPr="00FE1D28">
        <w:rPr>
          <w:lang w:val="en-US"/>
        </w:rPr>
        <w:t>)</w:t>
      </w:r>
      <w:r w:rsidRPr="00FE1D28">
        <w:rPr>
          <w:szCs w:val="24"/>
          <w:lang w:val="en-US"/>
        </w:rPr>
        <w:t>,</w:t>
      </w:r>
    </w:p>
    <w:p w14:paraId="36EF35E5" w14:textId="77777777" w:rsidR="00B468C4" w:rsidRPr="00DA050C" w:rsidRDefault="00B468C4" w:rsidP="00B468C4">
      <w:pPr>
        <w:pStyle w:val="Call"/>
        <w:rPr>
          <w:lang w:val="en-US"/>
        </w:rPr>
      </w:pPr>
      <w:r w:rsidRPr="00DA050C">
        <w:rPr>
          <w:lang w:val="en-US"/>
        </w:rPr>
        <w:t>decides</w:t>
      </w:r>
    </w:p>
    <w:p w14:paraId="11F364B1" w14:textId="15B3CF9C" w:rsidR="000B6194" w:rsidRDefault="00B468C4" w:rsidP="00F87721">
      <w:pPr>
        <w:rPr>
          <w:lang w:val="en-US"/>
        </w:rPr>
      </w:pPr>
      <w:r w:rsidRPr="00FC557C">
        <w:rPr>
          <w:lang w:val="en-US"/>
        </w:rPr>
        <w:t xml:space="preserve">to approve the writing </w:t>
      </w:r>
      <w:proofErr w:type="gramStart"/>
      <w:r w:rsidRPr="00FC557C">
        <w:rPr>
          <w:lang w:val="en-US"/>
        </w:rPr>
        <w:t>off of</w:t>
      </w:r>
      <w:proofErr w:type="gramEnd"/>
      <w:r w:rsidRPr="00FC557C">
        <w:rPr>
          <w:lang w:val="en-US"/>
        </w:rPr>
        <w:t xml:space="preserve"> the following interest on arrears and irrecoverable debts in the </w:t>
      </w:r>
      <w:r w:rsidRPr="0084621C">
        <w:rPr>
          <w:lang w:val="en-US"/>
        </w:rPr>
        <w:t xml:space="preserve">amount </w:t>
      </w:r>
      <w:r w:rsidRPr="00935E31">
        <w:rPr>
          <w:lang w:val="en-US"/>
        </w:rPr>
        <w:t xml:space="preserve">of </w:t>
      </w:r>
      <w:r w:rsidRPr="00935E31">
        <w:rPr>
          <w:b/>
          <w:bCs/>
          <w:lang w:val="en-US"/>
        </w:rPr>
        <w:t>CHF</w:t>
      </w:r>
      <w:r w:rsidR="0060766C" w:rsidRPr="00935E31">
        <w:rPr>
          <w:b/>
          <w:bCs/>
          <w:lang w:val="en-US"/>
        </w:rPr>
        <w:t> </w:t>
      </w:r>
      <w:r w:rsidR="00ED7FFB" w:rsidRPr="00935E31">
        <w:rPr>
          <w:b/>
          <w:bCs/>
          <w:lang w:val="en-US"/>
        </w:rPr>
        <w:t>2 7</w:t>
      </w:r>
      <w:r w:rsidR="00AF4E41" w:rsidRPr="00935E31">
        <w:rPr>
          <w:b/>
          <w:bCs/>
          <w:lang w:val="en-US"/>
        </w:rPr>
        <w:t>13</w:t>
      </w:r>
      <w:r w:rsidR="00ED7FFB" w:rsidRPr="00935E31">
        <w:rPr>
          <w:b/>
          <w:bCs/>
          <w:lang w:val="en-US"/>
        </w:rPr>
        <w:t xml:space="preserve"> </w:t>
      </w:r>
      <w:r w:rsidR="00AF4E41" w:rsidRPr="00935E31">
        <w:rPr>
          <w:b/>
          <w:bCs/>
          <w:lang w:val="en-US"/>
        </w:rPr>
        <w:t>401</w:t>
      </w:r>
      <w:r w:rsidR="00ED7FFB" w:rsidRPr="00935E31">
        <w:rPr>
          <w:b/>
          <w:bCs/>
          <w:lang w:val="en-US"/>
        </w:rPr>
        <w:t>.</w:t>
      </w:r>
      <w:r w:rsidR="00AF4E41" w:rsidRPr="00935E31">
        <w:rPr>
          <w:b/>
          <w:bCs/>
          <w:lang w:val="en-US"/>
        </w:rPr>
        <w:t>3</w:t>
      </w:r>
      <w:r w:rsidR="00ED7FFB" w:rsidRPr="00935E31">
        <w:rPr>
          <w:b/>
          <w:bCs/>
          <w:lang w:val="en-US"/>
        </w:rPr>
        <w:t xml:space="preserve">3 </w:t>
      </w:r>
      <w:r w:rsidRPr="0084621C">
        <w:rPr>
          <w:lang w:val="en-US"/>
        </w:rPr>
        <w:t>against a corresponding withdrawal from the Reserve for Debtors</w:t>
      </w:r>
      <w:r w:rsidR="00FF3DB9">
        <w:rPr>
          <w:lang w:val="en-US"/>
        </w:rPr>
        <w:t>’</w:t>
      </w:r>
      <w:r w:rsidR="009F3F65">
        <w:rPr>
          <w:lang w:val="en-US"/>
        </w:rPr>
        <w:t xml:space="preserve"> Accounts. </w:t>
      </w:r>
      <w:r w:rsidR="009F3F65" w:rsidRPr="00552A41">
        <w:rPr>
          <w:lang w:val="en-US"/>
        </w:rPr>
        <w:t>Please refer to the details in the table below.</w:t>
      </w:r>
    </w:p>
    <w:p w14:paraId="416A8D41" w14:textId="77777777" w:rsidR="00B82A5C" w:rsidRDefault="00B82A5C"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9820" w:type="dxa"/>
        <w:tblLook w:val="04A0" w:firstRow="1" w:lastRow="0" w:firstColumn="1" w:lastColumn="0" w:noHBand="0" w:noVBand="1"/>
      </w:tblPr>
      <w:tblGrid>
        <w:gridCol w:w="1240"/>
        <w:gridCol w:w="4140"/>
        <w:gridCol w:w="960"/>
        <w:gridCol w:w="1120"/>
        <w:gridCol w:w="1140"/>
        <w:gridCol w:w="1220"/>
      </w:tblGrid>
      <w:tr w:rsidR="006B3747" w:rsidRPr="006B3747" w14:paraId="213F4B96" w14:textId="77777777" w:rsidTr="006B3747">
        <w:trPr>
          <w:trHeight w:val="300"/>
        </w:trPr>
        <w:tc>
          <w:tcPr>
            <w:tcW w:w="124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1E4A1B2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bookmarkStart w:id="15" w:name="RANGE!B1:G29"/>
            <w:r w:rsidRPr="006B3747">
              <w:rPr>
                <w:rFonts w:cs="Calibri"/>
                <w:b/>
                <w:bCs/>
                <w:color w:val="000000"/>
                <w:sz w:val="16"/>
                <w:szCs w:val="16"/>
                <w:lang w:eastAsia="en-GB"/>
              </w:rPr>
              <w:t>Country</w:t>
            </w:r>
            <w:bookmarkEnd w:id="15"/>
          </w:p>
        </w:tc>
        <w:tc>
          <w:tcPr>
            <w:tcW w:w="4140" w:type="dxa"/>
            <w:tcBorders>
              <w:top w:val="single" w:sz="8" w:space="0" w:color="auto"/>
              <w:left w:val="nil"/>
              <w:bottom w:val="single" w:sz="8" w:space="0" w:color="auto"/>
              <w:right w:val="single" w:sz="4" w:space="0" w:color="auto"/>
            </w:tcBorders>
            <w:shd w:val="clear" w:color="000000" w:fill="C0C0C0"/>
            <w:noWrap/>
            <w:vAlign w:val="center"/>
            <w:hideMark/>
          </w:tcPr>
          <w:p w14:paraId="1C00F39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B3747">
              <w:rPr>
                <w:rFonts w:cs="Calibri"/>
                <w:b/>
                <w:bCs/>
                <w:color w:val="000000"/>
                <w:sz w:val="16"/>
                <w:szCs w:val="16"/>
                <w:lang w:eastAsia="en-GB"/>
              </w:rPr>
              <w:t>Company Name</w:t>
            </w:r>
          </w:p>
        </w:tc>
        <w:tc>
          <w:tcPr>
            <w:tcW w:w="960" w:type="dxa"/>
            <w:tcBorders>
              <w:top w:val="single" w:sz="8" w:space="0" w:color="auto"/>
              <w:left w:val="nil"/>
              <w:bottom w:val="single" w:sz="8" w:space="0" w:color="auto"/>
              <w:right w:val="single" w:sz="4" w:space="0" w:color="auto"/>
            </w:tcBorders>
            <w:shd w:val="clear" w:color="000000" w:fill="C0C0C0"/>
            <w:noWrap/>
            <w:vAlign w:val="center"/>
            <w:hideMark/>
          </w:tcPr>
          <w:p w14:paraId="6B8D15A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B3747">
              <w:rPr>
                <w:rFonts w:cs="Calibri"/>
                <w:b/>
                <w:bCs/>
                <w:color w:val="000000"/>
                <w:sz w:val="16"/>
                <w:szCs w:val="16"/>
                <w:lang w:eastAsia="en-GB"/>
              </w:rPr>
              <w:t>Year</w:t>
            </w:r>
          </w:p>
        </w:tc>
        <w:tc>
          <w:tcPr>
            <w:tcW w:w="1120" w:type="dxa"/>
            <w:tcBorders>
              <w:top w:val="single" w:sz="8" w:space="0" w:color="auto"/>
              <w:left w:val="nil"/>
              <w:bottom w:val="single" w:sz="8" w:space="0" w:color="auto"/>
              <w:right w:val="single" w:sz="4" w:space="0" w:color="auto"/>
            </w:tcBorders>
            <w:shd w:val="clear" w:color="000000" w:fill="C0C0C0"/>
            <w:noWrap/>
            <w:vAlign w:val="center"/>
            <w:hideMark/>
          </w:tcPr>
          <w:p w14:paraId="1E84C44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B3747">
              <w:rPr>
                <w:rFonts w:cs="Calibri"/>
                <w:b/>
                <w:bCs/>
                <w:color w:val="000000"/>
                <w:sz w:val="16"/>
                <w:szCs w:val="16"/>
                <w:lang w:eastAsia="en-GB"/>
              </w:rPr>
              <w:t>Principal</w:t>
            </w:r>
          </w:p>
        </w:tc>
        <w:tc>
          <w:tcPr>
            <w:tcW w:w="1140" w:type="dxa"/>
            <w:tcBorders>
              <w:top w:val="single" w:sz="8" w:space="0" w:color="auto"/>
              <w:left w:val="nil"/>
              <w:bottom w:val="single" w:sz="8" w:space="0" w:color="auto"/>
              <w:right w:val="single" w:sz="4" w:space="0" w:color="auto"/>
            </w:tcBorders>
            <w:shd w:val="clear" w:color="000000" w:fill="C0C0C0"/>
            <w:noWrap/>
            <w:vAlign w:val="center"/>
            <w:hideMark/>
          </w:tcPr>
          <w:p w14:paraId="666A56D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B3747">
              <w:rPr>
                <w:rFonts w:cs="Calibri"/>
                <w:b/>
                <w:bCs/>
                <w:color w:val="000000"/>
                <w:sz w:val="16"/>
                <w:szCs w:val="16"/>
                <w:lang w:eastAsia="en-GB"/>
              </w:rPr>
              <w:t>Interest</w:t>
            </w:r>
          </w:p>
        </w:tc>
        <w:tc>
          <w:tcPr>
            <w:tcW w:w="1220" w:type="dxa"/>
            <w:tcBorders>
              <w:top w:val="single" w:sz="8" w:space="0" w:color="auto"/>
              <w:left w:val="nil"/>
              <w:bottom w:val="single" w:sz="8" w:space="0" w:color="auto"/>
              <w:right w:val="single" w:sz="8" w:space="0" w:color="auto"/>
            </w:tcBorders>
            <w:shd w:val="clear" w:color="000000" w:fill="C0C0C0"/>
            <w:noWrap/>
            <w:vAlign w:val="center"/>
            <w:hideMark/>
          </w:tcPr>
          <w:p w14:paraId="1891824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B3747">
              <w:rPr>
                <w:rFonts w:cs="Calibri"/>
                <w:b/>
                <w:bCs/>
                <w:color w:val="000000"/>
                <w:sz w:val="16"/>
                <w:szCs w:val="16"/>
                <w:lang w:eastAsia="en-GB"/>
              </w:rPr>
              <w:t>Total</w:t>
            </w:r>
          </w:p>
        </w:tc>
      </w:tr>
      <w:tr w:rsidR="006B3747" w:rsidRPr="006B3747" w14:paraId="3921D0FC" w14:textId="77777777" w:rsidTr="006B3747">
        <w:trPr>
          <w:trHeight w:val="420"/>
        </w:trPr>
        <w:tc>
          <w:tcPr>
            <w:tcW w:w="1240" w:type="dxa"/>
            <w:tcBorders>
              <w:top w:val="nil"/>
              <w:left w:val="single" w:sz="8" w:space="0" w:color="auto"/>
              <w:bottom w:val="single" w:sz="4" w:space="0" w:color="auto"/>
              <w:right w:val="single" w:sz="4" w:space="0" w:color="auto"/>
            </w:tcBorders>
            <w:shd w:val="clear" w:color="000000" w:fill="FFFFFF"/>
            <w:noWrap/>
            <w:vAlign w:val="center"/>
            <w:hideMark/>
          </w:tcPr>
          <w:p w14:paraId="14438E0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B3747">
              <w:rPr>
                <w:rFonts w:cs="Calibri"/>
                <w:color w:val="000000"/>
                <w:sz w:val="16"/>
                <w:szCs w:val="16"/>
                <w:lang w:eastAsia="en-GB"/>
              </w:rPr>
              <w:t>Iran</w:t>
            </w:r>
          </w:p>
        </w:tc>
        <w:tc>
          <w:tcPr>
            <w:tcW w:w="4140" w:type="dxa"/>
            <w:tcBorders>
              <w:top w:val="nil"/>
              <w:left w:val="nil"/>
              <w:bottom w:val="single" w:sz="4" w:space="0" w:color="auto"/>
              <w:right w:val="single" w:sz="4" w:space="0" w:color="auto"/>
            </w:tcBorders>
            <w:shd w:val="clear" w:color="000000" w:fill="FFFFFF"/>
            <w:vAlign w:val="center"/>
            <w:hideMark/>
          </w:tcPr>
          <w:p w14:paraId="7EABDEB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B3747">
              <w:rPr>
                <w:rFonts w:cs="Calibri"/>
                <w:color w:val="000000"/>
                <w:sz w:val="16"/>
                <w:szCs w:val="16"/>
                <w:lang w:eastAsia="en-GB"/>
              </w:rPr>
              <w:t>Ministry of Information and Communication Technology (MICT)</w:t>
            </w:r>
          </w:p>
        </w:tc>
        <w:tc>
          <w:tcPr>
            <w:tcW w:w="960" w:type="dxa"/>
            <w:tcBorders>
              <w:top w:val="nil"/>
              <w:left w:val="nil"/>
              <w:bottom w:val="single" w:sz="4" w:space="0" w:color="auto"/>
              <w:right w:val="single" w:sz="4" w:space="0" w:color="auto"/>
            </w:tcBorders>
            <w:shd w:val="clear" w:color="000000" w:fill="FFFFFF"/>
            <w:noWrap/>
            <w:vAlign w:val="center"/>
            <w:hideMark/>
          </w:tcPr>
          <w:p w14:paraId="228C9D6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B3747">
              <w:rPr>
                <w:rFonts w:cs="Calibri"/>
                <w:color w:val="000000"/>
                <w:sz w:val="16"/>
                <w:szCs w:val="16"/>
                <w:lang w:eastAsia="en-GB"/>
              </w:rPr>
              <w:t>2016-2019</w:t>
            </w:r>
          </w:p>
        </w:tc>
        <w:tc>
          <w:tcPr>
            <w:tcW w:w="1120" w:type="dxa"/>
            <w:tcBorders>
              <w:top w:val="nil"/>
              <w:left w:val="nil"/>
              <w:bottom w:val="single" w:sz="4" w:space="0" w:color="auto"/>
              <w:right w:val="single" w:sz="4" w:space="0" w:color="auto"/>
            </w:tcBorders>
            <w:shd w:val="clear" w:color="000000" w:fill="FFFFFF"/>
            <w:noWrap/>
            <w:vAlign w:val="center"/>
            <w:hideMark/>
          </w:tcPr>
          <w:p w14:paraId="077E460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vAlign w:val="center"/>
            <w:hideMark/>
          </w:tcPr>
          <w:p w14:paraId="1250CEA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79,660.45</w:t>
            </w:r>
          </w:p>
        </w:tc>
        <w:tc>
          <w:tcPr>
            <w:tcW w:w="1220" w:type="dxa"/>
            <w:tcBorders>
              <w:top w:val="nil"/>
              <w:left w:val="nil"/>
              <w:bottom w:val="single" w:sz="4" w:space="0" w:color="auto"/>
              <w:right w:val="single" w:sz="8" w:space="0" w:color="auto"/>
            </w:tcBorders>
            <w:shd w:val="clear" w:color="000000" w:fill="FFFFFF"/>
            <w:noWrap/>
            <w:vAlign w:val="center"/>
            <w:hideMark/>
          </w:tcPr>
          <w:p w14:paraId="41140C1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79,660.45</w:t>
            </w:r>
          </w:p>
        </w:tc>
      </w:tr>
      <w:tr w:rsidR="006B3747" w:rsidRPr="006B3747" w14:paraId="1E0FFC12" w14:textId="77777777" w:rsidTr="006B3747">
        <w:trPr>
          <w:trHeight w:val="42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15B379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Tajikistan</w:t>
            </w:r>
          </w:p>
        </w:tc>
        <w:tc>
          <w:tcPr>
            <w:tcW w:w="4140" w:type="dxa"/>
            <w:tcBorders>
              <w:top w:val="nil"/>
              <w:left w:val="nil"/>
              <w:bottom w:val="single" w:sz="4" w:space="0" w:color="auto"/>
              <w:right w:val="single" w:sz="4" w:space="0" w:color="auto"/>
            </w:tcBorders>
            <w:shd w:val="clear" w:color="000000" w:fill="FFFFFF"/>
            <w:vAlign w:val="center"/>
            <w:hideMark/>
          </w:tcPr>
          <w:p w14:paraId="036FEF0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Communication Service under the Government of the Republic of Tajikistan</w:t>
            </w:r>
          </w:p>
        </w:tc>
        <w:tc>
          <w:tcPr>
            <w:tcW w:w="960" w:type="dxa"/>
            <w:tcBorders>
              <w:top w:val="nil"/>
              <w:left w:val="nil"/>
              <w:bottom w:val="single" w:sz="4" w:space="0" w:color="auto"/>
              <w:right w:val="single" w:sz="4" w:space="0" w:color="auto"/>
            </w:tcBorders>
            <w:shd w:val="clear" w:color="000000" w:fill="FFFFFF"/>
            <w:noWrap/>
            <w:vAlign w:val="center"/>
            <w:hideMark/>
          </w:tcPr>
          <w:p w14:paraId="783287B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2011</w:t>
            </w:r>
          </w:p>
        </w:tc>
        <w:tc>
          <w:tcPr>
            <w:tcW w:w="1120" w:type="dxa"/>
            <w:tcBorders>
              <w:top w:val="nil"/>
              <w:left w:val="nil"/>
              <w:bottom w:val="single" w:sz="4" w:space="0" w:color="auto"/>
              <w:right w:val="single" w:sz="4" w:space="0" w:color="auto"/>
            </w:tcBorders>
            <w:shd w:val="clear" w:color="000000" w:fill="FFFFFF"/>
            <w:noWrap/>
            <w:vAlign w:val="center"/>
            <w:hideMark/>
          </w:tcPr>
          <w:p w14:paraId="458E121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vAlign w:val="center"/>
            <w:hideMark/>
          </w:tcPr>
          <w:p w14:paraId="76599BB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511,822.30</w:t>
            </w:r>
          </w:p>
        </w:tc>
        <w:tc>
          <w:tcPr>
            <w:tcW w:w="1220" w:type="dxa"/>
            <w:tcBorders>
              <w:top w:val="nil"/>
              <w:left w:val="nil"/>
              <w:bottom w:val="single" w:sz="4" w:space="0" w:color="auto"/>
              <w:right w:val="single" w:sz="8" w:space="0" w:color="auto"/>
            </w:tcBorders>
            <w:shd w:val="clear" w:color="000000" w:fill="FFFFFF"/>
            <w:noWrap/>
            <w:vAlign w:val="center"/>
            <w:hideMark/>
          </w:tcPr>
          <w:p w14:paraId="66B738E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511,822.30</w:t>
            </w:r>
          </w:p>
        </w:tc>
      </w:tr>
      <w:tr w:rsidR="006B3747" w:rsidRPr="006B3747" w14:paraId="0A8844B3" w14:textId="77777777" w:rsidTr="006B3747">
        <w:trPr>
          <w:trHeight w:val="300"/>
        </w:trPr>
        <w:tc>
          <w:tcPr>
            <w:tcW w:w="634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4610C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eastAsia="en-GB"/>
              </w:rPr>
            </w:pPr>
            <w:r w:rsidRPr="006B3747">
              <w:rPr>
                <w:rFonts w:cs="Calibri"/>
                <w:b/>
                <w:bCs/>
                <w:i/>
                <w:iCs/>
                <w:sz w:val="16"/>
                <w:szCs w:val="16"/>
                <w:lang w:eastAsia="en-GB"/>
              </w:rPr>
              <w:t>Sub-total 3.2</w:t>
            </w:r>
          </w:p>
        </w:tc>
        <w:tc>
          <w:tcPr>
            <w:tcW w:w="1120" w:type="dxa"/>
            <w:tcBorders>
              <w:top w:val="nil"/>
              <w:left w:val="nil"/>
              <w:bottom w:val="single" w:sz="4" w:space="0" w:color="auto"/>
              <w:right w:val="single" w:sz="4" w:space="0" w:color="auto"/>
            </w:tcBorders>
            <w:shd w:val="clear" w:color="auto" w:fill="auto"/>
            <w:noWrap/>
            <w:vAlign w:val="center"/>
            <w:hideMark/>
          </w:tcPr>
          <w:p w14:paraId="28FFBFF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7674871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591,482.75</w:t>
            </w:r>
          </w:p>
        </w:tc>
        <w:tc>
          <w:tcPr>
            <w:tcW w:w="1220" w:type="dxa"/>
            <w:tcBorders>
              <w:top w:val="nil"/>
              <w:left w:val="nil"/>
              <w:bottom w:val="single" w:sz="4" w:space="0" w:color="auto"/>
              <w:right w:val="single" w:sz="8" w:space="0" w:color="auto"/>
            </w:tcBorders>
            <w:shd w:val="clear" w:color="auto" w:fill="auto"/>
            <w:noWrap/>
            <w:vAlign w:val="center"/>
            <w:hideMark/>
          </w:tcPr>
          <w:p w14:paraId="6F6ED90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591,482.75</w:t>
            </w:r>
          </w:p>
        </w:tc>
      </w:tr>
      <w:tr w:rsidR="006B3747" w:rsidRPr="006B3747" w14:paraId="47A44E7F" w14:textId="77777777" w:rsidTr="006B3747">
        <w:trPr>
          <w:trHeight w:val="30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8C03D3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Algeria</w:t>
            </w:r>
          </w:p>
        </w:tc>
        <w:tc>
          <w:tcPr>
            <w:tcW w:w="4140" w:type="dxa"/>
            <w:tcBorders>
              <w:top w:val="nil"/>
              <w:left w:val="nil"/>
              <w:bottom w:val="single" w:sz="4" w:space="0" w:color="auto"/>
              <w:right w:val="single" w:sz="4" w:space="0" w:color="auto"/>
            </w:tcBorders>
            <w:shd w:val="clear" w:color="000000" w:fill="FFFFFF"/>
            <w:vAlign w:val="center"/>
            <w:hideMark/>
          </w:tcPr>
          <w:p w14:paraId="71F8B3E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en-GB"/>
              </w:rPr>
            </w:pPr>
            <w:proofErr w:type="spellStart"/>
            <w:r w:rsidRPr="006B3747">
              <w:rPr>
                <w:rFonts w:cs="Calibri"/>
                <w:sz w:val="16"/>
                <w:szCs w:val="16"/>
                <w:lang w:val="es-ES" w:eastAsia="en-GB"/>
              </w:rPr>
              <w:t>Wataniya</w:t>
            </w:r>
            <w:proofErr w:type="spellEnd"/>
            <w:r w:rsidRPr="006B3747">
              <w:rPr>
                <w:rFonts w:cs="Calibri"/>
                <w:sz w:val="16"/>
                <w:szCs w:val="16"/>
                <w:lang w:val="es-ES" w:eastAsia="en-GB"/>
              </w:rPr>
              <w:t xml:space="preserve"> Telecom </w:t>
            </w:r>
            <w:proofErr w:type="spellStart"/>
            <w:r w:rsidRPr="006B3747">
              <w:rPr>
                <w:rFonts w:cs="Calibri"/>
                <w:sz w:val="16"/>
                <w:szCs w:val="16"/>
                <w:lang w:val="es-ES" w:eastAsia="en-GB"/>
              </w:rPr>
              <w:t>Algérie</w:t>
            </w:r>
            <w:proofErr w:type="spellEnd"/>
            <w:r w:rsidRPr="006B3747">
              <w:rPr>
                <w:rFonts w:cs="Calibri"/>
                <w:sz w:val="16"/>
                <w:szCs w:val="16"/>
                <w:lang w:val="es-ES" w:eastAsia="en-GB"/>
              </w:rPr>
              <w:t xml:space="preserve"> Spa, Alger</w:t>
            </w:r>
          </w:p>
        </w:tc>
        <w:tc>
          <w:tcPr>
            <w:tcW w:w="960" w:type="dxa"/>
            <w:tcBorders>
              <w:top w:val="nil"/>
              <w:left w:val="nil"/>
              <w:bottom w:val="single" w:sz="4" w:space="0" w:color="auto"/>
              <w:right w:val="single" w:sz="4" w:space="0" w:color="auto"/>
            </w:tcBorders>
            <w:shd w:val="clear" w:color="000000" w:fill="FFFFFF"/>
            <w:vAlign w:val="center"/>
            <w:hideMark/>
          </w:tcPr>
          <w:p w14:paraId="6D199D3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0AB16F7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540F223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4,947.90</w:t>
            </w:r>
          </w:p>
        </w:tc>
        <w:tc>
          <w:tcPr>
            <w:tcW w:w="1220" w:type="dxa"/>
            <w:tcBorders>
              <w:top w:val="nil"/>
              <w:left w:val="nil"/>
              <w:bottom w:val="single" w:sz="4" w:space="0" w:color="auto"/>
              <w:right w:val="single" w:sz="8" w:space="0" w:color="auto"/>
            </w:tcBorders>
            <w:shd w:val="clear" w:color="000000" w:fill="FFFFFF"/>
            <w:vAlign w:val="center"/>
            <w:hideMark/>
          </w:tcPr>
          <w:p w14:paraId="63A18CD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8,922.90</w:t>
            </w:r>
          </w:p>
        </w:tc>
      </w:tr>
      <w:tr w:rsidR="006B3747" w:rsidRPr="006B3747" w14:paraId="6897F3E4" w14:textId="77777777" w:rsidTr="006B3747">
        <w:trPr>
          <w:trHeight w:val="300"/>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56441C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Egypt</w:t>
            </w:r>
          </w:p>
        </w:tc>
        <w:tc>
          <w:tcPr>
            <w:tcW w:w="4140" w:type="dxa"/>
            <w:tcBorders>
              <w:top w:val="nil"/>
              <w:left w:val="nil"/>
              <w:bottom w:val="single" w:sz="4" w:space="0" w:color="auto"/>
              <w:right w:val="single" w:sz="4" w:space="0" w:color="auto"/>
            </w:tcBorders>
            <w:shd w:val="clear" w:color="000000" w:fill="FFFFFF"/>
            <w:vAlign w:val="center"/>
            <w:hideMark/>
          </w:tcPr>
          <w:p w14:paraId="723CD28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LINKdotNET</w:t>
            </w:r>
            <w:proofErr w:type="spellEnd"/>
            <w:r w:rsidRPr="006B3747">
              <w:rPr>
                <w:rFonts w:cs="Calibri"/>
                <w:sz w:val="16"/>
                <w:szCs w:val="16"/>
                <w:lang w:eastAsia="en-GB"/>
              </w:rPr>
              <w:t>, Cairo</w:t>
            </w:r>
          </w:p>
        </w:tc>
        <w:tc>
          <w:tcPr>
            <w:tcW w:w="960" w:type="dxa"/>
            <w:tcBorders>
              <w:top w:val="nil"/>
              <w:left w:val="nil"/>
              <w:bottom w:val="single" w:sz="4" w:space="0" w:color="auto"/>
              <w:right w:val="single" w:sz="4" w:space="0" w:color="auto"/>
            </w:tcBorders>
            <w:shd w:val="clear" w:color="000000" w:fill="FFFFFF"/>
            <w:vAlign w:val="center"/>
            <w:hideMark/>
          </w:tcPr>
          <w:p w14:paraId="226641D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47F8AE0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2A39CD2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3,975.65</w:t>
            </w:r>
          </w:p>
        </w:tc>
        <w:tc>
          <w:tcPr>
            <w:tcW w:w="1220" w:type="dxa"/>
            <w:tcBorders>
              <w:top w:val="nil"/>
              <w:left w:val="nil"/>
              <w:bottom w:val="single" w:sz="4" w:space="0" w:color="auto"/>
              <w:right w:val="single" w:sz="8" w:space="0" w:color="auto"/>
            </w:tcBorders>
            <w:shd w:val="clear" w:color="000000" w:fill="FFFFFF"/>
            <w:vAlign w:val="center"/>
            <w:hideMark/>
          </w:tcPr>
          <w:p w14:paraId="067F9C3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7,950.65</w:t>
            </w:r>
          </w:p>
        </w:tc>
      </w:tr>
      <w:tr w:rsidR="006B3747" w:rsidRPr="006B3747" w14:paraId="76FA9605" w14:textId="77777777" w:rsidTr="006B3747">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87467D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Egypt</w:t>
            </w:r>
          </w:p>
        </w:tc>
        <w:tc>
          <w:tcPr>
            <w:tcW w:w="4140" w:type="dxa"/>
            <w:tcBorders>
              <w:top w:val="nil"/>
              <w:left w:val="nil"/>
              <w:bottom w:val="single" w:sz="4" w:space="0" w:color="auto"/>
              <w:right w:val="single" w:sz="4" w:space="0" w:color="auto"/>
            </w:tcBorders>
            <w:shd w:val="clear" w:color="000000" w:fill="FFFFFF"/>
            <w:vAlign w:val="center"/>
            <w:hideMark/>
          </w:tcPr>
          <w:p w14:paraId="14C0802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Trade Fairs International, Cairo</w:t>
            </w:r>
          </w:p>
        </w:tc>
        <w:tc>
          <w:tcPr>
            <w:tcW w:w="960" w:type="dxa"/>
            <w:tcBorders>
              <w:top w:val="nil"/>
              <w:left w:val="nil"/>
              <w:bottom w:val="single" w:sz="4" w:space="0" w:color="auto"/>
              <w:right w:val="single" w:sz="4" w:space="0" w:color="auto"/>
            </w:tcBorders>
            <w:shd w:val="clear" w:color="000000" w:fill="FFFFFF"/>
            <w:vAlign w:val="center"/>
            <w:hideMark/>
          </w:tcPr>
          <w:p w14:paraId="3801BC0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2000-2006</w:t>
            </w:r>
          </w:p>
        </w:tc>
        <w:tc>
          <w:tcPr>
            <w:tcW w:w="1120" w:type="dxa"/>
            <w:tcBorders>
              <w:top w:val="nil"/>
              <w:left w:val="nil"/>
              <w:bottom w:val="single" w:sz="4" w:space="0" w:color="auto"/>
              <w:right w:val="single" w:sz="4" w:space="0" w:color="auto"/>
            </w:tcBorders>
            <w:shd w:val="clear" w:color="000000" w:fill="FFFFFF"/>
            <w:vAlign w:val="center"/>
            <w:hideMark/>
          </w:tcPr>
          <w:p w14:paraId="35971A2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24,975.00</w:t>
            </w:r>
          </w:p>
        </w:tc>
        <w:tc>
          <w:tcPr>
            <w:tcW w:w="1140" w:type="dxa"/>
            <w:tcBorders>
              <w:top w:val="nil"/>
              <w:left w:val="nil"/>
              <w:bottom w:val="single" w:sz="4" w:space="0" w:color="auto"/>
              <w:right w:val="single" w:sz="4" w:space="0" w:color="auto"/>
            </w:tcBorders>
            <w:shd w:val="clear" w:color="000000" w:fill="FFFFFF"/>
            <w:vAlign w:val="center"/>
            <w:hideMark/>
          </w:tcPr>
          <w:p w14:paraId="00D4350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43,624.90</w:t>
            </w:r>
          </w:p>
        </w:tc>
        <w:tc>
          <w:tcPr>
            <w:tcW w:w="1220" w:type="dxa"/>
            <w:tcBorders>
              <w:top w:val="nil"/>
              <w:left w:val="nil"/>
              <w:bottom w:val="single" w:sz="4" w:space="0" w:color="auto"/>
              <w:right w:val="single" w:sz="8" w:space="0" w:color="auto"/>
            </w:tcBorders>
            <w:shd w:val="clear" w:color="000000" w:fill="FFFFFF"/>
            <w:vAlign w:val="center"/>
            <w:hideMark/>
          </w:tcPr>
          <w:p w14:paraId="6803DB2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68,599.90</w:t>
            </w:r>
          </w:p>
        </w:tc>
      </w:tr>
      <w:tr w:rsidR="006B3747" w:rsidRPr="006B3747" w14:paraId="36B38854" w14:textId="77777777" w:rsidTr="006B3747">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65A2DF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vAlign w:val="center"/>
            <w:hideMark/>
          </w:tcPr>
          <w:p w14:paraId="4CA2F33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TCIL, New Delhi</w:t>
            </w:r>
          </w:p>
        </w:tc>
        <w:tc>
          <w:tcPr>
            <w:tcW w:w="960" w:type="dxa"/>
            <w:tcBorders>
              <w:top w:val="nil"/>
              <w:left w:val="nil"/>
              <w:bottom w:val="single" w:sz="4" w:space="0" w:color="auto"/>
              <w:right w:val="single" w:sz="4" w:space="0" w:color="auto"/>
            </w:tcBorders>
            <w:shd w:val="clear" w:color="000000" w:fill="FFFFFF"/>
            <w:vAlign w:val="center"/>
            <w:hideMark/>
          </w:tcPr>
          <w:p w14:paraId="225A4B1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2006-2007</w:t>
            </w:r>
          </w:p>
        </w:tc>
        <w:tc>
          <w:tcPr>
            <w:tcW w:w="1120" w:type="dxa"/>
            <w:tcBorders>
              <w:top w:val="nil"/>
              <w:left w:val="nil"/>
              <w:bottom w:val="single" w:sz="4" w:space="0" w:color="auto"/>
              <w:right w:val="single" w:sz="4" w:space="0" w:color="auto"/>
            </w:tcBorders>
            <w:shd w:val="clear" w:color="000000" w:fill="FFFFFF"/>
            <w:vAlign w:val="center"/>
            <w:hideMark/>
          </w:tcPr>
          <w:p w14:paraId="7CFEB83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63,600.00</w:t>
            </w:r>
          </w:p>
        </w:tc>
        <w:tc>
          <w:tcPr>
            <w:tcW w:w="1140" w:type="dxa"/>
            <w:tcBorders>
              <w:top w:val="nil"/>
              <w:left w:val="nil"/>
              <w:bottom w:val="single" w:sz="4" w:space="0" w:color="auto"/>
              <w:right w:val="single" w:sz="4" w:space="0" w:color="auto"/>
            </w:tcBorders>
            <w:shd w:val="clear" w:color="000000" w:fill="FFFFFF"/>
            <w:vAlign w:val="center"/>
            <w:hideMark/>
          </w:tcPr>
          <w:p w14:paraId="52ED3B0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81,363.35</w:t>
            </w:r>
          </w:p>
        </w:tc>
        <w:tc>
          <w:tcPr>
            <w:tcW w:w="1220" w:type="dxa"/>
            <w:tcBorders>
              <w:top w:val="nil"/>
              <w:left w:val="nil"/>
              <w:bottom w:val="single" w:sz="4" w:space="0" w:color="auto"/>
              <w:right w:val="single" w:sz="8" w:space="0" w:color="auto"/>
            </w:tcBorders>
            <w:shd w:val="clear" w:color="000000" w:fill="FFFFFF"/>
            <w:vAlign w:val="center"/>
            <w:hideMark/>
          </w:tcPr>
          <w:p w14:paraId="71FDF52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144,963.35</w:t>
            </w:r>
          </w:p>
        </w:tc>
      </w:tr>
      <w:tr w:rsidR="006B3747" w:rsidRPr="006B3747" w14:paraId="0856F2D4" w14:textId="77777777" w:rsidTr="006B3747">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081D55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Italy</w:t>
            </w:r>
          </w:p>
        </w:tc>
        <w:tc>
          <w:tcPr>
            <w:tcW w:w="4140" w:type="dxa"/>
            <w:tcBorders>
              <w:top w:val="nil"/>
              <w:left w:val="nil"/>
              <w:bottom w:val="single" w:sz="4" w:space="0" w:color="auto"/>
              <w:right w:val="single" w:sz="4" w:space="0" w:color="auto"/>
            </w:tcBorders>
            <w:shd w:val="clear" w:color="000000" w:fill="FFFFFF"/>
            <w:vAlign w:val="center"/>
            <w:hideMark/>
          </w:tcPr>
          <w:p w14:paraId="2FE2F1E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Aethra </w:t>
            </w:r>
            <w:proofErr w:type="spellStart"/>
            <w:r w:rsidRPr="006B3747">
              <w:rPr>
                <w:rFonts w:cs="Calibri"/>
                <w:sz w:val="16"/>
                <w:szCs w:val="16"/>
                <w:lang w:eastAsia="en-GB"/>
              </w:rPr>
              <w:t>srl</w:t>
            </w:r>
            <w:proofErr w:type="spellEnd"/>
            <w:r w:rsidRPr="006B3747">
              <w:rPr>
                <w:rFonts w:cs="Calibri"/>
                <w:sz w:val="16"/>
                <w:szCs w:val="16"/>
                <w:lang w:eastAsia="en-GB"/>
              </w:rPr>
              <w:t>, Ancona</w:t>
            </w:r>
          </w:p>
        </w:tc>
        <w:tc>
          <w:tcPr>
            <w:tcW w:w="960" w:type="dxa"/>
            <w:tcBorders>
              <w:top w:val="nil"/>
              <w:left w:val="nil"/>
              <w:bottom w:val="single" w:sz="4" w:space="0" w:color="auto"/>
              <w:right w:val="single" w:sz="4" w:space="0" w:color="auto"/>
            </w:tcBorders>
            <w:shd w:val="clear" w:color="000000" w:fill="FFFFFF"/>
            <w:vAlign w:val="center"/>
            <w:hideMark/>
          </w:tcPr>
          <w:p w14:paraId="30670FB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vAlign w:val="center"/>
            <w:hideMark/>
          </w:tcPr>
          <w:p w14:paraId="7CD2054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31,800.00</w:t>
            </w:r>
          </w:p>
        </w:tc>
        <w:tc>
          <w:tcPr>
            <w:tcW w:w="1140" w:type="dxa"/>
            <w:tcBorders>
              <w:top w:val="nil"/>
              <w:left w:val="nil"/>
              <w:bottom w:val="single" w:sz="4" w:space="0" w:color="auto"/>
              <w:right w:val="single" w:sz="4" w:space="0" w:color="auto"/>
            </w:tcBorders>
            <w:shd w:val="clear" w:color="000000" w:fill="FFFFFF"/>
            <w:vAlign w:val="center"/>
            <w:hideMark/>
          </w:tcPr>
          <w:p w14:paraId="2020E73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3,476.45</w:t>
            </w:r>
          </w:p>
        </w:tc>
        <w:tc>
          <w:tcPr>
            <w:tcW w:w="1220" w:type="dxa"/>
            <w:tcBorders>
              <w:top w:val="nil"/>
              <w:left w:val="nil"/>
              <w:bottom w:val="single" w:sz="4" w:space="0" w:color="auto"/>
              <w:right w:val="single" w:sz="8" w:space="0" w:color="auto"/>
            </w:tcBorders>
            <w:shd w:val="clear" w:color="000000" w:fill="FFFFFF"/>
            <w:vAlign w:val="center"/>
            <w:hideMark/>
          </w:tcPr>
          <w:p w14:paraId="2953A11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35,276.45</w:t>
            </w:r>
          </w:p>
        </w:tc>
      </w:tr>
      <w:tr w:rsidR="006B3747" w:rsidRPr="006B3747" w14:paraId="5D0A8F82" w14:textId="77777777" w:rsidTr="006B3747">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AAE66D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Kazakhstan</w:t>
            </w:r>
          </w:p>
        </w:tc>
        <w:tc>
          <w:tcPr>
            <w:tcW w:w="4140" w:type="dxa"/>
            <w:tcBorders>
              <w:top w:val="nil"/>
              <w:left w:val="nil"/>
              <w:bottom w:val="single" w:sz="4" w:space="0" w:color="auto"/>
              <w:right w:val="single" w:sz="4" w:space="0" w:color="auto"/>
            </w:tcBorders>
            <w:shd w:val="clear" w:color="000000" w:fill="FFFFFF"/>
            <w:vAlign w:val="center"/>
            <w:hideMark/>
          </w:tcPr>
          <w:p w14:paraId="5FAC05F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Kazakh Academy of Trans. &amp; Comm., Almaty</w:t>
            </w:r>
          </w:p>
        </w:tc>
        <w:tc>
          <w:tcPr>
            <w:tcW w:w="960" w:type="dxa"/>
            <w:tcBorders>
              <w:top w:val="nil"/>
              <w:left w:val="nil"/>
              <w:bottom w:val="single" w:sz="4" w:space="0" w:color="auto"/>
              <w:right w:val="single" w:sz="4" w:space="0" w:color="auto"/>
            </w:tcBorders>
            <w:shd w:val="clear" w:color="000000" w:fill="FFFFFF"/>
            <w:vAlign w:val="center"/>
            <w:hideMark/>
          </w:tcPr>
          <w:p w14:paraId="656CE57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1DABC3D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4,306.25</w:t>
            </w:r>
          </w:p>
        </w:tc>
        <w:tc>
          <w:tcPr>
            <w:tcW w:w="1140" w:type="dxa"/>
            <w:tcBorders>
              <w:top w:val="nil"/>
              <w:left w:val="nil"/>
              <w:bottom w:val="single" w:sz="4" w:space="0" w:color="auto"/>
              <w:right w:val="single" w:sz="4" w:space="0" w:color="auto"/>
            </w:tcBorders>
            <w:shd w:val="clear" w:color="000000" w:fill="FFFFFF"/>
            <w:vAlign w:val="center"/>
            <w:hideMark/>
          </w:tcPr>
          <w:p w14:paraId="618434F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4,231.40</w:t>
            </w:r>
          </w:p>
        </w:tc>
        <w:tc>
          <w:tcPr>
            <w:tcW w:w="1220" w:type="dxa"/>
            <w:tcBorders>
              <w:top w:val="nil"/>
              <w:left w:val="nil"/>
              <w:bottom w:val="single" w:sz="4" w:space="0" w:color="auto"/>
              <w:right w:val="single" w:sz="8" w:space="0" w:color="auto"/>
            </w:tcBorders>
            <w:shd w:val="clear" w:color="000000" w:fill="FFFFFF"/>
            <w:vAlign w:val="center"/>
            <w:hideMark/>
          </w:tcPr>
          <w:p w14:paraId="27F0D43A"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8,537.65</w:t>
            </w:r>
          </w:p>
        </w:tc>
      </w:tr>
      <w:tr w:rsidR="006B3747" w:rsidRPr="006B3747" w14:paraId="62860C45" w14:textId="77777777" w:rsidTr="006B3747">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930514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Kuwait</w:t>
            </w:r>
          </w:p>
        </w:tc>
        <w:tc>
          <w:tcPr>
            <w:tcW w:w="4140" w:type="dxa"/>
            <w:tcBorders>
              <w:top w:val="nil"/>
              <w:left w:val="nil"/>
              <w:bottom w:val="single" w:sz="4" w:space="0" w:color="auto"/>
              <w:right w:val="single" w:sz="4" w:space="0" w:color="auto"/>
            </w:tcBorders>
            <w:shd w:val="clear" w:color="000000" w:fill="FFFFFF"/>
            <w:vAlign w:val="center"/>
            <w:hideMark/>
          </w:tcPr>
          <w:p w14:paraId="4DAB15F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The Arabian Business Franchise, </w:t>
            </w:r>
            <w:proofErr w:type="spellStart"/>
            <w:r w:rsidRPr="006B3747">
              <w:rPr>
                <w:rFonts w:cs="Calibri"/>
                <w:sz w:val="16"/>
                <w:szCs w:val="16"/>
                <w:lang w:eastAsia="en-GB"/>
              </w:rPr>
              <w:t>Hawalli</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14:paraId="37758FD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2006-2007</w:t>
            </w:r>
          </w:p>
        </w:tc>
        <w:tc>
          <w:tcPr>
            <w:tcW w:w="1120" w:type="dxa"/>
            <w:tcBorders>
              <w:top w:val="nil"/>
              <w:left w:val="nil"/>
              <w:bottom w:val="single" w:sz="4" w:space="0" w:color="auto"/>
              <w:right w:val="single" w:sz="4" w:space="0" w:color="auto"/>
            </w:tcBorders>
            <w:shd w:val="clear" w:color="000000" w:fill="FFFFFF"/>
            <w:vAlign w:val="center"/>
            <w:hideMark/>
          </w:tcPr>
          <w:p w14:paraId="341C54B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7,950.00</w:t>
            </w:r>
          </w:p>
        </w:tc>
        <w:tc>
          <w:tcPr>
            <w:tcW w:w="1140" w:type="dxa"/>
            <w:tcBorders>
              <w:top w:val="nil"/>
              <w:left w:val="nil"/>
              <w:bottom w:val="single" w:sz="4" w:space="0" w:color="auto"/>
              <w:right w:val="single" w:sz="4" w:space="0" w:color="auto"/>
            </w:tcBorders>
            <w:shd w:val="clear" w:color="000000" w:fill="FFFFFF"/>
            <w:vAlign w:val="center"/>
            <w:hideMark/>
          </w:tcPr>
          <w:p w14:paraId="3DEBDFD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10,170.60</w:t>
            </w:r>
          </w:p>
        </w:tc>
        <w:tc>
          <w:tcPr>
            <w:tcW w:w="1220" w:type="dxa"/>
            <w:tcBorders>
              <w:top w:val="nil"/>
              <w:left w:val="nil"/>
              <w:bottom w:val="single" w:sz="4" w:space="0" w:color="auto"/>
              <w:right w:val="single" w:sz="8" w:space="0" w:color="auto"/>
            </w:tcBorders>
            <w:shd w:val="clear" w:color="000000" w:fill="FFFFFF"/>
            <w:vAlign w:val="center"/>
            <w:hideMark/>
          </w:tcPr>
          <w:p w14:paraId="1CF79E7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18,120.60</w:t>
            </w:r>
          </w:p>
        </w:tc>
      </w:tr>
      <w:tr w:rsidR="006B3747" w:rsidRPr="006B3747" w14:paraId="4566B987"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B91AE4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Lebanon</w:t>
            </w:r>
          </w:p>
        </w:tc>
        <w:tc>
          <w:tcPr>
            <w:tcW w:w="4140" w:type="dxa"/>
            <w:tcBorders>
              <w:top w:val="nil"/>
              <w:left w:val="nil"/>
              <w:bottom w:val="single" w:sz="4" w:space="0" w:color="auto"/>
              <w:right w:val="single" w:sz="4" w:space="0" w:color="auto"/>
            </w:tcBorders>
            <w:shd w:val="clear" w:color="000000" w:fill="FFFFFF"/>
            <w:vAlign w:val="center"/>
            <w:hideMark/>
          </w:tcPr>
          <w:p w14:paraId="2ED6986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Arabcom</w:t>
            </w:r>
            <w:proofErr w:type="spellEnd"/>
            <w:r w:rsidRPr="006B3747">
              <w:rPr>
                <w:rFonts w:cs="Calibri"/>
                <w:sz w:val="16"/>
                <w:szCs w:val="16"/>
                <w:lang w:eastAsia="en-GB"/>
              </w:rPr>
              <w:t xml:space="preserve"> </w:t>
            </w:r>
            <w:proofErr w:type="spellStart"/>
            <w:r w:rsidRPr="006B3747">
              <w:rPr>
                <w:rFonts w:cs="Calibri"/>
                <w:sz w:val="16"/>
                <w:szCs w:val="16"/>
                <w:lang w:eastAsia="en-GB"/>
              </w:rPr>
              <w:t>Hitek</w:t>
            </w:r>
            <w:proofErr w:type="spellEnd"/>
            <w:r w:rsidRPr="006B3747">
              <w:rPr>
                <w:rFonts w:cs="Calibri"/>
                <w:sz w:val="16"/>
                <w:szCs w:val="16"/>
                <w:lang w:eastAsia="en-GB"/>
              </w:rPr>
              <w:t>, Beirut</w:t>
            </w:r>
          </w:p>
        </w:tc>
        <w:tc>
          <w:tcPr>
            <w:tcW w:w="960" w:type="dxa"/>
            <w:tcBorders>
              <w:top w:val="nil"/>
              <w:left w:val="nil"/>
              <w:bottom w:val="single" w:sz="4" w:space="0" w:color="auto"/>
              <w:right w:val="single" w:sz="4" w:space="0" w:color="auto"/>
            </w:tcBorders>
            <w:shd w:val="clear" w:color="000000" w:fill="FFFFFF"/>
            <w:vAlign w:val="center"/>
            <w:hideMark/>
          </w:tcPr>
          <w:p w14:paraId="79A1885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2001-2006</w:t>
            </w:r>
          </w:p>
        </w:tc>
        <w:tc>
          <w:tcPr>
            <w:tcW w:w="1120" w:type="dxa"/>
            <w:tcBorders>
              <w:top w:val="nil"/>
              <w:left w:val="nil"/>
              <w:bottom w:val="single" w:sz="4" w:space="0" w:color="auto"/>
              <w:right w:val="single" w:sz="4" w:space="0" w:color="auto"/>
            </w:tcBorders>
            <w:shd w:val="clear" w:color="000000" w:fill="FFFFFF"/>
            <w:vAlign w:val="center"/>
            <w:hideMark/>
          </w:tcPr>
          <w:p w14:paraId="44F9A65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23,662.50</w:t>
            </w:r>
          </w:p>
        </w:tc>
        <w:tc>
          <w:tcPr>
            <w:tcW w:w="1140" w:type="dxa"/>
            <w:tcBorders>
              <w:top w:val="nil"/>
              <w:left w:val="nil"/>
              <w:bottom w:val="single" w:sz="4" w:space="0" w:color="auto"/>
              <w:right w:val="single" w:sz="4" w:space="0" w:color="auto"/>
            </w:tcBorders>
            <w:shd w:val="clear" w:color="000000" w:fill="FFFFFF"/>
            <w:vAlign w:val="center"/>
            <w:hideMark/>
          </w:tcPr>
          <w:p w14:paraId="38700F6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40,770.85</w:t>
            </w:r>
          </w:p>
        </w:tc>
        <w:tc>
          <w:tcPr>
            <w:tcW w:w="1220" w:type="dxa"/>
            <w:tcBorders>
              <w:top w:val="nil"/>
              <w:left w:val="nil"/>
              <w:bottom w:val="single" w:sz="4" w:space="0" w:color="auto"/>
              <w:right w:val="single" w:sz="8" w:space="0" w:color="auto"/>
            </w:tcBorders>
            <w:shd w:val="clear" w:color="000000" w:fill="FFFFFF"/>
            <w:vAlign w:val="center"/>
            <w:hideMark/>
          </w:tcPr>
          <w:p w14:paraId="3E0AF50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64,433.35</w:t>
            </w:r>
          </w:p>
        </w:tc>
      </w:tr>
      <w:tr w:rsidR="006B3747" w:rsidRPr="006B3747" w14:paraId="40083DB1"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0E83B6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Lebanon</w:t>
            </w:r>
          </w:p>
        </w:tc>
        <w:tc>
          <w:tcPr>
            <w:tcW w:w="4140" w:type="dxa"/>
            <w:tcBorders>
              <w:top w:val="nil"/>
              <w:left w:val="nil"/>
              <w:bottom w:val="single" w:sz="4" w:space="0" w:color="auto"/>
              <w:right w:val="single" w:sz="4" w:space="0" w:color="auto"/>
            </w:tcBorders>
            <w:shd w:val="clear" w:color="000000" w:fill="FFFFFF"/>
            <w:vAlign w:val="center"/>
            <w:hideMark/>
          </w:tcPr>
          <w:p w14:paraId="383C6DB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ExiCon</w:t>
            </w:r>
            <w:proofErr w:type="spellEnd"/>
            <w:r w:rsidRPr="006B3747">
              <w:rPr>
                <w:rFonts w:cs="Calibri"/>
                <w:sz w:val="16"/>
                <w:szCs w:val="16"/>
                <w:lang w:eastAsia="en-GB"/>
              </w:rPr>
              <w:t xml:space="preserve"> International Group, Beirut</w:t>
            </w:r>
          </w:p>
        </w:tc>
        <w:tc>
          <w:tcPr>
            <w:tcW w:w="960" w:type="dxa"/>
            <w:tcBorders>
              <w:top w:val="nil"/>
              <w:left w:val="nil"/>
              <w:bottom w:val="single" w:sz="4" w:space="0" w:color="auto"/>
              <w:right w:val="single" w:sz="4" w:space="0" w:color="auto"/>
            </w:tcBorders>
            <w:shd w:val="clear" w:color="000000" w:fill="FFFFFF"/>
            <w:vAlign w:val="center"/>
            <w:hideMark/>
          </w:tcPr>
          <w:p w14:paraId="014A946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2010-2011</w:t>
            </w:r>
          </w:p>
        </w:tc>
        <w:tc>
          <w:tcPr>
            <w:tcW w:w="1120" w:type="dxa"/>
            <w:tcBorders>
              <w:top w:val="nil"/>
              <w:left w:val="nil"/>
              <w:bottom w:val="single" w:sz="4" w:space="0" w:color="auto"/>
              <w:right w:val="single" w:sz="4" w:space="0" w:color="auto"/>
            </w:tcBorders>
            <w:shd w:val="clear" w:color="000000" w:fill="FFFFFF"/>
            <w:vAlign w:val="center"/>
            <w:hideMark/>
          </w:tcPr>
          <w:p w14:paraId="252CC5E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41B02FF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3,028.10</w:t>
            </w:r>
          </w:p>
        </w:tc>
        <w:tc>
          <w:tcPr>
            <w:tcW w:w="1220" w:type="dxa"/>
            <w:tcBorders>
              <w:top w:val="nil"/>
              <w:left w:val="nil"/>
              <w:bottom w:val="single" w:sz="4" w:space="0" w:color="auto"/>
              <w:right w:val="single" w:sz="8" w:space="0" w:color="auto"/>
            </w:tcBorders>
            <w:shd w:val="clear" w:color="000000" w:fill="FFFFFF"/>
            <w:vAlign w:val="center"/>
            <w:hideMark/>
          </w:tcPr>
          <w:p w14:paraId="1F2DEDC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7,003.10</w:t>
            </w:r>
          </w:p>
        </w:tc>
      </w:tr>
      <w:tr w:rsidR="006B3747" w:rsidRPr="006B3747" w14:paraId="48EEB078"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7338AF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Lebanon</w:t>
            </w:r>
          </w:p>
        </w:tc>
        <w:tc>
          <w:tcPr>
            <w:tcW w:w="4140" w:type="dxa"/>
            <w:tcBorders>
              <w:top w:val="nil"/>
              <w:left w:val="nil"/>
              <w:bottom w:val="single" w:sz="4" w:space="0" w:color="auto"/>
              <w:right w:val="single" w:sz="4" w:space="0" w:color="auto"/>
            </w:tcBorders>
            <w:shd w:val="clear" w:color="000000" w:fill="FFFFFF"/>
            <w:vAlign w:val="center"/>
            <w:hideMark/>
          </w:tcPr>
          <w:p w14:paraId="2F65F8A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MTN/</w:t>
            </w:r>
            <w:proofErr w:type="spellStart"/>
            <w:r w:rsidRPr="006B3747">
              <w:rPr>
                <w:rFonts w:cs="Calibri"/>
                <w:sz w:val="16"/>
                <w:szCs w:val="16"/>
                <w:lang w:eastAsia="en-GB"/>
              </w:rPr>
              <w:t>Investcom</w:t>
            </w:r>
            <w:proofErr w:type="spellEnd"/>
            <w:r w:rsidRPr="006B3747">
              <w:rPr>
                <w:rFonts w:cs="Calibri"/>
                <w:sz w:val="16"/>
                <w:szCs w:val="16"/>
                <w:lang w:eastAsia="en-GB"/>
              </w:rPr>
              <w:t xml:space="preserve"> LLC, Beirut</w:t>
            </w:r>
          </w:p>
        </w:tc>
        <w:tc>
          <w:tcPr>
            <w:tcW w:w="960" w:type="dxa"/>
            <w:tcBorders>
              <w:top w:val="nil"/>
              <w:left w:val="nil"/>
              <w:bottom w:val="single" w:sz="4" w:space="0" w:color="auto"/>
              <w:right w:val="single" w:sz="4" w:space="0" w:color="auto"/>
            </w:tcBorders>
            <w:shd w:val="clear" w:color="000000" w:fill="FFFFFF"/>
            <w:vAlign w:val="center"/>
            <w:hideMark/>
          </w:tcPr>
          <w:p w14:paraId="7600BB8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15268E2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0328F1F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4,323.50</w:t>
            </w:r>
          </w:p>
        </w:tc>
        <w:tc>
          <w:tcPr>
            <w:tcW w:w="1220" w:type="dxa"/>
            <w:tcBorders>
              <w:top w:val="nil"/>
              <w:left w:val="nil"/>
              <w:bottom w:val="single" w:sz="4" w:space="0" w:color="auto"/>
              <w:right w:val="single" w:sz="8" w:space="0" w:color="auto"/>
            </w:tcBorders>
            <w:shd w:val="clear" w:color="000000" w:fill="FFFFFF"/>
            <w:vAlign w:val="center"/>
            <w:hideMark/>
          </w:tcPr>
          <w:p w14:paraId="54D6A11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8,298.50</w:t>
            </w:r>
          </w:p>
        </w:tc>
      </w:tr>
      <w:tr w:rsidR="006B3747" w:rsidRPr="006B3747" w14:paraId="784AA34C"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7F4D68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Lebanon</w:t>
            </w:r>
          </w:p>
        </w:tc>
        <w:tc>
          <w:tcPr>
            <w:tcW w:w="4140" w:type="dxa"/>
            <w:tcBorders>
              <w:top w:val="nil"/>
              <w:left w:val="nil"/>
              <w:bottom w:val="single" w:sz="4" w:space="0" w:color="auto"/>
              <w:right w:val="single" w:sz="4" w:space="0" w:color="auto"/>
            </w:tcBorders>
            <w:shd w:val="clear" w:color="000000" w:fill="FFFFFF"/>
            <w:vAlign w:val="center"/>
            <w:hideMark/>
          </w:tcPr>
          <w:p w14:paraId="56D66782" w14:textId="6D6B51FD"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Telecommunication Information Technology (TIT)</w:t>
            </w:r>
            <w:r w:rsidR="00935E31">
              <w:rPr>
                <w:rFonts w:cs="Calibri"/>
                <w:sz w:val="16"/>
                <w:szCs w:val="16"/>
                <w:lang w:eastAsia="en-GB"/>
              </w:rPr>
              <w:t>, Beirut</w:t>
            </w:r>
          </w:p>
        </w:tc>
        <w:tc>
          <w:tcPr>
            <w:tcW w:w="960" w:type="dxa"/>
            <w:tcBorders>
              <w:top w:val="nil"/>
              <w:left w:val="nil"/>
              <w:bottom w:val="single" w:sz="4" w:space="0" w:color="auto"/>
              <w:right w:val="single" w:sz="4" w:space="0" w:color="auto"/>
            </w:tcBorders>
            <w:shd w:val="clear" w:color="000000" w:fill="FFFFFF"/>
            <w:vAlign w:val="center"/>
            <w:hideMark/>
          </w:tcPr>
          <w:p w14:paraId="7A4DD31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16A83D0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25,000.00</w:t>
            </w:r>
          </w:p>
        </w:tc>
        <w:tc>
          <w:tcPr>
            <w:tcW w:w="1140" w:type="dxa"/>
            <w:tcBorders>
              <w:top w:val="nil"/>
              <w:left w:val="nil"/>
              <w:bottom w:val="single" w:sz="4" w:space="0" w:color="auto"/>
              <w:right w:val="single" w:sz="4" w:space="0" w:color="auto"/>
            </w:tcBorders>
            <w:shd w:val="clear" w:color="000000" w:fill="FFFFFF"/>
            <w:vAlign w:val="center"/>
            <w:hideMark/>
          </w:tcPr>
          <w:p w14:paraId="4F38F77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25,304.80</w:t>
            </w:r>
          </w:p>
        </w:tc>
        <w:tc>
          <w:tcPr>
            <w:tcW w:w="1220" w:type="dxa"/>
            <w:tcBorders>
              <w:top w:val="nil"/>
              <w:left w:val="nil"/>
              <w:bottom w:val="single" w:sz="4" w:space="0" w:color="auto"/>
              <w:right w:val="single" w:sz="8" w:space="0" w:color="auto"/>
            </w:tcBorders>
            <w:shd w:val="clear" w:color="000000" w:fill="FFFFFF"/>
            <w:vAlign w:val="center"/>
            <w:hideMark/>
          </w:tcPr>
          <w:p w14:paraId="5779D76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50,304.80</w:t>
            </w:r>
          </w:p>
        </w:tc>
      </w:tr>
      <w:tr w:rsidR="006B3747" w:rsidRPr="006B3747" w14:paraId="0B9FF766"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267A2FA"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Liberia</w:t>
            </w:r>
          </w:p>
        </w:tc>
        <w:tc>
          <w:tcPr>
            <w:tcW w:w="4140" w:type="dxa"/>
            <w:tcBorders>
              <w:top w:val="nil"/>
              <w:left w:val="nil"/>
              <w:bottom w:val="single" w:sz="4" w:space="0" w:color="auto"/>
              <w:right w:val="single" w:sz="4" w:space="0" w:color="auto"/>
            </w:tcBorders>
            <w:shd w:val="clear" w:color="000000" w:fill="FFFFFF"/>
            <w:vAlign w:val="center"/>
            <w:hideMark/>
          </w:tcPr>
          <w:p w14:paraId="3CE4412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West Africa Telecom Inc., Monrovia </w:t>
            </w:r>
          </w:p>
        </w:tc>
        <w:tc>
          <w:tcPr>
            <w:tcW w:w="960" w:type="dxa"/>
            <w:tcBorders>
              <w:top w:val="nil"/>
              <w:left w:val="nil"/>
              <w:bottom w:val="single" w:sz="4" w:space="0" w:color="auto"/>
              <w:right w:val="single" w:sz="4" w:space="0" w:color="auto"/>
            </w:tcBorders>
            <w:shd w:val="clear" w:color="000000" w:fill="FFFFFF"/>
            <w:vAlign w:val="center"/>
            <w:hideMark/>
          </w:tcPr>
          <w:p w14:paraId="1BA3C04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2007</w:t>
            </w:r>
          </w:p>
        </w:tc>
        <w:tc>
          <w:tcPr>
            <w:tcW w:w="1120" w:type="dxa"/>
            <w:tcBorders>
              <w:top w:val="nil"/>
              <w:left w:val="nil"/>
              <w:bottom w:val="single" w:sz="4" w:space="0" w:color="auto"/>
              <w:right w:val="single" w:sz="4" w:space="0" w:color="auto"/>
            </w:tcBorders>
            <w:shd w:val="clear" w:color="000000" w:fill="FFFFFF"/>
            <w:vAlign w:val="center"/>
            <w:hideMark/>
          </w:tcPr>
          <w:p w14:paraId="7413E7C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3AAF15B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4,821.40</w:t>
            </w:r>
          </w:p>
        </w:tc>
        <w:tc>
          <w:tcPr>
            <w:tcW w:w="1220" w:type="dxa"/>
            <w:tcBorders>
              <w:top w:val="nil"/>
              <w:left w:val="nil"/>
              <w:bottom w:val="single" w:sz="4" w:space="0" w:color="auto"/>
              <w:right w:val="single" w:sz="8" w:space="0" w:color="auto"/>
            </w:tcBorders>
            <w:shd w:val="clear" w:color="000000" w:fill="FFFFFF"/>
            <w:vAlign w:val="center"/>
            <w:hideMark/>
          </w:tcPr>
          <w:p w14:paraId="69E1845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8,796.40</w:t>
            </w:r>
          </w:p>
        </w:tc>
      </w:tr>
      <w:tr w:rsidR="006B3747" w:rsidRPr="006B3747" w14:paraId="19C4E73F"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2E2B11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Mauritania</w:t>
            </w:r>
          </w:p>
        </w:tc>
        <w:tc>
          <w:tcPr>
            <w:tcW w:w="4140" w:type="dxa"/>
            <w:tcBorders>
              <w:top w:val="nil"/>
              <w:left w:val="nil"/>
              <w:bottom w:val="single" w:sz="4" w:space="0" w:color="auto"/>
              <w:right w:val="single" w:sz="4" w:space="0" w:color="auto"/>
            </w:tcBorders>
            <w:shd w:val="clear" w:color="000000" w:fill="FFFFFF"/>
            <w:vAlign w:val="center"/>
            <w:hideMark/>
          </w:tcPr>
          <w:p w14:paraId="1DB0793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MAURITEL SA, Nouakchott</w:t>
            </w:r>
          </w:p>
        </w:tc>
        <w:tc>
          <w:tcPr>
            <w:tcW w:w="960" w:type="dxa"/>
            <w:tcBorders>
              <w:top w:val="nil"/>
              <w:left w:val="nil"/>
              <w:bottom w:val="single" w:sz="4" w:space="0" w:color="auto"/>
              <w:right w:val="single" w:sz="4" w:space="0" w:color="auto"/>
            </w:tcBorders>
            <w:shd w:val="clear" w:color="000000" w:fill="FFFFFF"/>
            <w:vAlign w:val="center"/>
            <w:hideMark/>
          </w:tcPr>
          <w:p w14:paraId="16267C1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5D721FD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35,775.00</w:t>
            </w:r>
          </w:p>
        </w:tc>
        <w:tc>
          <w:tcPr>
            <w:tcW w:w="1140" w:type="dxa"/>
            <w:tcBorders>
              <w:top w:val="nil"/>
              <w:left w:val="nil"/>
              <w:bottom w:val="single" w:sz="4" w:space="0" w:color="auto"/>
              <w:right w:val="single" w:sz="4" w:space="0" w:color="auto"/>
            </w:tcBorders>
            <w:shd w:val="clear" w:color="000000" w:fill="FFFFFF"/>
            <w:vAlign w:val="center"/>
            <w:hideMark/>
          </w:tcPr>
          <w:p w14:paraId="7E3B82F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38,910.85</w:t>
            </w:r>
          </w:p>
        </w:tc>
        <w:tc>
          <w:tcPr>
            <w:tcW w:w="1220" w:type="dxa"/>
            <w:tcBorders>
              <w:top w:val="nil"/>
              <w:left w:val="nil"/>
              <w:bottom w:val="single" w:sz="4" w:space="0" w:color="auto"/>
              <w:right w:val="single" w:sz="8" w:space="0" w:color="auto"/>
            </w:tcBorders>
            <w:shd w:val="clear" w:color="000000" w:fill="FFFFFF"/>
            <w:vAlign w:val="center"/>
            <w:hideMark/>
          </w:tcPr>
          <w:p w14:paraId="4C1D43F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74,685.85</w:t>
            </w:r>
          </w:p>
        </w:tc>
      </w:tr>
      <w:tr w:rsidR="006B3747" w:rsidRPr="006B3747" w14:paraId="662572D0"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1E81C2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Netherlands</w:t>
            </w:r>
          </w:p>
        </w:tc>
        <w:tc>
          <w:tcPr>
            <w:tcW w:w="4140" w:type="dxa"/>
            <w:tcBorders>
              <w:top w:val="nil"/>
              <w:left w:val="nil"/>
              <w:bottom w:val="single" w:sz="4" w:space="0" w:color="auto"/>
              <w:right w:val="single" w:sz="4" w:space="0" w:color="auto"/>
            </w:tcBorders>
            <w:shd w:val="clear" w:color="000000" w:fill="FFFFFF"/>
            <w:vAlign w:val="center"/>
            <w:hideMark/>
          </w:tcPr>
          <w:p w14:paraId="308DBE5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SMITCOMS N.V., St. Maarten</w:t>
            </w:r>
          </w:p>
        </w:tc>
        <w:tc>
          <w:tcPr>
            <w:tcW w:w="960" w:type="dxa"/>
            <w:tcBorders>
              <w:top w:val="nil"/>
              <w:left w:val="nil"/>
              <w:bottom w:val="single" w:sz="4" w:space="0" w:color="auto"/>
              <w:right w:val="single" w:sz="4" w:space="0" w:color="auto"/>
            </w:tcBorders>
            <w:shd w:val="clear" w:color="000000" w:fill="FFFFFF"/>
            <w:vAlign w:val="center"/>
            <w:hideMark/>
          </w:tcPr>
          <w:p w14:paraId="48CC013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2004-2007</w:t>
            </w:r>
          </w:p>
        </w:tc>
        <w:tc>
          <w:tcPr>
            <w:tcW w:w="1120" w:type="dxa"/>
            <w:tcBorders>
              <w:top w:val="nil"/>
              <w:left w:val="nil"/>
              <w:bottom w:val="single" w:sz="4" w:space="0" w:color="auto"/>
              <w:right w:val="single" w:sz="4" w:space="0" w:color="auto"/>
            </w:tcBorders>
            <w:shd w:val="clear" w:color="000000" w:fill="FFFFFF"/>
            <w:vAlign w:val="center"/>
            <w:hideMark/>
          </w:tcPr>
          <w:p w14:paraId="5556C31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253,200.00</w:t>
            </w:r>
          </w:p>
        </w:tc>
        <w:tc>
          <w:tcPr>
            <w:tcW w:w="1140" w:type="dxa"/>
            <w:tcBorders>
              <w:top w:val="nil"/>
              <w:left w:val="nil"/>
              <w:bottom w:val="single" w:sz="4" w:space="0" w:color="auto"/>
              <w:right w:val="single" w:sz="4" w:space="0" w:color="auto"/>
            </w:tcBorders>
            <w:shd w:val="clear" w:color="000000" w:fill="FFFFFF"/>
            <w:vAlign w:val="center"/>
            <w:hideMark/>
          </w:tcPr>
          <w:p w14:paraId="7C8720B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359,330.80</w:t>
            </w:r>
          </w:p>
        </w:tc>
        <w:tc>
          <w:tcPr>
            <w:tcW w:w="1220" w:type="dxa"/>
            <w:tcBorders>
              <w:top w:val="nil"/>
              <w:left w:val="nil"/>
              <w:bottom w:val="single" w:sz="4" w:space="0" w:color="auto"/>
              <w:right w:val="single" w:sz="8" w:space="0" w:color="auto"/>
            </w:tcBorders>
            <w:shd w:val="clear" w:color="000000" w:fill="FFFFFF"/>
            <w:vAlign w:val="center"/>
            <w:hideMark/>
          </w:tcPr>
          <w:p w14:paraId="66FF2B1A"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612,530.80</w:t>
            </w:r>
          </w:p>
        </w:tc>
      </w:tr>
      <w:tr w:rsidR="006B3747" w:rsidRPr="006B3747" w14:paraId="75FEE58B"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5B284C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Pakistan</w:t>
            </w:r>
          </w:p>
        </w:tc>
        <w:tc>
          <w:tcPr>
            <w:tcW w:w="4140" w:type="dxa"/>
            <w:tcBorders>
              <w:top w:val="nil"/>
              <w:left w:val="nil"/>
              <w:bottom w:val="single" w:sz="4" w:space="0" w:color="auto"/>
              <w:right w:val="single" w:sz="4" w:space="0" w:color="auto"/>
            </w:tcBorders>
            <w:shd w:val="clear" w:color="000000" w:fill="FFFFFF"/>
            <w:vAlign w:val="center"/>
            <w:hideMark/>
          </w:tcPr>
          <w:p w14:paraId="6C9BCF3B"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Paktel</w:t>
            </w:r>
            <w:proofErr w:type="spellEnd"/>
            <w:r w:rsidRPr="006B3747">
              <w:rPr>
                <w:rFonts w:cs="Calibri"/>
                <w:sz w:val="16"/>
                <w:szCs w:val="16"/>
                <w:lang w:eastAsia="en-GB"/>
              </w:rPr>
              <w:t xml:space="preserve"> Limited, Islamabad</w:t>
            </w:r>
          </w:p>
        </w:tc>
        <w:tc>
          <w:tcPr>
            <w:tcW w:w="960" w:type="dxa"/>
            <w:tcBorders>
              <w:top w:val="nil"/>
              <w:left w:val="nil"/>
              <w:bottom w:val="single" w:sz="4" w:space="0" w:color="auto"/>
              <w:right w:val="single" w:sz="4" w:space="0" w:color="auto"/>
            </w:tcBorders>
            <w:shd w:val="clear" w:color="000000" w:fill="FFFFFF"/>
            <w:vAlign w:val="center"/>
            <w:hideMark/>
          </w:tcPr>
          <w:p w14:paraId="3069F29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2007</w:t>
            </w:r>
          </w:p>
        </w:tc>
        <w:tc>
          <w:tcPr>
            <w:tcW w:w="1120" w:type="dxa"/>
            <w:tcBorders>
              <w:top w:val="nil"/>
              <w:left w:val="nil"/>
              <w:bottom w:val="single" w:sz="4" w:space="0" w:color="auto"/>
              <w:right w:val="single" w:sz="4" w:space="0" w:color="auto"/>
            </w:tcBorders>
            <w:shd w:val="clear" w:color="000000" w:fill="FFFFFF"/>
            <w:vAlign w:val="center"/>
            <w:hideMark/>
          </w:tcPr>
          <w:p w14:paraId="6B8C2A8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7B4936B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4,821.40</w:t>
            </w:r>
          </w:p>
        </w:tc>
        <w:tc>
          <w:tcPr>
            <w:tcW w:w="1220" w:type="dxa"/>
            <w:tcBorders>
              <w:top w:val="nil"/>
              <w:left w:val="nil"/>
              <w:bottom w:val="single" w:sz="4" w:space="0" w:color="auto"/>
              <w:right w:val="single" w:sz="8" w:space="0" w:color="auto"/>
            </w:tcBorders>
            <w:shd w:val="clear" w:color="000000" w:fill="FFFFFF"/>
            <w:vAlign w:val="center"/>
            <w:hideMark/>
          </w:tcPr>
          <w:p w14:paraId="42C40BA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8,796.40</w:t>
            </w:r>
          </w:p>
        </w:tc>
      </w:tr>
      <w:tr w:rsidR="006B3747" w:rsidRPr="006B3747" w14:paraId="7D6DBF69"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EB8FF5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Philippines</w:t>
            </w:r>
          </w:p>
        </w:tc>
        <w:tc>
          <w:tcPr>
            <w:tcW w:w="4140" w:type="dxa"/>
            <w:tcBorders>
              <w:top w:val="nil"/>
              <w:left w:val="nil"/>
              <w:bottom w:val="single" w:sz="4" w:space="0" w:color="auto"/>
              <w:right w:val="single" w:sz="4" w:space="0" w:color="auto"/>
            </w:tcBorders>
            <w:shd w:val="clear" w:color="000000" w:fill="FFFFFF"/>
            <w:vAlign w:val="center"/>
            <w:hideMark/>
          </w:tcPr>
          <w:p w14:paraId="2A2820D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PhilCom</w:t>
            </w:r>
            <w:proofErr w:type="spellEnd"/>
            <w:r w:rsidRPr="006B3747">
              <w:rPr>
                <w:rFonts w:cs="Calibri"/>
                <w:sz w:val="16"/>
                <w:szCs w:val="16"/>
                <w:lang w:eastAsia="en-GB"/>
              </w:rPr>
              <w:t>, Makati City</w:t>
            </w:r>
          </w:p>
        </w:tc>
        <w:tc>
          <w:tcPr>
            <w:tcW w:w="960" w:type="dxa"/>
            <w:tcBorders>
              <w:top w:val="nil"/>
              <w:left w:val="nil"/>
              <w:bottom w:val="single" w:sz="4" w:space="0" w:color="auto"/>
              <w:right w:val="single" w:sz="4" w:space="0" w:color="auto"/>
            </w:tcBorders>
            <w:shd w:val="clear" w:color="000000" w:fill="FFFFFF"/>
            <w:vAlign w:val="center"/>
            <w:hideMark/>
          </w:tcPr>
          <w:p w14:paraId="6080C47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2007-2009</w:t>
            </w:r>
          </w:p>
        </w:tc>
        <w:tc>
          <w:tcPr>
            <w:tcW w:w="1120" w:type="dxa"/>
            <w:tcBorders>
              <w:top w:val="nil"/>
              <w:left w:val="nil"/>
              <w:bottom w:val="single" w:sz="4" w:space="0" w:color="auto"/>
              <w:right w:val="single" w:sz="4" w:space="0" w:color="auto"/>
            </w:tcBorders>
            <w:shd w:val="clear" w:color="000000" w:fill="FFFFFF"/>
            <w:vAlign w:val="center"/>
            <w:hideMark/>
          </w:tcPr>
          <w:p w14:paraId="46FD62A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01BE18E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3,977.65</w:t>
            </w:r>
          </w:p>
        </w:tc>
        <w:tc>
          <w:tcPr>
            <w:tcW w:w="1220" w:type="dxa"/>
            <w:tcBorders>
              <w:top w:val="nil"/>
              <w:left w:val="nil"/>
              <w:bottom w:val="single" w:sz="4" w:space="0" w:color="auto"/>
              <w:right w:val="single" w:sz="8" w:space="0" w:color="auto"/>
            </w:tcBorders>
            <w:shd w:val="clear" w:color="000000" w:fill="FFFFFF"/>
            <w:vAlign w:val="center"/>
            <w:hideMark/>
          </w:tcPr>
          <w:p w14:paraId="74CD276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7,952.65</w:t>
            </w:r>
          </w:p>
        </w:tc>
      </w:tr>
      <w:tr w:rsidR="006B3747" w:rsidRPr="006B3747" w14:paraId="1833E08B"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6550F0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Romania</w:t>
            </w:r>
          </w:p>
        </w:tc>
        <w:tc>
          <w:tcPr>
            <w:tcW w:w="4140" w:type="dxa"/>
            <w:tcBorders>
              <w:top w:val="nil"/>
              <w:left w:val="nil"/>
              <w:bottom w:val="single" w:sz="4" w:space="0" w:color="auto"/>
              <w:right w:val="single" w:sz="4" w:space="0" w:color="auto"/>
            </w:tcBorders>
            <w:shd w:val="clear" w:color="000000" w:fill="FFFFFF"/>
            <w:vAlign w:val="center"/>
            <w:hideMark/>
          </w:tcPr>
          <w:p w14:paraId="382DC74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Polytech </w:t>
            </w:r>
            <w:proofErr w:type="spellStart"/>
            <w:r w:rsidRPr="006B3747">
              <w:rPr>
                <w:rFonts w:cs="Calibri"/>
                <w:sz w:val="16"/>
                <w:szCs w:val="16"/>
                <w:lang w:eastAsia="en-GB"/>
              </w:rPr>
              <w:t>Sch</w:t>
            </w:r>
            <w:proofErr w:type="spellEnd"/>
            <w:r w:rsidRPr="006B3747">
              <w:rPr>
                <w:rFonts w:cs="Calibri"/>
                <w:sz w:val="16"/>
                <w:szCs w:val="16"/>
                <w:lang w:eastAsia="en-GB"/>
              </w:rPr>
              <w:t xml:space="preserve"> of Bucharest Association, Bucharest</w:t>
            </w:r>
          </w:p>
        </w:tc>
        <w:tc>
          <w:tcPr>
            <w:tcW w:w="960" w:type="dxa"/>
            <w:tcBorders>
              <w:top w:val="nil"/>
              <w:left w:val="nil"/>
              <w:bottom w:val="single" w:sz="4" w:space="0" w:color="auto"/>
              <w:right w:val="single" w:sz="4" w:space="0" w:color="auto"/>
            </w:tcBorders>
            <w:shd w:val="clear" w:color="000000" w:fill="FFFFFF"/>
            <w:vAlign w:val="center"/>
            <w:hideMark/>
          </w:tcPr>
          <w:p w14:paraId="4F42928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2009-2010</w:t>
            </w:r>
          </w:p>
        </w:tc>
        <w:tc>
          <w:tcPr>
            <w:tcW w:w="1120" w:type="dxa"/>
            <w:tcBorders>
              <w:top w:val="nil"/>
              <w:left w:val="nil"/>
              <w:bottom w:val="single" w:sz="4" w:space="0" w:color="auto"/>
              <w:right w:val="single" w:sz="4" w:space="0" w:color="auto"/>
            </w:tcBorders>
            <w:shd w:val="clear" w:color="000000" w:fill="FFFFFF"/>
            <w:vAlign w:val="center"/>
            <w:hideMark/>
          </w:tcPr>
          <w:p w14:paraId="47FC5DE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37AB090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3,503.90</w:t>
            </w:r>
          </w:p>
        </w:tc>
        <w:tc>
          <w:tcPr>
            <w:tcW w:w="1220" w:type="dxa"/>
            <w:tcBorders>
              <w:top w:val="nil"/>
              <w:left w:val="nil"/>
              <w:bottom w:val="single" w:sz="4" w:space="0" w:color="auto"/>
              <w:right w:val="single" w:sz="8" w:space="0" w:color="auto"/>
            </w:tcBorders>
            <w:shd w:val="clear" w:color="000000" w:fill="FFFFFF"/>
            <w:vAlign w:val="center"/>
            <w:hideMark/>
          </w:tcPr>
          <w:p w14:paraId="3785845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7,478.90</w:t>
            </w:r>
          </w:p>
        </w:tc>
      </w:tr>
      <w:tr w:rsidR="006B3747" w:rsidRPr="006B3747" w14:paraId="603BE1B2" w14:textId="77777777" w:rsidTr="006B3747">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939F88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Russian Federation</w:t>
            </w:r>
          </w:p>
        </w:tc>
        <w:tc>
          <w:tcPr>
            <w:tcW w:w="4140" w:type="dxa"/>
            <w:tcBorders>
              <w:top w:val="nil"/>
              <w:left w:val="nil"/>
              <w:bottom w:val="single" w:sz="4" w:space="0" w:color="auto"/>
              <w:right w:val="single" w:sz="4" w:space="0" w:color="auto"/>
            </w:tcBorders>
            <w:shd w:val="clear" w:color="000000" w:fill="FFFFFF"/>
            <w:vAlign w:val="center"/>
            <w:hideMark/>
          </w:tcPr>
          <w:p w14:paraId="6000508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JSC National Telemedicine Agency, Moscow</w:t>
            </w:r>
          </w:p>
        </w:tc>
        <w:tc>
          <w:tcPr>
            <w:tcW w:w="960" w:type="dxa"/>
            <w:tcBorders>
              <w:top w:val="nil"/>
              <w:left w:val="nil"/>
              <w:bottom w:val="single" w:sz="4" w:space="0" w:color="auto"/>
              <w:right w:val="single" w:sz="4" w:space="0" w:color="auto"/>
            </w:tcBorders>
            <w:shd w:val="clear" w:color="000000" w:fill="FFFFFF"/>
            <w:vAlign w:val="center"/>
            <w:hideMark/>
          </w:tcPr>
          <w:p w14:paraId="071EEE3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2012</w:t>
            </w:r>
          </w:p>
        </w:tc>
        <w:tc>
          <w:tcPr>
            <w:tcW w:w="1120" w:type="dxa"/>
            <w:tcBorders>
              <w:top w:val="nil"/>
              <w:left w:val="nil"/>
              <w:bottom w:val="single" w:sz="4" w:space="0" w:color="auto"/>
              <w:right w:val="single" w:sz="4" w:space="0" w:color="auto"/>
            </w:tcBorders>
            <w:shd w:val="clear" w:color="000000" w:fill="FFFFFF"/>
            <w:vAlign w:val="center"/>
            <w:hideMark/>
          </w:tcPr>
          <w:p w14:paraId="48A5884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2,981.25</w:t>
            </w:r>
          </w:p>
        </w:tc>
        <w:tc>
          <w:tcPr>
            <w:tcW w:w="1140" w:type="dxa"/>
            <w:tcBorders>
              <w:top w:val="nil"/>
              <w:left w:val="nil"/>
              <w:bottom w:val="single" w:sz="4" w:space="0" w:color="auto"/>
              <w:right w:val="single" w:sz="4" w:space="0" w:color="auto"/>
            </w:tcBorders>
            <w:shd w:val="clear" w:color="000000" w:fill="FFFFFF"/>
            <w:vAlign w:val="center"/>
            <w:hideMark/>
          </w:tcPr>
          <w:p w14:paraId="1169CC8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1,948.60</w:t>
            </w:r>
          </w:p>
        </w:tc>
        <w:tc>
          <w:tcPr>
            <w:tcW w:w="1220" w:type="dxa"/>
            <w:tcBorders>
              <w:top w:val="nil"/>
              <w:left w:val="nil"/>
              <w:bottom w:val="single" w:sz="4" w:space="0" w:color="auto"/>
              <w:right w:val="single" w:sz="8" w:space="0" w:color="auto"/>
            </w:tcBorders>
            <w:shd w:val="clear" w:color="000000" w:fill="FFFFFF"/>
            <w:vAlign w:val="center"/>
            <w:hideMark/>
          </w:tcPr>
          <w:p w14:paraId="22D854DA"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4,929.85</w:t>
            </w:r>
          </w:p>
        </w:tc>
      </w:tr>
      <w:tr w:rsidR="006B3747" w:rsidRPr="006B3747" w14:paraId="4F4D61CB"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44E53D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Somalia</w:t>
            </w:r>
          </w:p>
        </w:tc>
        <w:tc>
          <w:tcPr>
            <w:tcW w:w="4140" w:type="dxa"/>
            <w:tcBorders>
              <w:top w:val="nil"/>
              <w:left w:val="nil"/>
              <w:bottom w:val="single" w:sz="4" w:space="0" w:color="auto"/>
              <w:right w:val="single" w:sz="4" w:space="0" w:color="auto"/>
            </w:tcBorders>
            <w:shd w:val="clear" w:color="000000" w:fill="FFFFFF"/>
            <w:vAlign w:val="center"/>
            <w:hideMark/>
          </w:tcPr>
          <w:p w14:paraId="7BF3215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Telecom Somalia, Mogadishu</w:t>
            </w:r>
          </w:p>
        </w:tc>
        <w:tc>
          <w:tcPr>
            <w:tcW w:w="960" w:type="dxa"/>
            <w:tcBorders>
              <w:top w:val="nil"/>
              <w:left w:val="nil"/>
              <w:bottom w:val="single" w:sz="4" w:space="0" w:color="auto"/>
              <w:right w:val="single" w:sz="4" w:space="0" w:color="auto"/>
            </w:tcBorders>
            <w:shd w:val="clear" w:color="000000" w:fill="FFFFFF"/>
            <w:vAlign w:val="center"/>
            <w:hideMark/>
          </w:tcPr>
          <w:p w14:paraId="3952F65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3EC0A16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8,278.10</w:t>
            </w:r>
          </w:p>
        </w:tc>
        <w:tc>
          <w:tcPr>
            <w:tcW w:w="1140" w:type="dxa"/>
            <w:tcBorders>
              <w:top w:val="nil"/>
              <w:left w:val="nil"/>
              <w:bottom w:val="single" w:sz="4" w:space="0" w:color="auto"/>
              <w:right w:val="single" w:sz="4" w:space="0" w:color="auto"/>
            </w:tcBorders>
            <w:shd w:val="clear" w:color="000000" w:fill="FFFFFF"/>
            <w:vAlign w:val="center"/>
            <w:hideMark/>
          </w:tcPr>
          <w:p w14:paraId="7EFC985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10,542.20</w:t>
            </w:r>
          </w:p>
        </w:tc>
        <w:tc>
          <w:tcPr>
            <w:tcW w:w="1220" w:type="dxa"/>
            <w:tcBorders>
              <w:top w:val="nil"/>
              <w:left w:val="nil"/>
              <w:bottom w:val="single" w:sz="4" w:space="0" w:color="auto"/>
              <w:right w:val="single" w:sz="8" w:space="0" w:color="auto"/>
            </w:tcBorders>
            <w:shd w:val="clear" w:color="000000" w:fill="FFFFFF"/>
            <w:vAlign w:val="center"/>
            <w:hideMark/>
          </w:tcPr>
          <w:p w14:paraId="3B6C92E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18,820.30</w:t>
            </w:r>
          </w:p>
        </w:tc>
      </w:tr>
      <w:tr w:rsidR="006B3747" w:rsidRPr="006B3747" w14:paraId="1B576067"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6AD7E76"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South Africa</w:t>
            </w:r>
          </w:p>
        </w:tc>
        <w:tc>
          <w:tcPr>
            <w:tcW w:w="4140" w:type="dxa"/>
            <w:tcBorders>
              <w:top w:val="nil"/>
              <w:left w:val="nil"/>
              <w:bottom w:val="single" w:sz="4" w:space="0" w:color="auto"/>
              <w:right w:val="single" w:sz="4" w:space="0" w:color="auto"/>
            </w:tcBorders>
            <w:shd w:val="clear" w:color="000000" w:fill="FFFFFF"/>
            <w:vAlign w:val="center"/>
            <w:hideMark/>
          </w:tcPr>
          <w:p w14:paraId="28D96D4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Cell C (Pty) Ltd, Benmore</w:t>
            </w:r>
          </w:p>
        </w:tc>
        <w:tc>
          <w:tcPr>
            <w:tcW w:w="960" w:type="dxa"/>
            <w:tcBorders>
              <w:top w:val="nil"/>
              <w:left w:val="nil"/>
              <w:bottom w:val="single" w:sz="4" w:space="0" w:color="auto"/>
              <w:right w:val="single" w:sz="4" w:space="0" w:color="auto"/>
            </w:tcBorders>
            <w:shd w:val="clear" w:color="000000" w:fill="FFFFFF"/>
            <w:vAlign w:val="center"/>
            <w:hideMark/>
          </w:tcPr>
          <w:p w14:paraId="384212A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2004-2207</w:t>
            </w:r>
          </w:p>
        </w:tc>
        <w:tc>
          <w:tcPr>
            <w:tcW w:w="1120" w:type="dxa"/>
            <w:tcBorders>
              <w:top w:val="nil"/>
              <w:left w:val="nil"/>
              <w:bottom w:val="single" w:sz="4" w:space="0" w:color="auto"/>
              <w:right w:val="single" w:sz="4" w:space="0" w:color="auto"/>
            </w:tcBorders>
            <w:shd w:val="clear" w:color="000000" w:fill="FFFFFF"/>
            <w:vAlign w:val="center"/>
            <w:hideMark/>
          </w:tcPr>
          <w:p w14:paraId="59D2BD6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245,475.00</w:t>
            </w:r>
          </w:p>
        </w:tc>
        <w:tc>
          <w:tcPr>
            <w:tcW w:w="1140" w:type="dxa"/>
            <w:tcBorders>
              <w:top w:val="nil"/>
              <w:left w:val="nil"/>
              <w:bottom w:val="single" w:sz="4" w:space="0" w:color="auto"/>
              <w:right w:val="single" w:sz="4" w:space="0" w:color="auto"/>
            </w:tcBorders>
            <w:shd w:val="clear" w:color="000000" w:fill="FFFFFF"/>
            <w:vAlign w:val="center"/>
            <w:hideMark/>
          </w:tcPr>
          <w:p w14:paraId="04B7FFDE"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340,079.00</w:t>
            </w:r>
          </w:p>
        </w:tc>
        <w:tc>
          <w:tcPr>
            <w:tcW w:w="1220" w:type="dxa"/>
            <w:tcBorders>
              <w:top w:val="nil"/>
              <w:left w:val="nil"/>
              <w:bottom w:val="single" w:sz="4" w:space="0" w:color="auto"/>
              <w:right w:val="single" w:sz="8" w:space="0" w:color="auto"/>
            </w:tcBorders>
            <w:shd w:val="clear" w:color="000000" w:fill="FFFFFF"/>
            <w:vAlign w:val="center"/>
            <w:hideMark/>
          </w:tcPr>
          <w:p w14:paraId="21DFA20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585,554.00</w:t>
            </w:r>
          </w:p>
        </w:tc>
      </w:tr>
      <w:tr w:rsidR="006B3747" w:rsidRPr="006B3747" w14:paraId="6A951745" w14:textId="77777777" w:rsidTr="006B3747">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21A06F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Syrian Arab Republic </w:t>
            </w:r>
          </w:p>
        </w:tc>
        <w:tc>
          <w:tcPr>
            <w:tcW w:w="4140" w:type="dxa"/>
            <w:tcBorders>
              <w:top w:val="nil"/>
              <w:left w:val="nil"/>
              <w:bottom w:val="single" w:sz="4" w:space="0" w:color="auto"/>
              <w:right w:val="single" w:sz="4" w:space="0" w:color="auto"/>
            </w:tcBorders>
            <w:shd w:val="clear" w:color="000000" w:fill="FFFFFF"/>
            <w:vAlign w:val="center"/>
            <w:hideMark/>
          </w:tcPr>
          <w:p w14:paraId="3B8915E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 xml:space="preserve">Arab Regional </w:t>
            </w:r>
            <w:proofErr w:type="spellStart"/>
            <w:r w:rsidRPr="006B3747">
              <w:rPr>
                <w:rFonts w:cs="Calibri"/>
                <w:sz w:val="16"/>
                <w:szCs w:val="16"/>
                <w:lang w:eastAsia="en-GB"/>
              </w:rPr>
              <w:t>Isps</w:t>
            </w:r>
            <w:proofErr w:type="spellEnd"/>
            <w:r w:rsidRPr="006B3747">
              <w:rPr>
                <w:rFonts w:cs="Calibri"/>
                <w:sz w:val="16"/>
                <w:szCs w:val="16"/>
                <w:lang w:eastAsia="en-GB"/>
              </w:rPr>
              <w:t xml:space="preserve"> Association (ARISPA), Damascus</w:t>
            </w:r>
          </w:p>
        </w:tc>
        <w:tc>
          <w:tcPr>
            <w:tcW w:w="960" w:type="dxa"/>
            <w:tcBorders>
              <w:top w:val="nil"/>
              <w:left w:val="nil"/>
              <w:bottom w:val="single" w:sz="4" w:space="0" w:color="auto"/>
              <w:right w:val="single" w:sz="4" w:space="0" w:color="auto"/>
            </w:tcBorders>
            <w:shd w:val="clear" w:color="000000" w:fill="FFFFFF"/>
            <w:vAlign w:val="center"/>
            <w:hideMark/>
          </w:tcPr>
          <w:p w14:paraId="151939C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2009</w:t>
            </w:r>
          </w:p>
        </w:tc>
        <w:tc>
          <w:tcPr>
            <w:tcW w:w="1120" w:type="dxa"/>
            <w:tcBorders>
              <w:top w:val="nil"/>
              <w:left w:val="nil"/>
              <w:bottom w:val="single" w:sz="4" w:space="0" w:color="auto"/>
              <w:right w:val="single" w:sz="4" w:space="0" w:color="auto"/>
            </w:tcBorders>
            <w:shd w:val="clear" w:color="000000" w:fill="FFFFFF"/>
            <w:vAlign w:val="center"/>
            <w:hideMark/>
          </w:tcPr>
          <w:p w14:paraId="03CA340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7F3AB4E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3,853.75</w:t>
            </w:r>
          </w:p>
        </w:tc>
        <w:tc>
          <w:tcPr>
            <w:tcW w:w="1220" w:type="dxa"/>
            <w:tcBorders>
              <w:top w:val="nil"/>
              <w:left w:val="nil"/>
              <w:bottom w:val="single" w:sz="4" w:space="0" w:color="auto"/>
              <w:right w:val="single" w:sz="8" w:space="0" w:color="auto"/>
            </w:tcBorders>
            <w:shd w:val="clear" w:color="000000" w:fill="FFFFFF"/>
            <w:vAlign w:val="center"/>
            <w:hideMark/>
          </w:tcPr>
          <w:p w14:paraId="0A39E86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7,828.75</w:t>
            </w:r>
          </w:p>
        </w:tc>
      </w:tr>
      <w:tr w:rsidR="006B3747" w:rsidRPr="006B3747" w14:paraId="21F99E61" w14:textId="77777777" w:rsidTr="006B3747">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4AAB530"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Zimbabwe</w:t>
            </w:r>
          </w:p>
        </w:tc>
        <w:tc>
          <w:tcPr>
            <w:tcW w:w="4140" w:type="dxa"/>
            <w:tcBorders>
              <w:top w:val="nil"/>
              <w:left w:val="nil"/>
              <w:bottom w:val="single" w:sz="4" w:space="0" w:color="auto"/>
              <w:right w:val="single" w:sz="4" w:space="0" w:color="auto"/>
            </w:tcBorders>
            <w:shd w:val="clear" w:color="000000" w:fill="FFFFFF"/>
            <w:vAlign w:val="center"/>
            <w:hideMark/>
          </w:tcPr>
          <w:p w14:paraId="53F5EDB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proofErr w:type="spellStart"/>
            <w:r w:rsidRPr="006B3747">
              <w:rPr>
                <w:rFonts w:cs="Calibri"/>
                <w:sz w:val="16"/>
                <w:szCs w:val="16"/>
                <w:lang w:eastAsia="en-GB"/>
              </w:rPr>
              <w:t>NetOne</w:t>
            </w:r>
            <w:proofErr w:type="spellEnd"/>
            <w:r w:rsidRPr="006B3747">
              <w:rPr>
                <w:rFonts w:cs="Calibri"/>
                <w:sz w:val="16"/>
                <w:szCs w:val="16"/>
                <w:lang w:eastAsia="en-GB"/>
              </w:rPr>
              <w:t xml:space="preserve"> Cellular (</w:t>
            </w:r>
            <w:proofErr w:type="spellStart"/>
            <w:r w:rsidRPr="006B3747">
              <w:rPr>
                <w:rFonts w:cs="Calibri"/>
                <w:sz w:val="16"/>
                <w:szCs w:val="16"/>
                <w:lang w:eastAsia="en-GB"/>
              </w:rPr>
              <w:t>Pvt.</w:t>
            </w:r>
            <w:proofErr w:type="spellEnd"/>
            <w:r w:rsidRPr="006B3747">
              <w:rPr>
                <w:rFonts w:cs="Calibri"/>
                <w:sz w:val="16"/>
                <w:szCs w:val="16"/>
                <w:lang w:eastAsia="en-GB"/>
              </w:rPr>
              <w:t>) Ltd, Harare</w:t>
            </w:r>
          </w:p>
        </w:tc>
        <w:tc>
          <w:tcPr>
            <w:tcW w:w="960" w:type="dxa"/>
            <w:tcBorders>
              <w:top w:val="nil"/>
              <w:left w:val="nil"/>
              <w:bottom w:val="single" w:sz="4" w:space="0" w:color="auto"/>
              <w:right w:val="single" w:sz="4" w:space="0" w:color="auto"/>
            </w:tcBorders>
            <w:shd w:val="clear" w:color="000000" w:fill="FFFFFF"/>
            <w:vAlign w:val="center"/>
            <w:hideMark/>
          </w:tcPr>
          <w:p w14:paraId="1CAC97D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2003-2006</w:t>
            </w:r>
          </w:p>
        </w:tc>
        <w:tc>
          <w:tcPr>
            <w:tcW w:w="1120" w:type="dxa"/>
            <w:tcBorders>
              <w:top w:val="nil"/>
              <w:left w:val="nil"/>
              <w:bottom w:val="single" w:sz="4" w:space="0" w:color="auto"/>
              <w:right w:val="single" w:sz="4" w:space="0" w:color="auto"/>
            </w:tcBorders>
            <w:shd w:val="clear" w:color="000000" w:fill="FFFFFF"/>
            <w:vAlign w:val="center"/>
            <w:hideMark/>
          </w:tcPr>
          <w:p w14:paraId="244AB6BA"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118,910.58</w:t>
            </w:r>
          </w:p>
        </w:tc>
        <w:tc>
          <w:tcPr>
            <w:tcW w:w="1140" w:type="dxa"/>
            <w:tcBorders>
              <w:top w:val="nil"/>
              <w:left w:val="nil"/>
              <w:bottom w:val="single" w:sz="4" w:space="0" w:color="auto"/>
              <w:right w:val="single" w:sz="4" w:space="0" w:color="auto"/>
            </w:tcBorders>
            <w:shd w:val="clear" w:color="000000" w:fill="FFFFFF"/>
            <w:vAlign w:val="center"/>
            <w:hideMark/>
          </w:tcPr>
          <w:p w14:paraId="6150D54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232,804.60</w:t>
            </w:r>
          </w:p>
        </w:tc>
        <w:tc>
          <w:tcPr>
            <w:tcW w:w="1220" w:type="dxa"/>
            <w:tcBorders>
              <w:top w:val="nil"/>
              <w:left w:val="nil"/>
              <w:bottom w:val="single" w:sz="4" w:space="0" w:color="auto"/>
              <w:right w:val="single" w:sz="8" w:space="0" w:color="auto"/>
            </w:tcBorders>
            <w:shd w:val="clear" w:color="000000" w:fill="FFFFFF"/>
            <w:vAlign w:val="center"/>
            <w:hideMark/>
          </w:tcPr>
          <w:p w14:paraId="75142C6F"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351,715.18</w:t>
            </w:r>
          </w:p>
        </w:tc>
      </w:tr>
      <w:tr w:rsidR="006B3747" w:rsidRPr="006B3747" w14:paraId="6C0A4496" w14:textId="77777777" w:rsidTr="006B3747">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03DB30D"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Res. 99 (Rev. Dubai, 2018)</w:t>
            </w:r>
          </w:p>
        </w:tc>
        <w:tc>
          <w:tcPr>
            <w:tcW w:w="4140" w:type="dxa"/>
            <w:tcBorders>
              <w:top w:val="nil"/>
              <w:left w:val="nil"/>
              <w:bottom w:val="single" w:sz="4" w:space="0" w:color="auto"/>
              <w:right w:val="single" w:sz="4" w:space="0" w:color="auto"/>
            </w:tcBorders>
            <w:shd w:val="clear" w:color="000000" w:fill="FFFFFF"/>
            <w:vAlign w:val="center"/>
            <w:hideMark/>
          </w:tcPr>
          <w:p w14:paraId="5A0ABBF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B3747">
              <w:rPr>
                <w:rFonts w:cs="Calibri"/>
                <w:sz w:val="16"/>
                <w:szCs w:val="16"/>
                <w:lang w:eastAsia="en-GB"/>
              </w:rPr>
              <w:t>BCI Comm. &amp; Adv. Technology, Ramallah</w:t>
            </w:r>
          </w:p>
        </w:tc>
        <w:tc>
          <w:tcPr>
            <w:tcW w:w="960" w:type="dxa"/>
            <w:tcBorders>
              <w:top w:val="nil"/>
              <w:left w:val="nil"/>
              <w:bottom w:val="single" w:sz="4" w:space="0" w:color="auto"/>
              <w:right w:val="single" w:sz="4" w:space="0" w:color="auto"/>
            </w:tcBorders>
            <w:shd w:val="clear" w:color="000000" w:fill="FFFFFF"/>
            <w:vAlign w:val="center"/>
            <w:hideMark/>
          </w:tcPr>
          <w:p w14:paraId="68D995B9"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B3747">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vAlign w:val="center"/>
            <w:hideMark/>
          </w:tcPr>
          <w:p w14:paraId="7E51BBC3"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4,968.75</w:t>
            </w:r>
          </w:p>
        </w:tc>
        <w:tc>
          <w:tcPr>
            <w:tcW w:w="1140" w:type="dxa"/>
            <w:tcBorders>
              <w:top w:val="nil"/>
              <w:left w:val="nil"/>
              <w:bottom w:val="single" w:sz="4" w:space="0" w:color="auto"/>
              <w:right w:val="single" w:sz="4" w:space="0" w:color="auto"/>
            </w:tcBorders>
            <w:shd w:val="clear" w:color="000000" w:fill="FFFFFF"/>
            <w:vAlign w:val="center"/>
            <w:hideMark/>
          </w:tcPr>
          <w:p w14:paraId="209D14B7"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6B3747">
              <w:rPr>
                <w:rFonts w:cs="Calibri"/>
                <w:sz w:val="16"/>
                <w:szCs w:val="16"/>
                <w:lang w:eastAsia="en-GB"/>
              </w:rPr>
              <w:t>5,449.50</w:t>
            </w:r>
          </w:p>
        </w:tc>
        <w:tc>
          <w:tcPr>
            <w:tcW w:w="1220" w:type="dxa"/>
            <w:tcBorders>
              <w:top w:val="nil"/>
              <w:left w:val="nil"/>
              <w:bottom w:val="single" w:sz="4" w:space="0" w:color="auto"/>
              <w:right w:val="single" w:sz="8" w:space="0" w:color="auto"/>
            </w:tcBorders>
            <w:shd w:val="clear" w:color="000000" w:fill="FFFFFF"/>
            <w:vAlign w:val="center"/>
            <w:hideMark/>
          </w:tcPr>
          <w:p w14:paraId="4530611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6B3747">
              <w:rPr>
                <w:rFonts w:cs="Calibri"/>
                <w:color w:val="000000"/>
                <w:sz w:val="16"/>
                <w:szCs w:val="16"/>
                <w:lang w:eastAsia="en-GB"/>
              </w:rPr>
              <w:t>10,418.25</w:t>
            </w:r>
          </w:p>
        </w:tc>
      </w:tr>
      <w:tr w:rsidR="006B3747" w:rsidRPr="006B3747" w14:paraId="2744A582" w14:textId="77777777" w:rsidTr="006B3747">
        <w:trPr>
          <w:trHeight w:val="300"/>
        </w:trPr>
        <w:tc>
          <w:tcPr>
            <w:tcW w:w="6340" w:type="dxa"/>
            <w:gridSpan w:val="3"/>
            <w:tcBorders>
              <w:top w:val="single" w:sz="4" w:space="0" w:color="auto"/>
              <w:left w:val="single" w:sz="8" w:space="0" w:color="auto"/>
              <w:bottom w:val="nil"/>
              <w:right w:val="single" w:sz="4" w:space="0" w:color="auto"/>
            </w:tcBorders>
            <w:shd w:val="clear" w:color="auto" w:fill="auto"/>
            <w:noWrap/>
            <w:vAlign w:val="center"/>
            <w:hideMark/>
          </w:tcPr>
          <w:p w14:paraId="60F6316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eastAsia="en-GB"/>
              </w:rPr>
            </w:pPr>
            <w:r w:rsidRPr="006B3747">
              <w:rPr>
                <w:rFonts w:cs="Calibri"/>
                <w:b/>
                <w:bCs/>
                <w:i/>
                <w:iCs/>
                <w:color w:val="000000"/>
                <w:sz w:val="16"/>
                <w:szCs w:val="16"/>
                <w:lang w:eastAsia="en-GB"/>
              </w:rPr>
              <w:t>Sub-total 3.3</w:t>
            </w:r>
          </w:p>
        </w:tc>
        <w:tc>
          <w:tcPr>
            <w:tcW w:w="1120" w:type="dxa"/>
            <w:tcBorders>
              <w:top w:val="nil"/>
              <w:left w:val="nil"/>
              <w:bottom w:val="nil"/>
              <w:right w:val="single" w:sz="4" w:space="0" w:color="auto"/>
            </w:tcBorders>
            <w:shd w:val="clear" w:color="auto" w:fill="auto"/>
            <w:noWrap/>
            <w:vAlign w:val="center"/>
            <w:hideMark/>
          </w:tcPr>
          <w:p w14:paraId="5FD1AFC1"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886,657.43</w:t>
            </w:r>
          </w:p>
        </w:tc>
        <w:tc>
          <w:tcPr>
            <w:tcW w:w="1140" w:type="dxa"/>
            <w:tcBorders>
              <w:top w:val="nil"/>
              <w:left w:val="nil"/>
              <w:bottom w:val="nil"/>
              <w:right w:val="single" w:sz="4" w:space="0" w:color="auto"/>
            </w:tcBorders>
            <w:shd w:val="clear" w:color="auto" w:fill="auto"/>
            <w:noWrap/>
            <w:vAlign w:val="center"/>
            <w:hideMark/>
          </w:tcPr>
          <w:p w14:paraId="0A506492"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1,235,261.15</w:t>
            </w:r>
          </w:p>
        </w:tc>
        <w:tc>
          <w:tcPr>
            <w:tcW w:w="1220" w:type="dxa"/>
            <w:tcBorders>
              <w:top w:val="nil"/>
              <w:left w:val="nil"/>
              <w:bottom w:val="nil"/>
              <w:right w:val="single" w:sz="8" w:space="0" w:color="auto"/>
            </w:tcBorders>
            <w:shd w:val="clear" w:color="auto" w:fill="auto"/>
            <w:noWrap/>
            <w:vAlign w:val="center"/>
            <w:hideMark/>
          </w:tcPr>
          <w:p w14:paraId="492EE64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2,121,918.58</w:t>
            </w:r>
          </w:p>
        </w:tc>
      </w:tr>
      <w:tr w:rsidR="006B3747" w:rsidRPr="006B3747" w14:paraId="7E787880" w14:textId="77777777" w:rsidTr="006B3747">
        <w:trPr>
          <w:trHeight w:val="300"/>
        </w:trPr>
        <w:tc>
          <w:tcPr>
            <w:tcW w:w="634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8E27CC"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6B3747">
              <w:rPr>
                <w:rFonts w:cs="Calibri"/>
                <w:b/>
                <w:bCs/>
                <w:color w:val="000000"/>
                <w:sz w:val="16"/>
                <w:szCs w:val="16"/>
                <w:lang w:eastAsia="en-GB"/>
              </w:rPr>
              <w:t>Grand Total</w:t>
            </w:r>
          </w:p>
        </w:tc>
        <w:tc>
          <w:tcPr>
            <w:tcW w:w="1120" w:type="dxa"/>
            <w:tcBorders>
              <w:top w:val="single" w:sz="8" w:space="0" w:color="auto"/>
              <w:left w:val="nil"/>
              <w:bottom w:val="single" w:sz="8" w:space="0" w:color="auto"/>
              <w:right w:val="single" w:sz="4" w:space="0" w:color="auto"/>
            </w:tcBorders>
            <w:shd w:val="clear" w:color="auto" w:fill="auto"/>
            <w:noWrap/>
            <w:vAlign w:val="center"/>
            <w:hideMark/>
          </w:tcPr>
          <w:p w14:paraId="5B998018"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886,657.43</w:t>
            </w:r>
          </w:p>
        </w:tc>
        <w:tc>
          <w:tcPr>
            <w:tcW w:w="1140" w:type="dxa"/>
            <w:tcBorders>
              <w:top w:val="single" w:sz="8" w:space="0" w:color="auto"/>
              <w:left w:val="nil"/>
              <w:bottom w:val="single" w:sz="8" w:space="0" w:color="auto"/>
              <w:right w:val="single" w:sz="4" w:space="0" w:color="auto"/>
            </w:tcBorders>
            <w:shd w:val="clear" w:color="auto" w:fill="auto"/>
            <w:noWrap/>
            <w:vAlign w:val="center"/>
            <w:hideMark/>
          </w:tcPr>
          <w:p w14:paraId="2AD40165"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1,826,743.90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22465004" w14:textId="77777777" w:rsidR="006B3747" w:rsidRPr="006B3747" w:rsidRDefault="006B3747" w:rsidP="006B3747">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6"/>
                <w:szCs w:val="16"/>
                <w:lang w:eastAsia="en-GB"/>
              </w:rPr>
            </w:pPr>
            <w:r w:rsidRPr="006B3747">
              <w:rPr>
                <w:rFonts w:cs="Calibri"/>
                <w:b/>
                <w:bCs/>
                <w:color w:val="000000"/>
                <w:sz w:val="16"/>
                <w:szCs w:val="16"/>
                <w:lang w:eastAsia="en-GB"/>
              </w:rPr>
              <w:t>2,713,401.33</w:t>
            </w:r>
          </w:p>
        </w:tc>
      </w:tr>
    </w:tbl>
    <w:p w14:paraId="6247C674" w14:textId="585DD7E3" w:rsidR="002B17EE" w:rsidRPr="003C22C5" w:rsidRDefault="0091122C" w:rsidP="00642071">
      <w:pPr>
        <w:pStyle w:val="enumlev1"/>
        <w:spacing w:before="480"/>
        <w:ind w:left="0" w:firstLine="0"/>
        <w:jc w:val="center"/>
        <w:rPr>
          <w:sz w:val="16"/>
          <w:szCs w:val="16"/>
          <w:lang w:val="en-US"/>
        </w:rPr>
      </w:pPr>
      <w:r w:rsidRPr="003C22C5">
        <w:rPr>
          <w:szCs w:val="24"/>
          <w:lang w:val="en-US"/>
        </w:rPr>
        <w:t>____________________</w:t>
      </w:r>
    </w:p>
    <w:sectPr w:rsidR="002B17EE" w:rsidRPr="003C22C5" w:rsidSect="003B5884">
      <w:headerReference w:type="default" r:id="rId25"/>
      <w:footerReference w:type="first" r:id="rId26"/>
      <w:pgSz w:w="11907" w:h="16834"/>
      <w:pgMar w:top="1134" w:right="1134" w:bottom="567"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D2D57" w14:textId="77777777" w:rsidR="007504EF" w:rsidRDefault="007504EF">
      <w:r>
        <w:separator/>
      </w:r>
    </w:p>
  </w:endnote>
  <w:endnote w:type="continuationSeparator" w:id="0">
    <w:p w14:paraId="52249864" w14:textId="77777777" w:rsidR="007504EF" w:rsidRDefault="007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3CA6" w14:textId="77777777" w:rsidR="007504EF" w:rsidRDefault="007504E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4A6E2" w14:textId="77777777" w:rsidR="007504EF" w:rsidRDefault="007504EF">
      <w:r>
        <w:t>____________________</w:t>
      </w:r>
    </w:p>
  </w:footnote>
  <w:footnote w:type="continuationSeparator" w:id="0">
    <w:p w14:paraId="693E9FFA" w14:textId="77777777" w:rsidR="007504EF" w:rsidRDefault="007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7504EF" w:rsidRDefault="007504EF" w:rsidP="00CE433C">
    <w:pPr>
      <w:pStyle w:val="Header"/>
    </w:pPr>
    <w:r>
      <w:fldChar w:fldCharType="begin"/>
    </w:r>
    <w:r>
      <w:instrText>PAGE</w:instrText>
    </w:r>
    <w:r>
      <w:fldChar w:fldCharType="separate"/>
    </w:r>
    <w:r>
      <w:rPr>
        <w:noProof/>
      </w:rPr>
      <w:t>7</w:t>
    </w:r>
    <w:r>
      <w:rPr>
        <w:noProof/>
      </w:rPr>
      <w:fldChar w:fldCharType="end"/>
    </w:r>
  </w:p>
  <w:p w14:paraId="77060B7C" w14:textId="3FAADDA7" w:rsidR="007504EF" w:rsidRDefault="007504EF" w:rsidP="00B9612E">
    <w:pPr>
      <w:pStyle w:val="Header"/>
      <w:spacing w:after="120"/>
    </w:pPr>
    <w:r>
      <w:t>C21/11-E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815D9"/>
    <w:multiLevelType w:val="hybridMultilevel"/>
    <w:tmpl w:val="A3CC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05BF4"/>
    <w:multiLevelType w:val="multilevel"/>
    <w:tmpl w:val="C20E23E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96897"/>
    <w:multiLevelType w:val="hybridMultilevel"/>
    <w:tmpl w:val="6716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647D43"/>
    <w:multiLevelType w:val="multilevel"/>
    <w:tmpl w:val="784A33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3130F"/>
    <w:rsid w:val="0004081A"/>
    <w:rsid w:val="00041D54"/>
    <w:rsid w:val="00053DCC"/>
    <w:rsid w:val="0005591B"/>
    <w:rsid w:val="00063016"/>
    <w:rsid w:val="00064D90"/>
    <w:rsid w:val="00066795"/>
    <w:rsid w:val="00073229"/>
    <w:rsid w:val="00076AF6"/>
    <w:rsid w:val="000773CB"/>
    <w:rsid w:val="00085CF2"/>
    <w:rsid w:val="000938CD"/>
    <w:rsid w:val="000B053B"/>
    <w:rsid w:val="000B1705"/>
    <w:rsid w:val="000B540B"/>
    <w:rsid w:val="000B6194"/>
    <w:rsid w:val="000D0884"/>
    <w:rsid w:val="000D1BEB"/>
    <w:rsid w:val="000D26CF"/>
    <w:rsid w:val="000D49C4"/>
    <w:rsid w:val="000D75B2"/>
    <w:rsid w:val="000E674B"/>
    <w:rsid w:val="000F5B57"/>
    <w:rsid w:val="00111848"/>
    <w:rsid w:val="001121F5"/>
    <w:rsid w:val="0011573A"/>
    <w:rsid w:val="001400DC"/>
    <w:rsid w:val="00140CE1"/>
    <w:rsid w:val="001616C3"/>
    <w:rsid w:val="00162BEF"/>
    <w:rsid w:val="0017539C"/>
    <w:rsid w:val="00175AC2"/>
    <w:rsid w:val="0017609F"/>
    <w:rsid w:val="0018781C"/>
    <w:rsid w:val="00192734"/>
    <w:rsid w:val="001A5E80"/>
    <w:rsid w:val="001B10C1"/>
    <w:rsid w:val="001B3B30"/>
    <w:rsid w:val="001C628E"/>
    <w:rsid w:val="001C744F"/>
    <w:rsid w:val="001D0C32"/>
    <w:rsid w:val="001E0F7B"/>
    <w:rsid w:val="00201A9E"/>
    <w:rsid w:val="002119FD"/>
    <w:rsid w:val="00212BF4"/>
    <w:rsid w:val="002130E0"/>
    <w:rsid w:val="002150B8"/>
    <w:rsid w:val="00235D0A"/>
    <w:rsid w:val="00264425"/>
    <w:rsid w:val="00265875"/>
    <w:rsid w:val="0027303B"/>
    <w:rsid w:val="002732EA"/>
    <w:rsid w:val="0028109B"/>
    <w:rsid w:val="00287EBB"/>
    <w:rsid w:val="00292E97"/>
    <w:rsid w:val="002933EB"/>
    <w:rsid w:val="002A1C1E"/>
    <w:rsid w:val="002A2188"/>
    <w:rsid w:val="002B17EE"/>
    <w:rsid w:val="002B1F58"/>
    <w:rsid w:val="002C1C7A"/>
    <w:rsid w:val="002D1CF6"/>
    <w:rsid w:val="002D7E52"/>
    <w:rsid w:val="002F0920"/>
    <w:rsid w:val="002F242C"/>
    <w:rsid w:val="0030160F"/>
    <w:rsid w:val="0031097B"/>
    <w:rsid w:val="00317D61"/>
    <w:rsid w:val="0032064E"/>
    <w:rsid w:val="00322D0D"/>
    <w:rsid w:val="00340766"/>
    <w:rsid w:val="00351810"/>
    <w:rsid w:val="0035222D"/>
    <w:rsid w:val="00354F41"/>
    <w:rsid w:val="003555DA"/>
    <w:rsid w:val="00355CC0"/>
    <w:rsid w:val="00363CC3"/>
    <w:rsid w:val="003654E8"/>
    <w:rsid w:val="00367884"/>
    <w:rsid w:val="00370B39"/>
    <w:rsid w:val="003773DC"/>
    <w:rsid w:val="0038623A"/>
    <w:rsid w:val="003942D4"/>
    <w:rsid w:val="003958A8"/>
    <w:rsid w:val="003B5884"/>
    <w:rsid w:val="003C22C5"/>
    <w:rsid w:val="003C2533"/>
    <w:rsid w:val="003D4E18"/>
    <w:rsid w:val="003E6D83"/>
    <w:rsid w:val="003F57EF"/>
    <w:rsid w:val="0040435A"/>
    <w:rsid w:val="00406312"/>
    <w:rsid w:val="00406C9A"/>
    <w:rsid w:val="00407D4B"/>
    <w:rsid w:val="00411756"/>
    <w:rsid w:val="00412F81"/>
    <w:rsid w:val="00416A24"/>
    <w:rsid w:val="00420888"/>
    <w:rsid w:val="00422D07"/>
    <w:rsid w:val="00426E9E"/>
    <w:rsid w:val="00431D9E"/>
    <w:rsid w:val="00433CE8"/>
    <w:rsid w:val="00434A5C"/>
    <w:rsid w:val="004417C3"/>
    <w:rsid w:val="00442E34"/>
    <w:rsid w:val="004544D9"/>
    <w:rsid w:val="00470E71"/>
    <w:rsid w:val="00472329"/>
    <w:rsid w:val="0047758F"/>
    <w:rsid w:val="00480173"/>
    <w:rsid w:val="00486495"/>
    <w:rsid w:val="00487610"/>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4AE4"/>
    <w:rsid w:val="005159FD"/>
    <w:rsid w:val="00522C6B"/>
    <w:rsid w:val="005243FF"/>
    <w:rsid w:val="005258F9"/>
    <w:rsid w:val="0053286B"/>
    <w:rsid w:val="00544838"/>
    <w:rsid w:val="00546193"/>
    <w:rsid w:val="00552A41"/>
    <w:rsid w:val="0055530D"/>
    <w:rsid w:val="00562579"/>
    <w:rsid w:val="00564FBC"/>
    <w:rsid w:val="00582442"/>
    <w:rsid w:val="005A18EA"/>
    <w:rsid w:val="005A662C"/>
    <w:rsid w:val="005A692E"/>
    <w:rsid w:val="005B5ABE"/>
    <w:rsid w:val="005C16A3"/>
    <w:rsid w:val="005C47A8"/>
    <w:rsid w:val="005D2DC5"/>
    <w:rsid w:val="005E5476"/>
    <w:rsid w:val="005F31B0"/>
    <w:rsid w:val="005F3B12"/>
    <w:rsid w:val="0060766C"/>
    <w:rsid w:val="00615F56"/>
    <w:rsid w:val="00626E09"/>
    <w:rsid w:val="00630C2D"/>
    <w:rsid w:val="00641545"/>
    <w:rsid w:val="00642071"/>
    <w:rsid w:val="0064737F"/>
    <w:rsid w:val="006535F1"/>
    <w:rsid w:val="0065557D"/>
    <w:rsid w:val="00655DA3"/>
    <w:rsid w:val="00662984"/>
    <w:rsid w:val="006716BB"/>
    <w:rsid w:val="006736EA"/>
    <w:rsid w:val="006737EE"/>
    <w:rsid w:val="00684254"/>
    <w:rsid w:val="00690A0D"/>
    <w:rsid w:val="006B3747"/>
    <w:rsid w:val="006B3E01"/>
    <w:rsid w:val="006B6680"/>
    <w:rsid w:val="006B6DCC"/>
    <w:rsid w:val="006E6C9B"/>
    <w:rsid w:val="00702DEF"/>
    <w:rsid w:val="00704E26"/>
    <w:rsid w:val="00705BAF"/>
    <w:rsid w:val="00706861"/>
    <w:rsid w:val="00722C27"/>
    <w:rsid w:val="00724C86"/>
    <w:rsid w:val="007504EF"/>
    <w:rsid w:val="0075051B"/>
    <w:rsid w:val="007757AE"/>
    <w:rsid w:val="0078337D"/>
    <w:rsid w:val="00794D34"/>
    <w:rsid w:val="007B5D27"/>
    <w:rsid w:val="007C52F5"/>
    <w:rsid w:val="007E475C"/>
    <w:rsid w:val="007F7AB8"/>
    <w:rsid w:val="0080253C"/>
    <w:rsid w:val="00813E5E"/>
    <w:rsid w:val="00827A88"/>
    <w:rsid w:val="0083581B"/>
    <w:rsid w:val="00844786"/>
    <w:rsid w:val="008455D9"/>
    <w:rsid w:val="0084621C"/>
    <w:rsid w:val="00861545"/>
    <w:rsid w:val="00862FB6"/>
    <w:rsid w:val="00863A40"/>
    <w:rsid w:val="00864AFF"/>
    <w:rsid w:val="00874BCB"/>
    <w:rsid w:val="008A3170"/>
    <w:rsid w:val="008A35C5"/>
    <w:rsid w:val="008B4A6A"/>
    <w:rsid w:val="008B674F"/>
    <w:rsid w:val="008C0301"/>
    <w:rsid w:val="008C7E27"/>
    <w:rsid w:val="008E7A8D"/>
    <w:rsid w:val="008F76A1"/>
    <w:rsid w:val="0091122C"/>
    <w:rsid w:val="009173EF"/>
    <w:rsid w:val="00932906"/>
    <w:rsid w:val="00935E31"/>
    <w:rsid w:val="0094077E"/>
    <w:rsid w:val="00947D45"/>
    <w:rsid w:val="00957794"/>
    <w:rsid w:val="00961B0B"/>
    <w:rsid w:val="0096200D"/>
    <w:rsid w:val="00963FBE"/>
    <w:rsid w:val="009746FE"/>
    <w:rsid w:val="00985B21"/>
    <w:rsid w:val="009925C4"/>
    <w:rsid w:val="00996BB5"/>
    <w:rsid w:val="009A18B3"/>
    <w:rsid w:val="009A6221"/>
    <w:rsid w:val="009B38C3"/>
    <w:rsid w:val="009D48EA"/>
    <w:rsid w:val="009D7BD9"/>
    <w:rsid w:val="009E17BD"/>
    <w:rsid w:val="009E485A"/>
    <w:rsid w:val="009F2427"/>
    <w:rsid w:val="009F3F65"/>
    <w:rsid w:val="00A00044"/>
    <w:rsid w:val="00A04CEC"/>
    <w:rsid w:val="00A05E5F"/>
    <w:rsid w:val="00A20A15"/>
    <w:rsid w:val="00A249E3"/>
    <w:rsid w:val="00A25DBB"/>
    <w:rsid w:val="00A27F92"/>
    <w:rsid w:val="00A32257"/>
    <w:rsid w:val="00A34441"/>
    <w:rsid w:val="00A36D20"/>
    <w:rsid w:val="00A55622"/>
    <w:rsid w:val="00A61B65"/>
    <w:rsid w:val="00A67CD4"/>
    <w:rsid w:val="00A708C8"/>
    <w:rsid w:val="00A83502"/>
    <w:rsid w:val="00A93C09"/>
    <w:rsid w:val="00A95807"/>
    <w:rsid w:val="00AA5005"/>
    <w:rsid w:val="00AA5884"/>
    <w:rsid w:val="00AD15B3"/>
    <w:rsid w:val="00AD1D77"/>
    <w:rsid w:val="00AD33C5"/>
    <w:rsid w:val="00AE2F8F"/>
    <w:rsid w:val="00AE70F7"/>
    <w:rsid w:val="00AF0856"/>
    <w:rsid w:val="00AF4174"/>
    <w:rsid w:val="00AF490E"/>
    <w:rsid w:val="00AF4E41"/>
    <w:rsid w:val="00AF6E49"/>
    <w:rsid w:val="00B041DF"/>
    <w:rsid w:val="00B04A67"/>
    <w:rsid w:val="00B0583C"/>
    <w:rsid w:val="00B13207"/>
    <w:rsid w:val="00B16007"/>
    <w:rsid w:val="00B25B5D"/>
    <w:rsid w:val="00B27C7D"/>
    <w:rsid w:val="00B308B3"/>
    <w:rsid w:val="00B312CB"/>
    <w:rsid w:val="00B33B98"/>
    <w:rsid w:val="00B3484B"/>
    <w:rsid w:val="00B367F3"/>
    <w:rsid w:val="00B37233"/>
    <w:rsid w:val="00B40A81"/>
    <w:rsid w:val="00B42D1B"/>
    <w:rsid w:val="00B44910"/>
    <w:rsid w:val="00B45097"/>
    <w:rsid w:val="00B468C4"/>
    <w:rsid w:val="00B509F3"/>
    <w:rsid w:val="00B57035"/>
    <w:rsid w:val="00B60AF0"/>
    <w:rsid w:val="00B65C38"/>
    <w:rsid w:val="00B7060E"/>
    <w:rsid w:val="00B72267"/>
    <w:rsid w:val="00B76EB6"/>
    <w:rsid w:val="00B7737B"/>
    <w:rsid w:val="00B8212B"/>
    <w:rsid w:val="00B824C8"/>
    <w:rsid w:val="00B82A5C"/>
    <w:rsid w:val="00B9612E"/>
    <w:rsid w:val="00BA315C"/>
    <w:rsid w:val="00BA3F83"/>
    <w:rsid w:val="00BC251A"/>
    <w:rsid w:val="00BC2801"/>
    <w:rsid w:val="00BC6A4F"/>
    <w:rsid w:val="00BD032B"/>
    <w:rsid w:val="00BD2210"/>
    <w:rsid w:val="00BE2640"/>
    <w:rsid w:val="00BE347F"/>
    <w:rsid w:val="00BF032D"/>
    <w:rsid w:val="00BF4FAD"/>
    <w:rsid w:val="00C01189"/>
    <w:rsid w:val="00C0492E"/>
    <w:rsid w:val="00C05626"/>
    <w:rsid w:val="00C073EB"/>
    <w:rsid w:val="00C12378"/>
    <w:rsid w:val="00C12BC5"/>
    <w:rsid w:val="00C16CDF"/>
    <w:rsid w:val="00C17279"/>
    <w:rsid w:val="00C20635"/>
    <w:rsid w:val="00C344FA"/>
    <w:rsid w:val="00C374DE"/>
    <w:rsid w:val="00C46686"/>
    <w:rsid w:val="00C47AD4"/>
    <w:rsid w:val="00C513EE"/>
    <w:rsid w:val="00C5217F"/>
    <w:rsid w:val="00C52D81"/>
    <w:rsid w:val="00C55198"/>
    <w:rsid w:val="00C645E5"/>
    <w:rsid w:val="00C8317D"/>
    <w:rsid w:val="00CA2A85"/>
    <w:rsid w:val="00CA6393"/>
    <w:rsid w:val="00CB18FF"/>
    <w:rsid w:val="00CB3942"/>
    <w:rsid w:val="00CD0C08"/>
    <w:rsid w:val="00CE03FB"/>
    <w:rsid w:val="00CE433C"/>
    <w:rsid w:val="00CE4E24"/>
    <w:rsid w:val="00CE583C"/>
    <w:rsid w:val="00CF33F3"/>
    <w:rsid w:val="00CF3BAF"/>
    <w:rsid w:val="00CF5955"/>
    <w:rsid w:val="00D02EFA"/>
    <w:rsid w:val="00D0426A"/>
    <w:rsid w:val="00D06183"/>
    <w:rsid w:val="00D15263"/>
    <w:rsid w:val="00D22C42"/>
    <w:rsid w:val="00D2710C"/>
    <w:rsid w:val="00D27549"/>
    <w:rsid w:val="00D326C1"/>
    <w:rsid w:val="00D378A2"/>
    <w:rsid w:val="00D423EB"/>
    <w:rsid w:val="00D4259D"/>
    <w:rsid w:val="00D5315E"/>
    <w:rsid w:val="00D64C61"/>
    <w:rsid w:val="00D65041"/>
    <w:rsid w:val="00D95A37"/>
    <w:rsid w:val="00DA03C9"/>
    <w:rsid w:val="00DA050C"/>
    <w:rsid w:val="00DB06A3"/>
    <w:rsid w:val="00DB19FC"/>
    <w:rsid w:val="00DB384B"/>
    <w:rsid w:val="00DC7F29"/>
    <w:rsid w:val="00DE218D"/>
    <w:rsid w:val="00DE512F"/>
    <w:rsid w:val="00E10E80"/>
    <w:rsid w:val="00E119F9"/>
    <w:rsid w:val="00E124F0"/>
    <w:rsid w:val="00E1635E"/>
    <w:rsid w:val="00E23BE8"/>
    <w:rsid w:val="00E2531C"/>
    <w:rsid w:val="00E368CC"/>
    <w:rsid w:val="00E60F04"/>
    <w:rsid w:val="00E62DB0"/>
    <w:rsid w:val="00E71CB4"/>
    <w:rsid w:val="00E8318D"/>
    <w:rsid w:val="00E854E4"/>
    <w:rsid w:val="00EA5DD9"/>
    <w:rsid w:val="00EB02E7"/>
    <w:rsid w:val="00EB0D6F"/>
    <w:rsid w:val="00EB2232"/>
    <w:rsid w:val="00EB2CC7"/>
    <w:rsid w:val="00EB464D"/>
    <w:rsid w:val="00EC4E89"/>
    <w:rsid w:val="00EC5337"/>
    <w:rsid w:val="00ED7FFB"/>
    <w:rsid w:val="00EE4786"/>
    <w:rsid w:val="00EE717A"/>
    <w:rsid w:val="00F06F8E"/>
    <w:rsid w:val="00F14CEE"/>
    <w:rsid w:val="00F2150A"/>
    <w:rsid w:val="00F2201F"/>
    <w:rsid w:val="00F231D8"/>
    <w:rsid w:val="00F30EC8"/>
    <w:rsid w:val="00F3144F"/>
    <w:rsid w:val="00F46C5F"/>
    <w:rsid w:val="00F5770F"/>
    <w:rsid w:val="00F61FAF"/>
    <w:rsid w:val="00F72940"/>
    <w:rsid w:val="00F73DB7"/>
    <w:rsid w:val="00F742FC"/>
    <w:rsid w:val="00F869F0"/>
    <w:rsid w:val="00F87721"/>
    <w:rsid w:val="00F94A63"/>
    <w:rsid w:val="00F9550A"/>
    <w:rsid w:val="00FA1C28"/>
    <w:rsid w:val="00FB0631"/>
    <w:rsid w:val="00FB13C1"/>
    <w:rsid w:val="00FB1B2E"/>
    <w:rsid w:val="00FB7596"/>
    <w:rsid w:val="00FC13F4"/>
    <w:rsid w:val="00FC557C"/>
    <w:rsid w:val="00FC6487"/>
    <w:rsid w:val="00FD67B5"/>
    <w:rsid w:val="00FE05B3"/>
    <w:rsid w:val="00FE1D28"/>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42229266">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152984256">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33610343">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633094656">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856917828">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21-CL-C-0042/fr"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yperlink" Target="https://www.itu.int/md/S21-CL-C-0011/en" TargetMode="Externa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en/council/Documents/basic-texts/RES-041-E.pdf" TargetMode="External"/><Relationship Id="rId28" Type="http://schemas.openxmlformats.org/officeDocument/2006/relationships/theme" Target="theme/theme1.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md/S21-CL-C-0042/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5579-867D-4A9D-A815-F3516E2C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2238</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16069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dc:title>
  <dc:subject>Council 2021, Virtual consultation of councillors</dc:subject>
  <dc:creator>baba</dc:creator>
  <cp:keywords>C2021, C21, VCC, C21-VCC-1</cp:keywords>
  <dc:description/>
  <cp:lastModifiedBy>Aschenbrener, Elizabeth</cp:lastModifiedBy>
  <cp:revision>3</cp:revision>
  <cp:lastPrinted>2019-04-15T14:25:00Z</cp:lastPrinted>
  <dcterms:created xsi:type="dcterms:W3CDTF">2021-04-09T11:18:00Z</dcterms:created>
  <dcterms:modified xsi:type="dcterms:W3CDTF">2021-04-12T07:15:00Z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