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4A1E22" w:rsidRPr="00290728" w14:paraId="02010BDC" w14:textId="77777777" w:rsidTr="00D80473">
        <w:trPr>
          <w:cantSplit/>
          <w:trHeight w:val="20"/>
        </w:trPr>
        <w:tc>
          <w:tcPr>
            <w:tcW w:w="6620" w:type="dxa"/>
          </w:tcPr>
          <w:p w14:paraId="4A239E7C" w14:textId="69CD215C" w:rsidR="004A1E22" w:rsidRPr="00290728" w:rsidRDefault="004A1E22" w:rsidP="00D80473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يونيو </w:t>
            </w:r>
            <w:r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5383CA9F" w14:textId="77777777" w:rsidR="004A1E22" w:rsidRPr="00290728" w:rsidRDefault="004A1E22" w:rsidP="006C2EAE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EA79753" wp14:editId="3E6530F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E22" w:rsidRPr="00290728" w14:paraId="2369467A" w14:textId="77777777" w:rsidTr="00D804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D309F14" w14:textId="77777777" w:rsidR="004A1E22" w:rsidRPr="006A793B" w:rsidRDefault="004A1E22" w:rsidP="00D80473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D53D042" w14:textId="77777777" w:rsidR="004A1E22" w:rsidRPr="006A793B" w:rsidRDefault="004A1E22" w:rsidP="00D80473">
            <w:pPr>
              <w:spacing w:before="0" w:line="120" w:lineRule="auto"/>
              <w:rPr>
                <w:lang w:bidi="ar-EG"/>
              </w:rPr>
            </w:pPr>
          </w:p>
        </w:tc>
      </w:tr>
      <w:tr w:rsidR="004A1E22" w:rsidRPr="00290728" w14:paraId="781354CF" w14:textId="77777777" w:rsidTr="00D804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8C16946" w14:textId="77777777" w:rsidR="004A1E22" w:rsidRPr="00290728" w:rsidRDefault="004A1E22" w:rsidP="00D8047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EF069B0" w14:textId="77777777" w:rsidR="004A1E22" w:rsidRPr="00290728" w:rsidRDefault="004A1E22" w:rsidP="00D804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4A1E22" w:rsidRPr="00290728" w14:paraId="0BFBC265" w14:textId="77777777" w:rsidTr="00D80473">
        <w:trPr>
          <w:cantSplit/>
        </w:trPr>
        <w:tc>
          <w:tcPr>
            <w:tcW w:w="6620" w:type="dxa"/>
          </w:tcPr>
          <w:p w14:paraId="18A97B2B" w14:textId="7EEEF41E" w:rsidR="004A1E22" w:rsidRPr="002F71D8" w:rsidRDefault="004A1E22" w:rsidP="00D331EA">
            <w:pPr>
              <w:spacing w:before="20" w:after="20" w:line="28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>
              <w:rPr>
                <w:b/>
                <w:bCs/>
                <w:lang w:bidi="ar-EG"/>
              </w:rPr>
              <w:t>PL 2.1</w:t>
            </w:r>
          </w:p>
        </w:tc>
        <w:tc>
          <w:tcPr>
            <w:tcW w:w="3052" w:type="dxa"/>
            <w:vAlign w:val="center"/>
          </w:tcPr>
          <w:p w14:paraId="38E6DEBD" w14:textId="32D513E3" w:rsidR="004A1E22" w:rsidRPr="002F71D8" w:rsidRDefault="004A1E22" w:rsidP="00D331EA">
            <w:pPr>
              <w:spacing w:before="20" w:after="20" w:line="28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10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4A1E22" w:rsidRPr="00290728" w14:paraId="08F4FC82" w14:textId="77777777" w:rsidTr="00D80473">
        <w:trPr>
          <w:cantSplit/>
        </w:trPr>
        <w:tc>
          <w:tcPr>
            <w:tcW w:w="6620" w:type="dxa"/>
          </w:tcPr>
          <w:p w14:paraId="545D45FA" w14:textId="77777777" w:rsidR="004A1E22" w:rsidRPr="002F71D8" w:rsidRDefault="004A1E22" w:rsidP="00D331EA">
            <w:pPr>
              <w:spacing w:before="20" w:after="20" w:line="28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95264E2" w14:textId="1AED0EE7" w:rsidR="004A1E22" w:rsidRPr="002F71D8" w:rsidRDefault="004A1E22" w:rsidP="00D331EA">
            <w:pPr>
              <w:spacing w:before="20" w:after="20" w:line="28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22</w:t>
            </w: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F71D8">
              <w:rPr>
                <w:b/>
                <w:bCs/>
                <w:lang w:bidi="ar-SY"/>
              </w:rPr>
              <w:t>202</w:t>
            </w:r>
            <w:r>
              <w:rPr>
                <w:b/>
                <w:bCs/>
                <w:lang w:bidi="ar-SY"/>
              </w:rPr>
              <w:t>1</w:t>
            </w:r>
          </w:p>
        </w:tc>
      </w:tr>
      <w:tr w:rsidR="004A1E22" w:rsidRPr="00290728" w14:paraId="70853589" w14:textId="77777777" w:rsidTr="00D80473">
        <w:trPr>
          <w:cantSplit/>
        </w:trPr>
        <w:tc>
          <w:tcPr>
            <w:tcW w:w="6620" w:type="dxa"/>
          </w:tcPr>
          <w:p w14:paraId="3987C8DD" w14:textId="77777777" w:rsidR="004A1E22" w:rsidRPr="002F71D8" w:rsidRDefault="004A1E22" w:rsidP="00D331EA">
            <w:pPr>
              <w:spacing w:before="20" w:after="20" w:line="28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931A49F" w14:textId="77777777" w:rsidR="004A1E22" w:rsidRPr="002F71D8" w:rsidRDefault="004A1E22" w:rsidP="00D331EA">
            <w:pPr>
              <w:spacing w:before="20" w:after="20" w:line="28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4A1E2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4A1E22" w:rsidRPr="000C579E" w14:paraId="29812878" w14:textId="77777777" w:rsidTr="00D80473">
        <w:trPr>
          <w:cantSplit/>
        </w:trPr>
        <w:tc>
          <w:tcPr>
            <w:tcW w:w="9672" w:type="dxa"/>
            <w:gridSpan w:val="2"/>
          </w:tcPr>
          <w:p w14:paraId="4163B770" w14:textId="22CBE6B7" w:rsidR="004A1E22" w:rsidRPr="000C579E" w:rsidRDefault="004A1E22" w:rsidP="00D80473">
            <w:pPr>
              <w:pStyle w:val="Source"/>
              <w:rPr>
                <w:rtl/>
                <w:lang w:bidi="ar-EG"/>
              </w:rPr>
            </w:pPr>
            <w:r w:rsidRPr="000C579E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4A1E22" w:rsidRPr="000C579E" w14:paraId="4DE2CAE8" w14:textId="77777777" w:rsidTr="00D80473">
        <w:trPr>
          <w:cantSplit/>
        </w:trPr>
        <w:tc>
          <w:tcPr>
            <w:tcW w:w="9672" w:type="dxa"/>
            <w:gridSpan w:val="2"/>
          </w:tcPr>
          <w:p w14:paraId="5AFA42D5" w14:textId="2A1B454E" w:rsidR="004A1E22" w:rsidRPr="006251CE" w:rsidRDefault="00501EAA" w:rsidP="00D80473">
            <w:pPr>
              <w:pStyle w:val="Title1"/>
              <w:rPr>
                <w:w w:val="105"/>
                <w:rtl/>
                <w:lang w:bidi="ar-EG"/>
              </w:rPr>
            </w:pPr>
            <w:r w:rsidRPr="006251CE">
              <w:rPr>
                <w:w w:val="105"/>
                <w:rtl/>
              </w:rPr>
              <w:t xml:space="preserve">تعيين </w:t>
            </w:r>
            <w:r w:rsidRPr="006251CE">
              <w:rPr>
                <w:rFonts w:hint="cs"/>
                <w:w w:val="105"/>
                <w:rtl/>
              </w:rPr>
              <w:t>مكتب</w:t>
            </w:r>
            <w:r w:rsidRPr="006251CE">
              <w:rPr>
                <w:w w:val="105"/>
                <w:rtl/>
              </w:rPr>
              <w:t xml:space="preserve"> استشاري خارجي مستقل للإدارة</w:t>
            </w:r>
            <w:r w:rsidR="000C579E" w:rsidRPr="006251CE">
              <w:rPr>
                <w:rFonts w:hint="cs"/>
                <w:w w:val="105"/>
                <w:rtl/>
              </w:rPr>
              <w:t xml:space="preserve"> من أجل </w:t>
            </w:r>
            <w:r w:rsidRPr="006251CE">
              <w:rPr>
                <w:rFonts w:hint="cs"/>
                <w:w w:val="105"/>
                <w:rtl/>
              </w:rPr>
              <w:t>أحداث تليكوم الاتحاد</w:t>
            </w:r>
            <w:r w:rsidR="000C579E" w:rsidRPr="006251CE">
              <w:rPr>
                <w:rFonts w:hint="cs"/>
                <w:w w:val="105"/>
                <w:rtl/>
              </w:rPr>
              <w:t>،</w:t>
            </w:r>
            <w:r w:rsidRPr="006251CE">
              <w:rPr>
                <w:rFonts w:hint="cs"/>
                <w:w w:val="105"/>
                <w:rtl/>
              </w:rPr>
              <w:t xml:space="preserve"> و</w:t>
            </w:r>
            <w:r w:rsidR="000C579E" w:rsidRPr="006251CE">
              <w:rPr>
                <w:rFonts w:hint="cs"/>
                <w:w w:val="105"/>
                <w:rtl/>
              </w:rPr>
              <w:t>ال</w:t>
            </w:r>
            <w:r w:rsidRPr="006251CE">
              <w:rPr>
                <w:rFonts w:hint="cs"/>
                <w:w w:val="105"/>
                <w:rtl/>
              </w:rPr>
              <w:t>توصيات</w:t>
            </w:r>
            <w:r w:rsidR="000C579E" w:rsidRPr="006251CE">
              <w:rPr>
                <w:rFonts w:hint="cs"/>
                <w:w w:val="105"/>
                <w:rtl/>
              </w:rPr>
              <w:t xml:space="preserve"> </w:t>
            </w:r>
          </w:p>
        </w:tc>
      </w:tr>
    </w:tbl>
    <w:p w14:paraId="1E53BBBA" w14:textId="77777777" w:rsidR="00501EAA" w:rsidRPr="000C579E" w:rsidRDefault="00501EAA" w:rsidP="00F73C49">
      <w:pPr>
        <w:spacing w:before="0"/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501EAA" w:rsidRPr="000C579E" w14:paraId="4E7DD342" w14:textId="77777777" w:rsidTr="00D80473">
        <w:trPr>
          <w:jc w:val="center"/>
        </w:trPr>
        <w:tc>
          <w:tcPr>
            <w:tcW w:w="8080" w:type="dxa"/>
          </w:tcPr>
          <w:p w14:paraId="0D55A15F" w14:textId="77777777" w:rsidR="00501EAA" w:rsidRPr="000C579E" w:rsidRDefault="00501EAA" w:rsidP="00501EAA">
            <w:pPr>
              <w:rPr>
                <w:b/>
                <w:bCs/>
                <w:rtl/>
                <w:lang w:bidi="ar-SY"/>
              </w:rPr>
            </w:pPr>
            <w:r w:rsidRPr="000C579E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291C61FA" w14:textId="4DD516C7" w:rsidR="00501EAA" w:rsidRPr="00DF3417" w:rsidRDefault="00B516EB" w:rsidP="00501EAA">
            <w:pPr>
              <w:rPr>
                <w:spacing w:val="2"/>
                <w:rtl/>
              </w:rPr>
            </w:pPr>
            <w:r w:rsidRPr="00DF3417">
              <w:rPr>
                <w:rFonts w:hint="cs"/>
                <w:spacing w:val="2"/>
                <w:rtl/>
                <w:lang w:bidi="ar-EG"/>
              </w:rPr>
              <w:t>يقدم هذا التقرير ملخص</w:t>
            </w:r>
            <w:r w:rsidR="000C579E" w:rsidRPr="00DF3417">
              <w:rPr>
                <w:rFonts w:hint="cs"/>
                <w:spacing w:val="2"/>
                <w:rtl/>
                <w:lang w:bidi="ar-EG"/>
              </w:rPr>
              <w:t>اً</w:t>
            </w:r>
            <w:r w:rsidRPr="00DF3417">
              <w:rPr>
                <w:rFonts w:hint="cs"/>
                <w:spacing w:val="2"/>
                <w:rtl/>
                <w:lang w:bidi="ar-EG"/>
              </w:rPr>
              <w:t xml:space="preserve"> موجز</w:t>
            </w:r>
            <w:r w:rsidR="000C579E" w:rsidRPr="00DF3417">
              <w:rPr>
                <w:rFonts w:hint="cs"/>
                <w:spacing w:val="2"/>
                <w:rtl/>
                <w:lang w:bidi="ar-EG"/>
              </w:rPr>
              <w:t>اً</w:t>
            </w:r>
            <w:r w:rsidRPr="00DF3417">
              <w:rPr>
                <w:rFonts w:hint="cs"/>
                <w:spacing w:val="2"/>
                <w:rtl/>
                <w:lang w:bidi="ar-EG"/>
              </w:rPr>
              <w:t xml:space="preserve"> جداً للعناصر والتوصيات </w:t>
            </w:r>
            <w:r w:rsidR="00AB303E" w:rsidRPr="00DF3417">
              <w:rPr>
                <w:rFonts w:hint="cs"/>
                <w:spacing w:val="2"/>
                <w:rtl/>
                <w:lang w:bidi="ar-EG"/>
              </w:rPr>
              <w:t>الأساسية</w:t>
            </w:r>
            <w:r w:rsidRPr="00DF3417">
              <w:rPr>
                <w:rFonts w:hint="cs"/>
                <w:spacing w:val="2"/>
                <w:rtl/>
                <w:lang w:bidi="ar-EG"/>
              </w:rPr>
              <w:t xml:space="preserve"> من تقرير </w:t>
            </w:r>
            <w:proofErr w:type="spellStart"/>
            <w:r w:rsidRPr="00DF3417">
              <w:rPr>
                <w:rFonts w:hint="cs"/>
                <w:spacing w:val="2"/>
                <w:rtl/>
                <w:lang w:bidi="ar-EG"/>
              </w:rPr>
              <w:t>دالبيرغ</w:t>
            </w:r>
            <w:proofErr w:type="spellEnd"/>
            <w:r w:rsidRPr="00DF3417">
              <w:rPr>
                <w:rFonts w:hint="cs"/>
                <w:spacing w:val="2"/>
                <w:rtl/>
                <w:lang w:bidi="ar-EG"/>
              </w:rPr>
              <w:t xml:space="preserve"> الواردة في</w:t>
            </w:r>
            <w:r w:rsidR="00DF3417">
              <w:rPr>
                <w:rFonts w:hint="eastAsia"/>
                <w:spacing w:val="2"/>
                <w:rtl/>
                <w:lang w:bidi="ar-EG"/>
              </w:rPr>
              <w:t> </w:t>
            </w:r>
            <w:r w:rsidRPr="00DF3417">
              <w:rPr>
                <w:rFonts w:hint="cs"/>
                <w:spacing w:val="2"/>
                <w:rtl/>
                <w:lang w:bidi="ar-EG"/>
              </w:rPr>
              <w:t>الوثيقة</w:t>
            </w:r>
            <w:r w:rsidRPr="00DF3417">
              <w:rPr>
                <w:rFonts w:hint="eastAsia"/>
                <w:spacing w:val="2"/>
                <w:rtl/>
                <w:lang w:bidi="ar-EG"/>
              </w:rPr>
              <w:t> </w:t>
            </w:r>
            <w:r w:rsidRPr="00DF3417">
              <w:rPr>
                <w:spacing w:val="2"/>
                <w:lang w:bidi="ar-EG"/>
              </w:rPr>
              <w:t>C20/10</w:t>
            </w:r>
            <w:r w:rsidRPr="00DF3417">
              <w:rPr>
                <w:rFonts w:hint="cs"/>
                <w:spacing w:val="2"/>
                <w:rtl/>
                <w:lang w:bidi="ar-EG"/>
              </w:rPr>
              <w:t xml:space="preserve"> ومعلومات بشأن تعيين مكتب استشاري للمرحلة الثانية</w:t>
            </w:r>
            <w:r w:rsidR="00501EAA" w:rsidRPr="00DF3417">
              <w:rPr>
                <w:rFonts w:hint="cs"/>
                <w:spacing w:val="2"/>
                <w:rtl/>
              </w:rPr>
              <w:t>.</w:t>
            </w:r>
          </w:p>
          <w:p w14:paraId="5511BC40" w14:textId="509DA1CE" w:rsidR="00B516EB" w:rsidRPr="000C579E" w:rsidRDefault="00B516EB" w:rsidP="00501EAA">
            <w:pPr>
              <w:rPr>
                <w:rtl/>
                <w:lang w:val="en-GB" w:bidi="ar-EG"/>
              </w:rPr>
            </w:pPr>
            <w:r w:rsidRPr="000C579E">
              <w:rPr>
                <w:rFonts w:hint="cs"/>
                <w:rtl/>
                <w:lang w:bidi="ar-EG"/>
              </w:rPr>
              <w:t>ع</w:t>
            </w:r>
            <w:r w:rsidR="000C579E">
              <w:rPr>
                <w:rFonts w:hint="cs"/>
                <w:rtl/>
                <w:lang w:bidi="ar-EG"/>
              </w:rPr>
              <w:t>ُ</w:t>
            </w:r>
            <w:r w:rsidRPr="000C579E">
              <w:rPr>
                <w:rFonts w:hint="cs"/>
                <w:rtl/>
                <w:lang w:bidi="ar-EG"/>
              </w:rPr>
              <w:t>رض</w:t>
            </w:r>
            <w:r w:rsidR="000C579E">
              <w:rPr>
                <w:rFonts w:hint="cs"/>
                <w:rtl/>
                <w:lang w:bidi="ar-EG"/>
              </w:rPr>
              <w:t>ت</w:t>
            </w:r>
            <w:r w:rsidRPr="000C579E">
              <w:rPr>
                <w:rFonts w:hint="cs"/>
                <w:rtl/>
                <w:lang w:bidi="ar-EG"/>
              </w:rPr>
              <w:t xml:space="preserve"> الوثيقة </w:t>
            </w:r>
            <w:r w:rsidRPr="000C579E">
              <w:rPr>
                <w:lang w:bidi="ar-EG"/>
              </w:rPr>
              <w:t>C20/10</w:t>
            </w:r>
            <w:r w:rsidRPr="000C579E">
              <w:rPr>
                <w:rFonts w:hint="cs"/>
                <w:rtl/>
                <w:lang w:bidi="ar-EG"/>
              </w:rPr>
              <w:t xml:space="preserve"> على المشاورة الافتراضية الثانية لأعضاء المجلس وات</w:t>
            </w:r>
            <w:r w:rsidR="000C579E">
              <w:rPr>
                <w:rFonts w:hint="cs"/>
                <w:rtl/>
                <w:lang w:bidi="ar-EG"/>
              </w:rPr>
              <w:t>ُ</w:t>
            </w:r>
            <w:r w:rsidRPr="000C579E">
              <w:rPr>
                <w:rFonts w:hint="cs"/>
                <w:rtl/>
                <w:lang w:bidi="ar-EG"/>
              </w:rPr>
              <w:t xml:space="preserve">فق على </w:t>
            </w:r>
            <w:r w:rsidRPr="000C579E">
              <w:rPr>
                <w:rtl/>
                <w:lang w:bidi="ar-EG"/>
              </w:rPr>
              <w:t>مواصلة النظر في</w:t>
            </w:r>
            <w:r w:rsidR="00B66DE5">
              <w:rPr>
                <w:rFonts w:hint="cs"/>
                <w:rtl/>
                <w:lang w:bidi="ar-EG"/>
              </w:rPr>
              <w:t> </w:t>
            </w:r>
            <w:r w:rsidRPr="000C579E">
              <w:rPr>
                <w:rtl/>
                <w:lang w:bidi="ar-EG"/>
              </w:rPr>
              <w:t xml:space="preserve">التقرير </w:t>
            </w:r>
            <w:r w:rsidRPr="000C579E">
              <w:rPr>
                <w:rtl/>
                <w:lang w:val="en-GB"/>
              </w:rPr>
              <w:t xml:space="preserve">وتقديم توصيات إلى دورة المجلس لعام </w:t>
            </w:r>
            <w:r w:rsidRPr="000C579E">
              <w:rPr>
                <w:lang w:val="en-GB"/>
              </w:rPr>
              <w:t>2021</w:t>
            </w:r>
            <w:r w:rsidRPr="000C579E">
              <w:rPr>
                <w:rFonts w:hint="cs"/>
                <w:rtl/>
                <w:lang w:val="en-GB"/>
              </w:rPr>
              <w:t>.</w:t>
            </w:r>
          </w:p>
          <w:p w14:paraId="2495F6BD" w14:textId="77777777" w:rsidR="00501EAA" w:rsidRPr="000C579E" w:rsidRDefault="00501EAA" w:rsidP="00501EAA">
            <w:pPr>
              <w:rPr>
                <w:b/>
                <w:bCs/>
                <w:rtl/>
                <w:lang w:bidi="ar-SY"/>
              </w:rPr>
            </w:pPr>
            <w:r w:rsidRPr="000C579E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28276902" w14:textId="51344D81" w:rsidR="00501EAA" w:rsidRPr="000C579E" w:rsidRDefault="000C579E" w:rsidP="00501EAA">
            <w:pPr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يرجى من</w:t>
            </w:r>
            <w:r w:rsidRPr="000C579E">
              <w:rPr>
                <w:rFonts w:hint="cs"/>
                <w:rtl/>
                <w:lang w:bidi="ar-SY"/>
              </w:rPr>
              <w:t xml:space="preserve"> </w:t>
            </w:r>
            <w:r w:rsidR="00501EAA" w:rsidRPr="000C579E">
              <w:rPr>
                <w:rFonts w:hint="cs"/>
                <w:rtl/>
                <w:lang w:bidi="ar-SY"/>
              </w:rPr>
              <w:t xml:space="preserve">المجلس </w:t>
            </w:r>
            <w:r w:rsidR="00501EAA" w:rsidRPr="000C579E">
              <w:rPr>
                <w:rFonts w:hint="cs"/>
                <w:b/>
                <w:bCs/>
                <w:rtl/>
                <w:lang w:bidi="ar-SY"/>
              </w:rPr>
              <w:t>الإحاطة علماً</w:t>
            </w:r>
            <w:r w:rsidR="00501EAA" w:rsidRPr="000C579E">
              <w:rPr>
                <w:rFonts w:hint="cs"/>
                <w:rtl/>
                <w:lang w:bidi="ar-SY"/>
              </w:rPr>
              <w:t xml:space="preserve"> بهذا التقرير وكذلك الوثيقة </w:t>
            </w:r>
            <w:r w:rsidR="00501EAA" w:rsidRPr="000C579E">
              <w:rPr>
                <w:lang w:bidi="ar-SY"/>
              </w:rPr>
              <w:t>C20/10</w:t>
            </w:r>
            <w:r w:rsidR="00501EAA" w:rsidRPr="000C579E">
              <w:rPr>
                <w:rFonts w:hint="cs"/>
                <w:rtl/>
                <w:lang w:bidi="ar-SY"/>
              </w:rPr>
              <w:t xml:space="preserve"> </w:t>
            </w:r>
            <w:r w:rsidR="00501EAA" w:rsidRPr="000C579E">
              <w:rPr>
                <w:rFonts w:hint="cs"/>
                <w:b/>
                <w:bCs/>
                <w:rtl/>
                <w:lang w:bidi="ar-SY"/>
              </w:rPr>
              <w:t>واتخاذ قرار</w:t>
            </w:r>
            <w:r w:rsidR="00501EAA" w:rsidRPr="000C579E">
              <w:rPr>
                <w:rFonts w:hint="cs"/>
                <w:rtl/>
                <w:lang w:bidi="ar-SY"/>
              </w:rPr>
              <w:t xml:space="preserve"> بشأن تعيين </w:t>
            </w:r>
            <w:r w:rsidR="00501EAA" w:rsidRPr="000C579E">
              <w:rPr>
                <w:rFonts w:hint="cs"/>
                <w:rtl/>
              </w:rPr>
              <w:t>مكتب استشاري للمرحلة الثانية.</w:t>
            </w:r>
          </w:p>
          <w:p w14:paraId="0AF43BFC" w14:textId="34F76DE1" w:rsidR="00501EAA" w:rsidRPr="000C579E" w:rsidRDefault="00320584" w:rsidP="00320584">
            <w:pPr>
              <w:jc w:val="center"/>
              <w:rPr>
                <w:rtl/>
                <w:lang w:bidi="ar-EG"/>
              </w:rPr>
            </w:pPr>
            <w:r w:rsidRPr="000C579E"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ـــــــــــــــــــــــــــــــــــــــــــــــــــــــــــــــــــــــــــــــــــــــــ</w:t>
            </w:r>
          </w:p>
          <w:p w14:paraId="56ADE63F" w14:textId="77777777" w:rsidR="00501EAA" w:rsidRPr="000C579E" w:rsidRDefault="00501EAA" w:rsidP="00501EAA">
            <w:pPr>
              <w:rPr>
                <w:b/>
                <w:bCs/>
                <w:rtl/>
                <w:lang w:bidi="ar-SY"/>
              </w:rPr>
            </w:pPr>
            <w:r w:rsidRPr="000C579E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6866E576" w14:textId="2C09A35A" w:rsidR="00501EAA" w:rsidRPr="000C579E" w:rsidRDefault="006D6EFC" w:rsidP="00C07572">
            <w:pPr>
              <w:spacing w:after="120"/>
              <w:rPr>
                <w:rtl/>
                <w:lang w:bidi="ar-EG"/>
              </w:rPr>
            </w:pPr>
            <w:hyperlink r:id="rId9" w:history="1">
              <w:r w:rsidR="00501EAA" w:rsidRPr="000C579E">
                <w:rPr>
                  <w:rStyle w:val="Hyperlink"/>
                  <w:rFonts w:hint="cs"/>
                  <w:rtl/>
                  <w:lang w:bidi="ar-EG"/>
                </w:rPr>
                <w:t xml:space="preserve">عرض </w:t>
              </w:r>
              <w:proofErr w:type="spellStart"/>
              <w:r w:rsidR="00501EAA" w:rsidRPr="000C579E">
                <w:rPr>
                  <w:rStyle w:val="Hyperlink"/>
                  <w:rFonts w:hint="cs"/>
                  <w:rtl/>
                  <w:lang w:bidi="ar-EG"/>
                </w:rPr>
                <w:t>دالبيرغ</w:t>
              </w:r>
              <w:proofErr w:type="spellEnd"/>
              <w:r w:rsidR="00501EAA" w:rsidRPr="000C579E">
                <w:rPr>
                  <w:rStyle w:val="Hyperlink"/>
                  <w:rFonts w:hint="cs"/>
                  <w:rtl/>
                  <w:lang w:bidi="ar-EG"/>
                </w:rPr>
                <w:t xml:space="preserve"> إلى المشاورة الافتراضية الثانية لأعضاء المجلس في </w:t>
              </w:r>
              <w:r w:rsidR="00501EAA" w:rsidRPr="000C579E">
                <w:rPr>
                  <w:rStyle w:val="Hyperlink"/>
                  <w:lang w:bidi="ar-EG"/>
                </w:rPr>
                <w:t>2020</w:t>
              </w:r>
              <w:r w:rsidR="00501EAA" w:rsidRPr="000C579E">
                <w:rPr>
                  <w:rStyle w:val="Hyperlink"/>
                  <w:rFonts w:hint="cs"/>
                  <w:rtl/>
                  <w:lang w:bidi="ar-EG"/>
                </w:rPr>
                <w:t xml:space="preserve"> (الوثيقة </w:t>
              </w:r>
              <w:r w:rsidR="00501EAA" w:rsidRPr="000C579E">
                <w:rPr>
                  <w:rStyle w:val="Hyperlink"/>
                  <w:lang w:bidi="ar-EG"/>
                </w:rPr>
                <w:t>C20/10</w:t>
              </w:r>
              <w:r w:rsidR="00501EAA" w:rsidRPr="000C579E">
                <w:rPr>
                  <w:rStyle w:val="Hyperlink"/>
                  <w:rFonts w:hint="cs"/>
                  <w:rtl/>
                  <w:lang w:bidi="ar-EG"/>
                </w:rPr>
                <w:t>)</w:t>
              </w:r>
            </w:hyperlink>
          </w:p>
        </w:tc>
      </w:tr>
    </w:tbl>
    <w:p w14:paraId="6392F5F7" w14:textId="5B59BFE7" w:rsidR="00264956" w:rsidRPr="00375E49" w:rsidRDefault="00311733" w:rsidP="00F73C49">
      <w:pPr>
        <w:pStyle w:val="Normalaftertitle"/>
        <w:keepNext w:val="0"/>
        <w:spacing w:before="240"/>
        <w:rPr>
          <w:rtl/>
          <w:lang w:bidi="ar-EG"/>
        </w:rPr>
      </w:pPr>
      <w:r w:rsidRPr="00375E49">
        <w:t>1</w:t>
      </w:r>
      <w:r w:rsidRPr="00375E49">
        <w:rPr>
          <w:rtl/>
          <w:lang w:bidi="ar-EG"/>
        </w:rPr>
        <w:tab/>
      </w:r>
      <w:r w:rsidRPr="00375E49">
        <w:rPr>
          <w:rFonts w:hint="cs"/>
          <w:rtl/>
          <w:lang w:bidi="ar-SA"/>
        </w:rPr>
        <w:t xml:space="preserve">وفقاً للتوجيهات المذكورة في القرار </w:t>
      </w:r>
      <w:r w:rsidRPr="00375E49">
        <w:rPr>
          <w:rFonts w:hint="cs"/>
          <w:lang w:bidi="ar-EG"/>
        </w:rPr>
        <w:t>11</w:t>
      </w:r>
      <w:r w:rsidRPr="00375E49">
        <w:rPr>
          <w:rFonts w:hint="cs"/>
          <w:rtl/>
          <w:lang w:bidi="ar"/>
        </w:rPr>
        <w:t xml:space="preserve"> (المراجَع في دبي، </w:t>
      </w:r>
      <w:r w:rsidRPr="00375E49">
        <w:rPr>
          <w:rFonts w:hint="cs"/>
          <w:lang w:bidi="ar-EG"/>
        </w:rPr>
        <w:t>2018</w:t>
      </w:r>
      <w:r w:rsidRPr="00375E49">
        <w:rPr>
          <w:rFonts w:hint="cs"/>
          <w:rtl/>
          <w:lang w:bidi="ar"/>
        </w:rPr>
        <w:t xml:space="preserve">) لمؤتمر المندوبين المفوضين، عُيّن المكتب الاستشاري الخارجي المستقل </w:t>
      </w:r>
      <w:proofErr w:type="spellStart"/>
      <w:r w:rsidRPr="00375E49">
        <w:rPr>
          <w:rFonts w:hint="cs"/>
          <w:rtl/>
          <w:lang w:bidi="ar"/>
        </w:rPr>
        <w:t>دالبيرغ</w:t>
      </w:r>
      <w:proofErr w:type="spellEnd"/>
      <w:r w:rsidRPr="00375E49">
        <w:rPr>
          <w:rFonts w:hint="cs"/>
          <w:rtl/>
          <w:lang w:bidi="ar"/>
        </w:rPr>
        <w:t xml:space="preserve"> </w:t>
      </w:r>
      <w:r w:rsidRPr="00375E49">
        <w:rPr>
          <w:rtl/>
          <w:lang w:bidi="ar-SA"/>
        </w:rPr>
        <w:t xml:space="preserve">لإجراء تقييم واستعراض استراتيجيين وماليين شاملين لأحداث تليكوم الاتحاد، </w:t>
      </w:r>
      <w:hyperlink r:id="rId10" w:history="1">
        <w:r w:rsidR="000C579E" w:rsidRPr="00375E49">
          <w:rPr>
            <w:rStyle w:val="Hyperlink"/>
            <w:rFonts w:hint="cs"/>
            <w:rtl/>
            <w:lang w:bidi="ar-SA"/>
          </w:rPr>
          <w:t>وقدم</w:t>
        </w:r>
        <w:r w:rsidR="00375E49">
          <w:rPr>
            <w:rStyle w:val="Hyperlink"/>
            <w:rFonts w:hint="cs"/>
            <w:rtl/>
            <w:lang w:bidi="ar-SA"/>
          </w:rPr>
          <w:t> </w:t>
        </w:r>
        <w:r w:rsidR="000C579E" w:rsidRPr="00375E49">
          <w:rPr>
            <w:rStyle w:val="Hyperlink"/>
            <w:rtl/>
            <w:lang w:bidi="ar-SA"/>
          </w:rPr>
          <w:t>تقرير</w:t>
        </w:r>
      </w:hyperlink>
      <w:r w:rsidR="000C579E" w:rsidRPr="00375E49">
        <w:rPr>
          <w:rStyle w:val="Hyperlink"/>
          <w:rFonts w:hint="cs"/>
          <w:rtl/>
          <w:lang w:bidi="ar-SA"/>
        </w:rPr>
        <w:t>اً</w:t>
      </w:r>
      <w:r w:rsidRPr="00375E49">
        <w:rPr>
          <w:rtl/>
          <w:lang w:bidi="ar-SA"/>
        </w:rPr>
        <w:t xml:space="preserve"> مصحوبا</w:t>
      </w:r>
      <w:r w:rsidRPr="00375E49">
        <w:rPr>
          <w:rFonts w:hint="cs"/>
          <w:rtl/>
          <w:lang w:bidi="ar-SA"/>
        </w:rPr>
        <w:t>ً</w:t>
      </w:r>
      <w:r w:rsidRPr="00375E49">
        <w:rPr>
          <w:rtl/>
          <w:lang w:bidi="ar-SA"/>
        </w:rPr>
        <w:t xml:space="preserve"> بالتوصيات والاستراتيجيات المختلفة إلى </w:t>
      </w:r>
      <w:r w:rsidR="00F303AF" w:rsidRPr="00375E49">
        <w:rPr>
          <w:rFonts w:hint="cs"/>
          <w:rtl/>
          <w:lang w:bidi="ar-SA"/>
        </w:rPr>
        <w:t>المشاورة الافتراضية لأعضاء المجلس</w:t>
      </w:r>
      <w:r w:rsidRPr="00375E49">
        <w:rPr>
          <w:rtl/>
          <w:lang w:bidi="ar-SA"/>
        </w:rPr>
        <w:t xml:space="preserve"> في عام </w:t>
      </w:r>
      <w:r w:rsidRPr="00375E49">
        <w:rPr>
          <w:lang w:bidi="ar-EG"/>
        </w:rPr>
        <w:t>2020</w:t>
      </w:r>
      <w:r w:rsidRPr="00375E49">
        <w:rPr>
          <w:rFonts w:hint="cs"/>
          <w:rtl/>
          <w:lang w:bidi="ar-SA"/>
        </w:rPr>
        <w:t>.</w:t>
      </w:r>
    </w:p>
    <w:p w14:paraId="19F41FC5" w14:textId="0342987F" w:rsidR="00F303AF" w:rsidRPr="000C579E" w:rsidRDefault="00F303AF" w:rsidP="004C124B">
      <w:pPr>
        <w:pStyle w:val="Normalaftertitle"/>
        <w:keepNext w:val="0"/>
        <w:spacing w:before="120"/>
        <w:rPr>
          <w:rtl/>
          <w:lang w:bidi="ar-EG"/>
        </w:rPr>
      </w:pPr>
      <w:r w:rsidRPr="000C579E">
        <w:rPr>
          <w:lang w:bidi="ar-EG"/>
        </w:rPr>
        <w:t>2</w:t>
      </w:r>
      <w:r w:rsidRPr="000C579E">
        <w:rPr>
          <w:rtl/>
          <w:lang w:bidi="ar-EG"/>
        </w:rPr>
        <w:tab/>
      </w:r>
      <w:r w:rsidR="00AB303E" w:rsidRPr="000C579E">
        <w:rPr>
          <w:rFonts w:hint="cs"/>
          <w:rtl/>
          <w:lang w:bidi="ar-EG"/>
        </w:rPr>
        <w:t>وتضمنت العناصر والتوصيات الأساسية</w:t>
      </w:r>
      <w:r w:rsidR="000C579E">
        <w:rPr>
          <w:rFonts w:hint="cs"/>
          <w:rtl/>
          <w:lang w:bidi="ar-EG"/>
        </w:rPr>
        <w:t xml:space="preserve"> الواردة في تقرير </w:t>
      </w:r>
      <w:proofErr w:type="spellStart"/>
      <w:r w:rsidR="000C579E">
        <w:rPr>
          <w:rFonts w:hint="cs"/>
          <w:rtl/>
          <w:lang w:bidi="ar-EG"/>
        </w:rPr>
        <w:t>دالبيرغ</w:t>
      </w:r>
      <w:proofErr w:type="spellEnd"/>
      <w:r w:rsidR="00AB303E" w:rsidRPr="000C579E">
        <w:rPr>
          <w:rFonts w:hint="cs"/>
          <w:rtl/>
          <w:lang w:bidi="ar-EG"/>
        </w:rPr>
        <w:t xml:space="preserve"> </w:t>
      </w:r>
      <w:r w:rsidR="00AB303E" w:rsidRPr="000C579E">
        <w:rPr>
          <w:rFonts w:hint="cs"/>
          <w:i/>
          <w:iCs/>
          <w:rtl/>
          <w:lang w:bidi="ar"/>
        </w:rPr>
        <w:t xml:space="preserve">تحليل أحداث تكنولوجيا المعلومات والاتصالات واستعراض </w:t>
      </w:r>
      <w:r w:rsidR="00AB303E" w:rsidRPr="000C579E">
        <w:rPr>
          <w:rFonts w:hint="cs"/>
          <w:i/>
          <w:iCs/>
          <w:rtl/>
          <w:lang w:bidi="ar-EG"/>
        </w:rPr>
        <w:t xml:space="preserve">الأساس الاستراتيجي لأحداث تليكوم الاتحاد؛ وتقييم أحداث تليكوم الاتحاد </w:t>
      </w:r>
      <w:r w:rsidR="00481686" w:rsidRPr="000C579E">
        <w:rPr>
          <w:rFonts w:hint="cs"/>
          <w:i/>
          <w:iCs/>
          <w:rtl/>
          <w:lang w:bidi="ar"/>
        </w:rPr>
        <w:t xml:space="preserve">من </w:t>
      </w:r>
      <w:r w:rsidR="000C579E">
        <w:rPr>
          <w:rFonts w:hint="cs"/>
          <w:i/>
          <w:iCs/>
          <w:rtl/>
          <w:lang w:bidi="ar"/>
        </w:rPr>
        <w:t>ثلاث</w:t>
      </w:r>
      <w:r w:rsidR="000C579E" w:rsidRPr="000C579E">
        <w:rPr>
          <w:rFonts w:hint="cs"/>
          <w:i/>
          <w:iCs/>
          <w:rtl/>
          <w:lang w:bidi="ar"/>
        </w:rPr>
        <w:t xml:space="preserve"> </w:t>
      </w:r>
      <w:r w:rsidR="00481686" w:rsidRPr="000C579E">
        <w:rPr>
          <w:rFonts w:hint="cs"/>
          <w:i/>
          <w:iCs/>
          <w:rtl/>
          <w:lang w:bidi="ar"/>
        </w:rPr>
        <w:t xml:space="preserve">زوايا: التأثير مقابل الأهداف الاستراتيجية للأحداث؛ </w:t>
      </w:r>
      <w:r w:rsidR="00D41902">
        <w:rPr>
          <w:rFonts w:hint="cs"/>
          <w:i/>
          <w:iCs/>
          <w:rtl/>
          <w:lang w:bidi="ar"/>
        </w:rPr>
        <w:t>وبيان</w:t>
      </w:r>
      <w:r w:rsidR="00D41902" w:rsidRPr="000C579E">
        <w:rPr>
          <w:rFonts w:hint="cs"/>
          <w:i/>
          <w:iCs/>
          <w:rtl/>
          <w:lang w:bidi="ar"/>
        </w:rPr>
        <w:t xml:space="preserve"> </w:t>
      </w:r>
      <w:r w:rsidR="00481686" w:rsidRPr="000C579E">
        <w:rPr>
          <w:rFonts w:hint="cs"/>
          <w:i/>
          <w:iCs/>
          <w:rtl/>
          <w:lang w:bidi="ar"/>
        </w:rPr>
        <w:t xml:space="preserve">القيمة للمشاركين؛ والاستدامة المالية وتوليد الخيارات </w:t>
      </w:r>
      <w:r w:rsidR="00481686" w:rsidRPr="000C579E">
        <w:rPr>
          <w:rFonts w:hint="cs"/>
          <w:i/>
          <w:iCs/>
          <w:rtl/>
          <w:lang w:bidi="ar-EG"/>
        </w:rPr>
        <w:t>وتقييم</w:t>
      </w:r>
      <w:r w:rsidR="00D41902">
        <w:rPr>
          <w:rFonts w:hint="cs"/>
          <w:i/>
          <w:iCs/>
          <w:rtl/>
          <w:lang w:bidi="ar-EG"/>
        </w:rPr>
        <w:t>ها للمضي قدُماً</w:t>
      </w:r>
      <w:r w:rsidR="00481686" w:rsidRPr="000C579E">
        <w:rPr>
          <w:rFonts w:hint="cs"/>
          <w:rtl/>
          <w:lang w:bidi="ar-EG"/>
        </w:rPr>
        <w:t>.</w:t>
      </w:r>
    </w:p>
    <w:p w14:paraId="40B3FB78" w14:textId="6AE302D2" w:rsidR="00481686" w:rsidRPr="000C579E" w:rsidRDefault="00481686" w:rsidP="004C124B">
      <w:pPr>
        <w:pStyle w:val="Normalaftertitle"/>
        <w:keepNext w:val="0"/>
        <w:spacing w:before="120"/>
        <w:rPr>
          <w:rtl/>
          <w:lang w:bidi="ar-EG"/>
        </w:rPr>
      </w:pPr>
      <w:r w:rsidRPr="000C579E">
        <w:rPr>
          <w:lang w:bidi="ar-EG"/>
        </w:rPr>
        <w:t>3</w:t>
      </w:r>
      <w:r w:rsidRPr="000C579E">
        <w:rPr>
          <w:rtl/>
          <w:lang w:bidi="ar-EG"/>
        </w:rPr>
        <w:tab/>
      </w:r>
      <w:r w:rsidRPr="000C579E">
        <w:rPr>
          <w:rFonts w:hint="cs"/>
          <w:rtl/>
          <w:lang w:bidi="ar-EG"/>
        </w:rPr>
        <w:t xml:space="preserve">وعرض التقرير خيارات </w:t>
      </w:r>
      <w:r w:rsidR="00342C85" w:rsidRPr="000C579E">
        <w:rPr>
          <w:rFonts w:hint="cs"/>
          <w:rtl/>
          <w:lang w:bidi="ar-EG"/>
        </w:rPr>
        <w:t xml:space="preserve">مختلفة تشمل </w:t>
      </w:r>
      <w:r w:rsidR="00342C85" w:rsidRPr="000C579E">
        <w:rPr>
          <w:rFonts w:hint="cs"/>
          <w:i/>
          <w:iCs/>
          <w:rtl/>
          <w:lang w:bidi="ar-EG"/>
        </w:rPr>
        <w:t>جلسات إقليمية صغيرة النطاق</w:t>
      </w:r>
      <w:r w:rsidR="001A05E2">
        <w:rPr>
          <w:rFonts w:hint="cs"/>
          <w:i/>
          <w:iCs/>
          <w:rtl/>
          <w:lang w:bidi="ar-EG"/>
        </w:rPr>
        <w:t xml:space="preserve"> للمنتدى</w:t>
      </w:r>
      <w:r w:rsidR="00342C85" w:rsidRPr="000C579E">
        <w:rPr>
          <w:rFonts w:hint="cs"/>
          <w:i/>
          <w:iCs/>
          <w:rtl/>
          <w:lang w:bidi="ar-EG"/>
        </w:rPr>
        <w:t xml:space="preserve">؛ ومنتدى بشأن "التكنولوجيا الرقمية لأغراض التنمية" يركز على البلدان النامية؛ </w:t>
      </w:r>
      <w:r w:rsidR="001A1287">
        <w:rPr>
          <w:rFonts w:hint="cs"/>
          <w:i/>
          <w:iCs/>
          <w:rtl/>
          <w:lang w:bidi="ar-EG"/>
        </w:rPr>
        <w:t>وتنظيم معرض</w:t>
      </w:r>
      <w:r w:rsidR="00342C85" w:rsidRPr="000C579E">
        <w:rPr>
          <w:i/>
          <w:iCs/>
          <w:lang w:bidi="ar-EG"/>
        </w:rPr>
        <w:t xml:space="preserve"> </w:t>
      </w:r>
      <w:r w:rsidR="00342C85" w:rsidRPr="000C579E">
        <w:rPr>
          <w:i/>
          <w:iCs/>
          <w:rtl/>
          <w:lang w:bidi="ar-EG"/>
        </w:rPr>
        <w:t>و</w:t>
      </w:r>
      <w:r w:rsidR="001A05E2">
        <w:rPr>
          <w:rFonts w:hint="cs"/>
          <w:i/>
          <w:iCs/>
          <w:rtl/>
          <w:lang w:bidi="ar-EG"/>
        </w:rPr>
        <w:t>جلسات ل</w:t>
      </w:r>
      <w:r w:rsidR="00342C85" w:rsidRPr="000C579E">
        <w:rPr>
          <w:i/>
          <w:iCs/>
          <w:rtl/>
          <w:lang w:bidi="ar-EG"/>
        </w:rPr>
        <w:t>لمنتدى</w:t>
      </w:r>
      <w:r w:rsidR="00342C85" w:rsidRPr="000C579E">
        <w:rPr>
          <w:i/>
          <w:iCs/>
          <w:lang w:bidi="ar-EG"/>
        </w:rPr>
        <w:t xml:space="preserve"> </w:t>
      </w:r>
      <w:r w:rsidR="00342C85" w:rsidRPr="000C579E">
        <w:rPr>
          <w:i/>
          <w:iCs/>
          <w:rtl/>
          <w:lang w:bidi="ar-EG"/>
        </w:rPr>
        <w:t>تكرس</w:t>
      </w:r>
      <w:r w:rsidR="00342C85" w:rsidRPr="000C579E">
        <w:rPr>
          <w:i/>
          <w:iCs/>
          <w:lang w:bidi="ar-EG"/>
        </w:rPr>
        <w:t xml:space="preserve"> </w:t>
      </w:r>
      <w:r w:rsidR="00342C85" w:rsidRPr="000C579E">
        <w:rPr>
          <w:i/>
          <w:iCs/>
          <w:rtl/>
          <w:lang w:bidi="ar-EG"/>
        </w:rPr>
        <w:t>لموضوع</w:t>
      </w:r>
      <w:r w:rsidR="00342C85" w:rsidRPr="000C579E">
        <w:rPr>
          <w:i/>
          <w:iCs/>
          <w:lang w:bidi="ar-EG"/>
        </w:rPr>
        <w:t xml:space="preserve"> "</w:t>
      </w:r>
      <w:r w:rsidR="00342C85" w:rsidRPr="000C579E">
        <w:rPr>
          <w:i/>
          <w:iCs/>
          <w:rtl/>
          <w:lang w:bidi="ar-EG"/>
        </w:rPr>
        <w:t>التكنولوجيا</w:t>
      </w:r>
      <w:r w:rsidR="00342C85" w:rsidRPr="000C579E">
        <w:rPr>
          <w:i/>
          <w:iCs/>
          <w:lang w:bidi="ar-EG"/>
        </w:rPr>
        <w:t xml:space="preserve"> </w:t>
      </w:r>
      <w:r w:rsidR="00342C85" w:rsidRPr="000C579E">
        <w:rPr>
          <w:i/>
          <w:iCs/>
          <w:rtl/>
          <w:lang w:bidi="ar-EG"/>
        </w:rPr>
        <w:t>الرقمية من أجل تحقيق الصالح العام" كجزء</w:t>
      </w:r>
      <w:r w:rsidR="00342C85" w:rsidRPr="000C579E">
        <w:rPr>
          <w:i/>
          <w:iCs/>
          <w:lang w:bidi="ar-EG"/>
        </w:rPr>
        <w:t xml:space="preserve"> </w:t>
      </w:r>
      <w:r w:rsidR="00342C85" w:rsidRPr="000C579E">
        <w:rPr>
          <w:i/>
          <w:iCs/>
          <w:rtl/>
          <w:lang w:bidi="ar-EG"/>
        </w:rPr>
        <w:t>من</w:t>
      </w:r>
      <w:r w:rsidR="00342C85" w:rsidRPr="000C579E">
        <w:rPr>
          <w:i/>
          <w:iCs/>
          <w:lang w:bidi="ar-EG"/>
        </w:rPr>
        <w:t xml:space="preserve"> </w:t>
      </w:r>
      <w:r w:rsidR="00342C85" w:rsidRPr="000C579E">
        <w:rPr>
          <w:i/>
          <w:iCs/>
          <w:rtl/>
          <w:lang w:bidi="ar-EG"/>
        </w:rPr>
        <w:t>حدث</w:t>
      </w:r>
      <w:r w:rsidR="00342C85" w:rsidRPr="000C579E">
        <w:rPr>
          <w:i/>
          <w:iCs/>
          <w:lang w:bidi="ar-EG"/>
        </w:rPr>
        <w:t xml:space="preserve"> </w:t>
      </w:r>
      <w:r w:rsidR="00342C85" w:rsidRPr="000C579E">
        <w:rPr>
          <w:i/>
          <w:iCs/>
          <w:rtl/>
          <w:lang w:bidi="ar-EG"/>
        </w:rPr>
        <w:t>سنوي</w:t>
      </w:r>
      <w:r w:rsidR="00342C85" w:rsidRPr="000C579E">
        <w:rPr>
          <w:i/>
          <w:iCs/>
          <w:lang w:bidi="ar-EG"/>
        </w:rPr>
        <w:t xml:space="preserve"> </w:t>
      </w:r>
      <w:r w:rsidR="00342C85" w:rsidRPr="000C579E">
        <w:rPr>
          <w:i/>
          <w:iCs/>
          <w:rtl/>
          <w:lang w:bidi="ar-EG"/>
        </w:rPr>
        <w:t>عالمي</w:t>
      </w:r>
      <w:r w:rsidR="00342C85" w:rsidRPr="000C579E">
        <w:rPr>
          <w:i/>
          <w:iCs/>
          <w:lang w:bidi="ar-EG"/>
        </w:rPr>
        <w:t xml:space="preserve"> </w:t>
      </w:r>
      <w:r w:rsidR="00342C85" w:rsidRPr="000C579E">
        <w:rPr>
          <w:i/>
          <w:iCs/>
          <w:rtl/>
          <w:lang w:bidi="ar-EG"/>
        </w:rPr>
        <w:t>ينظم</w:t>
      </w:r>
      <w:r w:rsidR="00342C85" w:rsidRPr="000C579E">
        <w:rPr>
          <w:i/>
          <w:iCs/>
          <w:lang w:bidi="ar-EG"/>
        </w:rPr>
        <w:t xml:space="preserve"> </w:t>
      </w:r>
      <w:r w:rsidR="00342C85" w:rsidRPr="000C579E">
        <w:rPr>
          <w:i/>
          <w:iCs/>
          <w:rtl/>
          <w:lang w:bidi="ar-EG"/>
        </w:rPr>
        <w:t>على</w:t>
      </w:r>
      <w:r w:rsidR="00342C85" w:rsidRPr="000C579E">
        <w:rPr>
          <w:i/>
          <w:iCs/>
          <w:lang w:bidi="ar-EG"/>
        </w:rPr>
        <w:t xml:space="preserve"> </w:t>
      </w:r>
      <w:r w:rsidR="00342C85" w:rsidRPr="000C579E">
        <w:rPr>
          <w:i/>
          <w:iCs/>
          <w:rtl/>
          <w:lang w:bidi="ar-EG"/>
        </w:rPr>
        <w:t>مستوى</w:t>
      </w:r>
      <w:r w:rsidR="00342C85" w:rsidRPr="000C579E">
        <w:rPr>
          <w:i/>
          <w:iCs/>
          <w:lang w:bidi="ar-EG"/>
        </w:rPr>
        <w:t xml:space="preserve"> </w:t>
      </w:r>
      <w:r w:rsidR="00342C85" w:rsidRPr="000C579E">
        <w:rPr>
          <w:i/>
          <w:iCs/>
          <w:rtl/>
          <w:lang w:bidi="ar-EG"/>
        </w:rPr>
        <w:t>الاتحاد</w:t>
      </w:r>
      <w:r w:rsidR="00342C85" w:rsidRPr="000C579E">
        <w:rPr>
          <w:rFonts w:hint="cs"/>
          <w:i/>
          <w:iCs/>
          <w:rtl/>
          <w:lang w:bidi="ar-EG"/>
        </w:rPr>
        <w:t xml:space="preserve">، كذلك </w:t>
      </w:r>
      <w:r w:rsidR="008431E3">
        <w:rPr>
          <w:rFonts w:hint="cs"/>
          <w:i/>
          <w:iCs/>
          <w:rtl/>
          <w:lang w:bidi="ar-EG"/>
        </w:rPr>
        <w:t>بإ</w:t>
      </w:r>
      <w:r w:rsidR="00342C85" w:rsidRPr="000C579E">
        <w:rPr>
          <w:rFonts w:hint="cs"/>
          <w:i/>
          <w:iCs/>
          <w:rtl/>
          <w:lang w:bidi="ar-EG"/>
        </w:rPr>
        <w:t>دم</w:t>
      </w:r>
      <w:r w:rsidR="008431E3">
        <w:rPr>
          <w:rFonts w:hint="cs"/>
          <w:i/>
          <w:iCs/>
          <w:rtl/>
          <w:lang w:bidi="ar-EG"/>
        </w:rPr>
        <w:t>ا</w:t>
      </w:r>
      <w:r w:rsidR="00342C85" w:rsidRPr="000C579E">
        <w:rPr>
          <w:rFonts w:hint="cs"/>
          <w:i/>
          <w:iCs/>
          <w:rtl/>
          <w:lang w:bidi="ar-EG"/>
        </w:rPr>
        <w:t xml:space="preserve">ج القمة العالمية لمجتمع المعلومات و/أو </w:t>
      </w:r>
      <w:r w:rsidR="008431E3">
        <w:rPr>
          <w:rFonts w:hint="cs"/>
          <w:i/>
          <w:iCs/>
          <w:rtl/>
          <w:lang w:bidi="ar-EG"/>
        </w:rPr>
        <w:t>ال</w:t>
      </w:r>
      <w:r w:rsidR="00342C85" w:rsidRPr="000C579E">
        <w:rPr>
          <w:rFonts w:hint="cs"/>
          <w:i/>
          <w:iCs/>
          <w:rtl/>
          <w:lang w:bidi="ar-EG"/>
        </w:rPr>
        <w:t>قمة ا</w:t>
      </w:r>
      <w:r w:rsidR="008431E3">
        <w:rPr>
          <w:rFonts w:hint="cs"/>
          <w:i/>
          <w:iCs/>
          <w:rtl/>
          <w:lang w:bidi="ar-EG"/>
        </w:rPr>
        <w:t>لعالمية ل</w:t>
      </w:r>
      <w:r w:rsidR="00342C85" w:rsidRPr="000C579E">
        <w:rPr>
          <w:rFonts w:hint="cs"/>
          <w:i/>
          <w:iCs/>
          <w:rtl/>
          <w:lang w:bidi="ar-EG"/>
        </w:rPr>
        <w:t>لذكاء الاصطناعي من أجل تحقيق الصالح العام</w:t>
      </w:r>
      <w:r w:rsidR="00342C85" w:rsidRPr="000C579E">
        <w:rPr>
          <w:rFonts w:hint="cs"/>
          <w:rtl/>
          <w:lang w:bidi="ar-EG"/>
        </w:rPr>
        <w:t xml:space="preserve">. وأوصى أيضاً المجلس بالنظر في فرصة مواصلة البحث في خيار ثالث، لتصميم حدث عالمي رئيسي </w:t>
      </w:r>
      <w:r w:rsidR="00E1209E" w:rsidRPr="000C579E">
        <w:rPr>
          <w:rFonts w:hint="cs"/>
          <w:rtl/>
          <w:lang w:bidi="ar-EG"/>
        </w:rPr>
        <w:t>في مجال التكنولوجيا الرقمية من أجل الصالح العام.</w:t>
      </w:r>
    </w:p>
    <w:p w14:paraId="51E386FE" w14:textId="362EA330" w:rsidR="00E1209E" w:rsidRPr="000C579E" w:rsidRDefault="00E1209E" w:rsidP="00C74617">
      <w:pPr>
        <w:pStyle w:val="Normalaftertitle"/>
        <w:keepNext w:val="0"/>
        <w:spacing w:before="120"/>
        <w:rPr>
          <w:rtl/>
          <w:lang w:bidi="ar-EG"/>
        </w:rPr>
      </w:pPr>
      <w:r w:rsidRPr="000C579E">
        <w:rPr>
          <w:rFonts w:hint="cs"/>
          <w:rtl/>
          <w:lang w:bidi="ar-EG"/>
        </w:rPr>
        <w:t xml:space="preserve">وخلال المشاورة الافتراضية الثانية لأعضاء المجلس في </w:t>
      </w:r>
      <w:r w:rsidRPr="000C579E">
        <w:rPr>
          <w:lang w:bidi="ar-EG"/>
        </w:rPr>
        <w:t>2020</w:t>
      </w:r>
      <w:r w:rsidRPr="000C579E">
        <w:rPr>
          <w:rFonts w:hint="cs"/>
          <w:rtl/>
          <w:lang w:bidi="ar-EG"/>
        </w:rPr>
        <w:t>، تقرر أن ي</w:t>
      </w:r>
      <w:r w:rsidR="00C33D8F">
        <w:rPr>
          <w:rFonts w:hint="cs"/>
          <w:rtl/>
          <w:lang w:bidi="ar-EG"/>
        </w:rPr>
        <w:t>ُ</w:t>
      </w:r>
      <w:r w:rsidRPr="000C579E">
        <w:rPr>
          <w:rFonts w:hint="cs"/>
          <w:rtl/>
          <w:lang w:bidi="ar-EG"/>
        </w:rPr>
        <w:t>ترك</w:t>
      </w:r>
      <w:r w:rsidR="00C33D8F">
        <w:rPr>
          <w:rFonts w:hint="cs"/>
          <w:rtl/>
          <w:lang w:bidi="ar-EG"/>
        </w:rPr>
        <w:t xml:space="preserve"> لدورة المجلس لعام 2021</w:t>
      </w:r>
      <w:r w:rsidRPr="000C579E">
        <w:rPr>
          <w:rFonts w:hint="cs"/>
          <w:rtl/>
          <w:lang w:bidi="ar-EG"/>
        </w:rPr>
        <w:t xml:space="preserve"> قرار تعيين مكتب استشاري للمرحلة الثانية.</w:t>
      </w:r>
    </w:p>
    <w:p w14:paraId="1756DD89" w14:textId="4395C427" w:rsidR="00BB7213" w:rsidRDefault="00BB7213" w:rsidP="006D6EFC">
      <w:pPr>
        <w:spacing w:before="240"/>
        <w:jc w:val="center"/>
        <w:rPr>
          <w:rtl/>
          <w:lang w:bidi="ar-EG"/>
        </w:rPr>
      </w:pPr>
      <w:r w:rsidRPr="000C579E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9767D" w14:textId="77777777" w:rsidR="0026447A" w:rsidRDefault="0026447A" w:rsidP="006C3242">
      <w:pPr>
        <w:spacing w:before="0" w:line="240" w:lineRule="auto"/>
      </w:pPr>
      <w:r>
        <w:separator/>
      </w:r>
    </w:p>
  </w:endnote>
  <w:endnote w:type="continuationSeparator" w:id="0">
    <w:p w14:paraId="37729261" w14:textId="77777777" w:rsidR="0026447A" w:rsidRDefault="0026447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B1AD1" w14:textId="5A549630" w:rsidR="006C3242" w:rsidRPr="0026373E" w:rsidRDefault="006C3242" w:rsidP="00BF132D">
    <w:pPr>
      <w:pStyle w:val="Footer"/>
      <w:tabs>
        <w:tab w:val="clear" w:pos="4153"/>
        <w:tab w:val="clear" w:pos="8306"/>
        <w:tab w:val="left" w:pos="6382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A1287">
      <w:rPr>
        <w:noProof/>
        <w:sz w:val="16"/>
        <w:szCs w:val="16"/>
        <w:lang w:val="fr-FR"/>
      </w:rPr>
      <w:t>P:\ARA\SG\CONSEIL\C21\000\010A.docx</w:t>
    </w:r>
    <w:r w:rsidRPr="0026373E">
      <w:rPr>
        <w:sz w:val="16"/>
        <w:szCs w:val="16"/>
      </w:rPr>
      <w:fldChar w:fldCharType="end"/>
    </w:r>
    <w:proofErr w:type="gramStart"/>
    <w:r w:rsidRPr="00BF132D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FC7587">
      <w:rPr>
        <w:sz w:val="16"/>
        <w:szCs w:val="16"/>
        <w:lang w:val="fr-FR"/>
      </w:rPr>
      <w:t>481</w:t>
    </w:r>
    <w:r w:rsidR="007C0BD4">
      <w:rPr>
        <w:sz w:val="16"/>
        <w:szCs w:val="16"/>
        <w:lang w:val="fr-FR"/>
      </w:rPr>
      <w:t>201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0E851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1B91E" w14:textId="77777777" w:rsidR="0026447A" w:rsidRDefault="0026447A" w:rsidP="006C3242">
      <w:pPr>
        <w:spacing w:before="0" w:line="240" w:lineRule="auto"/>
      </w:pPr>
      <w:r>
        <w:separator/>
      </w:r>
    </w:p>
  </w:footnote>
  <w:footnote w:type="continuationSeparator" w:id="0">
    <w:p w14:paraId="3DA44E05" w14:textId="77777777" w:rsidR="0026447A" w:rsidRDefault="0026447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6003D" w14:textId="4D9ED448" w:rsidR="00447F32" w:rsidRPr="00447F32" w:rsidRDefault="006D6EFC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85175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C85175">
          <w:rPr>
            <w:rFonts w:cs="Calibri"/>
            <w:noProof/>
            <w:sz w:val="20"/>
            <w:szCs w:val="20"/>
          </w:rPr>
          <w:t>10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7A"/>
    <w:rsid w:val="00004D6B"/>
    <w:rsid w:val="000440EA"/>
    <w:rsid w:val="00047B7E"/>
    <w:rsid w:val="00090574"/>
    <w:rsid w:val="000C1C0E"/>
    <w:rsid w:val="000C548A"/>
    <w:rsid w:val="000C579E"/>
    <w:rsid w:val="001A05E2"/>
    <w:rsid w:val="001A1287"/>
    <w:rsid w:val="001C0169"/>
    <w:rsid w:val="001D1D50"/>
    <w:rsid w:val="001D6745"/>
    <w:rsid w:val="001E446E"/>
    <w:rsid w:val="001F04F4"/>
    <w:rsid w:val="002154EE"/>
    <w:rsid w:val="002168CD"/>
    <w:rsid w:val="00224286"/>
    <w:rsid w:val="002276D2"/>
    <w:rsid w:val="0023283D"/>
    <w:rsid w:val="0026373E"/>
    <w:rsid w:val="0026447A"/>
    <w:rsid w:val="00264956"/>
    <w:rsid w:val="00271C43"/>
    <w:rsid w:val="00290728"/>
    <w:rsid w:val="002978F4"/>
    <w:rsid w:val="002B028D"/>
    <w:rsid w:val="002E6541"/>
    <w:rsid w:val="002F71D8"/>
    <w:rsid w:val="00311733"/>
    <w:rsid w:val="00320584"/>
    <w:rsid w:val="00334924"/>
    <w:rsid w:val="003409BC"/>
    <w:rsid w:val="00342C85"/>
    <w:rsid w:val="00357185"/>
    <w:rsid w:val="00375E49"/>
    <w:rsid w:val="00383829"/>
    <w:rsid w:val="003C6B4F"/>
    <w:rsid w:val="003F4B29"/>
    <w:rsid w:val="0042686F"/>
    <w:rsid w:val="004317D8"/>
    <w:rsid w:val="00433E1B"/>
    <w:rsid w:val="00434183"/>
    <w:rsid w:val="00443869"/>
    <w:rsid w:val="00447F32"/>
    <w:rsid w:val="00465A98"/>
    <w:rsid w:val="0047628B"/>
    <w:rsid w:val="00481686"/>
    <w:rsid w:val="0048505C"/>
    <w:rsid w:val="004A1E22"/>
    <w:rsid w:val="004C124B"/>
    <w:rsid w:val="004C5087"/>
    <w:rsid w:val="004E11DC"/>
    <w:rsid w:val="004F17DA"/>
    <w:rsid w:val="00501EAA"/>
    <w:rsid w:val="00504374"/>
    <w:rsid w:val="005409AC"/>
    <w:rsid w:val="00544D1A"/>
    <w:rsid w:val="0055516A"/>
    <w:rsid w:val="0058491B"/>
    <w:rsid w:val="00592EA5"/>
    <w:rsid w:val="005A3170"/>
    <w:rsid w:val="005B1652"/>
    <w:rsid w:val="00614855"/>
    <w:rsid w:val="00621B7C"/>
    <w:rsid w:val="006251CE"/>
    <w:rsid w:val="0063254D"/>
    <w:rsid w:val="00677396"/>
    <w:rsid w:val="00677F15"/>
    <w:rsid w:val="0069200F"/>
    <w:rsid w:val="006A65CB"/>
    <w:rsid w:val="006A793B"/>
    <w:rsid w:val="006B69F0"/>
    <w:rsid w:val="006C2EAE"/>
    <w:rsid w:val="006C3242"/>
    <w:rsid w:val="006C7CC0"/>
    <w:rsid w:val="006D47D9"/>
    <w:rsid w:val="006D6C0F"/>
    <w:rsid w:val="006D6EFC"/>
    <w:rsid w:val="006E3946"/>
    <w:rsid w:val="006F63F7"/>
    <w:rsid w:val="007025C7"/>
    <w:rsid w:val="00706D7A"/>
    <w:rsid w:val="00722F0D"/>
    <w:rsid w:val="0074420E"/>
    <w:rsid w:val="00763F77"/>
    <w:rsid w:val="00783E26"/>
    <w:rsid w:val="007909FE"/>
    <w:rsid w:val="007A4583"/>
    <w:rsid w:val="007C0BD4"/>
    <w:rsid w:val="007C3BC7"/>
    <w:rsid w:val="007C3BCD"/>
    <w:rsid w:val="007D4ACF"/>
    <w:rsid w:val="007E71E5"/>
    <w:rsid w:val="007F0787"/>
    <w:rsid w:val="007F13F2"/>
    <w:rsid w:val="00810B7B"/>
    <w:rsid w:val="0082358A"/>
    <w:rsid w:val="008235CD"/>
    <w:rsid w:val="008247DE"/>
    <w:rsid w:val="00840B10"/>
    <w:rsid w:val="008431E3"/>
    <w:rsid w:val="00845D27"/>
    <w:rsid w:val="008513CB"/>
    <w:rsid w:val="00876CEA"/>
    <w:rsid w:val="008A7F84"/>
    <w:rsid w:val="008B119B"/>
    <w:rsid w:val="008B22E7"/>
    <w:rsid w:val="0091702E"/>
    <w:rsid w:val="00923B0C"/>
    <w:rsid w:val="00933807"/>
    <w:rsid w:val="0094021C"/>
    <w:rsid w:val="00952F86"/>
    <w:rsid w:val="00982B28"/>
    <w:rsid w:val="009D313F"/>
    <w:rsid w:val="009F2CF5"/>
    <w:rsid w:val="00A24274"/>
    <w:rsid w:val="00A42B27"/>
    <w:rsid w:val="00A47A5A"/>
    <w:rsid w:val="00A6683B"/>
    <w:rsid w:val="00A97F94"/>
    <w:rsid w:val="00AB303E"/>
    <w:rsid w:val="00B03099"/>
    <w:rsid w:val="00B05BC8"/>
    <w:rsid w:val="00B516EB"/>
    <w:rsid w:val="00B64B47"/>
    <w:rsid w:val="00B66DE5"/>
    <w:rsid w:val="00BB7213"/>
    <w:rsid w:val="00BF132D"/>
    <w:rsid w:val="00C002DE"/>
    <w:rsid w:val="00C07572"/>
    <w:rsid w:val="00C33D8F"/>
    <w:rsid w:val="00C53BF8"/>
    <w:rsid w:val="00C66157"/>
    <w:rsid w:val="00C674FE"/>
    <w:rsid w:val="00C67501"/>
    <w:rsid w:val="00C74617"/>
    <w:rsid w:val="00C75633"/>
    <w:rsid w:val="00C85175"/>
    <w:rsid w:val="00CD0811"/>
    <w:rsid w:val="00CD6E30"/>
    <w:rsid w:val="00CE2EE1"/>
    <w:rsid w:val="00CE3349"/>
    <w:rsid w:val="00CE36E5"/>
    <w:rsid w:val="00CF1F5E"/>
    <w:rsid w:val="00CF27F5"/>
    <w:rsid w:val="00CF3FFD"/>
    <w:rsid w:val="00D10CCF"/>
    <w:rsid w:val="00D331EA"/>
    <w:rsid w:val="00D41902"/>
    <w:rsid w:val="00D45215"/>
    <w:rsid w:val="00D56C08"/>
    <w:rsid w:val="00D77D0F"/>
    <w:rsid w:val="00DA1CF0"/>
    <w:rsid w:val="00DB082B"/>
    <w:rsid w:val="00DC1E02"/>
    <w:rsid w:val="00DC24B4"/>
    <w:rsid w:val="00DC5FB0"/>
    <w:rsid w:val="00DF16DC"/>
    <w:rsid w:val="00DF3417"/>
    <w:rsid w:val="00E1209E"/>
    <w:rsid w:val="00E45211"/>
    <w:rsid w:val="00E473C5"/>
    <w:rsid w:val="00E476CA"/>
    <w:rsid w:val="00E512DE"/>
    <w:rsid w:val="00E66A95"/>
    <w:rsid w:val="00E92863"/>
    <w:rsid w:val="00EB796D"/>
    <w:rsid w:val="00ED6102"/>
    <w:rsid w:val="00F058DC"/>
    <w:rsid w:val="00F24FC4"/>
    <w:rsid w:val="00F2676C"/>
    <w:rsid w:val="00F303AF"/>
    <w:rsid w:val="00F539B9"/>
    <w:rsid w:val="00F73C49"/>
    <w:rsid w:val="00F84366"/>
    <w:rsid w:val="00F85089"/>
    <w:rsid w:val="00F974C5"/>
    <w:rsid w:val="00FA6F46"/>
    <w:rsid w:val="00FC758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87F554E"/>
  <w15:chartTrackingRefBased/>
  <w15:docId w15:val="{F1D16AE2-63FA-45BE-98E0-FA6F408D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733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F132D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F132D"/>
    <w:rPr>
      <w:rFonts w:ascii="Dubai" w:hAnsi="Dubai" w:cs="Dubai"/>
      <w:lang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FC75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F7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0-CL-C-001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10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Arabic</cp:lastModifiedBy>
  <cp:revision>18</cp:revision>
  <dcterms:created xsi:type="dcterms:W3CDTF">2021-03-17T09:44:00Z</dcterms:created>
  <dcterms:modified xsi:type="dcterms:W3CDTF">2021-03-17T10:12:00Z</dcterms:modified>
</cp:coreProperties>
</file>