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3C58ACD" w14:textId="77777777">
        <w:trPr>
          <w:cantSplit/>
        </w:trPr>
        <w:tc>
          <w:tcPr>
            <w:tcW w:w="6912" w:type="dxa"/>
          </w:tcPr>
          <w:p w14:paraId="46834187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D32F00">
              <w:rPr>
                <w:b/>
                <w:bCs/>
                <w:sz w:val="26"/>
                <w:szCs w:val="26"/>
              </w:rPr>
              <w:t>Consulta</w:t>
            </w:r>
            <w:r w:rsidR="000007D1" w:rsidRPr="000007D1">
              <w:rPr>
                <w:b/>
                <w:bCs/>
                <w:sz w:val="26"/>
                <w:szCs w:val="26"/>
              </w:rPr>
              <w:t xml:space="preserve">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3475BC4C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3EC21058" wp14:editId="35F9E1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4F27D133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C6A901E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30CDC6A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5916692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618CF18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967A7" w:rsidRPr="000B0D00" w14:paraId="3C6F12E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14BB788" w14:textId="45802094" w:rsidR="00C967A7" w:rsidRPr="00093EEB" w:rsidRDefault="00C967A7" w:rsidP="00C967A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C967A7">
              <w:rPr>
                <w:rFonts w:cs="Times"/>
                <w:b/>
                <w:szCs w:val="24"/>
              </w:rPr>
              <w:t>Punto del orden del día: ADM 1</w:t>
            </w:r>
          </w:p>
        </w:tc>
        <w:tc>
          <w:tcPr>
            <w:tcW w:w="3261" w:type="dxa"/>
          </w:tcPr>
          <w:p w14:paraId="30CCD0B2" w14:textId="26FB25D5" w:rsidR="00C967A7" w:rsidRPr="00093EEB" w:rsidRDefault="00C967A7" w:rsidP="00C967A7">
            <w:pPr>
              <w:spacing w:before="0"/>
              <w:rPr>
                <w:b/>
                <w:bCs/>
                <w:szCs w:val="24"/>
              </w:rPr>
            </w:pPr>
            <w:r w:rsidRPr="00695DCB">
              <w:rPr>
                <w:b/>
                <w:bCs/>
                <w:szCs w:val="24"/>
              </w:rPr>
              <w:t xml:space="preserve">Documento </w:t>
            </w:r>
            <w:r>
              <w:rPr>
                <w:b/>
                <w:bCs/>
                <w:szCs w:val="24"/>
              </w:rPr>
              <w:t>C21</w:t>
            </w:r>
            <w:r w:rsidRPr="00695DCB">
              <w:rPr>
                <w:b/>
                <w:bCs/>
                <w:szCs w:val="24"/>
              </w:rPr>
              <w:t>/9-S</w:t>
            </w:r>
          </w:p>
        </w:tc>
      </w:tr>
      <w:tr w:rsidR="00C967A7" w:rsidRPr="000B0D00" w14:paraId="47F16A6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352ABF" w14:textId="77777777" w:rsidR="00C967A7" w:rsidRPr="000B0D00" w:rsidRDefault="00C967A7" w:rsidP="00C967A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6EB59A68" w14:textId="3B214D2E" w:rsidR="00C967A7" w:rsidRPr="00093EEB" w:rsidRDefault="00C967A7" w:rsidP="00C967A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695DCB">
              <w:rPr>
                <w:b/>
                <w:bCs/>
                <w:szCs w:val="24"/>
              </w:rPr>
              <w:t xml:space="preserve"> de abril de </w:t>
            </w:r>
            <w:r>
              <w:rPr>
                <w:b/>
                <w:bCs/>
                <w:szCs w:val="24"/>
              </w:rPr>
              <w:t>2021</w:t>
            </w:r>
          </w:p>
        </w:tc>
      </w:tr>
      <w:tr w:rsidR="00C967A7" w:rsidRPr="000B0D00" w14:paraId="3E16036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38B334E" w14:textId="77777777" w:rsidR="00C967A7" w:rsidRPr="000B0D00" w:rsidRDefault="00C967A7" w:rsidP="00C967A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E3BFAEB" w14:textId="52729112" w:rsidR="00C967A7" w:rsidRPr="00093EEB" w:rsidRDefault="00C967A7" w:rsidP="00C967A7">
            <w:pPr>
              <w:spacing w:before="0"/>
              <w:rPr>
                <w:b/>
                <w:bCs/>
                <w:szCs w:val="24"/>
              </w:rPr>
            </w:pPr>
            <w:r w:rsidRPr="00695DCB">
              <w:rPr>
                <w:b/>
                <w:bCs/>
                <w:szCs w:val="24"/>
              </w:rPr>
              <w:t>Original: inglés</w:t>
            </w:r>
          </w:p>
        </w:tc>
      </w:tr>
      <w:tr w:rsidR="00C967A7" w:rsidRPr="000B0D00" w14:paraId="0B52AD43" w14:textId="77777777">
        <w:trPr>
          <w:cantSplit/>
        </w:trPr>
        <w:tc>
          <w:tcPr>
            <w:tcW w:w="10173" w:type="dxa"/>
            <w:gridSpan w:val="2"/>
          </w:tcPr>
          <w:p w14:paraId="6D8E68AD" w14:textId="0F2175CB" w:rsidR="00C967A7" w:rsidRPr="000B0D00" w:rsidRDefault="00C967A7" w:rsidP="00C967A7">
            <w:pPr>
              <w:pStyle w:val="Source"/>
            </w:pPr>
            <w:bookmarkStart w:id="8" w:name="dsource" w:colFirst="0" w:colLast="0"/>
            <w:bookmarkEnd w:id="1"/>
            <w:bookmarkEnd w:id="7"/>
            <w:r w:rsidRPr="00695DCB">
              <w:t>Informe del Secretario General</w:t>
            </w:r>
          </w:p>
        </w:tc>
      </w:tr>
      <w:tr w:rsidR="00C967A7" w:rsidRPr="000B0D00" w14:paraId="528A2852" w14:textId="77777777">
        <w:trPr>
          <w:cantSplit/>
        </w:trPr>
        <w:tc>
          <w:tcPr>
            <w:tcW w:w="10173" w:type="dxa"/>
            <w:gridSpan w:val="2"/>
          </w:tcPr>
          <w:p w14:paraId="11B0AD43" w14:textId="77777777" w:rsidR="00C967A7" w:rsidRPr="00695DCB" w:rsidRDefault="00C967A7" w:rsidP="00C967A7">
            <w:pPr>
              <w:pStyle w:val="Title1"/>
            </w:pPr>
            <w:bookmarkStart w:id="9" w:name="dtitle1" w:colFirst="0" w:colLast="0"/>
            <w:bookmarkStart w:id="10" w:name="_Hlk73723909"/>
            <w:bookmarkEnd w:id="8"/>
            <w:r w:rsidRPr="00695DCB">
              <w:t>EXAMEN ANUAL DE INGRESOS Y GASTOS</w:t>
            </w:r>
          </w:p>
          <w:p w14:paraId="7DCD92EA" w14:textId="41F3A5E0" w:rsidR="00C967A7" w:rsidRPr="000B0D00" w:rsidRDefault="00C967A7" w:rsidP="00C967A7">
            <w:pPr>
              <w:pStyle w:val="Title1"/>
            </w:pPr>
            <w:r w:rsidRPr="00695DCB">
              <w:t>MEDIDAS DE EFICIENCIA</w:t>
            </w:r>
            <w:bookmarkEnd w:id="10"/>
          </w:p>
        </w:tc>
      </w:tr>
      <w:bookmarkEnd w:id="9"/>
    </w:tbl>
    <w:p w14:paraId="1939C1CF" w14:textId="77777777"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2B96C76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EAE1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5264E80B" w14:textId="77777777" w:rsidR="00C77920" w:rsidRPr="00695DCB" w:rsidRDefault="00C77920" w:rsidP="00C77920">
            <w:r w:rsidRPr="00695DCB">
              <w:t>El presente documento contiene los elementos esenciales de la ejecución del presupuesto de 2020-2021, con arreglo a lo dispuesto en el número 73 del Convenio de la UIT, en el cual se estipula que el Consejo efectuará un examen anual de los ingresos y gastos.</w:t>
            </w:r>
          </w:p>
          <w:p w14:paraId="0426D69A" w14:textId="77777777" w:rsidR="00C77920" w:rsidRDefault="00C77920" w:rsidP="00C77920">
            <w:r w:rsidRPr="00695DCB">
              <w:t xml:space="preserve">De conformidad con los números 1, 2 y 3 del </w:t>
            </w:r>
            <w:r w:rsidRPr="00695DCB">
              <w:rPr>
                <w:i/>
                <w:iCs/>
              </w:rPr>
              <w:t xml:space="preserve">encarga al Secretario General y a los Directores de las Oficinas </w:t>
            </w:r>
            <w:r w:rsidRPr="00695DCB">
              <w:t>de la Decisión 5 (Rev. Busán, 2014 y Rev.</w:t>
            </w:r>
            <w:r>
              <w:t> </w:t>
            </w:r>
            <w:r w:rsidRPr="00695DCB">
              <w:t>Dubái,</w:t>
            </w:r>
            <w:r>
              <w:t> </w:t>
            </w:r>
            <w:r w:rsidRPr="00695DCB">
              <w:t>2018), este documento facilita información actualizada sobre la aplicación de las medidas de eficiencia que figuran en el Anexo 2 a la Decisión 5 (Rev. Busán,</w:t>
            </w:r>
            <w:r>
              <w:t> </w:t>
            </w:r>
            <w:r w:rsidRPr="00695DCB">
              <w:t xml:space="preserve">2014 </w:t>
            </w:r>
            <w:r w:rsidRPr="00695DCB">
              <w:rPr>
                <w:bCs/>
              </w:rPr>
              <w:t>y Rev. Dubái, 2018</w:t>
            </w:r>
            <w:r w:rsidRPr="00695DCB">
              <w:t>).</w:t>
            </w:r>
          </w:p>
          <w:p w14:paraId="6B5B9AEB" w14:textId="2DEA4A1A" w:rsidR="00093EEB" w:rsidRPr="00C77920" w:rsidRDefault="00C77920">
            <w:r w:rsidRPr="003E2F5E">
              <w:rPr>
                <w:lang w:val="es-ES"/>
              </w:rPr>
              <w:t>La versión de este informe correspondiente a 2020 (C20/</w:t>
            </w:r>
            <w:r>
              <w:rPr>
                <w:lang w:val="es-ES"/>
              </w:rPr>
              <w:t>9</w:t>
            </w:r>
            <w:r w:rsidRPr="003E2F5E">
              <w:rPr>
                <w:lang w:val="es-ES"/>
              </w:rPr>
              <w:t xml:space="preserve">), que no se ha revisado, </w:t>
            </w:r>
            <w:r>
              <w:rPr>
                <w:lang w:val="es-ES"/>
              </w:rPr>
              <w:t xml:space="preserve">fue preparado </w:t>
            </w:r>
            <w:r w:rsidRPr="003E2F5E">
              <w:rPr>
                <w:lang w:val="es-ES"/>
              </w:rPr>
              <w:t>con miras a su presentación al Consejo durante su reunión de 2020.</w:t>
            </w:r>
          </w:p>
          <w:p w14:paraId="345319C4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7310395C" w14:textId="301F8710" w:rsidR="00093EEB" w:rsidRPr="000B0D00" w:rsidRDefault="00C77920">
            <w:pPr>
              <w:rPr>
                <w:lang w:val="es-ES"/>
              </w:rPr>
            </w:pPr>
            <w:r w:rsidRPr="00695DCB">
              <w:t xml:space="preserve">Se invita al Consejo a </w:t>
            </w:r>
            <w:r w:rsidRPr="00695DCB">
              <w:rPr>
                <w:b/>
                <w:bCs/>
              </w:rPr>
              <w:t>refrendar</w:t>
            </w:r>
            <w:r w:rsidRPr="00695DCB">
              <w:t xml:space="preserve"> el presente informe</w:t>
            </w:r>
            <w:r>
              <w:t xml:space="preserve"> ya tomar nota del Documento </w:t>
            </w:r>
            <w:hyperlink r:id="rId7" w:history="1">
              <w:r w:rsidRPr="005009E8">
                <w:rPr>
                  <w:rStyle w:val="Hyperlink"/>
                  <w:rFonts w:cs="Calibri"/>
                  <w:szCs w:val="24"/>
                </w:rPr>
                <w:t>C20/9</w:t>
              </w:r>
            </w:hyperlink>
            <w:r>
              <w:t>.</w:t>
            </w:r>
          </w:p>
          <w:p w14:paraId="5075715C" w14:textId="77777777"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448AC8D6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14:paraId="16347807" w14:textId="77777777" w:rsidR="00C77920" w:rsidRPr="00695DCB" w:rsidRDefault="00E3321D" w:rsidP="00C77920">
            <w:pPr>
              <w:spacing w:after="120"/>
              <w:rPr>
                <w:i/>
                <w:iCs/>
              </w:rPr>
            </w:pPr>
            <w:hyperlink r:id="rId8" w:history="1">
              <w:r w:rsidR="00C77920" w:rsidRPr="00695DCB">
                <w:rPr>
                  <w:rStyle w:val="Hyperlink"/>
                  <w:i/>
                  <w:iCs/>
                </w:rPr>
                <w:t>Resolución 1396 del Consejo – Presupuesto bienal de la Unión Internacional de Telecomunicaciones para 2020-2021</w:t>
              </w:r>
            </w:hyperlink>
          </w:p>
          <w:p w14:paraId="260F149E" w14:textId="75B7759C" w:rsidR="00093EEB" w:rsidRPr="000B0D00" w:rsidRDefault="00E3321D">
            <w:pPr>
              <w:spacing w:after="120"/>
              <w:rPr>
                <w:i/>
                <w:iCs/>
                <w:lang w:val="es-ES"/>
              </w:rPr>
            </w:pPr>
            <w:hyperlink r:id="rId9" w:history="1">
              <w:r w:rsidR="00C77920" w:rsidRPr="00695DCB">
                <w:rPr>
                  <w:rStyle w:val="Hyperlink"/>
                  <w:i/>
                  <w:iCs/>
                </w:rPr>
                <w:t>Decisión 5 (Rev. Busán, 2014)</w:t>
              </w:r>
            </w:hyperlink>
            <w:r w:rsidR="00C77920" w:rsidRPr="00695DCB">
              <w:rPr>
                <w:i/>
                <w:iCs/>
              </w:rPr>
              <w:t xml:space="preserve"> y </w:t>
            </w:r>
            <w:hyperlink r:id="rId10" w:history="1">
              <w:r w:rsidR="00C77920" w:rsidRPr="00695DCB">
                <w:rPr>
                  <w:rStyle w:val="Hyperlink"/>
                  <w:i/>
                  <w:iCs/>
                </w:rPr>
                <w:t>Decisión 5 (Rev. Dubái, 2018)</w:t>
              </w:r>
            </w:hyperlink>
          </w:p>
        </w:tc>
      </w:tr>
    </w:tbl>
    <w:p w14:paraId="526D1B6D" w14:textId="74DC87ED" w:rsidR="007955DA" w:rsidRDefault="007955DA" w:rsidP="000B0D00"/>
    <w:p w14:paraId="5EF94499" w14:textId="1F6F9199" w:rsidR="00C371C0" w:rsidRPr="00695DCB" w:rsidRDefault="00C371C0" w:rsidP="00ED2445">
      <w:pPr>
        <w:pStyle w:val="Heading1"/>
        <w:tabs>
          <w:tab w:val="clear" w:pos="2268"/>
          <w:tab w:val="clear" w:pos="2835"/>
          <w:tab w:val="left" w:pos="4285"/>
        </w:tabs>
      </w:pPr>
      <w:r w:rsidRPr="00695DCB">
        <w:lastRenderedPageBreak/>
        <w:t>1</w:t>
      </w:r>
      <w:r w:rsidRPr="00695DCB">
        <w:tab/>
        <w:t>Introducción</w:t>
      </w:r>
    </w:p>
    <w:p w14:paraId="1BC98E9B" w14:textId="77777777" w:rsidR="00C371C0" w:rsidRPr="00695DCB" w:rsidRDefault="00C371C0" w:rsidP="00C371C0">
      <w:r w:rsidRPr="00695DCB">
        <w:rPr>
          <w:szCs w:val="24"/>
        </w:rPr>
        <w:t>1.1</w:t>
      </w:r>
      <w:r w:rsidRPr="00695DCB">
        <w:rPr>
          <w:szCs w:val="24"/>
        </w:rPr>
        <w:tab/>
      </w:r>
      <w:r w:rsidRPr="00695DCB">
        <w:t xml:space="preserve">El presente documento tiene por objeto informar sobre el estado de aplicación del </w:t>
      </w:r>
      <w:r>
        <w:t>segundo</w:t>
      </w:r>
      <w:r w:rsidRPr="00695DCB">
        <w:t xml:space="preserve"> año del presupuesto de la Unión para el bienio 2020-2021 en lo que respecta a los ingresos y los gastos.</w:t>
      </w:r>
    </w:p>
    <w:p w14:paraId="1E708ECD" w14:textId="77777777" w:rsidR="00C371C0" w:rsidRPr="00695DCB" w:rsidRDefault="00C371C0" w:rsidP="00C371C0">
      <w:pPr>
        <w:pStyle w:val="Heading1"/>
      </w:pPr>
      <w:bookmarkStart w:id="11" w:name="lt_pId028"/>
      <w:r w:rsidRPr="00695DCB">
        <w:t>2</w:t>
      </w:r>
      <w:r w:rsidRPr="00695DCB">
        <w:tab/>
        <w:t>Presupuesto de la Unión para 2020-2021 (Resolución 1396)</w:t>
      </w:r>
      <w:bookmarkEnd w:id="11"/>
    </w:p>
    <w:p w14:paraId="5F2314AE" w14:textId="77777777" w:rsidR="00C371C0" w:rsidRDefault="00C371C0" w:rsidP="00C371C0">
      <w:r w:rsidRPr="00695DCB">
        <w:t>2.1</w:t>
      </w:r>
      <w:r w:rsidRPr="00695DCB">
        <w:tab/>
        <w:t>En su reunión de 2019, el Consejo adoptó mediante su Resolución 1396 el presupuesto de la Unión para 2020-2021, que asciende a</w:t>
      </w:r>
      <w:r>
        <w:t> </w:t>
      </w:r>
      <w:r w:rsidRPr="00695DCB">
        <w:t>332 013 000 CHF para el bienio y se subdivide como sigue:</w:t>
      </w:r>
      <w:r>
        <w:t> </w:t>
      </w:r>
      <w:r w:rsidRPr="00695DCB">
        <w:t>167 478 000 CHF para 2020 y</w:t>
      </w:r>
      <w:r>
        <w:t> </w:t>
      </w:r>
      <w:r w:rsidRPr="00695DCB">
        <w:t>164 535 000 CHF para 2021. Se basa en una unidad contributiva anual de los Estados Miembros de</w:t>
      </w:r>
      <w:r>
        <w:t> </w:t>
      </w:r>
      <w:r w:rsidRPr="00695DCB">
        <w:t>318</w:t>
      </w:r>
      <w:r>
        <w:t> </w:t>
      </w:r>
      <w:r w:rsidRPr="00695DCB">
        <w:t>000 CHF, lo que corresponde a un crecimiento nominal cero comparado con los bienios anteriores. El presupuesto de la Unión se está aplicando de conformidad con el Artículo 10 del Reglamento Financiero</w:t>
      </w:r>
      <w:r w:rsidRPr="003E2F5E">
        <w:t xml:space="preserve"> </w:t>
      </w:r>
      <w:r>
        <w:t>y las Reglas Financieras</w:t>
      </w:r>
      <w:r w:rsidRPr="00695DCB">
        <w:t>.</w:t>
      </w:r>
    </w:p>
    <w:p w14:paraId="5FDD389E" w14:textId="064A7188" w:rsidR="00C371C0" w:rsidRPr="00695DCB" w:rsidRDefault="00C371C0" w:rsidP="00C371C0">
      <w:r>
        <w:t>2.2</w:t>
      </w:r>
      <w:r>
        <w:tab/>
      </w:r>
      <w:r w:rsidRPr="00E86587">
        <w:t xml:space="preserve">El presupuesto </w:t>
      </w:r>
      <w:r>
        <w:t>correspondiente a</w:t>
      </w:r>
      <w:r w:rsidRPr="00E86587">
        <w:t xml:space="preserve"> 2021 se ha incrementado en</w:t>
      </w:r>
      <w:r>
        <w:t> </w:t>
      </w:r>
      <w:r w:rsidRPr="00E86587">
        <w:t>398</w:t>
      </w:r>
      <w:r>
        <w:t> </w:t>
      </w:r>
      <w:r w:rsidRPr="00E86587">
        <w:t>000 CHF debido al aplazamiento de las reuniones preparatorias regionales de la CMDT (RP</w:t>
      </w:r>
      <w:r>
        <w:t>R-</w:t>
      </w:r>
      <w:r w:rsidRPr="00E86587">
        <w:t xml:space="preserve">AFR y </w:t>
      </w:r>
      <w:r>
        <w:t>RPR-</w:t>
      </w:r>
      <w:r w:rsidRPr="00E86587">
        <w:t>C</w:t>
      </w:r>
      <w:r>
        <w:t>EI</w:t>
      </w:r>
      <w:r w:rsidRPr="00E86587">
        <w:t>)</w:t>
      </w:r>
      <w:r>
        <w:t xml:space="preserve"> y de las </w:t>
      </w:r>
      <w:r w:rsidRPr="00E86587">
        <w:t xml:space="preserve">reuniones preparatorias de la </w:t>
      </w:r>
      <w:r>
        <w:t>AMNT,</w:t>
      </w:r>
      <w:r w:rsidRPr="00E86587">
        <w:t xml:space="preserve"> de 2020 a 2021. El presupuesto actualizado para 2021 asciende </w:t>
      </w:r>
      <w:r w:rsidRPr="00C46CFF">
        <w:t>a</w:t>
      </w:r>
      <w:r>
        <w:t> </w:t>
      </w:r>
      <w:r w:rsidRPr="00C46CFF">
        <w:t>164</w:t>
      </w:r>
      <w:r>
        <w:t> </w:t>
      </w:r>
      <w:r w:rsidRPr="00E86587">
        <w:t>933</w:t>
      </w:r>
      <w:r>
        <w:t> </w:t>
      </w:r>
      <w:r w:rsidRPr="00E86587">
        <w:t>000 CHF.</w:t>
      </w:r>
    </w:p>
    <w:p w14:paraId="44D1E455" w14:textId="72AC21F3" w:rsidR="00C371C0" w:rsidRDefault="00C371C0" w:rsidP="00C371C0">
      <w:r w:rsidRPr="00695DCB">
        <w:t>2.</w:t>
      </w:r>
      <w:r>
        <w:t>3</w:t>
      </w:r>
      <w:r w:rsidRPr="00695DCB">
        <w:tab/>
        <w:t>En los Cuadros</w:t>
      </w:r>
      <w:r>
        <w:t> </w:t>
      </w:r>
      <w:r w:rsidRPr="00695DCB">
        <w:t xml:space="preserve">1 y 2 siguientes se indica la situación del presupuesto para </w:t>
      </w:r>
      <w:r>
        <w:t>2021</w:t>
      </w:r>
      <w:r w:rsidRPr="00695DCB">
        <w:t>, con indicación de los gastos e ingresos al</w:t>
      </w:r>
      <w:r>
        <w:t> 7</w:t>
      </w:r>
      <w:r w:rsidRPr="00695DCB">
        <w:t xml:space="preserve"> de abril de </w:t>
      </w:r>
      <w:r>
        <w:t>2021</w:t>
      </w:r>
      <w:r w:rsidRPr="00695DCB">
        <w:t xml:space="preserve"> y una previsión de ingresos y gastos hasta el</w:t>
      </w:r>
      <w:r>
        <w:t> </w:t>
      </w:r>
      <w:r w:rsidRPr="00695DCB">
        <w:t>31</w:t>
      </w:r>
      <w:r>
        <w:t> </w:t>
      </w:r>
      <w:r w:rsidRPr="00695DCB">
        <w:t>de diciembre de</w:t>
      </w:r>
      <w:r>
        <w:t xml:space="preserve"> 2021</w:t>
      </w:r>
      <w:r w:rsidRPr="00695DCB">
        <w:rPr>
          <w:rFonts w:cs="Calibri"/>
        </w:rPr>
        <w:t xml:space="preserve">. </w:t>
      </w:r>
      <w:r w:rsidRPr="00695DCB">
        <w:t xml:space="preserve">Las previsiones preliminares para </w:t>
      </w:r>
      <w:r>
        <w:t>2021</w:t>
      </w:r>
      <w:r w:rsidRPr="00695DCB">
        <w:t xml:space="preserve"> </w:t>
      </w:r>
      <w:r w:rsidRPr="00695DCB">
        <w:rPr>
          <w:szCs w:val="24"/>
        </w:rPr>
        <w:t xml:space="preserve">muestran un superávit previsto de </w:t>
      </w:r>
      <w:r>
        <w:rPr>
          <w:szCs w:val="24"/>
        </w:rPr>
        <w:t>3,3 </w:t>
      </w:r>
      <w:r w:rsidRPr="00695DCB">
        <w:rPr>
          <w:szCs w:val="24"/>
        </w:rPr>
        <w:t>millones CHF.</w:t>
      </w:r>
      <w:r w:rsidRPr="00A169FE">
        <w:t xml:space="preserve"> </w:t>
      </w:r>
    </w:p>
    <w:p w14:paraId="509F65D5" w14:textId="403D8A2E" w:rsidR="00D32F00" w:rsidRDefault="00D32F00" w:rsidP="00C371C0"/>
    <w:p w14:paraId="34BB12A3" w14:textId="77777777" w:rsidR="00D32F00" w:rsidRPr="00D10EB1" w:rsidRDefault="00D32F00" w:rsidP="00D32F00">
      <w:pPr>
        <w:sectPr w:rsidR="00D32F00" w:rsidRPr="00D10EB1" w:rsidSect="003D1C8A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  <w:docGrid w:linePitch="326"/>
        </w:sectPr>
      </w:pPr>
    </w:p>
    <w:bookmarkStart w:id="12" w:name="_MON_1649835069"/>
    <w:bookmarkEnd w:id="12"/>
    <w:p w14:paraId="51872005" w14:textId="3CC8CA14" w:rsidR="00A65CD7" w:rsidRDefault="00D90403" w:rsidP="00BF3EAB">
      <w:pPr>
        <w:pStyle w:val="Figure"/>
      </w:pPr>
      <w:r w:rsidRPr="00695DCB">
        <w:object w:dxaOrig="13944" w:dyaOrig="5372" w14:anchorId="76BA2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2pt;height:203.4pt" o:ole="">
            <v:imagedata r:id="rId16" o:title=""/>
          </v:shape>
          <o:OLEObject Type="Embed" ProgID="Excel.Sheet.12" ShapeID="_x0000_i1025" DrawAspect="Content" ObjectID="_1684336954" r:id="rId17"/>
        </w:object>
      </w:r>
    </w:p>
    <w:p w14:paraId="7DFD484A" w14:textId="78CB35B7" w:rsidR="00D90403" w:rsidRDefault="00D904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26D8B0FB" w14:textId="77777777" w:rsidR="00D90403" w:rsidRPr="00D90403" w:rsidRDefault="00D90403" w:rsidP="00D90403">
      <w:pPr>
        <w:pStyle w:val="Figuretitle"/>
      </w:pPr>
    </w:p>
    <w:bookmarkStart w:id="13" w:name="_MON_1681733099"/>
    <w:bookmarkEnd w:id="13"/>
    <w:p w14:paraId="38AD9787" w14:textId="7665DC7E" w:rsidR="00831299" w:rsidRDefault="00D90403" w:rsidP="00BF3EAB">
      <w:pPr>
        <w:pStyle w:val="Figure"/>
      </w:pPr>
      <w:r w:rsidRPr="00695DCB">
        <w:object w:dxaOrig="9854" w:dyaOrig="5818" w14:anchorId="07F4B317">
          <v:shape id="_x0000_i1026" type="#_x0000_t75" style="width:475.8pt;height:226.2pt" o:ole="">
            <v:imagedata r:id="rId18" o:title=""/>
          </v:shape>
          <o:OLEObject Type="Embed" ProgID="Excel.Sheet.12" ShapeID="_x0000_i1026" DrawAspect="Content" ObjectID="_1684336955" r:id="rId19"/>
        </w:object>
      </w:r>
    </w:p>
    <w:p w14:paraId="2E20033C" w14:textId="77777777" w:rsidR="00831299" w:rsidRDefault="00831299" w:rsidP="00831299">
      <w:pPr>
        <w:snapToGrid w:val="0"/>
        <w:spacing w:before="240" w:after="120"/>
        <w:jc w:val="both"/>
      </w:pPr>
    </w:p>
    <w:p w14:paraId="62366C02" w14:textId="769ADD12" w:rsidR="00831299" w:rsidRPr="00D10EB1" w:rsidRDefault="00831299" w:rsidP="00831299">
      <w:pPr>
        <w:snapToGrid w:val="0"/>
        <w:spacing w:before="240" w:after="120"/>
        <w:jc w:val="both"/>
        <w:sectPr w:rsidR="00831299" w:rsidRPr="00D10EB1" w:rsidSect="00A9650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7" w:orient="landscape" w:code="9"/>
          <w:pgMar w:top="1134" w:right="1418" w:bottom="1134" w:left="1418" w:header="720" w:footer="720" w:gutter="0"/>
          <w:paperSrc w:first="261" w:other="261"/>
          <w:cols w:space="720"/>
          <w:docGrid w:linePitch="326"/>
        </w:sectPr>
      </w:pPr>
    </w:p>
    <w:p w14:paraId="46F1DD44" w14:textId="77777777" w:rsidR="00E76A3D" w:rsidRPr="00695DCB" w:rsidRDefault="00E76A3D" w:rsidP="00E76A3D">
      <w:pPr>
        <w:pStyle w:val="Heading1"/>
      </w:pPr>
      <w:r w:rsidRPr="00695DCB">
        <w:lastRenderedPageBreak/>
        <w:t>3</w:t>
      </w:r>
      <w:r w:rsidRPr="00695DCB">
        <w:tab/>
        <w:t>Ingresos</w:t>
      </w:r>
    </w:p>
    <w:p w14:paraId="47C25650" w14:textId="77777777" w:rsidR="00E76A3D" w:rsidRPr="00695DCB" w:rsidRDefault="00E76A3D" w:rsidP="00E76A3D">
      <w:r w:rsidRPr="00695DCB">
        <w:t>3.1</w:t>
      </w:r>
      <w:r w:rsidRPr="00695DCB">
        <w:tab/>
        <w:t>Los ingresos de la Unión consisten en las contribuciones previstas, la recuperación de costes, los intereses/otros ingresos y los ahorros en la implementación del presupuesto.</w:t>
      </w:r>
      <w:r w:rsidRPr="00695DCB">
        <w:rPr>
          <w:szCs w:val="24"/>
        </w:rPr>
        <w:t xml:space="preserve"> El déficit de ingresos pr</w:t>
      </w:r>
      <w:r>
        <w:rPr>
          <w:szCs w:val="24"/>
        </w:rPr>
        <w:t xml:space="preserve">evisto para 2021 se calcula en </w:t>
      </w:r>
      <w:r>
        <w:rPr>
          <w:szCs w:val="24"/>
        </w:rPr>
        <w:sym w:font="Symbol" w:char="F02D"/>
      </w:r>
      <w:r>
        <w:rPr>
          <w:szCs w:val="24"/>
        </w:rPr>
        <w:t>1,4 </w:t>
      </w:r>
      <w:r w:rsidRPr="00695DCB">
        <w:rPr>
          <w:szCs w:val="24"/>
        </w:rPr>
        <w:t xml:space="preserve">millones CHF. </w:t>
      </w:r>
    </w:p>
    <w:p w14:paraId="05762863" w14:textId="77777777" w:rsidR="00E76A3D" w:rsidRPr="00695DCB" w:rsidRDefault="00E76A3D" w:rsidP="00E76A3D">
      <w:r w:rsidRPr="00695DCB">
        <w:t>3.2</w:t>
      </w:r>
      <w:r w:rsidRPr="00695DCB">
        <w:tab/>
        <w:t xml:space="preserve">Los ingresos en concepto de contribuciones previstas representan el </w:t>
      </w:r>
      <w:r>
        <w:t>76</w:t>
      </w:r>
      <w:r w:rsidRPr="00695DCB">
        <w:t xml:space="preserve">% de los ingresos totales para </w:t>
      </w:r>
      <w:r>
        <w:t>2021</w:t>
      </w:r>
      <w:r w:rsidRPr="00695DCB">
        <w:t>. Incluyen las contribuciones de los Estados Miembros, Miembros de Sector, Asociados e Instituciones Académicas. En el Cuadro 3 se muestra el desglose de las contribuciones previstas.</w:t>
      </w:r>
    </w:p>
    <w:bookmarkStart w:id="14" w:name="_MON_1650099910"/>
    <w:bookmarkEnd w:id="14"/>
    <w:p w14:paraId="1A17F44A" w14:textId="08255E44" w:rsidR="009C130E" w:rsidRPr="00695DCB" w:rsidRDefault="00C60338" w:rsidP="00BF3EAB">
      <w:pPr>
        <w:pStyle w:val="Figure"/>
      </w:pPr>
      <w:r w:rsidRPr="00BF3EAB">
        <w:object w:dxaOrig="9610" w:dyaOrig="5200" w14:anchorId="11E85BD7">
          <v:shape id="_x0000_i1027" type="#_x0000_t75" style="width:481.2pt;height:261pt" o:ole="">
            <v:imagedata r:id="rId25" o:title=""/>
          </v:shape>
          <o:OLEObject Type="Embed" ProgID="Excel.Sheet.12" ShapeID="_x0000_i1027" DrawAspect="Content" ObjectID="_1684336956" r:id="rId26"/>
        </w:object>
      </w:r>
    </w:p>
    <w:p w14:paraId="6A9CB8D4" w14:textId="77777777" w:rsidR="009C130E" w:rsidRPr="00695DCB" w:rsidRDefault="009C130E" w:rsidP="009C130E">
      <w:r w:rsidRPr="00695DCB">
        <w:t>3.3</w:t>
      </w:r>
      <w:r w:rsidRPr="00695DCB">
        <w:tab/>
        <w:t xml:space="preserve">El importe de la unidad contributiva anual para 2020-2021 se fija en 318 000 CHF. </w:t>
      </w:r>
      <w:bookmarkStart w:id="15" w:name="lt_pId048"/>
      <w:r w:rsidRPr="00695DCB">
        <w:t xml:space="preserve">Al </w:t>
      </w:r>
      <w:r>
        <w:t>7</w:t>
      </w:r>
      <w:r w:rsidRPr="00695DCB">
        <w:t> de abril de </w:t>
      </w:r>
      <w:r>
        <w:t>2021</w:t>
      </w:r>
      <w:r w:rsidRPr="00695DCB">
        <w:t xml:space="preserve">, los ingresos facturados totales procedentes de los Estados Miembros </w:t>
      </w:r>
      <w:r>
        <w:t>se sitúan en los niveles presupuestados.</w:t>
      </w:r>
      <w:r w:rsidRPr="00695DCB">
        <w:t xml:space="preserve"> </w:t>
      </w:r>
      <w:bookmarkEnd w:id="15"/>
    </w:p>
    <w:p w14:paraId="196B80E6" w14:textId="77777777" w:rsidR="009C130E" w:rsidRPr="00695DCB" w:rsidRDefault="009C130E" w:rsidP="009C130E">
      <w:r w:rsidRPr="00695DCB">
        <w:t>3.4</w:t>
      </w:r>
      <w:r w:rsidRPr="00695DCB">
        <w:tab/>
        <w:t xml:space="preserve">Para </w:t>
      </w:r>
      <w:r>
        <w:t>2021</w:t>
      </w:r>
      <w:r w:rsidRPr="00695DCB">
        <w:t>, el importe de la unidad contributiva anual de los Miembros de Sector se fija en 63 600 CHF, y en</w:t>
      </w:r>
      <w:r>
        <w:t> </w:t>
      </w:r>
      <w:r w:rsidRPr="00695DCB">
        <w:t>10</w:t>
      </w:r>
      <w:r>
        <w:t> </w:t>
      </w:r>
      <w:r w:rsidRPr="00695DCB">
        <w:t xml:space="preserve">600 CHF para los Asociados. Al </w:t>
      </w:r>
      <w:r>
        <w:t>7</w:t>
      </w:r>
      <w:r w:rsidRPr="00695DCB">
        <w:t xml:space="preserve">de abril de </w:t>
      </w:r>
      <w:r>
        <w:t>2021</w:t>
      </w:r>
      <w:r w:rsidRPr="00695DCB">
        <w:t xml:space="preserve"> los ingresos totales previstos de los Miembros de Sector </w:t>
      </w:r>
      <w:r>
        <w:t>son inferiores a</w:t>
      </w:r>
      <w:r w:rsidRPr="00695DCB">
        <w:t xml:space="preserve"> los ingresos presupuestados en</w:t>
      </w:r>
      <w:r>
        <w:t> 33 </w:t>
      </w:r>
      <w:r w:rsidRPr="00695DCB">
        <w:t xml:space="preserve">000 CHF. </w:t>
      </w:r>
      <w:r>
        <w:t>L</w:t>
      </w:r>
      <w:r w:rsidRPr="00695DCB">
        <w:t xml:space="preserve">os ingresos </w:t>
      </w:r>
      <w:r>
        <w:t xml:space="preserve">facturados </w:t>
      </w:r>
      <w:r w:rsidRPr="00695DCB">
        <w:t>para los Asociados superan los ingresos presupuestados en</w:t>
      </w:r>
      <w:r>
        <w:t> 272 </w:t>
      </w:r>
      <w:r w:rsidRPr="00695DCB">
        <w:t>000 CHF, y los ingresos facturados a las Instituciones Académicas superan los ingresos presupuestados en</w:t>
      </w:r>
      <w:r>
        <w:t> 22 </w:t>
      </w:r>
      <w:r w:rsidRPr="00695DCB">
        <w:t>000 CHF.</w:t>
      </w:r>
    </w:p>
    <w:p w14:paraId="4C3CAFE6" w14:textId="77777777" w:rsidR="009C130E" w:rsidRDefault="009C130E" w:rsidP="009C130E">
      <w:r w:rsidRPr="00695DCB">
        <w:t>3.5</w:t>
      </w:r>
      <w:r w:rsidRPr="00695DCB">
        <w:tab/>
        <w:t xml:space="preserve">Los ingresos en concepto de recuperación de costes representan </w:t>
      </w:r>
      <w:r>
        <w:t>23</w:t>
      </w:r>
      <w:r w:rsidRPr="00695DCB">
        <w:t xml:space="preserve">% de los ingresos totales presupuestados. El desglose figura en el Cuadro 4. Los ingresos por recuperación de costes probablemente serán inferiores a la cantidad presupuestada para </w:t>
      </w:r>
      <w:r>
        <w:t xml:space="preserve">2021 ( </w:t>
      </w:r>
      <w:r>
        <w:sym w:font="Symbol" w:char="F02D"/>
      </w:r>
      <w:r>
        <w:t>1,1 millones CHF)</w:t>
      </w:r>
      <w:r w:rsidRPr="00695DCB">
        <w:t xml:space="preserve"> </w:t>
      </w:r>
    </w:p>
    <w:p w14:paraId="4F34FB2C" w14:textId="77777777" w:rsidR="009C130E" w:rsidRPr="00213B9E" w:rsidRDefault="009C130E" w:rsidP="009C130E">
      <w:pPr>
        <w:rPr>
          <w:lang w:val="es-ES"/>
        </w:rPr>
      </w:pPr>
      <w:r w:rsidRPr="00605A5C">
        <w:rPr>
          <w:lang w:val="es-ES"/>
        </w:rPr>
        <w:t>3.6</w:t>
      </w:r>
      <w:r w:rsidRPr="00605A5C">
        <w:rPr>
          <w:lang w:val="es-ES"/>
        </w:rPr>
        <w:tab/>
        <w:t xml:space="preserve">Se procederá a </w:t>
      </w:r>
      <w:r>
        <w:rPr>
          <w:lang w:val="es-ES"/>
        </w:rPr>
        <w:t>l</w:t>
      </w:r>
      <w:r w:rsidRPr="00213B9E">
        <w:rPr>
          <w:lang w:val="es-ES"/>
        </w:rPr>
        <w:t>a detracción de un importe de</w:t>
      </w:r>
      <w:r>
        <w:rPr>
          <w:lang w:val="es-ES"/>
        </w:rPr>
        <w:t> </w:t>
      </w:r>
      <w:r w:rsidRPr="00213B9E">
        <w:rPr>
          <w:lang w:val="es-ES"/>
        </w:rPr>
        <w:t>398</w:t>
      </w:r>
      <w:r>
        <w:rPr>
          <w:lang w:val="es-ES"/>
        </w:rPr>
        <w:t> </w:t>
      </w:r>
      <w:r w:rsidRPr="00213B9E">
        <w:rPr>
          <w:lang w:val="es-ES"/>
        </w:rPr>
        <w:t xml:space="preserve">000 </w:t>
      </w:r>
      <w:r w:rsidRPr="00213B9E">
        <w:rPr>
          <w:rFonts w:asciiTheme="minorHAnsi" w:hAnsiTheme="minorHAnsi" w:cstheme="minorHAnsi"/>
          <w:szCs w:val="24"/>
          <w:lang w:val="es-ES"/>
        </w:rPr>
        <w:t xml:space="preserve">CHF </w:t>
      </w:r>
      <w:r w:rsidRPr="00213B9E">
        <w:rPr>
          <w:lang w:val="es-ES"/>
        </w:rPr>
        <w:t>de la Cuenta de Provisión debido al aplazamiento de dos reuniones preparatorias regionales (</w:t>
      </w:r>
      <w:r>
        <w:rPr>
          <w:lang w:val="es-ES"/>
        </w:rPr>
        <w:t>RPR-</w:t>
      </w:r>
      <w:r w:rsidRPr="00213B9E">
        <w:rPr>
          <w:lang w:val="es-ES"/>
        </w:rPr>
        <w:t xml:space="preserve">AFR y </w:t>
      </w:r>
      <w:r>
        <w:rPr>
          <w:lang w:val="es-ES"/>
        </w:rPr>
        <w:t>RPR-CEI</w:t>
      </w:r>
      <w:r w:rsidRPr="00213B9E">
        <w:rPr>
          <w:lang w:val="es-ES"/>
        </w:rPr>
        <w:t xml:space="preserve">) y </w:t>
      </w:r>
      <w:r>
        <w:rPr>
          <w:lang w:val="es-ES"/>
        </w:rPr>
        <w:t xml:space="preserve">de </w:t>
      </w:r>
      <w:r w:rsidRPr="00213B9E">
        <w:rPr>
          <w:lang w:val="es-ES"/>
        </w:rPr>
        <w:t>las reuniones preparatorias de la AMNT</w:t>
      </w:r>
      <w:r>
        <w:rPr>
          <w:lang w:val="es-ES"/>
        </w:rPr>
        <w:t xml:space="preserve">, </w:t>
      </w:r>
      <w:r w:rsidRPr="00213B9E">
        <w:rPr>
          <w:lang w:val="es-ES"/>
        </w:rPr>
        <w:t xml:space="preserve">de 2020 a 2021. La misma cantidad se ingresó en la Cuenta de Provisión a finales de 2020, por lo que no </w:t>
      </w:r>
      <w:r>
        <w:rPr>
          <w:lang w:val="es-ES"/>
        </w:rPr>
        <w:t>habrá incidencia financiera alguna</w:t>
      </w:r>
      <w:r w:rsidRPr="00213B9E">
        <w:rPr>
          <w:lang w:val="es-ES"/>
        </w:rPr>
        <w:t xml:space="preserve"> en el nivel de la Cuenta de Provisión.</w:t>
      </w:r>
    </w:p>
    <w:bookmarkStart w:id="16" w:name="_MON_1649835312"/>
    <w:bookmarkEnd w:id="16"/>
    <w:p w14:paraId="6DC1575A" w14:textId="67A79B44" w:rsidR="00E76A3D" w:rsidRDefault="00D90403" w:rsidP="00BF3EAB">
      <w:pPr>
        <w:pStyle w:val="Figure"/>
      </w:pPr>
      <w:r w:rsidRPr="00695DCB">
        <w:object w:dxaOrig="9926" w:dyaOrig="5167" w14:anchorId="39F2A4D9">
          <v:shape id="_x0000_i1028" type="#_x0000_t75" style="width:447pt;height:233.4pt" o:ole="">
            <v:imagedata r:id="rId27" o:title=""/>
          </v:shape>
          <o:OLEObject Type="Embed" ProgID="Excel.Sheet.12" ShapeID="_x0000_i1028" DrawAspect="Content" ObjectID="_1684336957" r:id="rId28"/>
        </w:object>
      </w:r>
    </w:p>
    <w:p w14:paraId="1FFB0E20" w14:textId="77777777" w:rsidR="009C130E" w:rsidRPr="00695DCB" w:rsidRDefault="009C130E" w:rsidP="009C130E">
      <w:pPr>
        <w:rPr>
          <w:b/>
        </w:rPr>
      </w:pPr>
      <w:r w:rsidRPr="00695DCB">
        <w:t>3.</w:t>
      </w:r>
      <w:r>
        <w:t>7</w:t>
      </w:r>
      <w:r w:rsidRPr="00695DCB">
        <w:tab/>
        <w:t>Se calcula que los</w:t>
      </w:r>
      <w:r>
        <w:rPr>
          <w:sz w:val="14"/>
          <w:szCs w:val="10"/>
        </w:rPr>
        <w:t xml:space="preserve"> </w:t>
      </w:r>
      <w:r w:rsidRPr="005A64B9">
        <w:t xml:space="preserve">demás </w:t>
      </w:r>
      <w:r w:rsidRPr="00695DCB">
        <w:t>ingresos</w:t>
      </w:r>
      <w:r>
        <w:t xml:space="preserve">, así como los ingresos por concepto de intereses, superarán </w:t>
      </w:r>
      <w:r w:rsidRPr="00695DCB">
        <w:t xml:space="preserve">sus niveles presupuestados para </w:t>
      </w:r>
      <w:r>
        <w:t>2021 en 100 000 CHF</w:t>
      </w:r>
      <w:r w:rsidRPr="00695DCB">
        <w:t xml:space="preserve">. </w:t>
      </w:r>
    </w:p>
    <w:p w14:paraId="7D59982B" w14:textId="44F245D8" w:rsidR="009C130E" w:rsidRPr="00695DCB" w:rsidRDefault="009C130E" w:rsidP="009C130E">
      <w:pPr>
        <w:pStyle w:val="Heading1"/>
      </w:pPr>
      <w:r w:rsidRPr="00695DCB">
        <w:t>4</w:t>
      </w:r>
      <w:r w:rsidRPr="00695DCB">
        <w:tab/>
        <w:t>Gastos</w:t>
      </w:r>
    </w:p>
    <w:p w14:paraId="712FB2D0" w14:textId="7E3D7105" w:rsidR="009C130E" w:rsidRPr="00695DCB" w:rsidRDefault="009C130E" w:rsidP="009C130E">
      <w:r w:rsidRPr="00695DCB">
        <w:t>4.1</w:t>
      </w:r>
      <w:r w:rsidRPr="00695DCB">
        <w:tab/>
        <w:t xml:space="preserve">En lo que respecta a los gastos, se están aplicando continuamente medidas y esfuerzos para incrementar la eficiencia, con arreglo a lo dispuesto en la Resolución 1396. El objetivo es mantener los gastos dentro de lo presupuestado al final del ejercicio de </w:t>
      </w:r>
      <w:r>
        <w:t>2021</w:t>
      </w:r>
      <w:r w:rsidRPr="00695DCB">
        <w:t xml:space="preserve">. La aplicación de medidas de eficiencia, así como las consecuencias de la </w:t>
      </w:r>
      <w:r>
        <w:t>pandemia</w:t>
      </w:r>
      <w:r w:rsidRPr="00695DCB">
        <w:t xml:space="preserve"> de COVID-19 y los consiguientes retrasos en la ejecución del presupuesto, generarán créditos no utilizados que se estiman en unos</w:t>
      </w:r>
      <w:r>
        <w:t> 4,7 </w:t>
      </w:r>
      <w:r w:rsidRPr="00695DCB">
        <w:t>millones</w:t>
      </w:r>
      <w:r w:rsidR="006A0226">
        <w:t> </w:t>
      </w:r>
      <w:r>
        <w:t>CHF</w:t>
      </w:r>
      <w:r w:rsidRPr="00695DCB">
        <w:t xml:space="preserve"> para </w:t>
      </w:r>
      <w:r>
        <w:t>2021</w:t>
      </w:r>
      <w:r w:rsidRPr="00695DCB">
        <w:t>.</w:t>
      </w:r>
    </w:p>
    <w:p w14:paraId="7F954A8B" w14:textId="77777777" w:rsidR="009C130E" w:rsidRPr="00695DCB" w:rsidRDefault="009C130E" w:rsidP="009C130E">
      <w:pPr>
        <w:pStyle w:val="Heading1"/>
        <w:ind w:left="0" w:firstLine="0"/>
      </w:pPr>
      <w:r>
        <w:t>5</w:t>
      </w:r>
      <w:r w:rsidRPr="00695DCB">
        <w:tab/>
        <w:t>Medidas de eficiencia</w:t>
      </w:r>
    </w:p>
    <w:p w14:paraId="1D59BEF1" w14:textId="77777777" w:rsidR="009C130E" w:rsidRPr="00FD3B05" w:rsidRDefault="009C130E" w:rsidP="009C130E">
      <w:pPr>
        <w:keepNext/>
        <w:keepLines/>
        <w:snapToGrid w:val="0"/>
        <w:spacing w:after="120"/>
        <w:jc w:val="both"/>
        <w:rPr>
          <w:rFonts w:asciiTheme="minorHAnsi" w:hAnsiTheme="minorHAnsi" w:cstheme="minorHAnsi"/>
          <w:lang w:val="es-ES"/>
        </w:rPr>
      </w:pPr>
      <w:r>
        <w:t>5</w:t>
      </w:r>
      <w:r w:rsidRPr="00695DCB">
        <w:t>.1</w:t>
      </w:r>
      <w:r w:rsidRPr="00695DCB">
        <w:tab/>
        <w:t>Las medidas que debían aplicarse en los bienios 2014-2015, 2016-2017 y 2018-2019 se presentaron al Consejo en los Documentos</w:t>
      </w:r>
      <w:r w:rsidRPr="00A21355">
        <w:t xml:space="preserve"> </w:t>
      </w:r>
      <w:hyperlink r:id="rId29" w:history="1">
        <w:r w:rsidRPr="00C46CFF">
          <w:rPr>
            <w:rStyle w:val="Hyperlink"/>
            <w:rFonts w:asciiTheme="minorHAnsi" w:hAnsiTheme="minorHAnsi" w:cstheme="minorHAnsi"/>
            <w:lang w:val="es-ES"/>
          </w:rPr>
          <w:t>C15/45</w:t>
        </w:r>
      </w:hyperlink>
      <w:r w:rsidRPr="00C46CFF">
        <w:rPr>
          <w:rFonts w:asciiTheme="minorHAnsi" w:hAnsiTheme="minorHAnsi" w:cstheme="minorHAnsi"/>
          <w:lang w:val="es-ES"/>
        </w:rPr>
        <w:t xml:space="preserve">, </w:t>
      </w:r>
      <w:hyperlink r:id="rId30" w:history="1">
        <w:r w:rsidRPr="00C46CFF">
          <w:rPr>
            <w:rStyle w:val="Hyperlink"/>
            <w:rFonts w:asciiTheme="minorHAnsi" w:hAnsiTheme="minorHAnsi" w:cstheme="minorHAnsi"/>
            <w:lang w:val="es-ES"/>
          </w:rPr>
          <w:t>C16/45</w:t>
        </w:r>
      </w:hyperlink>
      <w:r w:rsidRPr="00C46CFF">
        <w:rPr>
          <w:rFonts w:asciiTheme="minorHAnsi" w:hAnsiTheme="minorHAnsi" w:cstheme="minorHAnsi"/>
          <w:lang w:val="es-ES"/>
        </w:rPr>
        <w:t xml:space="preserve">, </w:t>
      </w:r>
      <w:hyperlink r:id="rId31" w:history="1">
        <w:r w:rsidRPr="00C46CFF">
          <w:rPr>
            <w:rStyle w:val="Hyperlink"/>
            <w:rFonts w:asciiTheme="minorHAnsi" w:hAnsiTheme="minorHAnsi" w:cstheme="minorHAnsi"/>
            <w:lang w:val="es-ES"/>
          </w:rPr>
          <w:t>C17/45</w:t>
        </w:r>
      </w:hyperlink>
      <w:r w:rsidRPr="00C46CFF">
        <w:rPr>
          <w:rFonts w:asciiTheme="minorHAnsi" w:hAnsiTheme="minorHAnsi" w:cstheme="minorHAnsi"/>
          <w:lang w:val="es-ES"/>
        </w:rPr>
        <w:t xml:space="preserve">, </w:t>
      </w:r>
      <w:hyperlink r:id="rId32" w:history="1">
        <w:r w:rsidRPr="00C46CFF">
          <w:rPr>
            <w:rStyle w:val="Hyperlink"/>
            <w:rFonts w:asciiTheme="minorHAnsi" w:hAnsiTheme="minorHAnsi" w:cstheme="minorHAnsi"/>
            <w:lang w:val="es-ES"/>
          </w:rPr>
          <w:t>C18/45</w:t>
        </w:r>
      </w:hyperlink>
      <w:r w:rsidRPr="00C46CFF">
        <w:rPr>
          <w:rFonts w:asciiTheme="minorHAnsi" w:hAnsiTheme="minorHAnsi" w:cstheme="minorHAnsi"/>
          <w:lang w:val="es-ES"/>
        </w:rPr>
        <w:t xml:space="preserve">, </w:t>
      </w:r>
      <w:hyperlink r:id="rId33" w:history="1">
        <w:r w:rsidRPr="00213B9E">
          <w:rPr>
            <w:rStyle w:val="Hyperlink"/>
            <w:rFonts w:asciiTheme="minorHAnsi" w:hAnsiTheme="minorHAnsi" w:cstheme="minorHAnsi"/>
            <w:lang w:val="es-ES"/>
          </w:rPr>
          <w:t>C19/45</w:t>
        </w:r>
      </w:hyperlink>
      <w:r w:rsidRPr="00213B9E">
        <w:rPr>
          <w:rFonts w:asciiTheme="minorHAnsi" w:hAnsiTheme="minorHAnsi" w:cstheme="minorHAnsi"/>
          <w:lang w:val="es-ES"/>
        </w:rPr>
        <w:t xml:space="preserve"> y </w:t>
      </w:r>
      <w:hyperlink r:id="rId34" w:history="1">
        <w:r w:rsidRPr="00213B9E">
          <w:rPr>
            <w:rStyle w:val="Hyperlink"/>
            <w:rFonts w:asciiTheme="minorHAnsi" w:hAnsiTheme="minorHAnsi" w:cstheme="minorHAnsi"/>
            <w:lang w:val="es-ES"/>
          </w:rPr>
          <w:t>C20/9</w:t>
        </w:r>
      </w:hyperlink>
      <w:r w:rsidRPr="00213B9E">
        <w:rPr>
          <w:rFonts w:asciiTheme="minorHAnsi" w:hAnsiTheme="minorHAnsi" w:cstheme="minorHAnsi"/>
          <w:lang w:val="es-ES"/>
        </w:rPr>
        <w:t xml:space="preserve">. Estas medidas permitieron lograr ahorros que </w:t>
      </w:r>
      <w:r>
        <w:rPr>
          <w:rFonts w:asciiTheme="minorHAnsi" w:hAnsiTheme="minorHAnsi" w:cstheme="minorHAnsi"/>
          <w:lang w:val="es-ES"/>
        </w:rPr>
        <w:t xml:space="preserve">totalizaron </w:t>
      </w:r>
      <w:r w:rsidRPr="00213B9E">
        <w:rPr>
          <w:rFonts w:asciiTheme="minorHAnsi" w:hAnsiTheme="minorHAnsi" w:cstheme="minorHAnsi"/>
          <w:lang w:val="es-ES"/>
        </w:rPr>
        <w:t>5</w:t>
      </w:r>
      <w:r>
        <w:rPr>
          <w:rFonts w:asciiTheme="minorHAnsi" w:hAnsiTheme="minorHAnsi" w:cstheme="minorHAnsi"/>
          <w:lang w:val="es-ES"/>
        </w:rPr>
        <w:t xml:space="preserve">7,6 millones </w:t>
      </w:r>
      <w:r w:rsidRPr="00213B9E">
        <w:rPr>
          <w:rFonts w:asciiTheme="minorHAnsi" w:hAnsiTheme="minorHAnsi" w:cstheme="minorHAnsi"/>
          <w:lang w:val="es-ES"/>
        </w:rPr>
        <w:t xml:space="preserve">CHF </w:t>
      </w:r>
      <w:r>
        <w:rPr>
          <w:rFonts w:asciiTheme="minorHAnsi" w:hAnsiTheme="minorHAnsi" w:cstheme="minorHAnsi"/>
          <w:lang w:val="es-ES"/>
        </w:rPr>
        <w:t>en el período 2</w:t>
      </w:r>
      <w:r w:rsidRPr="00FD3B05">
        <w:rPr>
          <w:rFonts w:asciiTheme="minorHAnsi" w:hAnsiTheme="minorHAnsi" w:cstheme="minorHAnsi"/>
          <w:lang w:val="es-ES"/>
        </w:rPr>
        <w:t>014-2019.</w:t>
      </w:r>
    </w:p>
    <w:p w14:paraId="16FEF48D" w14:textId="77777777" w:rsidR="009C130E" w:rsidRPr="00695DCB" w:rsidRDefault="009C130E" w:rsidP="009C130E">
      <w:r>
        <w:t>5</w:t>
      </w:r>
      <w:r w:rsidRPr="00695DCB">
        <w:t>.2</w:t>
      </w:r>
      <w:r w:rsidRPr="00695DCB">
        <w:tab/>
        <w:t xml:space="preserve">En el </w:t>
      </w:r>
      <w:r w:rsidRPr="009C5B97">
        <w:rPr>
          <w:rStyle w:val="Hyperlink"/>
        </w:rPr>
        <w:t>Cuadro A</w:t>
      </w:r>
      <w:r w:rsidRPr="00695DCB">
        <w:t xml:space="preserve"> se presentan los ahorros derivados de cada una de las 30 medidas identificadas en el Anexo 2 a la Decisión 5 (Rev. Busán, 2014) para el periodo 2014-2019.</w:t>
      </w:r>
    </w:p>
    <w:p w14:paraId="4DF88643" w14:textId="77777777" w:rsidR="009C130E" w:rsidRPr="00695DCB" w:rsidRDefault="009C130E" w:rsidP="009C130E">
      <w:r>
        <w:t>5</w:t>
      </w:r>
      <w:r w:rsidRPr="00695DCB">
        <w:t>.3</w:t>
      </w:r>
      <w:r w:rsidRPr="00695DCB">
        <w:tab/>
        <w:t xml:space="preserve">En el </w:t>
      </w:r>
      <w:r w:rsidRPr="009C5B97">
        <w:rPr>
          <w:rStyle w:val="Hyperlink"/>
        </w:rPr>
        <w:t>Cuadro B</w:t>
      </w:r>
      <w:r w:rsidRPr="00695DCB">
        <w:t xml:space="preserve"> se presentan los ahorros previstos </w:t>
      </w:r>
      <w:r>
        <w:t xml:space="preserve">y reales </w:t>
      </w:r>
      <w:r w:rsidRPr="00695DCB">
        <w:t>con arreglo a cada una de las 27 medidas destinadas a mejorar la eficiencia del Anexo</w:t>
      </w:r>
      <w:r>
        <w:t> </w:t>
      </w:r>
      <w:r w:rsidRPr="00695DCB">
        <w:t>2 a la Decisión 5 (Rev. Dubái, 2018) para el periodo 2020-</w:t>
      </w:r>
      <w:r>
        <w:t>2023</w:t>
      </w:r>
      <w:r w:rsidRPr="00695DCB">
        <w:t xml:space="preserve">. </w:t>
      </w:r>
      <w:r>
        <w:t>Los ahorros logrados se estiman en13,9</w:t>
      </w:r>
      <w:r w:rsidRPr="00695DCB">
        <w:t> millones CHF para 2020</w:t>
      </w:r>
      <w:r w:rsidRPr="0027635F">
        <w:t xml:space="preserve"> de los cuales</w:t>
      </w:r>
      <w:r>
        <w:t xml:space="preserve"> </w:t>
      </w:r>
      <w:r w:rsidRPr="0027635F">
        <w:t>7,5</w:t>
      </w:r>
      <w:r>
        <w:t> </w:t>
      </w:r>
      <w:r w:rsidRPr="0027635F">
        <w:t xml:space="preserve">millones CHF </w:t>
      </w:r>
      <w:r>
        <w:t>pueden atribuirse a</w:t>
      </w:r>
      <w:r w:rsidRPr="0027635F">
        <w:t xml:space="preserve"> l</w:t>
      </w:r>
      <w:r>
        <w:t xml:space="preserve">os efectos del </w:t>
      </w:r>
      <w:r w:rsidRPr="0027635F">
        <w:t>COVID-19</w:t>
      </w:r>
      <w:r>
        <w:t xml:space="preserve"> y se presentan en forma de créditos </w:t>
      </w:r>
      <w:r w:rsidRPr="0027635F">
        <w:t>no utilizad</w:t>
      </w:r>
      <w:r>
        <w:t>o</w:t>
      </w:r>
      <w:r w:rsidRPr="0027635F">
        <w:t xml:space="preserve">s (viajes, becas, gastos de </w:t>
      </w:r>
      <w:r>
        <w:t>explotación</w:t>
      </w:r>
      <w:r w:rsidRPr="0027635F">
        <w:t>, ...). Estos</w:t>
      </w:r>
      <w:r>
        <w:t xml:space="preserve"> </w:t>
      </w:r>
      <w:r w:rsidRPr="0027635F">
        <w:t>13,9</w:t>
      </w:r>
      <w:r>
        <w:t> </w:t>
      </w:r>
      <w:r w:rsidRPr="0027635F">
        <w:t xml:space="preserve">millones CHF han </w:t>
      </w:r>
      <w:r>
        <w:t>sido enteramente absorbidos por el</w:t>
      </w:r>
      <w:r w:rsidRPr="0027635F">
        <w:t xml:space="preserve"> importante déficit de ingresos, así como </w:t>
      </w:r>
      <w:r>
        <w:t xml:space="preserve">por </w:t>
      </w:r>
      <w:r w:rsidRPr="0027635F">
        <w:t xml:space="preserve">algunos gastos </w:t>
      </w:r>
      <w:r>
        <w:t>im</w:t>
      </w:r>
      <w:r w:rsidRPr="0027635F">
        <w:t xml:space="preserve">previstos (COVID-19, UNSMIS...). Para </w:t>
      </w:r>
      <w:r>
        <w:t xml:space="preserve">el período </w:t>
      </w:r>
      <w:r w:rsidRPr="0027635F">
        <w:t>2021-2023</w:t>
      </w:r>
      <w:r>
        <w:t>, d</w:t>
      </w:r>
      <w:r w:rsidRPr="00695DCB">
        <w:t>ichas medidas se analizarán con mayor detenimiento durante la ejecución del presupuesto, momento en que podrán proporcionarse cálculos de los ahorros logrados gracias a algunas de ellas.</w:t>
      </w:r>
    </w:p>
    <w:p w14:paraId="448E04F1" w14:textId="77777777" w:rsidR="009C130E" w:rsidRPr="00695DCB" w:rsidRDefault="009C130E" w:rsidP="009C130E">
      <w:pPr>
        <w:pStyle w:val="Tabletitle"/>
      </w:pPr>
      <w:bookmarkStart w:id="17" w:name="lt_pId052"/>
      <w:r w:rsidRPr="00695DCB">
        <w:lastRenderedPageBreak/>
        <w:t xml:space="preserve">Cuadro A – </w:t>
      </w:r>
      <w:bookmarkEnd w:id="17"/>
      <w:r w:rsidRPr="00695DCB">
        <w:t>Medidas de eficiencia – 2014-2019</w:t>
      </w:r>
    </w:p>
    <w:bookmarkStart w:id="18" w:name="_MON_1650105360"/>
    <w:bookmarkEnd w:id="18"/>
    <w:p w14:paraId="40F55CEF" w14:textId="5ACA537E" w:rsidR="009C130E" w:rsidRDefault="00831299" w:rsidP="009C130E">
      <w:pPr>
        <w:snapToGrid w:val="0"/>
        <w:spacing w:before="240" w:after="120"/>
        <w:jc w:val="both"/>
      </w:pPr>
      <w:r w:rsidRPr="00695DCB">
        <w:object w:dxaOrig="16125" w:dyaOrig="21993" w14:anchorId="390D0BE4">
          <v:shape id="_x0000_i1029" type="#_x0000_t75" style="width:486pt;height:628.2pt" o:ole="">
            <v:imagedata r:id="rId35" o:title=""/>
          </v:shape>
          <o:OLEObject Type="Embed" ProgID="Excel.Sheet.12" ShapeID="_x0000_i1029" DrawAspect="Content" ObjectID="_1684336958" r:id="rId36"/>
        </w:object>
      </w:r>
    </w:p>
    <w:p w14:paraId="5F14DCB6" w14:textId="4280B82A" w:rsidR="00B8270F" w:rsidRPr="00B8270F" w:rsidRDefault="00833AB9" w:rsidP="00833AB9">
      <w:pPr>
        <w:pStyle w:val="Tabletitle"/>
      </w:pPr>
      <w:r w:rsidRPr="00695DCB">
        <w:lastRenderedPageBreak/>
        <w:t>Cuadro</w:t>
      </w:r>
      <w:r>
        <w:t xml:space="preserve"> B –</w:t>
      </w:r>
      <w:r w:rsidRPr="00695DCB">
        <w:t xml:space="preserve"> Medidas de eficiencia – 2020-202</w:t>
      </w:r>
      <w:r>
        <w:t>3</w:t>
      </w:r>
    </w:p>
    <w:bookmarkStart w:id="19" w:name="_MON_1684263201"/>
    <w:bookmarkEnd w:id="19"/>
    <w:p w14:paraId="3E640C5E" w14:textId="21F9CA42" w:rsidR="00B8270F" w:rsidRPr="00B8270F" w:rsidRDefault="00DD4F09" w:rsidP="00B8270F">
      <w:pPr>
        <w:snapToGrid w:val="0"/>
        <w:spacing w:before="240" w:after="120"/>
        <w:jc w:val="both"/>
        <w:rPr>
          <w:rFonts w:asciiTheme="minorHAnsi" w:hAnsiTheme="minorHAnsi" w:cstheme="minorHAnsi"/>
          <w:lang w:val="fr-FR"/>
        </w:rPr>
      </w:pPr>
      <w:r w:rsidRPr="00B8270F">
        <w:rPr>
          <w:rFonts w:asciiTheme="minorHAnsi" w:hAnsiTheme="minorHAnsi" w:cstheme="minorHAnsi"/>
          <w:lang w:val="fr-FR"/>
        </w:rPr>
        <w:object w:dxaOrig="16782" w:dyaOrig="19646" w14:anchorId="1366854F">
          <v:shape id="_x0000_i1030" type="#_x0000_t75" style="width:501pt;height:586.2pt" o:ole="">
            <v:imagedata r:id="rId37" o:title=""/>
          </v:shape>
          <o:OLEObject Type="Embed" ProgID="Excel.Sheet.12" ShapeID="_x0000_i1030" DrawAspect="Content" ObjectID="_1684336959" r:id="rId38"/>
        </w:object>
      </w:r>
    </w:p>
    <w:p w14:paraId="3A486659" w14:textId="02D7457A" w:rsidR="009C130E" w:rsidRDefault="009C130E" w:rsidP="009C130E">
      <w:pPr>
        <w:snapToGrid w:val="0"/>
        <w:spacing w:before="240" w:after="120"/>
        <w:jc w:val="both"/>
        <w:rPr>
          <w:rFonts w:asciiTheme="minorHAnsi" w:hAnsiTheme="minorHAnsi" w:cstheme="minorHAnsi"/>
          <w:lang w:val="fr-FR"/>
        </w:rPr>
      </w:pPr>
    </w:p>
    <w:p w14:paraId="617F97A9" w14:textId="77777777" w:rsidR="00E7552C" w:rsidRDefault="00E7552C">
      <w:pPr>
        <w:jc w:val="center"/>
      </w:pPr>
      <w:r>
        <w:t>______________</w:t>
      </w:r>
    </w:p>
    <w:sectPr w:rsidR="00E7552C" w:rsidSect="003D1C8A">
      <w:headerReference w:type="default" r:id="rId39"/>
      <w:footerReference w:type="default" r:id="rId40"/>
      <w:footerReference w:type="first" r:id="rId41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4619" w14:textId="77777777" w:rsidR="00C967A7" w:rsidRDefault="00C967A7">
      <w:r>
        <w:separator/>
      </w:r>
    </w:p>
  </w:endnote>
  <w:endnote w:type="continuationSeparator" w:id="0">
    <w:p w14:paraId="5864D28B" w14:textId="77777777" w:rsidR="00C967A7" w:rsidRDefault="00C9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DD1C" w14:textId="72208D3E" w:rsidR="00D32F00" w:rsidRDefault="00E3321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32F00">
      <w:t>Document1</w:t>
    </w:r>
    <w:r>
      <w:fldChar w:fldCharType="end"/>
    </w:r>
    <w:r w:rsidR="00D32F00">
      <w:tab/>
    </w:r>
    <w:r w:rsidR="00D32F00">
      <w:fldChar w:fldCharType="begin"/>
    </w:r>
    <w:r w:rsidR="00D32F00">
      <w:instrText xml:space="preserve"> savedate \@ dd.MM.yy </w:instrText>
    </w:r>
    <w:r w:rsidR="00D32F00">
      <w:fldChar w:fldCharType="separate"/>
    </w:r>
    <w:r>
      <w:t>04.06.21</w:t>
    </w:r>
    <w:r w:rsidR="00D32F00">
      <w:fldChar w:fldCharType="end"/>
    </w:r>
    <w:r w:rsidR="00D32F00">
      <w:tab/>
    </w:r>
    <w:r w:rsidR="00D32F00">
      <w:fldChar w:fldCharType="begin"/>
    </w:r>
    <w:r w:rsidR="00D32F00">
      <w:instrText xml:space="preserve"> printdate \@ dd.MM.yy </w:instrText>
    </w:r>
    <w:r w:rsidR="00D32F00">
      <w:fldChar w:fldCharType="separate"/>
    </w:r>
    <w:r w:rsidR="00D32F00">
      <w:t>18.07.00</w:t>
    </w:r>
    <w:r w:rsidR="00D32F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FC3" w14:textId="77777777" w:rsidR="00D32F00" w:rsidRPr="00D32F00" w:rsidRDefault="00D32F00">
    <w:pPr>
      <w:pStyle w:val="Footer"/>
      <w:rPr>
        <w:lang w:val="fr-FR"/>
      </w:rPr>
    </w:pPr>
    <w:r w:rsidRPr="00E3321D">
      <w:rPr>
        <w:color w:val="F2F2F2" w:themeColor="background1" w:themeShade="F2"/>
      </w:rPr>
      <w:fldChar w:fldCharType="begin"/>
    </w:r>
    <w:r w:rsidRPr="00E3321D">
      <w:rPr>
        <w:color w:val="F2F2F2" w:themeColor="background1" w:themeShade="F2"/>
        <w:lang w:val="fr-FR"/>
      </w:rPr>
      <w:instrText xml:space="preserve"> FILENAME \p \* MERGEFORMAT </w:instrText>
    </w:r>
    <w:r w:rsidRPr="00E3321D">
      <w:rPr>
        <w:color w:val="F2F2F2" w:themeColor="background1" w:themeShade="F2"/>
      </w:rPr>
      <w:fldChar w:fldCharType="separate"/>
    </w:r>
    <w:r w:rsidRPr="00E3321D">
      <w:rPr>
        <w:color w:val="F2F2F2" w:themeColor="background1" w:themeShade="F2"/>
        <w:lang w:val="fr-FR"/>
      </w:rPr>
      <w:t>P:\FRA\SG\CONSEIL\C21\000\009F.docx</w:t>
    </w:r>
    <w:r w:rsidRPr="00E3321D">
      <w:rPr>
        <w:color w:val="F2F2F2" w:themeColor="background1" w:themeShade="F2"/>
      </w:rPr>
      <w:fldChar w:fldCharType="end"/>
    </w:r>
    <w:r w:rsidRPr="00E3321D">
      <w:rPr>
        <w:color w:val="F2F2F2" w:themeColor="background1" w:themeShade="F2"/>
        <w:lang w:val="fr-FR"/>
      </w:rPr>
      <w:t xml:space="preserve"> (483200)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7C42" w14:textId="77777777" w:rsidR="00D32F00" w:rsidRDefault="00D32F0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D059" w14:textId="7BD3F19B" w:rsidR="00831299" w:rsidRDefault="00E3321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31299">
      <w:t>Document1</w:t>
    </w:r>
    <w:r>
      <w:fldChar w:fldCharType="end"/>
    </w:r>
    <w:r w:rsidR="00831299">
      <w:tab/>
    </w:r>
    <w:r w:rsidR="00831299">
      <w:fldChar w:fldCharType="begin"/>
    </w:r>
    <w:r w:rsidR="00831299">
      <w:instrText xml:space="preserve"> savedate \@ dd.MM.yy </w:instrText>
    </w:r>
    <w:r w:rsidR="00831299">
      <w:fldChar w:fldCharType="separate"/>
    </w:r>
    <w:r>
      <w:t>04.06.21</w:t>
    </w:r>
    <w:r w:rsidR="00831299">
      <w:fldChar w:fldCharType="end"/>
    </w:r>
    <w:r w:rsidR="00831299">
      <w:tab/>
    </w:r>
    <w:r w:rsidR="00831299">
      <w:fldChar w:fldCharType="begin"/>
    </w:r>
    <w:r w:rsidR="00831299">
      <w:instrText xml:space="preserve"> printdate \@ dd.MM.yy </w:instrText>
    </w:r>
    <w:r w:rsidR="00831299">
      <w:fldChar w:fldCharType="separate"/>
    </w:r>
    <w:r w:rsidR="00831299">
      <w:t>18.07.00</w:t>
    </w:r>
    <w:r w:rsidR="00831299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B4BA" w14:textId="77777777" w:rsidR="00831299" w:rsidRPr="00831299" w:rsidRDefault="00831299">
    <w:pPr>
      <w:pStyle w:val="Footer"/>
      <w:rPr>
        <w:lang w:val="fr-FR"/>
      </w:rPr>
    </w:pPr>
    <w:r w:rsidRPr="00E3321D">
      <w:rPr>
        <w:color w:val="F2F2F2" w:themeColor="background1" w:themeShade="F2"/>
      </w:rPr>
      <w:fldChar w:fldCharType="begin"/>
    </w:r>
    <w:r w:rsidRPr="00E3321D">
      <w:rPr>
        <w:color w:val="F2F2F2" w:themeColor="background1" w:themeShade="F2"/>
        <w:lang w:val="fr-FR"/>
      </w:rPr>
      <w:instrText xml:space="preserve"> FILENAME \p \* MERGEFORMAT </w:instrText>
    </w:r>
    <w:r w:rsidRPr="00E3321D">
      <w:rPr>
        <w:color w:val="F2F2F2" w:themeColor="background1" w:themeShade="F2"/>
      </w:rPr>
      <w:fldChar w:fldCharType="separate"/>
    </w:r>
    <w:r w:rsidRPr="00E3321D">
      <w:rPr>
        <w:color w:val="F2F2F2" w:themeColor="background1" w:themeShade="F2"/>
        <w:lang w:val="fr-FR"/>
      </w:rPr>
      <w:t>P:\FRA\SG\CONSEIL\C21\000\009F.docx</w:t>
    </w:r>
    <w:r w:rsidRPr="00E3321D">
      <w:rPr>
        <w:color w:val="F2F2F2" w:themeColor="background1" w:themeShade="F2"/>
      </w:rPr>
      <w:fldChar w:fldCharType="end"/>
    </w:r>
    <w:r w:rsidRPr="00E3321D">
      <w:rPr>
        <w:color w:val="F2F2F2" w:themeColor="background1" w:themeShade="F2"/>
        <w:lang w:val="fr-FR"/>
      </w:rPr>
      <w:t xml:space="preserve"> (483200)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414A" w14:textId="70084101" w:rsidR="00831299" w:rsidRPr="003D1C8A" w:rsidRDefault="003D1C8A" w:rsidP="003D1C8A">
    <w:pPr>
      <w:pStyle w:val="Footer"/>
      <w:rPr>
        <w:lang w:val="fr-FR"/>
      </w:rPr>
    </w:pPr>
    <w:r>
      <w:fldChar w:fldCharType="begin"/>
    </w:r>
    <w:r w:rsidRPr="00C47A0A">
      <w:rPr>
        <w:lang w:val="fr-FR"/>
      </w:rPr>
      <w:instrText xml:space="preserve"> FILENAME \p \* MERGEFORMAT </w:instrText>
    </w:r>
    <w:r>
      <w:fldChar w:fldCharType="separate"/>
    </w:r>
    <w:r w:rsidRPr="00C47A0A">
      <w:rPr>
        <w:lang w:val="fr-FR"/>
      </w:rPr>
      <w:t>P:\ESP\SG\CONSEIL\C21\000\009S.docx</w:t>
    </w:r>
    <w:r>
      <w:rPr>
        <w:lang w:val="en-US"/>
      </w:rPr>
      <w:fldChar w:fldCharType="end"/>
    </w:r>
    <w:r>
      <w:rPr>
        <w:lang w:val="fr-FR"/>
      </w:rPr>
      <w:t xml:space="preserve"> (483200)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6222" w14:textId="18457408" w:rsidR="00760F1C" w:rsidRPr="00C47A0A" w:rsidRDefault="00E7552C">
    <w:pPr>
      <w:pStyle w:val="Footer"/>
      <w:rPr>
        <w:lang w:val="fr-FR"/>
      </w:rPr>
    </w:pPr>
    <w:r w:rsidRPr="00E3321D">
      <w:rPr>
        <w:color w:val="F2F2F2" w:themeColor="background1" w:themeShade="F2"/>
      </w:rPr>
      <w:fldChar w:fldCharType="begin"/>
    </w:r>
    <w:r w:rsidRPr="00E3321D">
      <w:rPr>
        <w:color w:val="F2F2F2" w:themeColor="background1" w:themeShade="F2"/>
        <w:lang w:val="fr-FR"/>
      </w:rPr>
      <w:instrText xml:space="preserve"> FILENAME \p \* MERGEFORMAT </w:instrText>
    </w:r>
    <w:r w:rsidRPr="00E3321D">
      <w:rPr>
        <w:color w:val="F2F2F2" w:themeColor="background1" w:themeShade="F2"/>
      </w:rPr>
      <w:fldChar w:fldCharType="separate"/>
    </w:r>
    <w:r w:rsidR="00C47A0A" w:rsidRPr="00E3321D">
      <w:rPr>
        <w:color w:val="F2F2F2" w:themeColor="background1" w:themeShade="F2"/>
        <w:lang w:val="fr-FR"/>
      </w:rPr>
      <w:t>P:\ESP\SG\CONSEIL\C21\000\009S.docx</w:t>
    </w:r>
    <w:r w:rsidRPr="00E3321D">
      <w:rPr>
        <w:color w:val="F2F2F2" w:themeColor="background1" w:themeShade="F2"/>
        <w:lang w:val="en-US"/>
      </w:rPr>
      <w:fldChar w:fldCharType="end"/>
    </w:r>
    <w:r w:rsidR="003D1C8A" w:rsidRPr="00E3321D">
      <w:rPr>
        <w:color w:val="F2F2F2" w:themeColor="background1" w:themeShade="F2"/>
        <w:lang w:val="fr-FR"/>
      </w:rPr>
      <w:t xml:space="preserve"> (483200)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F625" w14:textId="70C03AF0" w:rsidR="00760F1C" w:rsidRPr="003D1C8A" w:rsidRDefault="003D1C8A" w:rsidP="003D1C8A">
    <w:pPr>
      <w:pStyle w:val="Footer"/>
      <w:rPr>
        <w:lang w:val="fr-FR"/>
      </w:rPr>
    </w:pPr>
    <w:r>
      <w:fldChar w:fldCharType="begin"/>
    </w:r>
    <w:r w:rsidRPr="00C47A0A">
      <w:rPr>
        <w:lang w:val="fr-FR"/>
      </w:rPr>
      <w:instrText xml:space="preserve"> FILENAME \p \* MERGEFORMAT </w:instrText>
    </w:r>
    <w:r>
      <w:fldChar w:fldCharType="separate"/>
    </w:r>
    <w:r w:rsidRPr="00C47A0A">
      <w:rPr>
        <w:lang w:val="fr-FR"/>
      </w:rPr>
      <w:t>P:\ESP\SG\CONSEIL\C21\000\009S.docx</w:t>
    </w:r>
    <w:r>
      <w:rPr>
        <w:lang w:val="en-US"/>
      </w:rPr>
      <w:fldChar w:fldCharType="end"/>
    </w:r>
    <w:r>
      <w:rPr>
        <w:lang w:val="fr-FR"/>
      </w:rPr>
      <w:t xml:space="preserve"> (483200)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DEAE" w14:textId="77777777" w:rsidR="00C967A7" w:rsidRDefault="00C967A7">
      <w:r>
        <w:t>____________________</w:t>
      </w:r>
    </w:p>
  </w:footnote>
  <w:footnote w:type="continuationSeparator" w:id="0">
    <w:p w14:paraId="203D2954" w14:textId="77777777" w:rsidR="00C967A7" w:rsidRDefault="00C9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C85E" w14:textId="77777777" w:rsidR="00D32F00" w:rsidRDefault="00D32F0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700166C2" w14:textId="77777777" w:rsidR="00D32F00" w:rsidRDefault="00D32F00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9D72" w14:textId="77777777" w:rsidR="003D1C8A" w:rsidRDefault="003D1C8A" w:rsidP="003D1C8A">
    <w:pPr>
      <w:pStyle w:val="Header"/>
    </w:pPr>
    <w:r>
      <w:fldChar w:fldCharType="begin"/>
    </w:r>
    <w:r>
      <w:instrText>PAGE</w:instrText>
    </w:r>
    <w:r>
      <w:fldChar w:fldCharType="separate"/>
    </w:r>
    <w:r>
      <w:t>3</w:t>
    </w:r>
    <w:r>
      <w:rPr>
        <w:noProof/>
      </w:rPr>
      <w:fldChar w:fldCharType="end"/>
    </w:r>
  </w:p>
  <w:p w14:paraId="5771BDCD" w14:textId="3095DBB5" w:rsidR="003D1C8A" w:rsidRDefault="003D1C8A" w:rsidP="003D1C8A">
    <w:pPr>
      <w:pStyle w:val="Header"/>
    </w:pPr>
    <w:r>
      <w:t>C21/9-S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6E2E" w14:textId="77777777" w:rsidR="00831299" w:rsidRDefault="00831299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2C1B24D" w14:textId="77777777" w:rsidR="00831299" w:rsidRDefault="00831299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FFDC" w14:textId="77777777" w:rsidR="00831299" w:rsidRDefault="00831299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498446" w14:textId="7B3A4726" w:rsidR="00831299" w:rsidRDefault="00831299" w:rsidP="00A0794E">
    <w:pPr>
      <w:pStyle w:val="Header"/>
      <w:spacing w:after="240"/>
    </w:pPr>
    <w:r>
      <w:t>C21/9-</w:t>
    </w:r>
    <w:r w:rsidR="00BC0614">
      <w:t>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0F3D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143A945E" w14:textId="248AD298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783059">
      <w:t>9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A7"/>
    <w:rsid w:val="000007D1"/>
    <w:rsid w:val="00093EEB"/>
    <w:rsid w:val="000B0D00"/>
    <w:rsid w:val="000B7C15"/>
    <w:rsid w:val="000D1D0F"/>
    <w:rsid w:val="000F5290"/>
    <w:rsid w:val="0010165C"/>
    <w:rsid w:val="00146BFB"/>
    <w:rsid w:val="00184D6B"/>
    <w:rsid w:val="001C7281"/>
    <w:rsid w:val="001F14A2"/>
    <w:rsid w:val="00213B9E"/>
    <w:rsid w:val="00233C61"/>
    <w:rsid w:val="002801AA"/>
    <w:rsid w:val="002C4676"/>
    <w:rsid w:val="002C70B0"/>
    <w:rsid w:val="002F3CC4"/>
    <w:rsid w:val="00331D29"/>
    <w:rsid w:val="00392ED8"/>
    <w:rsid w:val="003D1C8A"/>
    <w:rsid w:val="00513630"/>
    <w:rsid w:val="00533B06"/>
    <w:rsid w:val="00560125"/>
    <w:rsid w:val="005852B5"/>
    <w:rsid w:val="00585553"/>
    <w:rsid w:val="005B34D9"/>
    <w:rsid w:val="005D0CCF"/>
    <w:rsid w:val="005F3BCB"/>
    <w:rsid w:val="005F410F"/>
    <w:rsid w:val="0060149A"/>
    <w:rsid w:val="00601924"/>
    <w:rsid w:val="006175E9"/>
    <w:rsid w:val="006447EA"/>
    <w:rsid w:val="0064731F"/>
    <w:rsid w:val="00664572"/>
    <w:rsid w:val="006710F6"/>
    <w:rsid w:val="006A0226"/>
    <w:rsid w:val="006C1B56"/>
    <w:rsid w:val="006D4761"/>
    <w:rsid w:val="00726872"/>
    <w:rsid w:val="00760F1C"/>
    <w:rsid w:val="007657F0"/>
    <w:rsid w:val="0077252D"/>
    <w:rsid w:val="00783059"/>
    <w:rsid w:val="007955DA"/>
    <w:rsid w:val="007A1CA4"/>
    <w:rsid w:val="007E5DD3"/>
    <w:rsid w:val="007F350B"/>
    <w:rsid w:val="00820BE4"/>
    <w:rsid w:val="00831299"/>
    <w:rsid w:val="00833AB9"/>
    <w:rsid w:val="008451E8"/>
    <w:rsid w:val="008701D8"/>
    <w:rsid w:val="00913B9C"/>
    <w:rsid w:val="00956E77"/>
    <w:rsid w:val="009C130E"/>
    <w:rsid w:val="009E66E5"/>
    <w:rsid w:val="009F4811"/>
    <w:rsid w:val="00A65CD7"/>
    <w:rsid w:val="00A72EB7"/>
    <w:rsid w:val="00A96502"/>
    <w:rsid w:val="00AA390C"/>
    <w:rsid w:val="00B0200A"/>
    <w:rsid w:val="00B574DB"/>
    <w:rsid w:val="00B826C2"/>
    <w:rsid w:val="00B8270F"/>
    <w:rsid w:val="00B8298E"/>
    <w:rsid w:val="00BC0614"/>
    <w:rsid w:val="00BD0723"/>
    <w:rsid w:val="00BD2518"/>
    <w:rsid w:val="00BE5403"/>
    <w:rsid w:val="00BF1D1C"/>
    <w:rsid w:val="00BF3EAB"/>
    <w:rsid w:val="00C078EF"/>
    <w:rsid w:val="00C20C59"/>
    <w:rsid w:val="00C2727F"/>
    <w:rsid w:val="00C371C0"/>
    <w:rsid w:val="00C37FA7"/>
    <w:rsid w:val="00C47A0A"/>
    <w:rsid w:val="00C55B1F"/>
    <w:rsid w:val="00C60338"/>
    <w:rsid w:val="00C77920"/>
    <w:rsid w:val="00C967A7"/>
    <w:rsid w:val="00CF1A67"/>
    <w:rsid w:val="00D2750E"/>
    <w:rsid w:val="00D32F00"/>
    <w:rsid w:val="00D62446"/>
    <w:rsid w:val="00D90403"/>
    <w:rsid w:val="00DA4EA2"/>
    <w:rsid w:val="00DC3D3E"/>
    <w:rsid w:val="00DD4F09"/>
    <w:rsid w:val="00DE2C90"/>
    <w:rsid w:val="00DE3B24"/>
    <w:rsid w:val="00DF7E38"/>
    <w:rsid w:val="00E06947"/>
    <w:rsid w:val="00E22CBF"/>
    <w:rsid w:val="00E3321D"/>
    <w:rsid w:val="00E3592D"/>
    <w:rsid w:val="00E518B4"/>
    <w:rsid w:val="00E7552C"/>
    <w:rsid w:val="00E76A3D"/>
    <w:rsid w:val="00E92DE8"/>
    <w:rsid w:val="00EB1212"/>
    <w:rsid w:val="00EB753E"/>
    <w:rsid w:val="00ED2445"/>
    <w:rsid w:val="00ED3267"/>
    <w:rsid w:val="00ED65AB"/>
    <w:rsid w:val="00F12850"/>
    <w:rsid w:val="00F33BF4"/>
    <w:rsid w:val="00F7105E"/>
    <w:rsid w:val="00F75F57"/>
    <w:rsid w:val="00F81C2A"/>
    <w:rsid w:val="00F82FEE"/>
    <w:rsid w:val="00F97F6D"/>
    <w:rsid w:val="00FD57D3"/>
    <w:rsid w:val="00FF11B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C1C0A70"/>
  <w15:docId w15:val="{311AEFBF-139A-4836-A41C-B167707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B8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26" Type="http://schemas.openxmlformats.org/officeDocument/2006/relationships/package" Target="embeddings/Microsoft_Excel_Worksheet2.xlsx"/><Relationship Id="rId39" Type="http://schemas.openxmlformats.org/officeDocument/2006/relationships/header" Target="header5.xml"/><Relationship Id="rId21" Type="http://schemas.openxmlformats.org/officeDocument/2006/relationships/header" Target="header4.xml"/><Relationship Id="rId34" Type="http://schemas.openxmlformats.org/officeDocument/2006/relationships/hyperlink" Target="https://www.itu.int/md/S20-CL-C-0009/e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tu.int/md/S20-CL-C-0009/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header" Target="header3.xml"/><Relationship Id="rId29" Type="http://schemas.openxmlformats.org/officeDocument/2006/relationships/hyperlink" Target="https://www.itu.int/md/S15-CL-C-0045/en" TargetMode="External"/><Relationship Id="rId41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yperlink" Target="https://www.itu.int/md/S18-CL-C-0045/en" TargetMode="External"/><Relationship Id="rId37" Type="http://schemas.openxmlformats.org/officeDocument/2006/relationships/image" Target="media/image7.emf"/><Relationship Id="rId40" Type="http://schemas.openxmlformats.org/officeDocument/2006/relationships/footer" Target="footer7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package" Target="embeddings/Microsoft_Excel_Worksheet3.xlsx"/><Relationship Id="rId36" Type="http://schemas.openxmlformats.org/officeDocument/2006/relationships/package" Target="embeddings/Microsoft_Excel_Worksheet4.xlsx"/><Relationship Id="rId10" Type="http://schemas.openxmlformats.org/officeDocument/2006/relationships/hyperlink" Target="https://www.itu.int/en/council/Documents/basic-texts/DEC-005-S.pdf" TargetMode="External"/><Relationship Id="rId19" Type="http://schemas.openxmlformats.org/officeDocument/2006/relationships/package" Target="embeddings/Microsoft_Excel_Worksheet1.xlsx"/><Relationship Id="rId31" Type="http://schemas.openxmlformats.org/officeDocument/2006/relationships/hyperlink" Target="https://www.itu.int/md/S17-CL-C-004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pub/S-CONF-ACTF-2014/e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image" Target="media/image5.wmf"/><Relationship Id="rId30" Type="http://schemas.openxmlformats.org/officeDocument/2006/relationships/hyperlink" Target="https://www.itu.int/md/S16-CL-C-0045/en" TargetMode="External"/><Relationship Id="rId35" Type="http://schemas.openxmlformats.org/officeDocument/2006/relationships/image" Target="media/image6.emf"/><Relationship Id="rId43" Type="http://schemas.openxmlformats.org/officeDocument/2006/relationships/theme" Target="theme/theme1.xml"/><Relationship Id="rId8" Type="http://schemas.openxmlformats.org/officeDocument/2006/relationships/hyperlink" Target="https://www.itu.int/md/S19-CL-C-0122/es" TargetMode="Externa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package" Target="embeddings/Microsoft_Excel_Worksheet.xlsx"/><Relationship Id="rId25" Type="http://schemas.openxmlformats.org/officeDocument/2006/relationships/image" Target="media/image4.emf"/><Relationship Id="rId33" Type="http://schemas.openxmlformats.org/officeDocument/2006/relationships/hyperlink" Target="https://www.itu.int/md/S19-CL-C-0045/en" TargetMode="External"/><Relationship Id="rId38" Type="http://schemas.openxmlformats.org/officeDocument/2006/relationships/package" Target="embeddings/Microsoft_Excel_Worksheet5.xlsx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8</Pages>
  <Words>1118</Words>
  <Characters>6409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7512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anual de ingresos y gastos medidas de eficiencia</dc:title>
  <dc:subject>Council 2021, Virtual consultation of councillors</dc:subject>
  <dc:creator>Spanish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2021-06-04T16:34:00Z</dcterms:created>
  <dcterms:modified xsi:type="dcterms:W3CDTF">2021-06-04T16:34:00Z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