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10EB1" w14:paraId="0F447408" w14:textId="77777777">
        <w:trPr>
          <w:cantSplit/>
        </w:trPr>
        <w:tc>
          <w:tcPr>
            <w:tcW w:w="6912" w:type="dxa"/>
          </w:tcPr>
          <w:p w14:paraId="26B9199D" w14:textId="77777777" w:rsidR="00520F36" w:rsidRPr="00D10EB1" w:rsidRDefault="00520F36" w:rsidP="00106B19">
            <w:pPr>
              <w:spacing w:before="360"/>
            </w:pPr>
            <w:bookmarkStart w:id="0" w:name="dc06"/>
            <w:bookmarkEnd w:id="0"/>
            <w:r w:rsidRPr="00D10EB1">
              <w:rPr>
                <w:b/>
                <w:bCs/>
                <w:sz w:val="30"/>
                <w:szCs w:val="30"/>
              </w:rPr>
              <w:t>Conseil 20</w:t>
            </w:r>
            <w:r w:rsidR="009C353C" w:rsidRPr="00D10EB1">
              <w:rPr>
                <w:b/>
                <w:bCs/>
                <w:sz w:val="30"/>
                <w:szCs w:val="30"/>
              </w:rPr>
              <w:t>2</w:t>
            </w:r>
            <w:r w:rsidR="004D1D50" w:rsidRPr="00D10EB1">
              <w:rPr>
                <w:b/>
                <w:bCs/>
                <w:sz w:val="30"/>
                <w:szCs w:val="30"/>
              </w:rPr>
              <w:t>1</w:t>
            </w:r>
            <w:r w:rsidRPr="00D10EB1">
              <w:rPr>
                <w:rFonts w:ascii="Verdana" w:hAnsi="Verdana"/>
                <w:b/>
                <w:bCs/>
                <w:sz w:val="26"/>
                <w:szCs w:val="26"/>
              </w:rPr>
              <w:br/>
            </w:r>
            <w:r w:rsidR="004D1D50" w:rsidRPr="00D10EB1">
              <w:rPr>
                <w:b/>
                <w:bCs/>
                <w:sz w:val="28"/>
                <w:szCs w:val="28"/>
              </w:rPr>
              <w:t>Consultation virtuelle des Conseillers</w:t>
            </w:r>
            <w:r w:rsidRPr="00D10EB1">
              <w:rPr>
                <w:b/>
                <w:bCs/>
                <w:sz w:val="28"/>
                <w:szCs w:val="28"/>
              </w:rPr>
              <w:t xml:space="preserve">, </w:t>
            </w:r>
            <w:r w:rsidR="004D1D50" w:rsidRPr="00D10EB1">
              <w:rPr>
                <w:b/>
                <w:bCs/>
                <w:sz w:val="28"/>
                <w:szCs w:val="28"/>
              </w:rPr>
              <w:t>8</w:t>
            </w:r>
            <w:r w:rsidRPr="00D10EB1">
              <w:rPr>
                <w:b/>
                <w:bCs/>
                <w:sz w:val="28"/>
                <w:szCs w:val="28"/>
              </w:rPr>
              <w:t>-</w:t>
            </w:r>
            <w:r w:rsidR="009C353C" w:rsidRPr="00D10EB1">
              <w:rPr>
                <w:b/>
                <w:bCs/>
                <w:sz w:val="28"/>
                <w:szCs w:val="28"/>
              </w:rPr>
              <w:t>1</w:t>
            </w:r>
            <w:r w:rsidR="004D1D50" w:rsidRPr="00D10EB1">
              <w:rPr>
                <w:b/>
                <w:bCs/>
                <w:sz w:val="28"/>
                <w:szCs w:val="28"/>
              </w:rPr>
              <w:t>8</w:t>
            </w:r>
            <w:r w:rsidR="00106B19" w:rsidRPr="00D10EB1">
              <w:rPr>
                <w:b/>
                <w:bCs/>
                <w:sz w:val="28"/>
                <w:szCs w:val="28"/>
              </w:rPr>
              <w:t xml:space="preserve"> juin</w:t>
            </w:r>
            <w:r w:rsidRPr="00D10EB1">
              <w:rPr>
                <w:b/>
                <w:bCs/>
                <w:sz w:val="28"/>
                <w:szCs w:val="28"/>
              </w:rPr>
              <w:t xml:space="preserve"> 20</w:t>
            </w:r>
            <w:r w:rsidR="009C353C" w:rsidRPr="00D10EB1">
              <w:rPr>
                <w:b/>
                <w:bCs/>
                <w:sz w:val="28"/>
                <w:szCs w:val="28"/>
              </w:rPr>
              <w:t>2</w:t>
            </w:r>
            <w:r w:rsidR="004D1D50" w:rsidRPr="00D10EB1">
              <w:rPr>
                <w:b/>
                <w:bCs/>
                <w:sz w:val="28"/>
                <w:szCs w:val="28"/>
              </w:rPr>
              <w:t>1</w:t>
            </w:r>
          </w:p>
        </w:tc>
        <w:tc>
          <w:tcPr>
            <w:tcW w:w="3261" w:type="dxa"/>
          </w:tcPr>
          <w:p w14:paraId="26185A14" w14:textId="77777777" w:rsidR="00520F36" w:rsidRPr="00D10EB1" w:rsidRDefault="009C353C" w:rsidP="009C353C">
            <w:pPr>
              <w:spacing w:before="0"/>
            </w:pPr>
            <w:bookmarkStart w:id="1" w:name="ditulogo"/>
            <w:bookmarkEnd w:id="1"/>
            <w:r w:rsidRPr="00D10EB1">
              <w:rPr>
                <w:noProof/>
                <w:lang w:eastAsia="zh-CN"/>
              </w:rPr>
              <w:drawing>
                <wp:inline distT="0" distB="0" distL="0" distR="0" wp14:anchorId="40A770E5" wp14:editId="72A2D7F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D10EB1" w14:paraId="22A18CAD" w14:textId="77777777" w:rsidTr="00057301">
        <w:trPr>
          <w:cantSplit/>
          <w:trHeight w:val="20"/>
        </w:trPr>
        <w:tc>
          <w:tcPr>
            <w:tcW w:w="6912" w:type="dxa"/>
            <w:tcBorders>
              <w:bottom w:val="single" w:sz="12" w:space="0" w:color="auto"/>
            </w:tcBorders>
            <w:vAlign w:val="center"/>
          </w:tcPr>
          <w:p w14:paraId="50240450" w14:textId="77777777" w:rsidR="00520F36" w:rsidRPr="00D10EB1" w:rsidRDefault="00520F36" w:rsidP="004C37A9">
            <w:pPr>
              <w:spacing w:before="0"/>
              <w:rPr>
                <w:b/>
                <w:bCs/>
                <w:sz w:val="26"/>
                <w:szCs w:val="26"/>
              </w:rPr>
            </w:pPr>
          </w:p>
        </w:tc>
        <w:tc>
          <w:tcPr>
            <w:tcW w:w="3261" w:type="dxa"/>
            <w:tcBorders>
              <w:bottom w:val="single" w:sz="12" w:space="0" w:color="auto"/>
            </w:tcBorders>
          </w:tcPr>
          <w:p w14:paraId="10C64DC1" w14:textId="77777777" w:rsidR="00520F36" w:rsidRPr="00D10EB1" w:rsidRDefault="00520F36" w:rsidP="00DF74DD">
            <w:pPr>
              <w:spacing w:before="0"/>
              <w:rPr>
                <w:b/>
                <w:bCs/>
              </w:rPr>
            </w:pPr>
          </w:p>
        </w:tc>
      </w:tr>
      <w:tr w:rsidR="00520F36" w:rsidRPr="00D10EB1" w14:paraId="0E9A5E50" w14:textId="77777777">
        <w:trPr>
          <w:cantSplit/>
          <w:trHeight w:val="20"/>
        </w:trPr>
        <w:tc>
          <w:tcPr>
            <w:tcW w:w="6912" w:type="dxa"/>
            <w:tcBorders>
              <w:top w:val="single" w:sz="12" w:space="0" w:color="auto"/>
            </w:tcBorders>
          </w:tcPr>
          <w:p w14:paraId="2A9E9F17" w14:textId="77777777" w:rsidR="00520F36" w:rsidRPr="00D10EB1" w:rsidRDefault="00520F36" w:rsidP="00DF74DD">
            <w:pPr>
              <w:spacing w:before="0"/>
              <w:rPr>
                <w:smallCaps/>
                <w:sz w:val="22"/>
              </w:rPr>
            </w:pPr>
          </w:p>
        </w:tc>
        <w:tc>
          <w:tcPr>
            <w:tcW w:w="3261" w:type="dxa"/>
            <w:tcBorders>
              <w:top w:val="single" w:sz="12" w:space="0" w:color="auto"/>
            </w:tcBorders>
          </w:tcPr>
          <w:p w14:paraId="224A11D2" w14:textId="77777777" w:rsidR="00520F36" w:rsidRPr="00D10EB1" w:rsidRDefault="00520F36" w:rsidP="00DF74DD">
            <w:pPr>
              <w:spacing w:before="0"/>
              <w:rPr>
                <w:b/>
                <w:bCs/>
              </w:rPr>
            </w:pPr>
          </w:p>
        </w:tc>
      </w:tr>
      <w:tr w:rsidR="00520F36" w:rsidRPr="00D10EB1" w14:paraId="02254670" w14:textId="77777777">
        <w:trPr>
          <w:cantSplit/>
          <w:trHeight w:val="20"/>
        </w:trPr>
        <w:tc>
          <w:tcPr>
            <w:tcW w:w="6912" w:type="dxa"/>
            <w:vMerge w:val="restart"/>
          </w:tcPr>
          <w:p w14:paraId="5320DF4E" w14:textId="63205546" w:rsidR="00520F36" w:rsidRPr="00D10EB1" w:rsidRDefault="0027584F" w:rsidP="00DF74DD">
            <w:pPr>
              <w:spacing w:before="0"/>
              <w:rPr>
                <w:rFonts w:cs="Times"/>
                <w:b/>
                <w:bCs/>
                <w:szCs w:val="24"/>
              </w:rPr>
            </w:pPr>
            <w:bookmarkStart w:id="2" w:name="dnum" w:colFirst="1" w:colLast="1"/>
            <w:bookmarkStart w:id="3" w:name="dmeeting" w:colFirst="0" w:colLast="0"/>
            <w:r w:rsidRPr="00D10EB1">
              <w:rPr>
                <w:rFonts w:cs="Times"/>
                <w:b/>
                <w:bCs/>
                <w:szCs w:val="24"/>
              </w:rPr>
              <w:t>Point de l'ordre du jour: ADM 1</w:t>
            </w:r>
          </w:p>
        </w:tc>
        <w:tc>
          <w:tcPr>
            <w:tcW w:w="3261" w:type="dxa"/>
          </w:tcPr>
          <w:p w14:paraId="2F238EAD" w14:textId="328CB344" w:rsidR="00520F36" w:rsidRPr="00D10EB1" w:rsidRDefault="00520F36" w:rsidP="00106B19">
            <w:pPr>
              <w:spacing w:before="0"/>
              <w:rPr>
                <w:b/>
                <w:bCs/>
              </w:rPr>
            </w:pPr>
            <w:r w:rsidRPr="00D10EB1">
              <w:rPr>
                <w:b/>
                <w:bCs/>
              </w:rPr>
              <w:t>Document C</w:t>
            </w:r>
            <w:r w:rsidR="009C353C" w:rsidRPr="00D10EB1">
              <w:rPr>
                <w:b/>
                <w:bCs/>
              </w:rPr>
              <w:t>2</w:t>
            </w:r>
            <w:r w:rsidR="004D1D50" w:rsidRPr="00D10EB1">
              <w:rPr>
                <w:b/>
                <w:bCs/>
              </w:rPr>
              <w:t>1</w:t>
            </w:r>
            <w:r w:rsidRPr="00D10EB1">
              <w:rPr>
                <w:b/>
                <w:bCs/>
              </w:rPr>
              <w:t>/</w:t>
            </w:r>
            <w:r w:rsidR="0027584F" w:rsidRPr="00D10EB1">
              <w:rPr>
                <w:b/>
                <w:bCs/>
              </w:rPr>
              <w:t>9</w:t>
            </w:r>
            <w:r w:rsidRPr="00D10EB1">
              <w:rPr>
                <w:b/>
                <w:bCs/>
              </w:rPr>
              <w:t>-F</w:t>
            </w:r>
          </w:p>
        </w:tc>
      </w:tr>
      <w:tr w:rsidR="00520F36" w:rsidRPr="00D10EB1" w14:paraId="62D895E4" w14:textId="77777777">
        <w:trPr>
          <w:cantSplit/>
          <w:trHeight w:val="20"/>
        </w:trPr>
        <w:tc>
          <w:tcPr>
            <w:tcW w:w="6912" w:type="dxa"/>
            <w:vMerge/>
          </w:tcPr>
          <w:p w14:paraId="6B0BE404" w14:textId="77777777" w:rsidR="00520F36" w:rsidRPr="00D10EB1" w:rsidRDefault="00520F36" w:rsidP="00DF74DD">
            <w:pPr>
              <w:shd w:val="solid" w:color="FFFFFF" w:fill="FFFFFF"/>
              <w:spacing w:before="180"/>
              <w:rPr>
                <w:smallCaps/>
              </w:rPr>
            </w:pPr>
            <w:bookmarkStart w:id="4" w:name="ddate" w:colFirst="1" w:colLast="1"/>
            <w:bookmarkEnd w:id="2"/>
            <w:bookmarkEnd w:id="3"/>
          </w:p>
        </w:tc>
        <w:tc>
          <w:tcPr>
            <w:tcW w:w="3261" w:type="dxa"/>
          </w:tcPr>
          <w:p w14:paraId="42376989" w14:textId="5A215437" w:rsidR="00520F36" w:rsidRPr="00D10EB1" w:rsidRDefault="0027584F" w:rsidP="00106B19">
            <w:pPr>
              <w:spacing w:before="0"/>
              <w:rPr>
                <w:b/>
                <w:bCs/>
              </w:rPr>
            </w:pPr>
            <w:r w:rsidRPr="00D10EB1">
              <w:rPr>
                <w:b/>
                <w:bCs/>
              </w:rPr>
              <w:t>14 avril 2021</w:t>
            </w:r>
          </w:p>
        </w:tc>
      </w:tr>
      <w:tr w:rsidR="00520F36" w:rsidRPr="00D10EB1" w14:paraId="50F5A603" w14:textId="77777777">
        <w:trPr>
          <w:cantSplit/>
          <w:trHeight w:val="20"/>
        </w:trPr>
        <w:tc>
          <w:tcPr>
            <w:tcW w:w="6912" w:type="dxa"/>
            <w:vMerge/>
          </w:tcPr>
          <w:p w14:paraId="29FB45F7" w14:textId="77777777" w:rsidR="00520F36" w:rsidRPr="00D10EB1" w:rsidRDefault="00520F36" w:rsidP="00DF74DD">
            <w:pPr>
              <w:shd w:val="solid" w:color="FFFFFF" w:fill="FFFFFF"/>
              <w:spacing w:before="180"/>
              <w:rPr>
                <w:smallCaps/>
              </w:rPr>
            </w:pPr>
            <w:bookmarkStart w:id="5" w:name="dorlang" w:colFirst="1" w:colLast="1"/>
            <w:bookmarkEnd w:id="4"/>
          </w:p>
        </w:tc>
        <w:tc>
          <w:tcPr>
            <w:tcW w:w="3261" w:type="dxa"/>
          </w:tcPr>
          <w:p w14:paraId="27B7CB0E" w14:textId="77777777" w:rsidR="00520F36" w:rsidRPr="00D10EB1" w:rsidRDefault="00520F36" w:rsidP="00520F36">
            <w:pPr>
              <w:spacing w:before="0"/>
              <w:rPr>
                <w:b/>
                <w:bCs/>
              </w:rPr>
            </w:pPr>
            <w:r w:rsidRPr="00D10EB1">
              <w:rPr>
                <w:b/>
                <w:bCs/>
              </w:rPr>
              <w:t>Original: anglais</w:t>
            </w:r>
          </w:p>
        </w:tc>
      </w:tr>
      <w:tr w:rsidR="00520F36" w:rsidRPr="00D10EB1" w14:paraId="2E307458" w14:textId="77777777">
        <w:trPr>
          <w:cantSplit/>
        </w:trPr>
        <w:tc>
          <w:tcPr>
            <w:tcW w:w="10173" w:type="dxa"/>
            <w:gridSpan w:val="2"/>
          </w:tcPr>
          <w:p w14:paraId="7AEE9754" w14:textId="03B45899" w:rsidR="00520F36" w:rsidRPr="00D10EB1" w:rsidRDefault="0027584F" w:rsidP="00DF74DD">
            <w:pPr>
              <w:pStyle w:val="Source"/>
            </w:pPr>
            <w:bookmarkStart w:id="6" w:name="dsource" w:colFirst="0" w:colLast="0"/>
            <w:bookmarkEnd w:id="5"/>
            <w:r w:rsidRPr="00D10EB1">
              <w:t>Rapport du Secrétaire général</w:t>
            </w:r>
          </w:p>
        </w:tc>
      </w:tr>
      <w:tr w:rsidR="00520F36" w:rsidRPr="00D10EB1" w14:paraId="61C0E841" w14:textId="77777777">
        <w:trPr>
          <w:cantSplit/>
        </w:trPr>
        <w:tc>
          <w:tcPr>
            <w:tcW w:w="10173" w:type="dxa"/>
            <w:gridSpan w:val="2"/>
          </w:tcPr>
          <w:p w14:paraId="13EC0D24" w14:textId="53CB146E" w:rsidR="00520F36" w:rsidRPr="00D10EB1" w:rsidRDefault="0027584F" w:rsidP="0027584F">
            <w:pPr>
              <w:pStyle w:val="Title1"/>
            </w:pPr>
            <w:bookmarkStart w:id="7" w:name="dtitle1" w:colFirst="0" w:colLast="0"/>
            <w:bookmarkEnd w:id="6"/>
            <w:r w:rsidRPr="00D10EB1">
              <w:t>Examen annuel des produits et des charges</w:t>
            </w:r>
            <w:r w:rsidR="0075745C" w:rsidRPr="00D10EB1">
              <w:br/>
            </w:r>
            <w:r w:rsidRPr="00D10EB1">
              <w:t>MESURES D'EFFICACITÉ</w:t>
            </w:r>
          </w:p>
        </w:tc>
      </w:tr>
      <w:bookmarkEnd w:id="7"/>
    </w:tbl>
    <w:p w14:paraId="409AFF13" w14:textId="77777777" w:rsidR="00520F36" w:rsidRPr="00D10EB1"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10EB1" w14:paraId="4FB9610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538403D" w14:textId="77777777" w:rsidR="00520F36" w:rsidRPr="00D10EB1" w:rsidRDefault="00520F36">
            <w:pPr>
              <w:pStyle w:val="Headingb"/>
            </w:pPr>
            <w:r w:rsidRPr="00D10EB1">
              <w:t>Résumé</w:t>
            </w:r>
          </w:p>
          <w:p w14:paraId="02AAF171" w14:textId="6F820C38" w:rsidR="0027584F" w:rsidRPr="00D10EB1" w:rsidRDefault="0027584F" w:rsidP="0027584F">
            <w:r w:rsidRPr="00D10EB1">
              <w:t>Le présent document expose les principaux éléments de la mise en œuvre du budget pour la période 2020-2021, conformément au numéro 73 de la Convention de l'UIT, qui dispose que le Conseil procède à un examen annuel des produits et des charges</w:t>
            </w:r>
            <w:r w:rsidR="008D4168">
              <w:t>.</w:t>
            </w:r>
          </w:p>
          <w:p w14:paraId="72FD1D51" w14:textId="77777777" w:rsidR="0027584F" w:rsidRPr="00D10EB1" w:rsidRDefault="0027584F" w:rsidP="0027584F">
            <w:r w:rsidRPr="00D10EB1">
              <w:t xml:space="preserve">Conformément aux paragraphes 1, 2 et 3 du </w:t>
            </w:r>
            <w:r w:rsidRPr="00D10EB1">
              <w:rPr>
                <w:i/>
                <w:iCs/>
              </w:rPr>
              <w:t>charge</w:t>
            </w:r>
            <w:r w:rsidRPr="00D10EB1">
              <w:t xml:space="preserve"> </w:t>
            </w:r>
            <w:r w:rsidRPr="00D10EB1">
              <w:rPr>
                <w:i/>
                <w:iCs/>
              </w:rPr>
              <w:t xml:space="preserve">le Secrétaire général et les Directeurs des Bureaux </w:t>
            </w:r>
            <w:r w:rsidRPr="00D10EB1">
              <w:t>de la Décision 5 (Rév. Busan, 2014 et Rév. Dubaï, 2018), le présent document fait le point sur la mise en œuvre des mesures d'efficacité décrites dans l'Annexe 2 de la Décision 5 (Rév. Busan, 2014 et Rév. Dubaï, 2018).</w:t>
            </w:r>
          </w:p>
          <w:p w14:paraId="2A0530D0" w14:textId="6DC33059" w:rsidR="00520F36" w:rsidRPr="00D10EB1" w:rsidRDefault="0027584F">
            <w:r w:rsidRPr="00D10EB1">
              <w:t>La version de 2020 du présent rapport (Document C20/9) a été élaborée en vue de sa soumission à la session de 2020 du Conseil, mais n'a pas été examinée.</w:t>
            </w:r>
          </w:p>
          <w:p w14:paraId="242E6E6F" w14:textId="77777777" w:rsidR="00520F36" w:rsidRPr="00D10EB1" w:rsidRDefault="00520F36">
            <w:pPr>
              <w:pStyle w:val="Headingb"/>
            </w:pPr>
            <w:r w:rsidRPr="00D10EB1">
              <w:t>Suite à donner</w:t>
            </w:r>
          </w:p>
          <w:p w14:paraId="244F6E1E" w14:textId="72E778BA" w:rsidR="00520F36" w:rsidRPr="00D10EB1" w:rsidRDefault="0027584F">
            <w:r w:rsidRPr="00D10EB1">
              <w:t xml:space="preserve">Le Conseil est invité à </w:t>
            </w:r>
            <w:r w:rsidRPr="00D10EB1">
              <w:rPr>
                <w:b/>
                <w:bCs/>
              </w:rPr>
              <w:t xml:space="preserve">approuver </w:t>
            </w:r>
            <w:r w:rsidRPr="00D10EB1">
              <w:t xml:space="preserve">le présent document. Il est en outre invité à prendre note du Document </w:t>
            </w:r>
            <w:hyperlink r:id="rId8" w:history="1">
              <w:r w:rsidR="0063120F" w:rsidRPr="00D10EB1">
                <w:rPr>
                  <w:rStyle w:val="Hyperlink"/>
                </w:rPr>
                <w:t>C20/9</w:t>
              </w:r>
            </w:hyperlink>
            <w:r w:rsidRPr="00D10EB1">
              <w:t>.</w:t>
            </w:r>
          </w:p>
          <w:p w14:paraId="16404DEB" w14:textId="77777777" w:rsidR="00520F36" w:rsidRPr="00D10EB1" w:rsidRDefault="00520F36" w:rsidP="008013D7">
            <w:pPr>
              <w:pStyle w:val="Table"/>
              <w:keepNext w:val="0"/>
              <w:spacing w:before="120"/>
              <w:rPr>
                <w:rFonts w:ascii="Calibri" w:hAnsi="Calibri"/>
                <w:caps w:val="0"/>
                <w:sz w:val="22"/>
                <w:lang w:val="fr-FR"/>
              </w:rPr>
            </w:pPr>
            <w:r w:rsidRPr="00D10EB1">
              <w:rPr>
                <w:rFonts w:ascii="Calibri" w:hAnsi="Calibri"/>
                <w:caps w:val="0"/>
                <w:sz w:val="22"/>
                <w:lang w:val="fr-FR"/>
              </w:rPr>
              <w:t>____________</w:t>
            </w:r>
          </w:p>
          <w:p w14:paraId="3BF9DBC1" w14:textId="77777777" w:rsidR="00520F36" w:rsidRPr="00D10EB1" w:rsidRDefault="00520F36">
            <w:pPr>
              <w:pStyle w:val="Headingb"/>
            </w:pPr>
            <w:r w:rsidRPr="00D10EB1">
              <w:t>Références</w:t>
            </w:r>
          </w:p>
          <w:bookmarkStart w:id="8" w:name="_Toc7183115"/>
          <w:p w14:paraId="6785D5FD" w14:textId="325DAD3C" w:rsidR="0027584F" w:rsidRPr="00D10EB1" w:rsidRDefault="0027584F" w:rsidP="0027584F">
            <w:pPr>
              <w:spacing w:after="120"/>
              <w:rPr>
                <w:i/>
                <w:iCs/>
              </w:rPr>
            </w:pPr>
            <w:r w:rsidRPr="00D10EB1">
              <w:rPr>
                <w:i/>
                <w:iCs/>
              </w:rPr>
              <w:fldChar w:fldCharType="begin"/>
            </w:r>
            <w:r w:rsidR="008013D7" w:rsidRPr="00D10EB1">
              <w:rPr>
                <w:i/>
                <w:iCs/>
              </w:rPr>
              <w:instrText>HYPERLINK "https://www.itu.int/md/S19-CL-C-0122/fr"</w:instrText>
            </w:r>
            <w:r w:rsidRPr="00D10EB1">
              <w:rPr>
                <w:i/>
                <w:iCs/>
              </w:rPr>
              <w:fldChar w:fldCharType="separate"/>
            </w:r>
            <w:r w:rsidRPr="00D10EB1">
              <w:rPr>
                <w:rStyle w:val="Hyperlink"/>
                <w:i/>
                <w:iCs/>
              </w:rPr>
              <w:t>Résolution</w:t>
            </w:r>
            <w:bookmarkEnd w:id="8"/>
            <w:r w:rsidRPr="00D10EB1">
              <w:rPr>
                <w:rStyle w:val="Hyperlink"/>
                <w:i/>
                <w:iCs/>
              </w:rPr>
              <w:t xml:space="preserve"> 1396</w:t>
            </w:r>
            <w:bookmarkStart w:id="9" w:name="_Toc7183116"/>
            <w:r w:rsidRPr="00D10EB1">
              <w:rPr>
                <w:rStyle w:val="Hyperlink"/>
                <w:i/>
                <w:iCs/>
              </w:rPr>
              <w:t xml:space="preserve"> du Conseil – (Budget biennal de l'Union internationale des télécommunications pour 2020-2021</w:t>
            </w:r>
            <w:bookmarkEnd w:id="9"/>
            <w:r w:rsidRPr="00D10EB1">
              <w:rPr>
                <w:i/>
                <w:iCs/>
              </w:rPr>
              <w:fldChar w:fldCharType="end"/>
            </w:r>
            <w:r w:rsidRPr="00D10EB1">
              <w:rPr>
                <w:i/>
                <w:iCs/>
              </w:rPr>
              <w:t>)</w:t>
            </w:r>
          </w:p>
          <w:p w14:paraId="2071FB10" w14:textId="0723341E" w:rsidR="00520F36" w:rsidRPr="00D10EB1" w:rsidRDefault="003F5819">
            <w:pPr>
              <w:spacing w:after="120"/>
              <w:rPr>
                <w:i/>
                <w:iCs/>
              </w:rPr>
            </w:pPr>
            <w:hyperlink r:id="rId9" w:history="1">
              <w:r w:rsidR="0027584F" w:rsidRPr="00D10EB1">
                <w:rPr>
                  <w:rStyle w:val="Hyperlink"/>
                  <w:i/>
                  <w:iCs/>
                </w:rPr>
                <w:t>Décision 5 (Rév. Busan, 2014)</w:t>
              </w:r>
            </w:hyperlink>
            <w:r w:rsidR="0027584F" w:rsidRPr="00D10EB1">
              <w:rPr>
                <w:i/>
                <w:iCs/>
              </w:rPr>
              <w:t xml:space="preserve"> et </w:t>
            </w:r>
            <w:hyperlink r:id="rId10" w:history="1">
              <w:r w:rsidR="0027584F" w:rsidRPr="00D10EB1">
                <w:rPr>
                  <w:rStyle w:val="Hyperlink"/>
                  <w:i/>
                  <w:iCs/>
                </w:rPr>
                <w:t>Décision 5 (Rév. Dubaï, 2018) de la Conférence de plénipotentiaires</w:t>
              </w:r>
            </w:hyperlink>
          </w:p>
        </w:tc>
      </w:tr>
    </w:tbl>
    <w:p w14:paraId="0699A148" w14:textId="77777777" w:rsidR="0027584F" w:rsidRPr="00D10EB1" w:rsidRDefault="0027584F" w:rsidP="0027584F">
      <w:r w:rsidRPr="00D10EB1">
        <w:br w:type="page"/>
      </w:r>
    </w:p>
    <w:p w14:paraId="4ECCF862" w14:textId="6A896699" w:rsidR="0027584F" w:rsidRPr="00D10EB1" w:rsidRDefault="0027584F" w:rsidP="0063120F">
      <w:pPr>
        <w:pStyle w:val="Heading1"/>
        <w:tabs>
          <w:tab w:val="clear" w:pos="2268"/>
          <w:tab w:val="clear" w:pos="2835"/>
          <w:tab w:val="center" w:pos="4819"/>
        </w:tabs>
      </w:pPr>
      <w:r w:rsidRPr="00D10EB1">
        <w:lastRenderedPageBreak/>
        <w:t>1</w:t>
      </w:r>
      <w:r w:rsidRPr="00D10EB1">
        <w:tab/>
        <w:t>Introduction</w:t>
      </w:r>
    </w:p>
    <w:p w14:paraId="2861AE68" w14:textId="4DECD3B4" w:rsidR="0027584F" w:rsidRPr="00D10EB1" w:rsidRDefault="0027584F" w:rsidP="0027584F">
      <w:r w:rsidRPr="00D10EB1">
        <w:rPr>
          <w:szCs w:val="24"/>
        </w:rPr>
        <w:t>1.1</w:t>
      </w:r>
      <w:r w:rsidRPr="00D10EB1">
        <w:rPr>
          <w:szCs w:val="24"/>
        </w:rPr>
        <w:tab/>
      </w:r>
      <w:r w:rsidRPr="00D10EB1">
        <w:t xml:space="preserve">L'objet du présent document est de rendre compte de l'état d'avancement de la mise en œuvre </w:t>
      </w:r>
      <w:r w:rsidRPr="00D10EB1">
        <w:rPr>
          <w:color w:val="000000"/>
        </w:rPr>
        <w:t xml:space="preserve">de la seconde année du </w:t>
      </w:r>
      <w:r w:rsidRPr="00D10EB1">
        <w:t xml:space="preserve">budget de l'Union pour la période </w:t>
      </w:r>
      <w:r w:rsidRPr="00D10EB1">
        <w:rPr>
          <w:szCs w:val="24"/>
        </w:rPr>
        <w:t xml:space="preserve">2020-2021 </w:t>
      </w:r>
      <w:r w:rsidRPr="00D10EB1">
        <w:t>en ce qui concerne les produits et les charges.</w:t>
      </w:r>
    </w:p>
    <w:p w14:paraId="466C8759" w14:textId="77777777" w:rsidR="0027584F" w:rsidRPr="00D10EB1" w:rsidRDefault="0027584F" w:rsidP="0027584F">
      <w:pPr>
        <w:pStyle w:val="Heading1"/>
      </w:pPr>
      <w:r w:rsidRPr="00D10EB1">
        <w:t>2</w:t>
      </w:r>
      <w:r w:rsidRPr="00D10EB1">
        <w:tab/>
        <w:t xml:space="preserve">Budget de l'Union pour la période </w:t>
      </w:r>
      <w:r w:rsidRPr="00D10EB1">
        <w:rPr>
          <w:bCs/>
        </w:rPr>
        <w:t xml:space="preserve">2020-2021 </w:t>
      </w:r>
      <w:r w:rsidRPr="00D10EB1">
        <w:t>(Résolution 1396)</w:t>
      </w:r>
    </w:p>
    <w:p w14:paraId="4C914AAE" w14:textId="7ED225D4" w:rsidR="0027584F" w:rsidRPr="00D10EB1" w:rsidRDefault="0027584F" w:rsidP="0027584F">
      <w:r w:rsidRPr="00D10EB1">
        <w:t>2.1</w:t>
      </w:r>
      <w:r w:rsidRPr="00D10EB1">
        <w:tab/>
        <w:t xml:space="preserve">Le budget de l'Union pour la période </w:t>
      </w:r>
      <w:r w:rsidRPr="00D10EB1">
        <w:rPr>
          <w:bCs/>
        </w:rPr>
        <w:t xml:space="preserve">2020-2021 a été adopté par le Conseil à sa session de 2019 en vertu de la </w:t>
      </w:r>
      <w:r w:rsidRPr="00D10EB1">
        <w:t>Résolution 1396. Le budget biennal se chiffre à 332 013 000 CHF et se décompose comme suit: 167 478 000 CHF pour l'année 2020 et 164 535 000 CHF pour l'année 2021. Il est fondé sur une unité contributive annuelle de 318</w:t>
      </w:r>
      <w:r w:rsidR="00615FB6" w:rsidRPr="00D10EB1">
        <w:t> </w:t>
      </w:r>
      <w:r w:rsidRPr="00D10EB1">
        <w:t>000</w:t>
      </w:r>
      <w:r w:rsidR="00615FB6" w:rsidRPr="00D10EB1">
        <w:t> </w:t>
      </w:r>
      <w:r w:rsidRPr="00D10EB1">
        <w:t xml:space="preserve">CHF pour les </w:t>
      </w:r>
      <w:r w:rsidR="0075745C" w:rsidRPr="00D10EB1">
        <w:t>États</w:t>
      </w:r>
      <w:r w:rsidRPr="00D10EB1">
        <w:t xml:space="preserve"> Membres, ce qui correspond à une croissance nominale zéro par rapport aux exercices biennaux précédents. Le budget de l'Union est mis en </w:t>
      </w:r>
      <w:r w:rsidR="0075745C" w:rsidRPr="00D10EB1">
        <w:t>œuvre</w:t>
      </w:r>
      <w:r w:rsidRPr="00D10EB1">
        <w:t xml:space="preserve"> conformément à l'Article 10 du Règlement financier et des Règles financières.</w:t>
      </w:r>
    </w:p>
    <w:p w14:paraId="7CEADDE2" w14:textId="334CEE26" w:rsidR="0027584F" w:rsidRPr="00D10EB1" w:rsidRDefault="0027584F" w:rsidP="0027584F">
      <w:r w:rsidRPr="00D10EB1">
        <w:t>2.2</w:t>
      </w:r>
      <w:r w:rsidRPr="00D10EB1">
        <w:tab/>
        <w:t>Le budget pour 2021 a été augmenté de 398</w:t>
      </w:r>
      <w:r w:rsidR="00615FB6" w:rsidRPr="00D10EB1">
        <w:t> </w:t>
      </w:r>
      <w:r w:rsidRPr="00D10EB1">
        <w:t>000</w:t>
      </w:r>
      <w:r w:rsidR="00615FB6" w:rsidRPr="00D10EB1">
        <w:t> </w:t>
      </w:r>
      <w:r w:rsidRPr="00D10EB1">
        <w:t>CHF en raison du report, de 2020 à 2021, des réunions préparatoires régionales en vue de la CMDT (RPM-AFR et RPM-CEI) ainsi que du report, de 2020 à 2021, des réunions préparatoires en vue de l'AMNT. Le budget actualisé pour 2021 s'élève à 164</w:t>
      </w:r>
      <w:r w:rsidR="00615FB6" w:rsidRPr="00D10EB1">
        <w:t> </w:t>
      </w:r>
      <w:r w:rsidRPr="00D10EB1">
        <w:t>933</w:t>
      </w:r>
      <w:r w:rsidR="00615FB6" w:rsidRPr="00D10EB1">
        <w:t> </w:t>
      </w:r>
      <w:r w:rsidRPr="00D10EB1">
        <w:t>000</w:t>
      </w:r>
      <w:r w:rsidR="00615FB6" w:rsidRPr="00D10EB1">
        <w:t> </w:t>
      </w:r>
      <w:r w:rsidRPr="00D10EB1">
        <w:t>CHF.</w:t>
      </w:r>
    </w:p>
    <w:p w14:paraId="09427701" w14:textId="2958F775" w:rsidR="0027584F" w:rsidRPr="00D10EB1" w:rsidRDefault="0027584F" w:rsidP="0063120F">
      <w:r w:rsidRPr="00D10EB1">
        <w:t>2.3</w:t>
      </w:r>
      <w:r w:rsidRPr="00D10EB1">
        <w:tab/>
        <w:t>Les Tableaux 1 et 2 ci-après présentent la situation du budget pour 2021, qui indique les charges et les produits au 7 avril 2021 et les prévisions des produits et des charges jusqu'au 31</w:t>
      </w:r>
      <w:r w:rsidR="0063120F" w:rsidRPr="00D10EB1">
        <w:t> </w:t>
      </w:r>
      <w:r w:rsidRPr="00D10EB1">
        <w:t>décembre 2021. Les prévisions préliminaires pour 2021 font apparaître un excédent prévu de 3,3 millions CHF.</w:t>
      </w:r>
    </w:p>
    <w:p w14:paraId="5519FA33" w14:textId="77777777" w:rsidR="00615FB6" w:rsidRPr="00D10EB1" w:rsidRDefault="00615FB6" w:rsidP="0063120F"/>
    <w:p w14:paraId="6A21564E" w14:textId="77777777" w:rsidR="0064110E" w:rsidRPr="00D10EB1" w:rsidRDefault="0064110E" w:rsidP="0063120F">
      <w:pPr>
        <w:sectPr w:rsidR="0064110E" w:rsidRPr="00D10EB1" w:rsidSect="005C3890">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261" w:other="261"/>
          <w:cols w:space="720"/>
          <w:titlePg/>
        </w:sectPr>
      </w:pPr>
    </w:p>
    <w:p w14:paraId="55DC265F" w14:textId="2130B3FA" w:rsidR="0027584F" w:rsidRPr="00D10EB1" w:rsidRDefault="00A0794E" w:rsidP="00550EC9">
      <w:pPr>
        <w:pStyle w:val="Figure"/>
      </w:pPr>
      <w:r w:rsidRPr="00D10EB1">
        <w:object w:dxaOrig="14818" w:dyaOrig="5185" w14:anchorId="16B94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pt;height:253.2pt" o:ole="">
            <v:imagedata r:id="rId17" o:title=""/>
          </v:shape>
          <o:OLEObject Type="Embed" ProgID="Excel.Sheet.12" ShapeID="_x0000_i1025" DrawAspect="Content" ObjectID="_1682163885" r:id="rId18"/>
        </w:object>
      </w:r>
    </w:p>
    <w:bookmarkStart w:id="10" w:name="_MON_1682142512"/>
    <w:bookmarkEnd w:id="10"/>
    <w:p w14:paraId="5EBD2F9B" w14:textId="153A9E6C" w:rsidR="00FE7AF1" w:rsidRPr="00D10EB1" w:rsidRDefault="00A0794E" w:rsidP="00A0794E">
      <w:pPr>
        <w:pStyle w:val="Figure"/>
      </w:pPr>
      <w:r w:rsidRPr="00D10EB1">
        <w:object w:dxaOrig="11734" w:dyaOrig="5881" w14:anchorId="10D3FA6F">
          <v:shape id="_x0000_i1026" type="#_x0000_t75" style="width:615.6pt;height:307.8pt" o:ole="">
            <v:imagedata r:id="rId19" o:title=""/>
          </v:shape>
          <o:OLEObject Type="Embed" ProgID="Excel.Sheet.12" ShapeID="_x0000_i1026" DrawAspect="Content" ObjectID="_1682163886" r:id="rId20"/>
        </w:object>
      </w:r>
    </w:p>
    <w:p w14:paraId="68654DAD" w14:textId="77777777" w:rsidR="00550EC9" w:rsidRPr="00D10EB1" w:rsidRDefault="00550EC9" w:rsidP="00550EC9"/>
    <w:p w14:paraId="336020ED" w14:textId="77777777" w:rsidR="00A17B38" w:rsidRPr="00D10EB1" w:rsidRDefault="00A17B38" w:rsidP="00550EC9">
      <w:pPr>
        <w:sectPr w:rsidR="00A17B38" w:rsidRPr="00D10EB1" w:rsidSect="0064110E">
          <w:headerReference w:type="first" r:id="rId21"/>
          <w:footerReference w:type="first" r:id="rId22"/>
          <w:pgSz w:w="16840" w:h="11907" w:orient="landscape" w:code="9"/>
          <w:pgMar w:top="1134" w:right="1418" w:bottom="1134" w:left="1418" w:header="720" w:footer="720" w:gutter="0"/>
          <w:paperSrc w:first="261" w:other="261"/>
          <w:cols w:space="720"/>
          <w:titlePg/>
          <w:docGrid w:linePitch="326"/>
        </w:sectPr>
      </w:pPr>
    </w:p>
    <w:p w14:paraId="0B36B598" w14:textId="77777777" w:rsidR="0027584F" w:rsidRPr="00D10EB1" w:rsidRDefault="0027584F" w:rsidP="0027584F">
      <w:pPr>
        <w:pStyle w:val="Heading1"/>
      </w:pPr>
      <w:r w:rsidRPr="00D10EB1">
        <w:lastRenderedPageBreak/>
        <w:t>3</w:t>
      </w:r>
      <w:r w:rsidRPr="00D10EB1">
        <w:tab/>
        <w:t>Produits</w:t>
      </w:r>
    </w:p>
    <w:p w14:paraId="4CE13A6C" w14:textId="6BAD4A78" w:rsidR="0027584F" w:rsidRPr="00D10EB1" w:rsidRDefault="0027584F" w:rsidP="0027584F">
      <w:r w:rsidRPr="00D10EB1">
        <w:t>3.1</w:t>
      </w:r>
      <w:r w:rsidRPr="00D10EB1">
        <w:tab/>
        <w:t xml:space="preserve">Les produits de l'Union se composent des contributions mises en recouvrement, du recouvrement des coûts, des intérêts/autres produits </w:t>
      </w:r>
      <w:r w:rsidRPr="00D10EB1">
        <w:rPr>
          <w:color w:val="000000"/>
        </w:rPr>
        <w:t xml:space="preserve">et des économies découlant de la mise en </w:t>
      </w:r>
      <w:r w:rsidR="0075745C" w:rsidRPr="00D10EB1">
        <w:rPr>
          <w:color w:val="000000"/>
        </w:rPr>
        <w:t>œuvre</w:t>
      </w:r>
      <w:r w:rsidRPr="00D10EB1">
        <w:rPr>
          <w:color w:val="000000"/>
        </w:rPr>
        <w:t xml:space="preserve"> du budget.</w:t>
      </w:r>
      <w:r w:rsidRPr="00D10EB1">
        <w:t xml:space="preserve"> </w:t>
      </w:r>
      <w:r w:rsidRPr="00D10EB1">
        <w:rPr>
          <w:color w:val="000000"/>
        </w:rPr>
        <w:t>Le manque à gagner escompté pour 2021 est estimé à 1,4 million CHF.</w:t>
      </w:r>
    </w:p>
    <w:p w14:paraId="2CDFCD7E" w14:textId="3BB0D747" w:rsidR="0027584F" w:rsidRPr="00D10EB1" w:rsidRDefault="0027584F" w:rsidP="00A17B38">
      <w:pPr>
        <w:spacing w:after="240"/>
      </w:pPr>
      <w:r w:rsidRPr="00D10EB1">
        <w:t>3.2</w:t>
      </w:r>
      <w:r w:rsidRPr="00D10EB1">
        <w:tab/>
        <w:t xml:space="preserve">Les produits tirés des contributions mises en recouvrement représentent environ 76% du </w:t>
      </w:r>
      <w:r w:rsidRPr="00D10EB1">
        <w:rPr>
          <w:color w:val="000000"/>
        </w:rPr>
        <w:t>montant total des produits prévus</w:t>
      </w:r>
      <w:r w:rsidRPr="00D10EB1">
        <w:t xml:space="preserve"> pour 2021. Ils proviennent des contributions versées par les </w:t>
      </w:r>
      <w:r w:rsidR="0075745C" w:rsidRPr="00D10EB1">
        <w:t>États</w:t>
      </w:r>
      <w:r w:rsidRPr="00D10EB1">
        <w:t xml:space="preserve"> Membres, les Membres de Secteur, les Associés et les établissements universitaires. Le Tableau 3 ci-après présente la ventilation des contributions mises en recouvrement.</w:t>
      </w:r>
    </w:p>
    <w:p w14:paraId="20DB22A2" w14:textId="0CFCF79A" w:rsidR="0027584F" w:rsidRPr="00D10EB1" w:rsidRDefault="00A0794E" w:rsidP="00A0794E">
      <w:pPr>
        <w:pStyle w:val="Figure"/>
      </w:pPr>
      <w:r w:rsidRPr="00D10EB1">
        <w:object w:dxaOrig="12085" w:dyaOrig="4650" w14:anchorId="07F52C76">
          <v:shape id="_x0000_i1027" type="#_x0000_t75" style="width:7in;height:193.2pt" o:ole="">
            <v:imagedata r:id="rId23" o:title=""/>
          </v:shape>
          <o:OLEObject Type="Embed" ProgID="Excel.Sheet.12" ShapeID="_x0000_i1027" DrawAspect="Content" ObjectID="_1682163887" r:id="rId24"/>
        </w:object>
      </w:r>
    </w:p>
    <w:p w14:paraId="08CB8551" w14:textId="416577D7" w:rsidR="0027584F" w:rsidRPr="00D10EB1" w:rsidRDefault="0027584F" w:rsidP="00A17B38">
      <w:pPr>
        <w:spacing w:before="240" w:after="120"/>
      </w:pPr>
      <w:r w:rsidRPr="00D10EB1">
        <w:t>3.3</w:t>
      </w:r>
      <w:r w:rsidRPr="00D10EB1">
        <w:tab/>
        <w:t>Le montant de l'unité contributive annuelle est fixé à 318 000 CHF pour la période 2020</w:t>
      </w:r>
      <w:r w:rsidRPr="00D10EB1">
        <w:noBreakHyphen/>
        <w:t xml:space="preserve">2021. Au 7 avril 2021, le montant total des </w:t>
      </w:r>
      <w:r w:rsidRPr="00D10EB1">
        <w:rPr>
          <w:color w:val="000000"/>
        </w:rPr>
        <w:t xml:space="preserve">produits facturés provenant des </w:t>
      </w:r>
      <w:r w:rsidR="0075745C" w:rsidRPr="00D10EB1">
        <w:rPr>
          <w:color w:val="000000"/>
        </w:rPr>
        <w:t>États</w:t>
      </w:r>
      <w:r w:rsidRPr="00D10EB1">
        <w:rPr>
          <w:color w:val="000000"/>
        </w:rPr>
        <w:t> Membres correspondait au niveau prévu dans le budget</w:t>
      </w:r>
      <w:r w:rsidRPr="00D10EB1">
        <w:t>.</w:t>
      </w:r>
    </w:p>
    <w:p w14:paraId="02C63CD0" w14:textId="3204DC76" w:rsidR="0027584F" w:rsidRPr="00D10EB1" w:rsidRDefault="0027584F" w:rsidP="0027584F">
      <w:r w:rsidRPr="00D10EB1">
        <w:t>3.4</w:t>
      </w:r>
      <w:r w:rsidRPr="00D10EB1">
        <w:tab/>
        <w:t xml:space="preserve">Pour 2021, le montant de l'unité contributive annuelle est fixé à 63 600 CHF pour les Membres de Secteur et à 10 600 CHF pour les Associés. Au 7 avril 2021, le montant total des produits facturés provenant des Membres de Secteur </w:t>
      </w:r>
      <w:r w:rsidRPr="00D10EB1">
        <w:rPr>
          <w:color w:val="000000"/>
        </w:rPr>
        <w:t>était inférieur de 33</w:t>
      </w:r>
      <w:r w:rsidR="00A0794E" w:rsidRPr="00D10EB1">
        <w:rPr>
          <w:color w:val="000000"/>
        </w:rPr>
        <w:t> </w:t>
      </w:r>
      <w:r w:rsidRPr="00D10EB1">
        <w:rPr>
          <w:color w:val="000000"/>
        </w:rPr>
        <w:t>000</w:t>
      </w:r>
      <w:r w:rsidR="00A0794E" w:rsidRPr="00D10EB1">
        <w:rPr>
          <w:color w:val="000000"/>
        </w:rPr>
        <w:t> </w:t>
      </w:r>
      <w:r w:rsidRPr="00D10EB1">
        <w:rPr>
          <w:color w:val="000000"/>
        </w:rPr>
        <w:t>CHF aux</w:t>
      </w:r>
      <w:r w:rsidRPr="00D10EB1">
        <w:t xml:space="preserve"> produits inscrits au budget. Les produits facturés aux Associés étaient supérieurs de 272</w:t>
      </w:r>
      <w:r w:rsidR="00A0794E" w:rsidRPr="00D10EB1">
        <w:t> </w:t>
      </w:r>
      <w:r w:rsidRPr="00D10EB1">
        <w:t>000</w:t>
      </w:r>
      <w:r w:rsidR="00A0794E" w:rsidRPr="00D10EB1">
        <w:t> </w:t>
      </w:r>
      <w:r w:rsidRPr="00D10EB1">
        <w:t>CHF aux produits inscrits au budget et les produits facturés aux établissements universitaires étaient supérieurs de 22</w:t>
      </w:r>
      <w:r w:rsidR="00A0794E" w:rsidRPr="00D10EB1">
        <w:t> </w:t>
      </w:r>
      <w:r w:rsidRPr="00D10EB1">
        <w:t>000 CHF aux produits inscrits au budget.</w:t>
      </w:r>
    </w:p>
    <w:p w14:paraId="0A179683" w14:textId="7F8A7740" w:rsidR="0027584F" w:rsidRPr="00D10EB1" w:rsidRDefault="0027584F" w:rsidP="0027584F">
      <w:r w:rsidRPr="00D10EB1">
        <w:t>3.5</w:t>
      </w:r>
      <w:r w:rsidRPr="00D10EB1">
        <w:tab/>
        <w:t>Les produits tirés du recouvrement des coûts représentent 23% du montant total des produits inscrits au budget. La ventilation de ces produits est présentée dans le Tableau 4 ci</w:t>
      </w:r>
      <w:r w:rsidRPr="00D10EB1">
        <w:noBreakHyphen/>
        <w:t xml:space="preserve">dessous. </w:t>
      </w:r>
      <w:r w:rsidRPr="00D10EB1">
        <w:rPr>
          <w:color w:val="000000"/>
        </w:rPr>
        <w:t>Les produits tirés du recouvrement des coûts devraient être inférieurs (</w:t>
      </w:r>
      <w:r w:rsidRPr="00D10EB1">
        <w:sym w:font="Symbol" w:char="F02D"/>
      </w:r>
      <w:r w:rsidRPr="00D10EB1">
        <w:t xml:space="preserve">1,1 million CHF) </w:t>
      </w:r>
      <w:r w:rsidRPr="00D10EB1">
        <w:rPr>
          <w:color w:val="000000"/>
        </w:rPr>
        <w:t>au montant inscrit au budget pour 2021.</w:t>
      </w:r>
    </w:p>
    <w:p w14:paraId="02C8FAAE" w14:textId="3FD1E3F6" w:rsidR="0027584F" w:rsidRPr="00D10EB1" w:rsidRDefault="0027584F" w:rsidP="00A17B38">
      <w:r w:rsidRPr="00D10EB1">
        <w:t>3.6</w:t>
      </w:r>
      <w:r w:rsidRPr="00D10EB1">
        <w:tab/>
        <w:t xml:space="preserve"> Un montant de 398</w:t>
      </w:r>
      <w:r w:rsidR="00A0794E" w:rsidRPr="00D10EB1">
        <w:t> </w:t>
      </w:r>
      <w:r w:rsidRPr="00D10EB1">
        <w:t>000</w:t>
      </w:r>
      <w:r w:rsidR="00A0794E" w:rsidRPr="00D10EB1">
        <w:t> </w:t>
      </w:r>
      <w:r w:rsidRPr="00D10EB1">
        <w:t>CHF sera prélevé sur le Fonds de réserve en raison du report, de 2020 à 2021, de deux réunions préparatoires régionales (RPM-AFR et RPM-CEI) et des réunions préparatoires en vue de l'AMNT. Étant donné qu'un montant correspondant avait été versé sur le Fonds de réserve à la fin de 2020, il n'y a aucun effet financier sur le niveau du Fonds de réserve.</w:t>
      </w:r>
    </w:p>
    <w:bookmarkStart w:id="11" w:name="_MON_1682142496"/>
    <w:bookmarkEnd w:id="11"/>
    <w:p w14:paraId="7345A785" w14:textId="4788BD44" w:rsidR="0027584F" w:rsidRPr="00D10EB1" w:rsidRDefault="00A0794E" w:rsidP="00A0794E">
      <w:pPr>
        <w:pStyle w:val="Figure"/>
      </w:pPr>
      <w:r w:rsidRPr="00D10EB1">
        <w:object w:dxaOrig="12463" w:dyaOrig="4997" w14:anchorId="593506F2">
          <v:shape id="_x0000_i1028" type="#_x0000_t75" style="width:504.6pt;height:201.6pt" o:ole="">
            <v:imagedata r:id="rId25" o:title=""/>
          </v:shape>
          <o:OLEObject Type="Embed" ProgID="Excel.Sheet.12" ShapeID="_x0000_i1028" DrawAspect="Content" ObjectID="_1682163888" r:id="rId26"/>
        </w:object>
      </w:r>
    </w:p>
    <w:p w14:paraId="1F5E175B" w14:textId="777E5E2B" w:rsidR="0027584F" w:rsidRPr="00D10EB1" w:rsidRDefault="0027584F" w:rsidP="0027584F">
      <w:pPr>
        <w:spacing w:before="240"/>
      </w:pPr>
      <w:r w:rsidRPr="00D10EB1">
        <w:t>3.7</w:t>
      </w:r>
      <w:r w:rsidRPr="00D10EB1">
        <w:tab/>
        <w:t>Selon les estimations, les autres produits et les produits provenant des intérêts devraient dépasser de 100 000 CHF les niveaux inscrits au budget pour 2021.</w:t>
      </w:r>
    </w:p>
    <w:p w14:paraId="77B2BFC5" w14:textId="77777777" w:rsidR="0027584F" w:rsidRPr="00D10EB1" w:rsidRDefault="0027584F" w:rsidP="0027584F">
      <w:pPr>
        <w:pStyle w:val="Heading1"/>
      </w:pPr>
      <w:r w:rsidRPr="00D10EB1">
        <w:t>4</w:t>
      </w:r>
      <w:r w:rsidRPr="00D10EB1">
        <w:tab/>
        <w:t>Charges</w:t>
      </w:r>
    </w:p>
    <w:p w14:paraId="79EC41CC" w14:textId="0812265E" w:rsidR="0027584F" w:rsidRPr="00D10EB1" w:rsidRDefault="0027584F" w:rsidP="0027584F">
      <w:r w:rsidRPr="00D10EB1">
        <w:t>4.1</w:t>
      </w:r>
      <w:r w:rsidRPr="00D10EB1">
        <w:tab/>
      </w:r>
      <w:r w:rsidRPr="00D10EB1">
        <w:rPr>
          <w:color w:val="000000"/>
        </w:rPr>
        <w:t xml:space="preserve">S'agissant des charges, l'UIT prend en permanence des mesures d'efficacité et déploie constamment des efforts pour se conformer aux dispositions de la Résolution </w:t>
      </w:r>
      <w:r w:rsidRPr="00D10EB1">
        <w:t xml:space="preserve">1396. </w:t>
      </w:r>
      <w:r w:rsidRPr="00D10EB1">
        <w:rPr>
          <w:color w:val="000000"/>
        </w:rPr>
        <w:t>L'objectif est de maintenir les charges dans les limites du budget à la fin de l'exercice</w:t>
      </w:r>
      <w:r w:rsidRPr="00D10EB1">
        <w:t xml:space="preserve"> 2021. Par suite de l'application de mesures d'efficacité et des conséquences de la pandémie de COVID-19, et en raison des retards connexes pris dans la mise en œuvre du budget, </w:t>
      </w:r>
      <w:r w:rsidRPr="00D10EB1">
        <w:rPr>
          <w:color w:val="000000"/>
        </w:rPr>
        <w:t xml:space="preserve">les crédits budgétaires non dépensés devraient représenter, d'après les estimations, près de </w:t>
      </w:r>
      <w:r w:rsidRPr="00D10EB1">
        <w:t>4,7 millions CHF pour 2021.</w:t>
      </w:r>
    </w:p>
    <w:p w14:paraId="77A536A7" w14:textId="50DE60CF" w:rsidR="0027584F" w:rsidRPr="00D10EB1" w:rsidRDefault="0027584F" w:rsidP="0027584F">
      <w:pPr>
        <w:pStyle w:val="Heading1"/>
      </w:pPr>
      <w:r w:rsidRPr="00D10EB1">
        <w:t>5</w:t>
      </w:r>
      <w:r w:rsidRPr="00D10EB1">
        <w:tab/>
        <w:t>Mesures d'efficacité</w:t>
      </w:r>
    </w:p>
    <w:p w14:paraId="182E9523" w14:textId="55B5E27F" w:rsidR="0027584F" w:rsidRPr="00D10EB1" w:rsidRDefault="0027584F" w:rsidP="0027584F">
      <w:r w:rsidRPr="00D10EB1">
        <w:t>5.1</w:t>
      </w:r>
      <w:r w:rsidRPr="00D10EB1">
        <w:tab/>
        <w:t>Il a été rendu compte au Conseil des mesures à mettre en œuvre pour chacun des exercices biennaux 2014-2015, 2016-2017 et 2018</w:t>
      </w:r>
      <w:r w:rsidRPr="00D10EB1">
        <w:noBreakHyphen/>
        <w:t xml:space="preserve">2019 dans les Documents </w:t>
      </w:r>
      <w:hyperlink r:id="rId27" w:history="1">
        <w:r w:rsidRPr="00D10EB1">
          <w:rPr>
            <w:rStyle w:val="Hyperlink"/>
          </w:rPr>
          <w:t>C15/45</w:t>
        </w:r>
      </w:hyperlink>
      <w:r w:rsidRPr="00D10EB1">
        <w:t xml:space="preserve">, </w:t>
      </w:r>
      <w:hyperlink r:id="rId28" w:history="1">
        <w:r w:rsidRPr="00D10EB1">
          <w:rPr>
            <w:rStyle w:val="Hyperlink"/>
          </w:rPr>
          <w:t>C16/45</w:t>
        </w:r>
      </w:hyperlink>
      <w:r w:rsidRPr="00D10EB1">
        <w:t xml:space="preserve">, </w:t>
      </w:r>
      <w:hyperlink r:id="rId29" w:history="1">
        <w:r w:rsidRPr="00D10EB1">
          <w:rPr>
            <w:rStyle w:val="Hyperlink"/>
          </w:rPr>
          <w:t>C17/45</w:t>
        </w:r>
      </w:hyperlink>
      <w:r w:rsidRPr="00D10EB1">
        <w:t xml:space="preserve">, </w:t>
      </w:r>
      <w:hyperlink r:id="rId30" w:history="1">
        <w:r w:rsidRPr="00D10EB1">
          <w:rPr>
            <w:rStyle w:val="Hyperlink"/>
          </w:rPr>
          <w:t>C18/45</w:t>
        </w:r>
      </w:hyperlink>
      <w:r w:rsidRPr="00D10EB1">
        <w:t xml:space="preserve">, </w:t>
      </w:r>
      <w:hyperlink r:id="rId31" w:history="1">
        <w:r w:rsidRPr="00D10EB1">
          <w:rPr>
            <w:rStyle w:val="Hyperlink"/>
          </w:rPr>
          <w:t>C19/45</w:t>
        </w:r>
      </w:hyperlink>
      <w:r w:rsidRPr="00D10EB1">
        <w:t xml:space="preserve"> et </w:t>
      </w:r>
      <w:hyperlink r:id="rId32" w:history="1">
        <w:r w:rsidRPr="00D10EB1">
          <w:rPr>
            <w:rStyle w:val="Hyperlink"/>
          </w:rPr>
          <w:t>C20/9</w:t>
        </w:r>
      </w:hyperlink>
      <w:r w:rsidRPr="00D10EB1">
        <w:t xml:space="preserve">. Ces mesures </w:t>
      </w:r>
      <w:r w:rsidRPr="00D10EB1">
        <w:rPr>
          <w:color w:val="000000"/>
        </w:rPr>
        <w:t xml:space="preserve">ont permis de dégager </w:t>
      </w:r>
      <w:r w:rsidRPr="00D10EB1">
        <w:t>57,6 millions CHF d'économies au cours de la période 2014-2019.</w:t>
      </w:r>
    </w:p>
    <w:p w14:paraId="4E1C2BEB" w14:textId="21808C17" w:rsidR="0027584F" w:rsidRPr="00D10EB1" w:rsidRDefault="0027584F" w:rsidP="0027584F">
      <w:r w:rsidRPr="00D10EB1">
        <w:t>5.2</w:t>
      </w:r>
      <w:r w:rsidRPr="00D10EB1">
        <w:tab/>
        <w:t xml:space="preserve">Le </w:t>
      </w:r>
      <w:hyperlink w:anchor="tableauA" w:history="1">
        <w:r w:rsidRPr="00D10EB1">
          <w:rPr>
            <w:rStyle w:val="Hyperlink"/>
          </w:rPr>
          <w:t>Tableau A</w:t>
        </w:r>
      </w:hyperlink>
      <w:r w:rsidRPr="00D10EB1">
        <w:t xml:space="preserve"> présente les économies réalisées au titre de chacune des 30 mesures d'efficacité décrites dans l'Annexe 2 de la Décision 5 (Rév. Busan, 2014) pour la période allant de 2014 à 2019.</w:t>
      </w:r>
    </w:p>
    <w:p w14:paraId="29CDA5CC" w14:textId="41FCD72B" w:rsidR="0027584F" w:rsidRPr="00D10EB1" w:rsidRDefault="0027584F" w:rsidP="0027584F">
      <w:r w:rsidRPr="00D10EB1">
        <w:t>5.3</w:t>
      </w:r>
      <w:r w:rsidRPr="00D10EB1">
        <w:tab/>
        <w:t xml:space="preserve">Le </w:t>
      </w:r>
      <w:hyperlink w:anchor="tableauB" w:history="1">
        <w:r w:rsidRPr="00D10EB1">
          <w:rPr>
            <w:rStyle w:val="Hyperlink"/>
          </w:rPr>
          <w:t>Tableau B</w:t>
        </w:r>
      </w:hyperlink>
      <w:r w:rsidRPr="00D10EB1">
        <w:t xml:space="preserve"> présente les économies effectives et les économies prévues au titre de chacune des 27 mesures d'efficacité décrites dans l'Annexe 2 de la Décision 5 (Rév. Dubaï, 2018) pour la période 2020-2023. Le montant estimé des économies réalisées s'établit à 13,9 millions CHF pour 2020, dont 7,5 millions CHF de crédits budgétaires non dépensés en raison des effets du COVID-19 sur les voyages, les bourses, les dépenses opérationnelles, etc. Ce montant de 13,9 millions CHF a été entièrement compensé par un manque à gagner considérable ainsi que par certaines charges imprévues (dues au COVID-19 et à l'UNSMIS, entre autres). Pour la période 2021-2023, ces mesures seront analysées de façon plus approfondie lors de la mise en œuvre du budget, et il sera alors possible de fournir des estimations plus détaillées des économies réalisées au titre de certaines de ces mesures d'efficacité.</w:t>
      </w:r>
    </w:p>
    <w:p w14:paraId="1B91F47F" w14:textId="77777777" w:rsidR="0027584F" w:rsidRPr="00D10EB1" w:rsidRDefault="0027584F" w:rsidP="0027584F">
      <w:pPr>
        <w:pStyle w:val="Tabletitle"/>
        <w:spacing w:after="0"/>
      </w:pPr>
      <w:bookmarkStart w:id="12" w:name="tableauA"/>
      <w:bookmarkEnd w:id="12"/>
      <w:r w:rsidRPr="00D10EB1">
        <w:lastRenderedPageBreak/>
        <w:t>Tableau A – Mesures d'efficacité – 2014-2019</w:t>
      </w:r>
    </w:p>
    <w:bookmarkStart w:id="13" w:name="_MON_1650105360"/>
    <w:bookmarkEnd w:id="13"/>
    <w:p w14:paraId="495D6B00" w14:textId="01D536DE" w:rsidR="0027584F" w:rsidRPr="00D10EB1" w:rsidRDefault="00A0794E" w:rsidP="00A0794E">
      <w:pPr>
        <w:pStyle w:val="Figure"/>
      </w:pPr>
      <w:r w:rsidRPr="00D10EB1">
        <w:object w:dxaOrig="15729" w:dyaOrig="21750" w14:anchorId="4807AB6A">
          <v:shape id="_x0000_i1042" type="#_x0000_t75" style="width:486pt;height:672pt" o:ole="">
            <v:imagedata r:id="rId33" o:title=""/>
          </v:shape>
          <o:OLEObject Type="Embed" ProgID="Excel.Sheet.12" ShapeID="_x0000_i1042" DrawAspect="Content" ObjectID="_1682163889" r:id="rId34"/>
        </w:object>
      </w:r>
    </w:p>
    <w:p w14:paraId="1FDEC80D" w14:textId="56314DDA" w:rsidR="0027584F" w:rsidRPr="00D10EB1" w:rsidRDefault="0027584F" w:rsidP="0027584F">
      <w:pPr>
        <w:pStyle w:val="Tabletitle"/>
      </w:pPr>
      <w:bookmarkStart w:id="14" w:name="tableauB"/>
      <w:bookmarkEnd w:id="14"/>
      <w:r w:rsidRPr="00D10EB1">
        <w:lastRenderedPageBreak/>
        <w:t>Tableau B – Mesures d'efficacité – 2020-2023</w:t>
      </w:r>
    </w:p>
    <w:p w14:paraId="6C1174C7" w14:textId="48EDCE95" w:rsidR="0027584F" w:rsidRPr="00D10EB1" w:rsidRDefault="00A0794E" w:rsidP="00A0794E">
      <w:pPr>
        <w:pStyle w:val="Figure"/>
      </w:pPr>
      <w:r w:rsidRPr="00D10EB1">
        <w:object w:dxaOrig="16834" w:dyaOrig="21014" w14:anchorId="26FCD905">
          <v:shape id="_x0000_i1030" type="#_x0000_t75" style="width:502.2pt;height:627pt" o:ole="">
            <v:imagedata r:id="rId35" o:title=""/>
          </v:shape>
          <o:OLEObject Type="Embed" ProgID="Excel.Sheet.12" ShapeID="_x0000_i1030" DrawAspect="Content" ObjectID="_1682163890" r:id="rId36"/>
        </w:object>
      </w:r>
    </w:p>
    <w:p w14:paraId="661B0F35" w14:textId="77777777" w:rsidR="00A0794E" w:rsidRPr="00D10EB1" w:rsidRDefault="00A0794E" w:rsidP="00411C49">
      <w:pPr>
        <w:pStyle w:val="Reasons"/>
      </w:pPr>
    </w:p>
    <w:p w14:paraId="37233F5E" w14:textId="77777777" w:rsidR="00A0794E" w:rsidRPr="00D10EB1" w:rsidRDefault="00A0794E">
      <w:pPr>
        <w:jc w:val="center"/>
      </w:pPr>
      <w:r w:rsidRPr="00D10EB1">
        <w:t>______________</w:t>
      </w:r>
    </w:p>
    <w:sectPr w:rsidR="00A0794E" w:rsidRPr="00D10EB1" w:rsidSect="00A17B38">
      <w:headerReference w:type="default" r:id="rId37"/>
      <w:footerReference w:type="default" r:id="rId38"/>
      <w:headerReference w:type="first" r:id="rId39"/>
      <w:footerReference w:type="first" r:id="rId40"/>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B729" w14:textId="77777777" w:rsidR="0027584F" w:rsidRDefault="0027584F">
      <w:r>
        <w:separator/>
      </w:r>
    </w:p>
  </w:endnote>
  <w:endnote w:type="continuationSeparator" w:id="0">
    <w:p w14:paraId="7048512C" w14:textId="77777777" w:rsidR="0027584F" w:rsidRDefault="0027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34CC" w14:textId="00067896" w:rsidR="00732045" w:rsidRDefault="008D4168">
    <w:pPr>
      <w:pStyle w:val="Footer"/>
    </w:pPr>
    <w:fldSimple w:instr=" FILENAME \p \* MERGEFORMAT ">
      <w:r w:rsidR="0027584F">
        <w:t>Document1</w:t>
      </w:r>
    </w:fldSimple>
    <w:r w:rsidR="00732045">
      <w:tab/>
    </w:r>
    <w:r w:rsidR="002F1B76">
      <w:fldChar w:fldCharType="begin"/>
    </w:r>
    <w:r w:rsidR="00732045">
      <w:instrText xml:space="preserve"> savedate \@ dd.MM.yy </w:instrText>
    </w:r>
    <w:r w:rsidR="002F1B76">
      <w:fldChar w:fldCharType="separate"/>
    </w:r>
    <w:r w:rsidR="003F5819">
      <w:t>10.05.21</w:t>
    </w:r>
    <w:r w:rsidR="002F1B76">
      <w:fldChar w:fldCharType="end"/>
    </w:r>
    <w:r w:rsidR="00732045">
      <w:tab/>
    </w:r>
    <w:r w:rsidR="002F1B76">
      <w:fldChar w:fldCharType="begin"/>
    </w:r>
    <w:r w:rsidR="00732045">
      <w:instrText xml:space="preserve"> printdate \@ dd.MM.yy </w:instrText>
    </w:r>
    <w:r w:rsidR="002F1B76">
      <w:fldChar w:fldCharType="separate"/>
    </w:r>
    <w:r w:rsidR="0027584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75CA" w14:textId="4032E0F6" w:rsidR="00732045" w:rsidRDefault="008D4168">
    <w:pPr>
      <w:pStyle w:val="Footer"/>
    </w:pPr>
    <w:r w:rsidRPr="003F5819">
      <w:rPr>
        <w:color w:val="F2F2F2" w:themeColor="background1" w:themeShade="F2"/>
      </w:rPr>
      <w:fldChar w:fldCharType="begin"/>
    </w:r>
    <w:r w:rsidRPr="003F5819">
      <w:rPr>
        <w:color w:val="F2F2F2" w:themeColor="background1" w:themeShade="F2"/>
      </w:rPr>
      <w:instrText xml:space="preserve"> FILENAME \p \* MERGEFORMAT </w:instrText>
    </w:r>
    <w:r w:rsidRPr="003F5819">
      <w:rPr>
        <w:color w:val="F2F2F2" w:themeColor="background1" w:themeShade="F2"/>
      </w:rPr>
      <w:fldChar w:fldCharType="separate"/>
    </w:r>
    <w:r w:rsidR="0075745C" w:rsidRPr="003F5819">
      <w:rPr>
        <w:color w:val="F2F2F2" w:themeColor="background1" w:themeShade="F2"/>
      </w:rPr>
      <w:t>P:\FRA\SG\CONSEIL\C21\000\009F.docx</w:t>
    </w:r>
    <w:r w:rsidRPr="003F5819">
      <w:rPr>
        <w:color w:val="F2F2F2" w:themeColor="background1" w:themeShade="F2"/>
      </w:rPr>
      <w:fldChar w:fldCharType="end"/>
    </w:r>
    <w:r w:rsidR="0075745C" w:rsidRPr="003F5819">
      <w:rPr>
        <w:color w:val="F2F2F2" w:themeColor="background1" w:themeShade="F2"/>
      </w:rPr>
      <w:t xml:space="preserve"> (483200)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1CF8"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F442" w14:textId="44B24303" w:rsidR="0075745C" w:rsidRPr="0075745C" w:rsidRDefault="003F5819" w:rsidP="0075745C">
    <w:pPr>
      <w:pStyle w:val="Footer"/>
    </w:pPr>
    <w:r w:rsidRPr="003F5819">
      <w:rPr>
        <w:color w:val="F2F2F2" w:themeColor="background1" w:themeShade="F2"/>
      </w:rPr>
      <w:fldChar w:fldCharType="begin"/>
    </w:r>
    <w:r w:rsidRPr="003F5819">
      <w:rPr>
        <w:color w:val="F2F2F2" w:themeColor="background1" w:themeShade="F2"/>
      </w:rPr>
      <w:instrText xml:space="preserve"> FILENAME \p \* MERGEFORMAT </w:instrText>
    </w:r>
    <w:r w:rsidRPr="003F5819">
      <w:rPr>
        <w:color w:val="F2F2F2" w:themeColor="background1" w:themeShade="F2"/>
      </w:rPr>
      <w:fldChar w:fldCharType="separate"/>
    </w:r>
    <w:r w:rsidR="0075745C" w:rsidRPr="003F5819">
      <w:rPr>
        <w:color w:val="F2F2F2" w:themeColor="background1" w:themeShade="F2"/>
      </w:rPr>
      <w:t>P:\FRA\SG\CONSEIL\C21\000\009F.docx</w:t>
    </w:r>
    <w:r w:rsidRPr="003F5819">
      <w:rPr>
        <w:color w:val="F2F2F2" w:themeColor="background1" w:themeShade="F2"/>
      </w:rPr>
      <w:fldChar w:fldCharType="end"/>
    </w:r>
    <w:r w:rsidR="0075745C" w:rsidRPr="003F5819">
      <w:rPr>
        <w:color w:val="F2F2F2" w:themeColor="background1" w:themeShade="F2"/>
      </w:rPr>
      <w:t xml:space="preserve"> (483200)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8F4A" w14:textId="29C280EF" w:rsidR="0075745C" w:rsidRDefault="008D4168">
    <w:pPr>
      <w:pStyle w:val="Footer"/>
    </w:pPr>
    <w:r w:rsidRPr="003F5819">
      <w:rPr>
        <w:color w:val="F2F2F2" w:themeColor="background1" w:themeShade="F2"/>
      </w:rPr>
      <w:fldChar w:fldCharType="begin"/>
    </w:r>
    <w:r w:rsidRPr="003F5819">
      <w:rPr>
        <w:color w:val="F2F2F2" w:themeColor="background1" w:themeShade="F2"/>
      </w:rPr>
      <w:instrText xml:space="preserve"> FILENAME \p \* MERGEFORMAT </w:instrText>
    </w:r>
    <w:r w:rsidRPr="003F5819">
      <w:rPr>
        <w:color w:val="F2F2F2" w:themeColor="background1" w:themeShade="F2"/>
      </w:rPr>
      <w:fldChar w:fldCharType="separate"/>
    </w:r>
    <w:r w:rsidR="0075745C" w:rsidRPr="003F5819">
      <w:rPr>
        <w:color w:val="F2F2F2" w:themeColor="background1" w:themeShade="F2"/>
      </w:rPr>
      <w:t>P:\FRA\SG\CONSEIL\C21\000\009F.docx</w:t>
    </w:r>
    <w:r w:rsidRPr="003F5819">
      <w:rPr>
        <w:color w:val="F2F2F2" w:themeColor="background1" w:themeShade="F2"/>
      </w:rPr>
      <w:fldChar w:fldCharType="end"/>
    </w:r>
    <w:r w:rsidR="0075745C" w:rsidRPr="003F5819">
      <w:rPr>
        <w:color w:val="F2F2F2" w:themeColor="background1" w:themeShade="F2"/>
      </w:rPr>
      <w:t xml:space="preserve"> (483200)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229A" w14:textId="25F9172B" w:rsidR="0075745C" w:rsidRPr="0075745C" w:rsidRDefault="003F5819" w:rsidP="0075745C">
    <w:pPr>
      <w:pStyle w:val="Footer"/>
    </w:pPr>
    <w:r w:rsidRPr="003F5819">
      <w:rPr>
        <w:color w:val="F2F2F2" w:themeColor="background1" w:themeShade="F2"/>
      </w:rPr>
      <w:fldChar w:fldCharType="begin"/>
    </w:r>
    <w:r w:rsidRPr="003F5819">
      <w:rPr>
        <w:color w:val="F2F2F2" w:themeColor="background1" w:themeShade="F2"/>
      </w:rPr>
      <w:instrText xml:space="preserve"> FILENAME \p \* MERGEFORMAT </w:instrText>
    </w:r>
    <w:r w:rsidRPr="003F5819">
      <w:rPr>
        <w:color w:val="F2F2F2" w:themeColor="background1" w:themeShade="F2"/>
      </w:rPr>
      <w:fldChar w:fldCharType="separate"/>
    </w:r>
    <w:r w:rsidR="0075745C" w:rsidRPr="003F5819">
      <w:rPr>
        <w:color w:val="F2F2F2" w:themeColor="background1" w:themeShade="F2"/>
      </w:rPr>
      <w:t>P:\FRA\SG\CONSEIL\C21\000\009F.docx</w:t>
    </w:r>
    <w:r w:rsidRPr="003F5819">
      <w:rPr>
        <w:color w:val="F2F2F2" w:themeColor="background1" w:themeShade="F2"/>
      </w:rPr>
      <w:fldChar w:fldCharType="end"/>
    </w:r>
    <w:r w:rsidR="0075745C" w:rsidRPr="003F5819">
      <w:rPr>
        <w:color w:val="F2F2F2" w:themeColor="background1" w:themeShade="F2"/>
      </w:rPr>
      <w:t xml:space="preserve"> (483200)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78B6" w14:textId="77777777" w:rsidR="0027584F" w:rsidRDefault="0027584F">
      <w:r>
        <w:t>____________________</w:t>
      </w:r>
    </w:p>
  </w:footnote>
  <w:footnote w:type="continuationSeparator" w:id="0">
    <w:p w14:paraId="40F023F0" w14:textId="77777777" w:rsidR="0027584F" w:rsidRDefault="00275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CAB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CF1ACB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A14F"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42DB45D1" w14:textId="575FD863" w:rsidR="00732045" w:rsidRDefault="00732045" w:rsidP="00A0794E">
    <w:pPr>
      <w:pStyle w:val="Header"/>
      <w:spacing w:after="240"/>
    </w:pPr>
    <w:r>
      <w:t>C</w:t>
    </w:r>
    <w:r w:rsidR="009C353C">
      <w:t>2</w:t>
    </w:r>
    <w:r w:rsidR="004D1D50">
      <w:t>1</w:t>
    </w:r>
    <w:r>
      <w:t>/</w:t>
    </w:r>
    <w:r w:rsidR="0063120F">
      <w:t>9</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EB2A" w14:textId="77777777" w:rsidR="003F5819" w:rsidRDefault="003F5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52B2" w14:textId="77777777" w:rsidR="0075745C" w:rsidRDefault="0075745C" w:rsidP="0075745C">
    <w:pPr>
      <w:pStyle w:val="Header"/>
    </w:pPr>
    <w:r>
      <w:fldChar w:fldCharType="begin"/>
    </w:r>
    <w:r>
      <w:instrText>PAGE</w:instrText>
    </w:r>
    <w:r>
      <w:fldChar w:fldCharType="separate"/>
    </w:r>
    <w:r>
      <w:t>8</w:t>
    </w:r>
    <w:r>
      <w:rPr>
        <w:noProof/>
      </w:rPr>
      <w:fldChar w:fldCharType="end"/>
    </w:r>
  </w:p>
  <w:p w14:paraId="27E47214" w14:textId="5A3854C6" w:rsidR="0075745C" w:rsidRDefault="0075745C" w:rsidP="00550EC9">
    <w:pPr>
      <w:pStyle w:val="Header"/>
      <w:spacing w:after="240"/>
    </w:pPr>
    <w:r>
      <w:t>C21/9-F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7B98" w14:textId="77777777" w:rsidR="0075745C" w:rsidRDefault="0075745C" w:rsidP="00475FB3">
    <w:pPr>
      <w:pStyle w:val="Header"/>
    </w:pPr>
    <w:r>
      <w:fldChar w:fldCharType="begin"/>
    </w:r>
    <w:r>
      <w:instrText>PAGE</w:instrText>
    </w:r>
    <w:r>
      <w:fldChar w:fldCharType="separate"/>
    </w:r>
    <w:r>
      <w:rPr>
        <w:noProof/>
      </w:rPr>
      <w:t>2</w:t>
    </w:r>
    <w:r>
      <w:rPr>
        <w:noProof/>
      </w:rPr>
      <w:fldChar w:fldCharType="end"/>
    </w:r>
  </w:p>
  <w:p w14:paraId="11116018" w14:textId="77777777" w:rsidR="0075745C" w:rsidRDefault="0075745C" w:rsidP="00106B19">
    <w:pPr>
      <w:pStyle w:val="Header"/>
    </w:pPr>
    <w:r>
      <w:t>C21/9-F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3E2C" w14:textId="77777777" w:rsidR="0075745C" w:rsidRDefault="0075745C" w:rsidP="0075745C">
    <w:pPr>
      <w:pStyle w:val="Header"/>
    </w:pPr>
    <w:r>
      <w:fldChar w:fldCharType="begin"/>
    </w:r>
    <w:r>
      <w:instrText>PAGE</w:instrText>
    </w:r>
    <w:r>
      <w:fldChar w:fldCharType="separate"/>
    </w:r>
    <w:r>
      <w:t>8</w:t>
    </w:r>
    <w:r>
      <w:rPr>
        <w:noProof/>
      </w:rPr>
      <w:fldChar w:fldCharType="end"/>
    </w:r>
  </w:p>
  <w:p w14:paraId="19133749" w14:textId="4713F38D" w:rsidR="0075745C" w:rsidRDefault="0075745C" w:rsidP="0075745C">
    <w:pPr>
      <w:pStyle w:val="Header"/>
    </w:pPr>
    <w:r>
      <w:t>C21/9-F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4F"/>
    <w:rsid w:val="00057301"/>
    <w:rsid w:val="0007741B"/>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7584F"/>
    <w:rsid w:val="002A5D44"/>
    <w:rsid w:val="002C2314"/>
    <w:rsid w:val="002E0BC4"/>
    <w:rsid w:val="002F1B76"/>
    <w:rsid w:val="0033568E"/>
    <w:rsid w:val="00355FF5"/>
    <w:rsid w:val="00361350"/>
    <w:rsid w:val="003851C3"/>
    <w:rsid w:val="003C3FAE"/>
    <w:rsid w:val="003F5819"/>
    <w:rsid w:val="004038CB"/>
    <w:rsid w:val="0040546F"/>
    <w:rsid w:val="0042404A"/>
    <w:rsid w:val="0044618F"/>
    <w:rsid w:val="00456349"/>
    <w:rsid w:val="0046769A"/>
    <w:rsid w:val="00475FB3"/>
    <w:rsid w:val="004C37A9"/>
    <w:rsid w:val="004D1D50"/>
    <w:rsid w:val="004F259E"/>
    <w:rsid w:val="00511F1D"/>
    <w:rsid w:val="00520F36"/>
    <w:rsid w:val="00540615"/>
    <w:rsid w:val="00540A6D"/>
    <w:rsid w:val="00550EC9"/>
    <w:rsid w:val="00571EEA"/>
    <w:rsid w:val="00575417"/>
    <w:rsid w:val="005768E1"/>
    <w:rsid w:val="005B1938"/>
    <w:rsid w:val="005C3890"/>
    <w:rsid w:val="005F7BFE"/>
    <w:rsid w:val="00600017"/>
    <w:rsid w:val="00615FB6"/>
    <w:rsid w:val="006235CA"/>
    <w:rsid w:val="0063120F"/>
    <w:rsid w:val="0064110E"/>
    <w:rsid w:val="006643AB"/>
    <w:rsid w:val="007210CD"/>
    <w:rsid w:val="00732045"/>
    <w:rsid w:val="007369DB"/>
    <w:rsid w:val="0075745C"/>
    <w:rsid w:val="007956C2"/>
    <w:rsid w:val="007A187E"/>
    <w:rsid w:val="007C72C2"/>
    <w:rsid w:val="007D4436"/>
    <w:rsid w:val="007F257A"/>
    <w:rsid w:val="007F3665"/>
    <w:rsid w:val="00800037"/>
    <w:rsid w:val="008013D7"/>
    <w:rsid w:val="0082155C"/>
    <w:rsid w:val="00861D73"/>
    <w:rsid w:val="00897553"/>
    <w:rsid w:val="008A4E87"/>
    <w:rsid w:val="008D4168"/>
    <w:rsid w:val="008D76E6"/>
    <w:rsid w:val="0092392D"/>
    <w:rsid w:val="0093234A"/>
    <w:rsid w:val="0097363B"/>
    <w:rsid w:val="009C307F"/>
    <w:rsid w:val="009C353C"/>
    <w:rsid w:val="00A0794E"/>
    <w:rsid w:val="00A17B38"/>
    <w:rsid w:val="00A2113E"/>
    <w:rsid w:val="00A23A51"/>
    <w:rsid w:val="00A24607"/>
    <w:rsid w:val="00A25CD3"/>
    <w:rsid w:val="00A709FE"/>
    <w:rsid w:val="00A82767"/>
    <w:rsid w:val="00A82AC4"/>
    <w:rsid w:val="00AA332F"/>
    <w:rsid w:val="00AA7BBB"/>
    <w:rsid w:val="00AB64A8"/>
    <w:rsid w:val="00AC0266"/>
    <w:rsid w:val="00AC2884"/>
    <w:rsid w:val="00AD24EC"/>
    <w:rsid w:val="00AF3F8F"/>
    <w:rsid w:val="00B309F9"/>
    <w:rsid w:val="00B32B60"/>
    <w:rsid w:val="00B61619"/>
    <w:rsid w:val="00BB4545"/>
    <w:rsid w:val="00BC2AF6"/>
    <w:rsid w:val="00BD5873"/>
    <w:rsid w:val="00C04BE3"/>
    <w:rsid w:val="00C25D29"/>
    <w:rsid w:val="00C27A7C"/>
    <w:rsid w:val="00CA08ED"/>
    <w:rsid w:val="00CF183B"/>
    <w:rsid w:val="00D10EB1"/>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E7AF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CBF4959"/>
  <w15:docId w15:val="{3B4C43D0-6C43-4C2D-A29D-D69A33C9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27584F"/>
    <w:rPr>
      <w:color w:val="605E5C"/>
      <w:shd w:val="clear" w:color="auto" w:fill="E1DFDD"/>
    </w:rPr>
  </w:style>
  <w:style w:type="table" w:styleId="TableGrid">
    <w:name w:val="Table Grid"/>
    <w:basedOn w:val="TableNormal"/>
    <w:rsid w:val="0027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0EB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Excel_Worksheet.xlsx"/><Relationship Id="rId26" Type="http://schemas.openxmlformats.org/officeDocument/2006/relationships/package" Target="embeddings/Microsoft_Excel_Worksheet3.xlsx"/><Relationship Id="rId39" Type="http://schemas.openxmlformats.org/officeDocument/2006/relationships/header" Target="header6.xml"/><Relationship Id="rId21" Type="http://schemas.openxmlformats.org/officeDocument/2006/relationships/header" Target="header4.xml"/><Relationship Id="rId34" Type="http://schemas.openxmlformats.org/officeDocument/2006/relationships/package" Target="embeddings/Microsoft_Excel_Worksheet4.xlsx"/><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package" Target="embeddings/Microsoft_Excel_Worksheet1.xlsx"/><Relationship Id="rId29" Type="http://schemas.openxmlformats.org/officeDocument/2006/relationships/hyperlink" Target="https://www.itu.int/md/S17-CL-C-0045/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package" Target="embeddings/Microsoft_Excel_Worksheet2.xlsx"/><Relationship Id="rId32" Type="http://schemas.openxmlformats.org/officeDocument/2006/relationships/hyperlink" Target="https://www.itu.int/md/S20-CL-C-0009/fr" TargetMode="External"/><Relationship Id="rId37" Type="http://schemas.openxmlformats.org/officeDocument/2006/relationships/header" Target="header5.xm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hyperlink" Target="https://www.itu.int/md/S16-CL-C-0045/fr" TargetMode="External"/><Relationship Id="rId36" Type="http://schemas.openxmlformats.org/officeDocument/2006/relationships/package" Target="embeddings/Microsoft_Excel_Worksheet5.xlsx"/><Relationship Id="rId10" Type="http://schemas.openxmlformats.org/officeDocument/2006/relationships/hyperlink" Target="https://www.itu.int/en/council/Documents/basic-texts/DEC-005-F.pdf" TargetMode="External"/><Relationship Id="rId19" Type="http://schemas.openxmlformats.org/officeDocument/2006/relationships/image" Target="media/image3.emf"/><Relationship Id="rId31" Type="http://schemas.openxmlformats.org/officeDocument/2006/relationships/hyperlink" Target="https://www.itu.int/md/S19-CL-C-0045/fr" TargetMode="External"/><Relationship Id="rId4" Type="http://schemas.openxmlformats.org/officeDocument/2006/relationships/webSettings" Target="webSettings.xml"/><Relationship Id="rId9" Type="http://schemas.openxmlformats.org/officeDocument/2006/relationships/hyperlink" Target="https://www.itu.int/pub/S-CONF-ACTF-2014/fr"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itu.int/md/S15-CL-C-0045/fr" TargetMode="External"/><Relationship Id="rId30" Type="http://schemas.openxmlformats.org/officeDocument/2006/relationships/hyperlink" Target="https://www.itu.int/md/S18-CL-C-0045/fr" TargetMode="External"/><Relationship Id="rId35" Type="http://schemas.openxmlformats.org/officeDocument/2006/relationships/image" Target="media/image7.emf"/><Relationship Id="rId8" Type="http://schemas.openxmlformats.org/officeDocument/2006/relationships/hyperlink" Target="https://www.itu.int/md/S20-CL-C-0009/fr"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5.emf"/><Relationship Id="rId33" Type="http://schemas.openxmlformats.org/officeDocument/2006/relationships/image" Target="media/image6.emf"/><Relationship Id="rId38"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40AD-F144-4D77-9604-F173B0D4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8</Pages>
  <Words>1182</Words>
  <Characters>6803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7970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annuel des produits et des charges mesures d'efficacité</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2021-05-10T12:57:00Z</dcterms:created>
  <dcterms:modified xsi:type="dcterms:W3CDTF">2021-05-10T12:57:00Z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