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44A0B1ED" w14:textId="77777777">
        <w:trPr>
          <w:cantSplit/>
        </w:trPr>
        <w:tc>
          <w:tcPr>
            <w:tcW w:w="6912" w:type="dxa"/>
          </w:tcPr>
          <w:p w14:paraId="7E1559BD"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1420AD2F"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17A4020C" wp14:editId="09EF557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3BD33D18" w14:textId="77777777">
        <w:trPr>
          <w:cantSplit/>
          <w:trHeight w:val="20"/>
        </w:trPr>
        <w:tc>
          <w:tcPr>
            <w:tcW w:w="10173" w:type="dxa"/>
            <w:gridSpan w:val="2"/>
            <w:tcBorders>
              <w:bottom w:val="single" w:sz="12" w:space="0" w:color="auto"/>
            </w:tcBorders>
          </w:tcPr>
          <w:p w14:paraId="63D6A05F" w14:textId="77777777" w:rsidR="00093EEB" w:rsidRPr="00EB1212" w:rsidRDefault="00093EEB">
            <w:pPr>
              <w:spacing w:before="0"/>
              <w:rPr>
                <w:b/>
                <w:bCs/>
                <w:szCs w:val="24"/>
              </w:rPr>
            </w:pPr>
          </w:p>
        </w:tc>
      </w:tr>
      <w:tr w:rsidR="00093EEB" w:rsidRPr="000B0D00" w14:paraId="30C5CD9C" w14:textId="77777777">
        <w:trPr>
          <w:cantSplit/>
          <w:trHeight w:val="20"/>
        </w:trPr>
        <w:tc>
          <w:tcPr>
            <w:tcW w:w="6912" w:type="dxa"/>
            <w:tcBorders>
              <w:top w:val="single" w:sz="12" w:space="0" w:color="auto"/>
            </w:tcBorders>
          </w:tcPr>
          <w:p w14:paraId="31DBA0BB"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1B1E5B2" w14:textId="77777777" w:rsidR="00093EEB" w:rsidRPr="000B0D00" w:rsidRDefault="00093EEB">
            <w:pPr>
              <w:spacing w:before="0"/>
              <w:rPr>
                <w:b/>
                <w:bCs/>
                <w:szCs w:val="24"/>
              </w:rPr>
            </w:pPr>
          </w:p>
        </w:tc>
      </w:tr>
      <w:tr w:rsidR="00093EEB" w:rsidRPr="000B0D00" w14:paraId="59AA04EF" w14:textId="77777777">
        <w:trPr>
          <w:cantSplit/>
          <w:trHeight w:val="20"/>
        </w:trPr>
        <w:tc>
          <w:tcPr>
            <w:tcW w:w="6912" w:type="dxa"/>
            <w:shd w:val="clear" w:color="auto" w:fill="auto"/>
          </w:tcPr>
          <w:p w14:paraId="2F6D9B63" w14:textId="03CB6D58" w:rsidR="00093EEB" w:rsidRPr="00093EEB" w:rsidRDefault="00AB0015">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AB0015">
              <w:rPr>
                <w:rFonts w:cs="Times"/>
                <w:b/>
                <w:szCs w:val="24"/>
              </w:rPr>
              <w:t>Punto del orden del día: PL 1.9</w:t>
            </w:r>
          </w:p>
        </w:tc>
        <w:tc>
          <w:tcPr>
            <w:tcW w:w="3261" w:type="dxa"/>
          </w:tcPr>
          <w:p w14:paraId="1AEEE3E8" w14:textId="426874ED" w:rsidR="00093EEB" w:rsidRPr="00093EEB" w:rsidRDefault="00AB0015" w:rsidP="00C2727F">
            <w:pPr>
              <w:spacing w:before="0"/>
              <w:rPr>
                <w:b/>
                <w:bCs/>
                <w:szCs w:val="24"/>
              </w:rPr>
            </w:pPr>
            <w:r w:rsidRPr="00AB0015">
              <w:rPr>
                <w:b/>
                <w:bCs/>
                <w:szCs w:val="24"/>
              </w:rPr>
              <w:t>Documento C21/6-S</w:t>
            </w:r>
          </w:p>
        </w:tc>
      </w:tr>
      <w:tr w:rsidR="00093EEB" w:rsidRPr="000B0D00" w14:paraId="0B293169" w14:textId="77777777">
        <w:trPr>
          <w:cantSplit/>
          <w:trHeight w:val="20"/>
        </w:trPr>
        <w:tc>
          <w:tcPr>
            <w:tcW w:w="6912" w:type="dxa"/>
            <w:shd w:val="clear" w:color="auto" w:fill="auto"/>
          </w:tcPr>
          <w:p w14:paraId="6A8C33DE"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1FAEACD5" w14:textId="0D06D077" w:rsidR="00093EEB" w:rsidRPr="00093EEB" w:rsidRDefault="00AB0015" w:rsidP="00C2727F">
            <w:pPr>
              <w:spacing w:before="0"/>
              <w:rPr>
                <w:b/>
                <w:bCs/>
                <w:szCs w:val="24"/>
              </w:rPr>
            </w:pPr>
            <w:r w:rsidRPr="00AB0015">
              <w:rPr>
                <w:b/>
                <w:bCs/>
                <w:szCs w:val="24"/>
              </w:rPr>
              <w:t>23 de marzo de 2021</w:t>
            </w:r>
          </w:p>
        </w:tc>
      </w:tr>
      <w:tr w:rsidR="00093EEB" w:rsidRPr="000B0D00" w14:paraId="723126E8" w14:textId="77777777">
        <w:trPr>
          <w:cantSplit/>
          <w:trHeight w:val="20"/>
        </w:trPr>
        <w:tc>
          <w:tcPr>
            <w:tcW w:w="6912" w:type="dxa"/>
            <w:shd w:val="clear" w:color="auto" w:fill="auto"/>
          </w:tcPr>
          <w:p w14:paraId="46594E4E"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6B1DD2E9" w14:textId="77777777" w:rsidR="00093EEB" w:rsidRPr="00093EEB" w:rsidRDefault="00093EEB" w:rsidP="00093EEB">
            <w:pPr>
              <w:spacing w:before="0"/>
              <w:rPr>
                <w:b/>
                <w:bCs/>
                <w:szCs w:val="24"/>
              </w:rPr>
            </w:pPr>
            <w:r>
              <w:rPr>
                <w:b/>
                <w:bCs/>
                <w:szCs w:val="24"/>
              </w:rPr>
              <w:t>Original: inglés</w:t>
            </w:r>
          </w:p>
        </w:tc>
      </w:tr>
      <w:tr w:rsidR="00093EEB" w:rsidRPr="000B0D00" w14:paraId="5E3C3089" w14:textId="77777777">
        <w:trPr>
          <w:cantSplit/>
        </w:trPr>
        <w:tc>
          <w:tcPr>
            <w:tcW w:w="10173" w:type="dxa"/>
            <w:gridSpan w:val="2"/>
          </w:tcPr>
          <w:p w14:paraId="62AE92A2" w14:textId="6D0A26A8" w:rsidR="00093EEB" w:rsidRPr="000B0D00" w:rsidRDefault="00AB0015">
            <w:pPr>
              <w:pStyle w:val="Source"/>
            </w:pPr>
            <w:bookmarkStart w:id="8" w:name="dsource" w:colFirst="0" w:colLast="0"/>
            <w:bookmarkEnd w:id="1"/>
            <w:bookmarkEnd w:id="7"/>
            <w:r w:rsidRPr="00AB0015">
              <w:t>Informe del Secretario General</w:t>
            </w:r>
          </w:p>
        </w:tc>
      </w:tr>
      <w:tr w:rsidR="00093EEB" w:rsidRPr="000B0D00" w14:paraId="271A0252" w14:textId="77777777">
        <w:trPr>
          <w:cantSplit/>
        </w:trPr>
        <w:tc>
          <w:tcPr>
            <w:tcW w:w="10173" w:type="dxa"/>
            <w:gridSpan w:val="2"/>
          </w:tcPr>
          <w:p w14:paraId="461ECFE3" w14:textId="636929F3" w:rsidR="00093EEB" w:rsidRPr="000B0D00" w:rsidRDefault="00AB0015">
            <w:pPr>
              <w:pStyle w:val="Title1"/>
            </w:pPr>
            <w:bookmarkStart w:id="9" w:name="dtitle1" w:colFirst="0" w:colLast="0"/>
            <w:bookmarkStart w:id="10" w:name="_Hlk69805919"/>
            <w:bookmarkEnd w:id="8"/>
            <w:r w:rsidRPr="00AB0015">
              <w:t>ACTIVIDADES DE LA UIT VINCULADAS CON LA RESOLUCIÓN 70 (REV. DUBÁI, 2018)</w:t>
            </w:r>
            <w:bookmarkEnd w:id="10"/>
          </w:p>
        </w:tc>
      </w:tr>
      <w:bookmarkEnd w:id="9"/>
    </w:tbl>
    <w:p w14:paraId="2BD7C8E0"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1A35935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041FEFD" w14:textId="77777777" w:rsidR="00093EEB" w:rsidRPr="000B0D00" w:rsidRDefault="00093EEB">
            <w:pPr>
              <w:pStyle w:val="Headingb"/>
              <w:rPr>
                <w:lang w:val="es-ES"/>
              </w:rPr>
            </w:pPr>
            <w:r w:rsidRPr="000B0D00">
              <w:rPr>
                <w:lang w:val="es-ES"/>
              </w:rPr>
              <w:t>Resumen</w:t>
            </w:r>
          </w:p>
          <w:p w14:paraId="48D224FC" w14:textId="77777777" w:rsidR="00AB0015" w:rsidRPr="00AB0015" w:rsidRDefault="00AB0015" w:rsidP="00AB0015">
            <w:pPr>
              <w:tabs>
                <w:tab w:val="clear" w:pos="709"/>
                <w:tab w:val="left" w:pos="567"/>
              </w:tabs>
              <w:rPr>
                <w:lang w:val="es-ES"/>
              </w:rPr>
            </w:pPr>
            <w:r w:rsidRPr="00AB0015">
              <w:rPr>
                <w:lang w:val="es-ES"/>
              </w:rPr>
              <w:t>En el presente documento se resumen las actividades de la UIT relativas a la aplicación de la Resolución 70 (Rev. Dubái, 2018) realizadas desde el último informe al Consejo.</w:t>
            </w:r>
          </w:p>
          <w:p w14:paraId="4EDFD992" w14:textId="40E1A9E5" w:rsidR="00093EEB" w:rsidRPr="000B0D00" w:rsidRDefault="00AB0015" w:rsidP="00AB0015">
            <w:pPr>
              <w:rPr>
                <w:lang w:val="es-ES"/>
              </w:rPr>
            </w:pPr>
            <w:r w:rsidRPr="00AB0015">
              <w:rPr>
                <w:lang w:val="es-ES"/>
              </w:rPr>
              <w:t>La versión de este informe correspondiente a 2020 (C20/6), que no se ha revisado, se ha preparado con miras a su presentación al Consejo durante su reunión de 2020.</w:t>
            </w:r>
          </w:p>
          <w:p w14:paraId="7CAA8F93" w14:textId="77777777" w:rsidR="00093EEB" w:rsidRPr="000B0D00" w:rsidRDefault="00093EEB">
            <w:pPr>
              <w:pStyle w:val="Headingb"/>
              <w:rPr>
                <w:lang w:val="es-ES"/>
              </w:rPr>
            </w:pPr>
            <w:r w:rsidRPr="000B0D00">
              <w:rPr>
                <w:lang w:val="es-ES"/>
              </w:rPr>
              <w:t>Acción solicitada</w:t>
            </w:r>
          </w:p>
          <w:p w14:paraId="3652FCEE" w14:textId="7576C9C3" w:rsidR="00093EEB" w:rsidRPr="000B0D00" w:rsidRDefault="00AB0015">
            <w:pPr>
              <w:rPr>
                <w:lang w:val="es-ES"/>
              </w:rPr>
            </w:pPr>
            <w:r w:rsidRPr="00AB0015">
              <w:rPr>
                <w:lang w:val="es-ES"/>
              </w:rPr>
              <w:t xml:space="preserve">Se invita al Consejo a </w:t>
            </w:r>
            <w:r w:rsidRPr="00AB0015">
              <w:rPr>
                <w:b/>
                <w:bCs/>
                <w:lang w:val="es-ES"/>
              </w:rPr>
              <w:t>tomar nota</w:t>
            </w:r>
            <w:r w:rsidRPr="00AB0015">
              <w:rPr>
                <w:lang w:val="es-ES"/>
              </w:rPr>
              <w:t xml:space="preserve"> de este informe y del Documento C20/6.</w:t>
            </w:r>
          </w:p>
          <w:p w14:paraId="28BDFA1F"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1B3151ED" w14:textId="5F15FB86" w:rsidR="00093EEB" w:rsidRPr="000B0D00" w:rsidRDefault="00093EEB">
            <w:pPr>
              <w:pStyle w:val="Headingb"/>
              <w:rPr>
                <w:lang w:val="es-ES"/>
              </w:rPr>
            </w:pPr>
            <w:r w:rsidRPr="000B0D00">
              <w:rPr>
                <w:lang w:val="es-ES"/>
              </w:rPr>
              <w:t>Referencia</w:t>
            </w:r>
            <w:r w:rsidR="00AB0015">
              <w:rPr>
                <w:lang w:val="es-ES"/>
              </w:rPr>
              <w:t>s</w:t>
            </w:r>
          </w:p>
          <w:p w14:paraId="59D9F915" w14:textId="51456A62" w:rsidR="00093EEB" w:rsidRPr="000B0D00" w:rsidRDefault="00357B85">
            <w:pPr>
              <w:spacing w:after="120"/>
              <w:rPr>
                <w:i/>
                <w:iCs/>
                <w:lang w:val="es-ES"/>
              </w:rPr>
            </w:pPr>
            <w:hyperlink r:id="rId7" w:history="1">
              <w:r w:rsidR="00AB0015" w:rsidRPr="00AB0015">
                <w:rPr>
                  <w:rStyle w:val="Hyperlink"/>
                  <w:i/>
                  <w:iCs/>
                  <w:lang w:val="es-ES"/>
                </w:rPr>
                <w:t>Resolución 70 (Rev. Dubái, 2018)</w:t>
              </w:r>
            </w:hyperlink>
            <w:r w:rsidR="00AB0015" w:rsidRPr="00AB0015">
              <w:rPr>
                <w:i/>
                <w:iCs/>
                <w:lang w:val="es-ES"/>
              </w:rPr>
              <w:t xml:space="preserve"> de la PP; Documentos </w:t>
            </w:r>
            <w:hyperlink r:id="rId8" w:history="1">
              <w:r w:rsidR="00AB0015" w:rsidRPr="00AB0015">
                <w:rPr>
                  <w:rStyle w:val="Hyperlink"/>
                  <w:i/>
                  <w:iCs/>
                  <w:lang w:val="es-ES"/>
                </w:rPr>
                <w:t>C13/INF/11</w:t>
              </w:r>
            </w:hyperlink>
            <w:r w:rsidR="00AB0015" w:rsidRPr="00AB0015">
              <w:rPr>
                <w:i/>
                <w:iCs/>
                <w:lang w:val="es-ES"/>
              </w:rPr>
              <w:t xml:space="preserve">, </w:t>
            </w:r>
            <w:hyperlink r:id="rId9" w:history="1">
              <w:r w:rsidR="00AB0015" w:rsidRPr="00AB0015">
                <w:rPr>
                  <w:rStyle w:val="Hyperlink"/>
                  <w:i/>
                  <w:iCs/>
                  <w:lang w:val="es-ES"/>
                </w:rPr>
                <w:t>C13/39</w:t>
              </w:r>
            </w:hyperlink>
            <w:r w:rsidR="00AB0015" w:rsidRPr="00AB0015">
              <w:rPr>
                <w:i/>
                <w:iCs/>
                <w:lang w:val="es-ES"/>
              </w:rPr>
              <w:t xml:space="preserve">, </w:t>
            </w:r>
            <w:hyperlink r:id="rId10" w:history="1">
              <w:r w:rsidR="00AB0015" w:rsidRPr="00AB0015">
                <w:rPr>
                  <w:rStyle w:val="Hyperlink"/>
                  <w:i/>
                  <w:iCs/>
                  <w:lang w:val="es-ES"/>
                </w:rPr>
                <w:t>C14/6</w:t>
              </w:r>
            </w:hyperlink>
            <w:r w:rsidR="00AB0015" w:rsidRPr="00AB0015">
              <w:rPr>
                <w:i/>
                <w:iCs/>
              </w:rPr>
              <w:t xml:space="preserve">, </w:t>
            </w:r>
            <w:hyperlink r:id="rId11" w:history="1">
              <w:r w:rsidR="00AB0015" w:rsidRPr="00AB0015">
                <w:rPr>
                  <w:rStyle w:val="Hyperlink"/>
                  <w:i/>
                  <w:iCs/>
                  <w:lang w:val="es-ES"/>
                </w:rPr>
                <w:t>C15/6</w:t>
              </w:r>
            </w:hyperlink>
            <w:r w:rsidR="00AB0015" w:rsidRPr="00AB0015">
              <w:rPr>
                <w:i/>
                <w:iCs/>
                <w:lang w:val="es-ES"/>
              </w:rPr>
              <w:t xml:space="preserve">, </w:t>
            </w:r>
            <w:hyperlink r:id="rId12" w:history="1">
              <w:r w:rsidR="00AB0015" w:rsidRPr="00AB0015">
                <w:rPr>
                  <w:rStyle w:val="Hyperlink"/>
                  <w:i/>
                  <w:iCs/>
                  <w:lang w:val="es-ES"/>
                </w:rPr>
                <w:t>C16/6</w:t>
              </w:r>
            </w:hyperlink>
            <w:r w:rsidR="00AB0015" w:rsidRPr="00AB0015">
              <w:rPr>
                <w:i/>
                <w:iCs/>
                <w:lang w:val="es-ES"/>
              </w:rPr>
              <w:t>,</w:t>
            </w:r>
            <w:r w:rsidR="00AB0015" w:rsidRPr="00AB0015">
              <w:rPr>
                <w:i/>
                <w:iCs/>
                <w:u w:val="single"/>
                <w:lang w:val="es-ES"/>
              </w:rPr>
              <w:t xml:space="preserve"> </w:t>
            </w:r>
            <w:hyperlink r:id="rId13" w:history="1">
              <w:r w:rsidR="00AB0015" w:rsidRPr="00AB0015">
                <w:rPr>
                  <w:rStyle w:val="Hyperlink"/>
                  <w:i/>
                  <w:iCs/>
                  <w:lang w:val="es-ES"/>
                </w:rPr>
                <w:t>C17/6</w:t>
              </w:r>
            </w:hyperlink>
            <w:r w:rsidR="00AB0015" w:rsidRPr="00AB0015">
              <w:rPr>
                <w:i/>
                <w:iCs/>
              </w:rPr>
              <w:t xml:space="preserve">, </w:t>
            </w:r>
            <w:hyperlink r:id="rId14" w:history="1">
              <w:r w:rsidR="00AB0015" w:rsidRPr="00AB0015">
                <w:rPr>
                  <w:rStyle w:val="Hyperlink"/>
                  <w:i/>
                  <w:iCs/>
                  <w:lang w:val="es-ES"/>
                </w:rPr>
                <w:t>C18/6</w:t>
              </w:r>
            </w:hyperlink>
            <w:r w:rsidR="00AB0015" w:rsidRPr="00AB0015">
              <w:rPr>
                <w:i/>
                <w:iCs/>
              </w:rPr>
              <w:t xml:space="preserve">, </w:t>
            </w:r>
            <w:hyperlink r:id="rId15" w:history="1">
              <w:r w:rsidR="00AB0015" w:rsidRPr="00AB0015">
                <w:rPr>
                  <w:rStyle w:val="Hyperlink"/>
                  <w:i/>
                  <w:iCs/>
                  <w:lang w:val="es-ES"/>
                </w:rPr>
                <w:t>C19/6</w:t>
              </w:r>
            </w:hyperlink>
            <w:r w:rsidR="00AB0015" w:rsidRPr="00AB0015">
              <w:rPr>
                <w:i/>
                <w:iCs/>
              </w:rPr>
              <w:t xml:space="preserve">, </w:t>
            </w:r>
            <w:hyperlink r:id="rId16" w:history="1">
              <w:r w:rsidR="00AB0015" w:rsidRPr="00AB0015">
                <w:rPr>
                  <w:rStyle w:val="Hyperlink"/>
                  <w:i/>
                  <w:iCs/>
                  <w:lang w:val="es-ES"/>
                </w:rPr>
                <w:t>C20/6</w:t>
              </w:r>
            </w:hyperlink>
            <w:r w:rsidR="00AB0015" w:rsidRPr="00AB0015">
              <w:rPr>
                <w:i/>
                <w:iCs/>
              </w:rPr>
              <w:t xml:space="preserve">, </w:t>
            </w:r>
            <w:hyperlink r:id="rId17" w:history="1">
              <w:r w:rsidR="00AB0015" w:rsidRPr="00AB0015">
                <w:rPr>
                  <w:rStyle w:val="Hyperlink"/>
                  <w:i/>
                  <w:iCs/>
                  <w:lang w:val="es-ES"/>
                </w:rPr>
                <w:t>C18/INF/3</w:t>
              </w:r>
            </w:hyperlink>
            <w:r w:rsidR="00AB0015" w:rsidRPr="00AB0015">
              <w:rPr>
                <w:i/>
                <w:iCs/>
              </w:rPr>
              <w:t xml:space="preserve">, </w:t>
            </w:r>
            <w:hyperlink r:id="rId18" w:history="1">
              <w:r w:rsidR="00AB0015" w:rsidRPr="00AB0015">
                <w:rPr>
                  <w:rStyle w:val="Hyperlink"/>
                  <w:i/>
                  <w:iCs/>
                  <w:lang w:val="es-ES"/>
                </w:rPr>
                <w:t>C19/INF/2</w:t>
              </w:r>
            </w:hyperlink>
            <w:r w:rsidR="00AB0015" w:rsidRPr="00AB0015">
              <w:rPr>
                <w:i/>
                <w:iCs/>
              </w:rPr>
              <w:t xml:space="preserve">, </w:t>
            </w:r>
            <w:hyperlink r:id="rId19" w:history="1">
              <w:r w:rsidR="00AB0015" w:rsidRPr="00AB0015">
                <w:rPr>
                  <w:rStyle w:val="Hyperlink"/>
                  <w:i/>
                  <w:iCs/>
                  <w:lang w:val="es-ES"/>
                </w:rPr>
                <w:t>C19/24</w:t>
              </w:r>
            </w:hyperlink>
            <w:r w:rsidR="00AB0015" w:rsidRPr="00AB0015">
              <w:rPr>
                <w:i/>
                <w:iCs/>
              </w:rPr>
              <w:t xml:space="preserve">, </w:t>
            </w:r>
            <w:hyperlink r:id="rId20" w:history="1">
              <w:r w:rsidR="00AB0015" w:rsidRPr="00AB0015">
                <w:rPr>
                  <w:rStyle w:val="Hyperlink"/>
                  <w:i/>
                  <w:iCs/>
                  <w:lang w:val="es-ES"/>
                </w:rPr>
                <w:t>C20/INF/2</w:t>
              </w:r>
            </w:hyperlink>
            <w:r w:rsidR="00FA2DD0">
              <w:rPr>
                <w:i/>
                <w:iCs/>
              </w:rPr>
              <w:t xml:space="preserve"> y</w:t>
            </w:r>
            <w:r w:rsidR="00AB0015" w:rsidRPr="00AB0015">
              <w:rPr>
                <w:i/>
                <w:iCs/>
              </w:rPr>
              <w:t xml:space="preserve"> </w:t>
            </w:r>
            <w:hyperlink r:id="rId21" w:history="1">
              <w:r w:rsidR="00AB0015" w:rsidRPr="00AB0015">
                <w:rPr>
                  <w:rStyle w:val="Hyperlink"/>
                  <w:i/>
                  <w:iCs/>
                  <w:lang w:val="es-ES"/>
                </w:rPr>
                <w:t>C21/INF/4</w:t>
              </w:r>
            </w:hyperlink>
            <w:r w:rsidR="00AB0015" w:rsidRPr="00AB0015">
              <w:rPr>
                <w:i/>
                <w:iCs/>
                <w:lang w:val="es-ES"/>
              </w:rPr>
              <w:t xml:space="preserve"> del Consejo</w:t>
            </w:r>
          </w:p>
        </w:tc>
      </w:tr>
    </w:tbl>
    <w:p w14:paraId="01492338" w14:textId="77777777" w:rsidR="00AB0015" w:rsidRPr="00367CAF" w:rsidRDefault="00AB0015" w:rsidP="00AB0015">
      <w:pPr>
        <w:pStyle w:val="Heading1"/>
        <w:rPr>
          <w:lang w:val="es-ES"/>
        </w:rPr>
      </w:pPr>
      <w:r w:rsidRPr="00367CAF">
        <w:rPr>
          <w:lang w:val="es-ES"/>
        </w:rPr>
        <w:t>1</w:t>
      </w:r>
      <w:r w:rsidRPr="00367CAF">
        <w:rPr>
          <w:lang w:val="es-ES"/>
        </w:rPr>
        <w:tab/>
        <w:t>Introducción</w:t>
      </w:r>
    </w:p>
    <w:p w14:paraId="6DD8BC62" w14:textId="77777777" w:rsidR="00AB0015" w:rsidRPr="00367CAF" w:rsidRDefault="00AB0015" w:rsidP="00AB0015">
      <w:pPr>
        <w:rPr>
          <w:rFonts w:cstheme="minorBidi"/>
          <w:lang w:val="es-ES"/>
        </w:rPr>
      </w:pPr>
      <w:r w:rsidRPr="00367CAF">
        <w:rPr>
          <w:lang w:val="es-ES"/>
        </w:rPr>
        <w:t xml:space="preserve">En la Resolución 70 (Rev. Dubái, 2018) se destaca la importancia de la integración de una perspectiva de género en la UIT y del fomento de la igualdad de género y el empoderamiento de la mujer mediante las tecnologías de la información y la comunicación (TIC). En el presente documento figura un resumen de los acontecimientos y actividades pertinentes realizadas desde la consulta virtual de los consejeros (CVC-2) de 2020. Puede obtenerse más información sobre las cuestiones de género y las TIC en la </w:t>
      </w:r>
      <w:hyperlink r:id="rId22" w:history="1">
        <w:r w:rsidRPr="00367CAF">
          <w:rPr>
            <w:rStyle w:val="Hyperlink"/>
            <w:lang w:val="es-ES"/>
          </w:rPr>
          <w:t>página web de la UIT sobre la cuestión de género</w:t>
        </w:r>
      </w:hyperlink>
      <w:r w:rsidRPr="00367CAF">
        <w:rPr>
          <w:rFonts w:eastAsia="SimSun"/>
          <w:lang w:val="es-ES"/>
        </w:rPr>
        <w:t>.</w:t>
      </w:r>
    </w:p>
    <w:p w14:paraId="2EBFFFC7" w14:textId="77777777" w:rsidR="00AB0015" w:rsidRPr="00367CAF" w:rsidRDefault="00AB0015" w:rsidP="00AB0015">
      <w:pPr>
        <w:pStyle w:val="Heading1"/>
        <w:rPr>
          <w:rFonts w:eastAsia="SimSun"/>
          <w:sz w:val="24"/>
          <w:szCs w:val="24"/>
          <w:lang w:val="es-ES"/>
        </w:rPr>
      </w:pPr>
      <w:r w:rsidRPr="00367CAF">
        <w:rPr>
          <w:lang w:val="es-ES"/>
        </w:rPr>
        <w:t>2</w:t>
      </w:r>
      <w:r w:rsidRPr="00367CAF">
        <w:rPr>
          <w:lang w:val="es-ES"/>
        </w:rPr>
        <w:tab/>
        <w:t>Recopilación y seguimiento de datos</w:t>
      </w:r>
    </w:p>
    <w:p w14:paraId="16C44432" w14:textId="77777777" w:rsidR="00AB0015" w:rsidRPr="00367CAF" w:rsidRDefault="00AB0015" w:rsidP="00AB0015">
      <w:pPr>
        <w:rPr>
          <w:lang w:val="es-ES"/>
        </w:rPr>
      </w:pPr>
      <w:bookmarkStart w:id="11" w:name="lt_pId029"/>
      <w:r w:rsidRPr="00367CAF">
        <w:rPr>
          <w:lang w:val="es-ES"/>
        </w:rPr>
        <w:t xml:space="preserve">Actualmente, la UIT recopila y divulga periódicamente indicadores de las TIC sobre las personas que utilizan las TIC y acceden a las mismas. Dichos indicadores pueden desglosarse por sexo, edad, educación, situación laboral y profesión. </w:t>
      </w:r>
      <w:bookmarkStart w:id="12" w:name="lt_pId030"/>
      <w:bookmarkEnd w:id="11"/>
      <w:r w:rsidRPr="00367CAF">
        <w:rPr>
          <w:lang w:val="es-ES"/>
        </w:rPr>
        <w:t xml:space="preserve">La UIT supervisa y hace un seguimiento de tres </w:t>
      </w:r>
      <w:r w:rsidRPr="00367CAF">
        <w:rPr>
          <w:lang w:val="es-ES"/>
        </w:rPr>
        <w:lastRenderedPageBreak/>
        <w:t>indicadores relativos a la cuestión de género que figuran en el marco para la supervisión de indicadores de los ODS: 1) "</w:t>
      </w:r>
      <w:r w:rsidRPr="00FA2DD0">
        <w:rPr>
          <w:lang w:val="es-ES"/>
        </w:rPr>
        <w:t>proporción de personas que son propietarias de un teléfono móvil, por sexo</w:t>
      </w:r>
      <w:r w:rsidRPr="00367CAF">
        <w:rPr>
          <w:lang w:val="es-ES"/>
        </w:rPr>
        <w:t>" (uno de los indicadores relativos a cuestiones de género del ODS 5), 2) "</w:t>
      </w:r>
      <w:r w:rsidRPr="00FA2DD0">
        <w:rPr>
          <w:lang w:val="es-ES"/>
        </w:rPr>
        <w:t>proporción de personas que utilizan Internet, por sexo</w:t>
      </w:r>
      <w:r w:rsidRPr="00367CAF">
        <w:rPr>
          <w:lang w:val="es-ES"/>
        </w:rPr>
        <w:t>", y 3) "</w:t>
      </w:r>
      <w:r w:rsidRPr="00FA2DD0">
        <w:rPr>
          <w:lang w:val="es-ES"/>
        </w:rPr>
        <w:t>proporción de personas con competencias en TIC, por sexo</w:t>
      </w:r>
      <w:r w:rsidRPr="00367CAF">
        <w:rPr>
          <w:lang w:val="es-ES"/>
        </w:rPr>
        <w:t>".</w:t>
      </w:r>
      <w:bookmarkEnd w:id="12"/>
      <w:r w:rsidRPr="00367CAF">
        <w:rPr>
          <w:lang w:val="es-ES"/>
        </w:rPr>
        <w:t xml:space="preserve"> Las últimas cifras publicadas en la publicación de la UIT </w:t>
      </w:r>
      <w:hyperlink r:id="rId23" w:history="1">
        <w:r w:rsidRPr="008E2382">
          <w:rPr>
            <w:rStyle w:val="Hyperlink"/>
            <w:i/>
            <w:iCs/>
            <w:lang w:val="es-ES"/>
          </w:rPr>
          <w:t>Medición del desarrollo digital: Hechos y cifras 2020</w:t>
        </w:r>
      </w:hyperlink>
      <w:r w:rsidRPr="00367CAF">
        <w:rPr>
          <w:lang w:val="es-ES"/>
        </w:rPr>
        <w:t xml:space="preserve"> </w:t>
      </w:r>
      <w:r w:rsidRPr="00367CAF">
        <w:rPr>
          <w:spacing w:val="2"/>
          <w:lang w:val="es-ES"/>
        </w:rPr>
        <w:t>muestran que, si bien la utilización de Internet sigue en expansión, la brecha digital de género también está creciendo. Se necesitan urgentemente medidas más eficaces para hacer frente a una serie de obstáculos –culturales, financieros y relacionados con las aptitudes– que dificultan la adopción de Internet, especialmente entre las mujeres</w:t>
      </w:r>
      <w:bookmarkStart w:id="13" w:name="lt_pId031"/>
      <w:r w:rsidRPr="00367CAF">
        <w:rPr>
          <w:spacing w:val="2"/>
          <w:lang w:val="es-ES"/>
        </w:rPr>
        <w:t>.</w:t>
      </w:r>
    </w:p>
    <w:p w14:paraId="0278EFE9" w14:textId="77777777" w:rsidR="00AB0015" w:rsidRPr="00367CAF" w:rsidRDefault="00AB0015" w:rsidP="00AB0015">
      <w:pPr>
        <w:rPr>
          <w:lang w:val="es-ES"/>
        </w:rPr>
      </w:pPr>
      <w:r w:rsidRPr="00221B82">
        <w:rPr>
          <w:lang w:val="es-ES"/>
        </w:rPr>
        <w:t>Se</w:t>
      </w:r>
      <w:r w:rsidRPr="00367CAF">
        <w:rPr>
          <w:lang w:val="es-ES"/>
        </w:rPr>
        <w:t xml:space="preserve"> está ejecutando una revisión en línea del </w:t>
      </w:r>
      <w:hyperlink r:id="rId24" w:history="1">
        <w:r w:rsidRPr="00367CAF">
          <w:rPr>
            <w:rStyle w:val="Hyperlink"/>
            <w:spacing w:val="2"/>
            <w:lang w:val="es-ES"/>
          </w:rPr>
          <w:t>panel de control de la UIT sobre cuestiones de género</w:t>
        </w:r>
      </w:hyperlink>
      <w:r w:rsidRPr="00367CAF">
        <w:rPr>
          <w:lang w:val="es-ES"/>
        </w:rPr>
        <w:t xml:space="preserve">. Continuará proporcionando una visión general de las cuestiones de género en el ámbito de las TIC, en las reuniones de la UIT y dentro de la Unión, como la composición general del personal de la UIT, desglosada por sexo y grado, y la representación paritaria en los procesos de contratación y selección. También se da cuenta de la proporción entre hombres y mujeres en los comités estatutarios. También se informará del desempeño de la UIT en cuanto al SWAP 2.0 de las Naciones Unidas. La información sobre otras medidas en pro de la igualdad de género en el marco de los recursos humanos puede encontrarse en el </w:t>
      </w:r>
      <w:hyperlink r:id="rId25" w:history="1">
        <w:r w:rsidRPr="00367CAF">
          <w:rPr>
            <w:rStyle w:val="Hyperlink"/>
            <w:lang w:val="es-ES"/>
          </w:rPr>
          <w:t>Informe al Consejo sobre la Resolución 48</w:t>
        </w:r>
      </w:hyperlink>
      <w:hyperlink r:id="rId26" w:history="1">
        <w:bookmarkStart w:id="14" w:name="lt_pId034"/>
        <w:bookmarkEnd w:id="13"/>
      </w:hyperlink>
      <w:r w:rsidRPr="00367CAF">
        <w:rPr>
          <w:lang w:val="es-ES"/>
        </w:rPr>
        <w:t>.</w:t>
      </w:r>
      <w:bookmarkEnd w:id="14"/>
    </w:p>
    <w:p w14:paraId="74986488" w14:textId="77777777" w:rsidR="00AB0015" w:rsidRPr="00367CAF" w:rsidRDefault="00AB0015" w:rsidP="00AB0015">
      <w:pPr>
        <w:pStyle w:val="Heading1"/>
        <w:rPr>
          <w:rFonts w:eastAsia="SimSun"/>
          <w:sz w:val="24"/>
          <w:szCs w:val="24"/>
          <w:lang w:val="es-ES"/>
        </w:rPr>
      </w:pPr>
      <w:r w:rsidRPr="00131CE4">
        <w:rPr>
          <w:lang w:val="es-ES"/>
        </w:rPr>
        <w:t>3</w:t>
      </w:r>
      <w:r w:rsidRPr="00131CE4">
        <w:rPr>
          <w:lang w:val="es-ES"/>
        </w:rPr>
        <w:tab/>
        <w:t>Promoción de la Agenda 2030 y reducción de la brecha digital entre hombres y mujeres</w:t>
      </w:r>
    </w:p>
    <w:p w14:paraId="155599AA" w14:textId="77777777" w:rsidR="00AB0015" w:rsidRPr="00367CAF" w:rsidRDefault="00AB0015" w:rsidP="00AB0015">
      <w:pPr>
        <w:pStyle w:val="Heading2"/>
        <w:rPr>
          <w:szCs w:val="24"/>
          <w:lang w:val="es-ES"/>
        </w:rPr>
      </w:pPr>
      <w:bookmarkStart w:id="15" w:name="_Hlk2676846"/>
      <w:r w:rsidRPr="00367CAF">
        <w:rPr>
          <w:szCs w:val="24"/>
          <w:lang w:val="es-ES"/>
        </w:rPr>
        <w:t>3.1</w:t>
      </w:r>
      <w:r w:rsidRPr="00367CAF">
        <w:rPr>
          <w:szCs w:val="24"/>
          <w:lang w:val="es-ES"/>
        </w:rPr>
        <w:tab/>
      </w:r>
      <w:r w:rsidRPr="00367CAF">
        <w:rPr>
          <w:lang w:val="es-ES"/>
        </w:rPr>
        <w:t>Cumbre Mundial sobre la Sociedad de la Información (CMSI</w:t>
      </w:r>
      <w:r w:rsidRPr="00367CAF">
        <w:rPr>
          <w:szCs w:val="24"/>
          <w:lang w:val="es-ES"/>
        </w:rPr>
        <w:t>)</w:t>
      </w:r>
    </w:p>
    <w:bookmarkEnd w:id="15"/>
    <w:p w14:paraId="0FF4DAAA" w14:textId="59179E7C" w:rsidR="00AB0015" w:rsidRPr="00221B82" w:rsidRDefault="00AB0015" w:rsidP="00AB0015">
      <w:pPr>
        <w:rPr>
          <w:lang w:val="es-ES"/>
        </w:rPr>
      </w:pPr>
      <w:r w:rsidRPr="00367CAF">
        <w:rPr>
          <w:lang w:val="es-ES"/>
        </w:rPr>
        <w:t xml:space="preserve">En la </w:t>
      </w:r>
      <w:hyperlink r:id="rId27" w:history="1">
        <w:r w:rsidRPr="00367CAF">
          <w:rPr>
            <w:rStyle w:val="Hyperlink"/>
            <w:spacing w:val="2"/>
            <w:lang w:val="es-ES"/>
          </w:rPr>
          <w:t>Declaración CMSI+10 sobre la aplicación de los resultaos de la CMSI y la Perspectiva CMSI+10 para la CMSI después de 2015</w:t>
        </w:r>
      </w:hyperlink>
      <w:r w:rsidRPr="00367CAF">
        <w:rPr>
          <w:lang w:val="es-ES"/>
        </w:rPr>
        <w:t xml:space="preserve"> se invita a todas las partes interesadas de la CMSI a integrar una perspectiva de género y a utilizar las TIC como herramienta para tal fin. En su calidad de coordinadora del Proceso de la CMSI, la UIT ha estado colaborando con los coordinadores de las Líneas de Acción de la CMSI de las Naciones Unidas y la UIT para integrar plenamente una perspectiva de igualdad de género en las estrategias de la CMSI. El Foro de la CMSI de 2020 se celebró en línea, con una vía especial sobre las TIC y la integración de la perspectiva de género para analizar las dificultades de reducir la brecha de género en la economía digital y las soluciones conexas, contribuyendo al logro del ODS 5 sobre igualdad de género. Esta vía consta de 10 talleres, que contaron con la asistencia virtual de más de 800 participantes de 63 países diferentes y con ponencias de 81 oradores. En lo que respecta al reto de participación de género 50/50, la distribución de las 11 sesiones de alto nivel sobre políticas fue de 51% hombres/49% mujeres. </w:t>
      </w:r>
      <w:r w:rsidRPr="00367CAF">
        <w:rPr>
          <w:rFonts w:eastAsia="Calibri" w:cs="Calibri"/>
          <w:szCs w:val="24"/>
          <w:lang w:val="es-ES"/>
        </w:rPr>
        <w:t xml:space="preserve">Para </w:t>
      </w:r>
      <w:r w:rsidRPr="00221B82">
        <w:rPr>
          <w:lang w:val="es-ES"/>
        </w:rPr>
        <w:t xml:space="preserve">más información sobre el Foro de la CMSI y los preparativos para sus eventos de 2021, véase </w:t>
      </w:r>
      <w:hyperlink r:id="rId28" w:history="1">
        <w:r w:rsidR="00221B82" w:rsidRPr="00540C71">
          <w:rPr>
            <w:rStyle w:val="Hyperlink"/>
            <w:lang w:val="es-ES"/>
          </w:rPr>
          <w:t>www.wisis.org/forum</w:t>
        </w:r>
      </w:hyperlink>
      <w:r w:rsidRPr="00221B82">
        <w:rPr>
          <w:lang w:val="es-ES"/>
        </w:rPr>
        <w:t>.</w:t>
      </w:r>
    </w:p>
    <w:p w14:paraId="3F755F4F" w14:textId="77777777" w:rsidR="00AB0015" w:rsidRPr="00367CAF" w:rsidRDefault="00AB0015" w:rsidP="00AB0015">
      <w:pPr>
        <w:pStyle w:val="Heading2"/>
        <w:rPr>
          <w:lang w:val="es-ES"/>
        </w:rPr>
      </w:pPr>
      <w:bookmarkStart w:id="16" w:name="_Hlk2686851"/>
      <w:r w:rsidRPr="00367CAF">
        <w:rPr>
          <w:lang w:val="es-ES"/>
        </w:rPr>
        <w:t>3.2</w:t>
      </w:r>
      <w:r w:rsidRPr="00367CAF">
        <w:rPr>
          <w:lang w:val="es-ES"/>
        </w:rPr>
        <w:tab/>
        <w:t>Día Internacional de las Niñas en las TIC</w:t>
      </w:r>
    </w:p>
    <w:p w14:paraId="14D63258" w14:textId="77777777" w:rsidR="00AB0015" w:rsidRPr="00367CAF" w:rsidRDefault="00AB0015" w:rsidP="00AB0015">
      <w:pPr>
        <w:rPr>
          <w:rFonts w:eastAsia="Calibri" w:cs="Calibri"/>
          <w:szCs w:val="24"/>
          <w:lang w:val="es-ES"/>
        </w:rPr>
      </w:pPr>
      <w:r w:rsidRPr="00367CAF">
        <w:rPr>
          <w:lang w:val="es-ES"/>
        </w:rPr>
        <w:t xml:space="preserve">El </w:t>
      </w:r>
      <w:hyperlink r:id="rId29" w:history="1">
        <w:r w:rsidRPr="00367CAF">
          <w:rPr>
            <w:rStyle w:val="Hyperlink"/>
            <w:lang w:val="es-ES"/>
          </w:rPr>
          <w:t>Día Internacional de las Niñas en las TIC</w:t>
        </w:r>
      </w:hyperlink>
      <w:r w:rsidRPr="00367CAF">
        <w:rPr>
          <w:lang w:val="es-ES"/>
        </w:rPr>
        <w:t xml:space="preserve">, que se celebra desde 2011 el cuarto jueves de cada mes de abril y que ya es un </w:t>
      </w:r>
      <w:hyperlink r:id="rId30" w:history="1">
        <w:r w:rsidRPr="00367CAF">
          <w:rPr>
            <w:rStyle w:val="Hyperlink"/>
            <w:lang w:val="es-ES"/>
          </w:rPr>
          <w:t>día oficial de Naciones Unidas</w:t>
        </w:r>
      </w:hyperlink>
      <w:r w:rsidRPr="00367CAF">
        <w:rPr>
          <w:lang w:val="es-ES"/>
        </w:rPr>
        <w:t xml:space="preserve">, tiene por objeto instar a que cada vez sean más las niñas y mujeres jóvenes </w:t>
      </w:r>
      <w:r w:rsidRPr="00131CE4">
        <w:rPr>
          <w:lang w:val="es-ES"/>
        </w:rPr>
        <w:t>que</w:t>
      </w:r>
      <w:r w:rsidRPr="00367CAF">
        <w:rPr>
          <w:lang w:val="es-ES"/>
        </w:rPr>
        <w:t xml:space="preserve"> elijan estudios y carreras relacionados con las TIC. En 2020, como consecuencia de la pandemia mundial de COVID-19 sin precedentes, la conmemoración mundial –que inicialmente estaba prevista en Samoa– se transformó en un divertido y estimulante evento virtual, gracias a la colaboración del Gobierno de Samoa. La </w:t>
      </w:r>
      <w:hyperlink r:id="rId31" w:history="1">
        <w:r w:rsidRPr="00367CAF">
          <w:rPr>
            <w:rStyle w:val="Hyperlink"/>
            <w:lang w:val="es-ES"/>
          </w:rPr>
          <w:t>conmemoración de 2020</w:t>
        </w:r>
      </w:hyperlink>
      <w:r w:rsidRPr="00367CAF">
        <w:rPr>
          <w:lang w:val="es-ES"/>
        </w:rPr>
        <w:t xml:space="preserve"> reunió a un gran número de gobiernos, organizaciones de la sociedad </w:t>
      </w:r>
      <w:r w:rsidRPr="00367CAF">
        <w:rPr>
          <w:lang w:val="es-ES"/>
        </w:rPr>
        <w:lastRenderedPageBreak/>
        <w:t>civil, miembros del sector privado e instituciones públicas de todo el mundo en una demostración de la capacidad del poder de la tecnología para cambiar la vida de las personas.</w:t>
      </w:r>
    </w:p>
    <w:p w14:paraId="785608DF" w14:textId="606D0674" w:rsidR="00AB0015" w:rsidRPr="00367CAF" w:rsidRDefault="00AB0015" w:rsidP="00AB0015">
      <w:pPr>
        <w:rPr>
          <w:b/>
          <w:lang w:val="es-ES"/>
        </w:rPr>
      </w:pPr>
      <w:r w:rsidRPr="00B71C92">
        <w:rPr>
          <w:lang w:val="es-ES"/>
        </w:rPr>
        <w:t>El</w:t>
      </w:r>
      <w:r w:rsidRPr="00367CAF">
        <w:rPr>
          <w:lang w:val="es-ES"/>
        </w:rPr>
        <w:t xml:space="preserve"> </w:t>
      </w:r>
      <w:hyperlink r:id="rId32" w:history="1">
        <w:r w:rsidRPr="00367CAF">
          <w:rPr>
            <w:rStyle w:val="Hyperlink"/>
            <w:lang w:val="es-ES"/>
          </w:rPr>
          <w:t>10º aniversario de las Niñas en las TIC</w:t>
        </w:r>
      </w:hyperlink>
      <w:r w:rsidRPr="00367CAF">
        <w:rPr>
          <w:lang w:val="es-ES"/>
        </w:rPr>
        <w:t xml:space="preserve"> se celebrará el 22 de abril de 2021, con el tema </w:t>
      </w:r>
      <w:r>
        <w:rPr>
          <w:lang w:val="es-ES"/>
        </w:rPr>
        <w:t>"</w:t>
      </w:r>
      <w:r w:rsidRPr="00367CAF">
        <w:rPr>
          <w:color w:val="000000"/>
          <w:lang w:val="es-ES"/>
        </w:rPr>
        <w:t>Conectar a las niñas, crear futuros más brillantes</w:t>
      </w:r>
      <w:r>
        <w:rPr>
          <w:lang w:val="es-ES"/>
        </w:rPr>
        <w:t>"</w:t>
      </w:r>
      <w:r w:rsidRPr="00367CAF">
        <w:rPr>
          <w:lang w:val="es-ES"/>
        </w:rPr>
        <w:t xml:space="preserve">. La UIT y sus asociados ofrecerán una serie de eventos virtuales denominada </w:t>
      </w:r>
      <w:r>
        <w:rPr>
          <w:lang w:val="es-ES"/>
        </w:rPr>
        <w:t>"</w:t>
      </w:r>
      <w:r w:rsidRPr="00367CAF">
        <w:rPr>
          <w:lang w:val="es-ES"/>
        </w:rPr>
        <w:t>10 momentos de las Niñas en las TIC</w:t>
      </w:r>
      <w:r>
        <w:rPr>
          <w:lang w:val="es-ES"/>
        </w:rPr>
        <w:t>"</w:t>
      </w:r>
      <w:r w:rsidRPr="00367CAF">
        <w:rPr>
          <w:lang w:val="es-ES"/>
        </w:rPr>
        <w:t xml:space="preserve">, que se ha diseñado con tres objetivos en mente: promover y dar a conocer la importancia de las niñas en </w:t>
      </w:r>
      <w:r w:rsidRPr="00367CAF">
        <w:rPr>
          <w:color w:val="000000"/>
          <w:lang w:val="es-ES"/>
        </w:rPr>
        <w:t>los ámbitos de la ciencia, la tecnología, la ingeniería y las matemáticas (</w:t>
      </w:r>
      <w:r w:rsidR="00131CE4" w:rsidRPr="00131CE4">
        <w:rPr>
          <w:color w:val="000000"/>
          <w:lang w:val="es-ES"/>
        </w:rPr>
        <w:t>CTI</w:t>
      </w:r>
      <w:r w:rsidRPr="00131CE4">
        <w:rPr>
          <w:color w:val="000000"/>
          <w:lang w:val="es-ES"/>
        </w:rPr>
        <w:t>M</w:t>
      </w:r>
      <w:r w:rsidRPr="00367CAF">
        <w:rPr>
          <w:color w:val="000000"/>
          <w:lang w:val="es-ES"/>
        </w:rPr>
        <w:t xml:space="preserve">); implicar a las principales partes interesadas y comunidades; y proporcionar una plataforma inclusiva para analizar los medios más adecuados para animar a las niñas a cursar estudios de </w:t>
      </w:r>
      <w:r w:rsidR="00131CE4" w:rsidRPr="00131CE4">
        <w:rPr>
          <w:color w:val="000000"/>
          <w:lang w:val="es-ES"/>
        </w:rPr>
        <w:t>CTI</w:t>
      </w:r>
      <w:r w:rsidRPr="00131CE4">
        <w:rPr>
          <w:color w:val="000000"/>
          <w:lang w:val="es-ES"/>
        </w:rPr>
        <w:t>M</w:t>
      </w:r>
      <w:r w:rsidRPr="00367CAF">
        <w:rPr>
          <w:lang w:val="es-ES"/>
        </w:rPr>
        <w:t>.</w:t>
      </w:r>
    </w:p>
    <w:bookmarkEnd w:id="16"/>
    <w:p w14:paraId="179F47FA" w14:textId="77777777" w:rsidR="00AB0015" w:rsidRPr="00367CAF" w:rsidRDefault="00AB0015" w:rsidP="00AB0015">
      <w:pPr>
        <w:pStyle w:val="Heading2"/>
        <w:rPr>
          <w:lang w:val="es-ES"/>
        </w:rPr>
      </w:pPr>
      <w:r w:rsidRPr="00B71C92">
        <w:rPr>
          <w:lang w:val="es-ES"/>
        </w:rPr>
        <w:t>3.3</w:t>
      </w:r>
      <w:r w:rsidRPr="00B71C92">
        <w:rPr>
          <w:lang w:val="es-ES"/>
        </w:rPr>
        <w:tab/>
      </w:r>
      <w:r w:rsidRPr="00B71C92">
        <w:t>Iniciativas</w:t>
      </w:r>
      <w:r w:rsidRPr="00B71C92">
        <w:rPr>
          <w:lang w:val="es-ES"/>
        </w:rPr>
        <w:t xml:space="preserve"> "Girls can Code"</w:t>
      </w:r>
    </w:p>
    <w:p w14:paraId="54990A20" w14:textId="2E23491C" w:rsidR="00AB0015" w:rsidRPr="00367CAF" w:rsidRDefault="00AB0015" w:rsidP="00AB0015">
      <w:pPr>
        <w:rPr>
          <w:lang w:val="es-ES"/>
        </w:rPr>
      </w:pPr>
      <w:r w:rsidRPr="00367CAF">
        <w:rPr>
          <w:lang w:val="es-ES"/>
        </w:rPr>
        <w:t xml:space="preserve">Más de 500 niñas participaron en los talleres de codificación como parte de </w:t>
      </w:r>
      <w:hyperlink r:id="rId33" w:history="1">
        <w:r w:rsidRPr="00357B85">
          <w:rPr>
            <w:rStyle w:val="Hyperlink"/>
            <w:lang w:val="fr-CH"/>
          </w:rPr>
          <w:t xml:space="preserve">African Girls </w:t>
        </w:r>
        <w:r w:rsidR="000B2100" w:rsidRPr="00357B85">
          <w:rPr>
            <w:rStyle w:val="Hyperlink"/>
            <w:lang w:val="fr-CH"/>
          </w:rPr>
          <w:t>c</w:t>
        </w:r>
        <w:r w:rsidRPr="00357B85">
          <w:rPr>
            <w:rStyle w:val="Hyperlink"/>
            <w:lang w:val="fr-CH"/>
          </w:rPr>
          <w:t>an Code</w:t>
        </w:r>
      </w:hyperlink>
      <w:r w:rsidRPr="00367CAF">
        <w:rPr>
          <w:lang w:val="es-ES"/>
        </w:rPr>
        <w:t>, iniciativa de la UIT, la Unión Africana y ONU-Mujeres que cuenta con el respaldo financiero de la</w:t>
      </w:r>
      <w:r w:rsidR="00B71C92">
        <w:rPr>
          <w:lang w:val="es-ES"/>
        </w:rPr>
        <w:t> </w:t>
      </w:r>
      <w:r w:rsidRPr="00367CAF">
        <w:rPr>
          <w:lang w:val="es-ES"/>
        </w:rPr>
        <w:t xml:space="preserve">UIT y la Embajada de Dinamarca en Etiopía. La iniciativa </w:t>
      </w:r>
      <w:hyperlink r:id="rId34">
        <w:proofErr w:type="spellStart"/>
        <w:r w:rsidRPr="00357B85">
          <w:rPr>
            <w:rStyle w:val="Hyperlink"/>
            <w:lang w:val="fr-CH"/>
          </w:rPr>
          <w:t>Americas</w:t>
        </w:r>
        <w:proofErr w:type="spellEnd"/>
        <w:r w:rsidRPr="00357B85">
          <w:rPr>
            <w:rStyle w:val="Hyperlink"/>
            <w:lang w:val="fr-CH"/>
          </w:rPr>
          <w:t xml:space="preserve"> Girls </w:t>
        </w:r>
        <w:r w:rsidR="000B2100" w:rsidRPr="00357B85">
          <w:rPr>
            <w:rStyle w:val="Hyperlink"/>
            <w:lang w:val="fr-CH"/>
          </w:rPr>
          <w:t>c</w:t>
        </w:r>
        <w:r w:rsidRPr="00357B85">
          <w:rPr>
            <w:rStyle w:val="Hyperlink"/>
            <w:lang w:val="fr-CH"/>
          </w:rPr>
          <w:t>an Code</w:t>
        </w:r>
      </w:hyperlink>
      <w:r w:rsidRPr="00367CAF">
        <w:rPr>
          <w:lang w:val="es-ES"/>
        </w:rPr>
        <w:t xml:space="preserve"> ha enseñado a codificar a más de 7 000 niñas gracias a una serie de talleres organizados con el apoyo de muchos asociados diferentes.</w:t>
      </w:r>
    </w:p>
    <w:p w14:paraId="0E265255" w14:textId="5A64FE57" w:rsidR="00AB0015" w:rsidRPr="00367CAF" w:rsidRDefault="00AB0015" w:rsidP="00AB0015">
      <w:pPr>
        <w:pStyle w:val="Heading2"/>
        <w:rPr>
          <w:lang w:val="es-ES"/>
        </w:rPr>
      </w:pPr>
      <w:r w:rsidRPr="00435441">
        <w:rPr>
          <w:lang w:val="es-ES"/>
        </w:rPr>
        <w:t>3.4</w:t>
      </w:r>
      <w:r w:rsidRPr="00435441">
        <w:rPr>
          <w:lang w:val="es-ES"/>
        </w:rPr>
        <w:tab/>
        <w:t xml:space="preserve">EQUALS: </w:t>
      </w:r>
      <w:r w:rsidR="00B71C92" w:rsidRPr="00435441">
        <w:rPr>
          <w:lang w:val="es-ES"/>
        </w:rPr>
        <w:t>l</w:t>
      </w:r>
      <w:r w:rsidRPr="00435441">
        <w:rPr>
          <w:lang w:val="es-ES"/>
        </w:rPr>
        <w:t xml:space="preserve">a </w:t>
      </w:r>
      <w:r w:rsidR="00435441">
        <w:rPr>
          <w:lang w:val="es-ES"/>
        </w:rPr>
        <w:t>a</w:t>
      </w:r>
      <w:r w:rsidRPr="00435441">
        <w:rPr>
          <w:lang w:val="es-ES"/>
        </w:rPr>
        <w:t>lianza mundial para reducir la brecha digital de género</w:t>
      </w:r>
    </w:p>
    <w:p w14:paraId="6F313F26" w14:textId="5831B397" w:rsidR="00AB0015" w:rsidRPr="00367CAF" w:rsidRDefault="00AB0015" w:rsidP="00AB0015">
      <w:pPr>
        <w:rPr>
          <w:lang w:val="es-ES"/>
        </w:rPr>
      </w:pPr>
      <w:r w:rsidRPr="00367CAF">
        <w:rPr>
          <w:lang w:val="es-ES"/>
        </w:rPr>
        <w:t xml:space="preserve">Como cofundadora de la iniciativa </w:t>
      </w:r>
      <w:hyperlink r:id="rId35" w:history="1">
        <w:r w:rsidRPr="00367CAF">
          <w:rPr>
            <w:rStyle w:val="Hyperlink"/>
            <w:lang w:val="es-ES"/>
          </w:rPr>
          <w:t>EQUALS</w:t>
        </w:r>
      </w:hyperlink>
      <w:r w:rsidRPr="00367CAF">
        <w:rPr>
          <w:lang w:val="es-ES"/>
        </w:rPr>
        <w:t xml:space="preserve"> en 2016, la UIT se ha esforzado para garantizar, en colaboración con otros miembros, que las mujeres pueden acceder a las TIC, cuentan con competencias digitales y crean liderazgo. EQUALS es una cooperación de más de 100 asociados en 115</w:t>
      </w:r>
      <w:r w:rsidR="00080A97">
        <w:rPr>
          <w:lang w:val="es-ES"/>
        </w:rPr>
        <w:t> </w:t>
      </w:r>
      <w:r w:rsidRPr="00367CAF">
        <w:rPr>
          <w:lang w:val="es-ES"/>
        </w:rPr>
        <w:t>países. Gracias a esta asociación, más de 52 000 mujeres y niñas han recibido formación y mentoría sobre competencias digitales y se han estudiado 146 proyectos de investigación para luchar contra la brecha digital e identificar las zonas que carecen de acceso regular a Internet y a las tecnologías digitales. Las iniciativas lideradas por la UIT a través de EQUALS y las oficinas regionales son posibles gracias a los conocimientos especializados y la colaboración de asociados gubernamentales y del sector privado.</w:t>
      </w:r>
    </w:p>
    <w:p w14:paraId="4F507E74" w14:textId="77777777" w:rsidR="00AB0015" w:rsidRPr="00367CAF" w:rsidRDefault="00AB0015" w:rsidP="00AB0015">
      <w:pPr>
        <w:rPr>
          <w:lang w:val="es-ES"/>
        </w:rPr>
      </w:pPr>
      <w:r w:rsidRPr="00435441">
        <w:rPr>
          <w:lang w:val="es-ES"/>
        </w:rPr>
        <w:t>La</w:t>
      </w:r>
      <w:r w:rsidRPr="00367CAF">
        <w:rPr>
          <w:lang w:val="es-ES"/>
        </w:rPr>
        <w:t xml:space="preserve"> UIT y UNICEF publicaron en 2020 el informe </w:t>
      </w:r>
      <w:bookmarkStart w:id="17" w:name="_Hlk59881608"/>
      <w:r w:rsidRPr="00131CE4">
        <w:rPr>
          <w:lang w:val="es-ES"/>
        </w:rPr>
        <w:fldChar w:fldCharType="begin"/>
      </w:r>
      <w:r w:rsidRPr="00131CE4">
        <w:rPr>
          <w:lang w:val="es-ES"/>
        </w:rPr>
        <w:instrText>HYPERLINK "https://2b37021f-0f4a-4640-8352-0a3c1b7c2aab.filesusr.com/ugd/04bfff_d6ffe9bee8b24d7a814805d0f8c99db8.pdf"</w:instrText>
      </w:r>
      <w:r w:rsidRPr="00131CE4">
        <w:rPr>
          <w:lang w:val="es-ES"/>
        </w:rPr>
        <w:fldChar w:fldCharType="separate"/>
      </w:r>
      <w:r w:rsidRPr="00131CE4">
        <w:rPr>
          <w:rStyle w:val="Hyperlink"/>
          <w:i/>
          <w:lang w:val="es-ES"/>
        </w:rPr>
        <w:t>Hacia un futuro igualitario: Replanteando la educación de las niñas mediante las CTIM</w:t>
      </w:r>
      <w:r w:rsidRPr="00131CE4">
        <w:rPr>
          <w:lang w:val="es-ES"/>
        </w:rPr>
        <w:fldChar w:fldCharType="end"/>
      </w:r>
      <w:bookmarkEnd w:id="17"/>
      <w:r w:rsidRPr="00367CAF">
        <w:rPr>
          <w:lang w:val="es-ES"/>
        </w:rPr>
        <w:t xml:space="preserve"> como contribución a la Alianza Mundial EQUALS. Este informe pretende llamar la atención sobre el potencial de la educación en </w:t>
      </w:r>
      <w:r w:rsidRPr="00131CE4">
        <w:rPr>
          <w:lang w:val="es-ES"/>
        </w:rPr>
        <w:t>CTIM</w:t>
      </w:r>
      <w:r w:rsidRPr="00367CAF">
        <w:rPr>
          <w:lang w:val="es-ES"/>
        </w:rPr>
        <w:t xml:space="preserve"> para transformar las normas de género en el sistema educativo, mejorar las oportunidades que tienen las niñas de disfrutar de un aprendizaje de calidad y destacar las medidas clave que pueden acelerar la transición de las niñas de su educación a puestos de trabajo para expertos técnicos en las industrias de </w:t>
      </w:r>
      <w:r w:rsidRPr="00131CE4">
        <w:rPr>
          <w:lang w:val="es-ES"/>
        </w:rPr>
        <w:t>CTIM</w:t>
      </w:r>
      <w:r w:rsidRPr="00367CAF">
        <w:rPr>
          <w:lang w:val="es-ES"/>
        </w:rPr>
        <w:t>.</w:t>
      </w:r>
    </w:p>
    <w:p w14:paraId="5E100679" w14:textId="77777777" w:rsidR="00AB0015" w:rsidRPr="00367CAF" w:rsidRDefault="00AB0015" w:rsidP="00AB0015">
      <w:pPr>
        <w:rPr>
          <w:lang w:val="es-ES"/>
        </w:rPr>
      </w:pPr>
      <w:r w:rsidRPr="00367CAF">
        <w:rPr>
          <w:lang w:val="es-ES"/>
        </w:rPr>
        <w:t>La UIT lleva tiempo trabajando en la protección de la infancia en línea con miras a preparar una formación sobre seguridad en línea para las niñas. El módulo sobre seguridad se incluirá en los talleres para niñas impartidos en colaboración con la GSMA en 12 países.</w:t>
      </w:r>
    </w:p>
    <w:p w14:paraId="27D54419" w14:textId="77777777" w:rsidR="00AB0015" w:rsidRPr="00367CAF" w:rsidRDefault="00AB0015" w:rsidP="00AB0015">
      <w:pPr>
        <w:rPr>
          <w:lang w:val="es-ES"/>
        </w:rPr>
      </w:pPr>
      <w:r w:rsidRPr="00435441">
        <w:rPr>
          <w:lang w:val="es-ES"/>
        </w:rPr>
        <w:t>El</w:t>
      </w:r>
      <w:r w:rsidRPr="00367CAF">
        <w:rPr>
          <w:lang w:val="es-ES"/>
        </w:rPr>
        <w:t xml:space="preserve"> 8 de marzo de 2021, la UIT, EQUALS y FIRST lanzaron el </w:t>
      </w:r>
      <w:hyperlink r:id="rId36" w:history="1">
        <w:r w:rsidRPr="00367CAF">
          <w:rPr>
            <w:rStyle w:val="Hyperlink"/>
            <w:lang w:val="es-ES"/>
          </w:rPr>
          <w:t>Programa de tutorías sobre ciberseguridad para mujeres</w:t>
        </w:r>
      </w:hyperlink>
      <w:r w:rsidRPr="00367CAF">
        <w:rPr>
          <w:lang w:val="es-ES"/>
        </w:rPr>
        <w:t>, que incluirá círculos de tutoría mensuales moderados y actividades de apoyo, como una serie de conferencias inspiradoras y formaciones en competencias técnicas y genéricas. Su objetivo es cambiar la mentalidad y eliminar los obstáculos sistémicos que impiden que la inclusión sea mayor, animar a las mujeres a asumir funciones de liderazgo en ciberseguridad y fomentar el intercambio de conocimientos sobre mejores prácticas profesionales.</w:t>
      </w:r>
    </w:p>
    <w:p w14:paraId="3BA23B63" w14:textId="1DE0EC48" w:rsidR="00AB0015" w:rsidRPr="00367CAF" w:rsidRDefault="00AB0015" w:rsidP="00AB0015">
      <w:pPr>
        <w:rPr>
          <w:lang w:val="es-ES"/>
        </w:rPr>
      </w:pPr>
      <w:r w:rsidRPr="00435441">
        <w:rPr>
          <w:lang w:val="es-ES"/>
        </w:rPr>
        <w:lastRenderedPageBreak/>
        <w:t>También</w:t>
      </w:r>
      <w:r w:rsidRPr="00367CAF">
        <w:rPr>
          <w:lang w:val="es-ES"/>
        </w:rPr>
        <w:t xml:space="preserve"> el 8 de marzo de 2021, la UIT y CISC</w:t>
      </w:r>
      <w:r>
        <w:rPr>
          <w:lang w:val="es-ES"/>
        </w:rPr>
        <w:t>O</w:t>
      </w:r>
      <w:r w:rsidRPr="00367CAF">
        <w:rPr>
          <w:lang w:val="es-ES"/>
        </w:rPr>
        <w:t xml:space="preserve"> lanzaron el </w:t>
      </w:r>
      <w:hyperlink r:id="rId37" w:history="1">
        <w:r w:rsidRPr="00367CAF">
          <w:rPr>
            <w:rStyle w:val="Hyperlink"/>
            <w:lang w:val="es-ES"/>
          </w:rPr>
          <w:t>espacio de aprendizaje CISCO EQUALS</w:t>
        </w:r>
      </w:hyperlink>
      <w:r w:rsidRPr="00367CAF">
        <w:rPr>
          <w:lang w:val="es-ES"/>
        </w:rPr>
        <w:t xml:space="preserve"> con el objetivo de proporcionar cursos en línea para crear competencias técnicas que ofrezcan a las mujeres y las niñas formación gratuita sobre temas específicos, como ciberseguridad, espíritu empresarial y la Internet de las </w:t>
      </w:r>
      <w:r w:rsidR="00435441">
        <w:rPr>
          <w:lang w:val="es-ES"/>
        </w:rPr>
        <w:t>c</w:t>
      </w:r>
      <w:r w:rsidRPr="00367CAF">
        <w:rPr>
          <w:lang w:val="es-ES"/>
        </w:rPr>
        <w:t>osas. Los cursos son autogestionados e integran sesiones en directo de expertos de la red EQUALS.</w:t>
      </w:r>
    </w:p>
    <w:p w14:paraId="59CD29AB" w14:textId="2AFFF885" w:rsidR="00AB0015" w:rsidRPr="00367CAF" w:rsidRDefault="00AB0015" w:rsidP="00AB0015">
      <w:pPr>
        <w:rPr>
          <w:rFonts w:asciiTheme="minorHAnsi" w:hAnsiTheme="minorHAnsi" w:cstheme="minorHAnsi"/>
          <w:lang w:val="es-ES"/>
        </w:rPr>
      </w:pPr>
      <w:r w:rsidRPr="008A3120">
        <w:rPr>
          <w:lang w:val="es-ES"/>
        </w:rPr>
        <w:t>Además</w:t>
      </w:r>
      <w:r w:rsidRPr="00367CAF">
        <w:rPr>
          <w:lang w:val="es-ES"/>
        </w:rPr>
        <w:t xml:space="preserve">, en marzo de 2021, en el contexto de la sesión especial sobre </w:t>
      </w:r>
      <w:hyperlink r:id="rId38" w:history="1">
        <w:r w:rsidRPr="00367CAF">
          <w:rPr>
            <w:rStyle w:val="Hyperlink"/>
            <w:rFonts w:asciiTheme="minorHAnsi" w:hAnsiTheme="minorHAnsi" w:cstheme="minorHAnsi"/>
            <w:lang w:val="es-ES"/>
          </w:rPr>
          <w:t>empoderamiento digital generacional en pos de la igualdad después de la COVID-19</w:t>
        </w:r>
      </w:hyperlink>
      <w:r w:rsidRPr="00367CAF">
        <w:rPr>
          <w:lang w:val="es-ES"/>
        </w:rPr>
        <w:t>, la Oficina de la UIT para Europa presentó el informe de la UIT y ONU-Mujeres sobre los desafíos y las oportunidades más importantes para empoderar a las mujeres y las niñas a través de las TIC</w:t>
      </w:r>
      <w:r w:rsidRPr="00367CAF">
        <w:rPr>
          <w:rFonts w:asciiTheme="minorHAnsi" w:hAnsiTheme="minorHAnsi" w:cstheme="minorHAnsi"/>
          <w:lang w:val="es-ES"/>
        </w:rPr>
        <w:t>.</w:t>
      </w:r>
    </w:p>
    <w:p w14:paraId="2EC463C2" w14:textId="78923DD0" w:rsidR="00AB0015" w:rsidRPr="00367CAF" w:rsidRDefault="00AB0015" w:rsidP="00AB0015">
      <w:pPr>
        <w:rPr>
          <w:lang w:val="es-ES"/>
        </w:rPr>
      </w:pPr>
      <w:r w:rsidRPr="00367CAF">
        <w:rPr>
          <w:lang w:val="es-ES"/>
        </w:rPr>
        <w:t xml:space="preserve">Los países de América Latina pudieron disfrutar de dos ediciones del curso de formación en línea sobre </w:t>
      </w:r>
      <w:hyperlink r:id="rId39" w:history="1">
        <w:r w:rsidRPr="00367CAF">
          <w:rPr>
            <w:rStyle w:val="Hyperlink"/>
            <w:lang w:val="es-ES"/>
          </w:rPr>
          <w:t>liderazgo femenino en el sector de las telecomunicaciones y las TIC</w:t>
        </w:r>
      </w:hyperlink>
      <w:r w:rsidRPr="00367CAF">
        <w:rPr>
          <w:lang w:val="es-ES"/>
        </w:rPr>
        <w:t xml:space="preserve">, organizado en coordinación con la Alianza Mundial EQUALS. A estos </w:t>
      </w:r>
      <w:r w:rsidRPr="008A3120">
        <w:rPr>
          <w:lang w:val="es-ES"/>
        </w:rPr>
        <w:t>cursos</w:t>
      </w:r>
      <w:r w:rsidRPr="00367CAF">
        <w:rPr>
          <w:lang w:val="es-ES"/>
        </w:rPr>
        <w:t xml:space="preserve"> asistieron cerca de 100 participantes.</w:t>
      </w:r>
    </w:p>
    <w:p w14:paraId="3F33CCC3" w14:textId="77777777" w:rsidR="00AB0015" w:rsidRPr="00EB3121" w:rsidRDefault="00AB0015" w:rsidP="00AB0015">
      <w:pPr>
        <w:pStyle w:val="Heading2"/>
        <w:rPr>
          <w:lang w:val="es-ES"/>
        </w:rPr>
      </w:pPr>
      <w:r w:rsidRPr="008A3120">
        <w:rPr>
          <w:lang w:val="es-ES"/>
        </w:rPr>
        <w:t>3.5</w:t>
      </w:r>
      <w:r w:rsidRPr="008A3120">
        <w:rPr>
          <w:lang w:val="es-ES"/>
        </w:rPr>
        <w:tab/>
        <w:t xml:space="preserve">Premios </w:t>
      </w:r>
      <w:r w:rsidRPr="00357B85">
        <w:rPr>
          <w:lang w:val="fr-CH"/>
        </w:rPr>
        <w:t>EQUALS in Tech</w:t>
      </w:r>
    </w:p>
    <w:p w14:paraId="41433306" w14:textId="6591A24F" w:rsidR="00AB0015" w:rsidRPr="00367CAF" w:rsidRDefault="00AB0015" w:rsidP="00AB0015">
      <w:pPr>
        <w:rPr>
          <w:lang w:val="es-ES"/>
        </w:rPr>
      </w:pPr>
      <w:r w:rsidRPr="00367CAF">
        <w:rPr>
          <w:lang w:val="es-ES"/>
        </w:rPr>
        <w:t xml:space="preserve">Los </w:t>
      </w:r>
      <w:hyperlink r:id="rId40" w:history="1">
        <w:r w:rsidRPr="00367CAF">
          <w:rPr>
            <w:rStyle w:val="Hyperlink"/>
            <w:lang w:val="es-ES"/>
          </w:rPr>
          <w:t xml:space="preserve">premios </w:t>
        </w:r>
        <w:r w:rsidRPr="00357B85">
          <w:rPr>
            <w:rStyle w:val="Hyperlink"/>
            <w:lang w:val="fr-CH"/>
          </w:rPr>
          <w:t>EQUALS in Tech</w:t>
        </w:r>
      </w:hyperlink>
      <w:r w:rsidRPr="00367CAF">
        <w:rPr>
          <w:lang w:val="es-ES"/>
        </w:rPr>
        <w:t xml:space="preserve">, auspiciados por la Alianza Mundial </w:t>
      </w:r>
      <w:r w:rsidR="00602566" w:rsidRPr="00367CAF">
        <w:rPr>
          <w:lang w:val="es-ES"/>
        </w:rPr>
        <w:t>EQUALS</w:t>
      </w:r>
      <w:r w:rsidRPr="00367CAF">
        <w:rPr>
          <w:lang w:val="es-ES"/>
        </w:rPr>
        <w:t xml:space="preserve">, se otorgan en reconocimiento de soluciones innovadoras encaminadas a cerrar la brecha de género digital. A la edición de 2020 de los premios </w:t>
      </w:r>
      <w:r w:rsidRPr="00357B85">
        <w:rPr>
          <w:lang w:val="fr-CH"/>
        </w:rPr>
        <w:t>EQUALS in Tech</w:t>
      </w:r>
      <w:r w:rsidRPr="00367CAF">
        <w:rPr>
          <w:lang w:val="es-ES"/>
        </w:rPr>
        <w:t xml:space="preserve"> se presentaron más de 340 candidaturas de 70</w:t>
      </w:r>
      <w:r w:rsidR="008A3120">
        <w:rPr>
          <w:lang w:val="es-ES"/>
        </w:rPr>
        <w:t> </w:t>
      </w:r>
      <w:r w:rsidRPr="00367CAF">
        <w:rPr>
          <w:lang w:val="es-ES"/>
        </w:rPr>
        <w:t>países en representación del sector privado, la sociedad civil y el mundo académico. La ceremonia de entrega de premios se celebró con formato virtual el 6 de noviembre de 2020, en el marco del Foro de Gobernanza de Internet.</w:t>
      </w:r>
    </w:p>
    <w:p w14:paraId="4A095362" w14:textId="77777777" w:rsidR="00AB0015" w:rsidRPr="00EB3121" w:rsidRDefault="00AB0015" w:rsidP="00AB0015">
      <w:pPr>
        <w:pStyle w:val="Heading2"/>
        <w:rPr>
          <w:lang w:val="es-ES"/>
        </w:rPr>
      </w:pPr>
      <w:r w:rsidRPr="008A3120">
        <w:rPr>
          <w:lang w:val="es-ES"/>
        </w:rPr>
        <w:t>3.6</w:t>
      </w:r>
      <w:r w:rsidRPr="008A3120">
        <w:rPr>
          <w:lang w:val="es-ES"/>
        </w:rPr>
        <w:tab/>
        <w:t>Mejora del ecosistema digital y fomento de las aptitudes digitales de la mujer en los países menos adelantados (PMA)</w:t>
      </w:r>
    </w:p>
    <w:p w14:paraId="62D0A726" w14:textId="77777777" w:rsidR="00AB0015" w:rsidRPr="00367CAF" w:rsidRDefault="00AB0015" w:rsidP="00AB0015">
      <w:pPr>
        <w:rPr>
          <w:lang w:val="es-ES"/>
        </w:rPr>
      </w:pPr>
      <w:r w:rsidRPr="00367CAF">
        <w:rPr>
          <w:lang w:val="es-ES"/>
        </w:rPr>
        <w:t xml:space="preserve">En asociación con el Marco Integrado Mejorado (MIM) y la UNOPS, la UIT puso en marcha en septiembre de 2020 un proyecto de cooperación para mejorar el ecosistema digital y fomentar las aptitudes digitales de la mujer en los países menos adelantados (PMA). Este proyecto beneficiará a las mujeres de Burundi, Etiopía y Haití gracias a la creación de capacidad en materia de políticas, por lo que aumentará la capacidad gubernamental para integrar la perspectiva de género y las TIC, y a la ampliación de los horizontes de las emprendedoras mediante la utilización de la tecnología en sectores como el textil y la confección, así como en las cadenas de valor del café y el cacao. Se puede obtener información adicional </w:t>
      </w:r>
      <w:hyperlink r:id="rId41" w:history="1">
        <w:r w:rsidRPr="00367CAF">
          <w:rPr>
            <w:rStyle w:val="Hyperlink"/>
            <w:lang w:val="es-ES"/>
          </w:rPr>
          <w:t>aquí</w:t>
        </w:r>
      </w:hyperlink>
      <w:r w:rsidRPr="00367CAF">
        <w:rPr>
          <w:lang w:val="es-ES"/>
        </w:rPr>
        <w:t>.</w:t>
      </w:r>
    </w:p>
    <w:p w14:paraId="79A940C1" w14:textId="77777777" w:rsidR="00AB0015" w:rsidRPr="00367CAF" w:rsidRDefault="00AB0015" w:rsidP="00AB0015">
      <w:pPr>
        <w:pStyle w:val="Heading2"/>
        <w:rPr>
          <w:lang w:val="es-ES"/>
        </w:rPr>
      </w:pPr>
      <w:r w:rsidRPr="008A3120">
        <w:rPr>
          <w:lang w:val="es-ES"/>
        </w:rPr>
        <w:t>3.7</w:t>
      </w:r>
      <w:r w:rsidRPr="008A3120">
        <w:rPr>
          <w:lang w:val="es-ES"/>
        </w:rPr>
        <w:tab/>
        <w:t>Las mujeres en la gestión del riesgo de catástrofes</w:t>
      </w:r>
    </w:p>
    <w:p w14:paraId="6D263827" w14:textId="21FB0FF5" w:rsidR="00AB0015" w:rsidRPr="00367CAF" w:rsidRDefault="00AB0015" w:rsidP="00AB0015">
      <w:pPr>
        <w:rPr>
          <w:rFonts w:eastAsia="Calibri" w:cs="Calibri"/>
          <w:szCs w:val="24"/>
          <w:lang w:val="es-ES"/>
        </w:rPr>
      </w:pPr>
      <w:r w:rsidRPr="00367CAF">
        <w:rPr>
          <w:bCs/>
          <w:szCs w:val="24"/>
          <w:lang w:val="es-ES"/>
        </w:rPr>
        <w:t xml:space="preserve">En 2020, la UIT publicó un informe conjunto con el </w:t>
      </w:r>
      <w:r w:rsidRPr="00367CAF">
        <w:rPr>
          <w:color w:val="000000"/>
          <w:lang w:val="es-ES"/>
        </w:rPr>
        <w:t>Consorcio de telecomunicaciones en situaciones de Emergencia (ETC) sobre</w:t>
      </w:r>
      <w:r w:rsidRPr="00367CAF">
        <w:rPr>
          <w:bCs/>
          <w:szCs w:val="24"/>
          <w:lang w:val="es-ES"/>
        </w:rPr>
        <w:t xml:space="preserve"> </w:t>
      </w:r>
      <w:hyperlink r:id="rId42" w:history="1">
        <w:r w:rsidRPr="00367CAF">
          <w:rPr>
            <w:rStyle w:val="Hyperlink"/>
            <w:bCs/>
            <w:szCs w:val="24"/>
            <w:lang w:val="es-ES"/>
          </w:rPr>
          <w:t>las mujeres, las TIC y las telecomunicaciones de emergencia</w:t>
        </w:r>
      </w:hyperlink>
      <w:r w:rsidRPr="00367CAF">
        <w:rPr>
          <w:bCs/>
          <w:szCs w:val="24"/>
          <w:lang w:val="es-ES"/>
        </w:rPr>
        <w:t xml:space="preserve">, en el que se expone que, tras una catástrofe, las mujeres son más vulnerables que los hombres y tienen más probabilidades que ellos de morir </w:t>
      </w:r>
      <w:r>
        <w:rPr>
          <w:bCs/>
          <w:szCs w:val="24"/>
          <w:lang w:val="es-ES"/>
        </w:rPr>
        <w:t>–</w:t>
      </w:r>
      <w:r w:rsidRPr="00367CAF">
        <w:rPr>
          <w:bCs/>
          <w:szCs w:val="24"/>
          <w:lang w:val="es-ES"/>
        </w:rPr>
        <w:t>incluso la pandemia de COVID-19 está poniendo de relieve las devastadores consecuencias sociales y económicas para las mujeres y las niñas</w:t>
      </w:r>
      <w:r>
        <w:rPr>
          <w:bCs/>
          <w:szCs w:val="24"/>
          <w:lang w:val="es-ES"/>
        </w:rPr>
        <w:t>–</w:t>
      </w:r>
      <w:r w:rsidRPr="00367CAF">
        <w:rPr>
          <w:bCs/>
          <w:szCs w:val="24"/>
          <w:lang w:val="es-ES"/>
        </w:rPr>
        <w:t xml:space="preserve"> y que, al mismo tiempo, las mujeres son asociados clave para crear resiliencia ante las catástrofes. En el informe se destaca la importancia de promover la igualdad de género en la gestión del riesgo de catástrofes y aprovechar las TIC adecuadas para cada contexto, ya que son cruciales para transmitir información esencial oportuna a las comunidades más vulnerables, tanto antes y después de una catástrofe como en el momento en que se está produciendo.</w:t>
      </w:r>
    </w:p>
    <w:p w14:paraId="6E451CBD" w14:textId="77777777" w:rsidR="00AB0015" w:rsidRPr="00367CAF" w:rsidRDefault="00AB0015" w:rsidP="00AB0015">
      <w:pPr>
        <w:pStyle w:val="Heading2"/>
        <w:rPr>
          <w:lang w:val="es-ES"/>
        </w:rPr>
      </w:pPr>
      <w:r w:rsidRPr="008E2382">
        <w:rPr>
          <w:lang w:val="es-ES"/>
        </w:rPr>
        <w:lastRenderedPageBreak/>
        <w:t>3.8</w:t>
      </w:r>
      <w:r w:rsidRPr="008E2382">
        <w:rPr>
          <w:lang w:val="es-ES"/>
        </w:rPr>
        <w:tab/>
        <w:t>Actividades pendientes de la Oficina de la UIT de enlace en Nueva York</w:t>
      </w:r>
    </w:p>
    <w:p w14:paraId="6C6C6024" w14:textId="77777777" w:rsidR="00AB0015" w:rsidRPr="00367CAF" w:rsidRDefault="00AB0015" w:rsidP="00AB0015">
      <w:pPr>
        <w:rPr>
          <w:lang w:val="es-ES"/>
        </w:rPr>
      </w:pPr>
      <w:r w:rsidRPr="00367CAF">
        <w:rPr>
          <w:lang w:val="es-ES"/>
        </w:rPr>
        <w:t xml:space="preserve">La oficina de enlace de la UIT en Naciones Unidas en Nueva York también participa activamente en las actividades de comunicaciones y de creación de alianzas para contribuir a la aplicación de la Resolución 70. Entre las actividades cabe citar la promoción de las iniciativas de la UIT en las Naciones Unidas y otros eventos externos. La UIT, el Centro Internacional de Cálculos Electrónicos de las Naciones Unidas (CICE) y la Oficina del Enviado del Secretario General de las Naciones Unidas para la Juventud han colaborado en la iniciativa </w:t>
      </w:r>
      <w:proofErr w:type="spellStart"/>
      <w:r w:rsidRPr="00357B85">
        <w:rPr>
          <w:lang w:val="es-ES"/>
        </w:rPr>
        <w:t>Talking</w:t>
      </w:r>
      <w:proofErr w:type="spellEnd"/>
      <w:r w:rsidRPr="00357B85">
        <w:rPr>
          <w:lang w:val="es-ES"/>
        </w:rPr>
        <w:t xml:space="preserve"> Tech: </w:t>
      </w:r>
      <w:proofErr w:type="spellStart"/>
      <w:r w:rsidRPr="00357B85">
        <w:rPr>
          <w:lang w:val="es-ES"/>
        </w:rPr>
        <w:t>Girls</w:t>
      </w:r>
      <w:proofErr w:type="spellEnd"/>
      <w:r w:rsidRPr="00357B85">
        <w:rPr>
          <w:lang w:val="es-ES"/>
        </w:rPr>
        <w:t xml:space="preserve"> and </w:t>
      </w:r>
      <w:proofErr w:type="spellStart"/>
      <w:r w:rsidRPr="00357B85">
        <w:rPr>
          <w:lang w:val="es-ES"/>
        </w:rPr>
        <w:t>Women</w:t>
      </w:r>
      <w:proofErr w:type="spellEnd"/>
      <w:r w:rsidRPr="00357B85">
        <w:rPr>
          <w:lang w:val="es-ES"/>
        </w:rPr>
        <w:t xml:space="preserve"> in ICT</w:t>
      </w:r>
      <w:r w:rsidRPr="00367CAF">
        <w:rPr>
          <w:lang w:val="es-ES"/>
        </w:rPr>
        <w:t xml:space="preserve"> sobre género y tecnología, que promueve los estudios y las profesiones relacionadas con las TIC entre las mujeres y las niñas a través de entrevistas individuales intergeneracionales grabadas en línea y difundidas por las redes sociales. Se empareja a las niñas de más edad y las mujeres jóvenes del ámbito tecnológico con mujeres líderes en ese campo para hablar sobre diferentes temas, por ejemplo, qué les gusta de la tecnología, sus trabajos, sus trayectorias y aspiraciones profesionales, las lecciones aprendidas y los consejos para niñas y jóvenes. Las mujeres proceden de todos los sectores y de una amplia variedad de empleos y geografías. Hasta el momento, se ha emparejado a más de 100 mujeres para realizar entrevistas. La oficina de la UIT en Nueva York también copreside el grupo de trabajo sobre cuestiones de género del equipo de tareas interinstitucional de Naciones Unidas sobre ciencia, tecnología e innovación.</w:t>
      </w:r>
    </w:p>
    <w:p w14:paraId="14B12B0F" w14:textId="6D01CA5A" w:rsidR="00AB0015" w:rsidRPr="00E66776" w:rsidRDefault="00AB0015" w:rsidP="00AB0015">
      <w:pPr>
        <w:pStyle w:val="Heading1"/>
        <w:rPr>
          <w:rFonts w:eastAsia="SimSun"/>
        </w:rPr>
      </w:pPr>
      <w:r w:rsidRPr="008E2382">
        <w:t>4</w:t>
      </w:r>
      <w:r w:rsidRPr="008E2382">
        <w:tab/>
        <w:t>Reforzar la participación de la mujer en las conferencias y reuniones de la UIT</w:t>
      </w:r>
    </w:p>
    <w:p w14:paraId="6BCD9A2A" w14:textId="77777777" w:rsidR="00AB0015" w:rsidRPr="00367CAF" w:rsidRDefault="00AB0015" w:rsidP="00AB0015">
      <w:pPr>
        <w:pStyle w:val="Heading2"/>
        <w:rPr>
          <w:lang w:val="es-ES"/>
        </w:rPr>
      </w:pPr>
      <w:r w:rsidRPr="00367CAF">
        <w:rPr>
          <w:lang w:val="es-ES"/>
        </w:rPr>
        <w:t>4.1</w:t>
      </w:r>
      <w:r w:rsidRPr="00367CAF">
        <w:rPr>
          <w:lang w:val="es-ES"/>
        </w:rPr>
        <w:tab/>
        <w:t>Igualdad de género en las delegaciones y las conferencias</w:t>
      </w:r>
    </w:p>
    <w:p w14:paraId="49A0348B" w14:textId="77777777" w:rsidR="00AB0015" w:rsidRPr="00367CAF" w:rsidRDefault="00AB0015" w:rsidP="00AB0015">
      <w:pPr>
        <w:rPr>
          <w:lang w:val="es-ES"/>
        </w:rPr>
      </w:pPr>
      <w:r w:rsidRPr="00367CAF">
        <w:rPr>
          <w:lang w:val="es-ES"/>
        </w:rPr>
        <w:t xml:space="preserve">De resultas de la colaboración de la UIT en la publicación </w:t>
      </w:r>
      <w:r>
        <w:rPr>
          <w:lang w:val="es-ES"/>
        </w:rPr>
        <w:t>"</w:t>
      </w:r>
      <w:hyperlink r:id="rId43" w:history="1">
        <w:proofErr w:type="spellStart"/>
        <w:r w:rsidRPr="00357B85">
          <w:rPr>
            <w:rStyle w:val="Hyperlink"/>
            <w:szCs w:val="24"/>
            <w:lang w:val="fr-CH"/>
          </w:rPr>
          <w:t>Shaping</w:t>
        </w:r>
        <w:proofErr w:type="spellEnd"/>
        <w:r w:rsidRPr="00357B85">
          <w:rPr>
            <w:rStyle w:val="Hyperlink"/>
            <w:szCs w:val="24"/>
            <w:lang w:val="fr-CH"/>
          </w:rPr>
          <w:t xml:space="preserve"> the international agenda: </w:t>
        </w:r>
        <w:proofErr w:type="spellStart"/>
        <w:r w:rsidRPr="00357B85">
          <w:rPr>
            <w:rStyle w:val="Hyperlink"/>
            <w:szCs w:val="24"/>
            <w:lang w:val="fr-CH"/>
          </w:rPr>
          <w:t>Raising</w:t>
        </w:r>
        <w:proofErr w:type="spellEnd"/>
        <w:r w:rsidRPr="00357B85">
          <w:rPr>
            <w:rStyle w:val="Hyperlink"/>
            <w:szCs w:val="24"/>
            <w:lang w:val="fr-CH"/>
          </w:rPr>
          <w:t xml:space="preserve"> </w:t>
        </w:r>
        <w:proofErr w:type="spellStart"/>
        <w:r w:rsidRPr="00357B85">
          <w:rPr>
            <w:rStyle w:val="Hyperlink"/>
            <w:szCs w:val="24"/>
            <w:lang w:val="fr-CH"/>
          </w:rPr>
          <w:t>women’s</w:t>
        </w:r>
        <w:proofErr w:type="spellEnd"/>
        <w:r w:rsidRPr="00357B85">
          <w:rPr>
            <w:rStyle w:val="Hyperlink"/>
            <w:szCs w:val="24"/>
            <w:lang w:val="fr-CH"/>
          </w:rPr>
          <w:t xml:space="preserve"> </w:t>
        </w:r>
        <w:proofErr w:type="spellStart"/>
        <w:r w:rsidRPr="00357B85">
          <w:rPr>
            <w:rStyle w:val="Hyperlink"/>
            <w:szCs w:val="24"/>
            <w:lang w:val="fr-CH"/>
          </w:rPr>
          <w:t>voices</w:t>
        </w:r>
        <w:proofErr w:type="spellEnd"/>
        <w:r w:rsidRPr="00357B85">
          <w:rPr>
            <w:rStyle w:val="Hyperlink"/>
            <w:szCs w:val="24"/>
            <w:lang w:val="fr-CH"/>
          </w:rPr>
          <w:t xml:space="preserve"> in </w:t>
        </w:r>
        <w:proofErr w:type="spellStart"/>
        <w:r w:rsidRPr="00357B85">
          <w:rPr>
            <w:rStyle w:val="Hyperlink"/>
            <w:szCs w:val="24"/>
            <w:lang w:val="fr-CH"/>
          </w:rPr>
          <w:t>intergovernmental</w:t>
        </w:r>
        <w:proofErr w:type="spellEnd"/>
        <w:r w:rsidRPr="00357B85">
          <w:rPr>
            <w:rStyle w:val="Hyperlink"/>
            <w:szCs w:val="24"/>
            <w:lang w:val="fr-CH"/>
          </w:rPr>
          <w:t xml:space="preserve"> forums</w:t>
        </w:r>
      </w:hyperlink>
      <w:r>
        <w:rPr>
          <w:lang w:val="es-ES"/>
        </w:rPr>
        <w:t>"</w:t>
      </w:r>
      <w:r w:rsidRPr="00367CAF">
        <w:rPr>
          <w:lang w:val="es-ES"/>
        </w:rPr>
        <w:t>, la UIT sigue desplegando esfuerzos para aumentar la participación de las mujeres en los eventos de la Unión. El personal utiliza una lista de verificación interna en la planificación de eventos con perspectiva de género. Las cartas circulares de la Conferencia dirigidas a los miembros y las invitaciones a los eventos fomentan una representación equilibrada en materia de género e invitan a presentar candidaturas de mujeres para funciones esenciales. Las estadísticas se presentan en las páginas de los eventos y en la página sobre cuestiones de género de la UIT.</w:t>
      </w:r>
    </w:p>
    <w:p w14:paraId="220C98EE" w14:textId="77777777" w:rsidR="00AB0015" w:rsidRPr="00E66776" w:rsidRDefault="00AB0015" w:rsidP="00AB0015">
      <w:pPr>
        <w:pStyle w:val="Heading2"/>
        <w:rPr>
          <w:lang w:val="es-ES"/>
        </w:rPr>
      </w:pPr>
      <w:r w:rsidRPr="008E2382">
        <w:rPr>
          <w:lang w:val="es-ES"/>
        </w:rPr>
        <w:t>4.2</w:t>
      </w:r>
      <w:r w:rsidRPr="008E2382">
        <w:rPr>
          <w:lang w:val="es-ES"/>
        </w:rPr>
        <w:tab/>
        <w:t>Red de Mujeres de la UIT para la CMR</w:t>
      </w:r>
    </w:p>
    <w:p w14:paraId="5853B388" w14:textId="77777777" w:rsidR="00AB0015" w:rsidRPr="00E66776" w:rsidRDefault="00AB0015" w:rsidP="00AB0015">
      <w:pPr>
        <w:rPr>
          <w:lang w:val="es-ES"/>
        </w:rPr>
      </w:pPr>
      <w:r w:rsidRPr="00E66776">
        <w:rPr>
          <w:lang w:val="es-ES"/>
        </w:rPr>
        <w:t>4.2.1</w:t>
      </w:r>
      <w:r w:rsidRPr="00E66776">
        <w:rPr>
          <w:lang w:val="es-ES"/>
        </w:rPr>
        <w:tab/>
        <w:t xml:space="preserve">La iniciativa Red de Mujeres para la CMR es una red de intercambio de conocimientos y mentores que fomenta el </w:t>
      </w:r>
      <w:r w:rsidRPr="00367CAF">
        <w:rPr>
          <w:lang w:val="es-ES"/>
        </w:rPr>
        <w:t>equilibrio de género en los órganos decisorios, reuniones, comisiones estatutarias y Comisiones de Estudio en los eventos del UIT-R previos a la siguiente Conferencia Mundial de Radiocomunicaciones.</w:t>
      </w:r>
    </w:p>
    <w:p w14:paraId="1E1B56C7" w14:textId="3770876F" w:rsidR="00AB0015" w:rsidRPr="00770C71" w:rsidRDefault="00AB0015" w:rsidP="00AB0015">
      <w:pPr>
        <w:rPr>
          <w:rFonts w:eastAsia="Calibri"/>
        </w:rPr>
      </w:pPr>
      <w:r w:rsidRPr="00770C71">
        <w:rPr>
          <w:lang w:val="es-ES"/>
        </w:rPr>
        <w:t>4.2.2</w:t>
      </w:r>
      <w:r w:rsidRPr="00770C71">
        <w:rPr>
          <w:lang w:val="es-ES"/>
        </w:rPr>
        <w:tab/>
        <w:t xml:space="preserve">El programa de mentores </w:t>
      </w:r>
      <w:hyperlink r:id="rId44" w:history="1">
        <w:r w:rsidRPr="00770C71">
          <w:rPr>
            <w:rStyle w:val="Hyperlink"/>
            <w:lang w:val="es-ES"/>
          </w:rPr>
          <w:t>NOW4WRC19</w:t>
        </w:r>
      </w:hyperlink>
      <w:r w:rsidRPr="00770C71">
        <w:rPr>
          <w:lang w:val="es-ES"/>
        </w:rPr>
        <w:t xml:space="preserve"> </w:t>
      </w:r>
      <w:r w:rsidRPr="00367CAF">
        <w:rPr>
          <w:lang w:val="es-ES"/>
        </w:rPr>
        <w:t xml:space="preserve">(previo a </w:t>
      </w:r>
      <w:r w:rsidRPr="00770C71">
        <w:rPr>
          <w:lang w:val="es-ES"/>
        </w:rPr>
        <w:t>la RPC19-2 y la CMR-19) reunió a 205</w:t>
      </w:r>
      <w:r w:rsidR="008E2382">
        <w:rPr>
          <w:lang w:val="es-ES"/>
        </w:rPr>
        <w:t> </w:t>
      </w:r>
      <w:r w:rsidRPr="00770C71">
        <w:rPr>
          <w:lang w:val="es-ES"/>
        </w:rPr>
        <w:t>delegados nuevos y experimentados de 70 países, y a más de 180 pares de mentores y alumnos para intercambiar conocimientos y fomentar una participación más amplia y activa de las mujeres en el proceso de la CMR. Los participantes en NOW4WRC19 dirigieron los trabajos que dieron lugar a la aprobación de la</w:t>
      </w:r>
      <w:r w:rsidRPr="00367CAF">
        <w:rPr>
          <w:rFonts w:eastAsia="Calibri"/>
          <w:lang w:val="es-ES"/>
        </w:rPr>
        <w:t xml:space="preserve"> </w:t>
      </w:r>
      <w:hyperlink r:id="rId45" w:history="1">
        <w:r w:rsidRPr="00367CAF">
          <w:rPr>
            <w:rStyle w:val="Hyperlink"/>
            <w:rFonts w:eastAsia="Calibri" w:cs="Calibri"/>
            <w:szCs w:val="24"/>
            <w:lang w:val="es-ES"/>
          </w:rPr>
          <w:t>Declaración de la CMR-19 sobre la promoción de la igualdad, la equidad y la paridad entre hombres y mujeres en el Sector de Radiocomunicaciones de la UIT</w:t>
        </w:r>
      </w:hyperlink>
      <w:r w:rsidRPr="00367CAF">
        <w:rPr>
          <w:color w:val="000000"/>
          <w:lang w:val="es-ES"/>
        </w:rPr>
        <w:t>.</w:t>
      </w:r>
    </w:p>
    <w:p w14:paraId="19DCD920" w14:textId="1C1CBF49" w:rsidR="00AB0015" w:rsidRPr="00367CAF" w:rsidRDefault="00AB0015" w:rsidP="008A3120">
      <w:pPr>
        <w:keepNext/>
        <w:keepLines/>
        <w:rPr>
          <w:lang w:val="es-ES" w:eastAsia="en-GB"/>
        </w:rPr>
      </w:pPr>
      <w:r w:rsidRPr="008E2382">
        <w:rPr>
          <w:lang w:val="es-ES" w:eastAsia="en-GB"/>
        </w:rPr>
        <w:lastRenderedPageBreak/>
        <w:t>4.2.3</w:t>
      </w:r>
      <w:r w:rsidRPr="00367CAF">
        <w:rPr>
          <w:lang w:val="es-ES" w:eastAsia="en-GB"/>
        </w:rPr>
        <w:tab/>
        <w:t>En diciembre de 2020, se presentó la Red de Mujeres para la CMR-23</w:t>
      </w:r>
      <w:r w:rsidR="008E2382">
        <w:rPr>
          <w:lang w:val="es-ES" w:eastAsia="en-GB"/>
        </w:rPr>
        <w:t xml:space="preserve"> </w:t>
      </w:r>
      <w:r w:rsidR="008E2382" w:rsidRPr="008E2382">
        <w:rPr>
          <w:lang w:val="es-ES" w:eastAsia="en-GB"/>
        </w:rPr>
        <w:t>(NOW4WRC23)</w:t>
      </w:r>
      <w:r w:rsidRPr="00367CAF">
        <w:rPr>
          <w:lang w:val="es-ES" w:eastAsia="en-GB"/>
        </w:rPr>
        <w:t>, cuyo objetivo es continuar con la creación de capacidad y el fomento de una mayor participación de las mujeres en funciones clave, mejorando su asistencia a las reuniones y las conferencias del UIT-R en calidad de delegadas, presidentas y vicepresidentas, por ejemplo, y seguir trabajando para superar el umbral del 30% necesario para cualquier cambio cultural permanente</w:t>
      </w:r>
      <w:r w:rsidRPr="00367CAF">
        <w:rPr>
          <w:lang w:val="es-ES"/>
        </w:rPr>
        <w:t xml:space="preserve">. Además de actualizar y volver a lanzar su programa de tutoría, la NOW4WRC23 también se está ampliando para incluir iniciativas regionales que, dirigidas por los </w:t>
      </w:r>
      <w:r w:rsidR="008E2382">
        <w:rPr>
          <w:lang w:val="es-ES"/>
        </w:rPr>
        <w:t>c</w:t>
      </w:r>
      <w:r w:rsidRPr="00367CAF">
        <w:rPr>
          <w:lang w:val="es-ES"/>
        </w:rPr>
        <w:t>opresidentes designados por cada una de las seis organizaciones regionales de telecomunicaciones, se ejecutarán en el marco de los procesos de preparación de estas organizaciones para la CMR-23 y durante los mismos.</w:t>
      </w:r>
    </w:p>
    <w:p w14:paraId="48826961" w14:textId="6A27B2AB" w:rsidR="00AB0015" w:rsidRPr="00367CAF" w:rsidRDefault="00AB0015" w:rsidP="00AB0015">
      <w:pPr>
        <w:rPr>
          <w:bCs/>
          <w:lang w:val="es-ES"/>
        </w:rPr>
      </w:pPr>
      <w:r w:rsidRPr="00010AF2">
        <w:rPr>
          <w:lang w:val="es-ES"/>
        </w:rPr>
        <w:t>4.2.4</w:t>
      </w:r>
      <w:r w:rsidRPr="00367CAF">
        <w:rPr>
          <w:lang w:val="es-ES"/>
        </w:rPr>
        <w:tab/>
        <w:t xml:space="preserve">Por último, el Grupo Asesor de Radiocomunicaciones (GAR) creó el </w:t>
      </w:r>
      <w:hyperlink r:id="rId46" w:history="1">
        <w:r w:rsidRPr="00367CAF">
          <w:rPr>
            <w:rStyle w:val="Hyperlink"/>
            <w:lang w:val="es-ES"/>
          </w:rPr>
          <w:t xml:space="preserve">Grupo por Correspondencia sobre </w:t>
        </w:r>
        <w:r w:rsidR="00EA31F2">
          <w:rPr>
            <w:rStyle w:val="Hyperlink"/>
            <w:lang w:val="es-ES"/>
          </w:rPr>
          <w:t>c</w:t>
        </w:r>
        <w:r w:rsidRPr="00367CAF">
          <w:rPr>
            <w:rStyle w:val="Hyperlink"/>
            <w:lang w:val="es-ES"/>
          </w:rPr>
          <w:t xml:space="preserve">uestiones de </w:t>
        </w:r>
        <w:r w:rsidR="00EA31F2">
          <w:rPr>
            <w:rStyle w:val="Hyperlink"/>
            <w:lang w:val="es-ES"/>
          </w:rPr>
          <w:t>g</w:t>
        </w:r>
        <w:r w:rsidRPr="00367CAF">
          <w:rPr>
            <w:rStyle w:val="Hyperlink"/>
            <w:lang w:val="es-ES"/>
          </w:rPr>
          <w:t>énero</w:t>
        </w:r>
      </w:hyperlink>
      <w:r w:rsidRPr="00EA31F2">
        <w:t xml:space="preserve"> </w:t>
      </w:r>
      <w:r w:rsidRPr="00367CAF">
        <w:rPr>
          <w:bCs/>
          <w:lang w:val="es-ES"/>
        </w:rPr>
        <w:t>para estudiar cuáles son los siguientes pasos adecuados para iniciar e implementar las disposiciones de la Declaración de Género de la CMR-19 antes de la próxima Asamblea de Radiocomunicaciones (AR-23).</w:t>
      </w:r>
    </w:p>
    <w:p w14:paraId="4E119663" w14:textId="77777777" w:rsidR="00AB0015" w:rsidRPr="00367CAF" w:rsidRDefault="00AB0015" w:rsidP="00AB0015">
      <w:pPr>
        <w:pStyle w:val="Heading2"/>
        <w:rPr>
          <w:lang w:val="es-ES"/>
        </w:rPr>
      </w:pPr>
      <w:r w:rsidRPr="00010AF2">
        <w:rPr>
          <w:lang w:val="es-ES"/>
        </w:rPr>
        <w:t>4.3</w:t>
      </w:r>
      <w:r w:rsidRPr="00010AF2">
        <w:rPr>
          <w:lang w:val="es-ES"/>
        </w:rPr>
        <w:tab/>
        <w:t>Red de Mujeres</w:t>
      </w:r>
    </w:p>
    <w:p w14:paraId="13C3403D" w14:textId="761BD231" w:rsidR="00AB0015" w:rsidRPr="00EB3121" w:rsidRDefault="00AB0015" w:rsidP="00AB0015">
      <w:pPr>
        <w:rPr>
          <w:lang w:val="es-ES"/>
        </w:rPr>
      </w:pPr>
      <w:r w:rsidRPr="00EB3121">
        <w:rPr>
          <w:lang w:val="es-ES"/>
        </w:rPr>
        <w:t>En enero de 2021, el UIT-D presentó la Red de Mujeres para la Conferencia Mundial de Desarrollo de las Telecomunicaciones (</w:t>
      </w:r>
      <w:hyperlink r:id="rId47" w:history="1">
        <w:r w:rsidRPr="00010AF2">
          <w:rPr>
            <w:rStyle w:val="Hyperlink"/>
            <w:lang w:val="es-ES"/>
          </w:rPr>
          <w:t>N</w:t>
        </w:r>
        <w:r w:rsidR="00010AF2" w:rsidRPr="00010AF2">
          <w:rPr>
            <w:rStyle w:val="Hyperlink"/>
            <w:lang w:val="es-ES"/>
          </w:rPr>
          <w:t>o</w:t>
        </w:r>
        <w:r w:rsidRPr="00010AF2">
          <w:rPr>
            <w:rStyle w:val="Hyperlink"/>
            <w:lang w:val="es-ES"/>
          </w:rPr>
          <w:t>W4WTDC21</w:t>
        </w:r>
      </w:hyperlink>
      <w:r w:rsidRPr="00EB3121">
        <w:rPr>
          <w:lang w:val="es-ES"/>
        </w:rPr>
        <w:t xml:space="preserve">) con el objetivo general de incrementar el número de mujeres que participan en las reuniones del UIT-D y que asumen funciones de liderazgo, como presidencias de comisiones o de grupos de trabajo, u otras funciones de gestión relacionadas con los procesos preparatorios de la propia CMDT, y de otros eventos posteriores. En esta </w:t>
      </w:r>
      <w:r w:rsidR="00010AF2">
        <w:rPr>
          <w:lang w:val="es-ES"/>
        </w:rPr>
        <w:t>p</w:t>
      </w:r>
      <w:r w:rsidRPr="00EB3121">
        <w:rPr>
          <w:lang w:val="es-ES"/>
        </w:rPr>
        <w:t>lataforma se analizarán los desafíos a los que se enfrentan las delegadas y se investigarán posibles soluciones. Este espacio también permitirá compartir lecciones importantes en el seno de una comunidad de apoyo, gracias a una serie de tutorías y oportunidades para la creación de redes.</w:t>
      </w:r>
    </w:p>
    <w:p w14:paraId="448429B2" w14:textId="77777777" w:rsidR="00AB0015" w:rsidRPr="00367CAF" w:rsidRDefault="00AB0015" w:rsidP="00AB0015">
      <w:pPr>
        <w:pStyle w:val="Heading2"/>
        <w:rPr>
          <w:szCs w:val="24"/>
          <w:lang w:val="es-ES"/>
        </w:rPr>
      </w:pPr>
      <w:r w:rsidRPr="00010AF2">
        <w:rPr>
          <w:szCs w:val="24"/>
          <w:lang w:val="es-ES"/>
        </w:rPr>
        <w:t>4.4</w:t>
      </w:r>
      <w:r w:rsidRPr="00010AF2">
        <w:rPr>
          <w:szCs w:val="24"/>
          <w:lang w:val="es-ES"/>
        </w:rPr>
        <w:tab/>
      </w:r>
      <w:bookmarkStart w:id="18" w:name="lt_pId089"/>
      <w:r w:rsidRPr="00010AF2">
        <w:rPr>
          <w:szCs w:val="24"/>
          <w:lang w:val="es-ES"/>
        </w:rPr>
        <w:t>Establecer la norma para la igualdad de género</w:t>
      </w:r>
      <w:bookmarkEnd w:id="18"/>
    </w:p>
    <w:p w14:paraId="1D405AB9" w14:textId="2A800F5F" w:rsidR="00AB0015" w:rsidRPr="00367CAF" w:rsidRDefault="00AB0015" w:rsidP="00AB0015">
      <w:pPr>
        <w:rPr>
          <w:rFonts w:eastAsia="SimSun"/>
          <w:szCs w:val="24"/>
          <w:lang w:val="es-ES"/>
        </w:rPr>
      </w:pPr>
      <w:bookmarkStart w:id="19" w:name="_Hlk2181458"/>
      <w:r w:rsidRPr="00367CAF">
        <w:rPr>
          <w:lang w:val="es-ES"/>
        </w:rPr>
        <w:t>El Sector de Normalización de las Telecomunicaciones de la UIT sigue tomando medidas para aumentar la igualdad de género en la TSB y el</w:t>
      </w:r>
      <w:r w:rsidR="00010AF2">
        <w:rPr>
          <w:lang w:val="es-ES"/>
        </w:rPr>
        <w:t xml:space="preserve"> </w:t>
      </w:r>
      <w:r w:rsidRPr="00367CAF">
        <w:rPr>
          <w:lang w:val="es-ES"/>
        </w:rPr>
        <w:t>UIT</w:t>
      </w:r>
      <w:r w:rsidRPr="00367CAF">
        <w:rPr>
          <w:lang w:val="es-ES"/>
        </w:rPr>
        <w:noBreakHyphen/>
        <w:t>T</w:t>
      </w:r>
      <w:r w:rsidRPr="00367CAF">
        <w:rPr>
          <w:rFonts w:eastAsia="SimSun"/>
          <w:szCs w:val="24"/>
          <w:lang w:val="es-ES"/>
        </w:rPr>
        <w:t>. La Cumbre I</w:t>
      </w:r>
      <w:r w:rsidR="00010AF2" w:rsidRPr="00367CAF">
        <w:rPr>
          <w:rFonts w:eastAsia="SimSun"/>
          <w:szCs w:val="24"/>
          <w:lang w:val="es-ES"/>
        </w:rPr>
        <w:t>A</w:t>
      </w:r>
      <w:r w:rsidRPr="00367CAF">
        <w:rPr>
          <w:rFonts w:eastAsia="SimSun"/>
          <w:szCs w:val="24"/>
          <w:lang w:val="es-ES"/>
        </w:rPr>
        <w:t xml:space="preserve"> para el </w:t>
      </w:r>
      <w:r w:rsidR="00010AF2">
        <w:rPr>
          <w:rFonts w:eastAsia="SimSun"/>
          <w:szCs w:val="24"/>
          <w:lang w:val="es-ES"/>
        </w:rPr>
        <w:t>b</w:t>
      </w:r>
      <w:r w:rsidRPr="00367CAF">
        <w:rPr>
          <w:rFonts w:eastAsia="SimSun"/>
          <w:szCs w:val="24"/>
          <w:lang w:val="es-ES"/>
        </w:rPr>
        <w:t>ien continúa centrándose en el aumento del número de oradores femeninos sobre temas técnicos. El UIT-T también sigue colaborando con otras organizaciones de normalización y organismos de las Naciones Unidas para garantizar que los procesos normativos sean inclusivos y que las normas elaboradas tengan en cuenta las cuestiones de género.</w:t>
      </w:r>
    </w:p>
    <w:p w14:paraId="48E52281" w14:textId="77777777" w:rsidR="00AB0015" w:rsidRPr="00357B85" w:rsidRDefault="00AB0015" w:rsidP="008A3120">
      <w:pPr>
        <w:pStyle w:val="Heading2"/>
        <w:rPr>
          <w:szCs w:val="24"/>
          <w:lang w:val="es-ES"/>
        </w:rPr>
      </w:pPr>
      <w:r w:rsidRPr="00357B85">
        <w:rPr>
          <w:szCs w:val="24"/>
          <w:lang w:val="es-ES"/>
        </w:rPr>
        <w:t>4.5</w:t>
      </w:r>
      <w:r w:rsidRPr="00357B85">
        <w:rPr>
          <w:szCs w:val="24"/>
          <w:lang w:val="es-ES"/>
        </w:rPr>
        <w:tab/>
        <w:t xml:space="preserve">ITU Digital </w:t>
      </w:r>
      <w:proofErr w:type="spellStart"/>
      <w:r w:rsidRPr="00357B85">
        <w:rPr>
          <w:szCs w:val="24"/>
          <w:lang w:val="es-ES"/>
        </w:rPr>
        <w:t>World</w:t>
      </w:r>
      <w:proofErr w:type="spellEnd"/>
      <w:r w:rsidRPr="00357B85">
        <w:rPr>
          <w:szCs w:val="24"/>
          <w:lang w:val="es-ES"/>
        </w:rPr>
        <w:t xml:space="preserve"> 2020</w:t>
      </w:r>
    </w:p>
    <w:p w14:paraId="19698AA7" w14:textId="79ACB43F" w:rsidR="00AB0015" w:rsidRPr="00EB3121" w:rsidRDefault="00AB0015" w:rsidP="00AB0015">
      <w:pPr>
        <w:rPr>
          <w:lang w:val="es-ES"/>
        </w:rPr>
      </w:pPr>
      <w:r w:rsidRPr="00EB3121">
        <w:rPr>
          <w:lang w:val="es-ES"/>
        </w:rPr>
        <w:t xml:space="preserve">El Foro de </w:t>
      </w:r>
      <w:r w:rsidRPr="00357B85">
        <w:rPr>
          <w:lang w:val="es-ES"/>
        </w:rPr>
        <w:t xml:space="preserve">ITU Digital </w:t>
      </w:r>
      <w:proofErr w:type="spellStart"/>
      <w:r w:rsidRPr="00357B85">
        <w:rPr>
          <w:lang w:val="es-ES"/>
        </w:rPr>
        <w:t>World</w:t>
      </w:r>
      <w:proofErr w:type="spellEnd"/>
      <w:r w:rsidRPr="00357B85">
        <w:rPr>
          <w:lang w:val="es-ES"/>
        </w:rPr>
        <w:t xml:space="preserve"> 2020</w:t>
      </w:r>
      <w:r w:rsidRPr="00EB3121">
        <w:rPr>
          <w:lang w:val="es-ES"/>
        </w:rPr>
        <w:t xml:space="preserve"> se celebró por primera vez en línea, en un contexto muy distinto de las ediciones físicas anteriores de </w:t>
      </w:r>
      <w:r w:rsidRPr="00357B85">
        <w:rPr>
          <w:lang w:val="es-ES"/>
        </w:rPr>
        <w:t xml:space="preserve">ITU Telecom </w:t>
      </w:r>
      <w:proofErr w:type="spellStart"/>
      <w:r w:rsidRPr="00357B85">
        <w:rPr>
          <w:lang w:val="es-ES"/>
        </w:rPr>
        <w:t>World</w:t>
      </w:r>
      <w:proofErr w:type="spellEnd"/>
      <w:r w:rsidRPr="00EB3121">
        <w:rPr>
          <w:lang w:val="es-ES"/>
        </w:rPr>
        <w:t>. Sin embargo, se continuó fomentando de la misma manera la participación de las mujeres como oradoras y se consiguió un equilibrio de género en las sesiones del Foro de 21% de mujeres/79% de hombres, con mujeres oradoras en todas las sesiones.</w:t>
      </w:r>
    </w:p>
    <w:bookmarkEnd w:id="19"/>
    <w:p w14:paraId="00F8EFB4" w14:textId="77777777" w:rsidR="00AB0015" w:rsidRPr="00367CAF" w:rsidRDefault="00AB0015" w:rsidP="00AB0015">
      <w:pPr>
        <w:pStyle w:val="Heading1"/>
        <w:widowControl w:val="0"/>
        <w:rPr>
          <w:sz w:val="24"/>
          <w:szCs w:val="24"/>
          <w:lang w:val="es-ES"/>
        </w:rPr>
      </w:pPr>
      <w:r w:rsidRPr="00010AF2">
        <w:rPr>
          <w:lang w:val="es-ES"/>
        </w:rPr>
        <w:lastRenderedPageBreak/>
        <w:t>5</w:t>
      </w:r>
      <w:r w:rsidRPr="00010AF2">
        <w:rPr>
          <w:lang w:val="es-ES"/>
        </w:rPr>
        <w:tab/>
        <w:t>Sensibilización institucional sobre la igualdad e integración de género</w:t>
      </w:r>
    </w:p>
    <w:p w14:paraId="6910875B" w14:textId="77777777" w:rsidR="00AB0015" w:rsidRPr="008A3120" w:rsidRDefault="00AB0015" w:rsidP="008A3120">
      <w:pPr>
        <w:pStyle w:val="Heading2"/>
        <w:rPr>
          <w:szCs w:val="24"/>
          <w:lang w:val="es-ES"/>
        </w:rPr>
      </w:pPr>
      <w:r w:rsidRPr="00367CAF">
        <w:rPr>
          <w:szCs w:val="24"/>
          <w:lang w:val="es-ES"/>
        </w:rPr>
        <w:t>5.1</w:t>
      </w:r>
      <w:r w:rsidRPr="00367CAF">
        <w:rPr>
          <w:szCs w:val="24"/>
          <w:lang w:val="es-ES"/>
        </w:rPr>
        <w:tab/>
        <w:t>Campeones Internacionales de Género de Ginebra</w:t>
      </w:r>
    </w:p>
    <w:p w14:paraId="3A25AC64" w14:textId="286D2209" w:rsidR="00AB0015" w:rsidRPr="00367CAF" w:rsidRDefault="00AB0015" w:rsidP="008A3120">
      <w:pPr>
        <w:keepNext/>
        <w:keepLines/>
        <w:rPr>
          <w:lang w:val="es-ES"/>
        </w:rPr>
      </w:pPr>
      <w:r w:rsidRPr="00367CAF">
        <w:rPr>
          <w:lang w:val="es-ES"/>
        </w:rPr>
        <w:t xml:space="preserve">El Secretario General de la UIT es miembro fundador de la iniciativa </w:t>
      </w:r>
      <w:hyperlink r:id="rId48" w:history="1">
        <w:r w:rsidR="00010AF2">
          <w:rPr>
            <w:rStyle w:val="Hyperlink"/>
            <w:rFonts w:cs="Calibri"/>
            <w:bCs/>
            <w:szCs w:val="24"/>
            <w:lang w:val="es-ES"/>
          </w:rPr>
          <w:t>Campeones Internacionales de Género (CIG)</w:t>
        </w:r>
      </w:hyperlink>
      <w:r w:rsidRPr="00367CAF">
        <w:rPr>
          <w:lang w:val="es-ES"/>
        </w:rPr>
        <w:t xml:space="preserve"> en su versión ginebrina. Además de la promesa de paridad en las reuniones para evitar reuniones de un solo sexo, el Secretario General se </w:t>
      </w:r>
      <w:hyperlink r:id="rId49" w:history="1">
        <w:r w:rsidRPr="00367CAF">
          <w:rPr>
            <w:rStyle w:val="Hyperlink"/>
            <w:rFonts w:cs="Calibri"/>
            <w:bCs/>
            <w:szCs w:val="24"/>
            <w:lang w:val="es-ES"/>
          </w:rPr>
          <w:t>compromete</w:t>
        </w:r>
      </w:hyperlink>
      <w:r w:rsidRPr="00367CAF">
        <w:rPr>
          <w:lang w:val="es-ES"/>
        </w:rPr>
        <w:t xml:space="preserve"> a proseguir los trabajos para: 1) reforzar los esfuerzos para ayudar a los países a contar con la capacidad necesaria para recopilar y difundir/compartir datos mundiales, regionales y nacionales desglosados por sexo y edad en relación con el acceso y la utilización de las TIC y las aptitudes digitales; y 2) ayudar a los países a dar a conocer y fomentar la participación activa de las niñas y las mujeres jóvenes en estudios relacionados con las TIC y otras aptitudes digitales para responder de forma igualitaria a la demanda futura de empleos.</w:t>
      </w:r>
    </w:p>
    <w:p w14:paraId="525340B5" w14:textId="77777777" w:rsidR="00AB0015" w:rsidRPr="00367CAF" w:rsidRDefault="00AB0015" w:rsidP="008A3120">
      <w:pPr>
        <w:pStyle w:val="Heading2"/>
        <w:widowControl w:val="0"/>
        <w:rPr>
          <w:rFonts w:eastAsia="SimSun"/>
          <w:lang w:val="es-ES"/>
        </w:rPr>
      </w:pPr>
      <w:r w:rsidRPr="00131CE4">
        <w:rPr>
          <w:szCs w:val="24"/>
          <w:lang w:val="es-ES"/>
        </w:rPr>
        <w:t>5.2</w:t>
      </w:r>
      <w:r w:rsidRPr="00131CE4">
        <w:rPr>
          <w:szCs w:val="24"/>
          <w:lang w:val="es-ES"/>
        </w:rPr>
        <w:tab/>
        <w:t>Entorno profesional seguro en la UIT</w:t>
      </w:r>
    </w:p>
    <w:p w14:paraId="5EE64B6D" w14:textId="77777777" w:rsidR="00AB0015" w:rsidRPr="00367CAF" w:rsidRDefault="00AB0015" w:rsidP="00AB0015">
      <w:pPr>
        <w:rPr>
          <w:lang w:val="es-ES"/>
        </w:rPr>
      </w:pPr>
      <w:r w:rsidRPr="00367CAF">
        <w:rPr>
          <w:lang w:val="es-ES"/>
        </w:rPr>
        <w:t xml:space="preserve">La UIT sigue procurando garantizar un entorno de trabajo seguro y armonioso para todos. La UIT participa en el </w:t>
      </w:r>
      <w:r w:rsidRPr="00367CAF">
        <w:rPr>
          <w:rFonts w:eastAsia="SimSun"/>
          <w:szCs w:val="24"/>
          <w:lang w:val="es-ES"/>
        </w:rPr>
        <w:t>Grupo</w:t>
      </w:r>
      <w:r w:rsidRPr="00367CAF">
        <w:rPr>
          <w:lang w:val="es-ES"/>
        </w:rPr>
        <w:t xml:space="preserve"> Especial de la Junta de Jefes Ejecutivos (JJE) para erradicar el acoso sexual en el sistema de las Naciones Unidas. La labor se concentra en mejorar los mecanismos de prevención y respuesta al acoso sexual. La UIT también ha participado en el Subgrupo de Trabajo encargado de elaborar un código de conducta para evitar el acoso sexual durante los eventos de las Naciones Unidas o al margen de los mismos. El código es accesible desde el </w:t>
      </w:r>
      <w:hyperlink r:id="rId50" w:history="1">
        <w:r w:rsidRPr="00367CAF">
          <w:rPr>
            <w:rStyle w:val="Hyperlink"/>
            <w:lang w:val="es-ES"/>
          </w:rPr>
          <w:t>Rincón del delegado</w:t>
        </w:r>
      </w:hyperlink>
      <w:r w:rsidRPr="00367CAF">
        <w:rPr>
          <w:lang w:val="es-ES"/>
        </w:rPr>
        <w:t xml:space="preserve"> de la UIT.</w:t>
      </w:r>
    </w:p>
    <w:p w14:paraId="43E86F1C" w14:textId="77777777" w:rsidR="00AB0015" w:rsidRPr="00367CAF" w:rsidRDefault="00AB0015" w:rsidP="00AB0015">
      <w:pPr>
        <w:rPr>
          <w:lang w:val="es-ES"/>
        </w:rPr>
      </w:pPr>
      <w:r w:rsidRPr="00367CAF">
        <w:rPr>
          <w:lang w:val="es-ES"/>
        </w:rPr>
        <w:t xml:space="preserve">Actualmente un grupo de trabajo de redacción interno está revisando la </w:t>
      </w:r>
      <w:r w:rsidRPr="00367CAF">
        <w:rPr>
          <w:color w:val="000000"/>
          <w:lang w:val="es-ES"/>
        </w:rPr>
        <w:t>Política de la UIT sobre acoso (incluido el acoso sexual).</w:t>
      </w:r>
    </w:p>
    <w:p w14:paraId="46FB6F32" w14:textId="7F00DE46" w:rsidR="00AB0015" w:rsidRPr="00367CAF" w:rsidRDefault="00AB0015" w:rsidP="008A3120">
      <w:pPr>
        <w:pStyle w:val="Heading2"/>
        <w:widowControl w:val="0"/>
        <w:rPr>
          <w:szCs w:val="24"/>
          <w:lang w:val="es-ES"/>
        </w:rPr>
      </w:pPr>
      <w:r w:rsidRPr="00131CE4">
        <w:rPr>
          <w:szCs w:val="24"/>
          <w:lang w:val="es-ES"/>
        </w:rPr>
        <w:t>5.3</w:t>
      </w:r>
      <w:r w:rsidRPr="00131CE4">
        <w:rPr>
          <w:szCs w:val="24"/>
          <w:lang w:val="es-ES"/>
        </w:rPr>
        <w:tab/>
        <w:t>ONU-SWAP e igualdad e integración de género en la UIT</w:t>
      </w:r>
    </w:p>
    <w:p w14:paraId="36E5ABD4" w14:textId="51358973" w:rsidR="00AB0015" w:rsidRPr="00367CAF" w:rsidRDefault="00AB0015" w:rsidP="00AB0015">
      <w:pPr>
        <w:rPr>
          <w:bCs/>
          <w:lang w:val="es-ES"/>
        </w:rPr>
      </w:pPr>
      <w:r w:rsidRPr="00367CAF">
        <w:rPr>
          <w:lang w:val="es-ES"/>
        </w:rPr>
        <w:t xml:space="preserve">El Plan de Acción para todo el sistema de las Naciones Unidas sobre la igualdad de género y el empoderamiento de las mujeres (ONU-SWAP) es el marco de rendición de cuentas aplicable a todos los organismos de la ONU con objeto de evaluar y supervisar un conjunto común de normas sobre igualdad de género y lograr avances al respecto. </w:t>
      </w:r>
      <w:r w:rsidRPr="00367CAF">
        <w:rPr>
          <w:bCs/>
          <w:lang w:val="es-ES"/>
        </w:rPr>
        <w:t xml:space="preserve">En 2018, la UIT </w:t>
      </w:r>
      <w:r>
        <w:rPr>
          <w:bCs/>
          <w:lang w:val="es-ES"/>
        </w:rPr>
        <w:t>"</w:t>
      </w:r>
      <w:r w:rsidRPr="00367CAF">
        <w:rPr>
          <w:bCs/>
          <w:lang w:val="es-ES"/>
        </w:rPr>
        <w:t>cumplió</w:t>
      </w:r>
      <w:r>
        <w:rPr>
          <w:bCs/>
          <w:lang w:val="es-ES"/>
        </w:rPr>
        <w:t>"</w:t>
      </w:r>
      <w:r w:rsidRPr="00367CAF">
        <w:rPr>
          <w:bCs/>
          <w:lang w:val="es-ES"/>
        </w:rPr>
        <w:t xml:space="preserve"> o </w:t>
      </w:r>
      <w:r>
        <w:rPr>
          <w:bCs/>
          <w:lang w:val="es-ES"/>
        </w:rPr>
        <w:t>"</w:t>
      </w:r>
      <w:r w:rsidRPr="00367CAF">
        <w:rPr>
          <w:bCs/>
          <w:lang w:val="es-ES"/>
        </w:rPr>
        <w:t>superó</w:t>
      </w:r>
      <w:r>
        <w:rPr>
          <w:bCs/>
          <w:lang w:val="es-ES"/>
        </w:rPr>
        <w:t>"</w:t>
      </w:r>
      <w:r w:rsidRPr="00367CAF">
        <w:rPr>
          <w:bCs/>
          <w:lang w:val="es-ES"/>
        </w:rPr>
        <w:t xml:space="preserve"> los requisitos de 5 de los 17 indicadores de ONU-SWAP</w:t>
      </w:r>
      <w:r>
        <w:rPr>
          <w:bCs/>
          <w:lang w:val="es-ES"/>
        </w:rPr>
        <w:t xml:space="preserve"> </w:t>
      </w:r>
      <w:r w:rsidRPr="00367CAF">
        <w:rPr>
          <w:bCs/>
          <w:lang w:val="es-ES"/>
        </w:rPr>
        <w:t xml:space="preserve">2.0. En 2019, la UIT </w:t>
      </w:r>
      <w:r>
        <w:rPr>
          <w:bCs/>
          <w:lang w:val="es-ES"/>
        </w:rPr>
        <w:t>"</w:t>
      </w:r>
      <w:r w:rsidRPr="00367CAF">
        <w:rPr>
          <w:bCs/>
          <w:lang w:val="es-ES"/>
        </w:rPr>
        <w:t>cumplió</w:t>
      </w:r>
      <w:r>
        <w:rPr>
          <w:bCs/>
          <w:lang w:val="es-ES"/>
        </w:rPr>
        <w:t>"</w:t>
      </w:r>
      <w:r w:rsidRPr="00367CAF">
        <w:rPr>
          <w:bCs/>
          <w:lang w:val="es-ES"/>
        </w:rPr>
        <w:t xml:space="preserve"> los requisitos de 5</w:t>
      </w:r>
      <w:r w:rsidR="00131CE4">
        <w:rPr>
          <w:bCs/>
          <w:lang w:val="es-ES"/>
        </w:rPr>
        <w:t> </w:t>
      </w:r>
      <w:r w:rsidRPr="00367CAF">
        <w:rPr>
          <w:bCs/>
          <w:lang w:val="es-ES"/>
        </w:rPr>
        <w:t xml:space="preserve">indicadores. Se elogió a la UIT por dar prioridad a los indicadores de rendimiento que todavía </w:t>
      </w:r>
      <w:r>
        <w:rPr>
          <w:bCs/>
          <w:lang w:val="es-ES"/>
        </w:rPr>
        <w:t>"</w:t>
      </w:r>
      <w:r w:rsidRPr="00367CAF">
        <w:rPr>
          <w:bCs/>
          <w:lang w:val="es-ES"/>
        </w:rPr>
        <w:t>faltan</w:t>
      </w:r>
      <w:r>
        <w:rPr>
          <w:bCs/>
          <w:lang w:val="es-ES"/>
        </w:rPr>
        <w:t>"</w:t>
      </w:r>
      <w:r w:rsidRPr="00367CAF">
        <w:rPr>
          <w:bCs/>
          <w:lang w:val="es-ES"/>
        </w:rPr>
        <w:t xml:space="preserve">, como el </w:t>
      </w:r>
      <w:r w:rsidRPr="00367CAF">
        <w:rPr>
          <w:rFonts w:eastAsia="SimSun"/>
          <w:szCs w:val="24"/>
          <w:lang w:val="es-ES"/>
        </w:rPr>
        <w:t>establecimiento</w:t>
      </w:r>
      <w:r w:rsidRPr="00367CAF">
        <w:rPr>
          <w:bCs/>
          <w:lang w:val="es-ES"/>
        </w:rPr>
        <w:t xml:space="preserve"> de un punto de referencia financiero, la mejora de la representación de las mujeres de categoría P3 y superior, la realización de una evaluación de la capacidad en materia de igualdad de género. Las cartas completas y los boletines de notas de</w:t>
      </w:r>
      <w:r w:rsidR="00131CE4">
        <w:rPr>
          <w:bCs/>
          <w:lang w:val="es-ES"/>
        </w:rPr>
        <w:t> </w:t>
      </w:r>
      <w:r w:rsidRPr="00367CAF">
        <w:rPr>
          <w:bCs/>
          <w:lang w:val="es-ES"/>
        </w:rPr>
        <w:t>2018 y 2019 se presentan en la nota informativa</w:t>
      </w:r>
      <w:r>
        <w:rPr>
          <w:bCs/>
          <w:lang w:val="es-ES"/>
        </w:rPr>
        <w:t xml:space="preserve"> </w:t>
      </w:r>
      <w:hyperlink r:id="rId51" w:history="1">
        <w:r w:rsidRPr="00367CAF">
          <w:rPr>
            <w:rStyle w:val="Hyperlink"/>
            <w:szCs w:val="24"/>
            <w:lang w:val="es-ES"/>
          </w:rPr>
          <w:t>C21/INF/4</w:t>
        </w:r>
      </w:hyperlink>
      <w:r w:rsidRPr="00367CAF">
        <w:rPr>
          <w:bCs/>
          <w:szCs w:val="24"/>
          <w:lang w:val="es-ES"/>
        </w:rPr>
        <w:t>.</w:t>
      </w:r>
    </w:p>
    <w:p w14:paraId="23FDB59D" w14:textId="158A4A2E" w:rsidR="00AB0015" w:rsidRPr="00367CAF" w:rsidRDefault="00AB0015" w:rsidP="00AB0015">
      <w:pPr>
        <w:rPr>
          <w:lang w:val="es-ES"/>
        </w:rPr>
      </w:pPr>
      <w:r w:rsidRPr="00367CAF">
        <w:rPr>
          <w:lang w:val="es-ES"/>
        </w:rPr>
        <w:t xml:space="preserve">La UIT sigue esforzándose por incorporar una perspectiva de género en los programas de trabajo, métodos de gestión y desarrollo de recursos humanos de la Unión. Se ha incorporado un parámetro de </w:t>
      </w:r>
      <w:r w:rsidRPr="00367CAF">
        <w:rPr>
          <w:rFonts w:eastAsia="SimSun"/>
          <w:lang w:val="es-ES"/>
        </w:rPr>
        <w:t>género</w:t>
      </w:r>
      <w:r w:rsidRPr="00367CAF">
        <w:rPr>
          <w:lang w:val="es-ES"/>
        </w:rPr>
        <w:t xml:space="preserve"> en el sistema electrónico de gestión del rendimiento y desarrollo (ePMDS) del personal. Actualmente se está llevando a cabo un examen de la política de igualdad</w:t>
      </w:r>
      <w:r w:rsidR="00131CE4">
        <w:rPr>
          <w:lang w:val="es-ES"/>
        </w:rPr>
        <w:t xml:space="preserve"> </w:t>
      </w:r>
      <w:r w:rsidRPr="00367CAF">
        <w:rPr>
          <w:lang w:val="es-ES"/>
        </w:rPr>
        <w:t>de género e incorporación de la perspectiva de género de 2013; en 2020 se celebraron varios grupos temáticos y entrevistas individuales que servirán de base para la nueva política, que se armonizará con los 17 indicadores de ONU-SWAP 2.0.</w:t>
      </w:r>
    </w:p>
    <w:p w14:paraId="6C4481EF" w14:textId="77777777" w:rsidR="00AB0015" w:rsidRPr="00367CAF" w:rsidRDefault="00AB0015" w:rsidP="00AB0015">
      <w:pPr>
        <w:rPr>
          <w:lang w:val="es-ES"/>
        </w:rPr>
      </w:pPr>
    </w:p>
    <w:p w14:paraId="6B526E23" w14:textId="5039E12C" w:rsidR="00AB0015" w:rsidRPr="00AB0015" w:rsidRDefault="00AB0015" w:rsidP="00AB0015">
      <w:pPr>
        <w:jc w:val="center"/>
        <w:rPr>
          <w:lang w:val="es-ES"/>
        </w:rPr>
      </w:pPr>
      <w:r w:rsidRPr="00367CAF">
        <w:rPr>
          <w:lang w:val="es-ES"/>
        </w:rPr>
        <w:t>______________</w:t>
      </w:r>
    </w:p>
    <w:sectPr w:rsidR="00AB0015" w:rsidRPr="00AB0015" w:rsidSect="006710F6">
      <w:headerReference w:type="default" r:id="rId52"/>
      <w:footerReference w:type="default" r:id="rId53"/>
      <w:footerReference w:type="first" r:id="rId5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8725" w14:textId="77777777" w:rsidR="00AB0015" w:rsidRDefault="00AB0015">
      <w:r>
        <w:separator/>
      </w:r>
    </w:p>
  </w:endnote>
  <w:endnote w:type="continuationSeparator" w:id="0">
    <w:p w14:paraId="2997EF6A" w14:textId="77777777" w:rsidR="00AB0015" w:rsidRDefault="00AB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0F31" w14:textId="2EF723DB" w:rsidR="00760F1C" w:rsidRPr="00357B85" w:rsidRDefault="00AB0015" w:rsidP="00AB0015">
    <w:pPr>
      <w:pStyle w:val="Footer"/>
      <w:rPr>
        <w:color w:val="D9D9D9" w:themeColor="background1" w:themeShade="D9"/>
        <w:lang w:val="fr-CH"/>
      </w:rPr>
    </w:pPr>
    <w:r w:rsidRPr="00357B85">
      <w:rPr>
        <w:color w:val="D9D9D9" w:themeColor="background1" w:themeShade="D9"/>
      </w:rPr>
      <w:fldChar w:fldCharType="begin"/>
    </w:r>
    <w:r w:rsidRPr="00357B85">
      <w:rPr>
        <w:color w:val="D9D9D9" w:themeColor="background1" w:themeShade="D9"/>
        <w:lang w:val="fr-CH"/>
      </w:rPr>
      <w:instrText xml:space="preserve"> FILENAME \p  \* MERGEFORMAT </w:instrText>
    </w:r>
    <w:r w:rsidRPr="00357B85">
      <w:rPr>
        <w:color w:val="D9D9D9" w:themeColor="background1" w:themeShade="D9"/>
      </w:rPr>
      <w:fldChar w:fldCharType="separate"/>
    </w:r>
    <w:r w:rsidR="00091BEF" w:rsidRPr="00357B85">
      <w:rPr>
        <w:color w:val="D9D9D9" w:themeColor="background1" w:themeShade="D9"/>
        <w:lang w:val="fr-CH"/>
      </w:rPr>
      <w:t>P:\ESP\SG\CONSEIL\C21\000\006S.docx</w:t>
    </w:r>
    <w:r w:rsidRPr="00357B85">
      <w:rPr>
        <w:color w:val="D9D9D9" w:themeColor="background1" w:themeShade="D9"/>
      </w:rPr>
      <w:fldChar w:fldCharType="end"/>
    </w:r>
    <w:r w:rsidRPr="00357B85">
      <w:rPr>
        <w:color w:val="D9D9D9" w:themeColor="background1" w:themeShade="D9"/>
        <w:lang w:val="fr-CH"/>
      </w:rPr>
      <w:t xml:space="preserve"> (483197)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0F08"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958E" w14:textId="77777777" w:rsidR="00AB0015" w:rsidRDefault="00AB0015">
      <w:r>
        <w:t>____________________</w:t>
      </w:r>
    </w:p>
  </w:footnote>
  <w:footnote w:type="continuationSeparator" w:id="0">
    <w:p w14:paraId="407E0F92" w14:textId="77777777" w:rsidR="00AB0015" w:rsidRDefault="00AB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580B"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7B5925C" w14:textId="31BF9166" w:rsidR="00760F1C" w:rsidRDefault="00760F1C" w:rsidP="00C2727F">
    <w:pPr>
      <w:pStyle w:val="Header"/>
    </w:pPr>
    <w:r>
      <w:t>C</w:t>
    </w:r>
    <w:r w:rsidR="007955DA">
      <w:t>2</w:t>
    </w:r>
    <w:r w:rsidR="000007D1">
      <w:t>1</w:t>
    </w:r>
    <w:r>
      <w:t>/</w:t>
    </w:r>
    <w:r w:rsidR="00AB0015">
      <w:t>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15"/>
    <w:rsid w:val="000007D1"/>
    <w:rsid w:val="00010AF2"/>
    <w:rsid w:val="00080A97"/>
    <w:rsid w:val="00091BEF"/>
    <w:rsid w:val="00093EEB"/>
    <w:rsid w:val="000B0D00"/>
    <w:rsid w:val="000B2100"/>
    <w:rsid w:val="000B7C15"/>
    <w:rsid w:val="000D1D0F"/>
    <w:rsid w:val="000F5290"/>
    <w:rsid w:val="0010165C"/>
    <w:rsid w:val="00131CE4"/>
    <w:rsid w:val="00146BFB"/>
    <w:rsid w:val="001D7FC7"/>
    <w:rsid w:val="001F14A2"/>
    <w:rsid w:val="00221B82"/>
    <w:rsid w:val="002801AA"/>
    <w:rsid w:val="002C4676"/>
    <w:rsid w:val="002C70B0"/>
    <w:rsid w:val="002F3CC4"/>
    <w:rsid w:val="00357B85"/>
    <w:rsid w:val="00435441"/>
    <w:rsid w:val="00513630"/>
    <w:rsid w:val="00560125"/>
    <w:rsid w:val="00585553"/>
    <w:rsid w:val="005B34D9"/>
    <w:rsid w:val="005D0CCF"/>
    <w:rsid w:val="005F3BCB"/>
    <w:rsid w:val="005F410F"/>
    <w:rsid w:val="0060149A"/>
    <w:rsid w:val="00601924"/>
    <w:rsid w:val="00602566"/>
    <w:rsid w:val="006447EA"/>
    <w:rsid w:val="0064731F"/>
    <w:rsid w:val="00664572"/>
    <w:rsid w:val="006705EE"/>
    <w:rsid w:val="006710F6"/>
    <w:rsid w:val="006C1B56"/>
    <w:rsid w:val="006D4761"/>
    <w:rsid w:val="00726872"/>
    <w:rsid w:val="00760F1C"/>
    <w:rsid w:val="007657F0"/>
    <w:rsid w:val="0077252D"/>
    <w:rsid w:val="007955DA"/>
    <w:rsid w:val="007E5DD3"/>
    <w:rsid w:val="007F350B"/>
    <w:rsid w:val="00820BE4"/>
    <w:rsid w:val="008451E8"/>
    <w:rsid w:val="008A3120"/>
    <w:rsid w:val="008E2382"/>
    <w:rsid w:val="00913B9C"/>
    <w:rsid w:val="00956E77"/>
    <w:rsid w:val="009F4811"/>
    <w:rsid w:val="00AA390C"/>
    <w:rsid w:val="00AB0015"/>
    <w:rsid w:val="00B0200A"/>
    <w:rsid w:val="00B574DB"/>
    <w:rsid w:val="00B71C92"/>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A31F2"/>
    <w:rsid w:val="00EB1212"/>
    <w:rsid w:val="00ED65AB"/>
    <w:rsid w:val="00F12850"/>
    <w:rsid w:val="00F33BF4"/>
    <w:rsid w:val="00F7105E"/>
    <w:rsid w:val="00F75F57"/>
    <w:rsid w:val="00F82FEE"/>
    <w:rsid w:val="00FA2DD0"/>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26564F"/>
  <w15:docId w15:val="{C12E70F5-93FB-4E6B-8240-D2A77428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015"/>
    <w:pPr>
      <w:tabs>
        <w:tab w:val="left" w:pos="709"/>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AB0015"/>
    <w:pPr>
      <w:keepNext/>
      <w:keepLines/>
      <w:spacing w:before="480"/>
      <w:ind w:left="709" w:hanging="709"/>
      <w:outlineLvl w:val="0"/>
    </w:pPr>
    <w:rPr>
      <w:b/>
      <w:sz w:val="28"/>
    </w:rPr>
  </w:style>
  <w:style w:type="paragraph" w:styleId="Heading2">
    <w:name w:val="heading 2"/>
    <w:basedOn w:val="Heading1"/>
    <w:next w:val="Normal"/>
    <w:qFormat/>
    <w:rsid w:val="008A312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AB0015"/>
    <w:rPr>
      <w:color w:val="605E5C"/>
      <w:shd w:val="clear" w:color="auto" w:fill="E1DFDD"/>
    </w:rPr>
  </w:style>
  <w:style w:type="character" w:customStyle="1" w:styleId="Heading1Char">
    <w:name w:val="Heading 1 Char"/>
    <w:basedOn w:val="DefaultParagraphFont"/>
    <w:link w:val="Heading1"/>
    <w:rsid w:val="00AB0015"/>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CL-C-0006/es" TargetMode="External"/><Relationship Id="rId18" Type="http://schemas.openxmlformats.org/officeDocument/2006/relationships/hyperlink" Target="https://www.itu.int/md/S19-CL-INF-0002/es" TargetMode="External"/><Relationship Id="rId26" Type="http://schemas.openxmlformats.org/officeDocument/2006/relationships/hyperlink" Target="https://www.itu.int/md/S19-CL-C-0024/en" TargetMode="External"/><Relationship Id="rId39" Type="http://schemas.openxmlformats.org/officeDocument/2006/relationships/hyperlink" Target="https://academy.itu.int/index.php/training-courses/full-catalogue/liderazgo-femenino-en-el-sector-de-las-telecomunicaciones-y-las-tic" TargetMode="External"/><Relationship Id="rId21" Type="http://schemas.openxmlformats.org/officeDocument/2006/relationships/hyperlink" Target="https://www.itu.int/md/S21-CL-INF-0004/es" TargetMode="External"/><Relationship Id="rId34" Type="http://schemas.openxmlformats.org/officeDocument/2006/relationships/hyperlink" Target="https://www.youtube.com/watch?v=gkYUlpgasoo" TargetMode="External"/><Relationship Id="rId42" Type="http://schemas.openxmlformats.org/officeDocument/2006/relationships/hyperlink" Target="https://www.itu.int/en/ITU-D/Emergency-Telecommunications/Pages/Women-ICT-and-Emergency-Telecommunications.aspx" TargetMode="External"/><Relationship Id="rId47" Type="http://schemas.openxmlformats.org/officeDocument/2006/relationships/hyperlink" Target="https://www.itu.int/en/ITU-D/Conferences/WTDC/WTDC21/NoW/Pages/Events/Regional/AsiaPacific/2021_03.aspx" TargetMode="External"/><Relationship Id="rId50" Type="http://schemas.openxmlformats.org/officeDocument/2006/relationships/hyperlink" Target="https://www.itu.int/es/delegates-corner/Pages/default.aspx" TargetMode="External"/><Relationship Id="rId55" Type="http://schemas.openxmlformats.org/officeDocument/2006/relationships/fontTable" Target="fontTable.xml"/><Relationship Id="rId7" Type="http://schemas.openxmlformats.org/officeDocument/2006/relationships/hyperlink" Target="https://www.itu.int/en/council/Documents/basic-texts/RES-070-S.pdf" TargetMode="External"/><Relationship Id="rId2" Type="http://schemas.openxmlformats.org/officeDocument/2006/relationships/settings" Target="settings.xml"/><Relationship Id="rId16" Type="http://schemas.openxmlformats.org/officeDocument/2006/relationships/hyperlink" Target="https://www.itu.int/md/S20-CL-C-0006/es" TargetMode="External"/><Relationship Id="rId29" Type="http://schemas.openxmlformats.org/officeDocument/2006/relationships/hyperlink" Target="https://www.itu.int/es/ITU-D/Digital-Inclusion/Women-and-Girls/Girls-in-ICT-Portal/Pages/Portal.aspx" TargetMode="External"/><Relationship Id="rId11" Type="http://schemas.openxmlformats.org/officeDocument/2006/relationships/hyperlink" Target="https://www.itu.int/md/S15-CL-C-0006/es" TargetMode="External"/><Relationship Id="rId24" Type="http://schemas.openxmlformats.org/officeDocument/2006/relationships/hyperlink" Target="https://www.itu.int/genderdashboard" TargetMode="External"/><Relationship Id="rId32" Type="http://schemas.openxmlformats.org/officeDocument/2006/relationships/hyperlink" Target="https://www.itu.int/en/ITU-D/Digital-Inclusion/Women-and-Girls/Girls-in-ICT-Portal/Pages/GirlsInICTDay/2021/GICT-2021.aspx" TargetMode="External"/><Relationship Id="rId37" Type="http://schemas.openxmlformats.org/officeDocument/2006/relationships/hyperlink" Target="https://www.equals.org/cisco-equals-learning-space" TargetMode="External"/><Relationship Id="rId40" Type="http://schemas.openxmlformats.org/officeDocument/2006/relationships/hyperlink" Target="https://www.equals.org/awards" TargetMode="External"/><Relationship Id="rId45" Type="http://schemas.openxmlformats.org/officeDocument/2006/relationships/hyperlink" Target="https://www.itu.int/es/mediacentre/Pages/2019-CM10.aspx" TargetMode="External"/><Relationship Id="rId53"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itu.int/md/S14-CL-C-0006/es" TargetMode="External"/><Relationship Id="rId19" Type="http://schemas.openxmlformats.org/officeDocument/2006/relationships/hyperlink" Target="https://www.itu.int/md/S19-CL-C-0024/es" TargetMode="External"/><Relationship Id="rId31" Type="http://schemas.openxmlformats.org/officeDocument/2006/relationships/hyperlink" Target="https://www.itu.int/es/ITU-D/Digital-Inclusion/Women-and-Girls/Girls-in-ICT-Portal/Pages/GirlsInICTDay/2020/default.aspx" TargetMode="External"/><Relationship Id="rId44" Type="http://schemas.openxmlformats.org/officeDocument/2006/relationships/hyperlink" Target="https://www.itu.int/en/ITU-R/conferences/wrc/2019/now/Pages/default.aspx"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3-CL-C-0039/es" TargetMode="External"/><Relationship Id="rId14" Type="http://schemas.openxmlformats.org/officeDocument/2006/relationships/hyperlink" Target="https://www.itu.int/md/S18-CL-C-0006/es" TargetMode="External"/><Relationship Id="rId22" Type="http://schemas.openxmlformats.org/officeDocument/2006/relationships/hyperlink" Target="http://www.itu.int/en/action/gender-equality/Pages/default.aspx" TargetMode="External"/><Relationship Id="rId27" Type="http://schemas.openxmlformats.org/officeDocument/2006/relationships/hyperlink" Target="http://www.itu.int/net/wsis/documents/HLE-es.html" TargetMode="External"/><Relationship Id="rId30" Type="http://schemas.openxmlformats.org/officeDocument/2006/relationships/hyperlink" Target="https://www.un.org/es/observances/international-days-and-weeks" TargetMode="External"/><Relationship Id="rId35" Type="http://schemas.openxmlformats.org/officeDocument/2006/relationships/hyperlink" Target="https://www.equals.org/" TargetMode="External"/><Relationship Id="rId43" Type="http://schemas.openxmlformats.org/officeDocument/2006/relationships/hyperlink" Target="http://www.itu.int/en/action/gender-equality/Documents/raising-womens-voices.pdf" TargetMode="External"/><Relationship Id="rId48" Type="http://schemas.openxmlformats.org/officeDocument/2006/relationships/hyperlink" Target="https://genderchampions.com/" TargetMode="External"/><Relationship Id="rId56" Type="http://schemas.openxmlformats.org/officeDocument/2006/relationships/theme" Target="theme/theme1.xml"/><Relationship Id="rId8" Type="http://schemas.openxmlformats.org/officeDocument/2006/relationships/hyperlink" Target="https://www.itu.int/md/S13-CL-INF-0011/es" TargetMode="External"/><Relationship Id="rId51" Type="http://schemas.openxmlformats.org/officeDocument/2006/relationships/hyperlink" Target="https://www.itu.int/md/S21-CL-INF-0004/es" TargetMode="External"/><Relationship Id="rId3" Type="http://schemas.openxmlformats.org/officeDocument/2006/relationships/webSettings" Target="webSettings.xml"/><Relationship Id="rId12" Type="http://schemas.openxmlformats.org/officeDocument/2006/relationships/hyperlink" Target="https://www.itu.int/md/S16-CL-C-0006/es" TargetMode="External"/><Relationship Id="rId17" Type="http://schemas.openxmlformats.org/officeDocument/2006/relationships/hyperlink" Target="https://www.itu.int/md/S18-CL-INF-0003/es" TargetMode="External"/><Relationship Id="rId25" Type="http://schemas.openxmlformats.org/officeDocument/2006/relationships/hyperlink" Target="https://www.itu.int/md/S20-CL-C-0054/es" TargetMode="External"/><Relationship Id="rId33" Type="http://schemas.openxmlformats.org/officeDocument/2006/relationships/hyperlink" Target="https://www.itu.int/es/ITU-D/Regional-Presence/Africa/Pages/African-Girls-Can-Code.aspx" TargetMode="External"/><Relationship Id="rId38" Type="http://schemas.openxmlformats.org/officeDocument/2006/relationships/hyperlink" Target="https://www.itu.int/en/ITU-D/Regional-Presence/Europe/Documents/Events/2021/Gendered%20Digital%20Divide/21-00145_2f_Digitally-Empowered-generation-equality_EV4-no-isbn.pdf?csf=1&amp;e=Zhzrpf" TargetMode="External"/><Relationship Id="rId46" Type="http://schemas.openxmlformats.org/officeDocument/2006/relationships/hyperlink" Target="https://www.itu.int/en/ITU-R/conferences/rag/cg-gender/Pages/default.aspx" TargetMode="External"/><Relationship Id="rId20" Type="http://schemas.openxmlformats.org/officeDocument/2006/relationships/hyperlink" Target="https://www.itu.int/md/S20-CL-INF-0002/es" TargetMode="External"/><Relationship Id="rId41" Type="http://schemas.openxmlformats.org/officeDocument/2006/relationships/hyperlink" Target="https://www.itu.int/es/mediacentre/Pages/PR17-2020-EIF-digital-gender-divide-Burundi-Ethiopia-Haiti.aspx"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itu.int/md/S19-CL-C-0006/es" TargetMode="External"/><Relationship Id="rId23" Type="http://schemas.openxmlformats.org/officeDocument/2006/relationships/hyperlink" Target="https://www.itu.int/en/ITU-D/Statistics/Pages/facts/default.aspx" TargetMode="External"/><Relationship Id="rId28" Type="http://schemas.openxmlformats.org/officeDocument/2006/relationships/hyperlink" Target="http://www.wisis.org/forum" TargetMode="External"/><Relationship Id="rId36" Type="http://schemas.openxmlformats.org/officeDocument/2006/relationships/hyperlink" Target="https://www.itu.int/en/ITU-D/Cybersecurity/Pages/Women-in-Cyber/Women-in-Cyber-Mentorship-Programme.aspx" TargetMode="External"/><Relationship Id="rId49" Type="http://schemas.openxmlformats.org/officeDocument/2006/relationships/hyperlink" Target="https://genderchampions.com/champions/houlin-zha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TotalTime>
  <Pages>7</Pages>
  <Words>3627</Words>
  <Characters>22010</Characters>
  <Application>Microsoft Office Word</Application>
  <DocSecurity>4</DocSecurity>
  <Lines>183</Lines>
  <Paragraphs>51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25586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 la UIT vinculadas con la Resolución 70 (Rev. Dubái, 2018)</dc:title>
  <dc:subject>Council 2021, Virtual consultation of councillors</dc:subject>
  <dc:creator>Spanish83</dc:creator>
  <cp:keywords>C2021, C21, VCC, C21-VCC-1</cp:keywords>
  <dc:description/>
  <cp:lastModifiedBy>Brouard, Ricarda</cp:lastModifiedBy>
  <cp:revision>2</cp:revision>
  <cp:lastPrinted>2006-03-24T09:51:00Z</cp:lastPrinted>
  <dcterms:created xsi:type="dcterms:W3CDTF">2021-04-20T08:18:00Z</dcterms:created>
  <dcterms:modified xsi:type="dcterms:W3CDTF">2021-04-20T08:18:00Z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