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4151EA7F">
        <w:trPr>
          <w:cantSplit/>
          <w:trHeight w:val="1276"/>
        </w:trPr>
        <w:tc>
          <w:tcPr>
            <w:tcW w:w="6911" w:type="dxa"/>
          </w:tcPr>
          <w:p w14:paraId="7BC30B78" w14:textId="1E8A4995" w:rsidR="002A2188" w:rsidRPr="00813E5E" w:rsidRDefault="000F0F65" w:rsidP="009F66A3">
            <w:pPr>
              <w:spacing w:before="360" w:after="48" w:line="240" w:lineRule="atLeast"/>
              <w:rPr>
                <w:position w:val="6"/>
              </w:rPr>
            </w:pPr>
            <w:bookmarkStart w:id="0" w:name="dc06"/>
            <w:bookmarkEnd w:id="0"/>
            <w:r w:rsidRPr="005C231A">
              <w:rPr>
                <w:b/>
                <w:bCs/>
                <w:position w:val="6"/>
                <w:sz w:val="30"/>
                <w:szCs w:val="30"/>
                <w:lang w:val="en-US"/>
              </w:rPr>
              <w:t>Council 2021</w:t>
            </w:r>
            <w:r w:rsidRPr="005C231A">
              <w:rPr>
                <w:b/>
                <w:bCs/>
                <w:position w:val="6"/>
                <w:sz w:val="30"/>
                <w:szCs w:val="30"/>
                <w:lang w:val="en-US"/>
              </w:rPr>
              <w:br/>
            </w:r>
            <w:r w:rsidRPr="005C231A">
              <w:rPr>
                <w:b/>
                <w:bCs/>
                <w:position w:val="6"/>
                <w:sz w:val="28"/>
                <w:szCs w:val="28"/>
                <w:lang w:val="en-US"/>
              </w:rPr>
              <w:t>Virtual consultation of councillors, 8-18 June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10F84D5C" wp14:editId="136497C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4151EA7F">
        <w:trPr>
          <w:cantSplit/>
        </w:trPr>
        <w:tc>
          <w:tcPr>
            <w:tcW w:w="6911" w:type="dxa"/>
            <w:tcBorders>
              <w:bottom w:val="single" w:sz="12" w:space="0" w:color="auto"/>
            </w:tcBorders>
          </w:tcPr>
          <w:p w14:paraId="2143B1CA"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464B6C">
            <w:pPr>
              <w:spacing w:before="0" w:line="240" w:lineRule="atLeast"/>
              <w:rPr>
                <w:szCs w:val="24"/>
              </w:rPr>
            </w:pPr>
          </w:p>
        </w:tc>
      </w:tr>
      <w:tr w:rsidR="002A2188" w:rsidRPr="00813E5E" w14:paraId="17235C7F" w14:textId="77777777" w:rsidTr="4151EA7F">
        <w:trPr>
          <w:cantSplit/>
        </w:trPr>
        <w:tc>
          <w:tcPr>
            <w:tcW w:w="6911" w:type="dxa"/>
            <w:tcBorders>
              <w:top w:val="single" w:sz="12" w:space="0" w:color="auto"/>
            </w:tcBorders>
          </w:tcPr>
          <w:p w14:paraId="5D7313BD"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22C9147A" w14:textId="77777777" w:rsidR="002A2188" w:rsidRPr="00813E5E" w:rsidRDefault="002A2188" w:rsidP="00464B6C">
            <w:pPr>
              <w:spacing w:before="0" w:line="240" w:lineRule="atLeast"/>
              <w:rPr>
                <w:szCs w:val="24"/>
              </w:rPr>
            </w:pPr>
          </w:p>
        </w:tc>
      </w:tr>
      <w:tr w:rsidR="002A2188" w:rsidRPr="00813E5E" w14:paraId="6804D83E" w14:textId="77777777" w:rsidTr="4151EA7F">
        <w:trPr>
          <w:cantSplit/>
          <w:trHeight w:val="23"/>
        </w:trPr>
        <w:tc>
          <w:tcPr>
            <w:tcW w:w="6911" w:type="dxa"/>
            <w:vMerge w:val="restart"/>
          </w:tcPr>
          <w:p w14:paraId="42A03540" w14:textId="15D6C050" w:rsidR="002A2188" w:rsidRPr="00E85629" w:rsidRDefault="000F0F65" w:rsidP="000F0F65">
            <w:pPr>
              <w:tabs>
                <w:tab w:val="left" w:pos="851"/>
              </w:tabs>
              <w:spacing w:before="0"/>
              <w:rPr>
                <w:b/>
              </w:rPr>
            </w:pPr>
            <w:bookmarkStart w:id="2" w:name="dmeeting" w:colFirst="0" w:colLast="0"/>
            <w:bookmarkStart w:id="3" w:name="dnum" w:colFirst="1" w:colLast="1"/>
            <w:r>
              <w:rPr>
                <w:b/>
              </w:rPr>
              <w:t xml:space="preserve">Agenda item: PL </w:t>
            </w:r>
            <w:r w:rsidR="000D4535">
              <w:rPr>
                <w:b/>
              </w:rPr>
              <w:t>1.9</w:t>
            </w:r>
          </w:p>
        </w:tc>
        <w:tc>
          <w:tcPr>
            <w:tcW w:w="3120" w:type="dxa"/>
          </w:tcPr>
          <w:p w14:paraId="1727AC2C" w14:textId="4F85DF96" w:rsidR="002A2188" w:rsidRPr="00E85629" w:rsidRDefault="009F66A3" w:rsidP="009F66A3">
            <w:pPr>
              <w:tabs>
                <w:tab w:val="left" w:pos="851"/>
              </w:tabs>
              <w:spacing w:before="0" w:line="240" w:lineRule="atLeast"/>
              <w:rPr>
                <w:b/>
              </w:rPr>
            </w:pPr>
            <w:r w:rsidRPr="000D4535">
              <w:rPr>
                <w:b/>
              </w:rPr>
              <w:t>Document C2</w:t>
            </w:r>
            <w:r w:rsidR="00F56668" w:rsidRPr="000D4535">
              <w:rPr>
                <w:b/>
              </w:rPr>
              <w:t>1</w:t>
            </w:r>
            <w:r w:rsidR="002A2188" w:rsidRPr="000D4535">
              <w:rPr>
                <w:b/>
              </w:rPr>
              <w:t>/</w:t>
            </w:r>
            <w:r w:rsidR="000F0F65" w:rsidRPr="000D4535">
              <w:rPr>
                <w:b/>
              </w:rPr>
              <w:t>6</w:t>
            </w:r>
            <w:r w:rsidR="002A2188" w:rsidRPr="000D4535">
              <w:rPr>
                <w:b/>
              </w:rPr>
              <w:t>-E</w:t>
            </w:r>
          </w:p>
        </w:tc>
      </w:tr>
      <w:tr w:rsidR="002A2188" w:rsidRPr="00813E5E" w14:paraId="6B217E52" w14:textId="77777777" w:rsidTr="4151EA7F">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5E48BCAF" w:rsidR="002A2188" w:rsidRPr="00E85629" w:rsidRDefault="000F0F65" w:rsidP="009F66A3">
            <w:pPr>
              <w:tabs>
                <w:tab w:val="left" w:pos="993"/>
              </w:tabs>
              <w:spacing w:before="0"/>
              <w:rPr>
                <w:b/>
              </w:rPr>
            </w:pPr>
            <w:r>
              <w:rPr>
                <w:b/>
              </w:rPr>
              <w:t>23</w:t>
            </w:r>
            <w:r w:rsidR="00CF134B">
              <w:rPr>
                <w:b/>
              </w:rPr>
              <w:t xml:space="preserve"> </w:t>
            </w:r>
            <w:r w:rsidR="00C151F1">
              <w:rPr>
                <w:b/>
              </w:rPr>
              <w:t>March</w:t>
            </w:r>
            <w:r w:rsidR="002A2188">
              <w:rPr>
                <w:b/>
              </w:rPr>
              <w:t xml:space="preserve"> 20</w:t>
            </w:r>
            <w:r w:rsidR="009F66A3">
              <w:rPr>
                <w:b/>
              </w:rPr>
              <w:t>2</w:t>
            </w:r>
            <w:r w:rsidR="00F56668">
              <w:rPr>
                <w:b/>
              </w:rPr>
              <w:t>1</w:t>
            </w:r>
          </w:p>
        </w:tc>
      </w:tr>
      <w:tr w:rsidR="002A2188" w:rsidRPr="00813E5E" w14:paraId="10D36551" w14:textId="77777777" w:rsidTr="4151EA7F">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6094C808" w:rsidR="002A2188" w:rsidRPr="00E85629" w:rsidRDefault="002A2188" w:rsidP="00464B6C">
            <w:pPr>
              <w:tabs>
                <w:tab w:val="left" w:pos="993"/>
              </w:tabs>
              <w:spacing w:before="0"/>
              <w:rPr>
                <w:b/>
              </w:rPr>
            </w:pPr>
            <w:r>
              <w:rPr>
                <w:b/>
              </w:rPr>
              <w:t xml:space="preserve">Original: </w:t>
            </w:r>
            <w:r w:rsidR="000F0F65">
              <w:rPr>
                <w:b/>
              </w:rPr>
              <w:t>English</w:t>
            </w:r>
          </w:p>
        </w:tc>
      </w:tr>
      <w:tr w:rsidR="002A2188" w:rsidRPr="00813E5E" w14:paraId="46399271" w14:textId="77777777" w:rsidTr="4151EA7F">
        <w:trPr>
          <w:cantSplit/>
        </w:trPr>
        <w:tc>
          <w:tcPr>
            <w:tcW w:w="10031" w:type="dxa"/>
            <w:gridSpan w:val="2"/>
          </w:tcPr>
          <w:p w14:paraId="18E28CA0" w14:textId="0DF78982" w:rsidR="002A2188" w:rsidRPr="00813E5E" w:rsidRDefault="00F35AF5" w:rsidP="00464B6C">
            <w:pPr>
              <w:pStyle w:val="Source"/>
            </w:pPr>
            <w:bookmarkStart w:id="6" w:name="dsource" w:colFirst="0" w:colLast="0"/>
            <w:bookmarkEnd w:id="5"/>
            <w:r w:rsidRPr="00D04E39">
              <w:t>Report by the Secretary-General</w:t>
            </w:r>
          </w:p>
        </w:tc>
      </w:tr>
      <w:tr w:rsidR="002A2188" w:rsidRPr="00813E5E" w14:paraId="73F317E2" w14:textId="77777777" w:rsidTr="4151EA7F">
        <w:trPr>
          <w:cantSplit/>
        </w:trPr>
        <w:tc>
          <w:tcPr>
            <w:tcW w:w="10031" w:type="dxa"/>
            <w:gridSpan w:val="2"/>
          </w:tcPr>
          <w:p w14:paraId="29B3DB5C" w14:textId="1B684CBF" w:rsidR="002A2188" w:rsidRPr="00813E5E" w:rsidRDefault="00F35AF5" w:rsidP="00464B6C">
            <w:pPr>
              <w:pStyle w:val="Title1"/>
            </w:pPr>
            <w:bookmarkStart w:id="7" w:name="dtitle1" w:colFirst="0" w:colLast="0"/>
            <w:bookmarkEnd w:id="6"/>
            <w:r>
              <w:t>ITU</w:t>
            </w:r>
            <w:r w:rsidR="00435F09">
              <w:t>’</w:t>
            </w:r>
            <w:r>
              <w:t>S ACTIVITIES RELATED TO RESOLUTION 70 (REV. Dubai, 2018)</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723F4" w14:paraId="4E4C3AF4" w14:textId="77777777" w:rsidTr="4151EA7F">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464B6C">
            <w:pPr>
              <w:pStyle w:val="Headingb"/>
              <w:rPr>
                <w:szCs w:val="24"/>
              </w:rPr>
            </w:pPr>
            <w:r w:rsidRPr="00CF5A9F">
              <w:rPr>
                <w:szCs w:val="24"/>
              </w:rPr>
              <w:t>Summary</w:t>
            </w:r>
          </w:p>
          <w:p w14:paraId="0C0F9374" w14:textId="53DDEBA5" w:rsidR="00EE4F48" w:rsidRDefault="00891D46" w:rsidP="00435F09">
            <w:pPr>
              <w:spacing w:after="120"/>
              <w:jc w:val="both"/>
            </w:pPr>
            <w:r>
              <w:t>This document summarizes ITU</w:t>
            </w:r>
            <w:r w:rsidR="00435F09">
              <w:t>’</w:t>
            </w:r>
            <w:r>
              <w:t xml:space="preserve">s activities related to the implementation of Resolution 70 (Rev. Dubai, 2018) </w:t>
            </w:r>
            <w:r w:rsidRPr="00824B08">
              <w:t xml:space="preserve">since </w:t>
            </w:r>
            <w:r w:rsidR="003A0977" w:rsidRPr="00824B08">
              <w:t>the last report to Council</w:t>
            </w:r>
            <w:r w:rsidR="003A0977">
              <w:t>.</w:t>
            </w:r>
          </w:p>
          <w:p w14:paraId="2FCF1D58" w14:textId="32933AEC" w:rsidR="000D4535" w:rsidRDefault="000D4535" w:rsidP="00435F09">
            <w:pPr>
              <w:spacing w:after="120"/>
              <w:jc w:val="both"/>
            </w:pPr>
            <w:r w:rsidRPr="000D4535">
              <w:t>The 2020 version of this report (C20/6) was prepared for submission to 2020 session of the Council but was not reviewed</w:t>
            </w:r>
            <w:r w:rsidRPr="007050A6">
              <w:rPr>
                <w:rFonts w:asciiTheme="minorHAnsi" w:hAnsiTheme="minorHAnsi" w:cstheme="minorHAnsi"/>
                <w:sz w:val="22"/>
                <w:szCs w:val="22"/>
              </w:rPr>
              <w:t>.</w:t>
            </w:r>
          </w:p>
          <w:p w14:paraId="145DFE4B" w14:textId="1EA3C6D5" w:rsidR="002A2188" w:rsidRPr="00824B08" w:rsidRDefault="002A2188" w:rsidP="00435F09">
            <w:pPr>
              <w:spacing w:after="120"/>
              <w:jc w:val="both"/>
              <w:rPr>
                <w:b/>
                <w:bCs/>
                <w:szCs w:val="24"/>
              </w:rPr>
            </w:pPr>
            <w:r w:rsidRPr="00824B08">
              <w:rPr>
                <w:b/>
                <w:bCs/>
                <w:szCs w:val="24"/>
              </w:rPr>
              <w:t xml:space="preserve">Action </w:t>
            </w:r>
            <w:proofErr w:type="gramStart"/>
            <w:r w:rsidRPr="00824B08">
              <w:rPr>
                <w:b/>
                <w:bCs/>
                <w:szCs w:val="24"/>
              </w:rPr>
              <w:t>required</w:t>
            </w:r>
            <w:proofErr w:type="gramEnd"/>
          </w:p>
          <w:p w14:paraId="07B09272" w14:textId="7D4E8756" w:rsidR="00C65359" w:rsidRPr="00813E5E" w:rsidRDefault="00C65359" w:rsidP="00435F09">
            <w:pPr>
              <w:spacing w:after="120"/>
              <w:jc w:val="both"/>
            </w:pPr>
            <w:r w:rsidRPr="00F52905">
              <w:t xml:space="preserve">The Council is invited </w:t>
            </w:r>
            <w:r w:rsidRPr="008047BE">
              <w:rPr>
                <w:b/>
                <w:bCs/>
              </w:rPr>
              <w:t>to note</w:t>
            </w:r>
            <w:r w:rsidRPr="00F52905">
              <w:t xml:space="preserve"> th</w:t>
            </w:r>
            <w:r w:rsidR="000D4535">
              <w:t>is</w:t>
            </w:r>
            <w:r w:rsidRPr="00F52905">
              <w:t xml:space="preserve"> report</w:t>
            </w:r>
            <w:r w:rsidR="000D4535">
              <w:t xml:space="preserve"> as well as document C20/6.</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77777777" w:rsidR="002A2188" w:rsidRPr="00CF5A9F" w:rsidRDefault="002A2188" w:rsidP="00CF134B">
            <w:pPr>
              <w:pStyle w:val="Headingb"/>
              <w:spacing w:before="120" w:after="120"/>
              <w:rPr>
                <w:szCs w:val="24"/>
              </w:rPr>
            </w:pPr>
            <w:r w:rsidRPr="00CF5A9F">
              <w:rPr>
                <w:szCs w:val="24"/>
              </w:rPr>
              <w:t>References</w:t>
            </w:r>
          </w:p>
          <w:p w14:paraId="2E0343C9" w14:textId="3379D808" w:rsidR="002A2188" w:rsidRPr="00CF5A9F" w:rsidRDefault="00942AF9" w:rsidP="00CF134B">
            <w:pPr>
              <w:pStyle w:val="NoSpacing"/>
              <w:spacing w:before="120" w:after="120"/>
              <w:rPr>
                <w:sz w:val="24"/>
                <w:szCs w:val="24"/>
              </w:rPr>
            </w:pPr>
            <w:r w:rsidRPr="004317A9">
              <w:rPr>
                <w:i/>
                <w:iCs/>
              </w:rPr>
              <w:t xml:space="preserve">PP </w:t>
            </w:r>
            <w:hyperlink r:id="rId12" w:history="1">
              <w:r w:rsidRPr="00561BE6">
                <w:rPr>
                  <w:rStyle w:val="Hyperlink"/>
                  <w:i/>
                  <w:iCs/>
                </w:rPr>
                <w:t>Resolution 70 (Rev. Dubai, 2018)</w:t>
              </w:r>
            </w:hyperlink>
            <w:r w:rsidRPr="004317A9">
              <w:rPr>
                <w:i/>
                <w:iCs/>
              </w:rPr>
              <w:t xml:space="preserve">; Council documents </w:t>
            </w:r>
            <w:hyperlink r:id="rId13" w:history="1">
              <w:r w:rsidRPr="004317A9">
                <w:rPr>
                  <w:rStyle w:val="Hyperlink"/>
                  <w:i/>
                  <w:iCs/>
                </w:rPr>
                <w:t>C13/INF/11</w:t>
              </w:r>
            </w:hyperlink>
            <w:r w:rsidRPr="004317A9">
              <w:rPr>
                <w:i/>
                <w:iCs/>
              </w:rPr>
              <w:t xml:space="preserve">, </w:t>
            </w:r>
            <w:hyperlink r:id="rId14" w:history="1">
              <w:r w:rsidRPr="004317A9">
                <w:rPr>
                  <w:rStyle w:val="Hyperlink"/>
                  <w:i/>
                  <w:iCs/>
                </w:rPr>
                <w:t>C13/39</w:t>
              </w:r>
            </w:hyperlink>
            <w:r w:rsidRPr="004317A9">
              <w:rPr>
                <w:i/>
                <w:iCs/>
              </w:rPr>
              <w:t xml:space="preserve">, </w:t>
            </w:r>
            <w:hyperlink r:id="rId15" w:history="1">
              <w:r w:rsidRPr="004317A9">
                <w:rPr>
                  <w:rStyle w:val="Hyperlink"/>
                  <w:i/>
                  <w:iCs/>
                </w:rPr>
                <w:t>C14/6</w:t>
              </w:r>
            </w:hyperlink>
            <w:r w:rsidRPr="00EE1126">
              <w:rPr>
                <w:rStyle w:val="Hyperlink"/>
                <w:i/>
                <w:iCs/>
              </w:rPr>
              <w:t xml:space="preserve">, </w:t>
            </w:r>
            <w:hyperlink r:id="rId16" w:history="1">
              <w:r w:rsidRPr="004317A9">
                <w:rPr>
                  <w:rStyle w:val="Hyperlink"/>
                  <w:i/>
                  <w:iCs/>
                </w:rPr>
                <w:t>C15/6</w:t>
              </w:r>
            </w:hyperlink>
            <w:r>
              <w:t xml:space="preserve">, </w:t>
            </w:r>
            <w:hyperlink r:id="rId17" w:history="1">
              <w:r w:rsidRPr="00EE1126">
                <w:rPr>
                  <w:rStyle w:val="Hyperlink"/>
                  <w:i/>
                  <w:iCs/>
                </w:rPr>
                <w:t>C16/6</w:t>
              </w:r>
            </w:hyperlink>
            <w:r w:rsidRPr="00EE1126">
              <w:t>,</w:t>
            </w:r>
            <w:r w:rsidRPr="003206FF">
              <w:rPr>
                <w:rStyle w:val="Hyperlink"/>
                <w:i/>
                <w:iCs/>
              </w:rPr>
              <w:t xml:space="preserve"> </w:t>
            </w:r>
            <w:hyperlink r:id="rId18" w:history="1">
              <w:r w:rsidRPr="008047BE">
                <w:rPr>
                  <w:rStyle w:val="Hyperlink"/>
                  <w:i/>
                  <w:iCs/>
                </w:rPr>
                <w:t>C17/6</w:t>
              </w:r>
            </w:hyperlink>
            <w:r w:rsidRPr="008047BE">
              <w:rPr>
                <w:rStyle w:val="Hyperlink"/>
                <w:i/>
                <w:iCs/>
                <w:u w:val="none"/>
              </w:rPr>
              <w:t xml:space="preserve">, </w:t>
            </w:r>
            <w:hyperlink r:id="rId19" w:history="1">
              <w:r w:rsidRPr="008047BE">
                <w:rPr>
                  <w:rStyle w:val="Hyperlink"/>
                  <w:i/>
                  <w:iCs/>
                </w:rPr>
                <w:t>C1</w:t>
              </w:r>
              <w:r>
                <w:rPr>
                  <w:rStyle w:val="Hyperlink"/>
                  <w:i/>
                  <w:iCs/>
                </w:rPr>
                <w:t>8</w:t>
              </w:r>
              <w:r w:rsidRPr="008047BE">
                <w:rPr>
                  <w:rStyle w:val="Hyperlink"/>
                  <w:i/>
                  <w:iCs/>
                </w:rPr>
                <w:t>/6</w:t>
              </w:r>
            </w:hyperlink>
            <w:r w:rsidRPr="008047BE">
              <w:rPr>
                <w:rStyle w:val="Hyperlink"/>
                <w:i/>
                <w:iCs/>
                <w:u w:val="none"/>
              </w:rPr>
              <w:t xml:space="preserve">, </w:t>
            </w:r>
            <w:hyperlink r:id="rId20" w:history="1">
              <w:r w:rsidR="00357541" w:rsidRPr="008723F4">
                <w:rPr>
                  <w:rStyle w:val="Hyperlink"/>
                  <w:i/>
                  <w:iCs/>
                </w:rPr>
                <w:t>C19/6</w:t>
              </w:r>
            </w:hyperlink>
            <w:r w:rsidR="008723F4">
              <w:rPr>
                <w:rStyle w:val="Hyperlink"/>
                <w:i/>
                <w:iCs/>
                <w:u w:val="none"/>
              </w:rPr>
              <w:t xml:space="preserve">, </w:t>
            </w:r>
            <w:hyperlink r:id="rId21" w:history="1">
              <w:r w:rsidR="005B6C18" w:rsidRPr="009C159D">
                <w:rPr>
                  <w:rStyle w:val="Hyperlink"/>
                  <w:i/>
                  <w:iCs/>
                </w:rPr>
                <w:t>C</w:t>
              </w:r>
              <w:r w:rsidR="00A6079C" w:rsidRPr="009C159D">
                <w:rPr>
                  <w:rStyle w:val="Hyperlink"/>
                  <w:i/>
                  <w:iCs/>
                </w:rPr>
                <w:t>20/6</w:t>
              </w:r>
            </w:hyperlink>
            <w:r w:rsidR="00A6079C">
              <w:rPr>
                <w:rStyle w:val="Hyperlink"/>
                <w:i/>
                <w:iCs/>
                <w:u w:val="none"/>
              </w:rPr>
              <w:t xml:space="preserve">, </w:t>
            </w:r>
            <w:hyperlink r:id="rId22" w:history="1">
              <w:r w:rsidRPr="008047BE">
                <w:rPr>
                  <w:rStyle w:val="Hyperlink"/>
                  <w:i/>
                  <w:iCs/>
                </w:rPr>
                <w:t>C18/INF/3</w:t>
              </w:r>
            </w:hyperlink>
            <w:r>
              <w:rPr>
                <w:rStyle w:val="Hyperlink"/>
                <w:i/>
                <w:iCs/>
                <w:u w:val="none"/>
              </w:rPr>
              <w:t xml:space="preserve">, </w:t>
            </w:r>
            <w:hyperlink r:id="rId23" w:history="1">
              <w:r>
                <w:rPr>
                  <w:rStyle w:val="Hyperlink"/>
                  <w:i/>
                  <w:iCs/>
                </w:rPr>
                <w:t>C19/INF/2</w:t>
              </w:r>
            </w:hyperlink>
            <w:r w:rsidRPr="00DB7C5A">
              <w:rPr>
                <w:rStyle w:val="Hyperlink"/>
                <w:i/>
                <w:iCs/>
                <w:u w:val="none"/>
              </w:rPr>
              <w:t xml:space="preserve">, </w:t>
            </w:r>
            <w:hyperlink r:id="rId24" w:history="1">
              <w:r w:rsidRPr="00DB7C5A">
                <w:rPr>
                  <w:rStyle w:val="Hyperlink"/>
                  <w:i/>
                  <w:iCs/>
                </w:rPr>
                <w:t>C19/24</w:t>
              </w:r>
            </w:hyperlink>
            <w:r w:rsidRPr="00B83AF7">
              <w:rPr>
                <w:rStyle w:val="Hyperlink"/>
                <w:i/>
                <w:iCs/>
                <w:u w:val="none"/>
              </w:rPr>
              <w:t xml:space="preserve">, </w:t>
            </w:r>
            <w:hyperlink r:id="rId25" w:history="1">
              <w:r w:rsidRPr="00B83AF7">
                <w:rPr>
                  <w:rStyle w:val="Hyperlink"/>
                  <w:i/>
                  <w:iCs/>
                </w:rPr>
                <w:t>C20/INF/2</w:t>
              </w:r>
            </w:hyperlink>
            <w:r w:rsidR="007A35BC">
              <w:rPr>
                <w:rStyle w:val="Hyperlink"/>
                <w:i/>
                <w:iCs/>
              </w:rPr>
              <w:t xml:space="preserve">, </w:t>
            </w:r>
            <w:hyperlink r:id="rId26" w:history="1">
              <w:r w:rsidR="007A35BC" w:rsidRPr="00B83AF7">
                <w:rPr>
                  <w:rStyle w:val="Hyperlink"/>
                  <w:i/>
                  <w:iCs/>
                </w:rPr>
                <w:t>C2</w:t>
              </w:r>
              <w:r w:rsidR="007A35BC">
                <w:rPr>
                  <w:rStyle w:val="Hyperlink"/>
                  <w:i/>
                  <w:iCs/>
                </w:rPr>
                <w:t>1</w:t>
              </w:r>
              <w:r w:rsidR="007A35BC" w:rsidRPr="00B83AF7">
                <w:rPr>
                  <w:rStyle w:val="Hyperlink"/>
                  <w:i/>
                  <w:iCs/>
                </w:rPr>
                <w:t>/INF/</w:t>
              </w:r>
              <w:r w:rsidR="007A35BC">
                <w:rPr>
                  <w:rStyle w:val="Hyperlink"/>
                  <w:i/>
                  <w:iCs/>
                </w:rPr>
                <w:t>4</w:t>
              </w:r>
            </w:hyperlink>
          </w:p>
        </w:tc>
      </w:tr>
    </w:tbl>
    <w:p w14:paraId="51556583" w14:textId="6C6C2613" w:rsidR="00304E17" w:rsidRPr="00EE1126" w:rsidRDefault="000D4535" w:rsidP="00304E17">
      <w:pPr>
        <w:pStyle w:val="Heading1"/>
        <w:keepNext w:val="0"/>
        <w:keepLines w:val="0"/>
        <w:tabs>
          <w:tab w:val="clear" w:pos="567"/>
          <w:tab w:val="clear" w:pos="1134"/>
          <w:tab w:val="clear" w:pos="1701"/>
          <w:tab w:val="clear" w:pos="2268"/>
          <w:tab w:val="clear" w:pos="2835"/>
        </w:tabs>
        <w:snapToGrid w:val="0"/>
        <w:spacing w:after="120"/>
        <w:rPr>
          <w:caps/>
          <w:sz w:val="24"/>
          <w:szCs w:val="24"/>
        </w:rPr>
      </w:pPr>
      <w:bookmarkStart w:id="8" w:name="dstart"/>
      <w:bookmarkStart w:id="9" w:name="dbreak"/>
      <w:bookmarkEnd w:id="8"/>
      <w:bookmarkEnd w:id="9"/>
      <w:r>
        <w:rPr>
          <w:sz w:val="24"/>
          <w:szCs w:val="24"/>
        </w:rPr>
        <w:t>1</w:t>
      </w:r>
      <w:r>
        <w:rPr>
          <w:sz w:val="24"/>
          <w:szCs w:val="24"/>
        </w:rPr>
        <w:tab/>
      </w:r>
      <w:r w:rsidR="00304E17" w:rsidRPr="00EE1126">
        <w:rPr>
          <w:sz w:val="24"/>
          <w:szCs w:val="24"/>
        </w:rPr>
        <w:t>Introduction</w:t>
      </w:r>
    </w:p>
    <w:p w14:paraId="54244561" w14:textId="147BC4FF" w:rsidR="00304E17" w:rsidRPr="00EE1126" w:rsidRDefault="00304E17" w:rsidP="00304E17">
      <w:pPr>
        <w:tabs>
          <w:tab w:val="clear" w:pos="567"/>
          <w:tab w:val="clear" w:pos="1134"/>
          <w:tab w:val="clear" w:pos="1701"/>
          <w:tab w:val="clear" w:pos="2268"/>
          <w:tab w:val="clear" w:pos="2835"/>
        </w:tabs>
        <w:snapToGrid w:val="0"/>
        <w:spacing w:after="120"/>
        <w:jc w:val="both"/>
        <w:rPr>
          <w:rFonts w:cstheme="minorBidi"/>
        </w:rPr>
      </w:pPr>
      <w:r w:rsidRPr="73EAA821">
        <w:rPr>
          <w:rFonts w:cstheme="minorBidi"/>
        </w:rPr>
        <w:t xml:space="preserve">Resolution 70 (Rev. Dubai, 2018) highlights the importance of mainstreaming a gender perspective in ITU and promoting gender equality and the empowerment of women through telecommunications/information and communication technologies (ICTs). This document provides a summary review of relevant activities and developments </w:t>
      </w:r>
      <w:r w:rsidRPr="00042F15">
        <w:rPr>
          <w:rFonts w:cstheme="minorBidi"/>
        </w:rPr>
        <w:t xml:space="preserve">since the Virtual Consultation of Councillors </w:t>
      </w:r>
      <w:r w:rsidR="00042F15" w:rsidRPr="00042F15">
        <w:rPr>
          <w:rFonts w:cstheme="minorBidi"/>
        </w:rPr>
        <w:t xml:space="preserve">(VCC-2) in </w:t>
      </w:r>
      <w:r w:rsidRPr="00042F15">
        <w:rPr>
          <w:rFonts w:cstheme="minorBidi"/>
        </w:rPr>
        <w:t>2020</w:t>
      </w:r>
      <w:r w:rsidRPr="73EAA821">
        <w:rPr>
          <w:rFonts w:cstheme="minorBidi"/>
        </w:rPr>
        <w:t xml:space="preserve">. </w:t>
      </w:r>
      <w:r w:rsidRPr="73EAA821">
        <w:rPr>
          <w:rFonts w:eastAsia="SimSun"/>
        </w:rPr>
        <w:t xml:space="preserve">Further information related to gender and ICTs can be found on </w:t>
      </w:r>
      <w:hyperlink r:id="rId27">
        <w:r w:rsidRPr="73EAA821">
          <w:rPr>
            <w:rStyle w:val="Hyperlink"/>
            <w:rFonts w:eastAsia="SimSun"/>
          </w:rPr>
          <w:t>ITU</w:t>
        </w:r>
        <w:r w:rsidR="00435F09">
          <w:rPr>
            <w:rStyle w:val="Hyperlink"/>
            <w:rFonts w:eastAsia="SimSun"/>
          </w:rPr>
          <w:t>’</w:t>
        </w:r>
        <w:r w:rsidRPr="73EAA821">
          <w:rPr>
            <w:rStyle w:val="Hyperlink"/>
            <w:rFonts w:eastAsia="SimSun"/>
          </w:rPr>
          <w:t>s gender webpage</w:t>
        </w:r>
      </w:hyperlink>
      <w:r w:rsidRPr="73EAA821">
        <w:rPr>
          <w:rFonts w:eastAsia="SimSun"/>
        </w:rPr>
        <w:t>.</w:t>
      </w:r>
    </w:p>
    <w:p w14:paraId="0E867E92" w14:textId="77777777" w:rsidR="00304E17" w:rsidRPr="00EE1126" w:rsidRDefault="00304E17" w:rsidP="00304E17">
      <w:pPr>
        <w:pStyle w:val="Heading1"/>
        <w:keepNext w:val="0"/>
        <w:keepLines w:val="0"/>
        <w:tabs>
          <w:tab w:val="clear" w:pos="567"/>
          <w:tab w:val="clear" w:pos="1134"/>
          <w:tab w:val="clear" w:pos="1701"/>
          <w:tab w:val="clear" w:pos="2268"/>
          <w:tab w:val="clear" w:pos="2835"/>
        </w:tabs>
        <w:snapToGrid w:val="0"/>
        <w:spacing w:after="120"/>
        <w:rPr>
          <w:rFonts w:eastAsia="SimSun"/>
          <w:sz w:val="24"/>
          <w:szCs w:val="24"/>
        </w:rPr>
      </w:pPr>
      <w:r w:rsidRPr="00EE1126">
        <w:rPr>
          <w:sz w:val="24"/>
          <w:szCs w:val="24"/>
        </w:rPr>
        <w:t>2</w:t>
      </w:r>
      <w:r w:rsidRPr="00EE1126">
        <w:rPr>
          <w:sz w:val="24"/>
          <w:szCs w:val="24"/>
        </w:rPr>
        <w:tab/>
        <w:t>Data Gathering and Tracking</w:t>
      </w:r>
    </w:p>
    <w:p w14:paraId="58B262D5" w14:textId="4009E3B8" w:rsidR="00304E17" w:rsidRDefault="00304E17" w:rsidP="00304E17">
      <w:pPr>
        <w:tabs>
          <w:tab w:val="clear" w:pos="567"/>
          <w:tab w:val="clear" w:pos="1134"/>
          <w:tab w:val="clear" w:pos="1701"/>
          <w:tab w:val="clear" w:pos="2268"/>
          <w:tab w:val="clear" w:pos="2835"/>
        </w:tabs>
        <w:snapToGrid w:val="0"/>
        <w:spacing w:after="120"/>
        <w:jc w:val="both"/>
      </w:pPr>
      <w:r>
        <w:t xml:space="preserve">ITU regularly collects and disseminates ICT indicators </w:t>
      </w:r>
      <w:r w:rsidRPr="73EAA821">
        <w:rPr>
          <w:rFonts w:eastAsia="SimSun"/>
        </w:rPr>
        <w:t xml:space="preserve">related to individuals accessing and using ICTs. These indicators can </w:t>
      </w:r>
      <w:r>
        <w:t xml:space="preserve">be </w:t>
      </w:r>
      <w:r w:rsidRPr="73EAA821">
        <w:rPr>
          <w:rFonts w:eastAsia="SimSun"/>
        </w:rPr>
        <w:t xml:space="preserve">disaggregated by gender, age, education, labour force status, and occupation. </w:t>
      </w:r>
      <w:r>
        <w:t>ITU monitors and tracks three gender-related indicators that are included in the SDG Indicators Monitoring Framework: (1) “</w:t>
      </w:r>
      <w:r w:rsidRPr="73EAA821">
        <w:rPr>
          <w:i/>
          <w:iCs/>
        </w:rPr>
        <w:t xml:space="preserve">proportion of individuals who own a mobile telephone, by </w:t>
      </w:r>
      <w:r w:rsidRPr="73EAA821">
        <w:rPr>
          <w:i/>
          <w:iCs/>
        </w:rPr>
        <w:lastRenderedPageBreak/>
        <w:t>sex</w:t>
      </w:r>
      <w:r>
        <w:t>” (which is one of the gender-related indicators monitoring SDG 5), (2) “</w:t>
      </w:r>
      <w:r w:rsidRPr="73EAA821">
        <w:rPr>
          <w:i/>
          <w:iCs/>
        </w:rPr>
        <w:t>proportion of individuals using the Internet, by sex</w:t>
      </w:r>
      <w:r>
        <w:t>”, and (3) “</w:t>
      </w:r>
      <w:r w:rsidRPr="73EAA821">
        <w:rPr>
          <w:i/>
          <w:iCs/>
        </w:rPr>
        <w:t>proportion of individuals with ICT skills, by sex</w:t>
      </w:r>
      <w:r>
        <w:t xml:space="preserve">”. </w:t>
      </w:r>
      <w:r w:rsidRPr="73EAA821">
        <w:rPr>
          <w:rFonts w:eastAsia="Calibri" w:cs="Calibri"/>
          <w:szCs w:val="24"/>
        </w:rPr>
        <w:t xml:space="preserve">Latest figures as published in </w:t>
      </w:r>
      <w:hyperlink r:id="rId28" w:history="1">
        <w:r w:rsidRPr="003F40CA">
          <w:rPr>
            <w:rStyle w:val="Hyperlink"/>
            <w:rFonts w:eastAsia="Calibri" w:cs="Calibri"/>
            <w:szCs w:val="24"/>
          </w:rPr>
          <w:t>ITU</w:t>
        </w:r>
        <w:r w:rsidR="00435F09">
          <w:rPr>
            <w:rStyle w:val="Hyperlink"/>
            <w:rFonts w:eastAsia="Calibri" w:cs="Calibri"/>
            <w:szCs w:val="24"/>
          </w:rPr>
          <w:t>’</w:t>
        </w:r>
        <w:r w:rsidRPr="003F40CA">
          <w:rPr>
            <w:rStyle w:val="Hyperlink"/>
            <w:rFonts w:eastAsia="Calibri" w:cs="Calibri"/>
            <w:szCs w:val="24"/>
          </w:rPr>
          <w:t xml:space="preserve">s Measuring digital development: Facts and figures </w:t>
        </w:r>
        <w:r w:rsidRPr="008E68BF">
          <w:rPr>
            <w:rStyle w:val="Hyperlink"/>
            <w:rFonts w:eastAsia="Calibri" w:cs="Calibri"/>
            <w:szCs w:val="24"/>
          </w:rPr>
          <w:t>2020</w:t>
        </w:r>
      </w:hyperlink>
      <w:r>
        <w:rPr>
          <w:rStyle w:val="Hyperlink"/>
          <w:rFonts w:eastAsia="Calibri" w:cs="Calibri"/>
          <w:szCs w:val="24"/>
        </w:rPr>
        <w:t xml:space="preserve"> </w:t>
      </w:r>
      <w:r w:rsidRPr="73EAA821">
        <w:rPr>
          <w:rFonts w:eastAsia="Calibri" w:cs="Calibri"/>
          <w:szCs w:val="24"/>
        </w:rPr>
        <w:t xml:space="preserve">show that while Internet use continues to spread, the digital gender gap is also growing. More effective action is urgently needed to address a range of barriers – cultural, </w:t>
      </w:r>
      <w:proofErr w:type="gramStart"/>
      <w:r w:rsidRPr="73EAA821">
        <w:rPr>
          <w:rFonts w:eastAsia="Calibri" w:cs="Calibri"/>
          <w:szCs w:val="24"/>
        </w:rPr>
        <w:t>financial</w:t>
      </w:r>
      <w:proofErr w:type="gramEnd"/>
      <w:r w:rsidRPr="73EAA821">
        <w:rPr>
          <w:rFonts w:eastAsia="Calibri" w:cs="Calibri"/>
          <w:szCs w:val="24"/>
        </w:rPr>
        <w:t xml:space="preserve"> and skills-related – that are impeding Internet uptake, especially among women.</w:t>
      </w:r>
    </w:p>
    <w:p w14:paraId="4E865D45" w14:textId="6A71FFA8" w:rsidR="00304E17" w:rsidRDefault="00304E17" w:rsidP="00304E17">
      <w:pPr>
        <w:tabs>
          <w:tab w:val="clear" w:pos="567"/>
          <w:tab w:val="clear" w:pos="1134"/>
          <w:tab w:val="clear" w:pos="1701"/>
          <w:tab w:val="clear" w:pos="2268"/>
          <w:tab w:val="clear" w:pos="2835"/>
        </w:tabs>
        <w:snapToGrid w:val="0"/>
        <w:spacing w:after="120"/>
        <w:jc w:val="both"/>
      </w:pPr>
      <w:bookmarkStart w:id="10" w:name="_Hlk2678733"/>
      <w:r>
        <w:t>ITU</w:t>
      </w:r>
      <w:r w:rsidR="00435F09">
        <w:t>’</w:t>
      </w:r>
      <w:r>
        <w:t xml:space="preserve">s </w:t>
      </w:r>
      <w:hyperlink r:id="rId29">
        <w:r>
          <w:rPr>
            <w:rStyle w:val="Hyperlink"/>
          </w:rPr>
          <w:t>g</w:t>
        </w:r>
        <w:r w:rsidRPr="73EAA821">
          <w:rPr>
            <w:rStyle w:val="Hyperlink"/>
          </w:rPr>
          <w:t xml:space="preserve">ender </w:t>
        </w:r>
        <w:r>
          <w:rPr>
            <w:rStyle w:val="Hyperlink"/>
          </w:rPr>
          <w:t>d</w:t>
        </w:r>
        <w:r w:rsidRPr="73EAA821">
          <w:rPr>
            <w:rStyle w:val="Hyperlink"/>
          </w:rPr>
          <w:t>ashboard</w:t>
        </w:r>
      </w:hyperlink>
      <w:r>
        <w:t xml:space="preserve"> is </w:t>
      </w:r>
      <w:r w:rsidR="00FA5451">
        <w:t>under</w:t>
      </w:r>
      <w:r>
        <w:t xml:space="preserve"> review </w:t>
      </w:r>
      <w:r w:rsidR="00604ABE">
        <w:t>online</w:t>
      </w:r>
      <w:r>
        <w:t xml:space="preserve">. It will continue to provide a visual overview of gender in the ICT arena, in ITU meetings, and within ITU, such as staff composition by gender and grade, </w:t>
      </w:r>
      <w:r w:rsidR="000D4535">
        <w:t>g</w:t>
      </w:r>
      <w:r>
        <w:t xml:space="preserve">ender representation in the recruitment and selection processes. Gender representation in statutory committees is also reported. The ITU performance in the UN SWAP 2.0 will also be included. Further gender equality efforts in human resources </w:t>
      </w:r>
      <w:r w:rsidR="00C519CE">
        <w:t>are</w:t>
      </w:r>
      <w:r>
        <w:t xml:space="preserve"> available in the </w:t>
      </w:r>
      <w:hyperlink r:id="rId30" w:history="1">
        <w:r w:rsidRPr="000D4535">
          <w:rPr>
            <w:rStyle w:val="Hyperlink"/>
          </w:rPr>
          <w:t>Report to Council on Resolution 48</w:t>
        </w:r>
      </w:hyperlink>
      <w:r w:rsidRPr="001F5A04">
        <w:t>.</w:t>
      </w:r>
      <w:r>
        <w:t xml:space="preserve"> </w:t>
      </w:r>
    </w:p>
    <w:bookmarkEnd w:id="10"/>
    <w:p w14:paraId="13B4FC62" w14:textId="77777777" w:rsidR="00304E17" w:rsidRPr="00EE1126" w:rsidRDefault="00304E17" w:rsidP="00304E17">
      <w:pPr>
        <w:pStyle w:val="Heading1"/>
        <w:keepNext w:val="0"/>
        <w:keepLines w:val="0"/>
        <w:tabs>
          <w:tab w:val="clear" w:pos="567"/>
          <w:tab w:val="clear" w:pos="1134"/>
          <w:tab w:val="clear" w:pos="1701"/>
          <w:tab w:val="clear" w:pos="2268"/>
          <w:tab w:val="clear" w:pos="2835"/>
        </w:tabs>
        <w:snapToGrid w:val="0"/>
        <w:spacing w:after="120"/>
        <w:ind w:left="709" w:hanging="709"/>
        <w:jc w:val="both"/>
        <w:rPr>
          <w:rFonts w:eastAsia="SimSun"/>
          <w:sz w:val="24"/>
          <w:szCs w:val="24"/>
        </w:rPr>
      </w:pPr>
      <w:r w:rsidRPr="00EE1126">
        <w:rPr>
          <w:rFonts w:eastAsia="SimSun"/>
          <w:sz w:val="24"/>
          <w:szCs w:val="24"/>
        </w:rPr>
        <w:t>3</w:t>
      </w:r>
      <w:r w:rsidRPr="00EE1126">
        <w:rPr>
          <w:rFonts w:eastAsia="SimSun"/>
          <w:sz w:val="24"/>
          <w:szCs w:val="24"/>
        </w:rPr>
        <w:tab/>
      </w:r>
      <w:r>
        <w:rPr>
          <w:rFonts w:eastAsia="SimSun"/>
          <w:sz w:val="24"/>
          <w:szCs w:val="24"/>
        </w:rPr>
        <w:t xml:space="preserve">Advancing Agenda 2030 and </w:t>
      </w:r>
      <w:r w:rsidRPr="00EE1126">
        <w:rPr>
          <w:rFonts w:eastAsia="SimSun"/>
          <w:sz w:val="24"/>
          <w:szCs w:val="24"/>
        </w:rPr>
        <w:t xml:space="preserve">Bridging the Digital Gender Divide </w:t>
      </w:r>
    </w:p>
    <w:p w14:paraId="2142E6B0" w14:textId="77777777" w:rsidR="00304E17" w:rsidRPr="00EE1126" w:rsidRDefault="00304E17" w:rsidP="00304E17">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bookmarkStart w:id="11" w:name="_Hlk2676846"/>
      <w:r>
        <w:rPr>
          <w:szCs w:val="24"/>
        </w:rPr>
        <w:t>3.1</w:t>
      </w:r>
      <w:r>
        <w:rPr>
          <w:szCs w:val="24"/>
        </w:rPr>
        <w:tab/>
        <w:t>World Summit on the Information Society (WSIS)</w:t>
      </w:r>
    </w:p>
    <w:bookmarkEnd w:id="11"/>
    <w:p w14:paraId="1E98B26D" w14:textId="64F50A57" w:rsidR="00304E17" w:rsidRDefault="00304E17" w:rsidP="00304E17">
      <w:pPr>
        <w:spacing w:after="120"/>
        <w:jc w:val="both"/>
        <w:rPr>
          <w:rStyle w:val="Hyperlink"/>
          <w:rFonts w:eastAsia="Calibri" w:cs="Calibri"/>
          <w:szCs w:val="24"/>
        </w:rPr>
      </w:pPr>
      <w:r w:rsidRPr="73EAA821">
        <w:rPr>
          <w:rFonts w:asciiTheme="minorHAnsi" w:hAnsiTheme="minorHAnsi"/>
        </w:rPr>
        <w:t>The</w:t>
      </w:r>
      <w:r w:rsidRPr="73EAA821">
        <w:rPr>
          <w:rFonts w:asciiTheme="minorHAnsi" w:hAnsiTheme="minorHAnsi"/>
          <w:b/>
          <w:bCs/>
        </w:rPr>
        <w:t xml:space="preserve"> </w:t>
      </w:r>
      <w:hyperlink r:id="rId31">
        <w:r w:rsidRPr="73EAA821">
          <w:rPr>
            <w:rStyle w:val="Hyperlink"/>
            <w:rFonts w:asciiTheme="minorHAnsi" w:hAnsiTheme="minorHAnsi"/>
          </w:rPr>
          <w:t>WSIS+10 Statement on Implementation of WSIS Outcomes and the WSIS+10 Vision for WSIS Beyond 2015</w:t>
        </w:r>
      </w:hyperlink>
      <w:r w:rsidRPr="73EAA821">
        <w:rPr>
          <w:rFonts w:asciiTheme="minorHAnsi" w:hAnsiTheme="minorHAnsi"/>
          <w:b/>
          <w:bCs/>
        </w:rPr>
        <w:t xml:space="preserve"> </w:t>
      </w:r>
      <w:r w:rsidRPr="73EAA821">
        <w:rPr>
          <w:rFonts w:asciiTheme="minorHAnsi" w:hAnsiTheme="minorHAnsi"/>
        </w:rPr>
        <w:t>invite all</w:t>
      </w:r>
      <w:r w:rsidRPr="73EAA821">
        <w:rPr>
          <w:rFonts w:asciiTheme="minorHAnsi" w:hAnsiTheme="minorHAnsi"/>
          <w:b/>
          <w:bCs/>
        </w:rPr>
        <w:t xml:space="preserve"> </w:t>
      </w:r>
      <w:r w:rsidRPr="73EAA821">
        <w:rPr>
          <w:rFonts w:asciiTheme="minorHAnsi" w:hAnsiTheme="minorHAnsi"/>
        </w:rPr>
        <w:t>WSIS Stakeholders to mainstream a gender equality perspective and use ICTs as a tool to that end. As the coordinator of the WSIS Process, the ITU has been working with the UN WSIS Action Line focal points and across ITU</w:t>
      </w:r>
      <w:r>
        <w:rPr>
          <w:rFonts w:asciiTheme="minorHAnsi" w:hAnsiTheme="minorHAnsi"/>
        </w:rPr>
        <w:t xml:space="preserve"> </w:t>
      </w:r>
      <w:r w:rsidRPr="73EAA821">
        <w:rPr>
          <w:rFonts w:asciiTheme="minorHAnsi" w:hAnsiTheme="minorHAnsi"/>
        </w:rPr>
        <w:t xml:space="preserve">to fully integrate gender equality perspectives in WSIS related strategies. </w:t>
      </w:r>
      <w:r>
        <w:rPr>
          <w:rFonts w:eastAsia="Calibri" w:cs="Calibri"/>
          <w:szCs w:val="24"/>
        </w:rPr>
        <w:t xml:space="preserve">The </w:t>
      </w:r>
      <w:r w:rsidRPr="73EAA821">
        <w:rPr>
          <w:rFonts w:eastAsia="Calibri" w:cs="Calibri"/>
          <w:szCs w:val="24"/>
        </w:rPr>
        <w:t>WSIS Forum 2020</w:t>
      </w:r>
      <w:r>
        <w:rPr>
          <w:rFonts w:eastAsia="Calibri" w:cs="Calibri"/>
          <w:szCs w:val="24"/>
        </w:rPr>
        <w:t xml:space="preserve"> was celebrated online</w:t>
      </w:r>
      <w:r w:rsidRPr="73EAA821">
        <w:rPr>
          <w:rFonts w:eastAsia="Calibri" w:cs="Calibri"/>
          <w:szCs w:val="24"/>
        </w:rPr>
        <w:t xml:space="preserve">, </w:t>
      </w:r>
      <w:r>
        <w:rPr>
          <w:rFonts w:eastAsia="Calibri" w:cs="Calibri"/>
          <w:szCs w:val="24"/>
        </w:rPr>
        <w:t>with</w:t>
      </w:r>
      <w:r w:rsidRPr="004260F9">
        <w:rPr>
          <w:rFonts w:eastAsia="Calibri" w:cs="Calibri"/>
          <w:szCs w:val="24"/>
        </w:rPr>
        <w:t xml:space="preserve"> the special track on “ICTs and Gender Mainstreaming” to discuss challenges and solutions to close the gender gap in the digital economy, feeding into the pursuit of SDG 5 on gender equality</w:t>
      </w:r>
      <w:r>
        <w:rPr>
          <w:rFonts w:eastAsia="Calibri" w:cs="Calibri"/>
          <w:szCs w:val="24"/>
        </w:rPr>
        <w:t xml:space="preserve">. </w:t>
      </w:r>
      <w:r w:rsidR="008072F5">
        <w:rPr>
          <w:rFonts w:eastAsia="Calibri" w:cs="Calibri"/>
          <w:szCs w:val="24"/>
        </w:rPr>
        <w:t>This track</w:t>
      </w:r>
      <w:r>
        <w:rPr>
          <w:rFonts w:eastAsia="Calibri" w:cs="Calibri"/>
          <w:szCs w:val="24"/>
        </w:rPr>
        <w:t xml:space="preserve"> </w:t>
      </w:r>
      <w:r w:rsidRPr="004260F9">
        <w:rPr>
          <w:rFonts w:eastAsia="Calibri" w:cs="Calibri"/>
          <w:szCs w:val="24"/>
        </w:rPr>
        <w:t>host</w:t>
      </w:r>
      <w:r>
        <w:rPr>
          <w:rFonts w:eastAsia="Calibri" w:cs="Calibri"/>
          <w:szCs w:val="24"/>
        </w:rPr>
        <w:t>ed</w:t>
      </w:r>
      <w:r w:rsidRPr="004260F9">
        <w:rPr>
          <w:rFonts w:eastAsia="Calibri" w:cs="Calibri"/>
          <w:szCs w:val="24"/>
        </w:rPr>
        <w:t xml:space="preserve"> 10 workshops that were attended virtually by more than 800 participants coming from 63 different countries</w:t>
      </w:r>
      <w:r>
        <w:rPr>
          <w:rFonts w:eastAsia="Calibri" w:cs="Calibri"/>
          <w:szCs w:val="24"/>
        </w:rPr>
        <w:t xml:space="preserve">, and a </w:t>
      </w:r>
      <w:r w:rsidRPr="004260F9">
        <w:rPr>
          <w:rFonts w:eastAsia="Calibri" w:cs="Calibri"/>
          <w:szCs w:val="24"/>
        </w:rPr>
        <w:t>total of 81 speakers particip</w:t>
      </w:r>
      <w:r>
        <w:rPr>
          <w:rFonts w:eastAsia="Calibri" w:cs="Calibri"/>
          <w:szCs w:val="24"/>
        </w:rPr>
        <w:t>at</w:t>
      </w:r>
      <w:r w:rsidRPr="004260F9">
        <w:rPr>
          <w:rFonts w:eastAsia="Calibri" w:cs="Calibri"/>
          <w:szCs w:val="24"/>
        </w:rPr>
        <w:t>ed</w:t>
      </w:r>
      <w:r w:rsidRPr="73EAA821">
        <w:rPr>
          <w:rFonts w:eastAsia="Calibri" w:cs="Calibri"/>
          <w:szCs w:val="24"/>
        </w:rPr>
        <w:t>.</w:t>
      </w:r>
      <w:r>
        <w:rPr>
          <w:rFonts w:eastAsia="Calibri" w:cs="Calibri"/>
          <w:szCs w:val="24"/>
        </w:rPr>
        <w:t xml:space="preserve"> Within</w:t>
      </w:r>
      <w:r w:rsidR="00CA72DF">
        <w:rPr>
          <w:rFonts w:eastAsia="Calibri" w:cs="Calibri"/>
          <w:szCs w:val="24"/>
        </w:rPr>
        <w:t xml:space="preserve"> the </w:t>
      </w:r>
      <w:r w:rsidR="00F45F3F">
        <w:rPr>
          <w:rFonts w:eastAsia="Calibri" w:cs="Calibri"/>
          <w:szCs w:val="24"/>
        </w:rPr>
        <w:t xml:space="preserve">50/50 Gender Participation Challenge, </w:t>
      </w:r>
      <w:r w:rsidR="00797D81">
        <w:rPr>
          <w:rFonts w:eastAsia="Calibri" w:cs="Calibri"/>
          <w:szCs w:val="24"/>
        </w:rPr>
        <w:t xml:space="preserve">the distribution for </w:t>
      </w:r>
      <w:r>
        <w:rPr>
          <w:rFonts w:eastAsia="Calibri" w:cs="Calibri"/>
          <w:szCs w:val="24"/>
        </w:rPr>
        <w:t xml:space="preserve">the eleven High-level Policy Sessions was 51% male and 49% female. More information about the WSIS Forum and its preparations for 2021 can be found in </w:t>
      </w:r>
      <w:hyperlink r:id="rId32" w:history="1">
        <w:r w:rsidRPr="003F010F">
          <w:rPr>
            <w:rStyle w:val="Hyperlink"/>
            <w:rFonts w:eastAsia="Calibri" w:cs="Calibri"/>
            <w:szCs w:val="24"/>
          </w:rPr>
          <w:t>www.wsis.org/forum</w:t>
        </w:r>
      </w:hyperlink>
    </w:p>
    <w:p w14:paraId="6301B3D2" w14:textId="77777777" w:rsidR="00304E17" w:rsidRPr="00D238D0" w:rsidRDefault="00304E17" w:rsidP="00304E17">
      <w:pPr>
        <w:spacing w:after="120"/>
        <w:jc w:val="both"/>
        <w:rPr>
          <w:rStyle w:val="Hyperlink"/>
          <w:rFonts w:eastAsia="Calibri" w:cs="Calibri"/>
          <w:b/>
          <w:bCs/>
          <w:szCs w:val="24"/>
        </w:rPr>
      </w:pPr>
      <w:r w:rsidRPr="00104392">
        <w:rPr>
          <w:b/>
          <w:bCs/>
        </w:rPr>
        <w:t xml:space="preserve">3.2 </w:t>
      </w:r>
      <w:r>
        <w:rPr>
          <w:b/>
          <w:bCs/>
        </w:rPr>
        <w:tab/>
      </w:r>
      <w:r w:rsidRPr="00104392">
        <w:rPr>
          <w:b/>
          <w:bCs/>
        </w:rPr>
        <w:t>Girls in ICT Day</w:t>
      </w:r>
    </w:p>
    <w:p w14:paraId="535C7048" w14:textId="637CF41C" w:rsidR="00304E17" w:rsidRDefault="00D17C1F" w:rsidP="00304E17">
      <w:pPr>
        <w:jc w:val="both"/>
      </w:pPr>
      <w:r>
        <w:rPr>
          <w:lang w:val="en"/>
        </w:rPr>
        <w:t xml:space="preserve">Launched in 2011 and now </w:t>
      </w:r>
      <w:r w:rsidRPr="73EAA821">
        <w:rPr>
          <w:lang w:val="en"/>
        </w:rPr>
        <w:t xml:space="preserve">a </w:t>
      </w:r>
      <w:hyperlink r:id="rId33" w:history="1">
        <w:r w:rsidRPr="73EAA821">
          <w:rPr>
            <w:rStyle w:val="Hyperlink"/>
            <w:lang w:val="en"/>
          </w:rPr>
          <w:t>UN observance</w:t>
        </w:r>
      </w:hyperlink>
      <w:r>
        <w:rPr>
          <w:lang w:val="en"/>
        </w:rPr>
        <w:t>, t</w:t>
      </w:r>
      <w:r w:rsidRPr="73EAA821">
        <w:rPr>
          <w:lang w:val="en"/>
        </w:rPr>
        <w:t xml:space="preserve">he </w:t>
      </w:r>
      <w:hyperlink r:id="rId34" w:history="1">
        <w:r w:rsidRPr="73EAA821">
          <w:rPr>
            <w:rStyle w:val="Hyperlink"/>
            <w:lang w:val="en"/>
          </w:rPr>
          <w:t>International Girls in ICT Day</w:t>
        </w:r>
      </w:hyperlink>
      <w:r w:rsidRPr="73EAA821">
        <w:rPr>
          <w:lang w:val="en"/>
        </w:rPr>
        <w:t xml:space="preserve"> takes place every fourth Thursday of April to encourage more girls and young women to take up ICT careers and studies. </w:t>
      </w:r>
      <w:r>
        <w:rPr>
          <w:rFonts w:eastAsia="Calibri" w:cs="Calibri"/>
          <w:szCs w:val="24"/>
          <w:lang w:val="en"/>
        </w:rPr>
        <w:t>I</w:t>
      </w:r>
      <w:r w:rsidR="00304E17" w:rsidRPr="282B502B">
        <w:t xml:space="preserve">n 2020, considering the unprecedented times of the global Covid-19 pandemic, the global celebration - originally planned to be held in Samoa - was transformed into a fun and inspiring virtual event, in collaboration with the Samoan government. The </w:t>
      </w:r>
      <w:hyperlink r:id="rId35" w:history="1">
        <w:r w:rsidR="00304E17" w:rsidRPr="282B502B">
          <w:rPr>
            <w:rStyle w:val="Hyperlink"/>
            <w:rFonts w:cs="Calibri"/>
          </w:rPr>
          <w:t>2020 celebration</w:t>
        </w:r>
      </w:hyperlink>
      <w:r w:rsidR="00304E17" w:rsidRPr="282B502B">
        <w:t xml:space="preserve"> brought together an impressive number of governments, civil society organizations, private sector and public institutions across the globe as a demonstration of the power of technology to change lives.</w:t>
      </w:r>
    </w:p>
    <w:p w14:paraId="1C4C50B3" w14:textId="5FEF7C25" w:rsidR="00304E17" w:rsidRPr="006E75E1" w:rsidRDefault="00304E17" w:rsidP="00304E17">
      <w:pPr>
        <w:pStyle w:val="Heading3"/>
        <w:tabs>
          <w:tab w:val="clear" w:pos="567"/>
          <w:tab w:val="clear" w:pos="1134"/>
          <w:tab w:val="clear" w:pos="1701"/>
          <w:tab w:val="clear" w:pos="2268"/>
          <w:tab w:val="clear" w:pos="2835"/>
        </w:tabs>
        <w:snapToGrid w:val="0"/>
        <w:spacing w:after="120"/>
        <w:ind w:left="0" w:firstLine="0"/>
        <w:jc w:val="both"/>
        <w:rPr>
          <w:b w:val="0"/>
        </w:rPr>
      </w:pPr>
      <w:r w:rsidRPr="006E75E1">
        <w:rPr>
          <w:b w:val="0"/>
        </w:rPr>
        <w:t xml:space="preserve">The </w:t>
      </w:r>
      <w:hyperlink r:id="rId36" w:history="1">
        <w:r w:rsidRPr="00077103">
          <w:rPr>
            <w:rStyle w:val="Hyperlink"/>
            <w:b w:val="0"/>
          </w:rPr>
          <w:t>10th Anniversary of Girls in ICTs</w:t>
        </w:r>
      </w:hyperlink>
      <w:r w:rsidRPr="006E75E1">
        <w:rPr>
          <w:b w:val="0"/>
        </w:rPr>
        <w:t xml:space="preserve"> will be celebrated on 22 April 2021. With the theme</w:t>
      </w:r>
      <w:r>
        <w:rPr>
          <w:b w:val="0"/>
        </w:rPr>
        <w:t xml:space="preserve"> </w:t>
      </w:r>
      <w:r w:rsidR="00435F09">
        <w:rPr>
          <w:b w:val="0"/>
        </w:rPr>
        <w:t>‘</w:t>
      </w:r>
      <w:r w:rsidRPr="00EF264D">
        <w:rPr>
          <w:b w:val="0"/>
        </w:rPr>
        <w:t>Connecting girls, creating brighter futures</w:t>
      </w:r>
      <w:r w:rsidR="00435F09">
        <w:rPr>
          <w:b w:val="0"/>
        </w:rPr>
        <w:t>’</w:t>
      </w:r>
      <w:r w:rsidRPr="006E75E1">
        <w:rPr>
          <w:b w:val="0"/>
        </w:rPr>
        <w:t>, 10 Moments of Girls in ICT will be a series of virtual events hosted by ITU and its partners. The 10 Moments series has been designed with three goals in mind: ​build momentum and awareness about the importance of encouraging girls in STEM; engage key stakeholders and communities; provide an inclusive platform to discuss the best ways to encourage girls to pursue STEM careers</w:t>
      </w:r>
      <w:r>
        <w:rPr>
          <w:b w:val="0"/>
        </w:rPr>
        <w:t>.</w:t>
      </w:r>
    </w:p>
    <w:p w14:paraId="36C0B500" w14:textId="77777777" w:rsidR="00304E17" w:rsidRPr="006E75E1" w:rsidRDefault="00304E17" w:rsidP="00304E17">
      <w:pPr>
        <w:rPr>
          <w:b/>
          <w:bCs/>
        </w:rPr>
      </w:pPr>
      <w:r w:rsidRPr="006E75E1">
        <w:rPr>
          <w:b/>
          <w:bCs/>
        </w:rPr>
        <w:t xml:space="preserve">3.3 </w:t>
      </w:r>
      <w:r>
        <w:rPr>
          <w:b/>
          <w:bCs/>
        </w:rPr>
        <w:tab/>
      </w:r>
      <w:r w:rsidRPr="006E75E1">
        <w:rPr>
          <w:b/>
          <w:bCs/>
        </w:rPr>
        <w:t xml:space="preserve">Girls can Code </w:t>
      </w:r>
      <w:proofErr w:type="gramStart"/>
      <w:r w:rsidRPr="006E75E1">
        <w:rPr>
          <w:b/>
          <w:bCs/>
        </w:rPr>
        <w:t>Initiatives</w:t>
      </w:r>
      <w:proofErr w:type="gramEnd"/>
      <w:r w:rsidRPr="006E75E1">
        <w:rPr>
          <w:b/>
          <w:bCs/>
        </w:rPr>
        <w:t xml:space="preserve"> </w:t>
      </w:r>
    </w:p>
    <w:p w14:paraId="19EC8FE7" w14:textId="3F5C8352" w:rsidR="00304E17" w:rsidRDefault="00304E17" w:rsidP="00304E17">
      <w:pPr>
        <w:jc w:val="both"/>
        <w:rPr>
          <w:rFonts w:eastAsia="SimSun"/>
        </w:rPr>
      </w:pPr>
      <w:r w:rsidRPr="001E1B8B">
        <w:t xml:space="preserve">Over five hundred girls participated in coding workshops as part of the </w:t>
      </w:r>
      <w:hyperlink r:id="rId37" w:history="1">
        <w:r w:rsidRPr="001E1B8B">
          <w:rPr>
            <w:rStyle w:val="Hyperlink"/>
          </w:rPr>
          <w:t>African Girls can Code</w:t>
        </w:r>
      </w:hyperlink>
      <w:r w:rsidRPr="001E1B8B">
        <w:t xml:space="preserve">, an initiative by ITU, the African Union and UN Women with financial support of ITU and the Royal </w:t>
      </w:r>
      <w:r w:rsidRPr="001E1B8B">
        <w:lastRenderedPageBreak/>
        <w:t>Danish Embassy in Ethiopia</w:t>
      </w:r>
      <w:r w:rsidRPr="001E1B8B">
        <w:rPr>
          <w:i/>
        </w:rPr>
        <w:t>.</w:t>
      </w:r>
      <w:r>
        <w:rPr>
          <w:i/>
        </w:rPr>
        <w:t xml:space="preserve"> </w:t>
      </w:r>
      <w:r w:rsidRPr="06FA35B8">
        <w:t xml:space="preserve">The </w:t>
      </w:r>
      <w:hyperlink r:id="rId38">
        <w:r w:rsidRPr="06FA35B8">
          <w:rPr>
            <w:rStyle w:val="Hyperlink"/>
            <w:rFonts w:cstheme="minorBidi"/>
          </w:rPr>
          <w:t>Americas Girls Can Code</w:t>
        </w:r>
      </w:hyperlink>
      <w:r w:rsidRPr="06FA35B8">
        <w:t xml:space="preserve"> Initiative </w:t>
      </w:r>
      <w:r>
        <w:t>have taught over 7000</w:t>
      </w:r>
      <w:r w:rsidRPr="06FA35B8">
        <w:t xml:space="preserve"> girls how to code through a series of workshops organized with the support of</w:t>
      </w:r>
      <w:r w:rsidRPr="06FA35B8">
        <w:rPr>
          <w:rFonts w:eastAsia="SimSun"/>
        </w:rPr>
        <w:t xml:space="preserve"> </w:t>
      </w:r>
      <w:r>
        <w:rPr>
          <w:rFonts w:eastAsia="SimSun"/>
        </w:rPr>
        <w:t>many different partners</w:t>
      </w:r>
      <w:r w:rsidRPr="06FA35B8">
        <w:rPr>
          <w:rFonts w:eastAsia="SimSun"/>
        </w:rPr>
        <w:t>.</w:t>
      </w:r>
    </w:p>
    <w:p w14:paraId="23594EA9" w14:textId="77777777" w:rsidR="00304E17" w:rsidRDefault="00304E17" w:rsidP="00304E17">
      <w:pPr>
        <w:rPr>
          <w:rFonts w:eastAsia="SimSun"/>
          <w:b/>
          <w:bCs/>
        </w:rPr>
      </w:pPr>
    </w:p>
    <w:p w14:paraId="02737C33" w14:textId="77777777" w:rsidR="00304E17" w:rsidRPr="006E75E1" w:rsidRDefault="00304E17" w:rsidP="00304E17">
      <w:pPr>
        <w:rPr>
          <w:rFonts w:eastAsia="SimSun"/>
          <w:b/>
          <w:bCs/>
        </w:rPr>
      </w:pPr>
      <w:r w:rsidRPr="006E75E1">
        <w:rPr>
          <w:rFonts w:eastAsia="SimSun"/>
          <w:b/>
          <w:bCs/>
        </w:rPr>
        <w:t xml:space="preserve">3.4 </w:t>
      </w:r>
      <w:r>
        <w:rPr>
          <w:rFonts w:eastAsia="SimSun"/>
          <w:b/>
          <w:bCs/>
        </w:rPr>
        <w:tab/>
      </w:r>
      <w:r w:rsidRPr="006E75E1">
        <w:rPr>
          <w:b/>
          <w:bCs/>
          <w:szCs w:val="24"/>
        </w:rPr>
        <w:t>EQUALS: The Global Partnership to Bridge the Gender Digital Divide</w:t>
      </w:r>
    </w:p>
    <w:p w14:paraId="2370655B" w14:textId="52445E39" w:rsidR="00304E17" w:rsidRDefault="00304E17" w:rsidP="00304E17">
      <w:pPr>
        <w:jc w:val="both"/>
      </w:pPr>
      <w:r>
        <w:t xml:space="preserve">As a co-founder of the </w:t>
      </w:r>
      <w:hyperlink r:id="rId39" w:history="1">
        <w:r w:rsidRPr="00D353E8">
          <w:rPr>
            <w:rStyle w:val="Hyperlink"/>
          </w:rPr>
          <w:t>EQUALS</w:t>
        </w:r>
      </w:hyperlink>
      <w:r>
        <w:t xml:space="preserve"> initiative back in 2016, ITU has been leading the efforts along with other members to ensure that women can access ICTs, are equipped with digital skills, and build leadership. EQUALS is a cooperation among more than 100 partners across 115 countries. Thanks to this partnership, over 52</w:t>
      </w:r>
      <w:r w:rsidR="00435F09">
        <w:t>’</w:t>
      </w:r>
      <w:r>
        <w:t xml:space="preserve">000 women and girls have received digital skills training and </w:t>
      </w:r>
      <w:proofErr w:type="gramStart"/>
      <w:r>
        <w:t>mentoring</w:t>
      </w:r>
      <w:proofErr w:type="gramEnd"/>
      <w:r>
        <w:t xml:space="preserve"> and 146 research projects have been explored to tackle the gender digital divide and identify solutions areas that lack regular access to Internet and digital technologies. The initiatives ITU leads through EQUALS and the regional offices are made possible thanks to the expertise and collaboration of partner governments and the private sector.</w:t>
      </w:r>
    </w:p>
    <w:p w14:paraId="29ED09B6" w14:textId="06AE6C44" w:rsidR="00304E17" w:rsidRDefault="00304E17" w:rsidP="00304E17">
      <w:pPr>
        <w:jc w:val="both"/>
      </w:pPr>
      <w:r w:rsidRPr="003D15A5">
        <w:t>ITU</w:t>
      </w:r>
      <w:r>
        <w:t xml:space="preserve"> and </w:t>
      </w:r>
      <w:r w:rsidRPr="003D15A5">
        <w:t xml:space="preserve">UNICEF </w:t>
      </w:r>
      <w:r>
        <w:t>l</w:t>
      </w:r>
      <w:r w:rsidRPr="003D15A5">
        <w:t>aunch</w:t>
      </w:r>
      <w:r>
        <w:t>ed in 2020</w:t>
      </w:r>
      <w:r w:rsidRPr="003D15A5">
        <w:t xml:space="preserve"> the report</w:t>
      </w:r>
      <w:r>
        <w:t xml:space="preserve"> </w:t>
      </w:r>
      <w:hyperlink r:id="rId40" w:history="1">
        <w:r w:rsidRPr="005D1A95">
          <w:rPr>
            <w:rStyle w:val="Hyperlink"/>
          </w:rPr>
          <w:t>“Towards an equal future: Reimagining girls</w:t>
        </w:r>
        <w:r w:rsidR="00435F09">
          <w:rPr>
            <w:rStyle w:val="Hyperlink"/>
          </w:rPr>
          <w:t>’</w:t>
        </w:r>
        <w:r w:rsidRPr="005D1A95">
          <w:rPr>
            <w:rStyle w:val="Hyperlink"/>
          </w:rPr>
          <w:t xml:space="preserve"> education through STEM”</w:t>
        </w:r>
      </w:hyperlink>
      <w:r>
        <w:t xml:space="preserve">, </w:t>
      </w:r>
      <w:r w:rsidRPr="003D15A5">
        <w:t>as a contribution to EQUALS Global Partnership</w:t>
      </w:r>
      <w:r>
        <w:t xml:space="preserve">. This report </w:t>
      </w:r>
      <w:r w:rsidRPr="003D15A5">
        <w:t>seeks to call attention to the potential of STEM education to transform gender norms in the education system, to improve quality learning opportunities for girls, and to highlight key actions that can accelerate girls</w:t>
      </w:r>
      <w:r w:rsidR="00435F09">
        <w:t>’</w:t>
      </w:r>
      <w:r w:rsidRPr="003D15A5">
        <w:t xml:space="preserve"> transition between education and technical expert jobs in STEM industries.</w:t>
      </w:r>
    </w:p>
    <w:p w14:paraId="059A57B3" w14:textId="66E3329D" w:rsidR="00304E17" w:rsidRDefault="00304E17" w:rsidP="00304E17">
      <w:pPr>
        <w:jc w:val="both"/>
      </w:pPr>
      <w:r>
        <w:t>ITU has been conducting long-standing work on Child Online Protection to develop a training on safety online for girls.</w:t>
      </w:r>
      <w:r w:rsidR="002746C5">
        <w:t xml:space="preserve"> T</w:t>
      </w:r>
      <w:r>
        <w:t>he safety module will be part of workshops for girls delivered with GSMA in twelve countries.</w:t>
      </w:r>
    </w:p>
    <w:p w14:paraId="15B27B98" w14:textId="45AAB35B" w:rsidR="00304E17" w:rsidRDefault="00304E17" w:rsidP="00304E17">
      <w:pPr>
        <w:jc w:val="both"/>
      </w:pPr>
      <w:r>
        <w:t xml:space="preserve">On </w:t>
      </w:r>
      <w:r w:rsidR="00435F09">
        <w:t xml:space="preserve">8 </w:t>
      </w:r>
      <w:r>
        <w:t>March 2021, ITU, FIRST</w:t>
      </w:r>
      <w:r w:rsidR="00435F09">
        <w:t>,</w:t>
      </w:r>
      <w:r>
        <w:t xml:space="preserve"> and EQUALS launched the </w:t>
      </w:r>
      <w:hyperlink r:id="rId41" w:history="1">
        <w:r w:rsidRPr="00167E08">
          <w:rPr>
            <w:rStyle w:val="Hyperlink"/>
          </w:rPr>
          <w:t>Women in Cyber Mentorship Programme</w:t>
        </w:r>
      </w:hyperlink>
      <w:r>
        <w:t xml:space="preserve"> that will feature guided monthly mentorship circles, and supporting activities like a series of inspirational keynotes and technical and soft skills trainings. </w:t>
      </w:r>
      <w:r w:rsidRPr="00EF264D">
        <w:t>It aims to shift the mentality and tackle systemic barriers that prevent broader inclusion, encourage women to take on leadership roles in cybersecurity, and promote knowledge sharing of professional best practices.</w:t>
      </w:r>
    </w:p>
    <w:p w14:paraId="7B3C287E" w14:textId="31AF1101" w:rsidR="00304E17" w:rsidRDefault="00304E17" w:rsidP="00304E17">
      <w:pPr>
        <w:jc w:val="both"/>
      </w:pPr>
      <w:r>
        <w:t xml:space="preserve">The same day, ITU and CISCO launched the </w:t>
      </w:r>
      <w:hyperlink r:id="rId42" w:history="1">
        <w:r w:rsidRPr="001D254A">
          <w:rPr>
            <w:rStyle w:val="Hyperlink"/>
          </w:rPr>
          <w:t>CISCO EQUALS Learning Space</w:t>
        </w:r>
      </w:hyperlink>
      <w:r>
        <w:t xml:space="preserve"> which aim at providing online courses to build tech skills</w:t>
      </w:r>
      <w:r w:rsidRPr="00EF264D">
        <w:t xml:space="preserve"> </w:t>
      </w:r>
      <w:r>
        <w:t xml:space="preserve">where girls and young women can access free training on specific topics such as Cybersecurity, Entrepreneurship and Internet of Things. The courses are self-paced with the integration of live sessions delivered by experts of the EQUALS network. </w:t>
      </w:r>
    </w:p>
    <w:p w14:paraId="4DEA6568" w14:textId="242C13CE" w:rsidR="00304E17" w:rsidRDefault="00304E17" w:rsidP="00304E17">
      <w:pPr>
        <w:jc w:val="both"/>
      </w:pPr>
      <w:r>
        <w:t xml:space="preserve">Also, in March 2021, within the context of </w:t>
      </w:r>
      <w:r w:rsidRPr="006E75E1">
        <w:rPr>
          <w:rFonts w:asciiTheme="minorHAnsi" w:hAnsiTheme="minorHAnsi" w:cstheme="minorHAnsi"/>
        </w:rPr>
        <w:t xml:space="preserve">the Special Session on </w:t>
      </w:r>
      <w:hyperlink r:id="rId43" w:history="1">
        <w:r w:rsidRPr="00B171DA">
          <w:rPr>
            <w:rStyle w:val="Hyperlink"/>
            <w:rFonts w:asciiTheme="minorHAnsi" w:hAnsiTheme="minorHAnsi" w:cstheme="minorHAnsi"/>
          </w:rPr>
          <w:t>Digitally Empowered Generation Equality in the wake of COVID-19</w:t>
        </w:r>
      </w:hyperlink>
      <w:r>
        <w:rPr>
          <w:rFonts w:asciiTheme="minorHAnsi" w:hAnsiTheme="minorHAnsi" w:cstheme="minorHAnsi"/>
        </w:rPr>
        <w:t>, the</w:t>
      </w:r>
      <w:r w:rsidRPr="006E75E1">
        <w:rPr>
          <w:rFonts w:asciiTheme="minorHAnsi" w:hAnsiTheme="minorHAnsi" w:cstheme="minorHAnsi"/>
        </w:rPr>
        <w:t xml:space="preserve"> </w:t>
      </w:r>
      <w:r w:rsidRPr="00937CF3">
        <w:rPr>
          <w:rFonts w:asciiTheme="minorHAnsi" w:hAnsiTheme="minorHAnsi" w:cstheme="minorHAnsi"/>
        </w:rPr>
        <w:t>ITU Europe Office</w:t>
      </w:r>
      <w:r>
        <w:rPr>
          <w:rFonts w:asciiTheme="minorHAnsi" w:hAnsiTheme="minorHAnsi" w:cstheme="minorHAnsi"/>
        </w:rPr>
        <w:t xml:space="preserve"> </w:t>
      </w:r>
      <w:r w:rsidRPr="006E75E1">
        <w:rPr>
          <w:rFonts w:asciiTheme="minorHAnsi" w:hAnsiTheme="minorHAnsi" w:cstheme="minorHAnsi"/>
        </w:rPr>
        <w:t>launch</w:t>
      </w:r>
      <w:r>
        <w:rPr>
          <w:rFonts w:asciiTheme="minorHAnsi" w:hAnsiTheme="minorHAnsi" w:cstheme="minorHAnsi"/>
        </w:rPr>
        <w:t>ed</w:t>
      </w:r>
      <w:r w:rsidRPr="006E75E1">
        <w:rPr>
          <w:rFonts w:asciiTheme="minorHAnsi" w:hAnsiTheme="minorHAnsi" w:cstheme="minorHAnsi"/>
        </w:rPr>
        <w:t xml:space="preserve"> the </w:t>
      </w:r>
      <w:r w:rsidRPr="00B171DA">
        <w:rPr>
          <w:rFonts w:asciiTheme="minorHAnsi" w:hAnsiTheme="minorHAnsi" w:cstheme="minorHAnsi"/>
        </w:rPr>
        <w:t>ITU/UN Women report on key challenges and opportunities in empowering women and girls through ICTs</w:t>
      </w:r>
      <w:r w:rsidRPr="006E75E1">
        <w:rPr>
          <w:rFonts w:asciiTheme="minorHAnsi" w:hAnsiTheme="minorHAnsi" w:cstheme="minorHAnsi"/>
        </w:rPr>
        <w:t>.</w:t>
      </w:r>
      <w:r>
        <w:rPr>
          <w:rFonts w:asciiTheme="minorHAnsi" w:hAnsiTheme="minorHAnsi" w:cstheme="minorHAnsi"/>
        </w:rPr>
        <w:t xml:space="preserve"> </w:t>
      </w:r>
    </w:p>
    <w:p w14:paraId="34411588" w14:textId="107135C5" w:rsidR="00304E17" w:rsidRDefault="00304E17" w:rsidP="00304E17">
      <w:pPr>
        <w:jc w:val="both"/>
      </w:pPr>
      <w:r w:rsidRPr="06FA35B8">
        <w:t xml:space="preserve">Countries from Latin America were benefited from two editions of the online training course on </w:t>
      </w:r>
      <w:hyperlink r:id="rId44" w:history="1">
        <w:r w:rsidRPr="00FC6C1D">
          <w:rPr>
            <w:rStyle w:val="Hyperlink"/>
          </w:rPr>
          <w:t>Women Leadership in the Telecommunication and ICT sector</w:t>
        </w:r>
      </w:hyperlink>
      <w:r w:rsidRPr="06FA35B8">
        <w:t>, which was organized in coordination with EQUALS Global Partnership. The trainings were attended by almost 100 participants</w:t>
      </w:r>
      <w:r>
        <w:t>.</w:t>
      </w:r>
    </w:p>
    <w:p w14:paraId="3FE3D893" w14:textId="77777777" w:rsidR="00304E17" w:rsidRPr="00104392" w:rsidRDefault="00304E17" w:rsidP="00304E17">
      <w:pPr>
        <w:rPr>
          <w:rFonts w:eastAsia="SimSun"/>
          <w:b/>
          <w:bCs/>
        </w:rPr>
      </w:pPr>
      <w:r w:rsidRPr="00104392">
        <w:rPr>
          <w:rFonts w:eastAsia="SimSun"/>
          <w:b/>
          <w:bCs/>
        </w:rPr>
        <w:t xml:space="preserve">3.5 </w:t>
      </w:r>
      <w:r>
        <w:rPr>
          <w:rFonts w:eastAsia="SimSun"/>
          <w:b/>
          <w:bCs/>
        </w:rPr>
        <w:tab/>
      </w:r>
      <w:r w:rsidRPr="00104392">
        <w:rPr>
          <w:rFonts w:eastAsia="SimSun"/>
          <w:b/>
          <w:bCs/>
        </w:rPr>
        <w:t>EQUALS in Tech Awards</w:t>
      </w:r>
    </w:p>
    <w:p w14:paraId="2BDDB8B3" w14:textId="62D9CD31" w:rsidR="00304E17" w:rsidRPr="00DE7A47" w:rsidRDefault="00304E17" w:rsidP="000D4535">
      <w:pPr>
        <w:pStyle w:val="NormalWeb"/>
        <w:spacing w:before="120"/>
        <w:jc w:val="both"/>
        <w:rPr>
          <w:rFonts w:ascii="Calibri" w:eastAsia="Times New Roman" w:hAnsi="Calibri"/>
          <w:szCs w:val="20"/>
          <w:lang w:eastAsia="en-US"/>
        </w:rPr>
      </w:pPr>
      <w:r w:rsidRPr="006E75E1">
        <w:rPr>
          <w:rFonts w:ascii="Calibri" w:eastAsia="Times New Roman" w:hAnsi="Calibri"/>
          <w:szCs w:val="20"/>
          <w:lang w:eastAsia="en-US"/>
        </w:rPr>
        <w:t xml:space="preserve">The </w:t>
      </w:r>
      <w:hyperlink r:id="rId45" w:history="1">
        <w:r w:rsidRPr="0014322B">
          <w:rPr>
            <w:rStyle w:val="Hyperlink"/>
            <w:rFonts w:ascii="Calibri" w:eastAsia="Times New Roman" w:hAnsi="Calibri"/>
            <w:szCs w:val="20"/>
            <w:lang w:eastAsia="en-US"/>
          </w:rPr>
          <w:t>EQUALS in Tech Awards</w:t>
        </w:r>
      </w:hyperlink>
      <w:r w:rsidRPr="006E75E1">
        <w:rPr>
          <w:rFonts w:ascii="Calibri" w:eastAsia="Times New Roman" w:hAnsi="Calibri"/>
          <w:szCs w:val="20"/>
          <w:lang w:eastAsia="en-US"/>
        </w:rPr>
        <w:t xml:space="preserve">, hosted by the </w:t>
      </w:r>
      <w:hyperlink r:id="rId46" w:history="1">
        <w:r w:rsidRPr="006E75E1">
          <w:rPr>
            <w:rFonts w:ascii="Calibri" w:eastAsia="Times New Roman" w:hAnsi="Calibri"/>
            <w:szCs w:val="20"/>
            <w:lang w:eastAsia="en-US"/>
          </w:rPr>
          <w:t>EQUALS Global Partnership</w:t>
        </w:r>
      </w:hyperlink>
      <w:r w:rsidRPr="006E75E1">
        <w:rPr>
          <w:rFonts w:ascii="Calibri" w:eastAsia="Times New Roman" w:hAnsi="Calibri"/>
          <w:szCs w:val="20"/>
          <w:lang w:eastAsia="en-US"/>
        </w:rPr>
        <w:t>, recognize innovative solutions aimed at closing the digital gender gap.</w:t>
      </w:r>
      <w:r w:rsidR="00DE7A47">
        <w:rPr>
          <w:rFonts w:ascii="Calibri" w:eastAsia="Times New Roman" w:hAnsi="Calibri"/>
          <w:szCs w:val="20"/>
          <w:lang w:eastAsia="en-US"/>
        </w:rPr>
        <w:t xml:space="preserve"> </w:t>
      </w:r>
      <w:r w:rsidRPr="00DE7A47">
        <w:rPr>
          <w:rFonts w:ascii="Calibri" w:eastAsia="Times New Roman" w:hAnsi="Calibri"/>
          <w:szCs w:val="20"/>
          <w:lang w:eastAsia="en-US"/>
        </w:rPr>
        <w:t xml:space="preserve">For the </w:t>
      </w:r>
      <w:hyperlink r:id="rId47" w:history="1">
        <w:r w:rsidRPr="00DE7A47">
          <w:rPr>
            <w:rFonts w:ascii="Calibri" w:eastAsia="Times New Roman" w:hAnsi="Calibri"/>
            <w:szCs w:val="20"/>
            <w:lang w:eastAsia="en-US"/>
          </w:rPr>
          <w:t>EQUALS in Tech Awards</w:t>
        </w:r>
      </w:hyperlink>
      <w:r w:rsidR="00465353">
        <w:rPr>
          <w:rFonts w:ascii="Calibri" w:eastAsia="Times New Roman" w:hAnsi="Calibri"/>
          <w:szCs w:val="20"/>
          <w:lang w:eastAsia="en-US"/>
        </w:rPr>
        <w:t xml:space="preserve"> 2020</w:t>
      </w:r>
      <w:r w:rsidRPr="00DE7A47">
        <w:rPr>
          <w:rFonts w:ascii="Calibri" w:eastAsia="Times New Roman" w:hAnsi="Calibri"/>
          <w:szCs w:val="20"/>
          <w:lang w:eastAsia="en-US"/>
        </w:rPr>
        <w:t xml:space="preserve">, over 340 nominations were received from 70 countries representing the private sector, civil society, </w:t>
      </w:r>
      <w:proofErr w:type="gramStart"/>
      <w:r w:rsidRPr="00DE7A47">
        <w:rPr>
          <w:rFonts w:ascii="Calibri" w:eastAsia="Times New Roman" w:hAnsi="Calibri"/>
          <w:szCs w:val="20"/>
          <w:lang w:eastAsia="en-US"/>
        </w:rPr>
        <w:t>governments</w:t>
      </w:r>
      <w:proofErr w:type="gramEnd"/>
      <w:r w:rsidRPr="00DE7A47">
        <w:rPr>
          <w:rFonts w:ascii="Calibri" w:eastAsia="Times New Roman" w:hAnsi="Calibri"/>
          <w:szCs w:val="20"/>
          <w:lang w:eastAsia="en-US"/>
        </w:rPr>
        <w:t xml:space="preserve"> and academia. The ceremony of the awards was held virtually as part of the Internet Governance Forum on </w:t>
      </w:r>
      <w:r w:rsidR="00435F09">
        <w:rPr>
          <w:rFonts w:ascii="Calibri" w:eastAsia="Times New Roman" w:hAnsi="Calibri"/>
          <w:szCs w:val="20"/>
          <w:lang w:eastAsia="en-US"/>
        </w:rPr>
        <w:t xml:space="preserve">6 </w:t>
      </w:r>
      <w:r w:rsidRPr="00DE7A47">
        <w:rPr>
          <w:rFonts w:ascii="Calibri" w:eastAsia="Times New Roman" w:hAnsi="Calibri"/>
          <w:szCs w:val="20"/>
          <w:lang w:eastAsia="en-US"/>
        </w:rPr>
        <w:t>November 2020.</w:t>
      </w:r>
    </w:p>
    <w:p w14:paraId="740366E4" w14:textId="77777777" w:rsidR="00304E17" w:rsidRPr="006E75E1" w:rsidRDefault="00304E17" w:rsidP="00304E17">
      <w:pPr>
        <w:rPr>
          <w:rFonts w:eastAsia="SimSun"/>
          <w:b/>
          <w:bCs/>
        </w:rPr>
      </w:pPr>
      <w:r w:rsidRPr="006E75E1">
        <w:rPr>
          <w:rFonts w:eastAsia="SimSun"/>
          <w:b/>
          <w:bCs/>
        </w:rPr>
        <w:lastRenderedPageBreak/>
        <w:t>3.6</w:t>
      </w:r>
      <w:r>
        <w:rPr>
          <w:rFonts w:eastAsia="SimSun"/>
          <w:b/>
          <w:bCs/>
        </w:rPr>
        <w:tab/>
      </w:r>
      <w:r w:rsidRPr="006E75E1">
        <w:rPr>
          <w:rFonts w:eastAsia="SimSun"/>
          <w:b/>
          <w:bCs/>
        </w:rPr>
        <w:t>Enhance the digital ecosystem and build digital skills for women in Least Developed Countries (LDCs)</w:t>
      </w:r>
    </w:p>
    <w:p w14:paraId="418F3E0D" w14:textId="6277CB21" w:rsidR="00304E17" w:rsidRPr="003D15A5" w:rsidRDefault="00304E17" w:rsidP="00304E17">
      <w:pPr>
        <w:jc w:val="both"/>
      </w:pPr>
      <w:r w:rsidRPr="003D15A5">
        <w:t>In partnership with the Enhanced Integrated Framework (EIF) and UNOPS, ITU has launched in September 2020 a cooperative project to enhance the digital ecosystem and build digital skills for women in Least Developed Countries (LDCs). The project will benefit women in Burundi, Ethiopia</w:t>
      </w:r>
      <w:r w:rsidR="00435F09">
        <w:t>,</w:t>
      </w:r>
      <w:r w:rsidRPr="003D15A5">
        <w:t xml:space="preserve"> and Haiti. This will be achieved by building capacity at the policy level, increasing governments</w:t>
      </w:r>
      <w:r w:rsidR="00435F09">
        <w:t>’</w:t>
      </w:r>
      <w:r w:rsidRPr="003D15A5">
        <w:t xml:space="preserve"> ability to mainstream gender and information and communication technologies (ICTs), and by expanding the horizons of women entrepreneurs through technology in sectors such as textiles and apparel, and the coffee and cocoa value chains.</w:t>
      </w:r>
      <w:r w:rsidR="0056066D">
        <w:t xml:space="preserve"> For more information see </w:t>
      </w:r>
      <w:hyperlink r:id="rId48" w:history="1">
        <w:r w:rsidR="0056066D" w:rsidRPr="004F01FA">
          <w:rPr>
            <w:rStyle w:val="Hyperlink"/>
          </w:rPr>
          <w:t>here</w:t>
        </w:r>
      </w:hyperlink>
      <w:r w:rsidR="0056066D">
        <w:t>.</w:t>
      </w:r>
    </w:p>
    <w:p w14:paraId="1DCEB293" w14:textId="6EAF0BD9" w:rsidR="00304E17" w:rsidRDefault="00304E17" w:rsidP="00304E17">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3.7</w:t>
      </w:r>
      <w:r>
        <w:rPr>
          <w:szCs w:val="24"/>
        </w:rPr>
        <w:tab/>
        <w:t xml:space="preserve">Women in disaster risk management </w:t>
      </w:r>
    </w:p>
    <w:p w14:paraId="1DA56A20" w14:textId="51E043CF" w:rsidR="00304E17" w:rsidRDefault="00304E17" w:rsidP="00304E17">
      <w:pPr>
        <w:pStyle w:val="Heading3"/>
        <w:keepNext w:val="0"/>
        <w:keepLines w:val="0"/>
        <w:tabs>
          <w:tab w:val="clear" w:pos="567"/>
          <w:tab w:val="clear" w:pos="1134"/>
          <w:tab w:val="clear" w:pos="1701"/>
          <w:tab w:val="clear" w:pos="2268"/>
          <w:tab w:val="clear" w:pos="2835"/>
        </w:tabs>
        <w:snapToGrid w:val="0"/>
        <w:spacing w:before="240" w:after="120"/>
        <w:ind w:left="0" w:firstLine="0"/>
        <w:jc w:val="both"/>
        <w:rPr>
          <w:rFonts w:eastAsia="Calibri" w:cs="Calibri"/>
          <w:szCs w:val="24"/>
        </w:rPr>
      </w:pPr>
      <w:r w:rsidRPr="006E75E1">
        <w:rPr>
          <w:b w:val="0"/>
          <w:bCs/>
          <w:szCs w:val="24"/>
        </w:rPr>
        <w:t xml:space="preserve">In </w:t>
      </w:r>
      <w:r>
        <w:rPr>
          <w:b w:val="0"/>
          <w:bCs/>
          <w:szCs w:val="24"/>
        </w:rPr>
        <w:t>2020</w:t>
      </w:r>
      <w:r w:rsidRPr="006E75E1">
        <w:rPr>
          <w:b w:val="0"/>
          <w:bCs/>
          <w:szCs w:val="24"/>
        </w:rPr>
        <w:t xml:space="preserve">, ITU </w:t>
      </w:r>
      <w:r>
        <w:rPr>
          <w:b w:val="0"/>
          <w:bCs/>
          <w:szCs w:val="24"/>
        </w:rPr>
        <w:t xml:space="preserve">launched a </w:t>
      </w:r>
      <w:r w:rsidRPr="006E75E1">
        <w:rPr>
          <w:b w:val="0"/>
          <w:bCs/>
          <w:szCs w:val="24"/>
        </w:rPr>
        <w:t>joint report</w:t>
      </w:r>
      <w:r>
        <w:rPr>
          <w:b w:val="0"/>
          <w:bCs/>
          <w:szCs w:val="24"/>
        </w:rPr>
        <w:t xml:space="preserve">, together </w:t>
      </w:r>
      <w:r w:rsidRPr="006E75E1">
        <w:rPr>
          <w:b w:val="0"/>
          <w:bCs/>
          <w:szCs w:val="24"/>
        </w:rPr>
        <w:t xml:space="preserve">with the Emergency Telecommunication Cluster (ETC), </w:t>
      </w:r>
      <w:r w:rsidRPr="00FB4CD5">
        <w:rPr>
          <w:b w:val="0"/>
          <w:bCs/>
          <w:szCs w:val="24"/>
        </w:rPr>
        <w:t xml:space="preserve">on </w:t>
      </w:r>
      <w:hyperlink r:id="rId49" w:history="1">
        <w:r w:rsidRPr="00CA4566">
          <w:rPr>
            <w:rStyle w:val="Hyperlink"/>
            <w:b w:val="0"/>
            <w:bCs/>
            <w:szCs w:val="24"/>
          </w:rPr>
          <w:t>“Women, ICT and emergency telecommunications”</w:t>
        </w:r>
      </w:hyperlink>
      <w:r w:rsidRPr="00FB4CD5">
        <w:rPr>
          <w:b w:val="0"/>
          <w:bCs/>
          <w:szCs w:val="24"/>
        </w:rPr>
        <w:t xml:space="preserve">, that presents how, in the wake of a disaster, women are more vulnerable and more likely to die than men </w:t>
      </w:r>
      <w:r w:rsidR="00435F09">
        <w:rPr>
          <w:b w:val="0"/>
          <w:bCs/>
          <w:szCs w:val="24"/>
        </w:rPr>
        <w:t xml:space="preserve">– </w:t>
      </w:r>
      <w:r w:rsidRPr="00FB4CD5">
        <w:rPr>
          <w:b w:val="0"/>
          <w:bCs/>
          <w:szCs w:val="24"/>
        </w:rPr>
        <w:t>even the COVID-19 pandemic is showing devastating social and economic consequences for women and girls</w:t>
      </w:r>
      <w:r w:rsidR="00435F09">
        <w:rPr>
          <w:b w:val="0"/>
          <w:bCs/>
          <w:szCs w:val="24"/>
        </w:rPr>
        <w:t xml:space="preserve"> –</w:t>
      </w:r>
      <w:r w:rsidRPr="00FB4CD5">
        <w:rPr>
          <w:b w:val="0"/>
          <w:bCs/>
          <w:szCs w:val="24"/>
        </w:rPr>
        <w:t xml:space="preserve"> while at the same time, women are critical partners in building disaster resilience. </w:t>
      </w:r>
      <w:r>
        <w:rPr>
          <w:b w:val="0"/>
          <w:bCs/>
          <w:szCs w:val="24"/>
        </w:rPr>
        <w:t>T</w:t>
      </w:r>
      <w:r w:rsidRPr="00FB4CD5">
        <w:rPr>
          <w:b w:val="0"/>
          <w:bCs/>
          <w:szCs w:val="24"/>
        </w:rPr>
        <w:t>he report highlights the importance of advancing gender equality in disaster risk management</w:t>
      </w:r>
      <w:r>
        <w:rPr>
          <w:b w:val="0"/>
          <w:bCs/>
          <w:szCs w:val="24"/>
        </w:rPr>
        <w:t xml:space="preserve"> </w:t>
      </w:r>
      <w:r w:rsidRPr="00FB4CD5">
        <w:rPr>
          <w:b w:val="0"/>
          <w:bCs/>
          <w:szCs w:val="24"/>
        </w:rPr>
        <w:t>and leveraging context-appropriate ICTs which are critical to deliver essential information to the most vulnerable of communities in a timely manner, before, during</w:t>
      </w:r>
      <w:r w:rsidR="00435F09">
        <w:rPr>
          <w:b w:val="0"/>
          <w:bCs/>
          <w:szCs w:val="24"/>
        </w:rPr>
        <w:t>,</w:t>
      </w:r>
      <w:r w:rsidRPr="00FB4CD5">
        <w:rPr>
          <w:b w:val="0"/>
          <w:bCs/>
          <w:szCs w:val="24"/>
        </w:rPr>
        <w:t xml:space="preserve"> and after disasters strike.</w:t>
      </w:r>
    </w:p>
    <w:p w14:paraId="6DE5145B" w14:textId="008EB214" w:rsidR="00304E17" w:rsidRPr="00555FEC" w:rsidRDefault="00304E17" w:rsidP="00304E17">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3.8</w:t>
      </w:r>
      <w:r w:rsidRPr="00EE1126">
        <w:rPr>
          <w:szCs w:val="24"/>
        </w:rPr>
        <w:tab/>
      </w:r>
      <w:r w:rsidR="00773F36">
        <w:rPr>
          <w:szCs w:val="24"/>
        </w:rPr>
        <w:t xml:space="preserve">Outstanding activities in </w:t>
      </w:r>
      <w:r w:rsidR="00EB2565">
        <w:rPr>
          <w:szCs w:val="24"/>
        </w:rPr>
        <w:t xml:space="preserve">ITU </w:t>
      </w:r>
      <w:r>
        <w:rPr>
          <w:szCs w:val="24"/>
        </w:rPr>
        <w:t>Liaison Office in New York</w:t>
      </w:r>
    </w:p>
    <w:p w14:paraId="084AD2E2" w14:textId="3B7722C1" w:rsidR="00304E17" w:rsidRPr="00EE1126" w:rsidRDefault="00304E17" w:rsidP="00304E17">
      <w:pPr>
        <w:tabs>
          <w:tab w:val="clear" w:pos="567"/>
          <w:tab w:val="clear" w:pos="1134"/>
          <w:tab w:val="clear" w:pos="1701"/>
          <w:tab w:val="clear" w:pos="2268"/>
          <w:tab w:val="clear" w:pos="2835"/>
        </w:tabs>
        <w:snapToGrid w:val="0"/>
        <w:spacing w:after="120"/>
        <w:jc w:val="both"/>
      </w:pPr>
      <w:r>
        <w:t>ITU</w:t>
      </w:r>
      <w:r w:rsidR="00435F09">
        <w:t>’</w:t>
      </w:r>
      <w:r>
        <w:t xml:space="preserve">s </w:t>
      </w:r>
      <w:r w:rsidRPr="002D331D">
        <w:t xml:space="preserve">liaison office at the UN in New York </w:t>
      </w:r>
      <w:r>
        <w:t xml:space="preserve">is also actively engaged in </w:t>
      </w:r>
      <w:r w:rsidRPr="002D331D">
        <w:t xml:space="preserve">communications and partnership building activities to support implementation of </w:t>
      </w:r>
      <w:r>
        <w:t>Resolution 70</w:t>
      </w:r>
      <w:r w:rsidRPr="002D331D">
        <w:t xml:space="preserve">. This includes promoting </w:t>
      </w:r>
      <w:r>
        <w:t xml:space="preserve">ITU initiatives </w:t>
      </w:r>
      <w:r w:rsidRPr="002D331D">
        <w:t xml:space="preserve">at </w:t>
      </w:r>
      <w:r>
        <w:t xml:space="preserve">UN and other external </w:t>
      </w:r>
      <w:r w:rsidRPr="002D331D">
        <w:t>events</w:t>
      </w:r>
      <w:r>
        <w:t>.</w:t>
      </w:r>
      <w:r w:rsidRPr="002D331D">
        <w:t xml:space="preserve"> </w:t>
      </w:r>
      <w:r w:rsidRPr="001C345C">
        <w:t>ITU, UNICC and the Office of the UN Secretary-General</w:t>
      </w:r>
      <w:r w:rsidR="00435F09">
        <w:t>’</w:t>
      </w:r>
      <w:r w:rsidRPr="001C345C">
        <w:t xml:space="preserve">s Envoy on Youth have been collaborating on a gender and tech initiative called Talking Tech: Girls and Women in ICT. </w:t>
      </w:r>
      <w:r>
        <w:t xml:space="preserve">This initiative </w:t>
      </w:r>
      <w:r w:rsidRPr="001C345C">
        <w:t>promotes ICT studies and careers to women and girls through one-one intergenerational interviews recorded online and promoted through social media. Older girls and young women in tech are matched with women in tech leaders and discuss such things as what they love about tech, their jobs, career journeys and aspirations, lessons learned and advice for younger women and girls. The women in tech are drawn from all sectors and a wide range of jobs and geographies. More than 100 women have been matched for interviews thus far.</w:t>
      </w:r>
      <w:r>
        <w:t xml:space="preserve"> </w:t>
      </w:r>
      <w:r w:rsidRPr="002D331D">
        <w:t xml:space="preserve">ITU NY also co-chairs the gender working group of the UN Inter-agency </w:t>
      </w:r>
      <w:r>
        <w:t>t</w:t>
      </w:r>
      <w:r w:rsidRPr="002D331D">
        <w:t>ask</w:t>
      </w:r>
      <w:r>
        <w:t>-</w:t>
      </w:r>
      <w:r w:rsidRPr="002D331D">
        <w:t xml:space="preserve">team in Science, </w:t>
      </w:r>
      <w:proofErr w:type="gramStart"/>
      <w:r w:rsidRPr="002D331D">
        <w:t>Technology</w:t>
      </w:r>
      <w:proofErr w:type="gramEnd"/>
      <w:r w:rsidRPr="002D331D">
        <w:t xml:space="preserve"> and Innovation.  </w:t>
      </w:r>
    </w:p>
    <w:p w14:paraId="3988EA44" w14:textId="7C85AD9D" w:rsidR="00304E17" w:rsidRPr="00EE1126" w:rsidRDefault="00304E17" w:rsidP="00304E17">
      <w:pPr>
        <w:pStyle w:val="Heading1"/>
        <w:keepNext w:val="0"/>
        <w:keepLines w:val="0"/>
        <w:tabs>
          <w:tab w:val="clear" w:pos="567"/>
          <w:tab w:val="clear" w:pos="1134"/>
          <w:tab w:val="clear" w:pos="1701"/>
          <w:tab w:val="clear" w:pos="2268"/>
          <w:tab w:val="clear" w:pos="2835"/>
        </w:tabs>
        <w:snapToGrid w:val="0"/>
        <w:spacing w:after="120"/>
        <w:ind w:left="0" w:firstLine="0"/>
        <w:rPr>
          <w:rFonts w:eastAsia="SimSun"/>
          <w:sz w:val="24"/>
          <w:szCs w:val="24"/>
        </w:rPr>
      </w:pPr>
      <w:r w:rsidRPr="00EE1126">
        <w:rPr>
          <w:sz w:val="24"/>
          <w:szCs w:val="24"/>
        </w:rPr>
        <w:t>4</w:t>
      </w:r>
      <w:r w:rsidRPr="00EE1126">
        <w:rPr>
          <w:sz w:val="24"/>
          <w:szCs w:val="24"/>
        </w:rPr>
        <w:tab/>
        <w:t>Reinforcing Women</w:t>
      </w:r>
      <w:r w:rsidR="00435F09">
        <w:rPr>
          <w:sz w:val="24"/>
          <w:szCs w:val="24"/>
        </w:rPr>
        <w:t>’</w:t>
      </w:r>
      <w:r w:rsidRPr="00EE1126">
        <w:rPr>
          <w:sz w:val="24"/>
          <w:szCs w:val="24"/>
        </w:rPr>
        <w:t>s Participation in ITU</w:t>
      </w:r>
      <w:r w:rsidR="00435F09">
        <w:rPr>
          <w:sz w:val="24"/>
          <w:szCs w:val="24"/>
        </w:rPr>
        <w:t>’</w:t>
      </w:r>
      <w:r w:rsidRPr="00EE1126">
        <w:rPr>
          <w:sz w:val="24"/>
          <w:szCs w:val="24"/>
        </w:rPr>
        <w:t xml:space="preserve">s </w:t>
      </w:r>
      <w:r>
        <w:rPr>
          <w:sz w:val="24"/>
          <w:szCs w:val="24"/>
        </w:rPr>
        <w:t xml:space="preserve">Meetings and </w:t>
      </w:r>
      <w:r w:rsidRPr="00EE1126">
        <w:rPr>
          <w:sz w:val="24"/>
          <w:szCs w:val="24"/>
        </w:rPr>
        <w:t>Conferences</w:t>
      </w:r>
    </w:p>
    <w:p w14:paraId="548FF517" w14:textId="77777777" w:rsidR="00304E17" w:rsidRPr="00EE1126" w:rsidRDefault="00304E17" w:rsidP="00304E17">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lang w:val="en-CA"/>
        </w:rPr>
      </w:pPr>
      <w:r>
        <w:rPr>
          <w:szCs w:val="24"/>
          <w:lang w:val="en-CA"/>
        </w:rPr>
        <w:t>4.1</w:t>
      </w:r>
      <w:r w:rsidRPr="00EE1126">
        <w:rPr>
          <w:szCs w:val="24"/>
          <w:lang w:val="en-CA"/>
        </w:rPr>
        <w:tab/>
        <w:t>Gender Equality in Delegations</w:t>
      </w:r>
      <w:r>
        <w:rPr>
          <w:szCs w:val="24"/>
          <w:lang w:val="en-CA"/>
        </w:rPr>
        <w:t xml:space="preserve"> and Conferences</w:t>
      </w:r>
    </w:p>
    <w:p w14:paraId="31BA4AA6" w14:textId="675F0EC8" w:rsidR="00304E17" w:rsidRDefault="00304E17" w:rsidP="00304E17">
      <w:pPr>
        <w:tabs>
          <w:tab w:val="clear" w:pos="567"/>
          <w:tab w:val="clear" w:pos="1134"/>
          <w:tab w:val="clear" w:pos="1701"/>
          <w:tab w:val="clear" w:pos="2268"/>
          <w:tab w:val="clear" w:pos="2835"/>
        </w:tabs>
        <w:snapToGrid w:val="0"/>
        <w:spacing w:after="120"/>
        <w:jc w:val="both"/>
        <w:rPr>
          <w:szCs w:val="24"/>
          <w:lang w:val="en-CA"/>
        </w:rPr>
      </w:pPr>
      <w:r>
        <w:rPr>
          <w:szCs w:val="24"/>
          <w:lang w:val="en-CA"/>
        </w:rPr>
        <w:t xml:space="preserve">Stemming from </w:t>
      </w:r>
      <w:r w:rsidRPr="00EE1126">
        <w:rPr>
          <w:szCs w:val="24"/>
          <w:lang w:val="en-CA"/>
        </w:rPr>
        <w:t>ITU</w:t>
      </w:r>
      <w:r w:rsidR="00435F09">
        <w:rPr>
          <w:szCs w:val="24"/>
          <w:lang w:val="en-CA"/>
        </w:rPr>
        <w:t>’</w:t>
      </w:r>
      <w:r>
        <w:rPr>
          <w:szCs w:val="24"/>
          <w:lang w:val="en-CA"/>
        </w:rPr>
        <w:t>s collaboration</w:t>
      </w:r>
      <w:r w:rsidRPr="00EE1126">
        <w:rPr>
          <w:szCs w:val="24"/>
          <w:lang w:val="en-CA"/>
        </w:rPr>
        <w:t xml:space="preserve"> on the publication </w:t>
      </w:r>
      <w:r>
        <w:rPr>
          <w:szCs w:val="24"/>
          <w:lang w:val="en-CA"/>
        </w:rPr>
        <w:t>“</w:t>
      </w:r>
      <w:hyperlink r:id="rId50" w:history="1">
        <w:r w:rsidRPr="009B6FAE">
          <w:rPr>
            <w:rStyle w:val="Hyperlink"/>
            <w:szCs w:val="24"/>
            <w:lang w:val="en-CA"/>
          </w:rPr>
          <w:t>Shaping the international agenda: Raising women</w:t>
        </w:r>
        <w:r w:rsidR="00435F09">
          <w:rPr>
            <w:rStyle w:val="Hyperlink"/>
            <w:szCs w:val="24"/>
            <w:lang w:val="en-CA"/>
          </w:rPr>
          <w:t>’</w:t>
        </w:r>
        <w:r w:rsidRPr="009B6FAE">
          <w:rPr>
            <w:rStyle w:val="Hyperlink"/>
            <w:szCs w:val="24"/>
            <w:lang w:val="en-CA"/>
          </w:rPr>
          <w:t>s voices in intergovernmental forums</w:t>
        </w:r>
      </w:hyperlink>
      <w:r>
        <w:rPr>
          <w:szCs w:val="24"/>
          <w:lang w:val="en-CA"/>
        </w:rPr>
        <w:t>“, ITU continues efforts to increase participation of women in ITU events. An internal checklist supports staff in planning gender-responsive events. Conference circular letters to membership and event invitations encourage gender-balanced representation and invite nominations of women for key roles. Statistics are reported on event pages and ITU</w:t>
      </w:r>
      <w:r w:rsidR="00435F09">
        <w:rPr>
          <w:szCs w:val="24"/>
          <w:lang w:val="en-CA"/>
        </w:rPr>
        <w:t>’</w:t>
      </w:r>
      <w:r>
        <w:rPr>
          <w:szCs w:val="24"/>
          <w:lang w:val="en-CA"/>
        </w:rPr>
        <w:t xml:space="preserve">s </w:t>
      </w:r>
      <w:r w:rsidRPr="0033057E">
        <w:rPr>
          <w:szCs w:val="24"/>
          <w:lang w:val="en-CA"/>
        </w:rPr>
        <w:t>gender dashboard</w:t>
      </w:r>
      <w:r>
        <w:rPr>
          <w:szCs w:val="24"/>
          <w:lang w:val="en-CA"/>
        </w:rPr>
        <w:t>.</w:t>
      </w:r>
    </w:p>
    <w:p w14:paraId="52CE8D3B" w14:textId="77777777" w:rsidR="00304E17" w:rsidRPr="00EE1126" w:rsidRDefault="00304E17" w:rsidP="000D4535">
      <w:pPr>
        <w:pStyle w:val="Heading3"/>
        <w:tabs>
          <w:tab w:val="clear" w:pos="567"/>
          <w:tab w:val="clear" w:pos="1134"/>
          <w:tab w:val="clear" w:pos="1701"/>
          <w:tab w:val="clear" w:pos="2268"/>
          <w:tab w:val="clear" w:pos="2835"/>
        </w:tabs>
        <w:snapToGrid w:val="0"/>
        <w:spacing w:before="240" w:after="120"/>
        <w:ind w:left="0" w:firstLine="0"/>
        <w:rPr>
          <w:rFonts w:eastAsia="SimSun"/>
          <w:szCs w:val="24"/>
        </w:rPr>
      </w:pPr>
      <w:bookmarkStart w:id="12" w:name="_Hlk2341777"/>
      <w:r>
        <w:rPr>
          <w:szCs w:val="24"/>
          <w:lang w:val="en-CA"/>
        </w:rPr>
        <w:lastRenderedPageBreak/>
        <w:t>4.2</w:t>
      </w:r>
      <w:r w:rsidRPr="00EE1126">
        <w:rPr>
          <w:szCs w:val="24"/>
          <w:lang w:val="en-CA"/>
        </w:rPr>
        <w:tab/>
      </w:r>
      <w:bookmarkEnd w:id="12"/>
      <w:r w:rsidRPr="00EE1126">
        <w:rPr>
          <w:szCs w:val="24"/>
        </w:rPr>
        <w:t xml:space="preserve">ITU Network of Women for WRC </w:t>
      </w:r>
    </w:p>
    <w:p w14:paraId="590D02D9" w14:textId="5059F678" w:rsidR="00304E17" w:rsidRDefault="000D4535" w:rsidP="000D4535">
      <w:pPr>
        <w:keepNext/>
        <w:keepLines/>
        <w:jc w:val="both"/>
        <w:rPr>
          <w:rFonts w:eastAsia="Calibri" w:cs="Calibri"/>
          <w:szCs w:val="24"/>
          <w:lang w:val="en"/>
        </w:rPr>
      </w:pPr>
      <w:r>
        <w:rPr>
          <w:rFonts w:eastAsia="Calibri" w:cs="Calibri"/>
          <w:szCs w:val="24"/>
          <w:lang w:val="en"/>
        </w:rPr>
        <w:t>4.2.1</w:t>
      </w:r>
      <w:r>
        <w:rPr>
          <w:rFonts w:eastAsia="Calibri" w:cs="Calibri"/>
          <w:szCs w:val="24"/>
          <w:lang w:val="en"/>
        </w:rPr>
        <w:tab/>
      </w:r>
      <w:r w:rsidR="00304E17">
        <w:rPr>
          <w:rFonts w:eastAsia="Calibri" w:cs="Calibri"/>
          <w:szCs w:val="24"/>
          <w:lang w:val="en"/>
        </w:rPr>
        <w:t>The</w:t>
      </w:r>
      <w:r w:rsidR="00304E17" w:rsidRPr="73EAA821">
        <w:rPr>
          <w:rFonts w:eastAsia="Calibri" w:cs="Calibri"/>
          <w:szCs w:val="24"/>
          <w:lang w:val="en"/>
        </w:rPr>
        <w:t xml:space="preserve"> </w:t>
      </w:r>
      <w:r w:rsidR="00304E17" w:rsidRPr="001269C1">
        <w:rPr>
          <w:rFonts w:eastAsia="Calibri" w:cs="Calibri"/>
          <w:szCs w:val="24"/>
          <w:lang w:val="en-US"/>
        </w:rPr>
        <w:t>Network of Women for WRC</w:t>
      </w:r>
      <w:r w:rsidR="00304E17">
        <w:rPr>
          <w:rFonts w:eastAsia="Calibri" w:cs="Calibri"/>
          <w:szCs w:val="24"/>
          <w:lang w:val="en-US"/>
        </w:rPr>
        <w:t xml:space="preserve"> initiative </w:t>
      </w:r>
      <w:r w:rsidR="00304E17" w:rsidRPr="001269C1">
        <w:rPr>
          <w:rFonts w:eastAsia="Calibri" w:cs="Calibri"/>
          <w:szCs w:val="24"/>
          <w:lang w:val="en"/>
        </w:rPr>
        <w:t>is</w:t>
      </w:r>
      <w:r w:rsidR="00304E17">
        <w:rPr>
          <w:rFonts w:eastAsia="Calibri" w:cs="Calibri"/>
          <w:szCs w:val="24"/>
          <w:lang w:val="en"/>
        </w:rPr>
        <w:t xml:space="preserve"> a </w:t>
      </w:r>
      <w:r w:rsidR="00304E17" w:rsidRPr="73EAA821">
        <w:rPr>
          <w:rFonts w:eastAsia="Calibri" w:cs="Calibri"/>
          <w:szCs w:val="24"/>
          <w:lang w:val="en"/>
        </w:rPr>
        <w:t xml:space="preserve">knowledge sharing and mentoring </w:t>
      </w:r>
      <w:r w:rsidR="00304E17">
        <w:rPr>
          <w:rFonts w:eastAsia="Calibri" w:cs="Calibri"/>
          <w:szCs w:val="24"/>
          <w:lang w:val="en"/>
        </w:rPr>
        <w:t xml:space="preserve">network that </w:t>
      </w:r>
      <w:r w:rsidR="00304E17" w:rsidRPr="73EAA821">
        <w:rPr>
          <w:rFonts w:eastAsia="Calibri" w:cs="Calibri"/>
          <w:szCs w:val="24"/>
          <w:lang w:val="en"/>
        </w:rPr>
        <w:t>encourages gender balance in decision-making bodies, panels, statutory committees, and study groups at ITU-R events</w:t>
      </w:r>
      <w:r w:rsidR="00304E17">
        <w:rPr>
          <w:rFonts w:eastAsia="Calibri" w:cs="Calibri"/>
          <w:szCs w:val="24"/>
          <w:lang w:val="en"/>
        </w:rPr>
        <w:t xml:space="preserve"> leading to the next World Radiocommunication Conference</w:t>
      </w:r>
      <w:r w:rsidR="00304E17" w:rsidRPr="73EAA821">
        <w:rPr>
          <w:rFonts w:eastAsia="Calibri" w:cs="Calibri"/>
          <w:szCs w:val="24"/>
          <w:lang w:val="en"/>
        </w:rPr>
        <w:t>.</w:t>
      </w:r>
    </w:p>
    <w:p w14:paraId="633326AE" w14:textId="2BE89079" w:rsidR="00304E17" w:rsidRPr="006E75E1" w:rsidRDefault="000D4535" w:rsidP="00304E17">
      <w:pPr>
        <w:jc w:val="both"/>
        <w:rPr>
          <w:rFonts w:eastAsia="Calibri" w:cs="Calibri"/>
          <w:szCs w:val="24"/>
          <w:lang w:val="en"/>
        </w:rPr>
      </w:pPr>
      <w:r>
        <w:rPr>
          <w:rFonts w:eastAsia="Calibri" w:cs="Calibri"/>
          <w:szCs w:val="24"/>
          <w:lang w:val="en"/>
        </w:rPr>
        <w:t>4.2.2</w:t>
      </w:r>
      <w:r>
        <w:rPr>
          <w:rFonts w:eastAsia="Calibri" w:cs="Calibri"/>
          <w:szCs w:val="24"/>
          <w:lang w:val="en"/>
        </w:rPr>
        <w:tab/>
      </w:r>
      <w:r w:rsidR="00304E17">
        <w:rPr>
          <w:rFonts w:eastAsia="Calibri" w:cs="Calibri"/>
          <w:szCs w:val="24"/>
          <w:lang w:val="en"/>
        </w:rPr>
        <w:t>T</w:t>
      </w:r>
      <w:r w:rsidR="00304E17" w:rsidRPr="00F34E44">
        <w:rPr>
          <w:rFonts w:eastAsia="Calibri" w:cs="Calibri"/>
          <w:szCs w:val="24"/>
          <w:lang w:val="en"/>
        </w:rPr>
        <w:t xml:space="preserve">he </w:t>
      </w:r>
      <w:hyperlink r:id="rId51">
        <w:r w:rsidR="00304E17" w:rsidRPr="00F34E44">
          <w:rPr>
            <w:rStyle w:val="Hyperlink"/>
            <w:rFonts w:eastAsia="Calibri" w:cs="Calibri"/>
            <w:color w:val="auto"/>
            <w:szCs w:val="24"/>
            <w:u w:val="none"/>
            <w:lang w:val="en-US"/>
          </w:rPr>
          <w:t>NOW</w:t>
        </w:r>
      </w:hyperlink>
      <w:r w:rsidR="00304E17">
        <w:rPr>
          <w:rStyle w:val="Hyperlink"/>
          <w:rFonts w:eastAsia="Calibri" w:cs="Calibri"/>
          <w:color w:val="auto"/>
          <w:szCs w:val="24"/>
          <w:u w:val="none"/>
          <w:lang w:val="en-US"/>
        </w:rPr>
        <w:t>4WRC19</w:t>
      </w:r>
      <w:r w:rsidR="00304E17" w:rsidRPr="00F34E44">
        <w:rPr>
          <w:rFonts w:eastAsia="Calibri" w:cs="Calibri"/>
          <w:szCs w:val="24"/>
          <w:lang w:val="en-US"/>
        </w:rPr>
        <w:t xml:space="preserve"> mentorship </w:t>
      </w:r>
      <w:proofErr w:type="spellStart"/>
      <w:r w:rsidR="00304E17" w:rsidRPr="00F34E44">
        <w:rPr>
          <w:rFonts w:eastAsia="Calibri" w:cs="Calibri"/>
          <w:szCs w:val="24"/>
          <w:lang w:val="en-US"/>
        </w:rPr>
        <w:t>programme</w:t>
      </w:r>
      <w:proofErr w:type="spellEnd"/>
      <w:r w:rsidR="00304E17" w:rsidRPr="00F34E44">
        <w:rPr>
          <w:rFonts w:eastAsia="Calibri" w:cs="Calibri"/>
          <w:szCs w:val="24"/>
          <w:lang w:val="en-US"/>
        </w:rPr>
        <w:t xml:space="preserve"> (</w:t>
      </w:r>
      <w:r w:rsidR="00304E17">
        <w:rPr>
          <w:rFonts w:eastAsia="Calibri" w:cs="Calibri"/>
          <w:szCs w:val="24"/>
          <w:lang w:val="en-US"/>
        </w:rPr>
        <w:t xml:space="preserve">prior to </w:t>
      </w:r>
      <w:r w:rsidR="00304E17" w:rsidRPr="00F34E44">
        <w:rPr>
          <w:rFonts w:eastAsia="Calibri" w:cs="Calibri"/>
          <w:szCs w:val="24"/>
          <w:lang w:val="en-US"/>
        </w:rPr>
        <w:t xml:space="preserve">CPM19-2 and WRC-19) brought together </w:t>
      </w:r>
      <w:r w:rsidR="00304E17">
        <w:rPr>
          <w:rFonts w:eastAsia="Calibri" w:cs="Calibri"/>
          <w:szCs w:val="24"/>
          <w:lang w:val="en-US"/>
        </w:rPr>
        <w:t xml:space="preserve">205 </w:t>
      </w:r>
      <w:r w:rsidR="00304E17" w:rsidRPr="00F34E44">
        <w:rPr>
          <w:rFonts w:eastAsia="Calibri" w:cs="Calibri"/>
          <w:szCs w:val="24"/>
          <w:lang w:val="en-US"/>
        </w:rPr>
        <w:t>new and experienced delegates from 70 countries</w:t>
      </w:r>
      <w:r w:rsidR="00304E17">
        <w:rPr>
          <w:rFonts w:eastAsia="Calibri" w:cs="Calibri"/>
          <w:szCs w:val="24"/>
          <w:lang w:val="en-US"/>
        </w:rPr>
        <w:t xml:space="preserve"> and</w:t>
      </w:r>
      <w:r w:rsidR="00304E17" w:rsidRPr="00F34E44">
        <w:rPr>
          <w:rFonts w:eastAsia="Calibri" w:cs="Calibri"/>
          <w:szCs w:val="24"/>
          <w:lang w:val="en-US"/>
        </w:rPr>
        <w:t xml:space="preserve"> matched over 180 mentor/mentee pairs to share knowledge and encourage a larger and more active participation of women in the WRC process. NOW</w:t>
      </w:r>
      <w:r w:rsidR="00304E17">
        <w:rPr>
          <w:rFonts w:eastAsia="Calibri" w:cs="Calibri"/>
          <w:szCs w:val="24"/>
          <w:lang w:val="en-US"/>
        </w:rPr>
        <w:t>4WRC19</w:t>
      </w:r>
      <w:r w:rsidR="00304E17" w:rsidRPr="00F34E44">
        <w:rPr>
          <w:rFonts w:eastAsia="Calibri" w:cs="Calibri"/>
          <w:szCs w:val="24"/>
          <w:lang w:val="en-US"/>
        </w:rPr>
        <w:t xml:space="preserve"> </w:t>
      </w:r>
      <w:r w:rsidR="00304E17">
        <w:rPr>
          <w:rFonts w:eastAsia="Calibri" w:cs="Calibri"/>
          <w:szCs w:val="24"/>
          <w:lang w:val="en-US"/>
        </w:rPr>
        <w:t xml:space="preserve">participants led the effort that succeed in the adoption of the </w:t>
      </w:r>
      <w:hyperlink r:id="rId52" w:history="1">
        <w:r w:rsidR="00304E17" w:rsidRPr="00C13041">
          <w:rPr>
            <w:rStyle w:val="Hyperlink"/>
            <w:rFonts w:eastAsia="Calibri" w:cs="Calibri"/>
            <w:szCs w:val="24"/>
            <w:lang w:val="en"/>
          </w:rPr>
          <w:t>WRC-19 Declaration on Promoting Gender Equality, Equity and Parity in the ITU Radiocommunication Sector</w:t>
        </w:r>
      </w:hyperlink>
      <w:r w:rsidR="00304E17" w:rsidRPr="00F34E44">
        <w:rPr>
          <w:rFonts w:eastAsia="Calibri" w:cs="Calibri"/>
          <w:szCs w:val="24"/>
          <w:lang w:val="en"/>
        </w:rPr>
        <w:t>.</w:t>
      </w:r>
      <w:r w:rsidR="00304E17" w:rsidRPr="00AD059F">
        <w:rPr>
          <w:rFonts w:eastAsia="Calibri" w:cs="Calibri"/>
          <w:szCs w:val="24"/>
          <w:lang w:val="en"/>
        </w:rPr>
        <w:t xml:space="preserve"> </w:t>
      </w:r>
    </w:p>
    <w:p w14:paraId="3C5FD7F9" w14:textId="23B45E0B" w:rsidR="00304E17" w:rsidRPr="006E75E1" w:rsidRDefault="000D4535" w:rsidP="00304E17">
      <w:pPr>
        <w:jc w:val="both"/>
        <w:rPr>
          <w:rFonts w:cs="Arial"/>
          <w:lang w:val="en-CA" w:eastAsia="en-GB"/>
        </w:rPr>
      </w:pPr>
      <w:r>
        <w:rPr>
          <w:rFonts w:cs="Arial"/>
          <w:lang w:val="en-CA" w:eastAsia="en-GB"/>
        </w:rPr>
        <w:t>4.2.3</w:t>
      </w:r>
      <w:r>
        <w:rPr>
          <w:rFonts w:cs="Arial"/>
          <w:lang w:val="en-CA" w:eastAsia="en-GB"/>
        </w:rPr>
        <w:tab/>
      </w:r>
      <w:r w:rsidR="00304E17">
        <w:rPr>
          <w:rFonts w:cs="Arial"/>
          <w:lang w:val="en-CA" w:eastAsia="en-GB"/>
        </w:rPr>
        <w:t xml:space="preserve">In </w:t>
      </w:r>
      <w:r w:rsidR="00304E17" w:rsidRPr="00163B90">
        <w:t>December 2020</w:t>
      </w:r>
      <w:r w:rsidR="00304E17">
        <w:t xml:space="preserve">, </w:t>
      </w:r>
      <w:r w:rsidR="00C13041">
        <w:t>t</w:t>
      </w:r>
      <w:r w:rsidR="00304E17" w:rsidRPr="00163B90">
        <w:t>he Network of Women for WRC23 (NOW4WRC23)</w:t>
      </w:r>
      <w:r w:rsidR="00304E17">
        <w:t xml:space="preserve"> was launched.</w:t>
      </w:r>
      <w:r w:rsidR="00304E17">
        <w:rPr>
          <w:rFonts w:cs="Arial"/>
          <w:lang w:val="en-CA" w:eastAsia="en-GB"/>
        </w:rPr>
        <w:t xml:space="preserve"> </w:t>
      </w:r>
      <w:r w:rsidR="00304E17">
        <w:t xml:space="preserve">It aims to continue </w:t>
      </w:r>
      <w:r w:rsidR="00304E17" w:rsidRPr="00163B90">
        <w:t>building capacity and encourag</w:t>
      </w:r>
      <w:r w:rsidR="00304E17">
        <w:t>ing</w:t>
      </w:r>
      <w:r w:rsidR="00304E17" w:rsidRPr="00163B90">
        <w:t xml:space="preserve"> </w:t>
      </w:r>
      <w:r w:rsidR="00304E17">
        <w:t>greate</w:t>
      </w:r>
      <w:r w:rsidR="00304E17" w:rsidRPr="00163B90">
        <w:t xml:space="preserve">r participation of women in key roles, </w:t>
      </w:r>
      <w:r w:rsidR="00304E17">
        <w:t>increasing</w:t>
      </w:r>
      <w:r w:rsidR="00304E17" w:rsidRPr="00163B90">
        <w:t xml:space="preserve"> attend</w:t>
      </w:r>
      <w:r w:rsidR="00304E17">
        <w:t>ance in ITU-R</w:t>
      </w:r>
      <w:r w:rsidR="00304E17" w:rsidRPr="00163B90">
        <w:t xml:space="preserve"> meetings and conferences as delegates, chairs, and vice-chairs, for example, and work</w:t>
      </w:r>
      <w:r w:rsidR="00304E17">
        <w:t>ing</w:t>
      </w:r>
      <w:r w:rsidR="00304E17" w:rsidRPr="00163B90">
        <w:t xml:space="preserve"> towards </w:t>
      </w:r>
      <w:r w:rsidR="00304E17">
        <w:t>exceeding</w:t>
      </w:r>
      <w:r w:rsidR="00304E17" w:rsidRPr="00163B90">
        <w:t xml:space="preserve"> the 30 per cent threshold necessary for any </w:t>
      </w:r>
      <w:r w:rsidR="00304E17">
        <w:t>sustained cultural</w:t>
      </w:r>
      <w:r w:rsidR="00304E17" w:rsidRPr="00163B90">
        <w:t xml:space="preserve"> change</w:t>
      </w:r>
      <w:r w:rsidR="00304E17">
        <w:t>.  In addition to updating and relaunching its mentorship programme, NOW4WRC23 is also expanding to include regional initiatives</w:t>
      </w:r>
      <w:r w:rsidR="00C13041">
        <w:t xml:space="preserve">, </w:t>
      </w:r>
      <w:r w:rsidR="00304E17">
        <w:t>led by Co-Chairs nominated by each of the six Regional Telecommunication Organizations (RTO), will be carried out within and during the RTOs</w:t>
      </w:r>
      <w:r w:rsidR="00435F09">
        <w:t>’</w:t>
      </w:r>
      <w:r w:rsidR="00304E17">
        <w:t xml:space="preserve"> preparatory processes for the WRC-23.   </w:t>
      </w:r>
    </w:p>
    <w:p w14:paraId="43ED417A" w14:textId="6E81B77C" w:rsidR="00304E17" w:rsidRPr="00163B90" w:rsidRDefault="000D4535" w:rsidP="00304E17">
      <w:pPr>
        <w:jc w:val="both"/>
      </w:pPr>
      <w:r>
        <w:rPr>
          <w:lang w:val="en-CA"/>
        </w:rPr>
        <w:t>4.2.4</w:t>
      </w:r>
      <w:r>
        <w:rPr>
          <w:lang w:val="en-CA"/>
        </w:rPr>
        <w:tab/>
      </w:r>
      <w:r w:rsidR="00304E17">
        <w:rPr>
          <w:lang w:val="en-CA"/>
        </w:rPr>
        <w:t>Lastly,</w:t>
      </w:r>
      <w:r w:rsidR="00304E17" w:rsidRPr="00163B90">
        <w:t xml:space="preserve"> the Radiocommunication Advisory Group </w:t>
      </w:r>
      <w:r w:rsidR="00A05F47">
        <w:t xml:space="preserve">(RAG) </w:t>
      </w:r>
      <w:r w:rsidR="00304E17">
        <w:t xml:space="preserve">established </w:t>
      </w:r>
      <w:r w:rsidR="00304E17" w:rsidRPr="00163B90">
        <w:t xml:space="preserve">the </w:t>
      </w:r>
      <w:hyperlink r:id="rId53" w:history="1">
        <w:r w:rsidR="00304E17" w:rsidRPr="00A05F47">
          <w:rPr>
            <w:rStyle w:val="Hyperlink"/>
          </w:rPr>
          <w:t>Correspondence Group on Gender</w:t>
        </w:r>
      </w:hyperlink>
      <w:r w:rsidR="00304E17">
        <w:t xml:space="preserve"> </w:t>
      </w:r>
      <w:r w:rsidR="00304E17" w:rsidRPr="00163B90">
        <w:t>to consider an appropriate course of action to initiate and implement the provisions of the WRC-19 Gender Declaration prior to the next Radiocommunication Assembly (RA-23)</w:t>
      </w:r>
      <w:r w:rsidR="00304E17">
        <w:t xml:space="preserve">. </w:t>
      </w:r>
    </w:p>
    <w:p w14:paraId="0EF5F920" w14:textId="77777777" w:rsidR="00304E17" w:rsidRPr="008E68BF" w:rsidRDefault="00304E17" w:rsidP="00304E17">
      <w:pPr>
        <w:pStyle w:val="Heading3"/>
        <w:tabs>
          <w:tab w:val="clear" w:pos="567"/>
          <w:tab w:val="clear" w:pos="1134"/>
          <w:tab w:val="clear" w:pos="1701"/>
          <w:tab w:val="clear" w:pos="2268"/>
          <w:tab w:val="clear" w:pos="2835"/>
        </w:tabs>
        <w:snapToGrid w:val="0"/>
        <w:spacing w:before="240" w:after="120"/>
        <w:rPr>
          <w:szCs w:val="24"/>
        </w:rPr>
      </w:pPr>
      <w:r w:rsidRPr="00EE1126">
        <w:rPr>
          <w:szCs w:val="24"/>
        </w:rPr>
        <w:t>4</w:t>
      </w:r>
      <w:r>
        <w:rPr>
          <w:szCs w:val="24"/>
        </w:rPr>
        <w:t>.3</w:t>
      </w:r>
      <w:r w:rsidRPr="00EE1126">
        <w:rPr>
          <w:szCs w:val="24"/>
        </w:rPr>
        <w:tab/>
      </w:r>
      <w:r w:rsidRPr="008E68BF">
        <w:rPr>
          <w:szCs w:val="24"/>
        </w:rPr>
        <w:t xml:space="preserve">Network of Women: </w:t>
      </w:r>
    </w:p>
    <w:p w14:paraId="0D62FBE6" w14:textId="4C12A93D" w:rsidR="00304E17" w:rsidRPr="006E75E1" w:rsidRDefault="00304E17" w:rsidP="00304E17">
      <w:pPr>
        <w:pStyle w:val="Heading3"/>
        <w:keepNext w:val="0"/>
        <w:keepLines w:val="0"/>
        <w:tabs>
          <w:tab w:val="clear" w:pos="567"/>
          <w:tab w:val="clear" w:pos="1134"/>
          <w:tab w:val="clear" w:pos="1701"/>
          <w:tab w:val="clear" w:pos="2268"/>
          <w:tab w:val="clear" w:pos="2835"/>
        </w:tabs>
        <w:snapToGrid w:val="0"/>
        <w:spacing w:before="240" w:after="120"/>
        <w:ind w:left="0" w:firstLine="0"/>
        <w:jc w:val="both"/>
        <w:rPr>
          <w:b w:val="0"/>
        </w:rPr>
      </w:pPr>
      <w:r w:rsidRPr="006E75E1">
        <w:rPr>
          <w:b w:val="0"/>
        </w:rPr>
        <w:t xml:space="preserve">In January 2021 </w:t>
      </w:r>
      <w:r w:rsidR="00F25317">
        <w:rPr>
          <w:b w:val="0"/>
        </w:rPr>
        <w:t>ITU-D</w:t>
      </w:r>
      <w:r w:rsidRPr="006E75E1">
        <w:rPr>
          <w:b w:val="0"/>
        </w:rPr>
        <w:t xml:space="preserve"> launched the Network of Women </w:t>
      </w:r>
      <w:r w:rsidR="00D775EA">
        <w:rPr>
          <w:b w:val="0"/>
        </w:rPr>
        <w:t xml:space="preserve">at </w:t>
      </w:r>
      <w:r w:rsidR="00D775EA" w:rsidRPr="00D775EA">
        <w:rPr>
          <w:b w:val="0"/>
        </w:rPr>
        <w:t xml:space="preserve">the World Telecommunication Development Conference </w:t>
      </w:r>
      <w:r w:rsidR="00487049" w:rsidRPr="00D775EA">
        <w:rPr>
          <w:b w:val="0"/>
          <w:bCs/>
        </w:rPr>
        <w:t>(</w:t>
      </w:r>
      <w:hyperlink r:id="rId54" w:history="1">
        <w:r w:rsidR="00487049" w:rsidRPr="0079476B">
          <w:rPr>
            <w:rStyle w:val="Hyperlink"/>
            <w:b w:val="0"/>
          </w:rPr>
          <w:t>NoW4WTDC21</w:t>
        </w:r>
      </w:hyperlink>
      <w:r w:rsidR="00487049">
        <w:rPr>
          <w:b w:val="0"/>
        </w:rPr>
        <w:t>), with t</w:t>
      </w:r>
      <w:r w:rsidRPr="006E75E1">
        <w:rPr>
          <w:b w:val="0"/>
        </w:rPr>
        <w:t>he overarching aim of increas</w:t>
      </w:r>
      <w:r w:rsidR="00210E53">
        <w:rPr>
          <w:b w:val="0"/>
        </w:rPr>
        <w:t>ing</w:t>
      </w:r>
      <w:r w:rsidRPr="006E75E1">
        <w:rPr>
          <w:b w:val="0"/>
        </w:rPr>
        <w:t xml:space="preserve"> the number of women participating in ITU-D meetings as well as taking up leadership roles, such as committee chairs, working group chairs and other management roles related to processes in preparation of WTDC itself, and beyond. It will be a platform to understand the challenges that women delegates face and explore possible avenues to overcome them. It will also allow sharing important lessons in a supportive community through mentorship and networking opportunities.</w:t>
      </w:r>
    </w:p>
    <w:p w14:paraId="29664DAB" w14:textId="77777777" w:rsidR="00304E17" w:rsidRPr="00EE1126" w:rsidRDefault="00304E17" w:rsidP="00304E17">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4.4</w:t>
      </w:r>
      <w:r>
        <w:rPr>
          <w:szCs w:val="24"/>
        </w:rPr>
        <w:tab/>
        <w:t>Setting the Standard for Gender Equality</w:t>
      </w:r>
    </w:p>
    <w:p w14:paraId="54BE6BEA" w14:textId="5166D157" w:rsidR="00304E17" w:rsidRDefault="007D68D6" w:rsidP="00304E17">
      <w:pPr>
        <w:tabs>
          <w:tab w:val="clear" w:pos="567"/>
          <w:tab w:val="clear" w:pos="1134"/>
          <w:tab w:val="clear" w:pos="1701"/>
          <w:tab w:val="clear" w:pos="2268"/>
          <w:tab w:val="clear" w:pos="2835"/>
        </w:tabs>
        <w:snapToGrid w:val="0"/>
        <w:spacing w:after="120"/>
        <w:jc w:val="both"/>
        <w:rPr>
          <w:rFonts w:eastAsia="SimSun"/>
          <w:szCs w:val="24"/>
        </w:rPr>
      </w:pPr>
      <w:bookmarkStart w:id="13" w:name="_Hlk2181458"/>
      <w:r>
        <w:rPr>
          <w:rFonts w:eastAsia="SimSun"/>
          <w:szCs w:val="24"/>
        </w:rPr>
        <w:t xml:space="preserve">The </w:t>
      </w:r>
      <w:r w:rsidR="00501D01">
        <w:rPr>
          <w:rFonts w:eastAsia="SimSun"/>
          <w:szCs w:val="24"/>
        </w:rPr>
        <w:t xml:space="preserve">ITU </w:t>
      </w:r>
      <w:r w:rsidR="00490196">
        <w:rPr>
          <w:rFonts w:eastAsia="SimSun"/>
          <w:szCs w:val="24"/>
        </w:rPr>
        <w:t>Telecommunication Standardization Sector</w:t>
      </w:r>
      <w:r w:rsidR="00304E17" w:rsidRPr="00561A99">
        <w:rPr>
          <w:rFonts w:eastAsia="SimSun"/>
          <w:szCs w:val="24"/>
        </w:rPr>
        <w:t xml:space="preserve"> continues to undertake actions to improve gender equality in TSB and ITU-T.</w:t>
      </w:r>
      <w:r w:rsidR="00304E17">
        <w:rPr>
          <w:rFonts w:eastAsia="SimSun"/>
          <w:szCs w:val="24"/>
        </w:rPr>
        <w:t xml:space="preserve"> </w:t>
      </w:r>
      <w:r w:rsidR="00304E17" w:rsidRPr="00561A99">
        <w:rPr>
          <w:rFonts w:eastAsia="SimSun"/>
          <w:szCs w:val="24"/>
        </w:rPr>
        <w:t>The AI for Good Summit continues to focus on increasing the number of female speakers on technical topics</w:t>
      </w:r>
      <w:r w:rsidR="00304E17">
        <w:rPr>
          <w:rFonts w:eastAsia="SimSun"/>
          <w:szCs w:val="24"/>
        </w:rPr>
        <w:t xml:space="preserve">. </w:t>
      </w:r>
      <w:r w:rsidR="00490196">
        <w:rPr>
          <w:rFonts w:eastAsia="SimSun"/>
          <w:szCs w:val="24"/>
        </w:rPr>
        <w:t>ITU-T</w:t>
      </w:r>
      <w:r w:rsidR="00304E17" w:rsidRPr="00561A99">
        <w:rPr>
          <w:rFonts w:eastAsia="SimSun"/>
          <w:szCs w:val="24"/>
        </w:rPr>
        <w:t xml:space="preserve"> </w:t>
      </w:r>
      <w:r w:rsidR="00304E17">
        <w:rPr>
          <w:rFonts w:eastAsia="SimSun"/>
          <w:szCs w:val="24"/>
        </w:rPr>
        <w:t xml:space="preserve">also </w:t>
      </w:r>
      <w:r w:rsidR="00304E17" w:rsidRPr="00561A99">
        <w:rPr>
          <w:rFonts w:eastAsia="SimSun"/>
          <w:szCs w:val="24"/>
        </w:rPr>
        <w:t>continues collaboration with other Standards Development Organizations and UN agencies on ensuring that the standards development processes are inclusive, and the standards developed are gender responsive.</w:t>
      </w:r>
    </w:p>
    <w:p w14:paraId="283EE533" w14:textId="3D5DF4DF" w:rsidR="00304E17" w:rsidRPr="00EE1126" w:rsidRDefault="00304E17" w:rsidP="00304E17">
      <w:pPr>
        <w:pStyle w:val="Heading3"/>
        <w:tabs>
          <w:tab w:val="clear" w:pos="567"/>
          <w:tab w:val="clear" w:pos="1134"/>
          <w:tab w:val="clear" w:pos="1701"/>
          <w:tab w:val="clear" w:pos="2268"/>
          <w:tab w:val="clear" w:pos="2835"/>
        </w:tabs>
        <w:snapToGrid w:val="0"/>
        <w:spacing w:before="240" w:after="120"/>
        <w:ind w:left="0" w:firstLine="0"/>
        <w:rPr>
          <w:szCs w:val="24"/>
        </w:rPr>
      </w:pPr>
      <w:r w:rsidRPr="00EE1126">
        <w:rPr>
          <w:szCs w:val="24"/>
        </w:rPr>
        <w:t>4</w:t>
      </w:r>
      <w:r>
        <w:rPr>
          <w:szCs w:val="24"/>
        </w:rPr>
        <w:t>.5</w:t>
      </w:r>
      <w:r w:rsidRPr="00EE1126">
        <w:rPr>
          <w:szCs w:val="24"/>
        </w:rPr>
        <w:tab/>
      </w:r>
      <w:r w:rsidRPr="00BB76D2">
        <w:rPr>
          <w:szCs w:val="24"/>
        </w:rPr>
        <w:t xml:space="preserve">ITU </w:t>
      </w:r>
      <w:r w:rsidR="002D73E0">
        <w:rPr>
          <w:szCs w:val="24"/>
        </w:rPr>
        <w:t xml:space="preserve">Digital </w:t>
      </w:r>
      <w:r w:rsidRPr="00BB76D2">
        <w:rPr>
          <w:szCs w:val="24"/>
        </w:rPr>
        <w:t>World</w:t>
      </w:r>
      <w:r>
        <w:rPr>
          <w:szCs w:val="24"/>
        </w:rPr>
        <w:t xml:space="preserve"> 20</w:t>
      </w:r>
      <w:r w:rsidR="002D73E0">
        <w:rPr>
          <w:szCs w:val="24"/>
        </w:rPr>
        <w:t>20</w:t>
      </w:r>
    </w:p>
    <w:p w14:paraId="35034C73" w14:textId="0851E4A1" w:rsidR="00CB56CF" w:rsidRDefault="00CB56CF" w:rsidP="00111148">
      <w:pPr>
        <w:jc w:val="both"/>
        <w:rPr>
          <w:color w:val="000000"/>
          <w:szCs w:val="24"/>
        </w:rPr>
      </w:pPr>
      <w:r>
        <w:rPr>
          <w:color w:val="000000"/>
          <w:szCs w:val="24"/>
        </w:rPr>
        <w:t xml:space="preserve">The Forum at ITU Virtual Digital World 2020 took place online for the first time, under very different circumstances from previous physical editions of the </w:t>
      </w:r>
      <w:r w:rsidRPr="004A3FED">
        <w:rPr>
          <w:szCs w:val="24"/>
        </w:rPr>
        <w:t>ITU Telecom World</w:t>
      </w:r>
      <w:r>
        <w:rPr>
          <w:color w:val="000000"/>
          <w:szCs w:val="24"/>
        </w:rPr>
        <w:t xml:space="preserve">. However, the participation of female speakers </w:t>
      </w:r>
      <w:r w:rsidR="00256617">
        <w:rPr>
          <w:color w:val="000000"/>
          <w:szCs w:val="24"/>
        </w:rPr>
        <w:t xml:space="preserve">continued to be encouraged </w:t>
      </w:r>
      <w:r>
        <w:rPr>
          <w:color w:val="000000"/>
          <w:szCs w:val="24"/>
        </w:rPr>
        <w:t>in the same way, resulting in a gender balance in Forum sessions of 21% female and 79% male speakers</w:t>
      </w:r>
      <w:r w:rsidR="00347B11">
        <w:rPr>
          <w:color w:val="000000"/>
          <w:szCs w:val="24"/>
        </w:rPr>
        <w:t>, with f</w:t>
      </w:r>
      <w:r>
        <w:rPr>
          <w:color w:val="000000"/>
          <w:szCs w:val="24"/>
        </w:rPr>
        <w:t>emale speakers present in every session.</w:t>
      </w:r>
    </w:p>
    <w:bookmarkEnd w:id="13"/>
    <w:p w14:paraId="5A723758" w14:textId="77777777" w:rsidR="00304E17" w:rsidRPr="00EE1126" w:rsidRDefault="00304E17" w:rsidP="00304E17">
      <w:pPr>
        <w:pStyle w:val="Heading1"/>
        <w:keepNext w:val="0"/>
        <w:keepLines w:val="0"/>
        <w:tabs>
          <w:tab w:val="clear" w:pos="567"/>
          <w:tab w:val="clear" w:pos="1134"/>
          <w:tab w:val="clear" w:pos="1701"/>
          <w:tab w:val="clear" w:pos="2268"/>
          <w:tab w:val="clear" w:pos="2835"/>
        </w:tabs>
        <w:snapToGrid w:val="0"/>
        <w:spacing w:after="120"/>
        <w:ind w:left="0" w:firstLine="0"/>
        <w:jc w:val="both"/>
        <w:rPr>
          <w:sz w:val="24"/>
          <w:szCs w:val="24"/>
        </w:rPr>
      </w:pPr>
      <w:r w:rsidRPr="00EE1126">
        <w:rPr>
          <w:sz w:val="24"/>
          <w:szCs w:val="24"/>
        </w:rPr>
        <w:lastRenderedPageBreak/>
        <w:t>5</w:t>
      </w:r>
      <w:r w:rsidRPr="00EE1126">
        <w:rPr>
          <w:sz w:val="24"/>
          <w:szCs w:val="24"/>
        </w:rPr>
        <w:tab/>
        <w:t>Institutional Awareness of Gender Equality and Mainstreaming</w:t>
      </w:r>
    </w:p>
    <w:p w14:paraId="6AC20ED9" w14:textId="77777777" w:rsidR="00304E17" w:rsidRPr="00EE1126" w:rsidRDefault="00304E17" w:rsidP="00304E17">
      <w:pPr>
        <w:pStyle w:val="Heading3"/>
        <w:keepNext w:val="0"/>
        <w:keepLines w:val="0"/>
        <w:tabs>
          <w:tab w:val="clear" w:pos="567"/>
          <w:tab w:val="clear" w:pos="1134"/>
          <w:tab w:val="clear" w:pos="1701"/>
          <w:tab w:val="clear" w:pos="2268"/>
          <w:tab w:val="clear" w:pos="2835"/>
        </w:tabs>
        <w:snapToGrid w:val="0"/>
        <w:spacing w:before="240" w:after="120"/>
        <w:ind w:left="0" w:firstLine="0"/>
        <w:rPr>
          <w:rFonts w:eastAsia="SimSun"/>
          <w:szCs w:val="24"/>
        </w:rPr>
      </w:pPr>
      <w:r w:rsidRPr="00EE1126">
        <w:rPr>
          <w:szCs w:val="24"/>
        </w:rPr>
        <w:t>5.</w:t>
      </w:r>
      <w:r>
        <w:rPr>
          <w:szCs w:val="24"/>
        </w:rPr>
        <w:t>1</w:t>
      </w:r>
      <w:r w:rsidRPr="00EE1126">
        <w:rPr>
          <w:szCs w:val="24"/>
        </w:rPr>
        <w:tab/>
        <w:t>International Gender Champion</w:t>
      </w:r>
      <w:r>
        <w:rPr>
          <w:szCs w:val="24"/>
        </w:rPr>
        <w:t>s</w:t>
      </w:r>
      <w:r w:rsidRPr="00EE1126">
        <w:rPr>
          <w:szCs w:val="24"/>
        </w:rPr>
        <w:t xml:space="preserve"> of Geneva</w:t>
      </w:r>
    </w:p>
    <w:p w14:paraId="31C0798B" w14:textId="77777777" w:rsidR="00304E17" w:rsidRPr="00EE1126" w:rsidRDefault="00304E17" w:rsidP="00304E17">
      <w:pPr>
        <w:tabs>
          <w:tab w:val="clear" w:pos="567"/>
          <w:tab w:val="clear" w:pos="1134"/>
          <w:tab w:val="clear" w:pos="1701"/>
          <w:tab w:val="clear" w:pos="2268"/>
          <w:tab w:val="clear" w:pos="2835"/>
        </w:tabs>
        <w:snapToGrid w:val="0"/>
        <w:spacing w:after="120"/>
        <w:jc w:val="both"/>
        <w:rPr>
          <w:rFonts w:cs="Calibri"/>
          <w:bCs/>
          <w:szCs w:val="24"/>
        </w:rPr>
      </w:pPr>
      <w:r w:rsidRPr="00EE1126">
        <w:rPr>
          <w:rFonts w:cs="Calibri"/>
          <w:bCs/>
          <w:szCs w:val="24"/>
        </w:rPr>
        <w:t>The ITU Secretary-General is a founding member of the</w:t>
      </w:r>
      <w:r>
        <w:rPr>
          <w:rFonts w:cs="Calibri"/>
          <w:bCs/>
          <w:szCs w:val="24"/>
        </w:rPr>
        <w:t xml:space="preserve"> Geneva chapter of the </w:t>
      </w:r>
      <w:hyperlink r:id="rId55" w:history="1">
        <w:r w:rsidRPr="005917B5">
          <w:rPr>
            <w:rStyle w:val="Hyperlink"/>
            <w:rFonts w:cs="Calibri"/>
            <w:bCs/>
            <w:szCs w:val="24"/>
          </w:rPr>
          <w:t>International Gender Champions</w:t>
        </w:r>
      </w:hyperlink>
      <w:r>
        <w:rPr>
          <w:rStyle w:val="Hyperlink"/>
          <w:rFonts w:cs="Calibri"/>
          <w:bCs/>
          <w:szCs w:val="24"/>
        </w:rPr>
        <w:t xml:space="preserve"> (IGC)</w:t>
      </w:r>
      <w:r>
        <w:rPr>
          <w:rFonts w:cs="Calibri"/>
          <w:bCs/>
          <w:szCs w:val="24"/>
        </w:rPr>
        <w:t xml:space="preserve">. In addition to the panel-parity pledge to avoid single-sex panels, the </w:t>
      </w:r>
      <w:r>
        <w:rPr>
          <w:szCs w:val="24"/>
          <w:lang w:val="en-CA"/>
        </w:rPr>
        <w:t xml:space="preserve">SG </w:t>
      </w:r>
      <w:hyperlink r:id="rId56" w:history="1">
        <w:r w:rsidRPr="006564B5">
          <w:rPr>
            <w:rStyle w:val="Hyperlink"/>
          </w:rPr>
          <w:t>commits</w:t>
        </w:r>
      </w:hyperlink>
      <w:r>
        <w:t xml:space="preserve"> to further work </w:t>
      </w:r>
      <w:r>
        <w:rPr>
          <w:rFonts w:cs="Calibri"/>
          <w:bCs/>
          <w:szCs w:val="24"/>
        </w:rPr>
        <w:t>on</w:t>
      </w:r>
      <w:r w:rsidRPr="00EE1126">
        <w:rPr>
          <w:rFonts w:cs="Calibri"/>
          <w:bCs/>
          <w:szCs w:val="24"/>
        </w:rPr>
        <w:t>: (</w:t>
      </w:r>
      <w:r>
        <w:rPr>
          <w:rFonts w:cs="Calibri"/>
          <w:bCs/>
          <w:szCs w:val="24"/>
        </w:rPr>
        <w:t>1</w:t>
      </w:r>
      <w:r w:rsidRPr="00EE1126">
        <w:rPr>
          <w:rFonts w:cs="Calibri"/>
          <w:bCs/>
          <w:szCs w:val="24"/>
        </w:rPr>
        <w:t xml:space="preserve">) </w:t>
      </w:r>
      <w:r w:rsidRPr="00BD54F4">
        <w:rPr>
          <w:rFonts w:cs="Calibri"/>
          <w:bCs/>
          <w:szCs w:val="24"/>
        </w:rPr>
        <w:t>reinforc</w:t>
      </w:r>
      <w:r>
        <w:rPr>
          <w:rFonts w:cs="Calibri"/>
          <w:bCs/>
          <w:szCs w:val="24"/>
        </w:rPr>
        <w:t xml:space="preserve">ing the </w:t>
      </w:r>
      <w:r w:rsidRPr="00BD54F4">
        <w:rPr>
          <w:rFonts w:cs="Calibri"/>
          <w:bCs/>
          <w:szCs w:val="24"/>
        </w:rPr>
        <w:t>efforts to help countries to have the necessary capacity to collect and disseminate/share global/regional/national gender- and age-disaggregated data on access and use of ICTs and digital skills</w:t>
      </w:r>
      <w:r>
        <w:rPr>
          <w:rFonts w:cs="Calibri"/>
          <w:bCs/>
          <w:szCs w:val="24"/>
        </w:rPr>
        <w:t xml:space="preserve">; and (2) </w:t>
      </w:r>
      <w:r w:rsidRPr="00BD54F4">
        <w:rPr>
          <w:rFonts w:cs="Calibri"/>
          <w:bCs/>
          <w:szCs w:val="24"/>
        </w:rPr>
        <w:t>help</w:t>
      </w:r>
      <w:r>
        <w:rPr>
          <w:rFonts w:cs="Calibri"/>
          <w:bCs/>
          <w:szCs w:val="24"/>
        </w:rPr>
        <w:t>ing</w:t>
      </w:r>
      <w:r w:rsidRPr="00BD54F4">
        <w:rPr>
          <w:rFonts w:cs="Calibri"/>
          <w:bCs/>
          <w:szCs w:val="24"/>
        </w:rPr>
        <w:t xml:space="preserve"> countries to raise awareness and promote the active participation of girls and young women in ICT related careers and other digital skills to fulfil the demand of future jobs on an equal basis</w:t>
      </w:r>
      <w:r>
        <w:rPr>
          <w:rFonts w:cs="Calibri"/>
          <w:bCs/>
          <w:szCs w:val="24"/>
        </w:rPr>
        <w:t xml:space="preserve">. </w:t>
      </w:r>
    </w:p>
    <w:p w14:paraId="400393C0" w14:textId="77777777" w:rsidR="00304E17" w:rsidRPr="00EE1126" w:rsidRDefault="00304E17" w:rsidP="00304E17">
      <w:pPr>
        <w:pStyle w:val="Heading3"/>
        <w:rPr>
          <w:rFonts w:eastAsia="SimSun"/>
        </w:rPr>
      </w:pPr>
      <w:r w:rsidRPr="00EE1126">
        <w:t>5.</w:t>
      </w:r>
      <w:r>
        <w:t>2</w:t>
      </w:r>
      <w:r w:rsidRPr="00EE1126">
        <w:tab/>
      </w:r>
      <w:r>
        <w:t>ITU as a Safe and Professional Environment</w:t>
      </w:r>
    </w:p>
    <w:p w14:paraId="644806D0" w14:textId="68942854" w:rsidR="00304E17" w:rsidRDefault="00304E17" w:rsidP="00304E17">
      <w:pPr>
        <w:tabs>
          <w:tab w:val="clear" w:pos="567"/>
          <w:tab w:val="clear" w:pos="1134"/>
          <w:tab w:val="clear" w:pos="1701"/>
          <w:tab w:val="clear" w:pos="2268"/>
          <w:tab w:val="clear" w:pos="2835"/>
        </w:tabs>
        <w:snapToGrid w:val="0"/>
        <w:spacing w:after="120"/>
        <w:jc w:val="both"/>
      </w:pPr>
      <w:r>
        <w:t>ITU continues its efforts to ensure a safe and harmonious work environment for all. ITU participates in the Chief Executive Board (CEB) task force addressing sexual harassment within the United Nations system. Work is focused on scaling up prevention and response mechanisms to sexual harassment</w:t>
      </w:r>
      <w:bookmarkStart w:id="14" w:name="_Hlk33770850"/>
      <w:r>
        <w:t xml:space="preserve">. </w:t>
      </w:r>
      <w:bookmarkEnd w:id="14"/>
      <w:r>
        <w:t>ITU has also been involved in the sub-working group on a code of conduct to p</w:t>
      </w:r>
      <w:r w:rsidRPr="00FF1A96">
        <w:t xml:space="preserve">revent </w:t>
      </w:r>
      <w:r>
        <w:t>s</w:t>
      </w:r>
      <w:r w:rsidRPr="00FF1A96">
        <w:t xml:space="preserve">exual </w:t>
      </w:r>
      <w:r>
        <w:t>h</w:t>
      </w:r>
      <w:r w:rsidRPr="00FF1A96">
        <w:t xml:space="preserve">arassment </w:t>
      </w:r>
      <w:r>
        <w:t>d</w:t>
      </w:r>
      <w:r w:rsidRPr="00FF1A96">
        <w:t xml:space="preserve">uring or </w:t>
      </w:r>
      <w:r>
        <w:t>i</w:t>
      </w:r>
      <w:r w:rsidRPr="00FF1A96">
        <w:t xml:space="preserve">n </w:t>
      </w:r>
      <w:r>
        <w:t>r</w:t>
      </w:r>
      <w:r w:rsidRPr="00FF1A96">
        <w:t xml:space="preserve">elation to </w:t>
      </w:r>
      <w:r>
        <w:t xml:space="preserve">UN events. </w:t>
      </w:r>
      <w:bookmarkStart w:id="15" w:name="_Hlk33777157"/>
      <w:r>
        <w:t xml:space="preserve">The </w:t>
      </w:r>
      <w:bookmarkEnd w:id="15"/>
      <w:r>
        <w:t>code is accessible from ITU</w:t>
      </w:r>
      <w:r w:rsidR="00435F09">
        <w:t>’</w:t>
      </w:r>
      <w:r>
        <w:t xml:space="preserve">s </w:t>
      </w:r>
      <w:hyperlink r:id="rId57" w:history="1">
        <w:r w:rsidRPr="005B7D4F">
          <w:rPr>
            <w:rStyle w:val="Hyperlink"/>
          </w:rPr>
          <w:t>Delegates Corner</w:t>
        </w:r>
      </w:hyperlink>
      <w:r>
        <w:t xml:space="preserve">. </w:t>
      </w:r>
    </w:p>
    <w:p w14:paraId="3A3A4024" w14:textId="0A6101F9" w:rsidR="00304E17" w:rsidRDefault="00304E17" w:rsidP="00304E17">
      <w:pPr>
        <w:tabs>
          <w:tab w:val="clear" w:pos="567"/>
          <w:tab w:val="clear" w:pos="1134"/>
          <w:tab w:val="clear" w:pos="1701"/>
          <w:tab w:val="clear" w:pos="2268"/>
          <w:tab w:val="clear" w:pos="2835"/>
        </w:tabs>
        <w:snapToGrid w:val="0"/>
        <w:spacing w:after="120"/>
        <w:jc w:val="both"/>
      </w:pPr>
      <w:r w:rsidRPr="008562C4">
        <w:t>ITU Harassment Policy (including sexual harassment) is under review</w:t>
      </w:r>
      <w:r>
        <w:t xml:space="preserve"> within an </w:t>
      </w:r>
      <w:r w:rsidRPr="008562C4">
        <w:t>internal drafting working group</w:t>
      </w:r>
      <w:r>
        <w:t>.</w:t>
      </w:r>
    </w:p>
    <w:p w14:paraId="67BB721A" w14:textId="77777777" w:rsidR="00304E17" w:rsidRPr="00EE1126" w:rsidRDefault="00304E17" w:rsidP="00304E17">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5.</w:t>
      </w:r>
      <w:r>
        <w:rPr>
          <w:szCs w:val="24"/>
        </w:rPr>
        <w:t>3</w:t>
      </w:r>
      <w:r w:rsidRPr="00EE1126">
        <w:rPr>
          <w:szCs w:val="24"/>
        </w:rPr>
        <w:tab/>
        <w:t xml:space="preserve">UN-SWAP </w:t>
      </w:r>
      <w:r>
        <w:rPr>
          <w:szCs w:val="24"/>
        </w:rPr>
        <w:t xml:space="preserve">and </w:t>
      </w:r>
      <w:r w:rsidRPr="003B0A6C">
        <w:rPr>
          <w:szCs w:val="24"/>
        </w:rPr>
        <w:t xml:space="preserve">Gender Equality and Mainstreaming across ITU </w:t>
      </w:r>
    </w:p>
    <w:p w14:paraId="1D154529" w14:textId="130F97BC" w:rsidR="00304E17" w:rsidRDefault="00304E17" w:rsidP="00304E17">
      <w:pPr>
        <w:tabs>
          <w:tab w:val="clear" w:pos="567"/>
          <w:tab w:val="clear" w:pos="1134"/>
          <w:tab w:val="clear" w:pos="1701"/>
          <w:tab w:val="clear" w:pos="2268"/>
          <w:tab w:val="clear" w:pos="2835"/>
        </w:tabs>
        <w:snapToGrid w:val="0"/>
        <w:spacing w:after="120"/>
        <w:jc w:val="both"/>
        <w:rPr>
          <w:szCs w:val="24"/>
          <w:lang w:val="en-CA"/>
        </w:rPr>
      </w:pPr>
      <w:r>
        <w:rPr>
          <w:szCs w:val="24"/>
          <w:lang w:val="en-CA"/>
        </w:rPr>
        <w:t xml:space="preserve">The </w:t>
      </w:r>
      <w:r w:rsidR="00F805C8" w:rsidRPr="00F805C8">
        <w:rPr>
          <w:szCs w:val="24"/>
          <w:lang w:val="en-CA"/>
        </w:rPr>
        <w:t>United Nations System-Wide Action Plan on Gender Equality and the Empowerment of Women</w:t>
      </w:r>
      <w:r w:rsidR="00F805C8" w:rsidRPr="00F805C8">
        <w:rPr>
          <w:szCs w:val="24"/>
          <w:lang w:val="en-CA"/>
        </w:rPr>
        <w:t xml:space="preserve"> </w:t>
      </w:r>
      <w:r>
        <w:rPr>
          <w:szCs w:val="24"/>
          <w:lang w:val="en-CA"/>
        </w:rPr>
        <w:t xml:space="preserve">(UN-SWAP) is </w:t>
      </w:r>
      <w:r>
        <w:rPr>
          <w:rStyle w:val="Hyperlink"/>
          <w:color w:val="auto"/>
          <w:szCs w:val="24"/>
          <w:u w:val="none"/>
          <w:lang w:val="en-CA"/>
        </w:rPr>
        <w:t>the</w:t>
      </w:r>
      <w:r w:rsidRPr="006C3F5C">
        <w:rPr>
          <w:rStyle w:val="Hyperlink"/>
          <w:color w:val="auto"/>
          <w:szCs w:val="24"/>
          <w:u w:val="none"/>
          <w:lang w:val="en-CA"/>
        </w:rPr>
        <w:t xml:space="preserve"> accountability framework applicable to all UN entities to measure, monitor and </w:t>
      </w:r>
      <w:r>
        <w:rPr>
          <w:rStyle w:val="Hyperlink"/>
          <w:color w:val="auto"/>
          <w:szCs w:val="24"/>
          <w:u w:val="none"/>
          <w:lang w:val="en-CA"/>
        </w:rPr>
        <w:t>advance</w:t>
      </w:r>
      <w:r w:rsidRPr="006C3F5C">
        <w:rPr>
          <w:rStyle w:val="Hyperlink"/>
          <w:color w:val="auto"/>
          <w:szCs w:val="24"/>
          <w:u w:val="none"/>
          <w:lang w:val="en-CA"/>
        </w:rPr>
        <w:t xml:space="preserve"> towards a common set of gender equality standards. </w:t>
      </w:r>
      <w:r w:rsidRPr="002664BD">
        <w:rPr>
          <w:szCs w:val="24"/>
          <w:lang w:val="en-CA"/>
        </w:rPr>
        <w:t xml:space="preserve">In 2018, ITU </w:t>
      </w:r>
      <w:r>
        <w:rPr>
          <w:szCs w:val="24"/>
          <w:lang w:val="en-CA"/>
        </w:rPr>
        <w:t>“</w:t>
      </w:r>
      <w:r w:rsidRPr="002664BD">
        <w:rPr>
          <w:szCs w:val="24"/>
          <w:lang w:val="en-CA"/>
        </w:rPr>
        <w:t>met</w:t>
      </w:r>
      <w:r>
        <w:rPr>
          <w:szCs w:val="24"/>
          <w:lang w:val="en-CA"/>
        </w:rPr>
        <w:t>”</w:t>
      </w:r>
      <w:r w:rsidRPr="002664BD">
        <w:rPr>
          <w:szCs w:val="24"/>
          <w:lang w:val="en-CA"/>
        </w:rPr>
        <w:t xml:space="preserve"> or </w:t>
      </w:r>
      <w:r>
        <w:rPr>
          <w:szCs w:val="24"/>
          <w:lang w:val="en-CA"/>
        </w:rPr>
        <w:t>“</w:t>
      </w:r>
      <w:r w:rsidRPr="002664BD">
        <w:rPr>
          <w:szCs w:val="24"/>
          <w:lang w:val="en-CA"/>
        </w:rPr>
        <w:t>exceeded</w:t>
      </w:r>
      <w:r>
        <w:rPr>
          <w:szCs w:val="24"/>
          <w:lang w:val="en-CA"/>
        </w:rPr>
        <w:t>”</w:t>
      </w:r>
      <w:r w:rsidRPr="002664BD">
        <w:rPr>
          <w:szCs w:val="24"/>
          <w:lang w:val="en-CA"/>
        </w:rPr>
        <w:t xml:space="preserve"> requirements for 5 out of 17 UN</w:t>
      </w:r>
      <w:r>
        <w:rPr>
          <w:szCs w:val="24"/>
          <w:lang w:val="en-CA"/>
        </w:rPr>
        <w:t>-</w:t>
      </w:r>
      <w:r w:rsidRPr="002664BD">
        <w:rPr>
          <w:szCs w:val="24"/>
          <w:lang w:val="en-CA"/>
        </w:rPr>
        <w:t>SWAP2.0 indicators</w:t>
      </w:r>
      <w:r>
        <w:rPr>
          <w:szCs w:val="24"/>
          <w:lang w:val="en-CA"/>
        </w:rPr>
        <w:t xml:space="preserve">. In 2019, ITU “met” requirements for 5 indicators. ITU was commended to prioritize </w:t>
      </w:r>
      <w:r>
        <w:rPr>
          <w:rStyle w:val="Hyperlink"/>
          <w:color w:val="auto"/>
          <w:szCs w:val="24"/>
          <w:u w:val="none"/>
          <w:lang w:val="en-CA"/>
        </w:rPr>
        <w:t>on performance indicators still noted as “missing”, such as</w:t>
      </w:r>
      <w:r w:rsidRPr="00116D3D">
        <w:rPr>
          <w:rStyle w:val="Hyperlink"/>
          <w:color w:val="auto"/>
          <w:szCs w:val="24"/>
          <w:u w:val="none"/>
          <w:lang w:val="en-CA"/>
        </w:rPr>
        <w:t xml:space="preserve"> establishing a financial benchmark, improving representation of women from P3 and</w:t>
      </w:r>
      <w:r>
        <w:rPr>
          <w:rStyle w:val="Hyperlink"/>
          <w:color w:val="auto"/>
          <w:szCs w:val="24"/>
          <w:u w:val="none"/>
          <w:lang w:val="en-CA"/>
        </w:rPr>
        <w:t xml:space="preserve"> above, </w:t>
      </w:r>
      <w:r w:rsidRPr="00116D3D">
        <w:rPr>
          <w:rStyle w:val="Hyperlink"/>
          <w:color w:val="auto"/>
          <w:szCs w:val="24"/>
          <w:u w:val="none"/>
          <w:lang w:val="en-CA"/>
        </w:rPr>
        <w:t>conduct</w:t>
      </w:r>
      <w:r>
        <w:rPr>
          <w:rStyle w:val="Hyperlink"/>
          <w:color w:val="auto"/>
          <w:szCs w:val="24"/>
          <w:u w:val="none"/>
          <w:lang w:val="en-CA"/>
        </w:rPr>
        <w:t>ing</w:t>
      </w:r>
      <w:r w:rsidRPr="00116D3D">
        <w:rPr>
          <w:rStyle w:val="Hyperlink"/>
          <w:color w:val="auto"/>
          <w:szCs w:val="24"/>
          <w:u w:val="none"/>
          <w:lang w:val="en-CA"/>
        </w:rPr>
        <w:t xml:space="preserve"> a gender equality capacity assessment. The full letter</w:t>
      </w:r>
      <w:r w:rsidR="000524D6">
        <w:rPr>
          <w:rStyle w:val="Hyperlink"/>
          <w:color w:val="auto"/>
          <w:szCs w:val="24"/>
          <w:u w:val="none"/>
          <w:lang w:val="en-CA"/>
        </w:rPr>
        <w:t>s</w:t>
      </w:r>
      <w:r w:rsidRPr="00116D3D">
        <w:rPr>
          <w:rStyle w:val="Hyperlink"/>
          <w:color w:val="auto"/>
          <w:szCs w:val="24"/>
          <w:u w:val="none"/>
          <w:lang w:val="en-CA"/>
        </w:rPr>
        <w:t xml:space="preserve"> and report card</w:t>
      </w:r>
      <w:r w:rsidR="000524D6">
        <w:rPr>
          <w:rStyle w:val="Hyperlink"/>
          <w:color w:val="auto"/>
          <w:szCs w:val="24"/>
          <w:u w:val="none"/>
          <w:lang w:val="en-CA"/>
        </w:rPr>
        <w:t>s</w:t>
      </w:r>
      <w:r w:rsidRPr="00116D3D">
        <w:rPr>
          <w:rStyle w:val="Hyperlink"/>
          <w:color w:val="auto"/>
          <w:szCs w:val="24"/>
          <w:u w:val="none"/>
          <w:lang w:val="en-CA"/>
        </w:rPr>
        <w:t xml:space="preserve"> </w:t>
      </w:r>
      <w:r w:rsidR="000524D6">
        <w:rPr>
          <w:rStyle w:val="Hyperlink"/>
          <w:color w:val="auto"/>
          <w:szCs w:val="24"/>
          <w:u w:val="none"/>
          <w:lang w:val="en-CA"/>
        </w:rPr>
        <w:t xml:space="preserve">for the years 2018 and 2019 </w:t>
      </w:r>
      <w:r w:rsidRPr="00116D3D">
        <w:rPr>
          <w:rStyle w:val="Hyperlink"/>
          <w:color w:val="auto"/>
          <w:szCs w:val="24"/>
          <w:u w:val="none"/>
          <w:lang w:val="en-CA"/>
        </w:rPr>
        <w:t>are provided in</w:t>
      </w:r>
      <w:r>
        <w:rPr>
          <w:rStyle w:val="Hyperlink"/>
          <w:color w:val="auto"/>
          <w:szCs w:val="24"/>
          <w:u w:val="none"/>
          <w:lang w:val="en-CA"/>
        </w:rPr>
        <w:t xml:space="preserve"> information note</w:t>
      </w:r>
      <w:r w:rsidRPr="00116D3D">
        <w:rPr>
          <w:rStyle w:val="Hyperlink"/>
          <w:color w:val="auto"/>
          <w:szCs w:val="24"/>
          <w:u w:val="none"/>
          <w:lang w:val="en-CA"/>
        </w:rPr>
        <w:t xml:space="preserve"> </w:t>
      </w:r>
      <w:hyperlink r:id="rId58" w:history="1">
        <w:r w:rsidRPr="000D4535">
          <w:rPr>
            <w:rStyle w:val="Hyperlink"/>
            <w:szCs w:val="24"/>
            <w:lang w:val="en-CA"/>
          </w:rPr>
          <w:t>C21/INF/</w:t>
        </w:r>
        <w:r w:rsidR="00953140" w:rsidRPr="000D4535">
          <w:rPr>
            <w:rStyle w:val="Hyperlink"/>
            <w:szCs w:val="24"/>
            <w:lang w:val="en-CA"/>
          </w:rPr>
          <w:t>4</w:t>
        </w:r>
      </w:hyperlink>
      <w:r w:rsidR="000D4535">
        <w:rPr>
          <w:szCs w:val="24"/>
          <w:lang w:val="en-CA"/>
        </w:rPr>
        <w:t>.</w:t>
      </w:r>
    </w:p>
    <w:p w14:paraId="4375BB8F" w14:textId="77777777" w:rsidR="001E3FED" w:rsidRDefault="00304E17" w:rsidP="001E3FED">
      <w:pPr>
        <w:pStyle w:val="Heading3"/>
        <w:keepNext w:val="0"/>
        <w:keepLines w:val="0"/>
        <w:tabs>
          <w:tab w:val="clear" w:pos="567"/>
          <w:tab w:val="clear" w:pos="1134"/>
          <w:tab w:val="clear" w:pos="1701"/>
          <w:tab w:val="clear" w:pos="2268"/>
          <w:tab w:val="clear" w:pos="2835"/>
        </w:tabs>
        <w:snapToGrid w:val="0"/>
        <w:spacing w:before="120" w:after="120"/>
        <w:ind w:left="0" w:firstLine="0"/>
        <w:jc w:val="both"/>
        <w:rPr>
          <w:b w:val="0"/>
          <w:bCs/>
          <w:szCs w:val="24"/>
          <w:lang w:val="en-CA"/>
        </w:rPr>
      </w:pPr>
      <w:r w:rsidRPr="003B0A6C">
        <w:rPr>
          <w:b w:val="0"/>
          <w:bCs/>
          <w:szCs w:val="24"/>
          <w:lang w:val="en-CA"/>
        </w:rPr>
        <w:t xml:space="preserve">ITU </w:t>
      </w:r>
      <w:r w:rsidRPr="004A507F">
        <w:rPr>
          <w:b w:val="0"/>
          <w:bCs/>
          <w:szCs w:val="24"/>
          <w:lang w:val="en-CA"/>
        </w:rPr>
        <w:t>continues efforts</w:t>
      </w:r>
      <w:r>
        <w:rPr>
          <w:b w:val="0"/>
          <w:bCs/>
          <w:szCs w:val="24"/>
          <w:lang w:val="en-CA"/>
        </w:rPr>
        <w:t xml:space="preserve"> </w:t>
      </w:r>
      <w:r w:rsidRPr="003B0A6C">
        <w:rPr>
          <w:b w:val="0"/>
          <w:bCs/>
          <w:szCs w:val="24"/>
          <w:lang w:val="en-CA"/>
        </w:rPr>
        <w:t>to</w:t>
      </w:r>
      <w:r w:rsidRPr="00244893">
        <w:rPr>
          <w:b w:val="0"/>
          <w:bCs/>
          <w:szCs w:val="24"/>
          <w:lang w:val="en-CA"/>
        </w:rPr>
        <w:t xml:space="preserve"> </w:t>
      </w:r>
      <w:r w:rsidRPr="003B0A6C">
        <w:rPr>
          <w:b w:val="0"/>
          <w:bCs/>
          <w:szCs w:val="24"/>
          <w:lang w:val="en-CA"/>
        </w:rPr>
        <w:t xml:space="preserve">incorporate a gender perspective in the work programmes, management approaches, and human resource development of the Union. </w:t>
      </w:r>
      <w:r>
        <w:rPr>
          <w:b w:val="0"/>
          <w:bCs/>
          <w:szCs w:val="24"/>
          <w:lang w:val="en-CA"/>
        </w:rPr>
        <w:t>A gender element has been incorporated into the staff electronic performance management and development system (</w:t>
      </w:r>
      <w:proofErr w:type="spellStart"/>
      <w:r>
        <w:rPr>
          <w:b w:val="0"/>
          <w:bCs/>
          <w:szCs w:val="24"/>
          <w:lang w:val="en-CA"/>
        </w:rPr>
        <w:t>ePMDS</w:t>
      </w:r>
      <w:proofErr w:type="spellEnd"/>
      <w:r>
        <w:rPr>
          <w:b w:val="0"/>
          <w:bCs/>
          <w:szCs w:val="24"/>
          <w:lang w:val="en-CA"/>
        </w:rPr>
        <w:t xml:space="preserve">). A review of the 2013 Gender Equality and Mainstreaming Policy is currently underway; </w:t>
      </w:r>
      <w:proofErr w:type="gramStart"/>
      <w:r>
        <w:rPr>
          <w:b w:val="0"/>
          <w:bCs/>
          <w:szCs w:val="24"/>
          <w:lang w:val="en-CA"/>
        </w:rPr>
        <w:t>a number of</w:t>
      </w:r>
      <w:proofErr w:type="gramEnd"/>
      <w:r>
        <w:rPr>
          <w:b w:val="0"/>
          <w:bCs/>
          <w:szCs w:val="24"/>
          <w:lang w:val="en-CA"/>
        </w:rPr>
        <w:t xml:space="preserve"> focus groups and individual interviews took place during 2020 and will inform the new policy which will align to the 17 UN-SWAP</w:t>
      </w:r>
      <w:r w:rsidR="001E3FED">
        <w:rPr>
          <w:b w:val="0"/>
          <w:bCs/>
          <w:szCs w:val="24"/>
          <w:lang w:val="en-CA"/>
        </w:rPr>
        <w:t xml:space="preserve"> 2.0</w:t>
      </w:r>
      <w:r>
        <w:rPr>
          <w:b w:val="0"/>
          <w:bCs/>
          <w:szCs w:val="24"/>
          <w:lang w:val="en-CA"/>
        </w:rPr>
        <w:t xml:space="preserve"> performance indicators.</w:t>
      </w:r>
    </w:p>
    <w:p w14:paraId="73C1BF66" w14:textId="77777777" w:rsidR="001E3FED" w:rsidRDefault="001E3FED" w:rsidP="001E3FED">
      <w:pPr>
        <w:pStyle w:val="Heading3"/>
        <w:keepNext w:val="0"/>
        <w:keepLines w:val="0"/>
        <w:tabs>
          <w:tab w:val="clear" w:pos="567"/>
          <w:tab w:val="clear" w:pos="1134"/>
          <w:tab w:val="clear" w:pos="1701"/>
          <w:tab w:val="clear" w:pos="2268"/>
          <w:tab w:val="clear" w:pos="2835"/>
        </w:tabs>
        <w:snapToGrid w:val="0"/>
        <w:spacing w:before="120" w:after="120"/>
        <w:ind w:left="0" w:firstLine="0"/>
        <w:jc w:val="both"/>
        <w:rPr>
          <w:b w:val="0"/>
          <w:bCs/>
          <w:szCs w:val="24"/>
          <w:lang w:val="en-CA"/>
        </w:rPr>
      </w:pPr>
    </w:p>
    <w:p w14:paraId="40975FDC" w14:textId="16A930CC" w:rsidR="00CF134B" w:rsidRPr="00CF134B" w:rsidRDefault="00CF134B" w:rsidP="001E3FED">
      <w:pPr>
        <w:pStyle w:val="Heading3"/>
        <w:keepNext w:val="0"/>
        <w:keepLines w:val="0"/>
        <w:tabs>
          <w:tab w:val="clear" w:pos="567"/>
          <w:tab w:val="clear" w:pos="1134"/>
          <w:tab w:val="clear" w:pos="1701"/>
          <w:tab w:val="clear" w:pos="2268"/>
          <w:tab w:val="clear" w:pos="2835"/>
        </w:tabs>
        <w:snapToGrid w:val="0"/>
        <w:spacing w:before="120" w:after="120"/>
        <w:ind w:left="0" w:firstLine="0"/>
        <w:jc w:val="center"/>
        <w:rPr>
          <w:rFonts w:cstheme="minorHAnsi"/>
        </w:rPr>
      </w:pPr>
      <w:r w:rsidRPr="008D77AF">
        <w:rPr>
          <w:rFonts w:cstheme="minorHAnsi"/>
        </w:rPr>
        <w:t>____________</w:t>
      </w:r>
    </w:p>
    <w:sectPr w:rsidR="00CF134B" w:rsidRPr="00CF134B" w:rsidSect="004D1851">
      <w:headerReference w:type="default" r:id="rId59"/>
      <w:footerReference w:type="first" r:id="rId6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1846" w14:textId="77777777" w:rsidR="00130564" w:rsidRDefault="00130564">
      <w:r>
        <w:separator/>
      </w:r>
    </w:p>
  </w:endnote>
  <w:endnote w:type="continuationSeparator" w:id="0">
    <w:p w14:paraId="44C7E498" w14:textId="77777777" w:rsidR="00130564" w:rsidRDefault="0013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B993" w14:textId="77777777" w:rsidR="00130564" w:rsidRDefault="00130564">
      <w:r>
        <w:t>____________________</w:t>
      </w:r>
    </w:p>
  </w:footnote>
  <w:footnote w:type="continuationSeparator" w:id="0">
    <w:p w14:paraId="4B94908E" w14:textId="77777777" w:rsidR="00130564" w:rsidRDefault="0013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11F69939" w:rsidR="00322D0D" w:rsidRDefault="006535F1" w:rsidP="00CE433C">
    <w:pPr>
      <w:pStyle w:val="Header"/>
    </w:pPr>
    <w:r>
      <w:fldChar w:fldCharType="begin"/>
    </w:r>
    <w:r>
      <w:instrText>PAGE</w:instrText>
    </w:r>
    <w:r>
      <w:fldChar w:fldCharType="separate"/>
    </w:r>
    <w:r w:rsidR="00111148">
      <w:rPr>
        <w:noProof/>
      </w:rPr>
      <w:t>6</w:t>
    </w:r>
    <w:r>
      <w:rPr>
        <w:noProof/>
      </w:rPr>
      <w:fldChar w:fldCharType="end"/>
    </w:r>
  </w:p>
  <w:p w14:paraId="34EC98F4" w14:textId="238BC0AB"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0D4535">
      <w:rPr>
        <w:bCs/>
      </w:rPr>
      <w:t>6</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42F15"/>
    <w:rsid w:val="000461AA"/>
    <w:rsid w:val="000524D6"/>
    <w:rsid w:val="00063016"/>
    <w:rsid w:val="00066795"/>
    <w:rsid w:val="00075524"/>
    <w:rsid w:val="00076AF6"/>
    <w:rsid w:val="00077103"/>
    <w:rsid w:val="00085CF2"/>
    <w:rsid w:val="000B1705"/>
    <w:rsid w:val="000D4535"/>
    <w:rsid w:val="000D75B2"/>
    <w:rsid w:val="000F0F65"/>
    <w:rsid w:val="00111148"/>
    <w:rsid w:val="001121F5"/>
    <w:rsid w:val="00130564"/>
    <w:rsid w:val="001400DC"/>
    <w:rsid w:val="00140CE1"/>
    <w:rsid w:val="0014322B"/>
    <w:rsid w:val="0017539C"/>
    <w:rsid w:val="00175AC2"/>
    <w:rsid w:val="0017609F"/>
    <w:rsid w:val="001C628E"/>
    <w:rsid w:val="001D254A"/>
    <w:rsid w:val="001E0F7B"/>
    <w:rsid w:val="001E3FED"/>
    <w:rsid w:val="00200092"/>
    <w:rsid w:val="00210E53"/>
    <w:rsid w:val="002119FD"/>
    <w:rsid w:val="002120E8"/>
    <w:rsid w:val="002130E0"/>
    <w:rsid w:val="00256617"/>
    <w:rsid w:val="00264425"/>
    <w:rsid w:val="00265875"/>
    <w:rsid w:val="0027303B"/>
    <w:rsid w:val="002746C5"/>
    <w:rsid w:val="0028109B"/>
    <w:rsid w:val="002A2188"/>
    <w:rsid w:val="002B1F58"/>
    <w:rsid w:val="002C1C7A"/>
    <w:rsid w:val="002D73E0"/>
    <w:rsid w:val="002F3188"/>
    <w:rsid w:val="0030160F"/>
    <w:rsid w:val="00304E17"/>
    <w:rsid w:val="0030660E"/>
    <w:rsid w:val="00322D0D"/>
    <w:rsid w:val="0033057E"/>
    <w:rsid w:val="0033305E"/>
    <w:rsid w:val="00347B11"/>
    <w:rsid w:val="00357541"/>
    <w:rsid w:val="003856B5"/>
    <w:rsid w:val="003942D4"/>
    <w:rsid w:val="003958A8"/>
    <w:rsid w:val="003A0977"/>
    <w:rsid w:val="003B2C8F"/>
    <w:rsid w:val="003C2533"/>
    <w:rsid w:val="003E17DE"/>
    <w:rsid w:val="0040435A"/>
    <w:rsid w:val="00412428"/>
    <w:rsid w:val="00416A24"/>
    <w:rsid w:val="00431D9E"/>
    <w:rsid w:val="00433CE8"/>
    <w:rsid w:val="00434A5C"/>
    <w:rsid w:val="00435F09"/>
    <w:rsid w:val="004544D9"/>
    <w:rsid w:val="00465353"/>
    <w:rsid w:val="0047495B"/>
    <w:rsid w:val="00487049"/>
    <w:rsid w:val="00490196"/>
    <w:rsid w:val="00490E72"/>
    <w:rsid w:val="00491157"/>
    <w:rsid w:val="004921C8"/>
    <w:rsid w:val="004A3FED"/>
    <w:rsid w:val="004C0FB7"/>
    <w:rsid w:val="004C5304"/>
    <w:rsid w:val="004D1851"/>
    <w:rsid w:val="004D22E5"/>
    <w:rsid w:val="004D599D"/>
    <w:rsid w:val="004E2EA5"/>
    <w:rsid w:val="004E3AEB"/>
    <w:rsid w:val="004F01FA"/>
    <w:rsid w:val="00501D01"/>
    <w:rsid w:val="0050223C"/>
    <w:rsid w:val="00502B38"/>
    <w:rsid w:val="005243FF"/>
    <w:rsid w:val="00525EC3"/>
    <w:rsid w:val="0056066D"/>
    <w:rsid w:val="00564FBC"/>
    <w:rsid w:val="00582442"/>
    <w:rsid w:val="005A330D"/>
    <w:rsid w:val="005B6C18"/>
    <w:rsid w:val="005C35F8"/>
    <w:rsid w:val="005D1A95"/>
    <w:rsid w:val="005F3269"/>
    <w:rsid w:val="00604ABE"/>
    <w:rsid w:val="00623AE3"/>
    <w:rsid w:val="00640434"/>
    <w:rsid w:val="0064737F"/>
    <w:rsid w:val="006535F1"/>
    <w:rsid w:val="00654F35"/>
    <w:rsid w:val="0065557D"/>
    <w:rsid w:val="00662984"/>
    <w:rsid w:val="006716BB"/>
    <w:rsid w:val="006848DD"/>
    <w:rsid w:val="006B6680"/>
    <w:rsid w:val="006B6DCC"/>
    <w:rsid w:val="006C3B30"/>
    <w:rsid w:val="00702DEF"/>
    <w:rsid w:val="00706861"/>
    <w:rsid w:val="00740FE3"/>
    <w:rsid w:val="0075051B"/>
    <w:rsid w:val="00773F36"/>
    <w:rsid w:val="00793188"/>
    <w:rsid w:val="0079476B"/>
    <w:rsid w:val="00794D34"/>
    <w:rsid w:val="00797D81"/>
    <w:rsid w:val="007A35BC"/>
    <w:rsid w:val="007B6E1C"/>
    <w:rsid w:val="007D68D6"/>
    <w:rsid w:val="008072F5"/>
    <w:rsid w:val="00812518"/>
    <w:rsid w:val="00813E5E"/>
    <w:rsid w:val="00824B08"/>
    <w:rsid w:val="0083581B"/>
    <w:rsid w:val="00864AFF"/>
    <w:rsid w:val="008723F4"/>
    <w:rsid w:val="008741D2"/>
    <w:rsid w:val="00891D46"/>
    <w:rsid w:val="008B4A6A"/>
    <w:rsid w:val="008C7E27"/>
    <w:rsid w:val="008D0B45"/>
    <w:rsid w:val="00911B67"/>
    <w:rsid w:val="009173EF"/>
    <w:rsid w:val="00932906"/>
    <w:rsid w:val="00942AF9"/>
    <w:rsid w:val="0094431D"/>
    <w:rsid w:val="00953140"/>
    <w:rsid w:val="00961B0B"/>
    <w:rsid w:val="009B38C3"/>
    <w:rsid w:val="009B5CF8"/>
    <w:rsid w:val="009C159D"/>
    <w:rsid w:val="009E17BD"/>
    <w:rsid w:val="009E485A"/>
    <w:rsid w:val="009F66A3"/>
    <w:rsid w:val="00A04CEC"/>
    <w:rsid w:val="00A05F47"/>
    <w:rsid w:val="00A10EAB"/>
    <w:rsid w:val="00A27F92"/>
    <w:rsid w:val="00A32257"/>
    <w:rsid w:val="00A36D20"/>
    <w:rsid w:val="00A52CE6"/>
    <w:rsid w:val="00A55622"/>
    <w:rsid w:val="00A6079C"/>
    <w:rsid w:val="00A61CA3"/>
    <w:rsid w:val="00A83502"/>
    <w:rsid w:val="00A8382F"/>
    <w:rsid w:val="00A93619"/>
    <w:rsid w:val="00AC47C8"/>
    <w:rsid w:val="00AD15B3"/>
    <w:rsid w:val="00AF6E49"/>
    <w:rsid w:val="00B04A67"/>
    <w:rsid w:val="00B0583C"/>
    <w:rsid w:val="00B171DA"/>
    <w:rsid w:val="00B40A81"/>
    <w:rsid w:val="00B44910"/>
    <w:rsid w:val="00B72267"/>
    <w:rsid w:val="00B76EB6"/>
    <w:rsid w:val="00B7737B"/>
    <w:rsid w:val="00B824C8"/>
    <w:rsid w:val="00BC251A"/>
    <w:rsid w:val="00BD032B"/>
    <w:rsid w:val="00BE2640"/>
    <w:rsid w:val="00C01189"/>
    <w:rsid w:val="00C13041"/>
    <w:rsid w:val="00C151F1"/>
    <w:rsid w:val="00C374DE"/>
    <w:rsid w:val="00C47AD4"/>
    <w:rsid w:val="00C519CE"/>
    <w:rsid w:val="00C52D81"/>
    <w:rsid w:val="00C55198"/>
    <w:rsid w:val="00C65359"/>
    <w:rsid w:val="00C77A77"/>
    <w:rsid w:val="00CA4EDD"/>
    <w:rsid w:val="00CA6393"/>
    <w:rsid w:val="00CA72DF"/>
    <w:rsid w:val="00CB18FF"/>
    <w:rsid w:val="00CB56CF"/>
    <w:rsid w:val="00CD0C08"/>
    <w:rsid w:val="00CE03FB"/>
    <w:rsid w:val="00CE433C"/>
    <w:rsid w:val="00CF134B"/>
    <w:rsid w:val="00CF33F3"/>
    <w:rsid w:val="00CF5A9F"/>
    <w:rsid w:val="00D06183"/>
    <w:rsid w:val="00D17C1F"/>
    <w:rsid w:val="00D22C42"/>
    <w:rsid w:val="00D338E0"/>
    <w:rsid w:val="00D353E8"/>
    <w:rsid w:val="00D56DC4"/>
    <w:rsid w:val="00D65041"/>
    <w:rsid w:val="00D775EA"/>
    <w:rsid w:val="00D85BEB"/>
    <w:rsid w:val="00D8774A"/>
    <w:rsid w:val="00DB384B"/>
    <w:rsid w:val="00DE5E63"/>
    <w:rsid w:val="00DE7A47"/>
    <w:rsid w:val="00E10E80"/>
    <w:rsid w:val="00E124F0"/>
    <w:rsid w:val="00E60F04"/>
    <w:rsid w:val="00E854E4"/>
    <w:rsid w:val="00E87EB5"/>
    <w:rsid w:val="00EB0D6F"/>
    <w:rsid w:val="00EB2232"/>
    <w:rsid w:val="00EB2565"/>
    <w:rsid w:val="00EC5323"/>
    <w:rsid w:val="00EC5337"/>
    <w:rsid w:val="00EE4F48"/>
    <w:rsid w:val="00F2150A"/>
    <w:rsid w:val="00F231D8"/>
    <w:rsid w:val="00F25317"/>
    <w:rsid w:val="00F35AF5"/>
    <w:rsid w:val="00F4143C"/>
    <w:rsid w:val="00F451A9"/>
    <w:rsid w:val="00F45F3F"/>
    <w:rsid w:val="00F46C5F"/>
    <w:rsid w:val="00F56668"/>
    <w:rsid w:val="00F613C1"/>
    <w:rsid w:val="00F7530B"/>
    <w:rsid w:val="00F805C8"/>
    <w:rsid w:val="00F84EB8"/>
    <w:rsid w:val="00F94A63"/>
    <w:rsid w:val="00FA1C28"/>
    <w:rsid w:val="00FA5451"/>
    <w:rsid w:val="00FB1279"/>
    <w:rsid w:val="00FB7596"/>
    <w:rsid w:val="00FC6C1D"/>
    <w:rsid w:val="00FE4077"/>
    <w:rsid w:val="00FE77D2"/>
    <w:rsid w:val="0474A144"/>
    <w:rsid w:val="4151EA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character" w:customStyle="1" w:styleId="Heading1Char">
    <w:name w:val="Heading 1 Char"/>
    <w:basedOn w:val="DefaultParagraphFont"/>
    <w:link w:val="Heading1"/>
    <w:rsid w:val="00304E17"/>
    <w:rPr>
      <w:rFonts w:ascii="Calibri" w:hAnsi="Calibri"/>
      <w:b/>
      <w:sz w:val="28"/>
      <w:lang w:val="en-GB" w:eastAsia="en-US"/>
    </w:rPr>
  </w:style>
  <w:style w:type="character" w:customStyle="1" w:styleId="Heading3Char">
    <w:name w:val="Heading 3 Char"/>
    <w:basedOn w:val="DefaultParagraphFont"/>
    <w:link w:val="Heading3"/>
    <w:rsid w:val="00304E17"/>
    <w:rPr>
      <w:rFonts w:ascii="Calibri" w:hAnsi="Calibri"/>
      <w:b/>
      <w:sz w:val="24"/>
      <w:lang w:val="en-GB" w:eastAsia="en-US"/>
    </w:rPr>
  </w:style>
  <w:style w:type="character" w:styleId="CommentReference">
    <w:name w:val="annotation reference"/>
    <w:basedOn w:val="DefaultParagraphFont"/>
    <w:semiHidden/>
    <w:unhideWhenUsed/>
    <w:rsid w:val="00304E17"/>
    <w:rPr>
      <w:sz w:val="16"/>
      <w:szCs w:val="16"/>
    </w:rPr>
  </w:style>
  <w:style w:type="paragraph" w:styleId="CommentText">
    <w:name w:val="annotation text"/>
    <w:basedOn w:val="Normal"/>
    <w:link w:val="CommentTextChar"/>
    <w:unhideWhenUsed/>
    <w:rsid w:val="00304E17"/>
    <w:rPr>
      <w:sz w:val="20"/>
    </w:rPr>
  </w:style>
  <w:style w:type="character" w:customStyle="1" w:styleId="CommentTextChar">
    <w:name w:val="Comment Text Char"/>
    <w:basedOn w:val="DefaultParagraphFont"/>
    <w:link w:val="CommentText"/>
    <w:rsid w:val="00304E17"/>
    <w:rPr>
      <w:rFonts w:ascii="Calibri" w:hAnsi="Calibri"/>
      <w:lang w:val="en-GB" w:eastAsia="en-US"/>
    </w:rPr>
  </w:style>
  <w:style w:type="paragraph" w:styleId="NormalWeb">
    <w:name w:val="Normal (Web)"/>
    <w:basedOn w:val="Normal"/>
    <w:uiPriority w:val="99"/>
    <w:unhideWhenUsed/>
    <w:rsid w:val="00304E17"/>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paragraph" w:styleId="CommentSubject">
    <w:name w:val="annotation subject"/>
    <w:basedOn w:val="CommentText"/>
    <w:next w:val="CommentText"/>
    <w:link w:val="CommentSubjectChar"/>
    <w:semiHidden/>
    <w:unhideWhenUsed/>
    <w:rsid w:val="00953140"/>
    <w:rPr>
      <w:b/>
      <w:bCs/>
    </w:rPr>
  </w:style>
  <w:style w:type="character" w:customStyle="1" w:styleId="CommentSubjectChar">
    <w:name w:val="Comment Subject Char"/>
    <w:basedOn w:val="CommentTextChar"/>
    <w:link w:val="CommentSubject"/>
    <w:semiHidden/>
    <w:rsid w:val="0095314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3-CL-INF-0011/en" TargetMode="External"/><Relationship Id="rId18" Type="http://schemas.openxmlformats.org/officeDocument/2006/relationships/hyperlink" Target="http://www.itu.int/md/S17-CL-C-0006/en" TargetMode="External"/><Relationship Id="rId26" Type="http://schemas.openxmlformats.org/officeDocument/2006/relationships/hyperlink" Target="https://www.itu.int/md/S21-CL-INF-0004/en" TargetMode="External"/><Relationship Id="rId39" Type="http://schemas.openxmlformats.org/officeDocument/2006/relationships/hyperlink" Target="https://www.equals.org/" TargetMode="External"/><Relationship Id="rId21" Type="http://schemas.openxmlformats.org/officeDocument/2006/relationships/hyperlink" Target="https://www.itu.int/md/S20-CL-C-0006/en" TargetMode="External"/><Relationship Id="rId34" Type="http://schemas.openxmlformats.org/officeDocument/2006/relationships/hyperlink" Target="https://www.itu.int/en/ITU-D/Digital-Inclusion/Women-and-Girls/Girls-in-ICT-Portal/Pages/Portal.aspx" TargetMode="External"/><Relationship Id="rId42" Type="http://schemas.openxmlformats.org/officeDocument/2006/relationships/hyperlink" Target="https://www.equals.org/cisco-equals-learning-space" TargetMode="External"/><Relationship Id="rId47" Type="http://schemas.openxmlformats.org/officeDocument/2006/relationships/hyperlink" Target="https://www.equals.org/awards" TargetMode="External"/><Relationship Id="rId50" Type="http://schemas.openxmlformats.org/officeDocument/2006/relationships/hyperlink" Target="http://www.itu.int/en/action/gender-equality/Documents/raising-womens-voices.pdf" TargetMode="External"/><Relationship Id="rId55" Type="http://schemas.openxmlformats.org/officeDocument/2006/relationships/hyperlink" Target="https://genderchampions.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S15-CL-C-0006/en" TargetMode="External"/><Relationship Id="rId29" Type="http://schemas.openxmlformats.org/officeDocument/2006/relationships/hyperlink" Target="https://www.itu.int/genderdashboard" TargetMode="External"/><Relationship Id="rId11" Type="http://schemas.openxmlformats.org/officeDocument/2006/relationships/image" Target="media/image1.jpg"/><Relationship Id="rId24" Type="http://schemas.openxmlformats.org/officeDocument/2006/relationships/hyperlink" Target="http://www.itu.int/md/S19-CL-C-0024/en" TargetMode="External"/><Relationship Id="rId32" Type="http://schemas.openxmlformats.org/officeDocument/2006/relationships/hyperlink" Target="file:///\\blue\dfs\sgo\CSD\Gender\Council\Council%202020\www.wsis.org\forum" TargetMode="External"/><Relationship Id="rId37" Type="http://schemas.openxmlformats.org/officeDocument/2006/relationships/hyperlink" Target="https://www.itu.int/en/ITU-D/Regional-Presence/Africa/Pages/African-Girls-Can-Code.aspx" TargetMode="External"/><Relationship Id="rId40" Type="http://schemas.openxmlformats.org/officeDocument/2006/relationships/hyperlink" Target="https://2b37021f-0f4a-4640-8352-0a3c1b7c2aab.filesusr.com/ugd/04bfff_d6ffe9bee8b24d7a814805d0f8c99db8.pdf" TargetMode="External"/><Relationship Id="rId45" Type="http://schemas.openxmlformats.org/officeDocument/2006/relationships/hyperlink" Target="https://www.equals.org/awards" TargetMode="External"/><Relationship Id="rId53" Type="http://schemas.openxmlformats.org/officeDocument/2006/relationships/hyperlink" Target="https://www.itu.int/en/ITU-R/conferences/rag/cg-gender/Pages/default.aspx" TargetMode="External"/><Relationship Id="rId58" Type="http://schemas.openxmlformats.org/officeDocument/2006/relationships/hyperlink" Target="https://www.itu.int/md/S21-CL-INF-0004/en"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itu.int/md/S18-CL-C-0006/en" TargetMode="External"/><Relationship Id="rId14" Type="http://schemas.openxmlformats.org/officeDocument/2006/relationships/hyperlink" Target="http://www.itu.int/md/S13-CL-C-0039/en" TargetMode="External"/><Relationship Id="rId22" Type="http://schemas.openxmlformats.org/officeDocument/2006/relationships/hyperlink" Target="https://www.itu.int/md/S18-CL-INF-0003/en" TargetMode="External"/><Relationship Id="rId27" Type="http://schemas.openxmlformats.org/officeDocument/2006/relationships/hyperlink" Target="http://www.itu.int/en/action/gender-equality/Pages/default.aspx" TargetMode="External"/><Relationship Id="rId30" Type="http://schemas.openxmlformats.org/officeDocument/2006/relationships/hyperlink" Target="https://www.itu.int/md/S21-CL-C-0054/en" TargetMode="External"/><Relationship Id="rId35" Type="http://schemas.openxmlformats.org/officeDocument/2006/relationships/hyperlink" Target="https://www.itu.int/en/ITU-D/Digital-Inclusion/Women-and-Girls/Girls-in-ICT-Portal/Pages/GirlsInICTDay/2020/default.aspx" TargetMode="External"/><Relationship Id="rId43" Type="http://schemas.openxmlformats.org/officeDocument/2006/relationships/hyperlink" Target="https://www.itu.int/en/ITU-D/Regional-Presence/Europe/Documents/Events/2021/Gendered%20Digital%20Divide/21-00145_2f_Digitally-Empowered-generation-equality_EV4-no-isbn.pdf?csf=1&amp;e=Zhzrpf" TargetMode="External"/><Relationship Id="rId48" Type="http://schemas.openxmlformats.org/officeDocument/2006/relationships/hyperlink" Target="https://www.itu.int/en/mediacentre/Pages/PR17-2020-EIF-digital-gender-divide-Burundi-Ethiopia-Haiti.aspx" TargetMode="External"/><Relationship Id="rId56" Type="http://schemas.openxmlformats.org/officeDocument/2006/relationships/hyperlink" Target="https://genderchampions.com/champions/houlin-zhao" TargetMode="External"/><Relationship Id="rId8" Type="http://schemas.openxmlformats.org/officeDocument/2006/relationships/webSettings" Target="webSettings.xml"/><Relationship Id="rId51" Type="http://schemas.openxmlformats.org/officeDocument/2006/relationships/hyperlink" Target="http://www.itu.int/go/NOW4WRC19" TargetMode="External"/><Relationship Id="rId3" Type="http://schemas.openxmlformats.org/officeDocument/2006/relationships/customXml" Target="../customXml/item3.xml"/><Relationship Id="rId12" Type="http://schemas.openxmlformats.org/officeDocument/2006/relationships/hyperlink" Target="https://www.itu.int/en/council/Documents/basic-texts/RES-070-E.pdf" TargetMode="External"/><Relationship Id="rId17" Type="http://schemas.openxmlformats.org/officeDocument/2006/relationships/hyperlink" Target="http://www.itu.int/md/S16-CL-C-0006/en" TargetMode="External"/><Relationship Id="rId25" Type="http://schemas.openxmlformats.org/officeDocument/2006/relationships/hyperlink" Target="https://www.itu.int/md/S20-CL-INF-0002/en" TargetMode="External"/><Relationship Id="rId33" Type="http://schemas.openxmlformats.org/officeDocument/2006/relationships/hyperlink" Target="http://www.un.org/en/sections/observances/international-days/index.html" TargetMode="External"/><Relationship Id="rId38" Type="http://schemas.openxmlformats.org/officeDocument/2006/relationships/hyperlink" Target="https://www.youtube.com/watch?v=gkYUlpgasoo" TargetMode="External"/><Relationship Id="rId46" Type="http://schemas.openxmlformats.org/officeDocument/2006/relationships/hyperlink" Target="https://www.equals.org" TargetMode="External"/><Relationship Id="rId59" Type="http://schemas.openxmlformats.org/officeDocument/2006/relationships/header" Target="header1.xml"/><Relationship Id="rId20" Type="http://schemas.openxmlformats.org/officeDocument/2006/relationships/hyperlink" Target="https://www.itu.int/md/S19-CL-C-0006/en" TargetMode="External"/><Relationship Id="rId41" Type="http://schemas.openxmlformats.org/officeDocument/2006/relationships/hyperlink" Target="https://www.itu.int/en/ITU-D/Cybersecurity/Pages/Women-in-Cyber/Women-in-Cyber-Mentorship-Programme.aspx" TargetMode="External"/><Relationship Id="rId54" Type="http://schemas.openxmlformats.org/officeDocument/2006/relationships/hyperlink" Target="https://www.itu.int/en/ITU-D/Conferences/WTDC/WTDC21/Pages/NoW/AsiaPacific/default.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S14-CL-C-0006/en" TargetMode="External"/><Relationship Id="rId23" Type="http://schemas.openxmlformats.org/officeDocument/2006/relationships/hyperlink" Target="https://www.itu.int/md/S19-CL-INF-0002/en" TargetMode="External"/><Relationship Id="rId28" Type="http://schemas.openxmlformats.org/officeDocument/2006/relationships/hyperlink" Target="https://www.itu.int/en/ITU-D/Statistics/Documents/facts/FactsFigures2020.pdf" TargetMode="External"/><Relationship Id="rId36" Type="http://schemas.openxmlformats.org/officeDocument/2006/relationships/hyperlink" Target="https://www.itu.int/en/ITU-D/Digital-Inclusion/Women-and-Girls/Girls-in-ICT-Portal/Pages/GirlsInICTDay/2021/GICT-2021.aspx" TargetMode="External"/><Relationship Id="rId49" Type="http://schemas.openxmlformats.org/officeDocument/2006/relationships/hyperlink" Target="https://www.itu.int/en/ITU-D/Emergency-Telecommunications/Pages/Women-ICT-and-Emergency-Telecommunications.aspx" TargetMode="External"/><Relationship Id="rId57" Type="http://schemas.openxmlformats.org/officeDocument/2006/relationships/hyperlink" Target="https://www.itu.int/en/delegates-corner/Pages/default.aspx" TargetMode="External"/><Relationship Id="rId10" Type="http://schemas.openxmlformats.org/officeDocument/2006/relationships/endnotes" Target="endnotes.xml"/><Relationship Id="rId31" Type="http://schemas.openxmlformats.org/officeDocument/2006/relationships/hyperlink" Target="http://www.itu.int/net/wsis/documents/HLE.html" TargetMode="External"/><Relationship Id="rId44" Type="http://schemas.openxmlformats.org/officeDocument/2006/relationships/hyperlink" Target="https://academy.itu.int/index.php/training-courses/full-catalogue/liderazgo-femenino-en-el-sector-de-las-telecomunicaciones-y-las-tic" TargetMode="External"/><Relationship Id="rId52" Type="http://schemas.openxmlformats.org/officeDocument/2006/relationships/hyperlink" Target="https://www.itu.int/en/mediacentre/Pages/2019-CM10.asp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4BBCCFB9210D45B446B3FB733BA706" ma:contentTypeVersion="1" ma:contentTypeDescription="Create a new document." ma:contentTypeScope="" ma:versionID="9b9f2d1eb391c134446eaec63ecdc6ee">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12EE21-7C56-4D01-8AFF-4CE9671B2188}">
  <ds:schemaRefs>
    <ds:schemaRef ds:uri="http://schemas.microsoft.com/sharepoint/v3/contenttype/forms"/>
  </ds:schemaRefs>
</ds:datastoreItem>
</file>

<file path=customXml/itemProps2.xml><?xml version="1.0" encoding="utf-8"?>
<ds:datastoreItem xmlns:ds="http://schemas.openxmlformats.org/officeDocument/2006/customXml" ds:itemID="{7E3F0EC9-785A-48B2-9848-AF8617212596}">
  <ds:schemaRefs>
    <ds:schemaRef ds:uri="http://schemas.openxmlformats.org/officeDocument/2006/bibliography"/>
  </ds:schemaRefs>
</ds:datastoreItem>
</file>

<file path=customXml/itemProps3.xml><?xml version="1.0" encoding="utf-8"?>
<ds:datastoreItem xmlns:ds="http://schemas.openxmlformats.org/officeDocument/2006/customXml" ds:itemID="{60CC1B2E-C5D5-46F0-8258-08EDF2037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4DF5F-0E9E-4F8D-91D6-BD7BE8D250A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2758</Words>
  <Characters>19131</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C21 Template</dc:title>
  <dc:subject>Council 2020, Virtual consultation of councillors</dc:subject>
  <dc:creator>Brouard, Ricarda</dc:creator>
  <cp:keywords>C2021, C21</cp:keywords>
  <dc:description/>
  <cp:lastModifiedBy>Brouard, Ricarda</cp:lastModifiedBy>
  <cp:revision>2</cp:revision>
  <cp:lastPrinted>2000-07-18T13:30:00Z</cp:lastPrinted>
  <dcterms:created xsi:type="dcterms:W3CDTF">2021-04-19T17:07:00Z</dcterms:created>
  <dcterms:modified xsi:type="dcterms:W3CDTF">2021-04-19T17:07:00Z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0x010100BE4BBCCFB9210D45B446B3FB733BA706</vt:lpwstr>
  </property>
</Properties>
</file>