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1F55BE29" w14:textId="77777777">
        <w:trPr>
          <w:cantSplit/>
        </w:trPr>
        <w:tc>
          <w:tcPr>
            <w:tcW w:w="6912" w:type="dxa"/>
          </w:tcPr>
          <w:p w14:paraId="47B1123B"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6F154DC7"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3E77EC86" wp14:editId="19B9A1A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693C55EB" w14:textId="77777777">
        <w:trPr>
          <w:cantSplit/>
          <w:trHeight w:val="20"/>
        </w:trPr>
        <w:tc>
          <w:tcPr>
            <w:tcW w:w="10173" w:type="dxa"/>
            <w:gridSpan w:val="2"/>
            <w:tcBorders>
              <w:bottom w:val="single" w:sz="12" w:space="0" w:color="auto"/>
            </w:tcBorders>
          </w:tcPr>
          <w:p w14:paraId="376CEFE8" w14:textId="77777777" w:rsidR="00093EEB" w:rsidRPr="00EB1212" w:rsidRDefault="00093EEB">
            <w:pPr>
              <w:spacing w:before="0"/>
              <w:rPr>
                <w:b/>
                <w:bCs/>
                <w:szCs w:val="24"/>
              </w:rPr>
            </w:pPr>
          </w:p>
        </w:tc>
      </w:tr>
      <w:tr w:rsidR="00093EEB" w:rsidRPr="000B0D00" w14:paraId="2012EF9B" w14:textId="77777777">
        <w:trPr>
          <w:cantSplit/>
          <w:trHeight w:val="20"/>
        </w:trPr>
        <w:tc>
          <w:tcPr>
            <w:tcW w:w="6912" w:type="dxa"/>
            <w:tcBorders>
              <w:top w:val="single" w:sz="12" w:space="0" w:color="auto"/>
            </w:tcBorders>
          </w:tcPr>
          <w:p w14:paraId="4AB912E1"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9161AE7" w14:textId="77777777" w:rsidR="00093EEB" w:rsidRPr="000B0D00" w:rsidRDefault="00093EEB">
            <w:pPr>
              <w:spacing w:before="0"/>
              <w:rPr>
                <w:b/>
                <w:bCs/>
                <w:szCs w:val="24"/>
              </w:rPr>
            </w:pPr>
          </w:p>
        </w:tc>
      </w:tr>
      <w:tr w:rsidR="00093EEB" w:rsidRPr="000B0D00" w14:paraId="0151CC36" w14:textId="77777777">
        <w:trPr>
          <w:cantSplit/>
          <w:trHeight w:val="20"/>
        </w:trPr>
        <w:tc>
          <w:tcPr>
            <w:tcW w:w="6912" w:type="dxa"/>
            <w:shd w:val="clear" w:color="auto" w:fill="auto"/>
          </w:tcPr>
          <w:p w14:paraId="117EBF10" w14:textId="5CF0434F" w:rsidR="00093EEB" w:rsidRPr="00093EEB" w:rsidRDefault="00D7465F">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D7465F">
              <w:rPr>
                <w:rFonts w:cs="Times"/>
                <w:b/>
                <w:szCs w:val="24"/>
              </w:rPr>
              <w:t>Punto del orden del día: PL 2.6</w:t>
            </w:r>
          </w:p>
        </w:tc>
        <w:tc>
          <w:tcPr>
            <w:tcW w:w="3261" w:type="dxa"/>
          </w:tcPr>
          <w:p w14:paraId="467493AA" w14:textId="413F43A6"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D7465F">
              <w:rPr>
                <w:b/>
                <w:bCs/>
                <w:szCs w:val="24"/>
              </w:rPr>
              <w:t>2</w:t>
            </w:r>
            <w:r>
              <w:rPr>
                <w:b/>
                <w:bCs/>
                <w:szCs w:val="24"/>
              </w:rPr>
              <w:t>-S</w:t>
            </w:r>
          </w:p>
        </w:tc>
      </w:tr>
      <w:tr w:rsidR="00093EEB" w:rsidRPr="000B0D00" w14:paraId="35B613B4" w14:textId="77777777">
        <w:trPr>
          <w:cantSplit/>
          <w:trHeight w:val="20"/>
        </w:trPr>
        <w:tc>
          <w:tcPr>
            <w:tcW w:w="6912" w:type="dxa"/>
            <w:shd w:val="clear" w:color="auto" w:fill="auto"/>
          </w:tcPr>
          <w:p w14:paraId="3A13D2DD"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258D3850" w14:textId="3303B5DD" w:rsidR="00093EEB" w:rsidRPr="00093EEB" w:rsidRDefault="00D7465F" w:rsidP="00C2727F">
            <w:pPr>
              <w:spacing w:before="0"/>
              <w:rPr>
                <w:b/>
                <w:bCs/>
                <w:szCs w:val="24"/>
              </w:rPr>
            </w:pPr>
            <w:r w:rsidRPr="00D7465F">
              <w:rPr>
                <w:b/>
                <w:bCs/>
                <w:szCs w:val="24"/>
              </w:rPr>
              <w:t>7 de abril de 2021</w:t>
            </w:r>
          </w:p>
        </w:tc>
      </w:tr>
      <w:tr w:rsidR="00093EEB" w:rsidRPr="000B0D00" w14:paraId="068FE483" w14:textId="77777777">
        <w:trPr>
          <w:cantSplit/>
          <w:trHeight w:val="20"/>
        </w:trPr>
        <w:tc>
          <w:tcPr>
            <w:tcW w:w="6912" w:type="dxa"/>
            <w:shd w:val="clear" w:color="auto" w:fill="auto"/>
          </w:tcPr>
          <w:p w14:paraId="251EB489"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2600C4F0" w14:textId="77777777" w:rsidR="00093EEB" w:rsidRPr="00093EEB" w:rsidRDefault="00093EEB" w:rsidP="00093EEB">
            <w:pPr>
              <w:spacing w:before="0"/>
              <w:rPr>
                <w:b/>
                <w:bCs/>
                <w:szCs w:val="24"/>
              </w:rPr>
            </w:pPr>
            <w:r>
              <w:rPr>
                <w:b/>
                <w:bCs/>
                <w:szCs w:val="24"/>
              </w:rPr>
              <w:t>Original: inglés</w:t>
            </w:r>
          </w:p>
        </w:tc>
      </w:tr>
      <w:tr w:rsidR="00093EEB" w:rsidRPr="000B0D00" w14:paraId="407825D3" w14:textId="77777777">
        <w:trPr>
          <w:cantSplit/>
        </w:trPr>
        <w:tc>
          <w:tcPr>
            <w:tcW w:w="10173" w:type="dxa"/>
            <w:gridSpan w:val="2"/>
          </w:tcPr>
          <w:p w14:paraId="593E2757" w14:textId="1211F8FE" w:rsidR="00093EEB" w:rsidRPr="000B0D00" w:rsidRDefault="00D7465F">
            <w:pPr>
              <w:pStyle w:val="Source"/>
            </w:pPr>
            <w:bookmarkStart w:id="8" w:name="dsource" w:colFirst="0" w:colLast="0"/>
            <w:bookmarkEnd w:id="1"/>
            <w:bookmarkEnd w:id="7"/>
            <w:r w:rsidRPr="00D7465F">
              <w:t>Informe del Secretario General</w:t>
            </w:r>
          </w:p>
        </w:tc>
      </w:tr>
      <w:tr w:rsidR="00093EEB" w:rsidRPr="000B0D00" w14:paraId="7DA11C44" w14:textId="77777777">
        <w:trPr>
          <w:cantSplit/>
        </w:trPr>
        <w:tc>
          <w:tcPr>
            <w:tcW w:w="10173" w:type="dxa"/>
            <w:gridSpan w:val="2"/>
          </w:tcPr>
          <w:p w14:paraId="5C4FD4BC" w14:textId="262EE4F7" w:rsidR="00093EEB" w:rsidRPr="000B0D00" w:rsidRDefault="00D7465F" w:rsidP="0000548A">
            <w:pPr>
              <w:pStyle w:val="Title1"/>
            </w:pPr>
            <w:bookmarkStart w:id="9" w:name="_Hlk40865959"/>
            <w:bookmarkStart w:id="10" w:name="dtitle1" w:colFirst="0" w:colLast="0"/>
            <w:bookmarkEnd w:id="8"/>
            <w:r w:rsidRPr="00D7465F">
              <w:rPr>
                <w:lang w:val="es-ES"/>
              </w:rPr>
              <w:t>FECHAS Y DURACIÓN PROPUESTAS PARA LAS REUNIONES DE 2022, 2023, 2024, 2025 y 2026 del consejo</w:t>
            </w:r>
            <w:r w:rsidR="0000548A">
              <w:rPr>
                <w:lang w:val="es-ES"/>
              </w:rPr>
              <w:br/>
            </w:r>
            <w:r w:rsidRPr="00D7465F">
              <w:rPr>
                <w:lang w:val="es-ES"/>
              </w:rPr>
              <w:t>y fechas propuestas para las series de reuniones agrupadas de los grupos de trabajo y grupos de expertos del consejo para 2022</w:t>
            </w:r>
            <w:bookmarkEnd w:id="9"/>
            <w:r w:rsidRPr="00D7465F">
              <w:rPr>
                <w:lang w:val="es-ES"/>
              </w:rPr>
              <w:t>, 2023 y 2024</w:t>
            </w:r>
          </w:p>
        </w:tc>
      </w:tr>
      <w:bookmarkEnd w:id="10"/>
    </w:tbl>
    <w:p w14:paraId="28C65317"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58A4AF8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B6E72E5" w14:textId="77777777" w:rsidR="00093EEB" w:rsidRPr="000B0D00" w:rsidRDefault="00093EEB">
            <w:pPr>
              <w:pStyle w:val="Headingb"/>
              <w:rPr>
                <w:lang w:val="es-ES"/>
              </w:rPr>
            </w:pPr>
            <w:r w:rsidRPr="000B0D00">
              <w:rPr>
                <w:lang w:val="es-ES"/>
              </w:rPr>
              <w:t>Resumen</w:t>
            </w:r>
          </w:p>
          <w:p w14:paraId="186091EF" w14:textId="63FCD2CC" w:rsidR="00D7465F" w:rsidRPr="00D7465F" w:rsidRDefault="00D7465F" w:rsidP="00D7465F">
            <w:pPr>
              <w:rPr>
                <w:lang w:val="es-ES"/>
              </w:rPr>
            </w:pPr>
            <w:r w:rsidRPr="00D7465F">
              <w:rPr>
                <w:lang w:val="es-ES"/>
              </w:rPr>
              <w:t>De acuerdo con la Resolución 77 (Rev. Dubái, 2018), y teniendo en cuenta el Acuerdo 612 (C19), se invita al Consejo a que "planifique sus próximas tres reuniones ordinarias para el periodo junio-julio y examine dicha planificación de manera continua".</w:t>
            </w:r>
          </w:p>
          <w:p w14:paraId="373A975B" w14:textId="643E124E" w:rsidR="00093EEB" w:rsidRPr="000B0D00" w:rsidRDefault="00D7465F" w:rsidP="00D7465F">
            <w:pPr>
              <w:rPr>
                <w:lang w:val="es-ES"/>
              </w:rPr>
            </w:pPr>
            <w:r w:rsidRPr="00D7465F">
              <w:rPr>
                <w:lang w:val="es-ES"/>
              </w:rPr>
              <w:t xml:space="preserve">De conformidad con el Acuerdo 620 sobre </w:t>
            </w:r>
            <w:r w:rsidR="0091465B">
              <w:rPr>
                <w:lang w:val="es-ES"/>
              </w:rPr>
              <w:t>"</w:t>
            </w:r>
            <w:r w:rsidRPr="00D7465F">
              <w:rPr>
                <w:lang w:val="es-ES"/>
              </w:rPr>
              <w:t>Fechas y duración de las reuniones de 2021, 2022, 2023, 2024, 2025 y 2026 del Consejo y fechas de las series de reuniones agrupadas de los Grupos de Trabajo y Grupos de Expertos del Consejo para 2020, 2021 y 2022</w:t>
            </w:r>
            <w:r w:rsidR="0091465B">
              <w:rPr>
                <w:lang w:val="es-ES"/>
              </w:rPr>
              <w:t>"</w:t>
            </w:r>
            <w:r w:rsidRPr="00D7465F">
              <w:rPr>
                <w:lang w:val="es-ES"/>
              </w:rPr>
              <w:t>, se propone que el Consejo confirme las fechas de las próximas reuniones de 2022 a 2026 del Consejo y, además, confirme también las fechas de las series de reuniones agrupadas de Grupos de Trabajo y Grupos de Expertos (GTC y GE) del Consejo para 2022, 2023 y 2024.</w:t>
            </w:r>
          </w:p>
          <w:p w14:paraId="5DCD4191" w14:textId="77777777" w:rsidR="00093EEB" w:rsidRPr="000B0D00" w:rsidRDefault="00093EEB">
            <w:pPr>
              <w:pStyle w:val="Headingb"/>
              <w:rPr>
                <w:lang w:val="es-ES"/>
              </w:rPr>
            </w:pPr>
            <w:r w:rsidRPr="000B0D00">
              <w:rPr>
                <w:lang w:val="es-ES"/>
              </w:rPr>
              <w:t>Acción solicitada</w:t>
            </w:r>
          </w:p>
          <w:p w14:paraId="26594AC4" w14:textId="75D733CB" w:rsidR="00093EEB" w:rsidRPr="000B0D00" w:rsidRDefault="00D7465F">
            <w:pPr>
              <w:rPr>
                <w:lang w:val="es-ES"/>
              </w:rPr>
            </w:pPr>
            <w:r w:rsidRPr="00D7465F">
              <w:rPr>
                <w:lang w:val="es-ES"/>
              </w:rPr>
              <w:t xml:space="preserve">Se invita al Consejo a </w:t>
            </w:r>
            <w:r w:rsidRPr="00D7465F">
              <w:rPr>
                <w:b/>
                <w:lang w:val="es-ES"/>
              </w:rPr>
              <w:t>refrendar</w:t>
            </w:r>
            <w:r w:rsidRPr="00D7465F">
              <w:rPr>
                <w:lang w:val="es-ES"/>
              </w:rPr>
              <w:t xml:space="preserve"> las fechas para sus reuniones de 2022, 2023, 2024, 2025 y 2026, junto con las fechas de las series de reuniones agrupadas de GTC y GE para 2022, 2023 y 2024, y a </w:t>
            </w:r>
            <w:r w:rsidRPr="00D7465F">
              <w:rPr>
                <w:b/>
                <w:bCs/>
                <w:lang w:val="es-ES"/>
              </w:rPr>
              <w:t>adoptar</w:t>
            </w:r>
            <w:r w:rsidRPr="00D7465F">
              <w:rPr>
                <w:lang w:val="es-ES"/>
              </w:rPr>
              <w:t xml:space="preserve"> el proyecto de Acuerdo que figura en el Anexo al presente documento.</w:t>
            </w:r>
          </w:p>
          <w:p w14:paraId="4A961B0B"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7B9846AA" w14:textId="1D30913E" w:rsidR="00093EEB" w:rsidRPr="000B0D00" w:rsidRDefault="00093EEB">
            <w:pPr>
              <w:pStyle w:val="Headingb"/>
              <w:rPr>
                <w:lang w:val="es-ES"/>
              </w:rPr>
            </w:pPr>
            <w:r w:rsidRPr="000B0D00">
              <w:rPr>
                <w:lang w:val="es-ES"/>
              </w:rPr>
              <w:t>Referencia</w:t>
            </w:r>
            <w:r w:rsidR="00D7465F">
              <w:rPr>
                <w:lang w:val="es-ES"/>
              </w:rPr>
              <w:t>s</w:t>
            </w:r>
          </w:p>
          <w:p w14:paraId="5E4D5AE3" w14:textId="59D989AB" w:rsidR="00093EEB" w:rsidRPr="000B0D00" w:rsidRDefault="00EA7454">
            <w:pPr>
              <w:spacing w:after="120"/>
              <w:rPr>
                <w:i/>
                <w:iCs/>
                <w:lang w:val="es-ES"/>
              </w:rPr>
            </w:pPr>
            <w:hyperlink r:id="rId8" w:history="1">
              <w:r w:rsidR="00D7465F" w:rsidRPr="00D7465F">
                <w:rPr>
                  <w:rStyle w:val="Hyperlink"/>
                  <w:i/>
                  <w:iCs/>
                  <w:lang w:val="es-ES"/>
                </w:rPr>
                <w:t>Artículo 1, Reglamento Interno del Consejo</w:t>
              </w:r>
            </w:hyperlink>
            <w:r w:rsidR="00D7465F" w:rsidRPr="00D7465F">
              <w:rPr>
                <w:i/>
                <w:iCs/>
                <w:lang w:val="es-ES"/>
              </w:rPr>
              <w:t xml:space="preserve">; </w:t>
            </w:r>
            <w:hyperlink r:id="rId9" w:history="1">
              <w:r w:rsidR="00D7465F" w:rsidRPr="00D7465F">
                <w:rPr>
                  <w:rStyle w:val="Hyperlink"/>
                  <w:i/>
                  <w:iCs/>
                  <w:lang w:val="es-ES"/>
                </w:rPr>
                <w:t>Resolución 77 (Rev. Dubái, 2018)</w:t>
              </w:r>
            </w:hyperlink>
            <w:r w:rsidR="00D7465F" w:rsidRPr="00D7465F">
              <w:rPr>
                <w:i/>
                <w:iCs/>
                <w:lang w:val="es-ES"/>
              </w:rPr>
              <w:t xml:space="preserve">, </w:t>
            </w:r>
            <w:hyperlink r:id="rId10" w:history="1">
              <w:r w:rsidR="00D7465F" w:rsidRPr="00D7465F">
                <w:rPr>
                  <w:rStyle w:val="Hyperlink"/>
                  <w:i/>
                  <w:iCs/>
                  <w:lang w:val="es-ES"/>
                </w:rPr>
                <w:t>Resolución 111 (Rev. Busán, 2014)</w:t>
              </w:r>
            </w:hyperlink>
            <w:r w:rsidR="00D7465F" w:rsidRPr="00D7465F">
              <w:rPr>
                <w:i/>
                <w:iCs/>
                <w:lang w:val="es-ES"/>
              </w:rPr>
              <w:t>;</w:t>
            </w:r>
            <w:r w:rsidR="0000548A">
              <w:rPr>
                <w:i/>
                <w:iCs/>
                <w:lang w:val="es-ES"/>
              </w:rPr>
              <w:t xml:space="preserve"> Documentos</w:t>
            </w:r>
            <w:r w:rsidR="00D7465F" w:rsidRPr="00D7465F">
              <w:rPr>
                <w:i/>
                <w:iCs/>
                <w:lang w:val="es-ES"/>
              </w:rPr>
              <w:t xml:space="preserve"> </w:t>
            </w:r>
            <w:hyperlink r:id="rId11" w:history="1">
              <w:r w:rsidR="0000548A">
                <w:rPr>
                  <w:rStyle w:val="Hyperlink"/>
                  <w:i/>
                  <w:iCs/>
                  <w:lang w:val="es-ES"/>
                </w:rPr>
                <w:t>C19/2</w:t>
              </w:r>
            </w:hyperlink>
            <w:r w:rsidR="00D7465F" w:rsidRPr="00D7465F">
              <w:rPr>
                <w:i/>
                <w:iCs/>
                <w:lang w:val="es-ES"/>
              </w:rPr>
              <w:t xml:space="preserve">, </w:t>
            </w:r>
            <w:hyperlink r:id="rId12" w:history="1">
              <w:r w:rsidR="00D7465F" w:rsidRPr="00D7465F">
                <w:rPr>
                  <w:rStyle w:val="Hyperlink"/>
                  <w:i/>
                  <w:iCs/>
                  <w:lang w:val="es-ES"/>
                </w:rPr>
                <w:t>C19/118</w:t>
              </w:r>
            </w:hyperlink>
            <w:r w:rsidR="00D7465F" w:rsidRPr="00D7465F">
              <w:rPr>
                <w:i/>
                <w:iCs/>
                <w:lang w:val="es-ES"/>
              </w:rPr>
              <w:t xml:space="preserve">, </w:t>
            </w:r>
            <w:hyperlink r:id="rId13" w:history="1">
              <w:r w:rsidR="00D7465F" w:rsidRPr="00D7465F">
                <w:rPr>
                  <w:rStyle w:val="Hyperlink"/>
                  <w:i/>
                  <w:iCs/>
                  <w:lang w:val="es-ES"/>
                </w:rPr>
                <w:t>C19/37</w:t>
              </w:r>
            </w:hyperlink>
            <w:r w:rsidR="00D7465F" w:rsidRPr="00D7465F">
              <w:rPr>
                <w:i/>
                <w:iCs/>
                <w:lang w:val="es-ES"/>
              </w:rPr>
              <w:t xml:space="preserve">, </w:t>
            </w:r>
            <w:hyperlink r:id="rId14" w:history="1">
              <w:r w:rsidR="00D7465F" w:rsidRPr="00D7465F">
                <w:rPr>
                  <w:rStyle w:val="Hyperlink"/>
                  <w:i/>
                  <w:iCs/>
                  <w:lang w:val="es-ES"/>
                </w:rPr>
                <w:t>C20/2</w:t>
              </w:r>
            </w:hyperlink>
            <w:r w:rsidR="00D7465F" w:rsidRPr="00D7465F">
              <w:rPr>
                <w:i/>
                <w:iCs/>
                <w:lang w:val="es-ES"/>
              </w:rPr>
              <w:t xml:space="preserve">, </w:t>
            </w:r>
            <w:hyperlink r:id="rId15" w:history="1">
              <w:r w:rsidR="00D7465F" w:rsidRPr="00D7465F">
                <w:rPr>
                  <w:rStyle w:val="Hyperlink"/>
                  <w:i/>
                  <w:iCs/>
                  <w:lang w:val="es-ES"/>
                </w:rPr>
                <w:t>C20/37</w:t>
              </w:r>
            </w:hyperlink>
            <w:r w:rsidR="00D7465F" w:rsidRPr="00D7465F">
              <w:rPr>
                <w:i/>
                <w:iCs/>
                <w:lang w:val="es-ES"/>
              </w:rPr>
              <w:t xml:space="preserve">, </w:t>
            </w:r>
            <w:hyperlink r:id="rId16" w:history="1">
              <w:r w:rsidR="00D7465F" w:rsidRPr="00D7465F">
                <w:rPr>
                  <w:rStyle w:val="Hyperlink"/>
                  <w:i/>
                  <w:iCs/>
                  <w:lang w:val="es-ES"/>
                </w:rPr>
                <w:t>C21/37</w:t>
              </w:r>
            </w:hyperlink>
            <w:r w:rsidR="00D7465F" w:rsidRPr="00D7465F">
              <w:rPr>
                <w:i/>
                <w:iCs/>
                <w:lang w:val="es-ES"/>
              </w:rPr>
              <w:t xml:space="preserve">; </w:t>
            </w:r>
            <w:hyperlink r:id="rId17" w:history="1">
              <w:r w:rsidR="00D7465F" w:rsidRPr="00D7465F">
                <w:rPr>
                  <w:rStyle w:val="Hyperlink"/>
                  <w:i/>
                  <w:iCs/>
                  <w:lang w:val="es-ES"/>
                </w:rPr>
                <w:t>Acuerdo 619</w:t>
              </w:r>
            </w:hyperlink>
            <w:r w:rsidR="00D7465F" w:rsidRPr="0000548A">
              <w:rPr>
                <w:lang w:val="es-ES"/>
              </w:rPr>
              <w:t xml:space="preserve">, </w:t>
            </w:r>
            <w:hyperlink r:id="rId18" w:history="1">
              <w:r w:rsidR="00D7465F" w:rsidRPr="00D7465F">
                <w:rPr>
                  <w:rStyle w:val="Hyperlink"/>
                  <w:i/>
                  <w:iCs/>
                  <w:lang w:val="es-ES"/>
                </w:rPr>
                <w:t>Acuerdo 620</w:t>
              </w:r>
            </w:hyperlink>
            <w:r w:rsidR="00D7465F" w:rsidRPr="00D7465F">
              <w:rPr>
                <w:i/>
                <w:iCs/>
                <w:lang w:val="es-ES"/>
              </w:rPr>
              <w:t xml:space="preserve"> del Consejo.</w:t>
            </w:r>
          </w:p>
        </w:tc>
      </w:tr>
    </w:tbl>
    <w:p w14:paraId="592AF6C5" w14:textId="0A8932B6" w:rsidR="00D7465F" w:rsidRDefault="00D7465F" w:rsidP="00D7465F">
      <w:r>
        <w:br w:type="page"/>
      </w:r>
    </w:p>
    <w:p w14:paraId="17DE4FC9" w14:textId="77777777" w:rsidR="00D7465F" w:rsidRPr="00D7465F" w:rsidRDefault="00D7465F" w:rsidP="00D7465F">
      <w:pPr>
        <w:pStyle w:val="Headingb"/>
        <w:rPr>
          <w:lang w:val="es-ES"/>
        </w:rPr>
      </w:pPr>
      <w:r w:rsidRPr="00202ECD">
        <w:rPr>
          <w:lang w:val="es-ES"/>
        </w:rPr>
        <w:lastRenderedPageBreak/>
        <w:t>Antecedentes</w:t>
      </w:r>
    </w:p>
    <w:p w14:paraId="46A79F0C" w14:textId="7B8E2E8F" w:rsidR="00D7465F" w:rsidRPr="00D7465F" w:rsidRDefault="00D7465F" w:rsidP="00D7465F">
      <w:pPr>
        <w:rPr>
          <w:lang w:val="es-ES"/>
        </w:rPr>
      </w:pPr>
      <w:r w:rsidRPr="00D7465F">
        <w:rPr>
          <w:lang w:val="es-ES"/>
        </w:rPr>
        <w:t xml:space="preserve">En la Resolución 77 (Rev. Dubái, 2018), relativa a la </w:t>
      </w:r>
      <w:r w:rsidRPr="00D7465F">
        <w:rPr>
          <w:b/>
          <w:bCs/>
          <w:i/>
          <w:iCs/>
          <w:lang w:val="es-ES"/>
        </w:rPr>
        <w:t>planificación y duración de las Conferencias</w:t>
      </w:r>
      <w:r w:rsidRPr="00D7465F">
        <w:rPr>
          <w:i/>
          <w:iCs/>
          <w:lang w:val="es-ES"/>
        </w:rPr>
        <w:t>,</w:t>
      </w:r>
      <w:r w:rsidRPr="00D7465F">
        <w:rPr>
          <w:b/>
          <w:bCs/>
          <w:i/>
          <w:iCs/>
          <w:lang w:val="es-ES"/>
        </w:rPr>
        <w:t xml:space="preserve"> los Foros</w:t>
      </w:r>
      <w:r w:rsidRPr="00D7465F">
        <w:rPr>
          <w:i/>
          <w:iCs/>
          <w:lang w:val="es-ES"/>
        </w:rPr>
        <w:t>,</w:t>
      </w:r>
      <w:r w:rsidRPr="00D7465F">
        <w:rPr>
          <w:b/>
          <w:bCs/>
          <w:i/>
          <w:iCs/>
          <w:lang w:val="es-ES"/>
        </w:rPr>
        <w:t xml:space="preserve"> las Asambleas y las reuniones del Consejo de la Unión (2019-2023)</w:t>
      </w:r>
      <w:r w:rsidRPr="00D7465F">
        <w:rPr>
          <w:lang w:val="es-ES"/>
        </w:rPr>
        <w:t xml:space="preserve">, </w:t>
      </w:r>
      <w:r w:rsidRPr="00202ECD">
        <w:rPr>
          <w:lang w:val="es-ES"/>
        </w:rPr>
        <w:t xml:space="preserve">se </w:t>
      </w:r>
      <w:r w:rsidRPr="003F67E4">
        <w:rPr>
          <w:i/>
          <w:iCs/>
          <w:lang w:val="es-ES"/>
        </w:rPr>
        <w:t>encarga al Consejo</w:t>
      </w:r>
      <w:r w:rsidRPr="00D7465F">
        <w:rPr>
          <w:lang w:val="es-ES"/>
        </w:rPr>
        <w:t xml:space="preserve"> </w:t>
      </w:r>
      <w:r w:rsidR="0091465B">
        <w:rPr>
          <w:lang w:val="es-ES"/>
        </w:rPr>
        <w:t>"</w:t>
      </w:r>
      <w:r w:rsidRPr="00D7465F">
        <w:rPr>
          <w:lang w:val="es-ES"/>
        </w:rPr>
        <w:t>que, en cada reunión ordinaria, planifique sus próximas tres reuniones ordinarias para el periodo junio-julio y examine dicha planificación de manera continua</w:t>
      </w:r>
      <w:r w:rsidR="0091465B">
        <w:rPr>
          <w:lang w:val="es-ES"/>
        </w:rPr>
        <w:t>"</w:t>
      </w:r>
      <w:r w:rsidRPr="00D7465F">
        <w:rPr>
          <w:lang w:val="es-ES"/>
        </w:rPr>
        <w:t>.</w:t>
      </w:r>
    </w:p>
    <w:p w14:paraId="278D5EB6" w14:textId="4ED78526" w:rsidR="00D7465F" w:rsidRPr="00D7465F" w:rsidRDefault="00D7465F" w:rsidP="00D7465F">
      <w:pPr>
        <w:rPr>
          <w:lang w:val="es-ES"/>
        </w:rPr>
      </w:pPr>
      <w:r w:rsidRPr="00D7465F">
        <w:rPr>
          <w:lang w:val="es-ES"/>
        </w:rPr>
        <w:t xml:space="preserve">En la Resolución 111 (Rev. Busán, 2014) sobre la </w:t>
      </w:r>
      <w:r w:rsidRPr="00D7465F">
        <w:rPr>
          <w:b/>
          <w:bCs/>
          <w:i/>
          <w:iCs/>
          <w:lang w:val="es-ES"/>
        </w:rPr>
        <w:t>toma en consideración de los periodos religiosos importantes en la planificación de las Conferencias, Asambleas y reuniones del Consejo de la UIT</w:t>
      </w:r>
      <w:r w:rsidRPr="00D7465F">
        <w:rPr>
          <w:lang w:val="es-ES"/>
        </w:rPr>
        <w:t xml:space="preserve">, </w:t>
      </w:r>
      <w:r w:rsidRPr="00202ECD">
        <w:rPr>
          <w:lang w:val="es-ES"/>
        </w:rPr>
        <w:t xml:space="preserve">se </w:t>
      </w:r>
      <w:r w:rsidRPr="00202ECD">
        <w:rPr>
          <w:i/>
          <w:iCs/>
          <w:lang w:val="es-ES"/>
        </w:rPr>
        <w:t>resuelve</w:t>
      </w:r>
      <w:r w:rsidRPr="00D7465F">
        <w:rPr>
          <w:lang w:val="es-ES"/>
        </w:rPr>
        <w:t xml:space="preserve"> </w:t>
      </w:r>
      <w:r w:rsidR="00746C32">
        <w:rPr>
          <w:lang w:val="es-ES"/>
        </w:rPr>
        <w:t>"</w:t>
      </w:r>
      <w:r w:rsidRPr="00D7465F">
        <w:rPr>
          <w:lang w:val="es-ES"/>
        </w:rPr>
        <w:t>que la Unión y sus Estados Miembros hagan todo lo posible, con los medios disponibles, por evitar que el periodo planificado de conferencias o asambleas de la UIT coincida con un periodo considerado como religioso importante para un Estado Miembro</w:t>
      </w:r>
      <w:r w:rsidR="0091465B">
        <w:rPr>
          <w:lang w:val="es-ES"/>
        </w:rPr>
        <w:t>"</w:t>
      </w:r>
      <w:r w:rsidRPr="00D7465F">
        <w:rPr>
          <w:lang w:val="es-ES"/>
        </w:rPr>
        <w:t>.</w:t>
      </w:r>
    </w:p>
    <w:p w14:paraId="75772D4D" w14:textId="5EDF058A" w:rsidR="00D7465F" w:rsidRPr="00D7465F" w:rsidRDefault="00D7465F" w:rsidP="00D7465F">
      <w:pPr>
        <w:rPr>
          <w:lang w:val="es-ES"/>
        </w:rPr>
      </w:pPr>
      <w:r w:rsidRPr="00D7465F">
        <w:rPr>
          <w:lang w:val="es-ES"/>
        </w:rPr>
        <w:t xml:space="preserve">En el Acuerdo 619 sobre el </w:t>
      </w:r>
      <w:r w:rsidRPr="00D7465F">
        <w:rPr>
          <w:b/>
          <w:bCs/>
          <w:lang w:val="es-ES"/>
        </w:rPr>
        <w:t>Edificio de la Sede</w:t>
      </w:r>
      <w:r w:rsidRPr="00D7465F">
        <w:rPr>
          <w:lang w:val="es-ES"/>
        </w:rPr>
        <w:t xml:space="preserve"> adoptado en la reunión adicional del Consejo de</w:t>
      </w:r>
      <w:r w:rsidR="00202ECD">
        <w:rPr>
          <w:lang w:val="es-ES"/>
        </w:rPr>
        <w:t> </w:t>
      </w:r>
      <w:r w:rsidRPr="00D7465F">
        <w:rPr>
          <w:lang w:val="es-ES"/>
        </w:rPr>
        <w:t xml:space="preserve">2019 </w:t>
      </w:r>
      <w:r w:rsidRPr="00202ECD">
        <w:rPr>
          <w:lang w:val="es-ES"/>
        </w:rPr>
        <w:t xml:space="preserve">se </w:t>
      </w:r>
      <w:r w:rsidRPr="00202ECD">
        <w:rPr>
          <w:i/>
          <w:iCs/>
          <w:lang w:val="es-ES"/>
        </w:rPr>
        <w:t>encarga además al Secretario General</w:t>
      </w:r>
      <w:r w:rsidRPr="00D7465F">
        <w:rPr>
          <w:lang w:val="es-ES"/>
        </w:rPr>
        <w:t xml:space="preserve"> </w:t>
      </w:r>
      <w:r w:rsidR="0091465B">
        <w:rPr>
          <w:lang w:val="es-ES"/>
        </w:rPr>
        <w:t>"</w:t>
      </w:r>
      <w:r w:rsidRPr="00D7465F">
        <w:rPr>
          <w:lang w:val="es-ES"/>
        </w:rPr>
        <w:t>que satisfaga la necesidad de instalaciones temporales para conferencias y reuniones durante la fase de demolición y la primera fase de construcción del proyecto, elaborando para ello una lista de necesidades, con las fechas de las conferencias y reuniones durante este periodo</w:t>
      </w:r>
      <w:r w:rsidR="0091465B">
        <w:rPr>
          <w:lang w:val="es-ES"/>
        </w:rPr>
        <w:t>"</w:t>
      </w:r>
      <w:r w:rsidRPr="00D7465F">
        <w:rPr>
          <w:lang w:val="es-ES"/>
        </w:rPr>
        <w:t xml:space="preserve">. En ese contexto, se consideró importante acordar las fechas del Consejo durante esa fase – de 2023 a 2026, proseguir las negociaciones con la </w:t>
      </w:r>
      <w:r w:rsidR="00CF6558" w:rsidRPr="00CF6558">
        <w:rPr>
          <w:lang w:val="es-ES"/>
        </w:rPr>
        <w:t>Fundación de Inmuebles para las Organizaciones Internacionales</w:t>
      </w:r>
      <w:r w:rsidRPr="00D7465F">
        <w:rPr>
          <w:lang w:val="es-ES"/>
        </w:rPr>
        <w:t xml:space="preserve"> (FIPOI) y coordinarse con su Centro Internacional de Conferencias de Ginebra (CICG).</w:t>
      </w:r>
    </w:p>
    <w:p w14:paraId="7811E439" w14:textId="4AA32DD8" w:rsidR="00D7465F" w:rsidRPr="00D7465F" w:rsidRDefault="00D7465F" w:rsidP="00D7465F">
      <w:pPr>
        <w:rPr>
          <w:lang w:val="es-ES"/>
        </w:rPr>
      </w:pPr>
      <w:r w:rsidRPr="00202ECD">
        <w:rPr>
          <w:lang w:val="es-ES"/>
        </w:rPr>
        <w:t>Después</w:t>
      </w:r>
      <w:r w:rsidRPr="00D7465F">
        <w:rPr>
          <w:lang w:val="es-ES"/>
        </w:rPr>
        <w:t xml:space="preserve"> de la segunda consulta virtual de consejeros (CVC-2) celebrada del 16 al 20 de noviembre de 2020, el Consejo aprobó por correspondencia el </w:t>
      </w:r>
      <w:hyperlink r:id="rId19" w:history="1">
        <w:r w:rsidRPr="00D7465F">
          <w:rPr>
            <w:rStyle w:val="Hyperlink"/>
            <w:lang w:val="es-ES"/>
          </w:rPr>
          <w:t>Acuerdo 620</w:t>
        </w:r>
      </w:hyperlink>
      <w:r w:rsidRPr="00D7465F">
        <w:rPr>
          <w:lang w:val="es-ES"/>
        </w:rPr>
        <w:t>, que incluye las fechas de las reuniones del Consejo de la UIT para el periodo de 2021 a 2026, teniendo en cuenta la disponibilidad del CICG, así como las propuestas de fechas de los Grupos de Trabajo y Grupos de Expertos del Consejo para 2021 y 2022</w:t>
      </w:r>
    </w:p>
    <w:p w14:paraId="616D4548" w14:textId="69862D13" w:rsidR="00D7465F" w:rsidRPr="00D7465F" w:rsidRDefault="00D7465F" w:rsidP="00D7465F">
      <w:pPr>
        <w:pStyle w:val="Heading1"/>
        <w:rPr>
          <w:lang w:val="es-ES"/>
        </w:rPr>
      </w:pPr>
      <w:r w:rsidRPr="00F74BAA">
        <w:rPr>
          <w:lang w:val="es-ES"/>
        </w:rPr>
        <w:t>1</w:t>
      </w:r>
      <w:r w:rsidRPr="00F74BAA">
        <w:rPr>
          <w:lang w:val="es-ES"/>
        </w:rPr>
        <w:tab/>
        <w:t>Fechas propuestas para las reuniones de 2022, 2023, 2024, 2025 y 2026 del Consejo de la UIT</w:t>
      </w:r>
    </w:p>
    <w:p w14:paraId="3807CE9F" w14:textId="77777777" w:rsidR="00D7465F" w:rsidRPr="00D7465F" w:rsidRDefault="00D7465F" w:rsidP="00D7465F">
      <w:pPr>
        <w:rPr>
          <w:lang w:val="es-ES"/>
        </w:rPr>
      </w:pPr>
      <w:r w:rsidRPr="00D7465F">
        <w:rPr>
          <w:lang w:val="es-ES"/>
        </w:rPr>
        <w:t>Se propone refrendar las fechas de las próximas reuniones del Consejo con arreglo al Acuerdo 620:</w:t>
      </w:r>
    </w:p>
    <w:p w14:paraId="1E8E8015" w14:textId="4D939B31" w:rsidR="00D7465F" w:rsidRPr="00CC69A2" w:rsidRDefault="00D7465F" w:rsidP="00D7465F">
      <w:pPr>
        <w:pStyle w:val="enumlev1"/>
        <w:rPr>
          <w:bCs/>
          <w:lang w:val="es-ES"/>
        </w:rPr>
      </w:pPr>
      <w:r w:rsidRPr="00D7465F">
        <w:rPr>
          <w:lang w:val="es-ES"/>
        </w:rPr>
        <w:t>–</w:t>
      </w:r>
      <w:r w:rsidRPr="00D7465F">
        <w:rPr>
          <w:lang w:val="es-ES"/>
        </w:rPr>
        <w:tab/>
        <w:t xml:space="preserve">Consejo-22: </w:t>
      </w:r>
      <w:r w:rsidRPr="005B25FA">
        <w:rPr>
          <w:b/>
          <w:bCs/>
          <w:lang w:val="es-ES"/>
        </w:rPr>
        <w:t xml:space="preserve">del </w:t>
      </w:r>
      <w:r w:rsidRPr="00D7465F">
        <w:rPr>
          <w:b/>
          <w:lang w:val="es-ES"/>
        </w:rPr>
        <w:t xml:space="preserve">martes 22 de marzo </w:t>
      </w:r>
      <w:r w:rsidRPr="00F74BAA">
        <w:rPr>
          <w:b/>
          <w:lang w:val="es-ES"/>
        </w:rPr>
        <w:t xml:space="preserve">al </w:t>
      </w:r>
      <w:r w:rsidRPr="00D7465F">
        <w:rPr>
          <w:b/>
          <w:lang w:val="es-ES"/>
        </w:rPr>
        <w:t>viernes 1 de abril de 2022</w:t>
      </w:r>
      <w:r w:rsidRPr="00D7465F">
        <w:rPr>
          <w:lang w:val="es-ES"/>
        </w:rPr>
        <w:t xml:space="preserve"> y que celebre su reunión final el </w:t>
      </w:r>
      <w:r w:rsidRPr="00D7465F">
        <w:rPr>
          <w:b/>
          <w:lang w:val="es-ES"/>
        </w:rPr>
        <w:t>sábado 24 de septiembre</w:t>
      </w:r>
      <w:r w:rsidRPr="00D7465F">
        <w:rPr>
          <w:lang w:val="es-ES"/>
        </w:rPr>
        <w:t>, antes del inicio de la Conferencia de Plenipotenciarios de</w:t>
      </w:r>
      <w:r>
        <w:rPr>
          <w:lang w:val="es-ES"/>
        </w:rPr>
        <w:t> </w:t>
      </w:r>
      <w:r w:rsidRPr="00D7465F">
        <w:rPr>
          <w:lang w:val="es-ES"/>
        </w:rPr>
        <w:t>2022</w:t>
      </w:r>
      <w:r w:rsidRPr="00D7465F">
        <w:t>.</w:t>
      </w:r>
    </w:p>
    <w:p w14:paraId="5BD462B2" w14:textId="77777777" w:rsidR="00D7465F" w:rsidRPr="00D7465F" w:rsidRDefault="00D7465F" w:rsidP="00D7465F">
      <w:pPr>
        <w:pStyle w:val="enumlev1"/>
        <w:rPr>
          <w:lang w:val="es-ES"/>
        </w:rPr>
      </w:pPr>
      <w:r w:rsidRPr="00D7465F">
        <w:rPr>
          <w:lang w:val="es-ES"/>
        </w:rPr>
        <w:t>–</w:t>
      </w:r>
      <w:r w:rsidRPr="00D7465F">
        <w:rPr>
          <w:lang w:val="es-ES"/>
        </w:rPr>
        <w:tab/>
        <w:t xml:space="preserve">Consejo-23: </w:t>
      </w:r>
      <w:r w:rsidRPr="00F74BAA">
        <w:rPr>
          <w:b/>
          <w:bCs/>
          <w:lang w:val="es-ES"/>
        </w:rPr>
        <w:t>del martes 11 de julio al viernes 21 de julio de 2023</w:t>
      </w:r>
      <w:r w:rsidRPr="00D7465F">
        <w:rPr>
          <w:lang w:val="es-ES"/>
        </w:rPr>
        <w:t>.</w:t>
      </w:r>
    </w:p>
    <w:p w14:paraId="7DDB21EC" w14:textId="77777777" w:rsidR="00D7465F" w:rsidRPr="00D7465F" w:rsidRDefault="00D7465F" w:rsidP="00D7465F">
      <w:pPr>
        <w:pStyle w:val="enumlev1"/>
        <w:rPr>
          <w:lang w:val="es-ES"/>
        </w:rPr>
      </w:pPr>
      <w:r w:rsidRPr="00D7465F">
        <w:rPr>
          <w:lang w:val="es-ES"/>
        </w:rPr>
        <w:t>–</w:t>
      </w:r>
      <w:r w:rsidRPr="00D7465F">
        <w:rPr>
          <w:lang w:val="es-ES"/>
        </w:rPr>
        <w:tab/>
        <w:t xml:space="preserve">Consejo-24: </w:t>
      </w:r>
      <w:r w:rsidRPr="00F74BAA">
        <w:rPr>
          <w:b/>
          <w:bCs/>
          <w:lang w:val="es-ES"/>
        </w:rPr>
        <w:t>del martes 9 de julio al viernes 19 de julio de 2024</w:t>
      </w:r>
      <w:r w:rsidRPr="00D7465F">
        <w:rPr>
          <w:lang w:val="es-ES"/>
        </w:rPr>
        <w:t>.</w:t>
      </w:r>
    </w:p>
    <w:p w14:paraId="5AB16414" w14:textId="77777777" w:rsidR="00D7465F" w:rsidRPr="00D7465F" w:rsidRDefault="00D7465F" w:rsidP="00D7465F">
      <w:pPr>
        <w:pStyle w:val="enumlev1"/>
        <w:rPr>
          <w:lang w:val="es-ES"/>
        </w:rPr>
      </w:pPr>
      <w:r w:rsidRPr="00D7465F">
        <w:rPr>
          <w:lang w:val="es-ES"/>
        </w:rPr>
        <w:t>–</w:t>
      </w:r>
      <w:r w:rsidRPr="00D7465F">
        <w:rPr>
          <w:lang w:val="es-ES"/>
        </w:rPr>
        <w:tab/>
        <w:t xml:space="preserve">Consejo-25: </w:t>
      </w:r>
      <w:r w:rsidRPr="00F74BAA">
        <w:rPr>
          <w:b/>
          <w:bCs/>
          <w:lang w:val="es-ES"/>
        </w:rPr>
        <w:t>del martes 1 de julio al viernes 11 de julio de 2025</w:t>
      </w:r>
      <w:r w:rsidRPr="00D7465F">
        <w:rPr>
          <w:lang w:val="es-ES"/>
        </w:rPr>
        <w:t>.</w:t>
      </w:r>
    </w:p>
    <w:p w14:paraId="62592B28" w14:textId="77777777" w:rsidR="00D7465F" w:rsidRPr="00D7465F" w:rsidRDefault="00D7465F" w:rsidP="00D7465F">
      <w:pPr>
        <w:pStyle w:val="enumlev1"/>
        <w:rPr>
          <w:lang w:val="es-ES"/>
        </w:rPr>
      </w:pPr>
      <w:r w:rsidRPr="00D7465F">
        <w:rPr>
          <w:lang w:val="es-ES"/>
        </w:rPr>
        <w:t>–</w:t>
      </w:r>
      <w:r w:rsidRPr="00D7465F">
        <w:rPr>
          <w:lang w:val="es-ES"/>
        </w:rPr>
        <w:tab/>
        <w:t xml:space="preserve">Consejo-26: </w:t>
      </w:r>
      <w:r w:rsidRPr="00F74BAA">
        <w:rPr>
          <w:b/>
          <w:bCs/>
          <w:lang w:val="es-ES"/>
        </w:rPr>
        <w:t>del lunes 4 de mayo al jueves 14 de mayo de 2026</w:t>
      </w:r>
      <w:r w:rsidRPr="00D7465F">
        <w:rPr>
          <w:lang w:val="es-ES"/>
        </w:rPr>
        <w:t>.</w:t>
      </w:r>
    </w:p>
    <w:p w14:paraId="11D979D9" w14:textId="77777777" w:rsidR="00D7465F" w:rsidRPr="00D7465F" w:rsidRDefault="00D7465F" w:rsidP="00D7465F">
      <w:pPr>
        <w:pStyle w:val="Heading1"/>
        <w:rPr>
          <w:lang w:val="es-ES"/>
        </w:rPr>
      </w:pPr>
      <w:r w:rsidRPr="00D7465F">
        <w:rPr>
          <w:lang w:val="es-ES"/>
        </w:rPr>
        <w:t>2</w:t>
      </w:r>
      <w:r w:rsidRPr="00D7465F">
        <w:rPr>
          <w:lang w:val="es-ES"/>
        </w:rPr>
        <w:tab/>
        <w:t>Series de reuniones agrupadas de Grupos de Trabajo y Grupos de Expertos del Consejo en 2022, 2023 y 2024</w:t>
      </w:r>
    </w:p>
    <w:p w14:paraId="5F2424EA" w14:textId="25075AA5" w:rsidR="00D7465F" w:rsidRPr="00D7465F" w:rsidRDefault="00F74BAA" w:rsidP="00D7465F">
      <w:pPr>
        <w:rPr>
          <w:lang w:val="es-ES"/>
        </w:rPr>
      </w:pPr>
      <w:r>
        <w:rPr>
          <w:lang w:val="es-ES"/>
        </w:rPr>
        <w:t>2</w:t>
      </w:r>
      <w:r w:rsidR="00D7465F" w:rsidRPr="00D7465F">
        <w:rPr>
          <w:lang w:val="es-ES"/>
        </w:rPr>
        <w:t>.1</w:t>
      </w:r>
      <w:r w:rsidR="00D7465F" w:rsidRPr="00D7465F">
        <w:rPr>
          <w:lang w:val="es-ES"/>
        </w:rPr>
        <w:tab/>
        <w:t>Las series de reuniones agrupadas de Grupos de Trabajo y Grupos de Expertos (GTC y GE) del Consejo suelen organizarse en el primer y tercer trimestre del año, haciendo una excepción para los años de Conferencia de Plenipotenciarios (PP), en que se planifican una sola vez al comienzo del año.</w:t>
      </w:r>
    </w:p>
    <w:p w14:paraId="08A90FDC" w14:textId="4E688543" w:rsidR="00D7465F" w:rsidRPr="00D7465F" w:rsidRDefault="00F74BAA" w:rsidP="00D7465F">
      <w:pPr>
        <w:rPr>
          <w:lang w:val="es-ES"/>
        </w:rPr>
      </w:pPr>
      <w:r>
        <w:rPr>
          <w:lang w:val="es-ES"/>
        </w:rPr>
        <w:lastRenderedPageBreak/>
        <w:t>2</w:t>
      </w:r>
      <w:r w:rsidR="00D7465F" w:rsidRPr="00D7465F">
        <w:rPr>
          <w:lang w:val="es-ES"/>
        </w:rPr>
        <w:t>.2</w:t>
      </w:r>
      <w:r w:rsidR="00D7465F" w:rsidRPr="00D7465F">
        <w:rPr>
          <w:lang w:val="es-ES"/>
        </w:rPr>
        <w:tab/>
        <w:t xml:space="preserve">Con el fin de evitar, siempre que sea posible, el solapamiento con otras reuniones de la Unión, se propone que el Consejo acuerde ya las fechas de las </w:t>
      </w:r>
      <w:bookmarkStart w:id="11" w:name="_Hlk40865543"/>
      <w:r w:rsidR="00D7465F" w:rsidRPr="00D7465F">
        <w:rPr>
          <w:lang w:val="es-ES"/>
        </w:rPr>
        <w:t xml:space="preserve">series de </w:t>
      </w:r>
      <w:bookmarkEnd w:id="11"/>
      <w:r w:rsidR="00D7465F" w:rsidRPr="00D7465F">
        <w:rPr>
          <w:lang w:val="es-ES"/>
        </w:rPr>
        <w:t>reuniones agrupadas de los GTC y GE para 2022, 2023 y 2024.</w:t>
      </w:r>
    </w:p>
    <w:p w14:paraId="58D21F25" w14:textId="1C0FBD23" w:rsidR="00D7465F" w:rsidRPr="00D7465F" w:rsidRDefault="00F74BAA" w:rsidP="00D7465F">
      <w:pPr>
        <w:rPr>
          <w:lang w:val="es-ES"/>
        </w:rPr>
      </w:pPr>
      <w:r>
        <w:rPr>
          <w:lang w:val="es-ES"/>
        </w:rPr>
        <w:t>2</w:t>
      </w:r>
      <w:r w:rsidR="00D7465F" w:rsidRPr="00D7465F">
        <w:rPr>
          <w:lang w:val="es-ES"/>
        </w:rPr>
        <w:t>.</w:t>
      </w:r>
      <w:r>
        <w:rPr>
          <w:lang w:val="es-ES"/>
        </w:rPr>
        <w:t>3</w:t>
      </w:r>
      <w:r w:rsidR="00D7465F" w:rsidRPr="00D7465F">
        <w:rPr>
          <w:lang w:val="es-ES"/>
        </w:rPr>
        <w:tab/>
        <w:t>Como a partir de 2023, considerando el Acuerdo 619</w:t>
      </w:r>
      <w:r>
        <w:rPr>
          <w:lang w:val="es-ES"/>
        </w:rPr>
        <w:t xml:space="preserve"> </w:t>
      </w:r>
      <w:r w:rsidRPr="005B25FA">
        <w:rPr>
          <w:lang w:val="es-ES"/>
        </w:rPr>
        <w:t>del Consejo</w:t>
      </w:r>
      <w:r w:rsidR="00D7465F" w:rsidRPr="00D7465F">
        <w:rPr>
          <w:lang w:val="es-ES"/>
        </w:rPr>
        <w:t xml:space="preserve"> relativo a la fase de demolición y la primera fase de construcción del proyecto de nueva Sede, se han reservado las salas adecuadas en el CICG para 2023 y 2024.</w:t>
      </w:r>
    </w:p>
    <w:p w14:paraId="1001BF70" w14:textId="22D79BF1" w:rsidR="00D7465F" w:rsidRPr="00D7465F" w:rsidRDefault="00D7465F" w:rsidP="00D7465F">
      <w:pPr>
        <w:rPr>
          <w:lang w:val="es-ES"/>
        </w:rPr>
      </w:pPr>
      <w:r w:rsidRPr="00D7465F">
        <w:rPr>
          <w:lang w:val="es-ES"/>
        </w:rPr>
        <w:t>Se proponen las siguientes fechas:</w:t>
      </w:r>
    </w:p>
    <w:p w14:paraId="2E19DBDE" w14:textId="77777777" w:rsidR="00D7465F" w:rsidRPr="00D7465F" w:rsidRDefault="00D7465F" w:rsidP="00C73072">
      <w:pPr>
        <w:rPr>
          <w:lang w:val="es-ES"/>
        </w:rPr>
      </w:pPr>
      <w:r w:rsidRPr="00C73072">
        <w:rPr>
          <w:u w:val="single"/>
          <w:lang w:val="es-ES"/>
        </w:rPr>
        <w:t>En 2022</w:t>
      </w:r>
      <w:r w:rsidRPr="00F74BAA">
        <w:rPr>
          <w:lang w:val="es-ES"/>
        </w:rPr>
        <w:t xml:space="preserve"> (normalmente, en la Sede de la UIT)</w:t>
      </w:r>
      <w:r w:rsidRPr="00D7465F">
        <w:rPr>
          <w:lang w:val="es-ES"/>
        </w:rPr>
        <w:t>:</w:t>
      </w:r>
    </w:p>
    <w:p w14:paraId="3114A59F" w14:textId="77777777" w:rsidR="00D7465F" w:rsidRPr="00D7465F" w:rsidRDefault="00D7465F" w:rsidP="00D7465F">
      <w:pPr>
        <w:pStyle w:val="enumlev1"/>
        <w:rPr>
          <w:lang w:val="es-ES"/>
        </w:rPr>
      </w:pPr>
      <w:r w:rsidRPr="00D7465F">
        <w:rPr>
          <w:lang w:val="es-ES"/>
        </w:rPr>
        <w:t>–</w:t>
      </w:r>
      <w:r w:rsidRPr="00D7465F">
        <w:rPr>
          <w:lang w:val="es-ES"/>
        </w:rPr>
        <w:tab/>
        <w:t xml:space="preserve">Única serie de reuniones de GTC y GE: </w:t>
      </w:r>
      <w:bookmarkStart w:id="12" w:name="_Hlk38969206"/>
      <w:r w:rsidRPr="00D7465F">
        <w:rPr>
          <w:b/>
          <w:bCs/>
          <w:lang w:val="es-ES"/>
        </w:rPr>
        <w:t>del lunes 10 de enero al viernes 21 de enero de 2022</w:t>
      </w:r>
      <w:bookmarkEnd w:id="12"/>
      <w:r w:rsidRPr="00D7465F">
        <w:rPr>
          <w:lang w:val="es-ES"/>
        </w:rPr>
        <w:t>.</w:t>
      </w:r>
    </w:p>
    <w:p w14:paraId="002293AA" w14:textId="77777777" w:rsidR="00D7465F" w:rsidRPr="00D7465F" w:rsidRDefault="00D7465F" w:rsidP="00C73072">
      <w:pPr>
        <w:rPr>
          <w:lang w:val="es-ES"/>
        </w:rPr>
      </w:pPr>
      <w:r w:rsidRPr="00C73072">
        <w:rPr>
          <w:u w:val="single"/>
          <w:lang w:val="es-ES"/>
        </w:rPr>
        <w:t>En 2023</w:t>
      </w:r>
      <w:r w:rsidRPr="00F74BAA">
        <w:rPr>
          <w:lang w:val="es-ES"/>
        </w:rPr>
        <w:t xml:space="preserve"> (en el CICG)</w:t>
      </w:r>
      <w:r w:rsidRPr="00D7465F">
        <w:rPr>
          <w:lang w:val="es-ES"/>
        </w:rPr>
        <w:t>:</w:t>
      </w:r>
    </w:p>
    <w:p w14:paraId="49879E80" w14:textId="6BFFB640" w:rsidR="00D7465F" w:rsidRPr="00D7465F" w:rsidRDefault="00D7465F" w:rsidP="00C73072">
      <w:pPr>
        <w:pStyle w:val="enumlev1"/>
        <w:rPr>
          <w:lang w:val="es-ES"/>
        </w:rPr>
      </w:pPr>
      <w:r w:rsidRPr="00D7465F">
        <w:rPr>
          <w:lang w:val="es-ES"/>
        </w:rPr>
        <w:t>–</w:t>
      </w:r>
      <w:r w:rsidRPr="00D7465F">
        <w:rPr>
          <w:lang w:val="es-ES"/>
        </w:rPr>
        <w:tab/>
        <w:t xml:space="preserve">Primera serie de reuniones de GTC y GE: </w:t>
      </w:r>
      <w:r w:rsidRPr="00C73072">
        <w:rPr>
          <w:b/>
          <w:bCs/>
          <w:lang w:val="es-ES"/>
        </w:rPr>
        <w:t>del lunes 6 de febrero al viernes 17 de febrero de</w:t>
      </w:r>
      <w:r w:rsidR="00F74BAA">
        <w:rPr>
          <w:b/>
          <w:bCs/>
          <w:lang w:val="es-ES"/>
        </w:rPr>
        <w:t> </w:t>
      </w:r>
      <w:r w:rsidRPr="00C73072">
        <w:rPr>
          <w:b/>
          <w:bCs/>
          <w:lang w:val="es-ES"/>
        </w:rPr>
        <w:t>2023</w:t>
      </w:r>
      <w:r w:rsidRPr="00D7465F">
        <w:rPr>
          <w:lang w:val="es-ES"/>
        </w:rPr>
        <w:t>.</w:t>
      </w:r>
    </w:p>
    <w:p w14:paraId="72D861C0" w14:textId="77777777" w:rsidR="00D7465F" w:rsidRPr="00D7465F" w:rsidRDefault="00D7465F" w:rsidP="00C73072">
      <w:pPr>
        <w:pStyle w:val="enumlev1"/>
        <w:rPr>
          <w:lang w:val="es-ES"/>
        </w:rPr>
      </w:pPr>
      <w:r w:rsidRPr="00D7465F">
        <w:rPr>
          <w:lang w:val="es-ES"/>
        </w:rPr>
        <w:t>–</w:t>
      </w:r>
      <w:r w:rsidRPr="00D7465F">
        <w:rPr>
          <w:lang w:val="es-ES"/>
        </w:rPr>
        <w:tab/>
        <w:t xml:space="preserve">Segunda serie de reuniones de GTC y GE: </w:t>
      </w:r>
      <w:r w:rsidRPr="00C73072">
        <w:rPr>
          <w:b/>
          <w:bCs/>
          <w:lang w:val="es-ES"/>
        </w:rPr>
        <w:t>del lunes 18 de septiembre al viernes 29 de septiembre de 2023</w:t>
      </w:r>
      <w:r w:rsidRPr="00D7465F">
        <w:rPr>
          <w:lang w:val="es-ES"/>
        </w:rPr>
        <w:t>.</w:t>
      </w:r>
    </w:p>
    <w:p w14:paraId="722AF563" w14:textId="77777777" w:rsidR="00D7465F" w:rsidRPr="00D7465F" w:rsidRDefault="00D7465F" w:rsidP="00C73072">
      <w:pPr>
        <w:rPr>
          <w:lang w:val="es-ES"/>
        </w:rPr>
      </w:pPr>
      <w:r w:rsidRPr="00C73072">
        <w:rPr>
          <w:u w:val="single"/>
          <w:lang w:val="es-ES"/>
        </w:rPr>
        <w:t>En 2024</w:t>
      </w:r>
      <w:r w:rsidRPr="00F74BAA">
        <w:rPr>
          <w:lang w:val="es-ES"/>
        </w:rPr>
        <w:t xml:space="preserve"> (en el CICG)</w:t>
      </w:r>
      <w:r w:rsidRPr="00D7465F">
        <w:rPr>
          <w:lang w:val="es-ES"/>
        </w:rPr>
        <w:t>:</w:t>
      </w:r>
    </w:p>
    <w:p w14:paraId="7514D3DE" w14:textId="2AB3228B" w:rsidR="00D7465F" w:rsidRPr="00D7465F" w:rsidRDefault="00D7465F" w:rsidP="00C73072">
      <w:pPr>
        <w:pStyle w:val="enumlev1"/>
        <w:rPr>
          <w:lang w:val="es-ES"/>
        </w:rPr>
      </w:pPr>
      <w:r w:rsidRPr="00D7465F">
        <w:rPr>
          <w:lang w:val="es-ES"/>
        </w:rPr>
        <w:t>–</w:t>
      </w:r>
      <w:r w:rsidRPr="00D7465F">
        <w:rPr>
          <w:lang w:val="es-ES"/>
        </w:rPr>
        <w:tab/>
        <w:t xml:space="preserve">Primera serie de reuniones de GTC y GE: </w:t>
      </w:r>
      <w:r w:rsidRPr="00C73072">
        <w:rPr>
          <w:b/>
          <w:bCs/>
          <w:lang w:val="es-ES"/>
        </w:rPr>
        <w:t>del lunes 19 de febrero al viernes 1 de marzo de</w:t>
      </w:r>
      <w:r w:rsidR="00F74BAA">
        <w:rPr>
          <w:b/>
          <w:bCs/>
          <w:lang w:val="es-ES"/>
        </w:rPr>
        <w:t> </w:t>
      </w:r>
      <w:r w:rsidRPr="00C73072">
        <w:rPr>
          <w:b/>
          <w:bCs/>
          <w:lang w:val="es-ES"/>
        </w:rPr>
        <w:t>2024</w:t>
      </w:r>
      <w:r w:rsidRPr="00D7465F">
        <w:rPr>
          <w:lang w:val="es-ES"/>
        </w:rPr>
        <w:t>.</w:t>
      </w:r>
    </w:p>
    <w:p w14:paraId="3B10E40F" w14:textId="77777777" w:rsidR="00D7465F" w:rsidRPr="00D7465F" w:rsidRDefault="00D7465F" w:rsidP="00C73072">
      <w:pPr>
        <w:pStyle w:val="enumlev1"/>
        <w:rPr>
          <w:lang w:val="es-ES"/>
        </w:rPr>
      </w:pPr>
      <w:r w:rsidRPr="00D7465F">
        <w:rPr>
          <w:lang w:val="es-ES"/>
        </w:rPr>
        <w:t>–</w:t>
      </w:r>
      <w:r w:rsidRPr="00D7465F">
        <w:rPr>
          <w:lang w:val="es-ES"/>
        </w:rPr>
        <w:tab/>
        <w:t xml:space="preserve">Segunda serie de reuniones de GTC y GE: </w:t>
      </w:r>
      <w:r w:rsidRPr="00C73072">
        <w:rPr>
          <w:b/>
          <w:bCs/>
          <w:lang w:val="es-ES"/>
        </w:rPr>
        <w:t>del lunes 30 de septiembre al viernes 11 de octubre de 2024</w:t>
      </w:r>
      <w:r w:rsidRPr="00D7465F">
        <w:rPr>
          <w:lang w:val="es-ES"/>
        </w:rPr>
        <w:t>.</w:t>
      </w:r>
    </w:p>
    <w:p w14:paraId="0706C231" w14:textId="77777777" w:rsidR="00C73072" w:rsidRDefault="00D7465F" w:rsidP="009330D0">
      <w:pPr>
        <w:spacing w:before="1080"/>
        <w:rPr>
          <w:lang w:val="es-ES"/>
        </w:rPr>
      </w:pPr>
      <w:r w:rsidRPr="00C73072">
        <w:rPr>
          <w:b/>
          <w:bCs/>
          <w:lang w:val="es-ES"/>
        </w:rPr>
        <w:t>Anexo</w:t>
      </w:r>
      <w:r w:rsidRPr="00D7465F">
        <w:rPr>
          <w:lang w:val="es-ES"/>
        </w:rPr>
        <w:t>: 1</w:t>
      </w:r>
    </w:p>
    <w:p w14:paraId="523E6380" w14:textId="38AE051C" w:rsidR="00D7465F" w:rsidRPr="00D7465F" w:rsidRDefault="00D7465F" w:rsidP="00C73072">
      <w:pPr>
        <w:rPr>
          <w:lang w:val="es-ES"/>
        </w:rPr>
      </w:pPr>
      <w:r w:rsidRPr="00D7465F">
        <w:rPr>
          <w:lang w:val="es-ES"/>
        </w:rPr>
        <w:br w:type="page"/>
      </w:r>
    </w:p>
    <w:p w14:paraId="3E7C0EED" w14:textId="2C36F918" w:rsidR="00D7465F" w:rsidRPr="00D7465F" w:rsidRDefault="00D7465F" w:rsidP="00C73072">
      <w:pPr>
        <w:pStyle w:val="AnnexNo"/>
        <w:rPr>
          <w:lang w:val="es-ES"/>
        </w:rPr>
      </w:pPr>
      <w:bookmarkStart w:id="13" w:name="_Hlk37226918"/>
      <w:r w:rsidRPr="00D7465F">
        <w:rPr>
          <w:lang w:val="es-ES"/>
        </w:rPr>
        <w:lastRenderedPageBreak/>
        <w:t>Anex</w:t>
      </w:r>
      <w:r>
        <w:rPr>
          <w:lang w:val="es-ES"/>
        </w:rPr>
        <w:t>o</w:t>
      </w:r>
    </w:p>
    <w:p w14:paraId="38556361" w14:textId="0BCFBCFC" w:rsidR="00D7465F" w:rsidRPr="00D7465F" w:rsidRDefault="00D7465F" w:rsidP="00C373D6">
      <w:pPr>
        <w:pStyle w:val="AnnexNo"/>
        <w:rPr>
          <w:lang w:val="es-ES"/>
        </w:rPr>
      </w:pPr>
      <w:r w:rsidRPr="00D7465F">
        <w:rPr>
          <w:lang w:val="es-ES"/>
        </w:rPr>
        <w:t>Proyecto de acuerdo [...]</w:t>
      </w:r>
    </w:p>
    <w:p w14:paraId="3ED24C71" w14:textId="77777777" w:rsidR="00D7465F" w:rsidRPr="00D7465F" w:rsidRDefault="00D7465F" w:rsidP="00C373D6">
      <w:pPr>
        <w:pStyle w:val="Annextitle"/>
        <w:rPr>
          <w:lang w:val="es-ES"/>
        </w:rPr>
      </w:pPr>
      <w:r w:rsidRPr="00D7465F">
        <w:rPr>
          <w:lang w:val="es-ES"/>
        </w:rPr>
        <w:t>Fechas y duración propuestas para las reuniones de 2022, 2023, 2024, 2025 y 2026 del Consejo y fechas propuestas para las series de reuniones</w:t>
      </w:r>
      <w:r w:rsidRPr="00D7465F">
        <w:rPr>
          <w:lang w:val="es-ES"/>
        </w:rPr>
        <w:br/>
        <w:t>agrupadas de los Grupos de Trabajo y Grupos de Expertos</w:t>
      </w:r>
      <w:r w:rsidRPr="00D7465F">
        <w:rPr>
          <w:lang w:val="es-ES"/>
        </w:rPr>
        <w:br/>
        <w:t>del Consejo para 2022, 2023 y 2024</w:t>
      </w:r>
    </w:p>
    <w:bookmarkEnd w:id="13"/>
    <w:p w14:paraId="24CB5A7A" w14:textId="77777777" w:rsidR="00D7465F" w:rsidRPr="00D7465F" w:rsidRDefault="00D7465F" w:rsidP="009330D0">
      <w:pPr>
        <w:pStyle w:val="Normalaftertitle"/>
        <w:rPr>
          <w:lang w:val="es-ES"/>
        </w:rPr>
      </w:pPr>
      <w:r w:rsidRPr="00D7465F">
        <w:rPr>
          <w:lang w:val="es-ES"/>
        </w:rPr>
        <w:t>El Consejo de la UIT,</w:t>
      </w:r>
    </w:p>
    <w:p w14:paraId="285AC27A" w14:textId="77777777" w:rsidR="00D7465F" w:rsidRPr="00D7465F" w:rsidRDefault="00D7465F" w:rsidP="00C73072">
      <w:pPr>
        <w:pStyle w:val="Call"/>
        <w:rPr>
          <w:lang w:val="es-ES"/>
        </w:rPr>
      </w:pPr>
      <w:r w:rsidRPr="00D7465F">
        <w:rPr>
          <w:lang w:val="es-ES"/>
        </w:rPr>
        <w:t>teniendo presente</w:t>
      </w:r>
    </w:p>
    <w:p w14:paraId="3CE39916" w14:textId="18D27D1B" w:rsidR="00D7465F" w:rsidRPr="00D7465F" w:rsidRDefault="00D7465F" w:rsidP="009330D0">
      <w:pPr>
        <w:rPr>
          <w:lang w:val="es-ES"/>
        </w:rPr>
      </w:pPr>
      <w:r w:rsidRPr="00D7465F">
        <w:rPr>
          <w:i/>
          <w:iCs/>
          <w:lang w:val="es-ES"/>
        </w:rPr>
        <w:t>a)</w:t>
      </w:r>
      <w:r w:rsidRPr="00D7465F">
        <w:rPr>
          <w:lang w:val="es-ES"/>
        </w:rPr>
        <w:tab/>
        <w:t xml:space="preserve">la Resolución 77 (Rev. Dubái, 2018) de la Conferencia de Plenipotenciarios, en la que se </w:t>
      </w:r>
      <w:r w:rsidRPr="00D7465F">
        <w:rPr>
          <w:i/>
          <w:iCs/>
          <w:lang w:val="es-ES"/>
        </w:rPr>
        <w:t>encarga al Consejo</w:t>
      </w:r>
      <w:r w:rsidRPr="00D7465F">
        <w:rPr>
          <w:lang w:val="es-ES"/>
        </w:rPr>
        <w:t xml:space="preserve"> </w:t>
      </w:r>
      <w:r w:rsidR="0091465B">
        <w:rPr>
          <w:lang w:val="es-ES"/>
        </w:rPr>
        <w:t>"</w:t>
      </w:r>
      <w:r w:rsidRPr="00D7465F">
        <w:rPr>
          <w:lang w:val="es-ES"/>
        </w:rPr>
        <w:t>que, en cada reunión ordinaria, planifique sus próximas tres reuniones ordinarias para el periodo junio-julio y examine dicha planificación de manera continua</w:t>
      </w:r>
      <w:r w:rsidR="0091465B">
        <w:rPr>
          <w:lang w:val="es-ES"/>
        </w:rPr>
        <w:t>"</w:t>
      </w:r>
      <w:r w:rsidRPr="00D7465F">
        <w:rPr>
          <w:lang w:val="es-ES"/>
        </w:rPr>
        <w:t>;</w:t>
      </w:r>
    </w:p>
    <w:p w14:paraId="0274C7DF" w14:textId="1B4963CB" w:rsidR="00D7465F" w:rsidRPr="00D7465F" w:rsidRDefault="00D7465F" w:rsidP="009330D0">
      <w:pPr>
        <w:rPr>
          <w:lang w:val="es-ES"/>
        </w:rPr>
      </w:pPr>
      <w:r w:rsidRPr="00D7465F">
        <w:rPr>
          <w:i/>
          <w:iCs/>
          <w:lang w:val="es-ES"/>
        </w:rPr>
        <w:t>b)</w:t>
      </w:r>
      <w:r w:rsidRPr="00D7465F">
        <w:rPr>
          <w:i/>
          <w:iCs/>
          <w:lang w:val="es-ES"/>
        </w:rPr>
        <w:tab/>
      </w:r>
      <w:r w:rsidRPr="00D7465F">
        <w:rPr>
          <w:lang w:val="es-ES"/>
        </w:rPr>
        <w:t xml:space="preserve">la Resolución 111 (Rev. Busán, 2014) de la Conferencia de Plenipotenciarios, en la que se </w:t>
      </w:r>
      <w:r w:rsidRPr="00D7465F">
        <w:rPr>
          <w:i/>
          <w:iCs/>
          <w:lang w:val="es-ES"/>
        </w:rPr>
        <w:t>resuelve</w:t>
      </w:r>
      <w:r w:rsidRPr="00D7465F">
        <w:rPr>
          <w:lang w:val="es-ES"/>
        </w:rPr>
        <w:t xml:space="preserve"> </w:t>
      </w:r>
      <w:r w:rsidR="0091465B">
        <w:rPr>
          <w:lang w:val="es-ES"/>
        </w:rPr>
        <w:t>"</w:t>
      </w:r>
      <w:r w:rsidRPr="00D7465F">
        <w:rPr>
          <w:lang w:val="es-ES"/>
        </w:rPr>
        <w:t>que la Unión y los Estados Miembros del Consejo hagan, en la medida de lo posible, todo lo que esté en su mano para que las reuniones del Consejo de la UIT no coincidan con un periodo religioso importante para un Estado Miembro del Consejo</w:t>
      </w:r>
      <w:r w:rsidR="0091465B">
        <w:rPr>
          <w:lang w:val="es-ES"/>
        </w:rPr>
        <w:t>"</w:t>
      </w:r>
      <w:r w:rsidRPr="00D7465F">
        <w:rPr>
          <w:lang w:val="es-ES"/>
        </w:rPr>
        <w:t>;</w:t>
      </w:r>
    </w:p>
    <w:p w14:paraId="5524788C" w14:textId="77777777" w:rsidR="00D7465F" w:rsidRPr="00D7465F" w:rsidRDefault="00D7465F" w:rsidP="009330D0">
      <w:pPr>
        <w:rPr>
          <w:lang w:val="es-ES"/>
        </w:rPr>
      </w:pPr>
      <w:r w:rsidRPr="00D7465F">
        <w:rPr>
          <w:i/>
          <w:lang w:val="es-ES"/>
        </w:rPr>
        <w:t>c)</w:t>
      </w:r>
      <w:r w:rsidRPr="00D7465F">
        <w:rPr>
          <w:lang w:val="es-ES"/>
        </w:rPr>
        <w:tab/>
        <w:t>el Acuerdo 619 sobre el Edificio de la Sede adoptado en la reunión adicional del Consejo de 2019,</w:t>
      </w:r>
    </w:p>
    <w:p w14:paraId="73317816" w14:textId="77777777" w:rsidR="00D7465F" w:rsidRPr="00D7465F" w:rsidRDefault="00D7465F" w:rsidP="00C73072">
      <w:pPr>
        <w:pStyle w:val="Call"/>
        <w:rPr>
          <w:lang w:val="es-ES"/>
        </w:rPr>
      </w:pPr>
      <w:r w:rsidRPr="00D7465F">
        <w:rPr>
          <w:lang w:val="es-ES"/>
        </w:rPr>
        <w:t>recordando</w:t>
      </w:r>
    </w:p>
    <w:p w14:paraId="4BD8E40B" w14:textId="77777777" w:rsidR="00D7465F" w:rsidRPr="00D7465F" w:rsidRDefault="00D7465F" w:rsidP="009330D0">
      <w:pPr>
        <w:rPr>
          <w:lang w:val="es-ES"/>
        </w:rPr>
      </w:pPr>
      <w:r w:rsidRPr="00D7465F">
        <w:rPr>
          <w:lang w:val="es-ES"/>
        </w:rPr>
        <w:t>que en el Acuerdo 620 del Consejo se confirman las fechas y duración de las reuniones de 2022, 2023, 2024, 2025 y 2026 del Consejo, y de las series de reuniones agrupadas de los Grupos de Trabajo y Grupos de Expertos del Consejo para 2022,</w:t>
      </w:r>
    </w:p>
    <w:p w14:paraId="5AB1642B" w14:textId="77777777" w:rsidR="00D7465F" w:rsidRPr="00D7465F" w:rsidRDefault="00D7465F" w:rsidP="00C73072">
      <w:pPr>
        <w:pStyle w:val="Call"/>
        <w:rPr>
          <w:lang w:val="es-ES"/>
        </w:rPr>
      </w:pPr>
      <w:r w:rsidRPr="00D7465F">
        <w:rPr>
          <w:lang w:val="es-ES"/>
        </w:rPr>
        <w:t>considerando</w:t>
      </w:r>
    </w:p>
    <w:p w14:paraId="625CAE38" w14:textId="77777777" w:rsidR="00D7465F" w:rsidRPr="00D7465F" w:rsidRDefault="00D7465F" w:rsidP="009330D0">
      <w:pPr>
        <w:rPr>
          <w:lang w:val="es-ES"/>
        </w:rPr>
      </w:pPr>
      <w:r w:rsidRPr="00D7465F">
        <w:rPr>
          <w:lang w:val="es-ES"/>
        </w:rPr>
        <w:t>la necesidad de programar las reuniones ordinarias del Consejo, dentro de lo posible, en la misma época del año para facilitar la disposición de los demás eventos de la UIT,</w:t>
      </w:r>
    </w:p>
    <w:p w14:paraId="18948A11" w14:textId="77777777" w:rsidR="00D7465F" w:rsidRPr="00D7465F" w:rsidRDefault="00D7465F" w:rsidP="00C73072">
      <w:pPr>
        <w:pStyle w:val="Call"/>
        <w:rPr>
          <w:lang w:val="es-ES"/>
        </w:rPr>
      </w:pPr>
      <w:r w:rsidRPr="00D7465F">
        <w:rPr>
          <w:lang w:val="es-ES"/>
        </w:rPr>
        <w:t>considerando además</w:t>
      </w:r>
    </w:p>
    <w:p w14:paraId="15815AFC" w14:textId="3B91B4C9" w:rsidR="00D7465F" w:rsidRPr="00D7465F" w:rsidRDefault="00D7465F" w:rsidP="009330D0">
      <w:pPr>
        <w:rPr>
          <w:lang w:val="es-ES"/>
        </w:rPr>
      </w:pPr>
      <w:r w:rsidRPr="00D7465F">
        <w:rPr>
          <w:lang w:val="es-ES"/>
        </w:rPr>
        <w:t>la necesidad de organizar las reuniones ordinarias del Consejo del año en que se celebra una Conferencia de Plenipotenciarios lo suficientemente temprano, de manera que los informes del Consejo que hayan de seguir examinándose en la PP se publiquen en un plazo razonable,</w:t>
      </w:r>
    </w:p>
    <w:p w14:paraId="1E8C40DA" w14:textId="77777777" w:rsidR="00D7465F" w:rsidRPr="00D7465F" w:rsidRDefault="00D7465F" w:rsidP="00C73072">
      <w:pPr>
        <w:pStyle w:val="Call"/>
        <w:rPr>
          <w:lang w:val="es-ES"/>
        </w:rPr>
      </w:pPr>
      <w:r w:rsidRPr="00D7465F">
        <w:rPr>
          <w:lang w:val="es-ES"/>
        </w:rPr>
        <w:t>destacando</w:t>
      </w:r>
    </w:p>
    <w:p w14:paraId="05A0B3BB" w14:textId="77777777" w:rsidR="00D7465F" w:rsidRPr="00D7465F" w:rsidRDefault="00D7465F" w:rsidP="009330D0">
      <w:pPr>
        <w:rPr>
          <w:lang w:val="es-ES"/>
        </w:rPr>
      </w:pPr>
      <w:r w:rsidRPr="00D7465F">
        <w:rPr>
          <w:lang w:val="es-ES"/>
        </w:rPr>
        <w:t>que la programación de las series de reuniones agrupadas de Grupos de Trabajo y Grupos de Expertos del Consejo (GTC y GE) para los tres próximos años no sólo mejoraría la planificación global de los eventos de la UIT, sino que también reduciría el riesgo de solapamiento,</w:t>
      </w:r>
    </w:p>
    <w:p w14:paraId="011BB9D2" w14:textId="77777777" w:rsidR="00D7465F" w:rsidRPr="00D7465F" w:rsidRDefault="00D7465F" w:rsidP="00C73072">
      <w:pPr>
        <w:pStyle w:val="Call"/>
        <w:rPr>
          <w:lang w:val="es-ES"/>
        </w:rPr>
      </w:pPr>
      <w:r w:rsidRPr="00D7465F">
        <w:rPr>
          <w:lang w:val="es-ES"/>
        </w:rPr>
        <w:lastRenderedPageBreak/>
        <w:t>reconociendo</w:t>
      </w:r>
    </w:p>
    <w:p w14:paraId="1FB45933" w14:textId="77777777" w:rsidR="00D7465F" w:rsidRPr="00D7465F" w:rsidRDefault="00D7465F" w:rsidP="00C373D6">
      <w:pPr>
        <w:keepNext/>
        <w:keepLines/>
        <w:rPr>
          <w:lang w:val="es-ES"/>
        </w:rPr>
      </w:pPr>
      <w:r w:rsidRPr="00D7465F">
        <w:rPr>
          <w:lang w:val="es-ES"/>
        </w:rPr>
        <w:t>que es preciso responder a la necesidad de instalaciones temporales para conferencias y reuniones durante la fase de demolición y la primera fase de construcción del proyecto, elaborando para ello una lista de necesidades, con las fechas de las conferencias y reuniones durante este periodo,</w:t>
      </w:r>
    </w:p>
    <w:p w14:paraId="64CEBDF0" w14:textId="77777777" w:rsidR="00D7465F" w:rsidRPr="00D7465F" w:rsidRDefault="00D7465F" w:rsidP="00C73072">
      <w:pPr>
        <w:pStyle w:val="Call"/>
        <w:rPr>
          <w:lang w:val="es-ES"/>
        </w:rPr>
      </w:pPr>
      <w:bookmarkStart w:id="14" w:name="_Hlk70323209"/>
      <w:r w:rsidRPr="00D7465F">
        <w:rPr>
          <w:lang w:val="es-ES"/>
        </w:rPr>
        <w:t>acuerda</w:t>
      </w:r>
    </w:p>
    <w:p w14:paraId="6A597F4F" w14:textId="775933A9" w:rsidR="00D7465F" w:rsidRPr="00D7465F" w:rsidRDefault="00D7465F" w:rsidP="009330D0">
      <w:pPr>
        <w:rPr>
          <w:lang w:val="es-ES"/>
        </w:rPr>
      </w:pPr>
      <w:r w:rsidRPr="00D7465F">
        <w:rPr>
          <w:lang w:val="es-ES"/>
        </w:rPr>
        <w:t>1</w:t>
      </w:r>
      <w:r w:rsidRPr="00D7465F">
        <w:rPr>
          <w:lang w:val="es-ES"/>
        </w:rPr>
        <w:tab/>
        <w:t xml:space="preserve">que la reunión ordinaria del Consejo de 2022 se celebre en Ginebra durante un periodo de </w:t>
      </w:r>
      <w:r w:rsidR="00C373D6">
        <w:rPr>
          <w:lang w:val="es-ES"/>
        </w:rPr>
        <w:t>nueve</w:t>
      </w:r>
      <w:r w:rsidRPr="00D7465F">
        <w:rPr>
          <w:lang w:val="es-ES"/>
        </w:rPr>
        <w:t> días laborables, y que las series de reuniones agrupadas de los GTC y GE se celebren en las fechas siguientes:</w:t>
      </w:r>
    </w:p>
    <w:p w14:paraId="0675D710" w14:textId="604051CF" w:rsidR="00D7465F" w:rsidRPr="00D7465F" w:rsidRDefault="00D7465F" w:rsidP="009330D0">
      <w:pPr>
        <w:pStyle w:val="enumlev1"/>
        <w:rPr>
          <w:lang w:val="es-ES"/>
        </w:rPr>
      </w:pPr>
      <w:r w:rsidRPr="00D7465F">
        <w:rPr>
          <w:lang w:val="es-ES"/>
        </w:rPr>
        <w:t>–</w:t>
      </w:r>
      <w:r w:rsidRPr="00D7465F">
        <w:rPr>
          <w:lang w:val="es-ES"/>
        </w:rPr>
        <w:tab/>
      </w:r>
      <w:r w:rsidR="00C373D6">
        <w:rPr>
          <w:lang w:val="es-ES"/>
        </w:rPr>
        <w:t>s</w:t>
      </w:r>
      <w:r w:rsidRPr="00D7465F">
        <w:rPr>
          <w:lang w:val="es-ES"/>
        </w:rPr>
        <w:t xml:space="preserve">erie de </w:t>
      </w:r>
      <w:r w:rsidR="00653696">
        <w:rPr>
          <w:lang w:val="es-ES"/>
        </w:rPr>
        <w:t>reuniones</w:t>
      </w:r>
      <w:r w:rsidRPr="00D7465F">
        <w:rPr>
          <w:lang w:val="es-ES"/>
        </w:rPr>
        <w:t xml:space="preserve"> agrupadas de GTC y GE: del lunes 10 de enero al viernes 21 de enero de</w:t>
      </w:r>
      <w:r w:rsidR="00C373D6">
        <w:rPr>
          <w:lang w:val="es-ES"/>
        </w:rPr>
        <w:t> </w:t>
      </w:r>
      <w:r w:rsidRPr="00D7465F">
        <w:rPr>
          <w:lang w:val="es-ES"/>
        </w:rPr>
        <w:t>2022</w:t>
      </w:r>
      <w:r w:rsidR="00C373D6">
        <w:rPr>
          <w:lang w:val="es-ES"/>
        </w:rPr>
        <w:t>;</w:t>
      </w:r>
    </w:p>
    <w:p w14:paraId="71C840B9" w14:textId="0ECACC9A" w:rsidR="00D7465F" w:rsidRPr="00D7465F" w:rsidRDefault="00D7465F" w:rsidP="009330D0">
      <w:pPr>
        <w:pStyle w:val="enumlev1"/>
        <w:rPr>
          <w:lang w:val="es-ES"/>
        </w:rPr>
      </w:pPr>
      <w:r w:rsidRPr="00D7465F">
        <w:rPr>
          <w:lang w:val="es-ES"/>
        </w:rPr>
        <w:t>–</w:t>
      </w:r>
      <w:r w:rsidRPr="00D7465F">
        <w:rPr>
          <w:lang w:val="es-ES"/>
        </w:rPr>
        <w:tab/>
      </w:r>
      <w:r w:rsidRPr="00D7465F">
        <w:rPr>
          <w:b/>
          <w:bCs/>
          <w:lang w:val="es-ES"/>
        </w:rPr>
        <w:t>Consejo-22</w:t>
      </w:r>
      <w:r w:rsidRPr="00D7465F">
        <w:rPr>
          <w:lang w:val="es-ES"/>
        </w:rPr>
        <w:t xml:space="preserve">: </w:t>
      </w:r>
      <w:r w:rsidRPr="00D7465F">
        <w:rPr>
          <w:b/>
          <w:bCs/>
          <w:lang w:val="es-ES"/>
        </w:rPr>
        <w:t>del</w:t>
      </w:r>
      <w:r w:rsidRPr="00D7465F">
        <w:rPr>
          <w:lang w:val="es-ES"/>
        </w:rPr>
        <w:t xml:space="preserve"> </w:t>
      </w:r>
      <w:r w:rsidRPr="00D7465F">
        <w:rPr>
          <w:b/>
          <w:bCs/>
          <w:lang w:val="es-ES"/>
        </w:rPr>
        <w:t>martes 22 de marzo al viernes 1 de abril de 2022</w:t>
      </w:r>
      <w:r w:rsidRPr="00D7465F">
        <w:rPr>
          <w:lang w:val="es-ES"/>
        </w:rPr>
        <w:t xml:space="preserve"> y que celebre su reunión final el </w:t>
      </w:r>
      <w:r w:rsidRPr="00D7465F">
        <w:rPr>
          <w:b/>
          <w:lang w:val="es-ES"/>
        </w:rPr>
        <w:t>sábado 24 de septiembre de 2022</w:t>
      </w:r>
      <w:r w:rsidRPr="00D7465F">
        <w:rPr>
          <w:lang w:val="es-ES"/>
        </w:rPr>
        <w:t>, antes del inicio de la Conferencia de Plenipotenciarios de 2022</w:t>
      </w:r>
      <w:r w:rsidR="00C373D6">
        <w:rPr>
          <w:lang w:val="es-ES"/>
        </w:rPr>
        <w:t>;</w:t>
      </w:r>
    </w:p>
    <w:bookmarkEnd w:id="14"/>
    <w:p w14:paraId="2A67F717" w14:textId="40BAADD9" w:rsidR="00D7465F" w:rsidRPr="00D7465F" w:rsidRDefault="00D7465F" w:rsidP="009330D0">
      <w:pPr>
        <w:rPr>
          <w:lang w:val="es-ES"/>
        </w:rPr>
      </w:pPr>
      <w:r w:rsidRPr="00D7465F">
        <w:rPr>
          <w:lang w:val="es-ES"/>
        </w:rPr>
        <w:t>2</w:t>
      </w:r>
      <w:r w:rsidRPr="00D7465F">
        <w:rPr>
          <w:lang w:val="es-ES"/>
        </w:rPr>
        <w:tab/>
        <w:t xml:space="preserve">que la reunión de 2023 del Consejo se celebre en Ginebra durante un periodo de </w:t>
      </w:r>
      <w:r w:rsidR="001F3218">
        <w:rPr>
          <w:lang w:val="es-ES"/>
        </w:rPr>
        <w:t>nueve</w:t>
      </w:r>
      <w:r w:rsidRPr="00D7465F">
        <w:rPr>
          <w:lang w:val="es-ES"/>
        </w:rPr>
        <w:t> días laborables y que las series de reuniones agrupadas de los GTC y GE se celebren en las fechas siguientes:</w:t>
      </w:r>
    </w:p>
    <w:p w14:paraId="717EE6D3" w14:textId="0B706642" w:rsidR="00D7465F" w:rsidRPr="00D7465F" w:rsidRDefault="00D7465F" w:rsidP="009330D0">
      <w:pPr>
        <w:pStyle w:val="enumlev1"/>
        <w:rPr>
          <w:lang w:val="es-ES"/>
        </w:rPr>
      </w:pPr>
      <w:r w:rsidRPr="00D7465F">
        <w:rPr>
          <w:lang w:val="es-ES"/>
        </w:rPr>
        <w:t>–</w:t>
      </w:r>
      <w:r w:rsidRPr="00D7465F">
        <w:rPr>
          <w:lang w:val="es-ES"/>
        </w:rPr>
        <w:tab/>
      </w:r>
      <w:r w:rsidR="001F3218">
        <w:rPr>
          <w:lang w:val="es-ES"/>
        </w:rPr>
        <w:t>p</w:t>
      </w:r>
      <w:r w:rsidRPr="00D7465F">
        <w:rPr>
          <w:lang w:val="es-ES"/>
        </w:rPr>
        <w:t xml:space="preserve">rimera serie de </w:t>
      </w:r>
      <w:r w:rsidR="00653696">
        <w:rPr>
          <w:lang w:val="es-ES"/>
        </w:rPr>
        <w:t>reuniones</w:t>
      </w:r>
      <w:r w:rsidRPr="00D7465F">
        <w:rPr>
          <w:lang w:val="es-ES"/>
        </w:rPr>
        <w:t xml:space="preserve"> agrupadas de GTC y GE: del lunes 6 de febrero al viernes 17 de febrero de 2023</w:t>
      </w:r>
      <w:r w:rsidR="001F3218">
        <w:rPr>
          <w:lang w:val="es-ES"/>
        </w:rPr>
        <w:t>;</w:t>
      </w:r>
    </w:p>
    <w:p w14:paraId="2C6A12B5" w14:textId="11C8F9A4" w:rsidR="00D7465F" w:rsidRPr="00D7465F" w:rsidRDefault="00D7465F" w:rsidP="009330D0">
      <w:pPr>
        <w:pStyle w:val="enumlev1"/>
        <w:rPr>
          <w:lang w:val="es-ES"/>
        </w:rPr>
      </w:pPr>
      <w:r w:rsidRPr="00D7465F">
        <w:rPr>
          <w:lang w:val="es-ES"/>
        </w:rPr>
        <w:t>–</w:t>
      </w:r>
      <w:r w:rsidRPr="00D7465F">
        <w:rPr>
          <w:lang w:val="es-ES"/>
        </w:rPr>
        <w:tab/>
      </w:r>
      <w:r w:rsidRPr="009330D0">
        <w:rPr>
          <w:b/>
          <w:bCs/>
          <w:lang w:val="es-ES"/>
        </w:rPr>
        <w:t>Consejo-23: del martes 11 de julio al viernes 21 de julio de 2023</w:t>
      </w:r>
      <w:r w:rsidR="001F3218">
        <w:rPr>
          <w:lang w:val="es-ES"/>
        </w:rPr>
        <w:t>;</w:t>
      </w:r>
    </w:p>
    <w:p w14:paraId="7C5C6C83" w14:textId="250122DD" w:rsidR="00D7465F" w:rsidRPr="00D7465F" w:rsidRDefault="00D7465F" w:rsidP="009330D0">
      <w:pPr>
        <w:pStyle w:val="enumlev1"/>
        <w:rPr>
          <w:lang w:val="es-ES"/>
        </w:rPr>
      </w:pPr>
      <w:r w:rsidRPr="00D7465F">
        <w:rPr>
          <w:lang w:val="es-ES"/>
        </w:rPr>
        <w:t>–</w:t>
      </w:r>
      <w:r w:rsidRPr="00D7465F">
        <w:rPr>
          <w:lang w:val="es-ES"/>
        </w:rPr>
        <w:tab/>
      </w:r>
      <w:r w:rsidR="001F3218">
        <w:rPr>
          <w:lang w:val="es-ES"/>
        </w:rPr>
        <w:t>s</w:t>
      </w:r>
      <w:r w:rsidRPr="00D7465F">
        <w:rPr>
          <w:lang w:val="es-ES"/>
        </w:rPr>
        <w:t xml:space="preserve">egunda serie de </w:t>
      </w:r>
      <w:r w:rsidR="00653696">
        <w:rPr>
          <w:lang w:val="es-ES"/>
        </w:rPr>
        <w:t>reuniones</w:t>
      </w:r>
      <w:r w:rsidRPr="00D7465F">
        <w:rPr>
          <w:lang w:val="es-ES"/>
        </w:rPr>
        <w:t xml:space="preserve"> agrupadas de GTC y GE: del lunes 18 de septiembre al viernes 29 de septiembre de 2023</w:t>
      </w:r>
      <w:r w:rsidR="001F3218">
        <w:rPr>
          <w:lang w:val="es-ES"/>
        </w:rPr>
        <w:t>;</w:t>
      </w:r>
    </w:p>
    <w:p w14:paraId="00BBD7BA" w14:textId="2BFD1E00" w:rsidR="00D7465F" w:rsidRPr="00D7465F" w:rsidRDefault="00D7465F" w:rsidP="00C73072">
      <w:pPr>
        <w:rPr>
          <w:lang w:val="es-ES"/>
        </w:rPr>
      </w:pPr>
      <w:r w:rsidRPr="00D7465F">
        <w:rPr>
          <w:lang w:val="es-ES"/>
        </w:rPr>
        <w:t>3</w:t>
      </w:r>
      <w:r w:rsidRPr="00D7465F">
        <w:rPr>
          <w:lang w:val="es-ES"/>
        </w:rPr>
        <w:tab/>
        <w:t xml:space="preserve">que la reunión de 2024 del Consejo se celebre en Ginebra durante un periodo de </w:t>
      </w:r>
      <w:r w:rsidR="001F3218">
        <w:rPr>
          <w:lang w:val="es-ES"/>
        </w:rPr>
        <w:t>nueve</w:t>
      </w:r>
      <w:r w:rsidRPr="00D7465F">
        <w:rPr>
          <w:lang w:val="es-ES"/>
        </w:rPr>
        <w:t> días laborables y que las series de reuniones agrupadas de los GTC y GE se celebren en las fechas siguientes:</w:t>
      </w:r>
    </w:p>
    <w:p w14:paraId="414FB10B" w14:textId="50C751E4" w:rsidR="00D7465F" w:rsidRPr="00D7465F" w:rsidRDefault="00D7465F" w:rsidP="009330D0">
      <w:pPr>
        <w:pStyle w:val="enumlev1"/>
        <w:rPr>
          <w:lang w:val="es-ES"/>
        </w:rPr>
      </w:pPr>
      <w:r w:rsidRPr="00D7465F">
        <w:rPr>
          <w:lang w:val="es-ES"/>
        </w:rPr>
        <w:t>–</w:t>
      </w:r>
      <w:r w:rsidRPr="00D7465F">
        <w:rPr>
          <w:lang w:val="es-ES"/>
        </w:rPr>
        <w:tab/>
      </w:r>
      <w:r w:rsidR="001F3218">
        <w:rPr>
          <w:lang w:val="es-ES"/>
        </w:rPr>
        <w:t>p</w:t>
      </w:r>
      <w:r w:rsidRPr="00D7465F">
        <w:rPr>
          <w:lang w:val="es-ES"/>
        </w:rPr>
        <w:t xml:space="preserve">rimera serie de </w:t>
      </w:r>
      <w:r w:rsidR="00653696">
        <w:rPr>
          <w:lang w:val="es-ES"/>
        </w:rPr>
        <w:t>reuniones</w:t>
      </w:r>
      <w:r w:rsidRPr="00D7465F">
        <w:rPr>
          <w:lang w:val="es-ES"/>
        </w:rPr>
        <w:t xml:space="preserve"> agrupadas de GTC y GE: del lunes 19 de febrero al viernes 1 de marzo de 2024</w:t>
      </w:r>
      <w:r w:rsidR="001F3218">
        <w:rPr>
          <w:lang w:val="es-ES"/>
        </w:rPr>
        <w:t>;</w:t>
      </w:r>
    </w:p>
    <w:p w14:paraId="2947CEDC" w14:textId="1EE2D952" w:rsidR="00D7465F" w:rsidRPr="00D7465F" w:rsidRDefault="00D7465F" w:rsidP="009330D0">
      <w:pPr>
        <w:pStyle w:val="enumlev1"/>
        <w:rPr>
          <w:lang w:val="es-ES"/>
        </w:rPr>
      </w:pPr>
      <w:r w:rsidRPr="00D7465F">
        <w:rPr>
          <w:lang w:val="es-ES"/>
        </w:rPr>
        <w:t>–</w:t>
      </w:r>
      <w:r w:rsidRPr="00D7465F">
        <w:rPr>
          <w:lang w:val="es-ES"/>
        </w:rPr>
        <w:tab/>
      </w:r>
      <w:r w:rsidRPr="009330D0">
        <w:rPr>
          <w:b/>
          <w:bCs/>
          <w:lang w:val="es-ES"/>
        </w:rPr>
        <w:t>Consejo-24: del martes 9 de julio al viernes 19 de julio de 2024</w:t>
      </w:r>
      <w:r w:rsidR="001F3218">
        <w:rPr>
          <w:lang w:val="es-ES"/>
        </w:rPr>
        <w:t>;</w:t>
      </w:r>
    </w:p>
    <w:p w14:paraId="42D7A763" w14:textId="634FF658" w:rsidR="00D7465F" w:rsidRPr="00D7465F" w:rsidRDefault="00D7465F" w:rsidP="009330D0">
      <w:pPr>
        <w:pStyle w:val="enumlev1"/>
        <w:rPr>
          <w:lang w:val="es-ES"/>
        </w:rPr>
      </w:pPr>
      <w:r w:rsidRPr="00D7465F">
        <w:rPr>
          <w:lang w:val="es-ES"/>
        </w:rPr>
        <w:t>–</w:t>
      </w:r>
      <w:r w:rsidRPr="00D7465F">
        <w:rPr>
          <w:lang w:val="es-ES"/>
        </w:rPr>
        <w:tab/>
      </w:r>
      <w:r w:rsidR="001F3218">
        <w:rPr>
          <w:lang w:val="es-ES"/>
        </w:rPr>
        <w:t>s</w:t>
      </w:r>
      <w:r w:rsidRPr="00D7465F">
        <w:rPr>
          <w:lang w:val="es-ES"/>
        </w:rPr>
        <w:t xml:space="preserve">egunda serie de </w:t>
      </w:r>
      <w:r w:rsidR="00653696">
        <w:rPr>
          <w:lang w:val="es-ES"/>
        </w:rPr>
        <w:t>reuniones</w:t>
      </w:r>
      <w:r w:rsidRPr="00D7465F">
        <w:rPr>
          <w:lang w:val="es-ES"/>
        </w:rPr>
        <w:t xml:space="preserve"> agrupadas de GTC y GE: del lunes 30 de septiembre al viernes 11 de octubre de 2024</w:t>
      </w:r>
      <w:r w:rsidR="001F3218">
        <w:rPr>
          <w:lang w:val="es-ES"/>
        </w:rPr>
        <w:t>;</w:t>
      </w:r>
    </w:p>
    <w:p w14:paraId="663D5628" w14:textId="2C213DBD" w:rsidR="00D7465F" w:rsidRPr="00D7465F" w:rsidRDefault="00D7465F" w:rsidP="009330D0">
      <w:pPr>
        <w:rPr>
          <w:lang w:val="es-ES"/>
        </w:rPr>
      </w:pPr>
      <w:r w:rsidRPr="00D7465F">
        <w:rPr>
          <w:lang w:val="es-ES"/>
        </w:rPr>
        <w:t>4</w:t>
      </w:r>
      <w:r w:rsidRPr="00D7465F">
        <w:rPr>
          <w:lang w:val="es-ES"/>
        </w:rPr>
        <w:tab/>
        <w:t xml:space="preserve">que la reunión ordinaria del Consejo de 2025 se celebre en Ginebra durante un periodo de </w:t>
      </w:r>
      <w:r w:rsidR="0094027C">
        <w:rPr>
          <w:lang w:val="es-ES"/>
        </w:rPr>
        <w:t>nueve</w:t>
      </w:r>
      <w:r w:rsidRPr="00D7465F">
        <w:rPr>
          <w:lang w:val="es-ES"/>
        </w:rPr>
        <w:t> días laborables en las fechas siguientes:</w:t>
      </w:r>
    </w:p>
    <w:p w14:paraId="5A1F2A86" w14:textId="563E3918" w:rsidR="00D7465F" w:rsidRPr="00D7465F" w:rsidRDefault="00D7465F" w:rsidP="009330D0">
      <w:pPr>
        <w:pStyle w:val="enumlev1"/>
        <w:rPr>
          <w:lang w:val="es-ES"/>
        </w:rPr>
      </w:pPr>
      <w:r w:rsidRPr="00D7465F">
        <w:rPr>
          <w:lang w:val="es-ES"/>
        </w:rPr>
        <w:t>–</w:t>
      </w:r>
      <w:r w:rsidRPr="00D7465F">
        <w:rPr>
          <w:lang w:val="es-ES"/>
        </w:rPr>
        <w:tab/>
      </w:r>
      <w:r w:rsidRPr="009330D0">
        <w:rPr>
          <w:b/>
          <w:bCs/>
          <w:lang w:val="es-ES"/>
        </w:rPr>
        <w:t>Consejo-25: del martes 1 de julio al viernes 11 de julio de 2025</w:t>
      </w:r>
      <w:r w:rsidR="0094027C">
        <w:rPr>
          <w:lang w:val="es-ES"/>
        </w:rPr>
        <w:t>;</w:t>
      </w:r>
    </w:p>
    <w:p w14:paraId="78AF4964" w14:textId="2C7D7E74" w:rsidR="00D7465F" w:rsidRPr="00D7465F" w:rsidRDefault="00D7465F" w:rsidP="009330D0">
      <w:pPr>
        <w:rPr>
          <w:lang w:val="es-ES"/>
        </w:rPr>
      </w:pPr>
      <w:r w:rsidRPr="00D7465F">
        <w:rPr>
          <w:lang w:val="es-ES"/>
        </w:rPr>
        <w:t>5</w:t>
      </w:r>
      <w:r w:rsidRPr="00D7465F">
        <w:rPr>
          <w:lang w:val="es-ES"/>
        </w:rPr>
        <w:tab/>
        <w:t xml:space="preserve">que la reunión ordinaria del Consejo de 2026 se celebre en Ginebra durante un periodo de </w:t>
      </w:r>
      <w:r w:rsidR="0094027C">
        <w:rPr>
          <w:lang w:val="es-ES"/>
        </w:rPr>
        <w:t>nueve</w:t>
      </w:r>
      <w:r w:rsidRPr="00D7465F">
        <w:rPr>
          <w:lang w:val="es-ES"/>
        </w:rPr>
        <w:t> días laborables en las fechas siguientes:</w:t>
      </w:r>
    </w:p>
    <w:p w14:paraId="779F850D" w14:textId="77777777" w:rsidR="00D7465F" w:rsidRPr="00D7465F" w:rsidRDefault="00D7465F" w:rsidP="009330D0">
      <w:pPr>
        <w:pStyle w:val="enumlev1"/>
        <w:rPr>
          <w:lang w:val="es-ES"/>
        </w:rPr>
      </w:pPr>
      <w:r w:rsidRPr="00D7465F">
        <w:rPr>
          <w:lang w:val="es-ES"/>
        </w:rPr>
        <w:t>–</w:t>
      </w:r>
      <w:r w:rsidRPr="00D7465F">
        <w:rPr>
          <w:lang w:val="es-ES"/>
        </w:rPr>
        <w:tab/>
      </w:r>
      <w:r w:rsidRPr="009330D0">
        <w:rPr>
          <w:b/>
          <w:bCs/>
          <w:lang w:val="es-ES"/>
        </w:rPr>
        <w:t>Consejo-26: del lunes 4 de mayo al jueves 14 de mayo de 2026</w:t>
      </w:r>
      <w:r w:rsidRPr="00D7465F">
        <w:rPr>
          <w:lang w:val="es-ES"/>
        </w:rPr>
        <w:t>.</w:t>
      </w:r>
    </w:p>
    <w:p w14:paraId="0573C826" w14:textId="77777777" w:rsidR="00D7465F" w:rsidRDefault="00D7465F" w:rsidP="00D7465F">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3DC02A26" w14:textId="6F96C0EA" w:rsidR="00D7465F" w:rsidRPr="00D7465F" w:rsidRDefault="00D7465F" w:rsidP="00D7465F">
      <w:pPr>
        <w:tabs>
          <w:tab w:val="clear" w:pos="567"/>
          <w:tab w:val="clear" w:pos="1134"/>
          <w:tab w:val="clear" w:pos="1701"/>
          <w:tab w:val="clear" w:pos="2268"/>
          <w:tab w:val="clear" w:pos="2835"/>
        </w:tabs>
        <w:overflowPunct/>
        <w:autoSpaceDE/>
        <w:autoSpaceDN/>
        <w:adjustRightInd/>
        <w:spacing w:before="0"/>
        <w:jc w:val="center"/>
        <w:textAlignment w:val="auto"/>
        <w:rPr>
          <w:lang w:val="es-ES"/>
        </w:rPr>
      </w:pPr>
      <w:r w:rsidRPr="00D7465F">
        <w:rPr>
          <w:lang w:val="es-ES"/>
        </w:rPr>
        <w:t>______________</w:t>
      </w:r>
    </w:p>
    <w:sectPr w:rsidR="00D7465F" w:rsidRPr="00D7465F" w:rsidSect="006710F6">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69A7" w14:textId="77777777" w:rsidR="00EA7454" w:rsidRDefault="00EA7454">
      <w:r>
        <w:separator/>
      </w:r>
    </w:p>
  </w:endnote>
  <w:endnote w:type="continuationSeparator" w:id="0">
    <w:p w14:paraId="3D3E9127" w14:textId="77777777" w:rsidR="00EA7454" w:rsidRDefault="00EA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5A9D" w14:textId="36F52816" w:rsidR="00760F1C" w:rsidRPr="00444E97" w:rsidRDefault="00EA7454">
    <w:pPr>
      <w:pStyle w:val="Footer"/>
      <w:rPr>
        <w:lang w:val="fr-FR"/>
      </w:rPr>
    </w:pPr>
    <w:r>
      <w:fldChar w:fldCharType="begin"/>
    </w:r>
    <w:r w:rsidRPr="00444E97">
      <w:rPr>
        <w:lang w:val="fr-FR"/>
      </w:rPr>
      <w:instrText xml:space="preserve"> FILENAME \p \* MERGEFORMAT </w:instrText>
    </w:r>
    <w:r>
      <w:fldChar w:fldCharType="separate"/>
    </w:r>
    <w:r w:rsidR="00D7465F" w:rsidRPr="00444E97">
      <w:rPr>
        <w:lang w:val="fr-FR"/>
      </w:rPr>
      <w:t>P:\ESP\SG\CONSEIL\C21\000\002S.docx</w:t>
    </w:r>
    <w:r>
      <w:fldChar w:fldCharType="end"/>
    </w:r>
    <w:r w:rsidR="00D7465F" w:rsidRPr="00444E97">
      <w:rPr>
        <w:lang w:val="fr-FR"/>
      </w:rPr>
      <w:t xml:space="preserve"> (483193)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E3F1"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4632" w14:textId="77777777" w:rsidR="00EA7454" w:rsidRDefault="00EA7454">
      <w:r>
        <w:t>____________________</w:t>
      </w:r>
    </w:p>
  </w:footnote>
  <w:footnote w:type="continuationSeparator" w:id="0">
    <w:p w14:paraId="7B793298" w14:textId="77777777" w:rsidR="00EA7454" w:rsidRDefault="00EA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26D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72B8562" w14:textId="51B21FE1" w:rsidR="00760F1C" w:rsidRDefault="00760F1C" w:rsidP="00C2727F">
    <w:pPr>
      <w:pStyle w:val="Header"/>
    </w:pPr>
    <w:r>
      <w:t>C</w:t>
    </w:r>
    <w:r w:rsidR="007955DA">
      <w:t>2</w:t>
    </w:r>
    <w:r w:rsidR="000007D1">
      <w:t>1</w:t>
    </w:r>
    <w:r>
      <w:t>/</w:t>
    </w:r>
    <w:r w:rsidR="00D7465F">
      <w:t>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9D"/>
    <w:rsid w:val="000007D1"/>
    <w:rsid w:val="0000548A"/>
    <w:rsid w:val="00093EEB"/>
    <w:rsid w:val="000B0D00"/>
    <w:rsid w:val="000B2A5F"/>
    <w:rsid w:val="000B7C15"/>
    <w:rsid w:val="000D1D0F"/>
    <w:rsid w:val="000F5290"/>
    <w:rsid w:val="0010165C"/>
    <w:rsid w:val="00146BFB"/>
    <w:rsid w:val="001F14A2"/>
    <w:rsid w:val="001F3218"/>
    <w:rsid w:val="00202ECD"/>
    <w:rsid w:val="002801AA"/>
    <w:rsid w:val="002C4676"/>
    <w:rsid w:val="002C70B0"/>
    <w:rsid w:val="002F3CC4"/>
    <w:rsid w:val="003F67E4"/>
    <w:rsid w:val="00424DAE"/>
    <w:rsid w:val="00444E97"/>
    <w:rsid w:val="00513630"/>
    <w:rsid w:val="00560125"/>
    <w:rsid w:val="00585553"/>
    <w:rsid w:val="005B25FA"/>
    <w:rsid w:val="005B34D9"/>
    <w:rsid w:val="005D0CCF"/>
    <w:rsid w:val="005F3BCB"/>
    <w:rsid w:val="005F410F"/>
    <w:rsid w:val="0060149A"/>
    <w:rsid w:val="00601924"/>
    <w:rsid w:val="006447EA"/>
    <w:rsid w:val="0064731F"/>
    <w:rsid w:val="00653696"/>
    <w:rsid w:val="00664572"/>
    <w:rsid w:val="006710F6"/>
    <w:rsid w:val="006C1B56"/>
    <w:rsid w:val="006D4761"/>
    <w:rsid w:val="00726872"/>
    <w:rsid w:val="00746C32"/>
    <w:rsid w:val="00760F1C"/>
    <w:rsid w:val="007657F0"/>
    <w:rsid w:val="0077252D"/>
    <w:rsid w:val="007955DA"/>
    <w:rsid w:val="007E5DD3"/>
    <w:rsid w:val="007F350B"/>
    <w:rsid w:val="00820BE4"/>
    <w:rsid w:val="008451E8"/>
    <w:rsid w:val="00913B9C"/>
    <w:rsid w:val="0091465B"/>
    <w:rsid w:val="009330D0"/>
    <w:rsid w:val="0094027C"/>
    <w:rsid w:val="00956E77"/>
    <w:rsid w:val="009F4811"/>
    <w:rsid w:val="00AA390C"/>
    <w:rsid w:val="00B0159D"/>
    <w:rsid w:val="00B0200A"/>
    <w:rsid w:val="00B574DB"/>
    <w:rsid w:val="00B826C2"/>
    <w:rsid w:val="00B8298E"/>
    <w:rsid w:val="00BD0723"/>
    <w:rsid w:val="00BD2518"/>
    <w:rsid w:val="00BF1D1C"/>
    <w:rsid w:val="00C20C59"/>
    <w:rsid w:val="00C2727F"/>
    <w:rsid w:val="00C373D6"/>
    <w:rsid w:val="00C55B1F"/>
    <w:rsid w:val="00C72BFC"/>
    <w:rsid w:val="00C73072"/>
    <w:rsid w:val="00CC69A2"/>
    <w:rsid w:val="00CF1A67"/>
    <w:rsid w:val="00CF6558"/>
    <w:rsid w:val="00D2750E"/>
    <w:rsid w:val="00D62446"/>
    <w:rsid w:val="00D7465F"/>
    <w:rsid w:val="00DA4EA2"/>
    <w:rsid w:val="00DC3D3E"/>
    <w:rsid w:val="00DE2C90"/>
    <w:rsid w:val="00DE3B24"/>
    <w:rsid w:val="00E06947"/>
    <w:rsid w:val="00E3592D"/>
    <w:rsid w:val="00E92DE8"/>
    <w:rsid w:val="00EA7454"/>
    <w:rsid w:val="00EB1212"/>
    <w:rsid w:val="00ED65AB"/>
    <w:rsid w:val="00F12850"/>
    <w:rsid w:val="00F33BF4"/>
    <w:rsid w:val="00F7105E"/>
    <w:rsid w:val="00F74BAA"/>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0FC45"/>
  <w15:docId w15:val="{A71E441B-8209-4F11-875A-AB2B2CF0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D74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rop-s.pdf" TargetMode="External"/><Relationship Id="rId13" Type="http://schemas.openxmlformats.org/officeDocument/2006/relationships/hyperlink" Target="https://www.itu.int/md/S19-CL-C-0037/es" TargetMode="External"/><Relationship Id="rId18" Type="http://schemas.openxmlformats.org/officeDocument/2006/relationships/hyperlink" Target="https://www.itu.int/md/S20-CL-C-0071/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S19-CL-C-0118/es" TargetMode="External"/><Relationship Id="rId17" Type="http://schemas.openxmlformats.org/officeDocument/2006/relationships/hyperlink" Target="https://www.itu.int/md/S19-CLADD-C-0005/es" TargetMode="External"/><Relationship Id="rId2" Type="http://schemas.openxmlformats.org/officeDocument/2006/relationships/styles" Target="styles.xml"/><Relationship Id="rId16" Type="http://schemas.openxmlformats.org/officeDocument/2006/relationships/hyperlink" Target="https://www.itu.int/md/S21-CL-C-003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9-CL-C-0002/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0-CL-C-0037/es" TargetMode="External"/><Relationship Id="rId23" Type="http://schemas.openxmlformats.org/officeDocument/2006/relationships/fontTable" Target="fontTable.xml"/><Relationship Id="rId10" Type="http://schemas.openxmlformats.org/officeDocument/2006/relationships/hyperlink" Target="https://www.itu.int/en/council/Documents/basic-texts/RES-111-S.pdf" TargetMode="External"/><Relationship Id="rId19" Type="http://schemas.openxmlformats.org/officeDocument/2006/relationships/hyperlink" Target="https://www.itu.int/md/S20-CL-C-0071/es" TargetMode="External"/><Relationship Id="rId4" Type="http://schemas.openxmlformats.org/officeDocument/2006/relationships/webSettings" Target="webSettings.xml"/><Relationship Id="rId9" Type="http://schemas.openxmlformats.org/officeDocument/2006/relationships/hyperlink" Target="https://www.itu.int/en/council/Documents/basic-texts/RES-077-S.pdf" TargetMode="External"/><Relationship Id="rId14" Type="http://schemas.openxmlformats.org/officeDocument/2006/relationships/hyperlink" Target="https://www.itu.int/md/S20-CL-C-0002/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D7C8-7D8C-4DD8-B906-57E44366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2</TotalTime>
  <Pages>5</Pages>
  <Words>1616</Words>
  <Characters>9212</Characters>
  <Application>Microsoft Office Word</Application>
  <DocSecurity>0</DocSecurity>
  <Lines>76</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FECHAS Y DURACIÓN PROPUESTAS PARA LAS REUNIONES DE 2022, 2023, 2024, 2025 Y 2026 DEL CONSEJO</vt:lpstr>
    </vt:vector>
  </TitlesOfParts>
  <Manager>Secretaría General - Pool</Manager>
  <Company>Unión Internacional de Telecomunicaciones (UIT)</Company>
  <LinksUpToDate>false</LinksUpToDate>
  <CharactersWithSpaces>10807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Y DURACIÓN PROPUESTAS PARA LAS REUNIONES DE 2022, 2023, 2024, 2025 Y 2026 DEL CONSEJO</dc:title>
  <dc:subject>Consejo 2021, Virtual consultation of councillors</dc:subject>
  <dc:creator>Spanish</dc:creator>
  <cp:keywords>C2021, C21, VCC, C21-VCC-1</cp:keywords>
  <dc:description/>
  <cp:lastModifiedBy>Mendoza-Pinto, Yelitza</cp:lastModifiedBy>
  <cp:revision>3</cp:revision>
  <cp:lastPrinted>2006-03-24T09:51:00Z</cp:lastPrinted>
  <dcterms:created xsi:type="dcterms:W3CDTF">2021-04-26T13:58:00Z</dcterms:created>
  <dcterms:modified xsi:type="dcterms:W3CDTF">2021-04-26T13:59:00Z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