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2A2188" w:rsidRPr="00813E5E" w14:paraId="6D6A4771" w14:textId="77777777" w:rsidTr="00AF2EA3">
        <w:trPr>
          <w:cantSplit/>
          <w:trHeight w:val="1276"/>
        </w:trPr>
        <w:tc>
          <w:tcPr>
            <w:tcW w:w="5954" w:type="dxa"/>
          </w:tcPr>
          <w:p w14:paraId="6E3D0FB9" w14:textId="77777777" w:rsidR="00AF2EA3" w:rsidRDefault="00AF2EA3" w:rsidP="00AF2EA3">
            <w:pPr>
              <w:spacing w:before="240" w:after="48"/>
              <w:rPr>
                <w:rFonts w:asciiTheme="minorHAnsi" w:hAnsiTheme="minorHAnsi"/>
                <w:b/>
                <w:position w:val="6"/>
                <w:sz w:val="30"/>
                <w:szCs w:val="30"/>
              </w:rPr>
            </w:pPr>
            <w:r>
              <w:rPr>
                <w:rFonts w:asciiTheme="minorHAnsi" w:hAnsiTheme="minorHAnsi"/>
                <w:b/>
                <w:position w:val="6"/>
                <w:sz w:val="30"/>
                <w:szCs w:val="30"/>
              </w:rPr>
              <w:t>Ad Hoc Group of the CWG-FHR on the ITU Regional Presence Review</w:t>
            </w:r>
          </w:p>
          <w:p w14:paraId="7BC30B78" w14:textId="4B0C875C" w:rsidR="002A2188" w:rsidRPr="00833535" w:rsidRDefault="00AF2EA3" w:rsidP="00AF2EA3">
            <w:pPr>
              <w:spacing w:before="0" w:after="48"/>
              <w:rPr>
                <w:rFonts w:asciiTheme="minorHAnsi" w:hAnsiTheme="minorHAnsi"/>
                <w:b/>
                <w:position w:val="6"/>
                <w:sz w:val="30"/>
                <w:szCs w:val="30"/>
              </w:rPr>
            </w:pPr>
            <w:r w:rsidRPr="00313312">
              <w:rPr>
                <w:rFonts w:cs="Times New Roman Bold"/>
                <w:b/>
                <w:szCs w:val="26"/>
              </w:rPr>
              <w:t xml:space="preserve">First meeting - Virtual, </w:t>
            </w:r>
            <w:r w:rsidR="00C25D09">
              <w:rPr>
                <w:rFonts w:cs="Times New Roman Bold"/>
                <w:b/>
                <w:szCs w:val="26"/>
              </w:rPr>
              <w:t>20 April</w:t>
            </w:r>
            <w:r w:rsidRPr="00313312">
              <w:rPr>
                <w:rFonts w:cs="Times New Roman Bold"/>
                <w:b/>
                <w:szCs w:val="26"/>
              </w:rPr>
              <w:t xml:space="preserve"> 2021</w:t>
            </w:r>
          </w:p>
        </w:tc>
        <w:tc>
          <w:tcPr>
            <w:tcW w:w="4077" w:type="dxa"/>
            <w:vAlign w:val="center"/>
          </w:tcPr>
          <w:p w14:paraId="049BF09C" w14:textId="77777777" w:rsidR="002A2188" w:rsidRPr="00813E5E" w:rsidRDefault="23391E50" w:rsidP="009F66A3">
            <w:pPr>
              <w:spacing w:before="0" w:line="240" w:lineRule="atLeast"/>
            </w:pPr>
            <w:bookmarkStart w:id="0" w:name="ditulogo"/>
            <w:bookmarkEnd w:id="0"/>
            <w:r>
              <w:rPr>
                <w:noProof/>
              </w:rPr>
              <w:drawing>
                <wp:inline distT="0" distB="0" distL="0" distR="0" wp14:anchorId="10F84D5C" wp14:editId="6E3C1C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AF2EA3">
        <w:trPr>
          <w:cantSplit/>
        </w:trPr>
        <w:tc>
          <w:tcPr>
            <w:tcW w:w="5954" w:type="dxa"/>
            <w:tcBorders>
              <w:bottom w:val="single" w:sz="12" w:space="0" w:color="auto"/>
            </w:tcBorders>
          </w:tcPr>
          <w:p w14:paraId="2143B1CA" w14:textId="7A8638C7" w:rsidR="002A2188" w:rsidRPr="00813E5E" w:rsidRDefault="002A2188" w:rsidP="00833535">
            <w:pPr>
              <w:spacing w:before="0" w:after="48" w:line="240" w:lineRule="atLeast"/>
              <w:rPr>
                <w:b/>
                <w:smallCaps/>
                <w:szCs w:val="24"/>
              </w:rPr>
            </w:pPr>
          </w:p>
        </w:tc>
        <w:tc>
          <w:tcPr>
            <w:tcW w:w="4077" w:type="dxa"/>
            <w:tcBorders>
              <w:bottom w:val="single" w:sz="12" w:space="0" w:color="auto"/>
            </w:tcBorders>
          </w:tcPr>
          <w:p w14:paraId="3D08500D" w14:textId="77777777" w:rsidR="002A2188" w:rsidRPr="00813E5E" w:rsidRDefault="002A2188" w:rsidP="00951F71">
            <w:pPr>
              <w:spacing w:before="0" w:line="240" w:lineRule="atLeast"/>
              <w:rPr>
                <w:szCs w:val="24"/>
              </w:rPr>
            </w:pPr>
          </w:p>
        </w:tc>
      </w:tr>
      <w:tr w:rsidR="002A2188" w:rsidRPr="00813E5E" w14:paraId="17235C7F" w14:textId="77777777" w:rsidTr="00AF2EA3">
        <w:trPr>
          <w:cantSplit/>
        </w:trPr>
        <w:tc>
          <w:tcPr>
            <w:tcW w:w="5954" w:type="dxa"/>
            <w:tcBorders>
              <w:top w:val="single" w:sz="12" w:space="0" w:color="auto"/>
            </w:tcBorders>
          </w:tcPr>
          <w:p w14:paraId="5D7313BD" w14:textId="77777777" w:rsidR="002A2188" w:rsidRPr="00813E5E" w:rsidRDefault="002A2188" w:rsidP="00951F71">
            <w:pPr>
              <w:spacing w:before="0" w:after="48" w:line="240" w:lineRule="atLeast"/>
              <w:rPr>
                <w:b/>
                <w:smallCaps/>
                <w:szCs w:val="24"/>
              </w:rPr>
            </w:pPr>
          </w:p>
        </w:tc>
        <w:tc>
          <w:tcPr>
            <w:tcW w:w="4077" w:type="dxa"/>
            <w:tcBorders>
              <w:top w:val="single" w:sz="12" w:space="0" w:color="auto"/>
            </w:tcBorders>
          </w:tcPr>
          <w:p w14:paraId="22C9147A" w14:textId="77777777" w:rsidR="002A2188" w:rsidRPr="00813E5E" w:rsidRDefault="002A2188" w:rsidP="00951F71">
            <w:pPr>
              <w:spacing w:before="0" w:line="240" w:lineRule="atLeast"/>
              <w:rPr>
                <w:szCs w:val="24"/>
              </w:rPr>
            </w:pPr>
          </w:p>
        </w:tc>
      </w:tr>
      <w:tr w:rsidR="00BB5744" w:rsidRPr="00031A9E" w14:paraId="6804D83E" w14:textId="77777777" w:rsidTr="00AF2EA3">
        <w:trPr>
          <w:cantSplit/>
          <w:trHeight w:val="23"/>
        </w:trPr>
        <w:tc>
          <w:tcPr>
            <w:tcW w:w="5954" w:type="dxa"/>
            <w:vMerge w:val="restart"/>
          </w:tcPr>
          <w:p w14:paraId="42A03540" w14:textId="77777777" w:rsidR="00BB5744" w:rsidRPr="00E85629" w:rsidRDefault="00BB5744" w:rsidP="00BB5744">
            <w:pPr>
              <w:tabs>
                <w:tab w:val="left" w:pos="851"/>
              </w:tabs>
              <w:spacing w:line="240" w:lineRule="atLeast"/>
              <w:rPr>
                <w:b/>
              </w:rPr>
            </w:pPr>
            <w:bookmarkStart w:id="1" w:name="dmeeting" w:colFirst="0" w:colLast="0"/>
            <w:bookmarkStart w:id="2" w:name="dnum" w:colFirst="1" w:colLast="1"/>
          </w:p>
        </w:tc>
        <w:tc>
          <w:tcPr>
            <w:tcW w:w="4077" w:type="dxa"/>
          </w:tcPr>
          <w:p w14:paraId="1727AC2C" w14:textId="55370606" w:rsidR="00BB5744" w:rsidRPr="00391177" w:rsidRDefault="00AF2EA3" w:rsidP="00BB5744">
            <w:pPr>
              <w:tabs>
                <w:tab w:val="left" w:pos="851"/>
              </w:tabs>
              <w:spacing w:before="0" w:line="240" w:lineRule="atLeast"/>
              <w:rPr>
                <w:b/>
                <w:lang w:val="fr-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 xml:space="preserve"> 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FHR-AH-RegPres-</w:t>
            </w:r>
            <w:r w:rsidR="00C25D09">
              <w:rPr>
                <w:rFonts w:asciiTheme="minorHAnsi" w:hAnsiTheme="minorHAnsi" w:cs="Times New Roman Bold"/>
                <w:b/>
                <w:spacing w:val="-4"/>
                <w:lang w:val="de-CH"/>
              </w:rPr>
              <w:t>2</w:t>
            </w:r>
            <w:r>
              <w:rPr>
                <w:rFonts w:asciiTheme="minorHAnsi" w:hAnsiTheme="minorHAnsi" w:cs="Times New Roman Bold"/>
                <w:b/>
                <w:spacing w:val="-4"/>
                <w:lang w:val="de-CH"/>
              </w:rPr>
              <w:t>/</w:t>
            </w:r>
            <w:r w:rsidR="00031A9E">
              <w:rPr>
                <w:rFonts w:asciiTheme="minorHAnsi" w:hAnsiTheme="minorHAnsi" w:cs="Times New Roman Bold"/>
                <w:b/>
                <w:spacing w:val="-4"/>
                <w:lang w:val="de-CH"/>
              </w:rPr>
              <w:t>7</w:t>
            </w:r>
            <w:r w:rsidRPr="000F2E67">
              <w:rPr>
                <w:rFonts w:asciiTheme="minorHAnsi" w:hAnsiTheme="minorHAnsi" w:cs="Times New Roman Bold"/>
                <w:b/>
                <w:spacing w:val="-4"/>
                <w:lang w:val="de-CH"/>
              </w:rPr>
              <w:t>-E</w:t>
            </w:r>
          </w:p>
        </w:tc>
      </w:tr>
      <w:tr w:rsidR="00BB5744" w:rsidRPr="00813E5E" w14:paraId="6B217E52" w14:textId="77777777" w:rsidTr="00AF2EA3">
        <w:trPr>
          <w:cantSplit/>
          <w:trHeight w:val="23"/>
        </w:trPr>
        <w:tc>
          <w:tcPr>
            <w:tcW w:w="5954" w:type="dxa"/>
            <w:vMerge/>
          </w:tcPr>
          <w:p w14:paraId="1CE8AE93" w14:textId="77777777" w:rsidR="00BB5744" w:rsidRPr="00391177" w:rsidRDefault="00BB5744" w:rsidP="00BB5744">
            <w:pPr>
              <w:tabs>
                <w:tab w:val="left" w:pos="851"/>
              </w:tabs>
              <w:spacing w:line="240" w:lineRule="atLeast"/>
              <w:rPr>
                <w:b/>
                <w:lang w:val="fr-CH"/>
              </w:rPr>
            </w:pPr>
            <w:bookmarkStart w:id="3" w:name="ddate" w:colFirst="1" w:colLast="1"/>
            <w:bookmarkEnd w:id="1"/>
            <w:bookmarkEnd w:id="2"/>
          </w:p>
        </w:tc>
        <w:tc>
          <w:tcPr>
            <w:tcW w:w="4077" w:type="dxa"/>
          </w:tcPr>
          <w:p w14:paraId="1FD9391F" w14:textId="77B270E7" w:rsidR="00AF2EA3" w:rsidRDefault="00031A9E" w:rsidP="00AF2EA3">
            <w:pPr>
              <w:tabs>
                <w:tab w:val="left" w:pos="993"/>
              </w:tabs>
              <w:spacing w:before="0"/>
              <w:rPr>
                <w:rFonts w:asciiTheme="minorHAnsi" w:hAnsiTheme="minorHAnsi"/>
                <w:b/>
              </w:rPr>
            </w:pPr>
            <w:r>
              <w:rPr>
                <w:rFonts w:asciiTheme="minorHAnsi" w:hAnsiTheme="minorHAnsi"/>
                <w:b/>
              </w:rPr>
              <w:t>27</w:t>
            </w:r>
            <w:r w:rsidR="007A684A">
              <w:rPr>
                <w:rFonts w:asciiTheme="minorHAnsi" w:hAnsiTheme="minorHAnsi"/>
                <w:b/>
              </w:rPr>
              <w:t xml:space="preserve"> </w:t>
            </w:r>
            <w:r w:rsidR="00C25D09">
              <w:rPr>
                <w:rFonts w:asciiTheme="minorHAnsi" w:hAnsiTheme="minorHAnsi"/>
                <w:b/>
              </w:rPr>
              <w:t>April</w:t>
            </w:r>
            <w:r w:rsidR="00BB5744">
              <w:rPr>
                <w:rFonts w:asciiTheme="minorHAnsi" w:hAnsiTheme="minorHAnsi"/>
                <w:b/>
              </w:rPr>
              <w:t xml:space="preserve"> 2021</w:t>
            </w:r>
          </w:p>
          <w:p w14:paraId="257DEE08" w14:textId="04893C41" w:rsidR="00BB5744" w:rsidRPr="00E85629" w:rsidRDefault="00BB5744" w:rsidP="00AF2EA3">
            <w:pPr>
              <w:tabs>
                <w:tab w:val="left" w:pos="993"/>
              </w:tabs>
              <w:spacing w:before="0"/>
              <w:rPr>
                <w:b/>
              </w:rPr>
            </w:pPr>
            <w:r>
              <w:rPr>
                <w:rFonts w:asciiTheme="minorHAnsi" w:hAnsiTheme="minorHAnsi"/>
                <w:b/>
              </w:rPr>
              <w:t>English only</w:t>
            </w:r>
          </w:p>
        </w:tc>
      </w:tr>
      <w:tr w:rsidR="002A2188" w:rsidRPr="00813E5E" w14:paraId="10D36551" w14:textId="77777777" w:rsidTr="00AF2EA3">
        <w:trPr>
          <w:cantSplit/>
          <w:trHeight w:val="23"/>
        </w:trPr>
        <w:tc>
          <w:tcPr>
            <w:tcW w:w="5954" w:type="dxa"/>
            <w:vMerge/>
          </w:tcPr>
          <w:p w14:paraId="7EF812AF" w14:textId="77777777" w:rsidR="002A2188" w:rsidRPr="00813E5E" w:rsidRDefault="002A2188" w:rsidP="00951F71">
            <w:pPr>
              <w:tabs>
                <w:tab w:val="left" w:pos="851"/>
              </w:tabs>
              <w:spacing w:line="240" w:lineRule="atLeast"/>
              <w:rPr>
                <w:b/>
              </w:rPr>
            </w:pPr>
            <w:bookmarkStart w:id="4" w:name="dorlang" w:colFirst="1" w:colLast="1"/>
            <w:bookmarkEnd w:id="3"/>
          </w:p>
        </w:tc>
        <w:tc>
          <w:tcPr>
            <w:tcW w:w="4077" w:type="dxa"/>
          </w:tcPr>
          <w:p w14:paraId="0DF1D05E" w14:textId="0E4C13CF" w:rsidR="002A2188" w:rsidRPr="00E85629" w:rsidRDefault="002A2188" w:rsidP="00951F71">
            <w:pPr>
              <w:tabs>
                <w:tab w:val="left" w:pos="993"/>
              </w:tabs>
              <w:spacing w:before="0"/>
              <w:rPr>
                <w:b/>
              </w:rPr>
            </w:pPr>
          </w:p>
        </w:tc>
      </w:tr>
      <w:tr w:rsidR="002A2188" w:rsidRPr="00813E5E" w14:paraId="46399271" w14:textId="77777777" w:rsidTr="594A99E1">
        <w:trPr>
          <w:cantSplit/>
        </w:trPr>
        <w:tc>
          <w:tcPr>
            <w:tcW w:w="10031" w:type="dxa"/>
            <w:gridSpan w:val="2"/>
          </w:tcPr>
          <w:p w14:paraId="18E28CA0" w14:textId="6A9A811A" w:rsidR="002A2188" w:rsidRPr="00813E5E" w:rsidRDefault="004F42E3" w:rsidP="00951F71">
            <w:pPr>
              <w:pStyle w:val="Source"/>
            </w:pPr>
            <w:bookmarkStart w:id="5" w:name="dsource" w:colFirst="0" w:colLast="0"/>
            <w:bookmarkEnd w:id="4"/>
            <w:r>
              <w:t xml:space="preserve">Summary Report of </w:t>
            </w:r>
            <w:r w:rsidR="00C25D09">
              <w:t>Second</w:t>
            </w:r>
            <w:r>
              <w:t xml:space="preserve"> Meeting</w:t>
            </w:r>
          </w:p>
        </w:tc>
      </w:tr>
      <w:tr w:rsidR="002A2188" w:rsidRPr="00813E5E" w14:paraId="73F317E2" w14:textId="77777777" w:rsidTr="594A99E1">
        <w:trPr>
          <w:cantSplit/>
        </w:trPr>
        <w:tc>
          <w:tcPr>
            <w:tcW w:w="10031" w:type="dxa"/>
            <w:gridSpan w:val="2"/>
          </w:tcPr>
          <w:p w14:paraId="29B3DB5C" w14:textId="5E776FBD" w:rsidR="00AF2EA3" w:rsidRPr="00AF2EA3" w:rsidRDefault="00C25D09" w:rsidP="00AF2EA3">
            <w:pPr>
              <w:pStyle w:val="Title2"/>
              <w:rPr>
                <w:caps w:val="0"/>
              </w:rPr>
            </w:pPr>
            <w:bookmarkStart w:id="6" w:name="dtitle1" w:colFirst="0" w:colLast="0"/>
            <w:bookmarkEnd w:id="5"/>
            <w:r>
              <w:rPr>
                <w:caps w:val="0"/>
              </w:rPr>
              <w:t>22 April</w:t>
            </w:r>
            <w:r w:rsidR="00AF2EA3" w:rsidRPr="00AF2EA3">
              <w:rPr>
                <w:caps w:val="0"/>
              </w:rPr>
              <w:t xml:space="preserve"> 2021, from 1200 to 1500 hours</w:t>
            </w:r>
          </w:p>
        </w:tc>
      </w:tr>
      <w:bookmarkEnd w:id="6"/>
    </w:tbl>
    <w:p w14:paraId="359EE8FA" w14:textId="7E6AC49A" w:rsidR="007202AA" w:rsidRDefault="007202AA" w:rsidP="003520A2">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6F38E376" w14:textId="77777777" w:rsidR="005C109C" w:rsidRPr="00EE28DF" w:rsidRDefault="005C109C" w:rsidP="00FD63B0">
      <w:pPr>
        <w:spacing w:after="120" w:line="276" w:lineRule="auto"/>
        <w:rPr>
          <w:rFonts w:asciiTheme="minorHAnsi" w:hAnsiTheme="minorHAnsi" w:cstheme="minorHAnsi"/>
          <w:b/>
          <w:bdr w:val="none" w:sz="0" w:space="0" w:color="auto" w:frame="1"/>
          <w:shd w:val="clear" w:color="auto" w:fill="FFFFFF"/>
        </w:rPr>
      </w:pPr>
      <w:r w:rsidRPr="00EE28DF">
        <w:rPr>
          <w:rFonts w:asciiTheme="minorHAnsi" w:hAnsiTheme="minorHAnsi" w:cstheme="minorHAnsi"/>
          <w:b/>
          <w:bdr w:val="none" w:sz="0" w:space="0" w:color="auto" w:frame="1"/>
          <w:shd w:val="clear" w:color="auto" w:fill="FFFFFF"/>
        </w:rPr>
        <w:t>Summary</w:t>
      </w:r>
    </w:p>
    <w:p w14:paraId="48AC08FB" w14:textId="403C5CE0" w:rsidR="007D1CDB" w:rsidRPr="00D26BB0" w:rsidRDefault="007D1CDB" w:rsidP="00D26BB0">
      <w:pPr>
        <w:snapToGrid w:val="0"/>
        <w:spacing w:before="240" w:line="276" w:lineRule="auto"/>
        <w:jc w:val="both"/>
        <w:rPr>
          <w:rFonts w:asciiTheme="minorHAnsi" w:hAnsiTheme="minorHAnsi" w:cstheme="minorHAnsi"/>
          <w:szCs w:val="24"/>
        </w:rPr>
      </w:pPr>
      <w:r>
        <w:rPr>
          <w:rFonts w:cs="Calibri"/>
        </w:rPr>
        <w:t>The Ad Hoc Group of the CWG-FHR on the ITU Regional Presence Review was convened by CWG-FHR at its meeting to</w:t>
      </w:r>
      <w:r w:rsidR="005F1D17">
        <w:rPr>
          <w:rFonts w:cs="Calibri"/>
        </w:rPr>
        <w:t xml:space="preserve"> </w:t>
      </w:r>
      <w:r>
        <w:rPr>
          <w:rFonts w:cs="Calibri"/>
        </w:rPr>
        <w:t>Review and analyse the recommendations of the PWC Report presented by the Secretary-General in Document C20/74</w:t>
      </w:r>
      <w:r w:rsidR="005F1D17">
        <w:rPr>
          <w:rFonts w:cs="Calibri"/>
        </w:rPr>
        <w:t>, t</w:t>
      </w:r>
      <w:r>
        <w:rPr>
          <w:rFonts w:cs="Calibri"/>
        </w:rPr>
        <w:t>aking into account proposals of the ITU Member States and the comments of the secretariat</w:t>
      </w:r>
      <w:r w:rsidR="005F1D17">
        <w:rPr>
          <w:rFonts w:cs="Calibri"/>
        </w:rPr>
        <w:t>, to a</w:t>
      </w:r>
      <w:r>
        <w:rPr>
          <w:rFonts w:cs="Calibri"/>
        </w:rPr>
        <w:t xml:space="preserve">nalyse the possible financial implications of various </w:t>
      </w:r>
      <w:r w:rsidRPr="00D26BB0">
        <w:rPr>
          <w:rFonts w:asciiTheme="minorHAnsi" w:hAnsiTheme="minorHAnsi" w:cstheme="minorHAnsi"/>
          <w:szCs w:val="24"/>
        </w:rPr>
        <w:t>options for optimizing the structure of the ITU regional presence</w:t>
      </w:r>
      <w:r w:rsidR="005F1D17" w:rsidRPr="00D26BB0">
        <w:rPr>
          <w:rFonts w:asciiTheme="minorHAnsi" w:hAnsiTheme="minorHAnsi" w:cstheme="minorHAnsi"/>
          <w:szCs w:val="24"/>
        </w:rPr>
        <w:t>, and to p</w:t>
      </w:r>
      <w:r w:rsidRPr="00D26BB0">
        <w:rPr>
          <w:rFonts w:asciiTheme="minorHAnsi" w:hAnsiTheme="minorHAnsi" w:cstheme="minorHAnsi"/>
          <w:szCs w:val="24"/>
        </w:rPr>
        <w:t xml:space="preserve">repare and submit recommendations to the next CWG-FHR </w:t>
      </w:r>
      <w:r w:rsidR="00050E8E" w:rsidRPr="00D26BB0">
        <w:rPr>
          <w:rFonts w:asciiTheme="minorHAnsi" w:hAnsiTheme="minorHAnsi" w:cstheme="minorHAnsi"/>
          <w:szCs w:val="24"/>
        </w:rPr>
        <w:t>(</w:t>
      </w:r>
      <w:r w:rsidRPr="00D26BB0">
        <w:rPr>
          <w:rFonts w:asciiTheme="minorHAnsi" w:hAnsiTheme="minorHAnsi" w:cstheme="minorHAnsi"/>
          <w:szCs w:val="24"/>
        </w:rPr>
        <w:t xml:space="preserve">scheduled to be </w:t>
      </w:r>
      <w:r w:rsidR="0010352D" w:rsidRPr="00D26BB0">
        <w:rPr>
          <w:rFonts w:asciiTheme="minorHAnsi" w:hAnsiTheme="minorHAnsi" w:cstheme="minorHAnsi"/>
          <w:szCs w:val="24"/>
        </w:rPr>
        <w:t xml:space="preserve">held on 11 </w:t>
      </w:r>
      <w:r w:rsidRPr="00D26BB0">
        <w:rPr>
          <w:rFonts w:asciiTheme="minorHAnsi" w:hAnsiTheme="minorHAnsi" w:cstheme="minorHAnsi"/>
          <w:szCs w:val="24"/>
        </w:rPr>
        <w:t>May 2021</w:t>
      </w:r>
      <w:r w:rsidR="00050E8E" w:rsidRPr="00D26BB0">
        <w:rPr>
          <w:rFonts w:asciiTheme="minorHAnsi" w:hAnsiTheme="minorHAnsi" w:cstheme="minorHAnsi"/>
          <w:szCs w:val="24"/>
        </w:rPr>
        <w:t>)</w:t>
      </w:r>
      <w:r w:rsidRPr="00D26BB0">
        <w:rPr>
          <w:rFonts w:asciiTheme="minorHAnsi" w:hAnsiTheme="minorHAnsi" w:cstheme="minorHAnsi"/>
          <w:szCs w:val="24"/>
        </w:rPr>
        <w:t xml:space="preserve"> related to optimization of the structure and methods/approaches to increase the efficiency of the regional presence.</w:t>
      </w:r>
    </w:p>
    <w:p w14:paraId="66E9187D" w14:textId="2E2476FD" w:rsidR="007D1CDB" w:rsidRPr="00D26BB0" w:rsidRDefault="007D1CDB" w:rsidP="00D26BB0">
      <w:pPr>
        <w:tabs>
          <w:tab w:val="clear" w:pos="567"/>
          <w:tab w:val="clear" w:pos="1134"/>
          <w:tab w:val="clear" w:pos="1701"/>
          <w:tab w:val="clear" w:pos="2268"/>
          <w:tab w:val="clear" w:pos="2835"/>
          <w:tab w:val="left" w:pos="993"/>
          <w:tab w:val="left" w:pos="1276"/>
        </w:tabs>
        <w:overflowPunct/>
        <w:autoSpaceDE/>
        <w:autoSpaceDN/>
        <w:adjustRightInd/>
        <w:snapToGrid w:val="0"/>
        <w:spacing w:before="240" w:after="60" w:line="276" w:lineRule="auto"/>
        <w:jc w:val="both"/>
        <w:textAlignment w:val="auto"/>
        <w:rPr>
          <w:rFonts w:asciiTheme="minorHAnsi" w:hAnsiTheme="minorHAnsi" w:cstheme="minorHAnsi"/>
          <w:szCs w:val="24"/>
        </w:rPr>
      </w:pPr>
      <w:r w:rsidRPr="00D26BB0">
        <w:rPr>
          <w:rFonts w:asciiTheme="minorHAnsi" w:hAnsiTheme="minorHAnsi" w:cstheme="minorHAnsi"/>
          <w:szCs w:val="24"/>
        </w:rPr>
        <w:t>The Ad-Hoc Group</w:t>
      </w:r>
      <w:r w:rsidR="00C80AE6" w:rsidRPr="00D26BB0">
        <w:rPr>
          <w:rFonts w:asciiTheme="minorHAnsi" w:hAnsiTheme="minorHAnsi" w:cstheme="minorHAnsi"/>
          <w:szCs w:val="24"/>
        </w:rPr>
        <w:t>,</w:t>
      </w:r>
      <w:r w:rsidRPr="00D26BB0">
        <w:rPr>
          <w:rFonts w:asciiTheme="minorHAnsi" w:hAnsiTheme="minorHAnsi" w:cstheme="minorHAnsi"/>
          <w:szCs w:val="24"/>
        </w:rPr>
        <w:t xml:space="preserve"> chaired by </w:t>
      </w:r>
      <w:r w:rsidR="00C80AE6" w:rsidRPr="00D26BB0">
        <w:rPr>
          <w:rFonts w:asciiTheme="minorHAnsi" w:hAnsiTheme="minorHAnsi" w:cstheme="minorHAnsi"/>
          <w:szCs w:val="24"/>
        </w:rPr>
        <w:t xml:space="preserve">Ms. </w:t>
      </w:r>
      <w:r w:rsidRPr="00D26BB0">
        <w:rPr>
          <w:rFonts w:asciiTheme="minorHAnsi" w:hAnsiTheme="minorHAnsi" w:cstheme="minorHAnsi"/>
          <w:szCs w:val="24"/>
        </w:rPr>
        <w:t xml:space="preserve">Stella Erebor, Nigeria </w:t>
      </w:r>
      <w:r w:rsidR="00C80AE6" w:rsidRPr="00D26BB0">
        <w:rPr>
          <w:rFonts w:asciiTheme="minorHAnsi" w:hAnsiTheme="minorHAnsi" w:cstheme="minorHAnsi"/>
          <w:szCs w:val="24"/>
        </w:rPr>
        <w:t>held its first meeting on 23 March 2021 (Summary Report)</w:t>
      </w:r>
      <w:r w:rsidR="005F1D17" w:rsidRPr="00D26BB0">
        <w:rPr>
          <w:rFonts w:asciiTheme="minorHAnsi" w:hAnsiTheme="minorHAnsi" w:cstheme="minorHAnsi"/>
          <w:szCs w:val="24"/>
        </w:rPr>
        <w:t xml:space="preserve">. </w:t>
      </w:r>
    </w:p>
    <w:p w14:paraId="328D3C6E" w14:textId="4C22AA91" w:rsidR="005C109C" w:rsidRPr="00D26BB0" w:rsidRDefault="005F1D17" w:rsidP="00B7260C">
      <w:pPr>
        <w:tabs>
          <w:tab w:val="clear" w:pos="567"/>
          <w:tab w:val="clear" w:pos="1134"/>
          <w:tab w:val="clear" w:pos="1701"/>
          <w:tab w:val="clear" w:pos="2268"/>
          <w:tab w:val="clear" w:pos="2835"/>
          <w:tab w:val="left" w:pos="993"/>
          <w:tab w:val="left" w:pos="1276"/>
        </w:tabs>
        <w:overflowPunct/>
        <w:autoSpaceDE/>
        <w:autoSpaceDN/>
        <w:adjustRightInd/>
        <w:snapToGrid w:val="0"/>
        <w:spacing w:before="240" w:after="60" w:line="276" w:lineRule="auto"/>
        <w:jc w:val="both"/>
        <w:textAlignment w:val="auto"/>
        <w:rPr>
          <w:rFonts w:asciiTheme="minorHAnsi" w:hAnsiTheme="minorHAnsi" w:cstheme="minorHAnsi"/>
          <w:szCs w:val="24"/>
        </w:rPr>
      </w:pPr>
      <w:r w:rsidRPr="00D26BB0">
        <w:rPr>
          <w:rFonts w:asciiTheme="minorHAnsi" w:hAnsiTheme="minorHAnsi" w:cstheme="minorHAnsi"/>
          <w:szCs w:val="24"/>
        </w:rPr>
        <w:t xml:space="preserve">The </w:t>
      </w:r>
      <w:r w:rsidR="00D17B47" w:rsidRPr="00D26BB0">
        <w:rPr>
          <w:rFonts w:asciiTheme="minorHAnsi" w:hAnsiTheme="minorHAnsi" w:cstheme="minorHAnsi"/>
          <w:szCs w:val="24"/>
        </w:rPr>
        <w:t xml:space="preserve">second </w:t>
      </w:r>
      <w:r w:rsidRPr="00D26BB0">
        <w:rPr>
          <w:rFonts w:asciiTheme="minorHAnsi" w:hAnsiTheme="minorHAnsi" w:cstheme="minorHAnsi"/>
          <w:szCs w:val="24"/>
        </w:rPr>
        <w:t xml:space="preserve">meeting of the Ad Hoc Group was convened on </w:t>
      </w:r>
      <w:r w:rsidR="00D17B47" w:rsidRPr="00D26BB0">
        <w:rPr>
          <w:rFonts w:asciiTheme="minorHAnsi" w:hAnsiTheme="minorHAnsi" w:cstheme="minorHAnsi"/>
          <w:szCs w:val="24"/>
        </w:rPr>
        <w:t>20 April</w:t>
      </w:r>
      <w:r w:rsidR="009B1684" w:rsidRPr="00D26BB0">
        <w:rPr>
          <w:rFonts w:asciiTheme="minorHAnsi" w:hAnsiTheme="minorHAnsi" w:cstheme="minorHAnsi"/>
          <w:szCs w:val="24"/>
        </w:rPr>
        <w:t xml:space="preserve"> 2021 and</w:t>
      </w:r>
      <w:r w:rsidRPr="00D26BB0">
        <w:rPr>
          <w:rFonts w:asciiTheme="minorHAnsi" w:hAnsiTheme="minorHAnsi" w:cstheme="minorHAnsi"/>
          <w:szCs w:val="24"/>
        </w:rPr>
        <w:t xml:space="preserve"> </w:t>
      </w:r>
      <w:r w:rsidR="005C109C" w:rsidRPr="00D26BB0">
        <w:rPr>
          <w:rFonts w:asciiTheme="minorHAnsi" w:hAnsiTheme="minorHAnsi" w:cstheme="minorHAnsi"/>
          <w:szCs w:val="24"/>
        </w:rPr>
        <w:t xml:space="preserve">considered </w:t>
      </w:r>
      <w:r w:rsidR="00D17B47" w:rsidRPr="00D26BB0">
        <w:rPr>
          <w:rFonts w:asciiTheme="minorHAnsi" w:hAnsiTheme="minorHAnsi" w:cstheme="minorHAnsi"/>
          <w:szCs w:val="24"/>
        </w:rPr>
        <w:t xml:space="preserve">four </w:t>
      </w:r>
      <w:r w:rsidR="005C109C" w:rsidRPr="00D26BB0">
        <w:rPr>
          <w:rFonts w:asciiTheme="minorHAnsi" w:hAnsiTheme="minorHAnsi" w:cstheme="minorHAnsi"/>
          <w:szCs w:val="24"/>
        </w:rPr>
        <w:t>contributions</w:t>
      </w:r>
      <w:r w:rsidR="004F42E3" w:rsidRPr="00D26BB0">
        <w:rPr>
          <w:rFonts w:asciiTheme="minorHAnsi" w:hAnsiTheme="minorHAnsi" w:cstheme="minorHAnsi"/>
          <w:szCs w:val="24"/>
        </w:rPr>
        <w:t xml:space="preserve"> from membership</w:t>
      </w:r>
      <w:r w:rsidR="00D17B47" w:rsidRPr="00D26BB0">
        <w:rPr>
          <w:rFonts w:asciiTheme="minorHAnsi" w:hAnsiTheme="minorHAnsi" w:cstheme="minorHAnsi"/>
          <w:szCs w:val="24"/>
        </w:rPr>
        <w:t xml:space="preserve">, from the United States, Australia, Switzerland and </w:t>
      </w:r>
      <w:r w:rsidR="0010352D" w:rsidRPr="00D26BB0">
        <w:rPr>
          <w:rFonts w:asciiTheme="minorHAnsi" w:hAnsiTheme="minorHAnsi" w:cstheme="minorHAnsi"/>
          <w:szCs w:val="24"/>
        </w:rPr>
        <w:t xml:space="preserve">a multi-country contribution from </w:t>
      </w:r>
      <w:r w:rsidR="004F42E3" w:rsidRPr="00D26BB0">
        <w:rPr>
          <w:rFonts w:asciiTheme="minorHAnsi" w:hAnsiTheme="minorHAnsi" w:cstheme="minorHAnsi"/>
          <w:szCs w:val="24"/>
        </w:rPr>
        <w:t xml:space="preserve">the Arab Republic of Egypt, </w:t>
      </w:r>
      <w:proofErr w:type="gramStart"/>
      <w:r w:rsidR="0010352D" w:rsidRPr="00D26BB0">
        <w:rPr>
          <w:rFonts w:asciiTheme="minorHAnsi" w:hAnsiTheme="minorHAnsi" w:cstheme="minorHAnsi"/>
          <w:szCs w:val="24"/>
        </w:rPr>
        <w:t>Kuwait</w:t>
      </w:r>
      <w:proofErr w:type="gramEnd"/>
      <w:r w:rsidR="0010352D" w:rsidRPr="00D26BB0">
        <w:rPr>
          <w:rFonts w:asciiTheme="minorHAnsi" w:hAnsiTheme="minorHAnsi" w:cstheme="minorHAnsi"/>
          <w:szCs w:val="24"/>
        </w:rPr>
        <w:t xml:space="preserve"> and South Africa, </w:t>
      </w:r>
      <w:r w:rsidR="004F42E3" w:rsidRPr="00D26BB0">
        <w:rPr>
          <w:rFonts w:asciiTheme="minorHAnsi" w:hAnsiTheme="minorHAnsi" w:cstheme="minorHAnsi"/>
          <w:szCs w:val="24"/>
        </w:rPr>
        <w:t xml:space="preserve">and </w:t>
      </w:r>
      <w:r w:rsidR="00B0752C" w:rsidRPr="00D26BB0">
        <w:rPr>
          <w:rFonts w:asciiTheme="minorHAnsi" w:hAnsiTheme="minorHAnsi" w:cstheme="minorHAnsi"/>
          <w:szCs w:val="24"/>
        </w:rPr>
        <w:t>one secretariat document.</w:t>
      </w:r>
    </w:p>
    <w:p w14:paraId="6F540DB7" w14:textId="77777777" w:rsidR="005C109C" w:rsidRPr="00D26BB0" w:rsidRDefault="005C109C" w:rsidP="00B7260C">
      <w:pPr>
        <w:spacing w:after="120" w:line="276" w:lineRule="auto"/>
        <w:jc w:val="both"/>
        <w:rPr>
          <w:rFonts w:asciiTheme="minorHAnsi" w:hAnsiTheme="minorHAnsi" w:cstheme="minorHAnsi"/>
          <w:szCs w:val="24"/>
          <w:bdr w:val="none" w:sz="0" w:space="0" w:color="auto" w:frame="1"/>
          <w:shd w:val="clear" w:color="auto" w:fill="FFFFFF"/>
        </w:rPr>
      </w:pPr>
      <w:r w:rsidRPr="00D26BB0">
        <w:rPr>
          <w:rFonts w:asciiTheme="minorHAnsi" w:hAnsiTheme="minorHAnsi" w:cstheme="minorHAnsi"/>
          <w:szCs w:val="24"/>
          <w:bdr w:val="none" w:sz="0" w:space="0" w:color="auto" w:frame="1"/>
          <w:shd w:val="clear" w:color="auto" w:fill="FFFFFF"/>
        </w:rPr>
        <w:t>The following is a summary of the meeting.</w:t>
      </w:r>
    </w:p>
    <w:p w14:paraId="069F29CF" w14:textId="77777777" w:rsidR="005C109C" w:rsidRPr="00D26BB0" w:rsidRDefault="005C109C" w:rsidP="00CE1746">
      <w:pPr>
        <w:pStyle w:val="ListParagraph"/>
        <w:keepNext/>
        <w:numPr>
          <w:ilvl w:val="0"/>
          <w:numId w:val="3"/>
        </w:numPr>
        <w:tabs>
          <w:tab w:val="clear" w:pos="567"/>
          <w:tab w:val="clear" w:pos="2835"/>
        </w:tabs>
        <w:spacing w:after="120" w:line="276" w:lineRule="auto"/>
        <w:ind w:left="567" w:hanging="567"/>
        <w:contextualSpacing w:val="0"/>
        <w:rPr>
          <w:rFonts w:asciiTheme="minorHAnsi" w:hAnsiTheme="minorHAnsi" w:cstheme="minorHAnsi"/>
          <w:b/>
          <w:szCs w:val="24"/>
        </w:rPr>
      </w:pPr>
      <w:r w:rsidRPr="00D26BB0">
        <w:rPr>
          <w:rFonts w:asciiTheme="minorHAnsi" w:hAnsiTheme="minorHAnsi" w:cstheme="minorHAnsi"/>
          <w:b/>
          <w:szCs w:val="24"/>
        </w:rPr>
        <w:t>Opening of the meeting and welcome remarks</w:t>
      </w:r>
    </w:p>
    <w:p w14:paraId="361E9E45" w14:textId="7D4D4F0B" w:rsidR="00B7260C" w:rsidRDefault="00B47AFF" w:rsidP="00CE1746">
      <w:pPr>
        <w:pStyle w:val="ListParagraph"/>
        <w:numPr>
          <w:ilvl w:val="1"/>
          <w:numId w:val="5"/>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lang w:val="en-US"/>
        </w:rPr>
      </w:pPr>
      <w:r w:rsidRPr="00D26BB0">
        <w:rPr>
          <w:rFonts w:asciiTheme="minorHAnsi" w:hAnsiTheme="minorHAnsi" w:cstheme="minorHAnsi"/>
          <w:szCs w:val="24"/>
          <w:bdr w:val="none" w:sz="0" w:space="0" w:color="auto" w:frame="1"/>
          <w:shd w:val="clear" w:color="auto" w:fill="FFFFFF"/>
        </w:rPr>
        <w:t xml:space="preserve">The </w:t>
      </w:r>
      <w:r w:rsidR="005E0354" w:rsidRPr="00D26BB0">
        <w:rPr>
          <w:rFonts w:asciiTheme="minorHAnsi" w:hAnsiTheme="minorHAnsi" w:cstheme="minorHAnsi"/>
          <w:szCs w:val="24"/>
          <w:bdr w:val="none" w:sz="0" w:space="0" w:color="auto" w:frame="1"/>
          <w:shd w:val="clear" w:color="auto" w:fill="FFFFFF"/>
        </w:rPr>
        <w:t>Secretary</w:t>
      </w:r>
      <w:r w:rsidR="00223F26" w:rsidRPr="00D26BB0">
        <w:rPr>
          <w:rFonts w:asciiTheme="minorHAnsi" w:hAnsiTheme="minorHAnsi" w:cstheme="minorHAnsi"/>
          <w:szCs w:val="24"/>
          <w:bdr w:val="none" w:sz="0" w:space="0" w:color="auto" w:frame="1"/>
          <w:shd w:val="clear" w:color="auto" w:fill="FFFFFF"/>
        </w:rPr>
        <w:t xml:space="preserve"> to the </w:t>
      </w:r>
      <w:r w:rsidR="00E31B47" w:rsidRPr="00D26BB0">
        <w:rPr>
          <w:rFonts w:asciiTheme="minorHAnsi" w:hAnsiTheme="minorHAnsi" w:cstheme="minorHAnsi"/>
          <w:szCs w:val="24"/>
          <w:lang w:eastAsia="ko-KR"/>
        </w:rPr>
        <w:t>Ad Hoc Group</w:t>
      </w:r>
      <w:r w:rsidRPr="00D26BB0">
        <w:rPr>
          <w:rFonts w:asciiTheme="minorHAnsi" w:hAnsiTheme="minorHAnsi" w:cstheme="minorHAnsi"/>
          <w:szCs w:val="24"/>
          <w:bdr w:val="none" w:sz="0" w:space="0" w:color="auto" w:frame="1"/>
          <w:shd w:val="clear" w:color="auto" w:fill="FFFFFF"/>
        </w:rPr>
        <w:t>, Stephen Bereaux Deputy to the Director BDT</w:t>
      </w:r>
      <w:r w:rsidR="00223F26" w:rsidRPr="00D26BB0">
        <w:rPr>
          <w:rFonts w:asciiTheme="minorHAnsi" w:hAnsiTheme="minorHAnsi" w:cstheme="minorHAnsi"/>
          <w:szCs w:val="24"/>
          <w:bdr w:val="none" w:sz="0" w:space="0" w:color="auto" w:frame="1"/>
          <w:shd w:val="clear" w:color="auto" w:fill="FFFFFF"/>
        </w:rPr>
        <w:t>,</w:t>
      </w:r>
      <w:r w:rsidR="005E0354" w:rsidRPr="00D26BB0">
        <w:rPr>
          <w:rFonts w:asciiTheme="minorHAnsi" w:hAnsiTheme="minorHAnsi" w:cstheme="minorHAnsi"/>
          <w:szCs w:val="24"/>
          <w:bdr w:val="none" w:sz="0" w:space="0" w:color="auto" w:frame="1"/>
          <w:shd w:val="clear" w:color="auto" w:fill="FFFFFF"/>
        </w:rPr>
        <w:t xml:space="preserve"> </w:t>
      </w:r>
      <w:r w:rsidR="001C653B" w:rsidRPr="00D26BB0">
        <w:rPr>
          <w:rFonts w:asciiTheme="minorHAnsi" w:hAnsiTheme="minorHAnsi" w:cstheme="minorHAnsi"/>
          <w:szCs w:val="24"/>
          <w:bdr w:val="none" w:sz="0" w:space="0" w:color="auto" w:frame="1"/>
          <w:shd w:val="clear" w:color="auto" w:fill="FFFFFF"/>
        </w:rPr>
        <w:t xml:space="preserve">opened </w:t>
      </w:r>
      <w:r w:rsidR="00223F26" w:rsidRPr="00D26BB0">
        <w:rPr>
          <w:rFonts w:asciiTheme="minorHAnsi" w:hAnsiTheme="minorHAnsi" w:cstheme="minorHAnsi"/>
          <w:szCs w:val="24"/>
          <w:bdr w:val="none" w:sz="0" w:space="0" w:color="auto" w:frame="1"/>
          <w:shd w:val="clear" w:color="auto" w:fill="FFFFFF"/>
        </w:rPr>
        <w:t xml:space="preserve">the </w:t>
      </w:r>
      <w:r w:rsidR="00223F26" w:rsidRPr="00B7260C">
        <w:rPr>
          <w:rFonts w:asciiTheme="minorHAnsi" w:hAnsiTheme="minorHAnsi" w:cstheme="minorHAnsi"/>
          <w:szCs w:val="24"/>
          <w:bdr w:val="none" w:sz="0" w:space="0" w:color="auto" w:frame="1"/>
          <w:shd w:val="clear" w:color="auto" w:fill="FFFFFF"/>
        </w:rPr>
        <w:t xml:space="preserve">meeting </w:t>
      </w:r>
      <w:r w:rsidR="005E0354" w:rsidRPr="00B7260C">
        <w:rPr>
          <w:rFonts w:asciiTheme="minorHAnsi" w:hAnsiTheme="minorHAnsi" w:cstheme="minorHAnsi"/>
          <w:szCs w:val="24"/>
          <w:bdr w:val="none" w:sz="0" w:space="0" w:color="auto" w:frame="1"/>
          <w:shd w:val="clear" w:color="auto" w:fill="FFFFFF"/>
        </w:rPr>
        <w:t>on behalf of the Chairwoman</w:t>
      </w:r>
      <w:r w:rsidR="00223F26" w:rsidRPr="00B7260C">
        <w:rPr>
          <w:rFonts w:asciiTheme="minorHAnsi" w:hAnsiTheme="minorHAnsi" w:cstheme="minorHAnsi"/>
          <w:szCs w:val="24"/>
          <w:bdr w:val="none" w:sz="0" w:space="0" w:color="auto" w:frame="1"/>
          <w:shd w:val="clear" w:color="auto" w:fill="FFFFFF"/>
        </w:rPr>
        <w:t xml:space="preserve"> due to connection challenges experienced by the Chair. Mr. Bereaux</w:t>
      </w:r>
      <w:r w:rsidR="005F1D17" w:rsidRPr="00B7260C">
        <w:rPr>
          <w:rFonts w:asciiTheme="minorHAnsi" w:hAnsiTheme="minorHAnsi" w:cstheme="minorHAnsi"/>
          <w:szCs w:val="24"/>
          <w:bdr w:val="none" w:sz="0" w:space="0" w:color="auto" w:frame="1"/>
          <w:shd w:val="clear" w:color="auto" w:fill="FFFFFF"/>
        </w:rPr>
        <w:t xml:space="preserve"> </w:t>
      </w:r>
      <w:r w:rsidR="00C02B97" w:rsidRPr="00B7260C">
        <w:rPr>
          <w:rFonts w:asciiTheme="minorHAnsi" w:hAnsiTheme="minorHAnsi" w:cstheme="minorHAnsi"/>
          <w:szCs w:val="24"/>
          <w:lang w:val="en-US"/>
        </w:rPr>
        <w:t xml:space="preserve">welcomed all participants </w:t>
      </w:r>
      <w:r w:rsidR="00223F26" w:rsidRPr="00B7260C">
        <w:rPr>
          <w:rFonts w:asciiTheme="minorHAnsi" w:hAnsiTheme="minorHAnsi" w:cstheme="minorHAnsi"/>
          <w:szCs w:val="24"/>
          <w:lang w:val="en-US"/>
        </w:rPr>
        <w:t xml:space="preserve">and acknowledged the presence of </w:t>
      </w:r>
      <w:r w:rsidR="00C02B97" w:rsidRPr="00B7260C">
        <w:rPr>
          <w:rFonts w:asciiTheme="minorHAnsi" w:hAnsiTheme="minorHAnsi" w:cstheme="minorHAnsi"/>
          <w:szCs w:val="24"/>
          <w:lang w:val="en-US"/>
        </w:rPr>
        <w:t>ITU Secretary</w:t>
      </w:r>
      <w:r w:rsidR="00031A9E">
        <w:rPr>
          <w:rFonts w:asciiTheme="minorHAnsi" w:hAnsiTheme="minorHAnsi" w:cstheme="minorHAnsi"/>
          <w:szCs w:val="24"/>
          <w:lang w:val="en-US"/>
        </w:rPr>
        <w:t>-</w:t>
      </w:r>
      <w:r w:rsidR="00C02B97" w:rsidRPr="00B7260C">
        <w:rPr>
          <w:rFonts w:asciiTheme="minorHAnsi" w:hAnsiTheme="minorHAnsi" w:cstheme="minorHAnsi"/>
          <w:szCs w:val="24"/>
          <w:lang w:val="en-US"/>
        </w:rPr>
        <w:t xml:space="preserve">General </w:t>
      </w:r>
      <w:r w:rsidR="00223F26" w:rsidRPr="00B7260C">
        <w:rPr>
          <w:rFonts w:asciiTheme="minorHAnsi" w:hAnsiTheme="minorHAnsi" w:cstheme="minorHAnsi"/>
          <w:szCs w:val="24"/>
          <w:lang w:val="en-US"/>
        </w:rPr>
        <w:t xml:space="preserve">Mr Houlin Zhao, to make introductory remarks. </w:t>
      </w:r>
    </w:p>
    <w:p w14:paraId="2E1C8B54" w14:textId="3FCC34BC" w:rsidR="00B7260C" w:rsidRPr="00B7260C" w:rsidRDefault="00B7260C" w:rsidP="00CE1746">
      <w:pPr>
        <w:pStyle w:val="ListParagraph"/>
        <w:numPr>
          <w:ilvl w:val="1"/>
          <w:numId w:val="5"/>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lang w:val="en-US"/>
        </w:rPr>
      </w:pPr>
      <w:r>
        <w:rPr>
          <w:rFonts w:asciiTheme="minorHAnsi" w:hAnsiTheme="minorHAnsi" w:cstheme="minorHAnsi"/>
          <w:szCs w:val="24"/>
          <w:lang w:val="en-US"/>
        </w:rPr>
        <w:t>The Secretary</w:t>
      </w:r>
      <w:r w:rsidR="00031A9E">
        <w:rPr>
          <w:rFonts w:asciiTheme="minorHAnsi" w:hAnsiTheme="minorHAnsi" w:cstheme="minorHAnsi"/>
          <w:szCs w:val="24"/>
          <w:lang w:val="en-US"/>
        </w:rPr>
        <w:t>-</w:t>
      </w:r>
      <w:r>
        <w:rPr>
          <w:rFonts w:asciiTheme="minorHAnsi" w:hAnsiTheme="minorHAnsi" w:cstheme="minorHAnsi"/>
          <w:szCs w:val="24"/>
          <w:lang w:val="en-US"/>
        </w:rPr>
        <w:t>General noted that t</w:t>
      </w:r>
      <w:r w:rsidR="00E029D6" w:rsidRPr="00B7260C">
        <w:rPr>
          <w:rFonts w:asciiTheme="minorHAnsi" w:hAnsiTheme="minorHAnsi" w:cstheme="minorHAnsi"/>
          <w:bCs/>
          <w:szCs w:val="24"/>
        </w:rPr>
        <w:t xml:space="preserve">his </w:t>
      </w:r>
      <w:r w:rsidR="00E31B47" w:rsidRPr="00D26BB0">
        <w:rPr>
          <w:rFonts w:asciiTheme="minorHAnsi" w:hAnsiTheme="minorHAnsi" w:cstheme="minorHAnsi"/>
          <w:szCs w:val="24"/>
          <w:lang w:eastAsia="ko-KR"/>
        </w:rPr>
        <w:t>Ad Hoc Group</w:t>
      </w:r>
      <w:r w:rsidR="00E31B47" w:rsidRPr="00B7260C">
        <w:rPr>
          <w:rFonts w:asciiTheme="minorHAnsi" w:hAnsiTheme="minorHAnsi" w:cstheme="minorHAnsi"/>
          <w:bCs/>
          <w:szCs w:val="24"/>
        </w:rPr>
        <w:t xml:space="preserve"> </w:t>
      </w:r>
      <w:r w:rsidR="00E029D6" w:rsidRPr="00B7260C">
        <w:rPr>
          <w:rFonts w:asciiTheme="minorHAnsi" w:hAnsiTheme="minorHAnsi" w:cstheme="minorHAnsi"/>
          <w:bCs/>
          <w:szCs w:val="24"/>
        </w:rPr>
        <w:t xml:space="preserve">is tasked with engaging fully on the outcomes and recommendations put forward by PwC following their comprehensive review </w:t>
      </w:r>
      <w:r w:rsidR="00E029D6" w:rsidRPr="00B7260C">
        <w:rPr>
          <w:rFonts w:asciiTheme="minorHAnsi" w:hAnsiTheme="minorHAnsi" w:cstheme="minorHAnsi"/>
          <w:bCs/>
          <w:szCs w:val="24"/>
        </w:rPr>
        <w:lastRenderedPageBreak/>
        <w:t xml:space="preserve">of ITU’s regional presence. </w:t>
      </w:r>
      <w:r>
        <w:rPr>
          <w:rFonts w:asciiTheme="minorHAnsi" w:hAnsiTheme="minorHAnsi" w:cstheme="minorHAnsi"/>
          <w:bCs/>
          <w:szCs w:val="24"/>
        </w:rPr>
        <w:t>The Secretary</w:t>
      </w:r>
      <w:r w:rsidR="00031A9E">
        <w:rPr>
          <w:rFonts w:asciiTheme="minorHAnsi" w:hAnsiTheme="minorHAnsi" w:cstheme="minorHAnsi"/>
          <w:bCs/>
          <w:szCs w:val="24"/>
        </w:rPr>
        <w:t>-</w:t>
      </w:r>
      <w:r>
        <w:rPr>
          <w:rFonts w:asciiTheme="minorHAnsi" w:hAnsiTheme="minorHAnsi" w:cstheme="minorHAnsi"/>
          <w:bCs/>
          <w:szCs w:val="24"/>
        </w:rPr>
        <w:t xml:space="preserve">General stressed that </w:t>
      </w:r>
      <w:r w:rsidR="00E029D6" w:rsidRPr="00B7260C">
        <w:rPr>
          <w:rFonts w:asciiTheme="minorHAnsi" w:hAnsiTheme="minorHAnsi" w:cstheme="minorHAnsi"/>
          <w:bCs/>
          <w:szCs w:val="24"/>
        </w:rPr>
        <w:t xml:space="preserve">work of this </w:t>
      </w:r>
      <w:r w:rsidR="00E31B47" w:rsidRPr="00D26BB0">
        <w:rPr>
          <w:rFonts w:asciiTheme="minorHAnsi" w:hAnsiTheme="minorHAnsi" w:cstheme="minorHAnsi"/>
          <w:szCs w:val="24"/>
          <w:lang w:eastAsia="ko-KR"/>
        </w:rPr>
        <w:t>Ad Hoc Group</w:t>
      </w:r>
      <w:r w:rsidR="00E31B47" w:rsidRPr="00B7260C">
        <w:rPr>
          <w:rFonts w:asciiTheme="minorHAnsi" w:hAnsiTheme="minorHAnsi" w:cstheme="minorHAnsi"/>
          <w:bCs/>
          <w:szCs w:val="24"/>
        </w:rPr>
        <w:t xml:space="preserve"> </w:t>
      </w:r>
      <w:r w:rsidR="00E029D6" w:rsidRPr="00B7260C">
        <w:rPr>
          <w:rFonts w:asciiTheme="minorHAnsi" w:hAnsiTheme="minorHAnsi" w:cstheme="minorHAnsi"/>
          <w:bCs/>
          <w:szCs w:val="24"/>
        </w:rPr>
        <w:t xml:space="preserve">is the first step towards making concrete decisions in preparation of the next virtual consultation of </w:t>
      </w:r>
      <w:r w:rsidRPr="00B7260C">
        <w:rPr>
          <w:rFonts w:asciiTheme="minorHAnsi" w:hAnsiTheme="minorHAnsi" w:cstheme="minorHAnsi"/>
          <w:bCs/>
          <w:szCs w:val="24"/>
        </w:rPr>
        <w:t>councillors</w:t>
      </w:r>
      <w:r w:rsidR="00E029D6" w:rsidRPr="00B7260C">
        <w:rPr>
          <w:rFonts w:asciiTheme="minorHAnsi" w:hAnsiTheme="minorHAnsi" w:cstheme="minorHAnsi"/>
          <w:bCs/>
          <w:szCs w:val="24"/>
        </w:rPr>
        <w:t xml:space="preserve"> to help the </w:t>
      </w:r>
      <w:r w:rsidRPr="00B7260C">
        <w:rPr>
          <w:rFonts w:asciiTheme="minorHAnsi" w:hAnsiTheme="minorHAnsi" w:cstheme="minorHAnsi"/>
          <w:bCs/>
          <w:szCs w:val="24"/>
        </w:rPr>
        <w:t>councillors</w:t>
      </w:r>
      <w:r w:rsidR="00E029D6" w:rsidRPr="00B7260C">
        <w:rPr>
          <w:rFonts w:asciiTheme="minorHAnsi" w:hAnsiTheme="minorHAnsi" w:cstheme="minorHAnsi"/>
          <w:bCs/>
          <w:szCs w:val="24"/>
        </w:rPr>
        <w:t xml:space="preserve"> make clear decisions on how we can advance ITU’s regional presence to be fit for the future.</w:t>
      </w:r>
    </w:p>
    <w:p w14:paraId="54C6CFF1" w14:textId="1329BD2A" w:rsidR="00B7260C" w:rsidRPr="00B7260C" w:rsidRDefault="00B7260C" w:rsidP="00CE1746">
      <w:pPr>
        <w:pStyle w:val="ListParagraph"/>
        <w:numPr>
          <w:ilvl w:val="1"/>
          <w:numId w:val="5"/>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lang w:val="en-US"/>
        </w:rPr>
      </w:pPr>
      <w:r>
        <w:rPr>
          <w:rFonts w:asciiTheme="minorHAnsi" w:hAnsiTheme="minorHAnsi" w:cstheme="minorHAnsi"/>
          <w:bCs/>
          <w:szCs w:val="24"/>
          <w:lang w:val="en-US"/>
        </w:rPr>
        <w:t xml:space="preserve">The SG congratulated </w:t>
      </w:r>
      <w:r w:rsidR="00304DA3" w:rsidRPr="00B7260C">
        <w:rPr>
          <w:rFonts w:asciiTheme="minorHAnsi" w:hAnsiTheme="minorHAnsi" w:cstheme="minorHAnsi"/>
          <w:szCs w:val="24"/>
        </w:rPr>
        <w:t xml:space="preserve">Ms Stella Erebor </w:t>
      </w:r>
      <w:r>
        <w:rPr>
          <w:rFonts w:asciiTheme="minorHAnsi" w:hAnsiTheme="minorHAnsi" w:cstheme="minorHAnsi"/>
          <w:szCs w:val="24"/>
        </w:rPr>
        <w:t xml:space="preserve">on her appointment to </w:t>
      </w:r>
      <w:r w:rsidR="00304DA3" w:rsidRPr="00B7260C">
        <w:rPr>
          <w:rFonts w:asciiTheme="minorHAnsi" w:hAnsiTheme="minorHAnsi" w:cstheme="minorHAnsi"/>
          <w:szCs w:val="24"/>
        </w:rPr>
        <w:t xml:space="preserve">chair this </w:t>
      </w:r>
      <w:r w:rsidR="00E31B47" w:rsidRPr="00D26BB0">
        <w:rPr>
          <w:rFonts w:asciiTheme="minorHAnsi" w:hAnsiTheme="minorHAnsi" w:cstheme="minorHAnsi"/>
          <w:szCs w:val="24"/>
          <w:lang w:eastAsia="ko-KR"/>
        </w:rPr>
        <w:t>Ad Hoc Group</w:t>
      </w:r>
      <w:r w:rsidR="00304DA3" w:rsidRPr="00B7260C">
        <w:rPr>
          <w:rFonts w:asciiTheme="minorHAnsi" w:hAnsiTheme="minorHAnsi" w:cstheme="minorHAnsi"/>
          <w:szCs w:val="24"/>
        </w:rPr>
        <w:t xml:space="preserve"> and thank</w:t>
      </w:r>
      <w:r>
        <w:rPr>
          <w:rFonts w:asciiTheme="minorHAnsi" w:hAnsiTheme="minorHAnsi" w:cstheme="minorHAnsi"/>
          <w:szCs w:val="24"/>
        </w:rPr>
        <w:t>ed</w:t>
      </w:r>
      <w:r w:rsidR="00304DA3" w:rsidRPr="00B7260C">
        <w:rPr>
          <w:rFonts w:asciiTheme="minorHAnsi" w:hAnsiTheme="minorHAnsi" w:cstheme="minorHAnsi"/>
          <w:szCs w:val="24"/>
        </w:rPr>
        <w:t xml:space="preserve"> Ms. Erebor for the work she has already done in furthering the work of the group.</w:t>
      </w:r>
    </w:p>
    <w:p w14:paraId="5D18AC4B" w14:textId="190A726A" w:rsidR="00B7260C" w:rsidRPr="00B7260C" w:rsidRDefault="00B7260C" w:rsidP="00CE1746">
      <w:pPr>
        <w:pStyle w:val="ListParagraph"/>
        <w:numPr>
          <w:ilvl w:val="1"/>
          <w:numId w:val="5"/>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lang w:val="en-US"/>
        </w:rPr>
      </w:pPr>
      <w:r>
        <w:rPr>
          <w:rFonts w:asciiTheme="minorHAnsi" w:hAnsiTheme="minorHAnsi" w:cstheme="minorHAnsi"/>
          <w:szCs w:val="24"/>
          <w:lang w:val="en-US"/>
        </w:rPr>
        <w:t>The Secretary</w:t>
      </w:r>
      <w:r w:rsidR="00031A9E">
        <w:rPr>
          <w:rFonts w:asciiTheme="minorHAnsi" w:hAnsiTheme="minorHAnsi" w:cstheme="minorHAnsi"/>
          <w:szCs w:val="24"/>
          <w:lang w:val="en-US"/>
        </w:rPr>
        <w:t>-</w:t>
      </w:r>
      <w:r>
        <w:rPr>
          <w:rFonts w:asciiTheme="minorHAnsi" w:hAnsiTheme="minorHAnsi" w:cstheme="minorHAnsi"/>
          <w:szCs w:val="24"/>
          <w:lang w:val="en-US"/>
        </w:rPr>
        <w:t xml:space="preserve">General advised the group of the </w:t>
      </w:r>
      <w:r w:rsidRPr="00B7260C">
        <w:rPr>
          <w:rFonts w:asciiTheme="minorHAnsi" w:hAnsiTheme="minorHAnsi" w:cstheme="minorHAnsi"/>
          <w:szCs w:val="24"/>
        </w:rPr>
        <w:t xml:space="preserve">agreement </w:t>
      </w:r>
      <w:r>
        <w:rPr>
          <w:rFonts w:asciiTheme="minorHAnsi" w:hAnsiTheme="minorHAnsi" w:cstheme="minorHAnsi"/>
          <w:szCs w:val="24"/>
        </w:rPr>
        <w:t>for</w:t>
      </w:r>
      <w:r w:rsidRPr="00B7260C">
        <w:rPr>
          <w:rFonts w:asciiTheme="minorHAnsi" w:hAnsiTheme="minorHAnsi" w:cstheme="minorHAnsi"/>
          <w:szCs w:val="24"/>
        </w:rPr>
        <w:t xml:space="preserve"> </w:t>
      </w:r>
      <w:r>
        <w:rPr>
          <w:rFonts w:asciiTheme="minorHAnsi" w:hAnsiTheme="minorHAnsi" w:cstheme="minorHAnsi"/>
          <w:szCs w:val="24"/>
        </w:rPr>
        <w:t>a</w:t>
      </w:r>
      <w:r w:rsidRPr="00B7260C">
        <w:rPr>
          <w:rFonts w:asciiTheme="minorHAnsi" w:hAnsiTheme="minorHAnsi" w:cstheme="minorHAnsi"/>
          <w:szCs w:val="24"/>
        </w:rPr>
        <w:t xml:space="preserve"> virtual meeting </w:t>
      </w:r>
      <w:r>
        <w:rPr>
          <w:rFonts w:asciiTheme="minorHAnsi" w:hAnsiTheme="minorHAnsi" w:cstheme="minorHAnsi"/>
          <w:szCs w:val="24"/>
        </w:rPr>
        <w:t xml:space="preserve">of Council </w:t>
      </w:r>
      <w:r w:rsidRPr="00B7260C">
        <w:rPr>
          <w:rFonts w:asciiTheme="minorHAnsi" w:hAnsiTheme="minorHAnsi" w:cstheme="minorHAnsi"/>
          <w:szCs w:val="24"/>
        </w:rPr>
        <w:t xml:space="preserve">in June </w:t>
      </w:r>
      <w:r>
        <w:rPr>
          <w:rFonts w:asciiTheme="minorHAnsi" w:hAnsiTheme="minorHAnsi" w:cstheme="minorHAnsi"/>
          <w:szCs w:val="24"/>
        </w:rPr>
        <w:t>to</w:t>
      </w:r>
      <w:r w:rsidRPr="00B7260C">
        <w:rPr>
          <w:rFonts w:asciiTheme="minorHAnsi" w:hAnsiTheme="minorHAnsi" w:cstheme="minorHAnsi"/>
          <w:szCs w:val="24"/>
        </w:rPr>
        <w:t xml:space="preserve"> be held during the 9-day period initially planned for Council. The successful format of the previous Virtual consultations (VCC) </w:t>
      </w:r>
      <w:r>
        <w:rPr>
          <w:rFonts w:asciiTheme="minorHAnsi" w:hAnsiTheme="minorHAnsi" w:cstheme="minorHAnsi"/>
          <w:szCs w:val="24"/>
        </w:rPr>
        <w:t>would</w:t>
      </w:r>
      <w:r w:rsidRPr="00B7260C">
        <w:rPr>
          <w:rFonts w:asciiTheme="minorHAnsi" w:hAnsiTheme="minorHAnsi" w:cstheme="minorHAnsi"/>
          <w:szCs w:val="24"/>
        </w:rPr>
        <w:t xml:space="preserve"> be replicated for this meeting</w:t>
      </w:r>
      <w:r>
        <w:rPr>
          <w:rFonts w:asciiTheme="minorHAnsi" w:hAnsiTheme="minorHAnsi" w:cstheme="minorHAnsi"/>
          <w:szCs w:val="24"/>
        </w:rPr>
        <w:t xml:space="preserve"> and Secretary</w:t>
      </w:r>
      <w:r w:rsidR="00031A9E">
        <w:rPr>
          <w:rFonts w:asciiTheme="minorHAnsi" w:hAnsiTheme="minorHAnsi" w:cstheme="minorHAnsi"/>
          <w:szCs w:val="24"/>
        </w:rPr>
        <w:t>-</w:t>
      </w:r>
      <w:r>
        <w:rPr>
          <w:rFonts w:asciiTheme="minorHAnsi" w:hAnsiTheme="minorHAnsi" w:cstheme="minorHAnsi"/>
          <w:szCs w:val="24"/>
        </w:rPr>
        <w:t xml:space="preserve">General looked forward to </w:t>
      </w:r>
      <w:r w:rsidRPr="00B7260C">
        <w:rPr>
          <w:rFonts w:asciiTheme="minorHAnsi" w:hAnsiTheme="minorHAnsi" w:cstheme="minorHAnsi"/>
          <w:szCs w:val="24"/>
        </w:rPr>
        <w:t xml:space="preserve">the fruitful discussions of this group and </w:t>
      </w:r>
      <w:r>
        <w:rPr>
          <w:rFonts w:asciiTheme="minorHAnsi" w:hAnsiTheme="minorHAnsi" w:cstheme="minorHAnsi"/>
          <w:szCs w:val="24"/>
        </w:rPr>
        <w:t xml:space="preserve">its </w:t>
      </w:r>
      <w:r w:rsidRPr="00B7260C">
        <w:rPr>
          <w:rFonts w:asciiTheme="minorHAnsi" w:hAnsiTheme="minorHAnsi" w:cstheme="minorHAnsi"/>
          <w:szCs w:val="24"/>
        </w:rPr>
        <w:t>report, which will be of great importance to the ITU’s continued work to ensure that the regional presence delivers impactful benefits for all our members. With the impact of Covid-19, enhanced connectivity has never been more important, and ITU’s regional presence is at the forefront of delivery of our mandate to connect the world.</w:t>
      </w:r>
    </w:p>
    <w:p w14:paraId="76565396" w14:textId="2342B5BA" w:rsidR="00304DA3" w:rsidRPr="00B7260C" w:rsidRDefault="00B7260C" w:rsidP="00CE1746">
      <w:pPr>
        <w:pStyle w:val="ListParagraph"/>
        <w:numPr>
          <w:ilvl w:val="1"/>
          <w:numId w:val="5"/>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lang w:val="en-US"/>
        </w:rPr>
      </w:pPr>
      <w:r>
        <w:rPr>
          <w:rFonts w:asciiTheme="minorHAnsi" w:hAnsiTheme="minorHAnsi" w:cstheme="minorHAnsi"/>
          <w:szCs w:val="24"/>
          <w:lang w:val="en-US"/>
        </w:rPr>
        <w:t xml:space="preserve">The Secretary General noted with </w:t>
      </w:r>
      <w:r>
        <w:rPr>
          <w:rFonts w:asciiTheme="minorHAnsi" w:hAnsiTheme="minorHAnsi" w:cstheme="minorHAnsi"/>
          <w:color w:val="000000"/>
          <w:shd w:val="clear" w:color="auto" w:fill="FFFFFF"/>
        </w:rPr>
        <w:t>pleasure</w:t>
      </w:r>
      <w:r w:rsidRPr="00B7260C">
        <w:rPr>
          <w:rFonts w:asciiTheme="minorHAnsi" w:hAnsiTheme="minorHAnsi" w:cstheme="minorHAnsi"/>
          <w:color w:val="000000"/>
          <w:shd w:val="clear" w:color="auto" w:fill="FFFFFF"/>
        </w:rPr>
        <w:t xml:space="preserve"> that four contributions</w:t>
      </w:r>
      <w:r w:rsidRPr="00B7260C">
        <w:rPr>
          <w:rFonts w:asciiTheme="minorHAnsi" w:hAnsiTheme="minorHAnsi" w:cstheme="minorHAnsi"/>
        </w:rPr>
        <w:t xml:space="preserve"> from Members states have been received for this meeting, focused on </w:t>
      </w:r>
      <w:r w:rsidRPr="00B7260C">
        <w:rPr>
          <w:rFonts w:asciiTheme="minorHAnsi" w:hAnsiTheme="minorHAnsi" w:cstheme="minorHAnsi"/>
          <w:bCs/>
        </w:rPr>
        <w:t xml:space="preserve">strengthening the regional presence through clear strategic objectives, and strong, </w:t>
      </w:r>
      <w:proofErr w:type="gramStart"/>
      <w:r w:rsidRPr="00B7260C">
        <w:rPr>
          <w:rFonts w:asciiTheme="minorHAnsi" w:hAnsiTheme="minorHAnsi" w:cstheme="minorHAnsi"/>
          <w:bCs/>
        </w:rPr>
        <w:t>effective</w:t>
      </w:r>
      <w:proofErr w:type="gramEnd"/>
      <w:r w:rsidRPr="00B7260C">
        <w:rPr>
          <w:rFonts w:asciiTheme="minorHAnsi" w:hAnsiTheme="minorHAnsi" w:cstheme="minorHAnsi"/>
          <w:bCs/>
        </w:rPr>
        <w:t xml:space="preserve"> and sustainable positioning</w:t>
      </w:r>
      <w:r w:rsidRPr="00B7260C">
        <w:rPr>
          <w:rFonts w:asciiTheme="minorHAnsi" w:hAnsiTheme="minorHAnsi" w:cstheme="minorHAnsi"/>
        </w:rPr>
        <w:t>. These contributions will broaden the debate and I hope that a consensus will emerge from your work.</w:t>
      </w:r>
    </w:p>
    <w:p w14:paraId="048A121B" w14:textId="400A4FFC" w:rsidR="00B32489" w:rsidRPr="00D26BB0" w:rsidRDefault="00B32489" w:rsidP="00CE1746">
      <w:pPr>
        <w:pStyle w:val="Fixed"/>
        <w:numPr>
          <w:ilvl w:val="0"/>
          <w:numId w:val="3"/>
        </w:numPr>
        <w:spacing w:before="240" w:after="120" w:line="276" w:lineRule="auto"/>
        <w:ind w:left="567" w:right="0" w:hanging="567"/>
        <w:rPr>
          <w:rFonts w:asciiTheme="minorHAnsi" w:hAnsiTheme="minorHAnsi" w:cstheme="minorHAnsi"/>
          <w:b/>
          <w:bCs/>
          <w:lang w:val="en-GB" w:eastAsia="ko-KR"/>
        </w:rPr>
      </w:pPr>
      <w:r w:rsidRPr="00D26BB0">
        <w:rPr>
          <w:rFonts w:asciiTheme="minorHAnsi" w:hAnsiTheme="minorHAnsi" w:cstheme="minorHAnsi"/>
          <w:b/>
          <w:bCs/>
        </w:rPr>
        <w:t>Adoption of Agenda</w:t>
      </w:r>
    </w:p>
    <w:p w14:paraId="014384D0" w14:textId="5F0C09E7" w:rsidR="00B32489" w:rsidRPr="00D26BB0" w:rsidRDefault="00913B9D" w:rsidP="00CE1746">
      <w:pPr>
        <w:pStyle w:val="Fixed"/>
        <w:numPr>
          <w:ilvl w:val="1"/>
          <w:numId w:val="4"/>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Mr. Bereaux</w:t>
      </w:r>
      <w:r w:rsidR="00B32489" w:rsidRPr="00D26BB0">
        <w:rPr>
          <w:rFonts w:asciiTheme="minorHAnsi" w:hAnsiTheme="minorHAnsi" w:cstheme="minorHAnsi"/>
        </w:rPr>
        <w:t xml:space="preserve"> tabled the Agenda, document </w:t>
      </w:r>
      <w:r w:rsidR="00B32489" w:rsidRPr="00D26BB0">
        <w:rPr>
          <w:rFonts w:asciiTheme="minorHAnsi" w:hAnsiTheme="minorHAnsi" w:cstheme="minorHAnsi"/>
          <w:spacing w:val="-4"/>
          <w:lang w:val="de-CH"/>
        </w:rPr>
        <w:t>CWG-FHR-AH-RegPres-</w:t>
      </w:r>
      <w:r w:rsidRPr="00D26BB0">
        <w:rPr>
          <w:rFonts w:asciiTheme="minorHAnsi" w:hAnsiTheme="minorHAnsi" w:cstheme="minorHAnsi"/>
          <w:spacing w:val="-4"/>
          <w:lang w:val="de-CH"/>
        </w:rPr>
        <w:t>2</w:t>
      </w:r>
      <w:r w:rsidR="00B32489" w:rsidRPr="00D26BB0">
        <w:rPr>
          <w:rFonts w:asciiTheme="minorHAnsi" w:hAnsiTheme="minorHAnsi" w:cstheme="minorHAnsi"/>
          <w:spacing w:val="-4"/>
          <w:lang w:val="de-CH"/>
        </w:rPr>
        <w:t xml:space="preserve">/1 and </w:t>
      </w:r>
      <w:r w:rsidR="00B32489" w:rsidRPr="00D26BB0">
        <w:rPr>
          <w:rFonts w:asciiTheme="minorHAnsi" w:hAnsiTheme="minorHAnsi" w:cstheme="minorHAnsi"/>
        </w:rPr>
        <w:t>opened the floor for comments on the Agenda.</w:t>
      </w:r>
    </w:p>
    <w:p w14:paraId="19F4480A" w14:textId="7146E006" w:rsidR="00B32489" w:rsidRPr="00D26BB0" w:rsidRDefault="00B32489" w:rsidP="00CE1746">
      <w:pPr>
        <w:pStyle w:val="Fixed"/>
        <w:numPr>
          <w:ilvl w:val="1"/>
          <w:numId w:val="4"/>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No comments were made so the Agenda was adopted as tabled.</w:t>
      </w:r>
    </w:p>
    <w:p w14:paraId="49AC67A0" w14:textId="51FA3E28" w:rsidR="00B32489" w:rsidRPr="00D26BB0" w:rsidRDefault="00913B9D" w:rsidP="00CE1746">
      <w:pPr>
        <w:pStyle w:val="Fixed"/>
        <w:numPr>
          <w:ilvl w:val="0"/>
          <w:numId w:val="4"/>
        </w:numPr>
        <w:spacing w:before="240" w:after="120" w:line="276" w:lineRule="auto"/>
        <w:ind w:left="567" w:right="0" w:hanging="567"/>
        <w:rPr>
          <w:rFonts w:asciiTheme="minorHAnsi" w:hAnsiTheme="minorHAnsi" w:cstheme="minorHAnsi"/>
          <w:b/>
          <w:bCs/>
          <w:lang w:val="en-GB" w:eastAsia="ko-KR"/>
        </w:rPr>
      </w:pPr>
      <w:r w:rsidRPr="00D26BB0">
        <w:rPr>
          <w:rFonts w:asciiTheme="minorHAnsi" w:hAnsiTheme="minorHAnsi" w:cstheme="minorHAnsi"/>
          <w:b/>
          <w:bCs/>
          <w:lang w:val="en-GB" w:eastAsia="ko-KR"/>
        </w:rPr>
        <w:t>Report of the First Meeting</w:t>
      </w:r>
    </w:p>
    <w:p w14:paraId="5A79F49D" w14:textId="5BE44DD6" w:rsidR="00B32489" w:rsidRPr="00D26BB0" w:rsidRDefault="00913B9D" w:rsidP="00CE1746">
      <w:pPr>
        <w:pStyle w:val="Fixed"/>
        <w:numPr>
          <w:ilvl w:val="1"/>
          <w:numId w:val="4"/>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Mr. Bereaux</w:t>
      </w:r>
      <w:r w:rsidR="00B32489" w:rsidRPr="00D26BB0">
        <w:rPr>
          <w:rFonts w:asciiTheme="minorHAnsi" w:hAnsiTheme="minorHAnsi" w:cstheme="minorHAnsi"/>
        </w:rPr>
        <w:t xml:space="preserve"> </w:t>
      </w:r>
      <w:r w:rsidR="00883D21" w:rsidRPr="00D26BB0">
        <w:rPr>
          <w:rFonts w:asciiTheme="minorHAnsi" w:hAnsiTheme="minorHAnsi" w:cstheme="minorHAnsi"/>
        </w:rPr>
        <w:t>tabled</w:t>
      </w:r>
      <w:r w:rsidR="00B32489" w:rsidRPr="00D26BB0">
        <w:rPr>
          <w:rFonts w:asciiTheme="minorHAnsi" w:hAnsiTheme="minorHAnsi" w:cstheme="minorHAnsi"/>
        </w:rPr>
        <w:t xml:space="preserve"> the </w:t>
      </w:r>
      <w:r w:rsidRPr="00D26BB0">
        <w:rPr>
          <w:rFonts w:asciiTheme="minorHAnsi" w:hAnsiTheme="minorHAnsi" w:cstheme="minorHAnsi"/>
        </w:rPr>
        <w:t>Summary Report of the meeting of</w:t>
      </w:r>
      <w:r w:rsidR="00B32489" w:rsidRPr="00D26BB0">
        <w:rPr>
          <w:rFonts w:asciiTheme="minorHAnsi" w:hAnsiTheme="minorHAnsi" w:cstheme="minorHAnsi"/>
        </w:rPr>
        <w:t xml:space="preserve"> the Ad Hoc Group</w:t>
      </w:r>
      <w:r w:rsidRPr="00D26BB0">
        <w:rPr>
          <w:rFonts w:asciiTheme="minorHAnsi" w:hAnsiTheme="minorHAnsi" w:cstheme="minorHAnsi"/>
        </w:rPr>
        <w:t xml:space="preserve"> held on 23 March 2021</w:t>
      </w:r>
      <w:r w:rsidR="00B32489" w:rsidRPr="00D26BB0">
        <w:rPr>
          <w:rFonts w:asciiTheme="minorHAnsi" w:hAnsiTheme="minorHAnsi" w:cstheme="minorHAnsi"/>
        </w:rPr>
        <w:t xml:space="preserve">, contained in Document </w:t>
      </w:r>
      <w:r w:rsidR="00B32489" w:rsidRPr="00D26BB0">
        <w:rPr>
          <w:rFonts w:asciiTheme="minorHAnsi" w:hAnsiTheme="minorHAnsi" w:cstheme="minorHAnsi"/>
          <w:spacing w:val="-4"/>
          <w:lang w:val="de-CH"/>
        </w:rPr>
        <w:t>CWG-FHR-AH-RegPres-1/</w:t>
      </w:r>
      <w:r w:rsidR="009828F9" w:rsidRPr="00D26BB0">
        <w:rPr>
          <w:rFonts w:asciiTheme="minorHAnsi" w:hAnsiTheme="minorHAnsi" w:cstheme="minorHAnsi"/>
        </w:rPr>
        <w:t>6</w:t>
      </w:r>
      <w:r w:rsidR="00883D21" w:rsidRPr="00D26BB0">
        <w:rPr>
          <w:rFonts w:asciiTheme="minorHAnsi" w:hAnsiTheme="minorHAnsi" w:cstheme="minorHAnsi"/>
        </w:rPr>
        <w:t>.</w:t>
      </w:r>
    </w:p>
    <w:p w14:paraId="185433E3" w14:textId="7AA7F529" w:rsidR="00B32489" w:rsidRPr="00D26BB0" w:rsidRDefault="00883D21" w:rsidP="00CE1746">
      <w:pPr>
        <w:pStyle w:val="Fixed"/>
        <w:numPr>
          <w:ilvl w:val="1"/>
          <w:numId w:val="4"/>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eastAsia="ko-KR"/>
        </w:rPr>
        <w:t>The</w:t>
      </w:r>
      <w:r w:rsidR="009828F9" w:rsidRPr="00D26BB0">
        <w:rPr>
          <w:rFonts w:asciiTheme="minorHAnsi" w:hAnsiTheme="minorHAnsi" w:cstheme="minorHAnsi"/>
          <w:lang w:val="en-GB" w:eastAsia="ko-KR"/>
        </w:rPr>
        <w:t>re being no requests for the floor, the</w:t>
      </w:r>
      <w:r w:rsidRPr="00D26BB0">
        <w:rPr>
          <w:rFonts w:asciiTheme="minorHAnsi" w:hAnsiTheme="minorHAnsi" w:cstheme="minorHAnsi"/>
          <w:lang w:val="en-GB" w:eastAsia="ko-KR"/>
        </w:rPr>
        <w:t xml:space="preserve"> </w:t>
      </w:r>
      <w:r w:rsidR="009828F9" w:rsidRPr="00D26BB0">
        <w:rPr>
          <w:rFonts w:asciiTheme="minorHAnsi" w:hAnsiTheme="minorHAnsi" w:cstheme="minorHAnsi"/>
          <w:lang w:val="en-GB" w:eastAsia="ko-KR"/>
        </w:rPr>
        <w:t>Report</w:t>
      </w:r>
      <w:r w:rsidRPr="00D26BB0">
        <w:rPr>
          <w:rFonts w:asciiTheme="minorHAnsi" w:hAnsiTheme="minorHAnsi" w:cstheme="minorHAnsi"/>
          <w:lang w:val="en-GB" w:eastAsia="ko-KR"/>
        </w:rPr>
        <w:t xml:space="preserve"> </w:t>
      </w:r>
      <w:r w:rsidR="009828F9" w:rsidRPr="00D26BB0">
        <w:rPr>
          <w:rFonts w:asciiTheme="minorHAnsi" w:hAnsiTheme="minorHAnsi" w:cstheme="minorHAnsi"/>
          <w:lang w:val="en-GB" w:eastAsia="ko-KR"/>
        </w:rPr>
        <w:t>was</w:t>
      </w:r>
      <w:r w:rsidRPr="00D26BB0">
        <w:rPr>
          <w:rFonts w:asciiTheme="minorHAnsi" w:hAnsiTheme="minorHAnsi" w:cstheme="minorHAnsi"/>
          <w:lang w:val="en-GB" w:eastAsia="ko-KR"/>
        </w:rPr>
        <w:t xml:space="preserve"> noted </w:t>
      </w:r>
      <w:r w:rsidR="009828F9" w:rsidRPr="00D26BB0">
        <w:rPr>
          <w:rFonts w:asciiTheme="minorHAnsi" w:hAnsiTheme="minorHAnsi" w:cstheme="minorHAnsi"/>
          <w:lang w:val="en-GB" w:eastAsia="ko-KR"/>
        </w:rPr>
        <w:t xml:space="preserve">and adopted </w:t>
      </w:r>
      <w:r w:rsidRPr="00D26BB0">
        <w:rPr>
          <w:rFonts w:asciiTheme="minorHAnsi" w:hAnsiTheme="minorHAnsi" w:cstheme="minorHAnsi"/>
          <w:lang w:val="en-GB" w:eastAsia="ko-KR"/>
        </w:rPr>
        <w:t>by the Ad Hoc Group.</w:t>
      </w:r>
    </w:p>
    <w:p w14:paraId="1B95D8E8" w14:textId="53B13EFF" w:rsidR="00647ED1" w:rsidRPr="00D26BB0" w:rsidRDefault="009828F9" w:rsidP="00CE1746">
      <w:pPr>
        <w:pStyle w:val="Fixed"/>
        <w:numPr>
          <w:ilvl w:val="0"/>
          <w:numId w:val="4"/>
        </w:numPr>
        <w:spacing w:before="240" w:after="120" w:line="276" w:lineRule="auto"/>
        <w:ind w:left="567" w:right="0" w:hanging="567"/>
        <w:rPr>
          <w:rFonts w:asciiTheme="minorHAnsi" w:hAnsiTheme="minorHAnsi" w:cstheme="minorHAnsi"/>
          <w:b/>
          <w:bCs/>
          <w:lang w:val="en-GB" w:eastAsia="ko-KR"/>
        </w:rPr>
      </w:pPr>
      <w:r w:rsidRPr="00D26BB0">
        <w:rPr>
          <w:rFonts w:asciiTheme="minorHAnsi" w:hAnsiTheme="minorHAnsi" w:cstheme="minorHAnsi"/>
          <w:b/>
          <w:bCs/>
          <w:lang w:val="en-GB" w:eastAsia="ko-KR"/>
        </w:rPr>
        <w:t xml:space="preserve">Member Contributions </w:t>
      </w:r>
      <w:r w:rsidR="00FF329A" w:rsidRPr="00D26BB0">
        <w:rPr>
          <w:rFonts w:asciiTheme="minorHAnsi" w:hAnsiTheme="minorHAnsi" w:cstheme="minorHAnsi"/>
          <w:b/>
          <w:bCs/>
          <w:lang w:val="en-GB" w:eastAsia="ko-KR"/>
        </w:rPr>
        <w:t xml:space="preserve"> </w:t>
      </w:r>
    </w:p>
    <w:p w14:paraId="529ADD24" w14:textId="237AAEEA" w:rsidR="007813D2" w:rsidRPr="00D26BB0" w:rsidRDefault="007813D2" w:rsidP="00B7260C">
      <w:pPr>
        <w:tabs>
          <w:tab w:val="clear" w:pos="567"/>
          <w:tab w:val="clear" w:pos="1134"/>
          <w:tab w:val="clear" w:pos="1701"/>
          <w:tab w:val="clear" w:pos="2268"/>
          <w:tab w:val="clear" w:pos="2835"/>
        </w:tabs>
        <w:spacing w:before="240" w:after="120" w:line="276" w:lineRule="auto"/>
        <w:ind w:left="567" w:hanging="567"/>
        <w:rPr>
          <w:rFonts w:asciiTheme="minorHAnsi" w:hAnsiTheme="minorHAnsi" w:cstheme="minorHAnsi"/>
          <w:szCs w:val="24"/>
        </w:rPr>
      </w:pPr>
      <w:r w:rsidRPr="00D26BB0">
        <w:rPr>
          <w:rFonts w:asciiTheme="minorHAnsi" w:hAnsiTheme="minorHAnsi" w:cstheme="minorHAnsi"/>
          <w:szCs w:val="24"/>
          <w:lang w:eastAsia="ko-KR"/>
        </w:rPr>
        <w:t>4.1</w:t>
      </w:r>
      <w:r w:rsidRPr="00D26BB0">
        <w:rPr>
          <w:rFonts w:asciiTheme="minorHAnsi" w:hAnsiTheme="minorHAnsi" w:cstheme="minorHAnsi"/>
          <w:szCs w:val="24"/>
          <w:lang w:eastAsia="ko-KR"/>
        </w:rPr>
        <w:tab/>
      </w:r>
      <w:r w:rsidR="00F52243" w:rsidRPr="00D26BB0">
        <w:rPr>
          <w:rFonts w:asciiTheme="minorHAnsi" w:hAnsiTheme="minorHAnsi" w:cstheme="minorHAnsi"/>
          <w:szCs w:val="24"/>
          <w:lang w:eastAsia="ko-KR"/>
        </w:rPr>
        <w:t xml:space="preserve">Document 3 </w:t>
      </w:r>
      <w:r w:rsidR="004902F1" w:rsidRPr="00D26BB0">
        <w:rPr>
          <w:rFonts w:asciiTheme="minorHAnsi" w:hAnsiTheme="minorHAnsi" w:cstheme="minorHAnsi"/>
          <w:szCs w:val="24"/>
          <w:lang w:eastAsia="ko-KR"/>
        </w:rPr>
        <w:t xml:space="preserve">was presented </w:t>
      </w:r>
      <w:r w:rsidR="00F52243" w:rsidRPr="00D26BB0">
        <w:rPr>
          <w:rFonts w:asciiTheme="minorHAnsi" w:hAnsiTheme="minorHAnsi" w:cstheme="minorHAnsi"/>
          <w:szCs w:val="24"/>
          <w:lang w:eastAsia="ko-KR"/>
        </w:rPr>
        <w:t>on behalf of the United States</w:t>
      </w:r>
      <w:r w:rsidR="00FF329A" w:rsidRPr="00D26BB0">
        <w:rPr>
          <w:rFonts w:asciiTheme="minorHAnsi" w:hAnsiTheme="minorHAnsi" w:cstheme="minorHAnsi"/>
          <w:b/>
          <w:bCs/>
          <w:szCs w:val="24"/>
        </w:rPr>
        <w:t>.</w:t>
      </w:r>
      <w:r w:rsidR="00FF329A" w:rsidRPr="00D26BB0">
        <w:rPr>
          <w:rFonts w:asciiTheme="minorHAnsi" w:hAnsiTheme="minorHAnsi" w:cstheme="minorHAnsi"/>
          <w:szCs w:val="24"/>
        </w:rPr>
        <w:t xml:space="preserve"> </w:t>
      </w:r>
      <w:r w:rsidR="00BA3C1D" w:rsidRPr="00D26BB0">
        <w:rPr>
          <w:rFonts w:asciiTheme="minorHAnsi" w:hAnsiTheme="minorHAnsi" w:cstheme="minorHAnsi"/>
          <w:bCs/>
          <w:szCs w:val="24"/>
        </w:rPr>
        <w:t xml:space="preserve">The United States reiterated the </w:t>
      </w:r>
      <w:r w:rsidR="00A5460F" w:rsidRPr="00D26BB0">
        <w:rPr>
          <w:rFonts w:asciiTheme="minorHAnsi" w:hAnsiTheme="minorHAnsi" w:cstheme="minorHAnsi"/>
          <w:bCs/>
          <w:szCs w:val="24"/>
        </w:rPr>
        <w:t>belief</w:t>
      </w:r>
      <w:r w:rsidR="00BA3C1D" w:rsidRPr="00D26BB0">
        <w:rPr>
          <w:rFonts w:asciiTheme="minorHAnsi" w:hAnsiTheme="minorHAnsi" w:cstheme="minorHAnsi"/>
          <w:bCs/>
          <w:szCs w:val="24"/>
        </w:rPr>
        <w:t xml:space="preserve"> </w:t>
      </w:r>
      <w:r w:rsidR="00A5460F" w:rsidRPr="00D26BB0">
        <w:rPr>
          <w:rFonts w:asciiTheme="minorHAnsi" w:hAnsiTheme="minorHAnsi" w:cstheme="minorHAnsi"/>
          <w:bCs/>
          <w:szCs w:val="24"/>
        </w:rPr>
        <w:t>that</w:t>
      </w:r>
      <w:r w:rsidR="00BA3C1D" w:rsidRPr="00D26BB0">
        <w:rPr>
          <w:rFonts w:asciiTheme="minorHAnsi" w:hAnsiTheme="minorHAnsi" w:cstheme="minorHAnsi"/>
          <w:bCs/>
          <w:szCs w:val="24"/>
        </w:rPr>
        <w:t xml:space="preserve"> ITU regional presence </w:t>
      </w:r>
      <w:r w:rsidR="00A5460F" w:rsidRPr="00D26BB0">
        <w:rPr>
          <w:rFonts w:asciiTheme="minorHAnsi" w:hAnsiTheme="minorHAnsi" w:cstheme="minorHAnsi"/>
          <w:bCs/>
          <w:szCs w:val="24"/>
        </w:rPr>
        <w:t xml:space="preserve">is important </w:t>
      </w:r>
      <w:r w:rsidR="00BA3C1D" w:rsidRPr="00D26BB0">
        <w:rPr>
          <w:rFonts w:asciiTheme="minorHAnsi" w:hAnsiTheme="minorHAnsi" w:cstheme="minorHAnsi"/>
          <w:bCs/>
          <w:szCs w:val="24"/>
        </w:rPr>
        <w:t xml:space="preserve">as a valuable means for the ITU to work closely with the membership </w:t>
      </w:r>
      <w:r w:rsidR="00E31B47" w:rsidRPr="00D26BB0">
        <w:rPr>
          <w:rFonts w:asciiTheme="minorHAnsi" w:hAnsiTheme="minorHAnsi" w:cstheme="minorHAnsi"/>
          <w:bCs/>
          <w:szCs w:val="24"/>
        </w:rPr>
        <w:t>to</w:t>
      </w:r>
      <w:r w:rsidR="00BA3C1D" w:rsidRPr="00D26BB0">
        <w:rPr>
          <w:rFonts w:asciiTheme="minorHAnsi" w:hAnsiTheme="minorHAnsi" w:cstheme="minorHAnsi"/>
          <w:bCs/>
          <w:szCs w:val="24"/>
        </w:rPr>
        <w:t xml:space="preserve"> facilitate greater efficiency and wider participation at lower cost for all </w:t>
      </w:r>
      <w:r w:rsidR="00A5460F" w:rsidRPr="00D26BB0">
        <w:rPr>
          <w:rFonts w:asciiTheme="minorHAnsi" w:hAnsiTheme="minorHAnsi" w:cstheme="minorHAnsi"/>
          <w:bCs/>
          <w:szCs w:val="24"/>
        </w:rPr>
        <w:t xml:space="preserve">ITU </w:t>
      </w:r>
      <w:r w:rsidR="00BA3C1D" w:rsidRPr="00D26BB0">
        <w:rPr>
          <w:rFonts w:asciiTheme="minorHAnsi" w:hAnsiTheme="minorHAnsi" w:cstheme="minorHAnsi"/>
          <w:bCs/>
          <w:szCs w:val="24"/>
        </w:rPr>
        <w:t xml:space="preserve">members, especially those from developing countries. The United States </w:t>
      </w:r>
      <w:r w:rsidR="00A5460F" w:rsidRPr="00D26BB0">
        <w:rPr>
          <w:rFonts w:asciiTheme="minorHAnsi" w:hAnsiTheme="minorHAnsi" w:cstheme="minorHAnsi"/>
          <w:bCs/>
          <w:szCs w:val="24"/>
        </w:rPr>
        <w:t xml:space="preserve">believed that </w:t>
      </w:r>
      <w:r w:rsidR="00A5460F" w:rsidRPr="00D26BB0">
        <w:rPr>
          <w:rFonts w:asciiTheme="minorHAnsi" w:hAnsiTheme="minorHAnsi" w:cstheme="minorHAnsi"/>
          <w:bCs/>
          <w:szCs w:val="24"/>
        </w:rPr>
        <w:lastRenderedPageBreak/>
        <w:t xml:space="preserve">the </w:t>
      </w:r>
      <w:r w:rsidR="00E31B47" w:rsidRPr="00D26BB0">
        <w:rPr>
          <w:rFonts w:asciiTheme="minorHAnsi" w:hAnsiTheme="minorHAnsi" w:cstheme="minorHAnsi"/>
          <w:szCs w:val="24"/>
          <w:lang w:eastAsia="ko-KR"/>
        </w:rPr>
        <w:t>Ad Hoc Group</w:t>
      </w:r>
      <w:r w:rsidR="00E31B47" w:rsidRPr="00D26BB0">
        <w:rPr>
          <w:rFonts w:asciiTheme="minorHAnsi" w:hAnsiTheme="minorHAnsi" w:cstheme="minorHAnsi"/>
          <w:bCs/>
          <w:szCs w:val="24"/>
        </w:rPr>
        <w:t xml:space="preserve"> </w:t>
      </w:r>
      <w:r w:rsidR="00BA3C1D" w:rsidRPr="00D26BB0">
        <w:rPr>
          <w:rFonts w:asciiTheme="minorHAnsi" w:hAnsiTheme="minorHAnsi" w:cstheme="minorHAnsi"/>
          <w:bCs/>
          <w:szCs w:val="24"/>
        </w:rPr>
        <w:t xml:space="preserve">should produce recommendations regarding a path forward on regional presence for Council decision.  To accomplish this, the United States considers that the </w:t>
      </w:r>
      <w:r w:rsidR="00E31B47" w:rsidRPr="00D26BB0">
        <w:rPr>
          <w:rFonts w:asciiTheme="minorHAnsi" w:hAnsiTheme="minorHAnsi" w:cstheme="minorHAnsi"/>
          <w:szCs w:val="24"/>
          <w:lang w:eastAsia="ko-KR"/>
        </w:rPr>
        <w:t>Ad Hoc Group</w:t>
      </w:r>
      <w:r w:rsidR="00E31B47" w:rsidRPr="00D26BB0">
        <w:rPr>
          <w:rFonts w:asciiTheme="minorHAnsi" w:hAnsiTheme="minorHAnsi" w:cstheme="minorHAnsi"/>
          <w:bCs/>
          <w:szCs w:val="24"/>
        </w:rPr>
        <w:t xml:space="preserve"> </w:t>
      </w:r>
      <w:r w:rsidR="00BA3C1D" w:rsidRPr="00D26BB0">
        <w:rPr>
          <w:rFonts w:asciiTheme="minorHAnsi" w:hAnsiTheme="minorHAnsi" w:cstheme="minorHAnsi"/>
          <w:bCs/>
          <w:szCs w:val="24"/>
        </w:rPr>
        <w:t xml:space="preserve">must first focus on strategic positioning principles of ITU regional presence before structure is considered.  Form should follow function. The United States </w:t>
      </w:r>
      <w:r w:rsidR="00EE1339" w:rsidRPr="00D26BB0">
        <w:rPr>
          <w:rFonts w:asciiTheme="minorHAnsi" w:hAnsiTheme="minorHAnsi" w:cstheme="minorHAnsi"/>
          <w:bCs/>
          <w:szCs w:val="24"/>
        </w:rPr>
        <w:t xml:space="preserve">proposed the following strategic </w:t>
      </w:r>
      <w:r w:rsidRPr="00D26BB0">
        <w:rPr>
          <w:rFonts w:asciiTheme="minorHAnsi" w:hAnsiTheme="minorHAnsi" w:cstheme="minorHAnsi"/>
          <w:bCs/>
          <w:szCs w:val="24"/>
        </w:rPr>
        <w:t xml:space="preserve">principles </w:t>
      </w:r>
      <w:r w:rsidRPr="00D26BB0">
        <w:rPr>
          <w:rFonts w:asciiTheme="minorHAnsi" w:hAnsiTheme="minorHAnsi" w:cstheme="minorHAnsi"/>
          <w:szCs w:val="24"/>
        </w:rPr>
        <w:t>based on the PWC Report:</w:t>
      </w:r>
    </w:p>
    <w:p w14:paraId="1A228213" w14:textId="25B7EE17" w:rsidR="007813D2" w:rsidRPr="00D26BB0" w:rsidRDefault="007813D2" w:rsidP="00CE1746">
      <w:pPr>
        <w:pStyle w:val="ListParagraph"/>
        <w:numPr>
          <w:ilvl w:val="0"/>
          <w:numId w:val="7"/>
        </w:numPr>
        <w:tabs>
          <w:tab w:val="clear" w:pos="567"/>
          <w:tab w:val="clear" w:pos="1134"/>
          <w:tab w:val="clear" w:pos="1701"/>
          <w:tab w:val="clear" w:pos="2268"/>
          <w:tab w:val="clear" w:pos="2835"/>
        </w:tabs>
        <w:overflowPunct/>
        <w:autoSpaceDE/>
        <w:autoSpaceDN/>
        <w:adjustRightInd/>
        <w:spacing w:after="120" w:line="276" w:lineRule="auto"/>
        <w:ind w:left="1134" w:hanging="567"/>
        <w:contextualSpacing w:val="0"/>
        <w:textAlignment w:val="auto"/>
        <w:rPr>
          <w:rFonts w:asciiTheme="minorHAnsi" w:hAnsiTheme="minorHAnsi" w:cstheme="minorHAnsi"/>
          <w:szCs w:val="24"/>
        </w:rPr>
      </w:pPr>
      <w:r w:rsidRPr="00D26BB0">
        <w:rPr>
          <w:rFonts w:asciiTheme="minorHAnsi" w:hAnsiTheme="minorHAnsi" w:cstheme="minorHAnsi"/>
          <w:szCs w:val="24"/>
        </w:rPr>
        <w:t xml:space="preserve">Bringing the technical expertise of ITU </w:t>
      </w:r>
      <w:proofErr w:type="gramStart"/>
      <w:r w:rsidRPr="00D26BB0">
        <w:rPr>
          <w:rFonts w:asciiTheme="minorHAnsi" w:hAnsiTheme="minorHAnsi" w:cstheme="minorHAnsi"/>
          <w:szCs w:val="24"/>
        </w:rPr>
        <w:t>as a whole closer</w:t>
      </w:r>
      <w:proofErr w:type="gramEnd"/>
      <w:r w:rsidRPr="00D26BB0">
        <w:rPr>
          <w:rFonts w:asciiTheme="minorHAnsi" w:hAnsiTheme="minorHAnsi" w:cstheme="minorHAnsi"/>
          <w:szCs w:val="24"/>
        </w:rPr>
        <w:t xml:space="preserve"> to its membership.</w:t>
      </w:r>
    </w:p>
    <w:p w14:paraId="38E4DE22" w14:textId="4D6B03A3" w:rsidR="007813D2" w:rsidRPr="00D26BB0" w:rsidRDefault="007813D2" w:rsidP="00CE1746">
      <w:pPr>
        <w:pStyle w:val="ListParagraph"/>
        <w:numPr>
          <w:ilvl w:val="0"/>
          <w:numId w:val="7"/>
        </w:numPr>
        <w:tabs>
          <w:tab w:val="clear" w:pos="567"/>
          <w:tab w:val="clear" w:pos="1134"/>
          <w:tab w:val="clear" w:pos="1701"/>
          <w:tab w:val="clear" w:pos="2268"/>
          <w:tab w:val="clear" w:pos="2835"/>
        </w:tabs>
        <w:overflowPunct/>
        <w:autoSpaceDE/>
        <w:autoSpaceDN/>
        <w:adjustRightInd/>
        <w:spacing w:after="120" w:line="276" w:lineRule="auto"/>
        <w:ind w:left="1134" w:hanging="567"/>
        <w:contextualSpacing w:val="0"/>
        <w:textAlignment w:val="auto"/>
        <w:rPr>
          <w:rFonts w:asciiTheme="minorHAnsi" w:hAnsiTheme="minorHAnsi" w:cstheme="minorHAnsi"/>
          <w:szCs w:val="24"/>
        </w:rPr>
      </w:pPr>
      <w:r w:rsidRPr="00D26BB0">
        <w:rPr>
          <w:rFonts w:asciiTheme="minorHAnsi" w:hAnsiTheme="minorHAnsi" w:cstheme="minorHAnsi"/>
          <w:szCs w:val="24"/>
        </w:rPr>
        <w:t>Actively fostering cross-country and cross-regional collaboration and dialogue.</w:t>
      </w:r>
    </w:p>
    <w:p w14:paraId="3F2A7FEA" w14:textId="6FDF9E6B" w:rsidR="007813D2" w:rsidRPr="00D26BB0" w:rsidRDefault="007813D2" w:rsidP="00CE1746">
      <w:pPr>
        <w:pStyle w:val="ListParagraph"/>
        <w:numPr>
          <w:ilvl w:val="0"/>
          <w:numId w:val="7"/>
        </w:numPr>
        <w:tabs>
          <w:tab w:val="clear" w:pos="567"/>
          <w:tab w:val="clear" w:pos="1134"/>
          <w:tab w:val="clear" w:pos="1701"/>
          <w:tab w:val="clear" w:pos="2268"/>
          <w:tab w:val="clear" w:pos="2835"/>
        </w:tabs>
        <w:overflowPunct/>
        <w:autoSpaceDE/>
        <w:autoSpaceDN/>
        <w:adjustRightInd/>
        <w:spacing w:after="120" w:line="276" w:lineRule="auto"/>
        <w:ind w:left="1134" w:hanging="567"/>
        <w:contextualSpacing w:val="0"/>
        <w:textAlignment w:val="auto"/>
        <w:rPr>
          <w:rFonts w:asciiTheme="minorHAnsi" w:hAnsiTheme="minorHAnsi" w:cstheme="minorHAnsi"/>
          <w:szCs w:val="24"/>
        </w:rPr>
      </w:pPr>
      <w:r w:rsidRPr="00D26BB0">
        <w:rPr>
          <w:rFonts w:asciiTheme="minorHAnsi" w:hAnsiTheme="minorHAnsi" w:cstheme="minorHAnsi"/>
          <w:szCs w:val="24"/>
        </w:rPr>
        <w:t>Designing and delivering technical assistance for developing countries in close collaboration with UN Agencies and other</w:t>
      </w:r>
      <w:r w:rsidR="0012522E" w:rsidRPr="00D26BB0">
        <w:rPr>
          <w:rFonts w:asciiTheme="minorHAnsi" w:hAnsiTheme="minorHAnsi" w:cstheme="minorHAnsi"/>
          <w:szCs w:val="24"/>
        </w:rPr>
        <w:t>s</w:t>
      </w:r>
      <w:r w:rsidRPr="00D26BB0">
        <w:rPr>
          <w:rFonts w:asciiTheme="minorHAnsi" w:hAnsiTheme="minorHAnsi" w:cstheme="minorHAnsi"/>
          <w:szCs w:val="24"/>
        </w:rPr>
        <w:t xml:space="preserve">. </w:t>
      </w:r>
    </w:p>
    <w:p w14:paraId="5C7A0B5F" w14:textId="2B2E941F" w:rsidR="007813D2" w:rsidRPr="00D26BB0" w:rsidRDefault="00B8019E" w:rsidP="00CE1746">
      <w:pPr>
        <w:pStyle w:val="ListParagraph"/>
        <w:numPr>
          <w:ilvl w:val="0"/>
          <w:numId w:val="7"/>
        </w:numPr>
        <w:tabs>
          <w:tab w:val="clear" w:pos="567"/>
          <w:tab w:val="clear" w:pos="1134"/>
          <w:tab w:val="clear" w:pos="1701"/>
          <w:tab w:val="clear" w:pos="2268"/>
          <w:tab w:val="clear" w:pos="2835"/>
        </w:tabs>
        <w:overflowPunct/>
        <w:autoSpaceDE/>
        <w:autoSpaceDN/>
        <w:adjustRightInd/>
        <w:spacing w:after="120" w:line="276" w:lineRule="auto"/>
        <w:ind w:left="1134" w:hanging="567"/>
        <w:contextualSpacing w:val="0"/>
        <w:textAlignment w:val="auto"/>
        <w:rPr>
          <w:rFonts w:asciiTheme="minorHAnsi" w:hAnsiTheme="minorHAnsi" w:cstheme="minorHAnsi"/>
          <w:szCs w:val="24"/>
        </w:rPr>
      </w:pPr>
      <w:r w:rsidRPr="00D26BB0">
        <w:rPr>
          <w:rFonts w:asciiTheme="minorHAnsi" w:hAnsiTheme="minorHAnsi" w:cstheme="minorHAnsi"/>
          <w:szCs w:val="24"/>
        </w:rPr>
        <w:t>M</w:t>
      </w:r>
      <w:r w:rsidR="007813D2" w:rsidRPr="00D26BB0">
        <w:rPr>
          <w:rFonts w:asciiTheme="minorHAnsi" w:hAnsiTheme="minorHAnsi" w:cstheme="minorHAnsi"/>
          <w:szCs w:val="24"/>
        </w:rPr>
        <w:t>obilizing the membership in line with the strategic goals and global targets listed in the Strategic Plan.</w:t>
      </w:r>
    </w:p>
    <w:p w14:paraId="34F52BB0" w14:textId="43AFB10D" w:rsidR="00B8019E" w:rsidRPr="00D26BB0" w:rsidRDefault="00B8019E" w:rsidP="00B7260C">
      <w:pPr>
        <w:tabs>
          <w:tab w:val="clear" w:pos="567"/>
          <w:tab w:val="clear" w:pos="1134"/>
          <w:tab w:val="clear" w:pos="1701"/>
          <w:tab w:val="clear" w:pos="2268"/>
          <w:tab w:val="clear" w:pos="2835"/>
        </w:tabs>
        <w:overflowPunct/>
        <w:autoSpaceDE/>
        <w:autoSpaceDN/>
        <w:adjustRightInd/>
        <w:spacing w:after="120" w:line="276" w:lineRule="auto"/>
        <w:ind w:left="567"/>
        <w:textAlignment w:val="auto"/>
        <w:rPr>
          <w:rFonts w:asciiTheme="minorHAnsi" w:hAnsiTheme="minorHAnsi" w:cstheme="minorHAnsi"/>
          <w:szCs w:val="24"/>
        </w:rPr>
      </w:pPr>
      <w:r w:rsidRPr="00D26BB0">
        <w:rPr>
          <w:rFonts w:asciiTheme="minorHAnsi" w:hAnsiTheme="minorHAnsi" w:cstheme="minorHAnsi"/>
          <w:szCs w:val="24"/>
        </w:rPr>
        <w:t xml:space="preserve">The United States believed that these four positioning principles form a </w:t>
      </w:r>
      <w:r w:rsidR="00ED7821" w:rsidRPr="00D26BB0">
        <w:rPr>
          <w:rFonts w:asciiTheme="minorHAnsi" w:hAnsiTheme="minorHAnsi" w:cstheme="minorHAnsi"/>
          <w:szCs w:val="24"/>
        </w:rPr>
        <w:t xml:space="preserve">solid foundation </w:t>
      </w:r>
      <w:proofErr w:type="gramStart"/>
      <w:r w:rsidR="00ED7821" w:rsidRPr="00D26BB0">
        <w:rPr>
          <w:rFonts w:asciiTheme="minorHAnsi" w:hAnsiTheme="minorHAnsi" w:cstheme="minorHAnsi"/>
          <w:szCs w:val="24"/>
        </w:rPr>
        <w:t>for  a</w:t>
      </w:r>
      <w:proofErr w:type="gramEnd"/>
      <w:r w:rsidR="00ED7821" w:rsidRPr="00D26BB0">
        <w:rPr>
          <w:rFonts w:asciiTheme="minorHAnsi" w:hAnsiTheme="minorHAnsi" w:cstheme="minorHAnsi"/>
          <w:szCs w:val="24"/>
        </w:rPr>
        <w:t xml:space="preserve"> vision on the role of the regional offices.</w:t>
      </w:r>
    </w:p>
    <w:p w14:paraId="05B89033" w14:textId="54C71CC9" w:rsidR="007A2B40" w:rsidRPr="00D26BB0" w:rsidRDefault="00F52243"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eastAsia="ko-KR"/>
        </w:rPr>
        <w:t xml:space="preserve">Document 4 </w:t>
      </w:r>
      <w:r w:rsidR="004902F1" w:rsidRPr="00D26BB0">
        <w:rPr>
          <w:rFonts w:asciiTheme="minorHAnsi" w:hAnsiTheme="minorHAnsi" w:cstheme="minorHAnsi"/>
          <w:lang w:val="en-GB" w:eastAsia="ko-KR"/>
        </w:rPr>
        <w:t xml:space="preserve">was presented </w:t>
      </w:r>
      <w:r w:rsidRPr="00D26BB0">
        <w:rPr>
          <w:rFonts w:asciiTheme="minorHAnsi" w:hAnsiTheme="minorHAnsi" w:cstheme="minorHAnsi"/>
          <w:lang w:val="en-GB" w:eastAsia="ko-KR"/>
        </w:rPr>
        <w:t>on behalf of Australia</w:t>
      </w:r>
      <w:r w:rsidRPr="00D26BB0">
        <w:rPr>
          <w:rFonts w:asciiTheme="minorHAnsi" w:hAnsiTheme="minorHAnsi" w:cstheme="minorHAnsi"/>
          <w:b/>
          <w:bCs/>
        </w:rPr>
        <w:t>.</w:t>
      </w:r>
      <w:r w:rsidRPr="00D26BB0">
        <w:rPr>
          <w:rFonts w:asciiTheme="minorHAnsi" w:hAnsiTheme="minorHAnsi" w:cstheme="minorHAnsi"/>
        </w:rPr>
        <w:t xml:space="preserve"> </w:t>
      </w:r>
      <w:r w:rsidR="00987546" w:rsidRPr="00D26BB0">
        <w:rPr>
          <w:rFonts w:asciiTheme="minorHAnsi" w:hAnsiTheme="minorHAnsi" w:cstheme="minorHAnsi"/>
        </w:rPr>
        <w:t xml:space="preserve">Australia noted that the report prepared by PwC provides important insights on the ITU’s regional presence and is a useful input into the review process. Australia considers the evaluation criteria utilised by PwC as valuable when assessing options for the regional presence going forward. However, Australia considers the PwC report as only one element in the review process. To ensure that there is cohesion across the </w:t>
      </w:r>
      <w:r w:rsidR="00E31B47" w:rsidRPr="00D26BB0">
        <w:rPr>
          <w:rFonts w:asciiTheme="minorHAnsi" w:hAnsiTheme="minorHAnsi" w:cstheme="minorHAnsi"/>
        </w:rPr>
        <w:t>organization</w:t>
      </w:r>
      <w:r w:rsidR="00987546" w:rsidRPr="00D26BB0">
        <w:rPr>
          <w:rFonts w:asciiTheme="minorHAnsi" w:hAnsiTheme="minorHAnsi" w:cstheme="minorHAnsi"/>
        </w:rPr>
        <w:t xml:space="preserve">, </w:t>
      </w:r>
      <w:r w:rsidR="00E21E20" w:rsidRPr="00D26BB0">
        <w:rPr>
          <w:rFonts w:asciiTheme="minorHAnsi" w:hAnsiTheme="minorHAnsi" w:cstheme="minorHAnsi"/>
        </w:rPr>
        <w:t>Australia</w:t>
      </w:r>
      <w:r w:rsidR="00987546" w:rsidRPr="00D26BB0">
        <w:rPr>
          <w:rFonts w:asciiTheme="minorHAnsi" w:hAnsiTheme="minorHAnsi" w:cstheme="minorHAnsi"/>
        </w:rPr>
        <w:t xml:space="preserve"> support</w:t>
      </w:r>
      <w:r w:rsidR="00E21E20" w:rsidRPr="00D26BB0">
        <w:rPr>
          <w:rFonts w:asciiTheme="minorHAnsi" w:hAnsiTheme="minorHAnsi" w:cstheme="minorHAnsi"/>
        </w:rPr>
        <w:t>s</w:t>
      </w:r>
      <w:r w:rsidR="00987546" w:rsidRPr="00D26BB0">
        <w:rPr>
          <w:rFonts w:asciiTheme="minorHAnsi" w:hAnsiTheme="minorHAnsi" w:cstheme="minorHAnsi"/>
        </w:rPr>
        <w:t xml:space="preserve"> the report’s assertion of the need to clarify the role of the ITU regional network within the ITU’s strategic framework and key policy documents which would allow regional offices to have clear direction and objectives.</w:t>
      </w:r>
    </w:p>
    <w:p w14:paraId="1ADC5423" w14:textId="77777777" w:rsidR="007A2B40" w:rsidRPr="00D26BB0" w:rsidRDefault="00E21E20"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In</w:t>
      </w:r>
      <w:r w:rsidR="00987546" w:rsidRPr="00D26BB0">
        <w:rPr>
          <w:rFonts w:asciiTheme="minorHAnsi" w:hAnsiTheme="minorHAnsi" w:cstheme="minorHAnsi"/>
        </w:rPr>
        <w:t xml:space="preserve"> addition to the Secretariat’s first reaction to PwC’s report, </w:t>
      </w:r>
      <w:r w:rsidRPr="00D26BB0">
        <w:rPr>
          <w:rFonts w:asciiTheme="minorHAnsi" w:hAnsiTheme="minorHAnsi" w:cstheme="minorHAnsi"/>
        </w:rPr>
        <w:t xml:space="preserve">Australia requested </w:t>
      </w:r>
      <w:r w:rsidR="00987546" w:rsidRPr="00D26BB0">
        <w:rPr>
          <w:rFonts w:asciiTheme="minorHAnsi" w:hAnsiTheme="minorHAnsi" w:cstheme="minorHAnsi"/>
        </w:rPr>
        <w:t xml:space="preserve">further reflections </w:t>
      </w:r>
      <w:r w:rsidRPr="00D26BB0">
        <w:rPr>
          <w:rFonts w:asciiTheme="minorHAnsi" w:hAnsiTheme="minorHAnsi" w:cstheme="minorHAnsi"/>
        </w:rPr>
        <w:t xml:space="preserve">from the Secretariat </w:t>
      </w:r>
      <w:r w:rsidR="00987546" w:rsidRPr="00D26BB0">
        <w:rPr>
          <w:rFonts w:asciiTheme="minorHAnsi" w:hAnsiTheme="minorHAnsi" w:cstheme="minorHAnsi"/>
        </w:rPr>
        <w:t>on how the regional presence can best support mandate delivery in a coherent and coordinated manner.</w:t>
      </w:r>
    </w:p>
    <w:p w14:paraId="6BD02EDC" w14:textId="313DCC65" w:rsidR="007A2B40" w:rsidRPr="00D26BB0" w:rsidRDefault="00E21E20"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Australia</w:t>
      </w:r>
      <w:r w:rsidR="00987546" w:rsidRPr="00D26BB0">
        <w:rPr>
          <w:rFonts w:asciiTheme="minorHAnsi" w:hAnsiTheme="minorHAnsi" w:cstheme="minorHAnsi"/>
        </w:rPr>
        <w:t xml:space="preserve"> </w:t>
      </w:r>
      <w:r w:rsidR="00E31B47">
        <w:rPr>
          <w:rFonts w:asciiTheme="minorHAnsi" w:hAnsiTheme="minorHAnsi" w:cstheme="minorHAnsi"/>
        </w:rPr>
        <w:t>proposed</w:t>
      </w:r>
      <w:r w:rsidR="00987546" w:rsidRPr="00D26BB0">
        <w:rPr>
          <w:rFonts w:asciiTheme="minorHAnsi" w:hAnsiTheme="minorHAnsi" w:cstheme="minorHAnsi"/>
        </w:rPr>
        <w:t xml:space="preserve"> </w:t>
      </w:r>
      <w:r w:rsidR="007A2B40" w:rsidRPr="00D26BB0">
        <w:rPr>
          <w:rFonts w:asciiTheme="minorHAnsi" w:hAnsiTheme="minorHAnsi" w:cstheme="minorHAnsi"/>
        </w:rPr>
        <w:t xml:space="preserve">that the </w:t>
      </w:r>
      <w:r w:rsidR="00E31B47" w:rsidRPr="00D26BB0">
        <w:rPr>
          <w:rFonts w:asciiTheme="minorHAnsi" w:hAnsiTheme="minorHAnsi" w:cstheme="minorHAnsi"/>
          <w:lang w:val="en-GB" w:eastAsia="ko-KR"/>
        </w:rPr>
        <w:t>Ad Hoc Group</w:t>
      </w:r>
      <w:r w:rsidR="00E31B47" w:rsidRPr="00D26BB0">
        <w:rPr>
          <w:rFonts w:asciiTheme="minorHAnsi" w:hAnsiTheme="minorHAnsi" w:cstheme="minorHAnsi"/>
        </w:rPr>
        <w:t xml:space="preserve"> </w:t>
      </w:r>
      <w:r w:rsidR="00987546" w:rsidRPr="00D26BB0">
        <w:rPr>
          <w:rFonts w:asciiTheme="minorHAnsi" w:hAnsiTheme="minorHAnsi" w:cstheme="minorHAnsi"/>
        </w:rPr>
        <w:t>should first focus on the specific objectives of the ITU globally and regionally, and how the regional presence assists with delivering these objectives in accordance with the ITU’s mandate.</w:t>
      </w:r>
      <w:r w:rsidR="007A2B40" w:rsidRPr="00D26BB0">
        <w:rPr>
          <w:rFonts w:asciiTheme="minorHAnsi" w:hAnsiTheme="minorHAnsi" w:cstheme="minorHAnsi"/>
          <w:lang w:val="en-GB" w:eastAsia="ko-KR"/>
        </w:rPr>
        <w:t xml:space="preserve"> </w:t>
      </w:r>
      <w:r w:rsidR="00987546" w:rsidRPr="00D26BB0">
        <w:rPr>
          <w:rFonts w:asciiTheme="minorHAnsi" w:hAnsiTheme="minorHAnsi" w:cstheme="minorHAnsi"/>
        </w:rPr>
        <w:t>Australia welcome</w:t>
      </w:r>
      <w:r w:rsidR="00E31B47">
        <w:rPr>
          <w:rFonts w:asciiTheme="minorHAnsi" w:hAnsiTheme="minorHAnsi" w:cstheme="minorHAnsi"/>
        </w:rPr>
        <w:t>d</w:t>
      </w:r>
      <w:r w:rsidR="00987546" w:rsidRPr="00D26BB0">
        <w:rPr>
          <w:rFonts w:asciiTheme="minorHAnsi" w:hAnsiTheme="minorHAnsi" w:cstheme="minorHAnsi"/>
        </w:rPr>
        <w:t xml:space="preserve"> the PwC report noting the review was conducted against the backdrop of the Sustainable Development Goals (SDG) Agenda and the reform of the UN Development system (UNDS). In a resource constrained environment, by aligning more closely with UNDS </w:t>
      </w:r>
      <w:r w:rsidR="007A2B40" w:rsidRPr="00D26BB0">
        <w:rPr>
          <w:rFonts w:asciiTheme="minorHAnsi" w:hAnsiTheme="minorHAnsi" w:cstheme="minorHAnsi"/>
        </w:rPr>
        <w:t xml:space="preserve">Australia noted that </w:t>
      </w:r>
      <w:r w:rsidR="00987546" w:rsidRPr="00D26BB0">
        <w:rPr>
          <w:rFonts w:asciiTheme="minorHAnsi" w:hAnsiTheme="minorHAnsi" w:cstheme="minorHAnsi"/>
        </w:rPr>
        <w:t xml:space="preserve">ITU could increase its impact through regional partnerships, common resource mobilization and reduced overheads, including utilisation of common administrative and logistical support functions. </w:t>
      </w:r>
      <w:r w:rsidR="007A2B40" w:rsidRPr="00D26BB0">
        <w:rPr>
          <w:rFonts w:asciiTheme="minorHAnsi" w:hAnsiTheme="minorHAnsi" w:cstheme="minorHAnsi"/>
        </w:rPr>
        <w:t xml:space="preserve">Australia expressed the need for </w:t>
      </w:r>
      <w:r w:rsidR="00987546" w:rsidRPr="00D26BB0">
        <w:rPr>
          <w:rFonts w:asciiTheme="minorHAnsi" w:hAnsiTheme="minorHAnsi" w:cstheme="minorHAnsi"/>
        </w:rPr>
        <w:t xml:space="preserve">closer and more effective cooperation between the ITU and other UN agencies to deliver on the SDG agenda and to build back better after COVID. </w:t>
      </w:r>
    </w:p>
    <w:p w14:paraId="1E16E619" w14:textId="171FFEBD" w:rsidR="00206E14" w:rsidRPr="00D26BB0" w:rsidRDefault="007A2B40"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rPr>
        <w:t xml:space="preserve">Australia considers it </w:t>
      </w:r>
      <w:r w:rsidR="00987546" w:rsidRPr="00D26BB0">
        <w:rPr>
          <w:rFonts w:asciiTheme="minorHAnsi" w:hAnsiTheme="minorHAnsi" w:cstheme="minorHAnsi"/>
        </w:rPr>
        <w:t xml:space="preserve">important the ITU strikes the right balance in the Asia-Pacific. Australia’s key considerations for the ITU’s presence in the Pacific include </w:t>
      </w:r>
      <w:r w:rsidRPr="00D26BB0">
        <w:rPr>
          <w:rFonts w:asciiTheme="minorHAnsi" w:hAnsiTheme="minorHAnsi" w:cstheme="minorHAnsi"/>
        </w:rPr>
        <w:t xml:space="preserve">its </w:t>
      </w:r>
      <w:r w:rsidR="00987546" w:rsidRPr="00D26BB0">
        <w:rPr>
          <w:rFonts w:asciiTheme="minorHAnsi" w:hAnsiTheme="minorHAnsi" w:cstheme="minorHAnsi"/>
        </w:rPr>
        <w:t xml:space="preserve">UN reform </w:t>
      </w:r>
      <w:r w:rsidR="00987546" w:rsidRPr="00D26BB0">
        <w:rPr>
          <w:rFonts w:asciiTheme="minorHAnsi" w:hAnsiTheme="minorHAnsi" w:cstheme="minorHAnsi"/>
        </w:rPr>
        <w:lastRenderedPageBreak/>
        <w:t xml:space="preserve">priorities, alignment with the delivery of the ITU’s mandate underscored by a clearly defined vision for the regional </w:t>
      </w:r>
      <w:proofErr w:type="gramStart"/>
      <w:r w:rsidR="00987546" w:rsidRPr="00D26BB0">
        <w:rPr>
          <w:rFonts w:asciiTheme="minorHAnsi" w:hAnsiTheme="minorHAnsi" w:cstheme="minorHAnsi"/>
        </w:rPr>
        <w:t>presence, and</w:t>
      </w:r>
      <w:proofErr w:type="gramEnd"/>
      <w:r w:rsidR="00987546" w:rsidRPr="00D26BB0">
        <w:rPr>
          <w:rFonts w:asciiTheme="minorHAnsi" w:hAnsiTheme="minorHAnsi" w:cstheme="minorHAnsi"/>
        </w:rPr>
        <w:t xml:space="preserve"> ensuring regional membership views are understood and promoted effectively in the </w:t>
      </w:r>
      <w:r w:rsidR="00E31B47" w:rsidRPr="00D26BB0">
        <w:rPr>
          <w:rFonts w:asciiTheme="minorHAnsi" w:hAnsiTheme="minorHAnsi" w:cstheme="minorHAnsi"/>
        </w:rPr>
        <w:t>organization</w:t>
      </w:r>
      <w:r w:rsidR="00987546" w:rsidRPr="00D26BB0">
        <w:rPr>
          <w:rFonts w:asciiTheme="minorHAnsi" w:hAnsiTheme="minorHAnsi" w:cstheme="minorHAnsi"/>
        </w:rPr>
        <w:t>.</w:t>
      </w:r>
      <w:r w:rsidRPr="00D26BB0">
        <w:rPr>
          <w:rFonts w:asciiTheme="minorHAnsi" w:hAnsiTheme="minorHAnsi" w:cstheme="minorHAnsi"/>
        </w:rPr>
        <w:t xml:space="preserve"> </w:t>
      </w:r>
      <w:r w:rsidR="00987546" w:rsidRPr="00D26BB0">
        <w:rPr>
          <w:rFonts w:asciiTheme="minorHAnsi" w:hAnsiTheme="minorHAnsi" w:cstheme="minorHAnsi"/>
        </w:rPr>
        <w:t xml:space="preserve">Australia </w:t>
      </w:r>
      <w:r w:rsidRPr="00D26BB0">
        <w:rPr>
          <w:rFonts w:asciiTheme="minorHAnsi" w:hAnsiTheme="minorHAnsi" w:cstheme="minorHAnsi"/>
        </w:rPr>
        <w:t>noted</w:t>
      </w:r>
      <w:r w:rsidR="00987546" w:rsidRPr="00D26BB0">
        <w:rPr>
          <w:rFonts w:asciiTheme="minorHAnsi" w:hAnsiTheme="minorHAnsi" w:cstheme="minorHAnsi"/>
        </w:rPr>
        <w:t xml:space="preserve"> that Pacific member countries are confronted by particularly difficult circumstances and require a more structured form of assistance. In terms of being fit for purpose, the review of alignment between the geographical distribution of the current regional presence and thematic needs is welcome. </w:t>
      </w:r>
      <w:r w:rsidRPr="00D26BB0">
        <w:rPr>
          <w:rFonts w:asciiTheme="minorHAnsi" w:hAnsiTheme="minorHAnsi" w:cstheme="minorHAnsi"/>
        </w:rPr>
        <w:t>Australia agreed with the</w:t>
      </w:r>
      <w:r w:rsidR="00987546" w:rsidRPr="00D26BB0">
        <w:rPr>
          <w:rFonts w:asciiTheme="minorHAnsi" w:hAnsiTheme="minorHAnsi" w:cstheme="minorHAnsi"/>
        </w:rPr>
        <w:t xml:space="preserve"> need </w:t>
      </w:r>
      <w:r w:rsidRPr="00D26BB0">
        <w:rPr>
          <w:rFonts w:asciiTheme="minorHAnsi" w:hAnsiTheme="minorHAnsi" w:cstheme="minorHAnsi"/>
        </w:rPr>
        <w:t xml:space="preserve">expressed in the report </w:t>
      </w:r>
      <w:r w:rsidR="00987546" w:rsidRPr="00D26BB0">
        <w:rPr>
          <w:rFonts w:asciiTheme="minorHAnsi" w:hAnsiTheme="minorHAnsi" w:cstheme="minorHAnsi"/>
        </w:rPr>
        <w:t>to “define explicit criteria detailing on which basis a regional presence should be set up. A governance process should also be established to ensure that these criteria can be regularly reviewed”. Australia would like to see the UN “do more” to address the unique challenges in the Pacific</w:t>
      </w:r>
      <w:r w:rsidRPr="00D26BB0">
        <w:rPr>
          <w:rFonts w:asciiTheme="minorHAnsi" w:hAnsiTheme="minorHAnsi" w:cstheme="minorHAnsi"/>
        </w:rPr>
        <w:t xml:space="preserve"> and</w:t>
      </w:r>
      <w:r w:rsidR="00987546" w:rsidRPr="00D26BB0">
        <w:rPr>
          <w:rFonts w:asciiTheme="minorHAnsi" w:hAnsiTheme="minorHAnsi" w:cstheme="minorHAnsi"/>
        </w:rPr>
        <w:t xml:space="preserve"> would welcome an increased ITU presence should the appropriate criteria be met to ensure there is cohesion across the organisation, and so regional offices have clear direction and objectives, and respond effectively to the unique circumstances of the countries they will be serving. </w:t>
      </w:r>
    </w:p>
    <w:p w14:paraId="72384E76" w14:textId="67C52B48" w:rsidR="00206E14" w:rsidRPr="00D26BB0" w:rsidRDefault="00F52243"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eastAsia="ko-KR"/>
        </w:rPr>
        <w:t xml:space="preserve">Document 5 </w:t>
      </w:r>
      <w:r w:rsidR="004902F1" w:rsidRPr="00D26BB0">
        <w:rPr>
          <w:rFonts w:asciiTheme="minorHAnsi" w:hAnsiTheme="minorHAnsi" w:cstheme="minorHAnsi"/>
          <w:lang w:val="en-GB" w:eastAsia="ko-KR"/>
        </w:rPr>
        <w:t xml:space="preserve">was presented </w:t>
      </w:r>
      <w:r w:rsidRPr="00D26BB0">
        <w:rPr>
          <w:rFonts w:asciiTheme="minorHAnsi" w:hAnsiTheme="minorHAnsi" w:cstheme="minorHAnsi"/>
          <w:lang w:val="en-GB" w:eastAsia="ko-KR"/>
        </w:rPr>
        <w:t xml:space="preserve">on behalf of </w:t>
      </w:r>
      <w:r w:rsidR="00A80F9F">
        <w:rPr>
          <w:rFonts w:asciiTheme="minorHAnsi" w:hAnsiTheme="minorHAnsi" w:cstheme="minorHAnsi"/>
          <w:lang w:val="en-GB" w:eastAsia="ko-KR"/>
        </w:rPr>
        <w:t>Switzerland</w:t>
      </w:r>
      <w:r w:rsidRPr="00D26BB0">
        <w:rPr>
          <w:rFonts w:asciiTheme="minorHAnsi" w:hAnsiTheme="minorHAnsi" w:cstheme="minorHAnsi"/>
          <w:b/>
          <w:bCs/>
        </w:rPr>
        <w:t>.</w:t>
      </w:r>
      <w:r w:rsidRPr="00D26BB0">
        <w:rPr>
          <w:rFonts w:asciiTheme="minorHAnsi" w:hAnsiTheme="minorHAnsi" w:cstheme="minorHAnsi"/>
        </w:rPr>
        <w:t xml:space="preserve"> </w:t>
      </w:r>
      <w:r w:rsidR="00206E14" w:rsidRPr="00D26BB0">
        <w:rPr>
          <w:rFonts w:asciiTheme="minorHAnsi" w:hAnsiTheme="minorHAnsi" w:cstheme="minorHAnsi"/>
        </w:rPr>
        <w:t xml:space="preserve">Switzerland noted that the organizational set-up of the ITU, including the regional presence, is very important for the ITU and its mandate. Switzerland deems the report prepared by PWC as valuable </w:t>
      </w:r>
      <w:r w:rsidR="00A80F9F" w:rsidRPr="00D26BB0">
        <w:rPr>
          <w:rFonts w:asciiTheme="minorHAnsi" w:hAnsiTheme="minorHAnsi" w:cstheme="minorHAnsi"/>
        </w:rPr>
        <w:t>document and</w:t>
      </w:r>
      <w:r w:rsidR="00206E14" w:rsidRPr="00D26BB0">
        <w:rPr>
          <w:rFonts w:asciiTheme="minorHAnsi" w:hAnsiTheme="minorHAnsi" w:cstheme="minorHAnsi"/>
        </w:rPr>
        <w:t xml:space="preserve"> considers that the analytical framework based on seven evaluation criteria offers an adequate lens for such an analysis. </w:t>
      </w:r>
    </w:p>
    <w:p w14:paraId="2F24A80F" w14:textId="106DCD90" w:rsidR="00206E14" w:rsidRPr="00D26BB0" w:rsidRDefault="00206E14"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 xml:space="preserve">Switzerland believed that the report primarily serves as an input for the ITU’s own reflections. In this regard Switzerland believed that the options set out do not predefine a set number of models for the ITU’s future regional presence from which the Union would have to choose and implement it one-to-one.  The options should be considered as valuable food for thought. For any future model there is the need for overall strategic planning. Specifically, given limited overall resources of the Union resource allocation should be consequent to effective planning not based on any preset model. Switzerland </w:t>
      </w:r>
      <w:r w:rsidR="00A80F9F">
        <w:rPr>
          <w:rFonts w:asciiTheme="minorHAnsi" w:hAnsiTheme="minorHAnsi" w:cstheme="minorHAnsi"/>
        </w:rPr>
        <w:t>found</w:t>
      </w:r>
      <w:r w:rsidRPr="00D26BB0">
        <w:rPr>
          <w:rFonts w:asciiTheme="minorHAnsi" w:hAnsiTheme="minorHAnsi" w:cstheme="minorHAnsi"/>
        </w:rPr>
        <w:t xml:space="preserve"> it interesting that the Secretariat opines in Annex 3</w:t>
      </w:r>
      <w:r w:rsidRPr="00D26BB0">
        <w:rPr>
          <w:rFonts w:asciiTheme="minorHAnsi" w:hAnsiTheme="minorHAnsi" w:cstheme="minorHAnsi"/>
          <w:spacing w:val="-4"/>
        </w:rPr>
        <w:t xml:space="preserve"> “</w:t>
      </w:r>
      <w:r w:rsidRPr="00D26BB0">
        <w:rPr>
          <w:rFonts w:asciiTheme="minorHAnsi" w:hAnsiTheme="minorHAnsi" w:cstheme="minorHAnsi"/>
          <w:i/>
          <w:spacing w:val="-4"/>
        </w:rPr>
        <w:t>t</w:t>
      </w:r>
      <w:r w:rsidRPr="00D26BB0">
        <w:rPr>
          <w:rFonts w:asciiTheme="minorHAnsi" w:hAnsiTheme="minorHAnsi" w:cstheme="minorHAnsi"/>
          <w:i/>
        </w:rPr>
        <w:t>hat a review of the Strategic and Planning Framework would result in better alignment with the RBM approach already being implemented by BDT, and would make for more effective, focussed and achievable targets for the ROs</w:t>
      </w:r>
      <w:r w:rsidRPr="00D26BB0">
        <w:rPr>
          <w:rFonts w:asciiTheme="minorHAnsi" w:hAnsiTheme="minorHAnsi" w:cstheme="minorHAnsi"/>
        </w:rPr>
        <w:t xml:space="preserve">”. </w:t>
      </w:r>
      <w:r w:rsidR="00A80F9F">
        <w:rPr>
          <w:rFonts w:asciiTheme="minorHAnsi" w:hAnsiTheme="minorHAnsi" w:cstheme="minorHAnsi"/>
        </w:rPr>
        <w:t>Switzerland noted that the S</w:t>
      </w:r>
      <w:r w:rsidRPr="00D26BB0">
        <w:rPr>
          <w:rFonts w:asciiTheme="minorHAnsi" w:hAnsiTheme="minorHAnsi" w:cstheme="minorHAnsi"/>
        </w:rPr>
        <w:t xml:space="preserve">ecretariat suggested that this could be a focus of the CWG. </w:t>
      </w:r>
      <w:r w:rsidRPr="00D26BB0">
        <w:rPr>
          <w:rFonts w:asciiTheme="minorHAnsi" w:hAnsiTheme="minorHAnsi" w:cstheme="minorHAnsi"/>
          <w:spacing w:val="-4"/>
        </w:rPr>
        <w:t xml:space="preserve">Switzerland requested the Secretariat to provide more information on how the interplay of strategic and operational planning processes at all levels could be improved. In addition to the Secretariat’s first reaction to PWC’s report, Switzerland would be interested in the Secretariat’s own views on how it sees the regional presence based on its own expertise. </w:t>
      </w:r>
    </w:p>
    <w:p w14:paraId="762BB1E0" w14:textId="5F557719" w:rsidR="00206E14" w:rsidRPr="00D26BB0" w:rsidRDefault="00206E14"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spacing w:val="-4"/>
        </w:rPr>
        <w:t xml:space="preserve">Switzerland’s also stressed the need to </w:t>
      </w:r>
      <w:r w:rsidR="00A80F9F" w:rsidRPr="00D26BB0">
        <w:rPr>
          <w:rFonts w:asciiTheme="minorHAnsi" w:hAnsiTheme="minorHAnsi" w:cstheme="minorHAnsi"/>
          <w:spacing w:val="-4"/>
        </w:rPr>
        <w:t>consider</w:t>
      </w:r>
      <w:r w:rsidRPr="00D26BB0">
        <w:rPr>
          <w:rFonts w:asciiTheme="minorHAnsi" w:hAnsiTheme="minorHAnsi" w:cstheme="minorHAnsi"/>
          <w:spacing w:val="-4"/>
        </w:rPr>
        <w:t xml:space="preserve"> processes outside the Union, in particular the reform of the UN Development system offers. Switzerland proposes that the group could invite the secretariat to further provide its own views on opportunities that the UNDS offers the </w:t>
      </w:r>
      <w:r w:rsidR="00A80F9F" w:rsidRPr="00D26BB0">
        <w:rPr>
          <w:rFonts w:asciiTheme="minorHAnsi" w:hAnsiTheme="minorHAnsi" w:cstheme="minorHAnsi"/>
          <w:spacing w:val="-4"/>
        </w:rPr>
        <w:t>ITU for</w:t>
      </w:r>
      <w:r w:rsidRPr="00D26BB0">
        <w:rPr>
          <w:rFonts w:asciiTheme="minorHAnsi" w:hAnsiTheme="minorHAnsi" w:cstheme="minorHAnsi"/>
          <w:spacing w:val="-4"/>
        </w:rPr>
        <w:t xml:space="preserve"> increased effectiveness and efficiency as well as an overview of potential avenues for collaboration with other institutions in the multilateral system. </w:t>
      </w:r>
    </w:p>
    <w:p w14:paraId="06D2B1CF" w14:textId="77777777" w:rsidR="00E0451C" w:rsidRPr="00D26BB0" w:rsidRDefault="00206E14"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spacing w:val="-4"/>
        </w:rPr>
        <w:lastRenderedPageBreak/>
        <w:t xml:space="preserve">Switzerland also finds it important to have a one ITU approach so that the regions can benefit as much as possible from the specific technical expertise at headquarters. Switzerland understands the Secretariat’s concerns that TSB and BR may not be staffed with generalists who would be broadly expert enough to independently address the variety of issues which arise in the regions. Switzerland believed that TSB and BR can provide most value by offering respective technical expertise and capacity building through remote support as well as on a project basis in the offices, through a close co-working approach between headquarters and regional offices. Switzerland supports a small, centralized coordination team which could further improve coordination between regional offices and HQ and hence effectiveness and efficiency. </w:t>
      </w:r>
    </w:p>
    <w:p w14:paraId="011808F2" w14:textId="3B1DAB17" w:rsidR="00E0451C" w:rsidRPr="00D26BB0" w:rsidRDefault="004902F1"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eastAsia="ko-KR"/>
        </w:rPr>
        <w:t xml:space="preserve">Egypt presented Document 6 on behalf of the </w:t>
      </w:r>
      <w:r w:rsidR="00B3093A" w:rsidRPr="00D26BB0">
        <w:rPr>
          <w:rFonts w:asciiTheme="minorHAnsi" w:hAnsiTheme="minorHAnsi" w:cstheme="minorHAnsi"/>
          <w:lang w:val="en-GB" w:eastAsia="ko-KR"/>
        </w:rPr>
        <w:t xml:space="preserve">authors, Egypt, </w:t>
      </w:r>
      <w:proofErr w:type="gramStart"/>
      <w:r w:rsidR="00B3093A" w:rsidRPr="00D26BB0">
        <w:rPr>
          <w:rFonts w:asciiTheme="minorHAnsi" w:hAnsiTheme="minorHAnsi" w:cstheme="minorHAnsi"/>
          <w:lang w:val="en-GB" w:eastAsia="ko-KR"/>
        </w:rPr>
        <w:t>Kuwait</w:t>
      </w:r>
      <w:proofErr w:type="gramEnd"/>
      <w:r w:rsidR="00B3093A" w:rsidRPr="00D26BB0">
        <w:rPr>
          <w:rFonts w:asciiTheme="minorHAnsi" w:hAnsiTheme="minorHAnsi" w:cstheme="minorHAnsi"/>
          <w:lang w:val="en-GB" w:eastAsia="ko-KR"/>
        </w:rPr>
        <w:t xml:space="preserve"> and South Africa.</w:t>
      </w:r>
      <w:r w:rsidR="00E46A3D" w:rsidRPr="00D26BB0">
        <w:rPr>
          <w:rFonts w:asciiTheme="minorHAnsi" w:hAnsiTheme="minorHAnsi" w:cstheme="minorHAnsi"/>
        </w:rPr>
        <w:t xml:space="preserve"> </w:t>
      </w:r>
      <w:r w:rsidR="00E0451C" w:rsidRPr="00D26BB0">
        <w:rPr>
          <w:rFonts w:asciiTheme="minorHAnsi" w:hAnsiTheme="minorHAnsi" w:cstheme="minorHAnsi"/>
        </w:rPr>
        <w:t>The contribution highlights</w:t>
      </w:r>
      <w:r w:rsidR="00E46A3D" w:rsidRPr="00D26BB0">
        <w:rPr>
          <w:rFonts w:asciiTheme="minorHAnsi" w:hAnsiTheme="minorHAnsi" w:cstheme="minorHAnsi"/>
        </w:rPr>
        <w:t xml:space="preserve"> that </w:t>
      </w:r>
      <w:r w:rsidR="00E0451C" w:rsidRPr="00D26BB0">
        <w:rPr>
          <w:rFonts w:asciiTheme="minorHAnsi" w:hAnsiTheme="minorHAnsi" w:cstheme="minorHAnsi"/>
        </w:rPr>
        <w:t xml:space="preserve">the authors’ view that </w:t>
      </w:r>
      <w:r w:rsidR="00E46A3D" w:rsidRPr="00D26BB0">
        <w:rPr>
          <w:rFonts w:asciiTheme="minorHAnsi" w:hAnsiTheme="minorHAnsi" w:cstheme="minorHAnsi"/>
        </w:rPr>
        <w:t>Option 1 (keeping both Regional and area offices), which is the current situation in the Union, is the most suitable option for the needs of ITU and its Membership. Egypt considered that it is of utmost importance to keep regional offices and not replace them by area offices.  Area offices will not serve the same weight as regional offices.</w:t>
      </w:r>
    </w:p>
    <w:p w14:paraId="25184EF0" w14:textId="77777777" w:rsidR="00E0451C" w:rsidRPr="00D26BB0" w:rsidRDefault="00E46A3D"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Egypt noted and endorsed the valid concerns identified by ITU secretariat in Contribution CWG-FHR-12/9 on the delivery methods recommended by PWC in relation to the closure/consolidation of ITU Offices and reduction of the overall number of offices; and, in relation to the proposed removal of the RO level and resulting downgrade of RDs to P5 level.</w:t>
      </w:r>
    </w:p>
    <w:p w14:paraId="7E5C323F" w14:textId="77777777" w:rsidR="00E0451C" w:rsidRPr="00D26BB0" w:rsidRDefault="00E46A3D"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rPr>
        <w:t xml:space="preserve">Egypt also noted </w:t>
      </w:r>
      <w:r w:rsidRPr="00D26BB0">
        <w:rPr>
          <w:rFonts w:asciiTheme="minorHAnsi" w:hAnsiTheme="minorHAnsi" w:cstheme="minorHAnsi"/>
          <w:bCs/>
          <w:spacing w:val="-4"/>
          <w:lang w:val="de-CH"/>
        </w:rPr>
        <w:t xml:space="preserve">the comparison of different financial implications between both Option 1 and Option 2 as noted in Document CWG-FHR-AH-RegPres-2/2-E. </w:t>
      </w:r>
      <w:r w:rsidRPr="00D26BB0">
        <w:rPr>
          <w:rFonts w:asciiTheme="minorHAnsi" w:hAnsiTheme="minorHAnsi" w:cstheme="minorHAnsi"/>
        </w:rPr>
        <w:t xml:space="preserve">The analysis clearly shows that Option 2 would create a bigger financial burden on ITU, at a time where we are trying hard to reduce costs, in addition to the strategic concerns mentioned above. </w:t>
      </w:r>
      <w:r w:rsidRPr="00D26BB0">
        <w:rPr>
          <w:rFonts w:asciiTheme="minorHAnsi" w:hAnsiTheme="minorHAnsi" w:cstheme="minorHAnsi"/>
          <w:spacing w:val="-4"/>
        </w:rPr>
        <w:t xml:space="preserve">Egypt stressed that Option 2, while trying to solve problems of coordination at the level of impact, it creates disruptions. These problems of coordination can be resolved within the current structure as it is. </w:t>
      </w:r>
      <w:r w:rsidRPr="00D26BB0">
        <w:rPr>
          <w:rFonts w:asciiTheme="minorHAnsi" w:hAnsiTheme="minorHAnsi" w:cstheme="minorHAnsi"/>
          <w:lang w:val="en-GB"/>
        </w:rPr>
        <w:t xml:space="preserve">Egypt proposed to keep the current situation, which is what PWC refers to as Option 1 (both regional and area offices). </w:t>
      </w:r>
    </w:p>
    <w:p w14:paraId="1C05A8C7" w14:textId="77777777" w:rsidR="00E0451C" w:rsidRPr="00D26BB0" w:rsidRDefault="00E46A3D"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At the same time, Egypt noted that the authors of the contribution believed that the PWC report makes some excellent suggestions on methods to improve and develop regional presence. These include:</w:t>
      </w:r>
    </w:p>
    <w:p w14:paraId="20244FCA" w14:textId="77777777" w:rsidR="00E0451C" w:rsidRPr="00D26BB0" w:rsidRDefault="00E46A3D" w:rsidP="00CE1746">
      <w:pPr>
        <w:pStyle w:val="Fixed"/>
        <w:numPr>
          <w:ilvl w:val="1"/>
          <w:numId w:val="10"/>
        </w:numPr>
        <w:spacing w:before="240" w:after="120" w:line="276" w:lineRule="auto"/>
        <w:ind w:left="851" w:right="0"/>
        <w:rPr>
          <w:rFonts w:asciiTheme="minorHAnsi" w:hAnsiTheme="minorHAnsi" w:cstheme="minorHAnsi"/>
          <w:lang w:val="en-GB" w:eastAsia="ko-KR"/>
        </w:rPr>
      </w:pPr>
      <w:r w:rsidRPr="00D26BB0">
        <w:rPr>
          <w:rFonts w:asciiTheme="minorHAnsi" w:hAnsiTheme="minorHAnsi" w:cstheme="minorHAnsi"/>
        </w:rPr>
        <w:t xml:space="preserve">In terms of coherence, there is a need to align the WTDC Action Plan, and the ITU Strategic Plan and the role of the regional presence needs to be highlighted in the ITU Strategic Plan. </w:t>
      </w:r>
      <w:r w:rsidRPr="00D26BB0">
        <w:rPr>
          <w:rFonts w:asciiTheme="minorHAnsi" w:hAnsiTheme="minorHAnsi" w:cstheme="minorHAnsi"/>
          <w:color w:val="000000"/>
          <w:lang w:eastAsia="fr-CH"/>
        </w:rPr>
        <w:t>In addition, the global targets in the ITU Strategic Plan should be explicitly broken down and be related to performance indicators in the Operational Plan and Regional Initiatives.</w:t>
      </w:r>
    </w:p>
    <w:p w14:paraId="5F63BE7A" w14:textId="77777777" w:rsidR="00E0451C" w:rsidRPr="00D26BB0" w:rsidRDefault="00E46A3D" w:rsidP="00CE1746">
      <w:pPr>
        <w:pStyle w:val="Fixed"/>
        <w:numPr>
          <w:ilvl w:val="1"/>
          <w:numId w:val="10"/>
        </w:numPr>
        <w:spacing w:before="240" w:after="120" w:line="276" w:lineRule="auto"/>
        <w:ind w:left="851" w:right="0"/>
        <w:rPr>
          <w:rFonts w:asciiTheme="minorHAnsi" w:hAnsiTheme="minorHAnsi" w:cstheme="minorHAnsi"/>
          <w:lang w:val="en-GB" w:eastAsia="ko-KR"/>
        </w:rPr>
      </w:pPr>
      <w:r w:rsidRPr="00D26BB0">
        <w:rPr>
          <w:rFonts w:asciiTheme="minorHAnsi" w:hAnsiTheme="minorHAnsi" w:cstheme="minorHAnsi"/>
          <w:color w:val="000000"/>
          <w:lang w:eastAsia="fr-CH"/>
        </w:rPr>
        <w:t xml:space="preserve">In terms of representing a “One ITU”, PWC recommends </w:t>
      </w:r>
      <w:r w:rsidRPr="00D26BB0">
        <w:rPr>
          <w:rFonts w:asciiTheme="minorHAnsi" w:hAnsiTheme="minorHAnsi" w:cstheme="minorHAnsi"/>
          <w:lang w:eastAsia="fr-CH"/>
        </w:rPr>
        <w:t xml:space="preserve">enhancing the regional presence through greater involvement of the Radiocommunications Bureau (BR) and the </w:t>
      </w:r>
      <w:r w:rsidRPr="00D26BB0">
        <w:rPr>
          <w:rFonts w:asciiTheme="minorHAnsi" w:hAnsiTheme="minorHAnsi" w:cstheme="minorHAnsi"/>
          <w:lang w:eastAsia="fr-CH"/>
        </w:rPr>
        <w:lastRenderedPageBreak/>
        <w:t xml:space="preserve">Telecommunication </w:t>
      </w:r>
      <w:r w:rsidRPr="00D26BB0">
        <w:rPr>
          <w:rFonts w:asciiTheme="minorHAnsi" w:hAnsiTheme="minorHAnsi" w:cstheme="minorHAnsi"/>
          <w:spacing w:val="-2"/>
          <w:lang w:eastAsia="fr-CH"/>
        </w:rPr>
        <w:t xml:space="preserve">Standardisation Bureau (TSB), and by increasing the Regional Offices’ (RO) support to ITU-R and ITU-T. </w:t>
      </w:r>
      <w:r w:rsidRPr="00D26BB0">
        <w:rPr>
          <w:rFonts w:asciiTheme="minorHAnsi" w:hAnsiTheme="minorHAnsi" w:cstheme="minorHAnsi"/>
          <w:lang w:val="en-GB" w:eastAsia="fr-CH"/>
        </w:rPr>
        <w:t xml:space="preserve">We believe that this is a critical point for developing and improving the ITU regional presence.  </w:t>
      </w:r>
    </w:p>
    <w:p w14:paraId="51752974" w14:textId="0E9BCC2C" w:rsidR="00E0451C" w:rsidRPr="00D26BB0" w:rsidRDefault="00D26BB0" w:rsidP="00CE1746">
      <w:pPr>
        <w:pStyle w:val="Fixed"/>
        <w:numPr>
          <w:ilvl w:val="1"/>
          <w:numId w:val="10"/>
        </w:numPr>
        <w:spacing w:before="240" w:after="120" w:line="276" w:lineRule="auto"/>
        <w:ind w:left="851" w:right="0"/>
        <w:rPr>
          <w:rFonts w:asciiTheme="minorHAnsi" w:hAnsiTheme="minorHAnsi" w:cstheme="minorHAnsi"/>
          <w:lang w:val="en-GB" w:eastAsia="ko-KR"/>
        </w:rPr>
      </w:pPr>
      <w:r w:rsidRPr="00D26BB0">
        <w:rPr>
          <w:rFonts w:asciiTheme="minorHAnsi" w:hAnsiTheme="minorHAnsi" w:cstheme="minorHAnsi"/>
          <w:lang w:eastAsia="fr-CH"/>
        </w:rPr>
        <w:t>R</w:t>
      </w:r>
      <w:r w:rsidR="00E46A3D" w:rsidRPr="00D26BB0">
        <w:rPr>
          <w:rFonts w:asciiTheme="minorHAnsi" w:hAnsiTheme="minorHAnsi" w:cstheme="minorHAnsi"/>
          <w:lang w:eastAsia="fr-CH"/>
        </w:rPr>
        <w:t xml:space="preserve">egional offices need more human resources and technical specialists to be able to transmit their technical expertise to Member states. </w:t>
      </w:r>
    </w:p>
    <w:p w14:paraId="58F5BF55" w14:textId="77777777" w:rsidR="00E0451C" w:rsidRPr="00D26BB0" w:rsidRDefault="00E46A3D" w:rsidP="00CE1746">
      <w:pPr>
        <w:pStyle w:val="Fixed"/>
        <w:numPr>
          <w:ilvl w:val="1"/>
          <w:numId w:val="10"/>
        </w:numPr>
        <w:spacing w:before="240" w:after="120" w:line="276" w:lineRule="auto"/>
        <w:ind w:left="851" w:right="0"/>
        <w:rPr>
          <w:rFonts w:asciiTheme="minorHAnsi" w:hAnsiTheme="minorHAnsi" w:cstheme="minorHAnsi"/>
          <w:lang w:val="en-GB" w:eastAsia="ko-KR"/>
        </w:rPr>
      </w:pPr>
      <w:r w:rsidRPr="00D26BB0">
        <w:rPr>
          <w:rFonts w:asciiTheme="minorHAnsi" w:hAnsiTheme="minorHAnsi" w:cstheme="minorHAnsi"/>
          <w:lang w:eastAsia="fr-CH"/>
        </w:rPr>
        <w:t>The report also suggests conducting mid-term review of the implementation of regional initiatives, which is critical for assessing their effectiveness.</w:t>
      </w:r>
    </w:p>
    <w:p w14:paraId="62FF84A0" w14:textId="77777777" w:rsidR="00E0451C" w:rsidRPr="00D26BB0" w:rsidRDefault="00E46A3D" w:rsidP="00CE1746">
      <w:pPr>
        <w:pStyle w:val="Fixed"/>
        <w:numPr>
          <w:ilvl w:val="1"/>
          <w:numId w:val="10"/>
        </w:numPr>
        <w:spacing w:before="240" w:after="120" w:line="276" w:lineRule="auto"/>
        <w:ind w:left="851" w:right="0"/>
        <w:rPr>
          <w:rFonts w:asciiTheme="minorHAnsi" w:hAnsiTheme="minorHAnsi" w:cstheme="minorHAnsi"/>
          <w:lang w:val="en-GB" w:eastAsia="ko-KR"/>
        </w:rPr>
      </w:pPr>
      <w:r w:rsidRPr="00D26BB0">
        <w:rPr>
          <w:rFonts w:asciiTheme="minorHAnsi" w:hAnsiTheme="minorHAnsi" w:cstheme="minorHAnsi"/>
          <w:lang w:eastAsia="fr-CH"/>
        </w:rPr>
        <w:t xml:space="preserve">Fostering collaboration with other UN agencies and making partnerships is also highlighted as important in the report and will help improve the effectiveness of regional presence. </w:t>
      </w:r>
    </w:p>
    <w:p w14:paraId="12BB2D98" w14:textId="77777777" w:rsidR="00E379F3" w:rsidRPr="00D26BB0" w:rsidRDefault="00E0451C"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lang w:val="en-GB" w:eastAsia="fr-CH"/>
        </w:rPr>
        <w:t xml:space="preserve">Egypt highlighted the </w:t>
      </w:r>
      <w:r w:rsidR="00E379F3" w:rsidRPr="00D26BB0">
        <w:rPr>
          <w:rFonts w:asciiTheme="minorHAnsi" w:hAnsiTheme="minorHAnsi" w:cstheme="minorHAnsi"/>
          <w:lang w:val="en-GB" w:eastAsia="fr-CH"/>
        </w:rPr>
        <w:t xml:space="preserve">report’s alignment with </w:t>
      </w:r>
      <w:r w:rsidR="00E46A3D" w:rsidRPr="00D26BB0">
        <w:rPr>
          <w:rFonts w:asciiTheme="minorHAnsi" w:hAnsiTheme="minorHAnsi" w:cstheme="minorHAnsi"/>
        </w:rPr>
        <w:t>recommendations made by the United Nations Joint Inspection Unit (JIU) in its report on the “Effectiveness of ITU Regional Presence”.</w:t>
      </w:r>
    </w:p>
    <w:p w14:paraId="47438F19" w14:textId="15C15AD7" w:rsidR="00E46A3D" w:rsidRPr="00D26BB0" w:rsidRDefault="00E46A3D"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 xml:space="preserve">With regards to the strategic positioning of ITU regional presence, </w:t>
      </w:r>
      <w:r w:rsidR="00E379F3" w:rsidRPr="00D26BB0">
        <w:rPr>
          <w:rFonts w:asciiTheme="minorHAnsi" w:hAnsiTheme="minorHAnsi" w:cstheme="minorHAnsi"/>
        </w:rPr>
        <w:t xml:space="preserve">Egypt endorsed the </w:t>
      </w:r>
      <w:r w:rsidRPr="00D26BB0">
        <w:rPr>
          <w:rFonts w:asciiTheme="minorHAnsi" w:hAnsiTheme="minorHAnsi" w:cstheme="minorHAnsi"/>
        </w:rPr>
        <w:t xml:space="preserve">following </w:t>
      </w:r>
      <w:r w:rsidR="00E379F3" w:rsidRPr="00D26BB0">
        <w:rPr>
          <w:rFonts w:asciiTheme="minorHAnsi" w:hAnsiTheme="minorHAnsi" w:cstheme="minorHAnsi"/>
        </w:rPr>
        <w:t xml:space="preserve">PWC </w:t>
      </w:r>
      <w:proofErr w:type="gramStart"/>
      <w:r w:rsidRPr="00D26BB0">
        <w:rPr>
          <w:rFonts w:asciiTheme="minorHAnsi" w:hAnsiTheme="minorHAnsi" w:cstheme="minorHAnsi"/>
        </w:rPr>
        <w:t>recommendations</w:t>
      </w:r>
      <w:proofErr w:type="gramEnd"/>
      <w:r w:rsidRPr="00D26BB0">
        <w:rPr>
          <w:rFonts w:asciiTheme="minorHAnsi" w:hAnsiTheme="minorHAnsi" w:cstheme="minorHAnsi"/>
        </w:rPr>
        <w:t xml:space="preserve"> </w:t>
      </w:r>
    </w:p>
    <w:p w14:paraId="05D584E2" w14:textId="35C699D6" w:rsidR="00E46A3D" w:rsidRPr="00D26BB0" w:rsidRDefault="00E46A3D" w:rsidP="00CE1746">
      <w:pPr>
        <w:pStyle w:val="Default"/>
        <w:numPr>
          <w:ilvl w:val="0"/>
          <w:numId w:val="9"/>
        </w:numPr>
        <w:spacing w:before="120" w:after="120" w:line="276" w:lineRule="auto"/>
        <w:ind w:right="-90"/>
        <w:rPr>
          <w:rFonts w:asciiTheme="minorHAnsi" w:hAnsiTheme="minorHAnsi" w:cstheme="minorHAnsi"/>
        </w:rPr>
      </w:pPr>
      <w:r w:rsidRPr="00D26BB0">
        <w:rPr>
          <w:rFonts w:asciiTheme="minorHAnsi" w:hAnsiTheme="minorHAnsi" w:cstheme="minorHAnsi"/>
        </w:rPr>
        <w:t xml:space="preserve">Bringing the technical expertise of ITU </w:t>
      </w:r>
      <w:proofErr w:type="gramStart"/>
      <w:r w:rsidRPr="00D26BB0">
        <w:rPr>
          <w:rFonts w:asciiTheme="minorHAnsi" w:hAnsiTheme="minorHAnsi" w:cstheme="minorHAnsi"/>
        </w:rPr>
        <w:t>as a whole closer</w:t>
      </w:r>
      <w:proofErr w:type="gramEnd"/>
      <w:r w:rsidRPr="00D26BB0">
        <w:rPr>
          <w:rFonts w:asciiTheme="minorHAnsi" w:hAnsiTheme="minorHAnsi" w:cstheme="minorHAnsi"/>
        </w:rPr>
        <w:t xml:space="preserve"> to its membership. </w:t>
      </w:r>
    </w:p>
    <w:p w14:paraId="6B577A8F" w14:textId="1F087545" w:rsidR="00E46A3D" w:rsidRPr="00D26BB0" w:rsidRDefault="00E46A3D" w:rsidP="00CE1746">
      <w:pPr>
        <w:pStyle w:val="Default"/>
        <w:numPr>
          <w:ilvl w:val="0"/>
          <w:numId w:val="9"/>
        </w:numPr>
        <w:spacing w:before="120" w:after="120" w:line="276" w:lineRule="auto"/>
        <w:ind w:right="-90"/>
        <w:rPr>
          <w:rFonts w:asciiTheme="minorHAnsi" w:hAnsiTheme="minorHAnsi" w:cstheme="minorHAnsi"/>
        </w:rPr>
      </w:pPr>
      <w:r w:rsidRPr="00D26BB0">
        <w:rPr>
          <w:rFonts w:asciiTheme="minorHAnsi" w:hAnsiTheme="minorHAnsi" w:cstheme="minorHAnsi"/>
        </w:rPr>
        <w:t xml:space="preserve">Supporting the preparation and participation of representatives from different regions. </w:t>
      </w:r>
    </w:p>
    <w:p w14:paraId="1605C374" w14:textId="7E49DB5C" w:rsidR="00E46A3D" w:rsidRPr="00D26BB0" w:rsidRDefault="00E46A3D" w:rsidP="00CE1746">
      <w:pPr>
        <w:pStyle w:val="Default"/>
        <w:numPr>
          <w:ilvl w:val="0"/>
          <w:numId w:val="9"/>
        </w:numPr>
        <w:spacing w:before="120" w:after="120" w:line="276" w:lineRule="auto"/>
        <w:ind w:right="-90"/>
        <w:rPr>
          <w:rFonts w:asciiTheme="minorHAnsi" w:hAnsiTheme="minorHAnsi" w:cstheme="minorHAnsi"/>
        </w:rPr>
      </w:pPr>
      <w:r w:rsidRPr="00D26BB0">
        <w:rPr>
          <w:rFonts w:asciiTheme="minorHAnsi" w:hAnsiTheme="minorHAnsi" w:cstheme="minorHAnsi"/>
        </w:rPr>
        <w:t xml:space="preserve">Facilitating and organising transfers of technical knowledge. </w:t>
      </w:r>
    </w:p>
    <w:p w14:paraId="7627E439" w14:textId="727164E9" w:rsidR="00E46A3D" w:rsidRPr="00D26BB0" w:rsidRDefault="00E46A3D" w:rsidP="00CE1746">
      <w:pPr>
        <w:pStyle w:val="Default"/>
        <w:numPr>
          <w:ilvl w:val="0"/>
          <w:numId w:val="9"/>
        </w:numPr>
        <w:spacing w:before="120" w:after="120" w:line="276" w:lineRule="auto"/>
        <w:ind w:right="-90"/>
        <w:rPr>
          <w:rFonts w:asciiTheme="minorHAnsi" w:hAnsiTheme="minorHAnsi" w:cstheme="minorHAnsi"/>
        </w:rPr>
      </w:pPr>
      <w:r w:rsidRPr="00D26BB0">
        <w:rPr>
          <w:rFonts w:asciiTheme="minorHAnsi" w:hAnsiTheme="minorHAnsi" w:cstheme="minorHAnsi"/>
        </w:rPr>
        <w:t xml:space="preserve">Actively fostering cross-country and cross-regional collaboration and dialogue. </w:t>
      </w:r>
    </w:p>
    <w:p w14:paraId="50118817" w14:textId="3C82ED9F" w:rsidR="00E46A3D" w:rsidRPr="00D26BB0" w:rsidRDefault="00E46A3D" w:rsidP="00CE1746">
      <w:pPr>
        <w:pStyle w:val="enumlev1"/>
        <w:numPr>
          <w:ilvl w:val="0"/>
          <w:numId w:val="9"/>
        </w:numPr>
        <w:tabs>
          <w:tab w:val="clear" w:pos="567"/>
          <w:tab w:val="left" w:pos="90"/>
        </w:tabs>
        <w:spacing w:before="120" w:after="120" w:line="276" w:lineRule="auto"/>
        <w:rPr>
          <w:rFonts w:asciiTheme="minorHAnsi" w:hAnsiTheme="minorHAnsi" w:cstheme="minorHAnsi"/>
          <w:szCs w:val="24"/>
        </w:rPr>
      </w:pPr>
      <w:r w:rsidRPr="00D26BB0">
        <w:rPr>
          <w:rFonts w:asciiTheme="minorHAnsi" w:hAnsiTheme="minorHAnsi" w:cstheme="minorHAnsi"/>
          <w:szCs w:val="24"/>
        </w:rPr>
        <w:t>Designing and delivering technical assistance.</w:t>
      </w:r>
    </w:p>
    <w:p w14:paraId="670E67AD" w14:textId="5D130A2A" w:rsidR="003C2DD8" w:rsidRPr="00D26BB0" w:rsidRDefault="00375A05" w:rsidP="00CE1746">
      <w:pPr>
        <w:pStyle w:val="Fixed"/>
        <w:numPr>
          <w:ilvl w:val="1"/>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 xml:space="preserve">In concluding its contribution on behalf of Egypt, Kuwait and South Africa, Egypt expressed its appreciation for the work done by PWC and the comprehensive and extensive report.  At the same time, Egypt </w:t>
      </w:r>
      <w:proofErr w:type="gramStart"/>
      <w:r w:rsidRPr="00D26BB0">
        <w:rPr>
          <w:rFonts w:asciiTheme="minorHAnsi" w:hAnsiTheme="minorHAnsi" w:cstheme="minorHAnsi"/>
        </w:rPr>
        <w:t>stressed  that</w:t>
      </w:r>
      <w:proofErr w:type="gramEnd"/>
      <w:r w:rsidRPr="00D26BB0">
        <w:rPr>
          <w:rFonts w:asciiTheme="minorHAnsi" w:hAnsiTheme="minorHAnsi" w:cstheme="minorHAnsi"/>
        </w:rPr>
        <w:t xml:space="preserve"> we should deal with the report as  separate recommendations and not one whole package solution.  Many of the recommendations proposed can be helpful and effective to improve regional presence, and we thank ITU secretariat for their efforts in working on and applying these recommendations.  With regards to the delivery method, Egypt expressed support for Option 1 (both regional and area offices). Moreover, Egypt proposes to make some improvements to the current functioning of regional offices so that they can better serve the membership and have more effective and efficient impact.</w:t>
      </w:r>
    </w:p>
    <w:p w14:paraId="6CEFD15F" w14:textId="09E2FD60" w:rsidR="00265A4F" w:rsidRPr="00D26BB0" w:rsidRDefault="00265A4F" w:rsidP="00CE1746">
      <w:pPr>
        <w:pStyle w:val="Fixed"/>
        <w:numPr>
          <w:ilvl w:val="0"/>
          <w:numId w:val="8"/>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b/>
          <w:bCs/>
          <w:lang w:val="en-GB" w:eastAsia="ko-KR"/>
        </w:rPr>
        <w:t xml:space="preserve">Group Discussions </w:t>
      </w:r>
    </w:p>
    <w:p w14:paraId="7BA820B3" w14:textId="4F46DF42" w:rsidR="002123DC" w:rsidRPr="00D26BB0" w:rsidRDefault="00B3093A" w:rsidP="00CE1746">
      <w:pPr>
        <w:pStyle w:val="Fixed"/>
        <w:numPr>
          <w:ilvl w:val="1"/>
          <w:numId w:val="11"/>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 xml:space="preserve">The Chair </w:t>
      </w:r>
      <w:r w:rsidR="0001776F" w:rsidRPr="00D26BB0">
        <w:rPr>
          <w:rFonts w:asciiTheme="minorHAnsi" w:hAnsiTheme="minorHAnsi" w:cstheme="minorHAnsi"/>
        </w:rPr>
        <w:t xml:space="preserve">provided comments seeking to frame the discussion. </w:t>
      </w:r>
      <w:r w:rsidR="007C62BD" w:rsidRPr="00D26BB0">
        <w:rPr>
          <w:rFonts w:asciiTheme="minorHAnsi" w:hAnsiTheme="minorHAnsi" w:cstheme="minorHAnsi"/>
        </w:rPr>
        <w:t xml:space="preserve">By way of overview of the last meeting and how the group agreed to go forward, the Chair </w:t>
      </w:r>
      <w:r w:rsidR="0001776F" w:rsidRPr="00D26BB0">
        <w:rPr>
          <w:rFonts w:asciiTheme="minorHAnsi" w:hAnsiTheme="minorHAnsi" w:cstheme="minorHAnsi"/>
        </w:rPr>
        <w:t xml:space="preserve">outlined the three Annexes provided by the Secretariat with PwC’s recommendations </w:t>
      </w:r>
      <w:r w:rsidR="005C7127" w:rsidRPr="00D26BB0">
        <w:rPr>
          <w:rFonts w:asciiTheme="minorHAnsi" w:hAnsiTheme="minorHAnsi" w:cstheme="minorHAnsi"/>
        </w:rPr>
        <w:t xml:space="preserve">with Annex 1 providing those </w:t>
      </w:r>
      <w:r w:rsidR="005C7127" w:rsidRPr="00D26BB0">
        <w:rPr>
          <w:rFonts w:asciiTheme="minorHAnsi" w:hAnsiTheme="minorHAnsi" w:cstheme="minorHAnsi"/>
        </w:rPr>
        <w:lastRenderedPageBreak/>
        <w:t>recommendations which are within the purview of management and which the Secretariat has already implemented or begun to implement</w:t>
      </w:r>
      <w:r w:rsidR="00F11596" w:rsidRPr="00D26BB0">
        <w:rPr>
          <w:rFonts w:asciiTheme="minorHAnsi" w:hAnsiTheme="minorHAnsi" w:cstheme="minorHAnsi"/>
        </w:rPr>
        <w:t xml:space="preserve"> and</w:t>
      </w:r>
      <w:r w:rsidR="005C7127" w:rsidRPr="00D26BB0">
        <w:rPr>
          <w:rFonts w:asciiTheme="minorHAnsi" w:hAnsiTheme="minorHAnsi" w:cstheme="minorHAnsi"/>
        </w:rPr>
        <w:t xml:space="preserve"> Annex 2 </w:t>
      </w:r>
      <w:r w:rsidR="00FD69C2" w:rsidRPr="00D26BB0">
        <w:rPr>
          <w:rFonts w:asciiTheme="minorHAnsi" w:hAnsiTheme="minorHAnsi" w:cstheme="minorHAnsi"/>
        </w:rPr>
        <w:t xml:space="preserve">containing recommendations which are </w:t>
      </w:r>
      <w:r w:rsidR="00F11596" w:rsidRPr="00D26BB0">
        <w:rPr>
          <w:rFonts w:asciiTheme="minorHAnsi" w:hAnsiTheme="minorHAnsi" w:cstheme="minorHAnsi"/>
        </w:rPr>
        <w:t xml:space="preserve">also </w:t>
      </w:r>
      <w:r w:rsidR="00FD69C2" w:rsidRPr="00D26BB0">
        <w:rPr>
          <w:rFonts w:asciiTheme="minorHAnsi" w:hAnsiTheme="minorHAnsi" w:cstheme="minorHAnsi"/>
        </w:rPr>
        <w:t>within the purview of the Secretariat but which the Secretariat had not yet begun to implement</w:t>
      </w:r>
      <w:r w:rsidR="003C2DD8" w:rsidRPr="00D26BB0">
        <w:rPr>
          <w:rFonts w:asciiTheme="minorHAnsi" w:hAnsiTheme="minorHAnsi" w:cstheme="minorHAnsi"/>
        </w:rPr>
        <w:t>.</w:t>
      </w:r>
      <w:r w:rsidR="00FD69C2" w:rsidRPr="00D26BB0">
        <w:rPr>
          <w:rFonts w:asciiTheme="minorHAnsi" w:hAnsiTheme="minorHAnsi" w:cstheme="minorHAnsi"/>
        </w:rPr>
        <w:t xml:space="preserve"> Finally</w:t>
      </w:r>
      <w:r w:rsidR="00910222" w:rsidRPr="00D26BB0">
        <w:rPr>
          <w:rFonts w:asciiTheme="minorHAnsi" w:hAnsiTheme="minorHAnsi" w:cstheme="minorHAnsi"/>
        </w:rPr>
        <w:t>, the Chair noted that Annex 3</w:t>
      </w:r>
      <w:r w:rsidR="00FD69C2" w:rsidRPr="00D26BB0">
        <w:rPr>
          <w:rFonts w:asciiTheme="minorHAnsi" w:hAnsiTheme="minorHAnsi" w:cstheme="minorHAnsi"/>
        </w:rPr>
        <w:t xml:space="preserve"> </w:t>
      </w:r>
      <w:r w:rsidR="002123DC" w:rsidRPr="00D26BB0">
        <w:rPr>
          <w:rFonts w:asciiTheme="minorHAnsi" w:hAnsiTheme="minorHAnsi" w:cstheme="minorHAnsi"/>
        </w:rPr>
        <w:t>sets out those recommendations that require a decision of council or the Plenipotentiary conference, relating to Strategy and Structure.</w:t>
      </w:r>
      <w:r w:rsidR="003C2DD8" w:rsidRPr="00D26BB0">
        <w:rPr>
          <w:rFonts w:asciiTheme="minorHAnsi" w:hAnsiTheme="minorHAnsi" w:cstheme="minorHAnsi"/>
        </w:rPr>
        <w:t xml:space="preserve"> As a way forward </w:t>
      </w:r>
      <w:r w:rsidR="002123DC" w:rsidRPr="00D26BB0">
        <w:rPr>
          <w:rFonts w:asciiTheme="minorHAnsi" w:hAnsiTheme="minorHAnsi" w:cstheme="minorHAnsi"/>
        </w:rPr>
        <w:t xml:space="preserve">at the first meeting it had been agreed to </w:t>
      </w:r>
      <w:r w:rsidR="003C2DD8" w:rsidRPr="00D26BB0">
        <w:rPr>
          <w:rFonts w:asciiTheme="minorHAnsi" w:hAnsiTheme="minorHAnsi" w:cstheme="minorHAnsi"/>
        </w:rPr>
        <w:t xml:space="preserve">focus on overall strategic directions for regional presence guided by </w:t>
      </w:r>
      <w:r w:rsidR="002123DC" w:rsidRPr="00D26BB0">
        <w:rPr>
          <w:rFonts w:asciiTheme="minorHAnsi" w:hAnsiTheme="minorHAnsi" w:cstheme="minorHAnsi"/>
        </w:rPr>
        <w:t xml:space="preserve">Chapter 6 of PWC’s report, and to </w:t>
      </w:r>
      <w:r w:rsidR="003C2DD8" w:rsidRPr="00D26BB0">
        <w:rPr>
          <w:rFonts w:asciiTheme="minorHAnsi" w:hAnsiTheme="minorHAnsi" w:cstheme="minorHAnsi"/>
        </w:rPr>
        <w:t xml:space="preserve">restrict discussions on structure to </w:t>
      </w:r>
      <w:r w:rsidR="002123DC" w:rsidRPr="00D26BB0">
        <w:rPr>
          <w:rFonts w:asciiTheme="minorHAnsi" w:hAnsiTheme="minorHAnsi" w:cstheme="minorHAnsi"/>
        </w:rPr>
        <w:t>O</w:t>
      </w:r>
      <w:r w:rsidR="003C2DD8" w:rsidRPr="00D26BB0">
        <w:rPr>
          <w:rFonts w:asciiTheme="minorHAnsi" w:hAnsiTheme="minorHAnsi" w:cstheme="minorHAnsi"/>
        </w:rPr>
        <w:t>ption 1</w:t>
      </w:r>
      <w:r w:rsidR="002123DC" w:rsidRPr="00D26BB0">
        <w:rPr>
          <w:rFonts w:asciiTheme="minorHAnsi" w:hAnsiTheme="minorHAnsi" w:cstheme="minorHAnsi"/>
        </w:rPr>
        <w:t xml:space="preserve"> (Status Quo) and O</w:t>
      </w:r>
      <w:r w:rsidR="003C2DD8" w:rsidRPr="00D26BB0">
        <w:rPr>
          <w:rFonts w:asciiTheme="minorHAnsi" w:hAnsiTheme="minorHAnsi" w:cstheme="minorHAnsi"/>
        </w:rPr>
        <w:t>ption 2, which is PwC’s preferred recommendation</w:t>
      </w:r>
      <w:r w:rsidR="002123DC" w:rsidRPr="00D26BB0">
        <w:rPr>
          <w:rFonts w:asciiTheme="minorHAnsi" w:hAnsiTheme="minorHAnsi" w:cstheme="minorHAnsi"/>
        </w:rPr>
        <w:t xml:space="preserve"> of Area Offices only</w:t>
      </w:r>
      <w:r w:rsidR="003C2DD8" w:rsidRPr="00D26BB0">
        <w:rPr>
          <w:rFonts w:asciiTheme="minorHAnsi" w:hAnsiTheme="minorHAnsi" w:cstheme="minorHAnsi"/>
        </w:rPr>
        <w:t xml:space="preserve">. </w:t>
      </w:r>
    </w:p>
    <w:p w14:paraId="6F401933" w14:textId="5EBF9FCB" w:rsidR="00CA4FB6" w:rsidRPr="00D26BB0" w:rsidRDefault="002123DC" w:rsidP="00CE1746">
      <w:pPr>
        <w:pStyle w:val="Fixed"/>
        <w:numPr>
          <w:ilvl w:val="1"/>
          <w:numId w:val="11"/>
        </w:numPr>
        <w:spacing w:before="240" w:after="120" w:line="276" w:lineRule="auto"/>
        <w:ind w:left="567" w:right="0" w:hanging="567"/>
        <w:rPr>
          <w:rFonts w:asciiTheme="minorHAnsi" w:hAnsiTheme="minorHAnsi" w:cstheme="minorHAnsi"/>
          <w:lang w:val="en-GB" w:eastAsia="ko-KR"/>
        </w:rPr>
      </w:pPr>
      <w:r w:rsidRPr="00D26BB0">
        <w:rPr>
          <w:rFonts w:asciiTheme="minorHAnsi" w:hAnsiTheme="minorHAnsi" w:cstheme="minorHAnsi"/>
        </w:rPr>
        <w:t xml:space="preserve">Chair noted that the </w:t>
      </w:r>
      <w:r w:rsidR="003C2DD8" w:rsidRPr="00D26BB0">
        <w:rPr>
          <w:rFonts w:asciiTheme="minorHAnsi" w:hAnsiTheme="minorHAnsi" w:cstheme="minorHAnsi"/>
        </w:rPr>
        <w:t xml:space="preserve">PWC report provided six </w:t>
      </w:r>
      <w:r w:rsidRPr="00D26BB0">
        <w:rPr>
          <w:rFonts w:asciiTheme="minorHAnsi" w:hAnsiTheme="minorHAnsi" w:cstheme="minorHAnsi"/>
        </w:rPr>
        <w:t xml:space="preserve">guiding </w:t>
      </w:r>
      <w:r w:rsidR="003C2DD8" w:rsidRPr="00D26BB0">
        <w:rPr>
          <w:rFonts w:asciiTheme="minorHAnsi" w:hAnsiTheme="minorHAnsi" w:cstheme="minorHAnsi"/>
        </w:rPr>
        <w:t xml:space="preserve">principles </w:t>
      </w:r>
      <w:r w:rsidRPr="00D26BB0">
        <w:rPr>
          <w:rFonts w:asciiTheme="minorHAnsi" w:hAnsiTheme="minorHAnsi" w:cstheme="minorHAnsi"/>
        </w:rPr>
        <w:t xml:space="preserve">(on page 111) </w:t>
      </w:r>
      <w:r w:rsidR="003C2DD8" w:rsidRPr="00D26BB0">
        <w:rPr>
          <w:rFonts w:asciiTheme="minorHAnsi" w:hAnsiTheme="minorHAnsi" w:cstheme="minorHAnsi"/>
        </w:rPr>
        <w:t xml:space="preserve">for the </w:t>
      </w:r>
      <w:r w:rsidR="00CA4FB6" w:rsidRPr="00D26BB0">
        <w:rPr>
          <w:rFonts w:asciiTheme="minorHAnsi" w:hAnsiTheme="minorHAnsi" w:cstheme="minorHAnsi"/>
        </w:rPr>
        <w:t xml:space="preserve">ITU’s future </w:t>
      </w:r>
      <w:r w:rsidR="003C2DD8" w:rsidRPr="00D26BB0">
        <w:rPr>
          <w:rFonts w:asciiTheme="minorHAnsi" w:hAnsiTheme="minorHAnsi" w:cstheme="minorHAnsi"/>
        </w:rPr>
        <w:t>regional presence</w:t>
      </w:r>
      <w:r w:rsidR="0020166E" w:rsidRPr="00D26BB0">
        <w:rPr>
          <w:rFonts w:asciiTheme="minorHAnsi" w:hAnsiTheme="minorHAnsi" w:cstheme="minorHAnsi"/>
        </w:rPr>
        <w:t>, namely clarity of purpose, drive for impact, accountability, One ITU, part and parcel of the UN family, and managed transition</w:t>
      </w:r>
      <w:r w:rsidR="003C2DD8" w:rsidRPr="00D26BB0">
        <w:rPr>
          <w:rFonts w:asciiTheme="minorHAnsi" w:hAnsiTheme="minorHAnsi" w:cstheme="minorHAnsi"/>
        </w:rPr>
        <w:t xml:space="preserve">. </w:t>
      </w:r>
      <w:r w:rsidR="00CA4FB6" w:rsidRPr="00D26BB0">
        <w:rPr>
          <w:rFonts w:asciiTheme="minorHAnsi" w:hAnsiTheme="minorHAnsi" w:cstheme="minorHAnsi"/>
        </w:rPr>
        <w:t xml:space="preserve">The Chair suggested that </w:t>
      </w:r>
      <w:r w:rsidR="007C62BD" w:rsidRPr="00D26BB0">
        <w:rPr>
          <w:rFonts w:asciiTheme="minorHAnsi" w:hAnsiTheme="minorHAnsi" w:cstheme="minorHAnsi"/>
        </w:rPr>
        <w:t xml:space="preserve">the group </w:t>
      </w:r>
      <w:r w:rsidR="00CA4FB6" w:rsidRPr="00D26BB0">
        <w:rPr>
          <w:rFonts w:asciiTheme="minorHAnsi" w:hAnsiTheme="minorHAnsi" w:cstheme="minorHAnsi"/>
        </w:rPr>
        <w:t xml:space="preserve">may decide to agree or align with those principles and expressed the view that </w:t>
      </w:r>
      <w:proofErr w:type="gramStart"/>
      <w:r w:rsidR="00CA4FB6" w:rsidRPr="00D26BB0">
        <w:rPr>
          <w:rFonts w:asciiTheme="minorHAnsi" w:hAnsiTheme="minorHAnsi" w:cstheme="minorHAnsi"/>
        </w:rPr>
        <w:t>a</w:t>
      </w:r>
      <w:r w:rsidR="003C2DD8" w:rsidRPr="00D26BB0">
        <w:rPr>
          <w:rFonts w:asciiTheme="minorHAnsi" w:hAnsiTheme="minorHAnsi" w:cstheme="minorHAnsi"/>
        </w:rPr>
        <w:t xml:space="preserve">ll </w:t>
      </w:r>
      <w:r w:rsidR="00CA4FB6" w:rsidRPr="00D26BB0">
        <w:rPr>
          <w:rFonts w:asciiTheme="minorHAnsi" w:hAnsiTheme="minorHAnsi" w:cstheme="minorHAnsi"/>
        </w:rPr>
        <w:t>of</w:t>
      </w:r>
      <w:proofErr w:type="gramEnd"/>
      <w:r w:rsidR="00CA4FB6" w:rsidRPr="00D26BB0">
        <w:rPr>
          <w:rFonts w:asciiTheme="minorHAnsi" w:hAnsiTheme="minorHAnsi" w:cstheme="minorHAnsi"/>
        </w:rPr>
        <w:t xml:space="preserve"> the </w:t>
      </w:r>
      <w:r w:rsidR="003C2DD8" w:rsidRPr="00D26BB0">
        <w:rPr>
          <w:rFonts w:asciiTheme="minorHAnsi" w:hAnsiTheme="minorHAnsi" w:cstheme="minorHAnsi"/>
        </w:rPr>
        <w:t>contributions</w:t>
      </w:r>
      <w:r w:rsidR="00CA4FB6" w:rsidRPr="00D26BB0">
        <w:rPr>
          <w:rFonts w:asciiTheme="minorHAnsi" w:hAnsiTheme="minorHAnsi" w:cstheme="minorHAnsi"/>
        </w:rPr>
        <w:t>,</w:t>
      </w:r>
      <w:r w:rsidR="003C2DD8" w:rsidRPr="00D26BB0">
        <w:rPr>
          <w:rFonts w:asciiTheme="minorHAnsi" w:hAnsiTheme="minorHAnsi" w:cstheme="minorHAnsi"/>
        </w:rPr>
        <w:t xml:space="preserve"> to a large extent</w:t>
      </w:r>
      <w:r w:rsidR="00CA4FB6" w:rsidRPr="00D26BB0">
        <w:rPr>
          <w:rFonts w:asciiTheme="minorHAnsi" w:hAnsiTheme="minorHAnsi" w:cstheme="minorHAnsi"/>
        </w:rPr>
        <w:t>, already</w:t>
      </w:r>
      <w:r w:rsidR="003C2DD8" w:rsidRPr="00D26BB0">
        <w:rPr>
          <w:rFonts w:asciiTheme="minorHAnsi" w:hAnsiTheme="minorHAnsi" w:cstheme="minorHAnsi"/>
        </w:rPr>
        <w:t xml:space="preserve"> align or are heading toward the same direction</w:t>
      </w:r>
      <w:r w:rsidR="00CA4FB6" w:rsidRPr="00D26BB0">
        <w:rPr>
          <w:rFonts w:asciiTheme="minorHAnsi" w:hAnsiTheme="minorHAnsi" w:cstheme="minorHAnsi"/>
        </w:rPr>
        <w:t xml:space="preserve"> as one or more those principles</w:t>
      </w:r>
      <w:r w:rsidR="003C2DD8" w:rsidRPr="00D26BB0">
        <w:rPr>
          <w:rFonts w:asciiTheme="minorHAnsi" w:hAnsiTheme="minorHAnsi" w:cstheme="minorHAnsi"/>
        </w:rPr>
        <w:t>.</w:t>
      </w:r>
    </w:p>
    <w:p w14:paraId="5F64DBFB" w14:textId="6B3125CD" w:rsidR="003C2DD8" w:rsidRPr="00D26BB0" w:rsidRDefault="00CA4FB6" w:rsidP="00CE1746">
      <w:pPr>
        <w:pStyle w:val="Fixed"/>
        <w:numPr>
          <w:ilvl w:val="1"/>
          <w:numId w:val="11"/>
        </w:numPr>
        <w:spacing w:before="240" w:after="120" w:line="276" w:lineRule="auto"/>
        <w:ind w:left="567" w:right="0" w:hanging="567"/>
        <w:rPr>
          <w:rFonts w:asciiTheme="minorHAnsi" w:hAnsiTheme="minorHAnsi" w:cstheme="minorHAnsi"/>
        </w:rPr>
      </w:pPr>
      <w:r w:rsidRPr="00D26BB0">
        <w:rPr>
          <w:rFonts w:asciiTheme="minorHAnsi" w:hAnsiTheme="minorHAnsi" w:cstheme="minorHAnsi"/>
        </w:rPr>
        <w:t xml:space="preserve">The Chair proposed </w:t>
      </w:r>
      <w:r w:rsidR="003C2DD8" w:rsidRPr="00D26BB0">
        <w:rPr>
          <w:rFonts w:asciiTheme="minorHAnsi" w:hAnsiTheme="minorHAnsi" w:cstheme="minorHAnsi"/>
        </w:rPr>
        <w:t xml:space="preserve">that </w:t>
      </w:r>
      <w:r w:rsidR="005E6058" w:rsidRPr="00D26BB0">
        <w:rPr>
          <w:rFonts w:asciiTheme="minorHAnsi" w:hAnsiTheme="minorHAnsi" w:cstheme="minorHAnsi"/>
        </w:rPr>
        <w:t>while the group</w:t>
      </w:r>
      <w:r w:rsidR="003C2DD8" w:rsidRPr="00D26BB0">
        <w:rPr>
          <w:rFonts w:asciiTheme="minorHAnsi" w:hAnsiTheme="minorHAnsi" w:cstheme="minorHAnsi"/>
        </w:rPr>
        <w:t xml:space="preserve"> may not be able to agree on the specifics of the structure</w:t>
      </w:r>
      <w:r w:rsidR="008643F7" w:rsidRPr="00D26BB0">
        <w:rPr>
          <w:rFonts w:asciiTheme="minorHAnsi" w:hAnsiTheme="minorHAnsi" w:cstheme="minorHAnsi"/>
        </w:rPr>
        <w:t xml:space="preserve"> during this meeting</w:t>
      </w:r>
      <w:r w:rsidR="003C2DD8" w:rsidRPr="00D26BB0">
        <w:rPr>
          <w:rFonts w:asciiTheme="minorHAnsi" w:hAnsiTheme="minorHAnsi" w:cstheme="minorHAnsi"/>
        </w:rPr>
        <w:t xml:space="preserve">, however </w:t>
      </w:r>
      <w:r w:rsidR="00A975A1" w:rsidRPr="00D26BB0">
        <w:rPr>
          <w:rFonts w:asciiTheme="minorHAnsi" w:hAnsiTheme="minorHAnsi" w:cstheme="minorHAnsi"/>
        </w:rPr>
        <w:t>the group</w:t>
      </w:r>
      <w:r w:rsidR="003C2DD8" w:rsidRPr="00D26BB0">
        <w:rPr>
          <w:rFonts w:asciiTheme="minorHAnsi" w:hAnsiTheme="minorHAnsi" w:cstheme="minorHAnsi"/>
        </w:rPr>
        <w:t xml:space="preserve"> </w:t>
      </w:r>
      <w:r w:rsidR="00A975A1" w:rsidRPr="00D26BB0">
        <w:rPr>
          <w:rFonts w:asciiTheme="minorHAnsi" w:hAnsiTheme="minorHAnsi" w:cstheme="minorHAnsi"/>
        </w:rPr>
        <w:t xml:space="preserve">can </w:t>
      </w:r>
      <w:r w:rsidR="003C2DD8" w:rsidRPr="00D26BB0">
        <w:rPr>
          <w:rFonts w:asciiTheme="minorHAnsi" w:hAnsiTheme="minorHAnsi" w:cstheme="minorHAnsi"/>
        </w:rPr>
        <w:t xml:space="preserve">discuss </w:t>
      </w:r>
      <w:r w:rsidR="008643F7" w:rsidRPr="00D26BB0">
        <w:rPr>
          <w:rFonts w:asciiTheme="minorHAnsi" w:hAnsiTheme="minorHAnsi" w:cstheme="minorHAnsi"/>
        </w:rPr>
        <w:t xml:space="preserve">and </w:t>
      </w:r>
      <w:r w:rsidR="00F66057" w:rsidRPr="00D26BB0">
        <w:rPr>
          <w:rFonts w:asciiTheme="minorHAnsi" w:hAnsiTheme="minorHAnsi" w:cstheme="minorHAnsi"/>
        </w:rPr>
        <w:t xml:space="preserve">seek to </w:t>
      </w:r>
      <w:r w:rsidR="008643F7" w:rsidRPr="00D26BB0">
        <w:rPr>
          <w:rFonts w:asciiTheme="minorHAnsi" w:hAnsiTheme="minorHAnsi" w:cstheme="minorHAnsi"/>
        </w:rPr>
        <w:t xml:space="preserve">agree </w:t>
      </w:r>
      <w:r w:rsidR="003C2DD8" w:rsidRPr="00D26BB0">
        <w:rPr>
          <w:rFonts w:asciiTheme="minorHAnsi" w:hAnsiTheme="minorHAnsi" w:cstheme="minorHAnsi"/>
        </w:rPr>
        <w:t>on the principles that should be applied</w:t>
      </w:r>
      <w:r w:rsidR="008643F7" w:rsidRPr="00D26BB0">
        <w:rPr>
          <w:rFonts w:asciiTheme="minorHAnsi" w:hAnsiTheme="minorHAnsi" w:cstheme="minorHAnsi"/>
        </w:rPr>
        <w:t xml:space="preserve">, </w:t>
      </w:r>
      <w:proofErr w:type="gramStart"/>
      <w:r w:rsidR="008643F7" w:rsidRPr="00D26BB0">
        <w:rPr>
          <w:rFonts w:asciiTheme="minorHAnsi" w:hAnsiTheme="minorHAnsi" w:cstheme="minorHAnsi"/>
        </w:rPr>
        <w:t>whether or not</w:t>
      </w:r>
      <w:proofErr w:type="gramEnd"/>
      <w:r w:rsidR="008643F7" w:rsidRPr="00D26BB0">
        <w:rPr>
          <w:rFonts w:asciiTheme="minorHAnsi" w:hAnsiTheme="minorHAnsi" w:cstheme="minorHAnsi"/>
        </w:rPr>
        <w:t xml:space="preserve"> </w:t>
      </w:r>
      <w:r w:rsidR="00A975A1" w:rsidRPr="00D26BB0">
        <w:rPr>
          <w:rFonts w:asciiTheme="minorHAnsi" w:hAnsiTheme="minorHAnsi" w:cstheme="minorHAnsi"/>
        </w:rPr>
        <w:t>the group</w:t>
      </w:r>
      <w:r w:rsidR="008643F7" w:rsidRPr="00D26BB0">
        <w:rPr>
          <w:rFonts w:asciiTheme="minorHAnsi" w:hAnsiTheme="minorHAnsi" w:cstheme="minorHAnsi"/>
        </w:rPr>
        <w:t xml:space="preserve"> agree on PWC’s recommendations as they relate to structure</w:t>
      </w:r>
      <w:r w:rsidR="003C2DD8" w:rsidRPr="00D26BB0">
        <w:rPr>
          <w:rFonts w:asciiTheme="minorHAnsi" w:hAnsiTheme="minorHAnsi" w:cstheme="minorHAnsi"/>
        </w:rPr>
        <w:t xml:space="preserve">. </w:t>
      </w:r>
      <w:r w:rsidR="00F66057" w:rsidRPr="00D26BB0">
        <w:rPr>
          <w:rFonts w:asciiTheme="minorHAnsi" w:hAnsiTheme="minorHAnsi" w:cstheme="minorHAnsi"/>
        </w:rPr>
        <w:t xml:space="preserve">The guiding principles </w:t>
      </w:r>
      <w:r w:rsidR="008C0D08" w:rsidRPr="00D26BB0">
        <w:rPr>
          <w:rFonts w:asciiTheme="minorHAnsi" w:hAnsiTheme="minorHAnsi" w:cstheme="minorHAnsi"/>
        </w:rPr>
        <w:t xml:space="preserve">have practical implications regarding how ITU organizes its regional presence and capacity. </w:t>
      </w:r>
      <w:r w:rsidR="008D64B8" w:rsidRPr="00D26BB0">
        <w:rPr>
          <w:rFonts w:asciiTheme="minorHAnsi" w:hAnsiTheme="minorHAnsi" w:cstheme="minorHAnsi"/>
        </w:rPr>
        <w:t xml:space="preserve">The </w:t>
      </w:r>
      <w:r w:rsidR="005E6058" w:rsidRPr="00D26BB0">
        <w:rPr>
          <w:rFonts w:asciiTheme="minorHAnsi" w:hAnsiTheme="minorHAnsi" w:cstheme="minorHAnsi"/>
        </w:rPr>
        <w:t>Chair submitted that the c</w:t>
      </w:r>
      <w:r w:rsidR="008D64B8" w:rsidRPr="00D26BB0">
        <w:rPr>
          <w:rFonts w:asciiTheme="minorHAnsi" w:hAnsiTheme="minorHAnsi" w:cstheme="minorHAnsi"/>
        </w:rPr>
        <w:t xml:space="preserve">ontributions received can be </w:t>
      </w:r>
      <w:r w:rsidR="003C2DD8" w:rsidRPr="00D26BB0">
        <w:rPr>
          <w:rFonts w:asciiTheme="minorHAnsi" w:hAnsiTheme="minorHAnsi" w:cstheme="minorHAnsi"/>
        </w:rPr>
        <w:t>mapped into the six guiding principles</w:t>
      </w:r>
      <w:r w:rsidR="00E64B38" w:rsidRPr="00D26BB0">
        <w:rPr>
          <w:rFonts w:asciiTheme="minorHAnsi" w:hAnsiTheme="minorHAnsi" w:cstheme="minorHAnsi"/>
        </w:rPr>
        <w:t xml:space="preserve"> proposed by PwC</w:t>
      </w:r>
      <w:r w:rsidR="003C2DD8" w:rsidRPr="00D26BB0">
        <w:rPr>
          <w:rFonts w:asciiTheme="minorHAnsi" w:hAnsiTheme="minorHAnsi" w:cstheme="minorHAnsi"/>
        </w:rPr>
        <w:t xml:space="preserve">. </w:t>
      </w:r>
      <w:r w:rsidR="000A2A66" w:rsidRPr="00D26BB0">
        <w:rPr>
          <w:rFonts w:asciiTheme="minorHAnsi" w:hAnsiTheme="minorHAnsi" w:cstheme="minorHAnsi"/>
        </w:rPr>
        <w:t xml:space="preserve">The Chair </w:t>
      </w:r>
      <w:r w:rsidR="005E6058" w:rsidRPr="00D26BB0">
        <w:rPr>
          <w:rFonts w:asciiTheme="minorHAnsi" w:hAnsiTheme="minorHAnsi" w:cstheme="minorHAnsi"/>
        </w:rPr>
        <w:t>highlighted</w:t>
      </w:r>
      <w:r w:rsidR="000A2A66" w:rsidRPr="00D26BB0">
        <w:rPr>
          <w:rFonts w:asciiTheme="minorHAnsi" w:hAnsiTheme="minorHAnsi" w:cstheme="minorHAnsi"/>
        </w:rPr>
        <w:t xml:space="preserve"> </w:t>
      </w:r>
      <w:r w:rsidR="00E3035A" w:rsidRPr="00D26BB0">
        <w:rPr>
          <w:rFonts w:asciiTheme="minorHAnsi" w:hAnsiTheme="minorHAnsi" w:cstheme="minorHAnsi"/>
        </w:rPr>
        <w:t xml:space="preserve">the </w:t>
      </w:r>
      <w:r w:rsidR="000A2A66" w:rsidRPr="00D26BB0">
        <w:rPr>
          <w:rFonts w:asciiTheme="minorHAnsi" w:hAnsiTheme="minorHAnsi" w:cstheme="minorHAnsi"/>
        </w:rPr>
        <w:t>alignment</w:t>
      </w:r>
      <w:r w:rsidR="00E3035A" w:rsidRPr="00D26BB0">
        <w:rPr>
          <w:rFonts w:asciiTheme="minorHAnsi" w:hAnsiTheme="minorHAnsi" w:cstheme="minorHAnsi"/>
        </w:rPr>
        <w:t xml:space="preserve"> </w:t>
      </w:r>
      <w:r w:rsidR="008D3F87" w:rsidRPr="00D26BB0">
        <w:rPr>
          <w:rFonts w:asciiTheme="minorHAnsi" w:hAnsiTheme="minorHAnsi" w:cstheme="minorHAnsi"/>
        </w:rPr>
        <w:t xml:space="preserve">between the PwC principles and </w:t>
      </w:r>
      <w:r w:rsidR="00E3035A" w:rsidRPr="00D26BB0">
        <w:rPr>
          <w:rFonts w:asciiTheme="minorHAnsi" w:hAnsiTheme="minorHAnsi" w:cstheme="minorHAnsi"/>
        </w:rPr>
        <w:t xml:space="preserve">the principles proposed by the </w:t>
      </w:r>
      <w:r w:rsidR="0086534A" w:rsidRPr="00D26BB0">
        <w:rPr>
          <w:rFonts w:asciiTheme="minorHAnsi" w:hAnsiTheme="minorHAnsi" w:cstheme="minorHAnsi"/>
        </w:rPr>
        <w:t xml:space="preserve">each of the </w:t>
      </w:r>
      <w:r w:rsidR="00E3035A" w:rsidRPr="00D26BB0">
        <w:rPr>
          <w:rFonts w:asciiTheme="minorHAnsi" w:hAnsiTheme="minorHAnsi" w:cstheme="minorHAnsi"/>
        </w:rPr>
        <w:t>contributions from member states</w:t>
      </w:r>
      <w:r w:rsidR="000A2A66" w:rsidRPr="00D26BB0">
        <w:rPr>
          <w:rFonts w:asciiTheme="minorHAnsi" w:hAnsiTheme="minorHAnsi" w:cstheme="minorHAnsi"/>
        </w:rPr>
        <w:t>.</w:t>
      </w:r>
      <w:r w:rsidR="00956BF1" w:rsidRPr="00D26BB0">
        <w:rPr>
          <w:rFonts w:asciiTheme="minorHAnsi" w:hAnsiTheme="minorHAnsi" w:cstheme="minorHAnsi"/>
        </w:rPr>
        <w:t xml:space="preserve"> Based on this outline, the Chair noted that if we give structure to the deliberations, we could take much from the PwC recommendations.</w:t>
      </w:r>
    </w:p>
    <w:p w14:paraId="72E3BB0C" w14:textId="4089B5EA" w:rsidR="007D57C6" w:rsidRPr="00D26BB0" w:rsidRDefault="00297F52"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T</w:t>
      </w:r>
      <w:r w:rsidR="00A065BA" w:rsidRPr="00D26BB0">
        <w:rPr>
          <w:rFonts w:asciiTheme="minorHAnsi" w:hAnsiTheme="minorHAnsi" w:cstheme="minorHAnsi"/>
          <w:szCs w:val="24"/>
        </w:rPr>
        <w:t xml:space="preserve">he Chair </w:t>
      </w:r>
      <w:r w:rsidRPr="00D26BB0">
        <w:rPr>
          <w:rFonts w:asciiTheme="minorHAnsi" w:hAnsiTheme="minorHAnsi" w:cstheme="minorHAnsi"/>
          <w:szCs w:val="24"/>
        </w:rPr>
        <w:t>noted that</w:t>
      </w:r>
      <w:r w:rsidR="009B69E7" w:rsidRPr="00D26BB0">
        <w:rPr>
          <w:rFonts w:asciiTheme="minorHAnsi" w:hAnsiTheme="minorHAnsi" w:cstheme="minorHAnsi"/>
          <w:szCs w:val="24"/>
        </w:rPr>
        <w:t xml:space="preserve"> the way forward </w:t>
      </w:r>
      <w:r w:rsidRPr="00D26BB0">
        <w:rPr>
          <w:rFonts w:asciiTheme="minorHAnsi" w:hAnsiTheme="minorHAnsi" w:cstheme="minorHAnsi"/>
          <w:szCs w:val="24"/>
        </w:rPr>
        <w:t>was to determine</w:t>
      </w:r>
      <w:r w:rsidR="009B69E7" w:rsidRPr="00D26BB0">
        <w:rPr>
          <w:rFonts w:asciiTheme="minorHAnsi" w:hAnsiTheme="minorHAnsi" w:cstheme="minorHAnsi"/>
          <w:szCs w:val="24"/>
        </w:rPr>
        <w:t xml:space="preserve"> how the Ad Hoc group can assist the secretariat to ensure that the PwC report is implemented as much as possible</w:t>
      </w:r>
      <w:r w:rsidR="00A065BA" w:rsidRPr="00D26BB0">
        <w:rPr>
          <w:rFonts w:asciiTheme="minorHAnsi" w:hAnsiTheme="minorHAnsi" w:cstheme="minorHAnsi"/>
          <w:szCs w:val="24"/>
        </w:rPr>
        <w:t>.</w:t>
      </w:r>
      <w:r w:rsidR="00807EC7" w:rsidRPr="00D26BB0">
        <w:rPr>
          <w:rFonts w:asciiTheme="minorHAnsi" w:hAnsiTheme="minorHAnsi" w:cstheme="minorHAnsi"/>
          <w:szCs w:val="24"/>
        </w:rPr>
        <w:t xml:space="preserve"> Chair noted that even if the group does not agree with the structure there are many aspects of the PwC report that should be implemented irrespective of the position on the structure.</w:t>
      </w:r>
      <w:r w:rsidR="006A3261" w:rsidRPr="00D26BB0">
        <w:rPr>
          <w:rFonts w:asciiTheme="minorHAnsi" w:hAnsiTheme="minorHAnsi" w:cstheme="minorHAnsi"/>
          <w:szCs w:val="24"/>
        </w:rPr>
        <w:t xml:space="preserve"> The Chair expressed the hope that regardless of the decision, one of the takeaways from the meeting would be to put the responsibility on the secretariat to continue to report</w:t>
      </w:r>
      <w:r w:rsidR="00F56212" w:rsidRPr="00D26BB0">
        <w:rPr>
          <w:rFonts w:asciiTheme="minorHAnsi" w:hAnsiTheme="minorHAnsi" w:cstheme="minorHAnsi"/>
          <w:szCs w:val="24"/>
        </w:rPr>
        <w:t xml:space="preserve"> to membership on continuous implementation of the recommendations by PwC, because one of the matters that resonates is the statement that having reviewed </w:t>
      </w:r>
      <w:r w:rsidRPr="00D26BB0">
        <w:rPr>
          <w:rFonts w:asciiTheme="minorHAnsi" w:hAnsiTheme="minorHAnsi" w:cstheme="minorHAnsi"/>
          <w:szCs w:val="24"/>
        </w:rPr>
        <w:t xml:space="preserve">past recommendations many of them were not implemented, which is not the case with the PwC report because we have already seen a high level of implementation of the recommendations. </w:t>
      </w:r>
    </w:p>
    <w:p w14:paraId="12FD27BB" w14:textId="09623B86" w:rsidR="00297F52" w:rsidRPr="00D26BB0" w:rsidRDefault="00297F52"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The Chair opened the floor for comments on the contributions received and the way forward. </w:t>
      </w:r>
    </w:p>
    <w:p w14:paraId="08FBAB4D" w14:textId="6CF30609" w:rsidR="00CB0187" w:rsidRPr="00D26BB0" w:rsidRDefault="00CB018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lastRenderedPageBreak/>
        <w:t xml:space="preserve">The United States </w:t>
      </w:r>
      <w:r w:rsidR="009741F4" w:rsidRPr="00D26BB0">
        <w:rPr>
          <w:rFonts w:asciiTheme="minorHAnsi" w:hAnsiTheme="minorHAnsi" w:cstheme="minorHAnsi"/>
          <w:szCs w:val="24"/>
        </w:rPr>
        <w:t xml:space="preserve">expressed appreciation for the information and thinking </w:t>
      </w:r>
      <w:r w:rsidR="004B5D0E" w:rsidRPr="00D26BB0">
        <w:rPr>
          <w:rFonts w:asciiTheme="minorHAnsi" w:hAnsiTheme="minorHAnsi" w:cstheme="minorHAnsi"/>
          <w:szCs w:val="24"/>
        </w:rPr>
        <w:t>shared and</w:t>
      </w:r>
      <w:r w:rsidR="009741F4" w:rsidRPr="00D26BB0">
        <w:rPr>
          <w:rFonts w:asciiTheme="minorHAnsi" w:hAnsiTheme="minorHAnsi" w:cstheme="minorHAnsi"/>
          <w:szCs w:val="24"/>
        </w:rPr>
        <w:t xml:space="preserve"> noted that the Chair had laid out a </w:t>
      </w:r>
      <w:r w:rsidR="00192171" w:rsidRPr="00D26BB0">
        <w:rPr>
          <w:rFonts w:asciiTheme="minorHAnsi" w:hAnsiTheme="minorHAnsi" w:cstheme="minorHAnsi"/>
          <w:szCs w:val="24"/>
        </w:rPr>
        <w:t xml:space="preserve">proper structure for the discussion. The United States expressed agreement that it would be hard to focus on specifics of structure at this meeting </w:t>
      </w:r>
      <w:r w:rsidR="00573ABF" w:rsidRPr="00D26BB0">
        <w:rPr>
          <w:rFonts w:asciiTheme="minorHAnsi" w:hAnsiTheme="minorHAnsi" w:cstheme="minorHAnsi"/>
          <w:szCs w:val="24"/>
        </w:rPr>
        <w:t xml:space="preserve">but there could be fruitful discussion on </w:t>
      </w:r>
      <w:r w:rsidRPr="00D26BB0">
        <w:rPr>
          <w:rFonts w:asciiTheme="minorHAnsi" w:hAnsiTheme="minorHAnsi" w:cstheme="minorHAnsi"/>
          <w:szCs w:val="24"/>
        </w:rPr>
        <w:t>guiding principles</w:t>
      </w:r>
      <w:r w:rsidR="00573ABF" w:rsidRPr="00D26BB0">
        <w:rPr>
          <w:rFonts w:asciiTheme="minorHAnsi" w:hAnsiTheme="minorHAnsi" w:cstheme="minorHAnsi"/>
          <w:szCs w:val="24"/>
        </w:rPr>
        <w:t xml:space="preserve"> for the role of the regional offices</w:t>
      </w:r>
      <w:r w:rsidRPr="00D26BB0">
        <w:rPr>
          <w:rFonts w:asciiTheme="minorHAnsi" w:hAnsiTheme="minorHAnsi" w:cstheme="minorHAnsi"/>
          <w:szCs w:val="24"/>
        </w:rPr>
        <w:t>.</w:t>
      </w:r>
      <w:r w:rsidR="00573ABF" w:rsidRPr="00D26BB0">
        <w:rPr>
          <w:rFonts w:asciiTheme="minorHAnsi" w:hAnsiTheme="minorHAnsi" w:cstheme="minorHAnsi"/>
          <w:szCs w:val="24"/>
        </w:rPr>
        <w:t xml:space="preserve"> Echoed the Chairs view that there are synergies </w:t>
      </w:r>
      <w:r w:rsidR="00296A60" w:rsidRPr="00D26BB0">
        <w:rPr>
          <w:rFonts w:asciiTheme="minorHAnsi" w:hAnsiTheme="minorHAnsi" w:cstheme="minorHAnsi"/>
          <w:szCs w:val="24"/>
        </w:rPr>
        <w:t xml:space="preserve">and that the guiding principles set out in the report provide potential areas of consensus. Also supports the notion that the </w:t>
      </w:r>
      <w:r w:rsidRPr="00D26BB0">
        <w:rPr>
          <w:rFonts w:asciiTheme="minorHAnsi" w:hAnsiTheme="minorHAnsi" w:cstheme="minorHAnsi"/>
          <w:szCs w:val="24"/>
        </w:rPr>
        <w:t xml:space="preserve">secretariat could continue to report </w:t>
      </w:r>
      <w:r w:rsidR="00296A60" w:rsidRPr="00D26BB0">
        <w:rPr>
          <w:rFonts w:asciiTheme="minorHAnsi" w:hAnsiTheme="minorHAnsi" w:cstheme="minorHAnsi"/>
          <w:szCs w:val="24"/>
        </w:rPr>
        <w:t xml:space="preserve">back to the group </w:t>
      </w:r>
      <w:r w:rsidRPr="00D26BB0">
        <w:rPr>
          <w:rFonts w:asciiTheme="minorHAnsi" w:hAnsiTheme="minorHAnsi" w:cstheme="minorHAnsi"/>
          <w:szCs w:val="24"/>
        </w:rPr>
        <w:t xml:space="preserve">on </w:t>
      </w:r>
      <w:r w:rsidR="00AB2499" w:rsidRPr="00D26BB0">
        <w:rPr>
          <w:rFonts w:asciiTheme="minorHAnsi" w:hAnsiTheme="minorHAnsi" w:cstheme="minorHAnsi"/>
          <w:szCs w:val="24"/>
        </w:rPr>
        <w:t xml:space="preserve">its </w:t>
      </w:r>
      <w:r w:rsidRPr="00D26BB0">
        <w:rPr>
          <w:rFonts w:asciiTheme="minorHAnsi" w:hAnsiTheme="minorHAnsi" w:cstheme="minorHAnsi"/>
          <w:szCs w:val="24"/>
        </w:rPr>
        <w:t xml:space="preserve">progress </w:t>
      </w:r>
      <w:r w:rsidR="00AB2499" w:rsidRPr="00D26BB0">
        <w:rPr>
          <w:rFonts w:asciiTheme="minorHAnsi" w:hAnsiTheme="minorHAnsi" w:cstheme="minorHAnsi"/>
          <w:szCs w:val="24"/>
        </w:rPr>
        <w:t xml:space="preserve">and efforts to </w:t>
      </w:r>
      <w:r w:rsidRPr="00D26BB0">
        <w:rPr>
          <w:rFonts w:asciiTheme="minorHAnsi" w:hAnsiTheme="minorHAnsi" w:cstheme="minorHAnsi"/>
          <w:szCs w:val="24"/>
        </w:rPr>
        <w:t xml:space="preserve">implement some of the </w:t>
      </w:r>
      <w:r w:rsidR="00296A60" w:rsidRPr="00D26BB0">
        <w:rPr>
          <w:rFonts w:asciiTheme="minorHAnsi" w:hAnsiTheme="minorHAnsi" w:cstheme="minorHAnsi"/>
          <w:szCs w:val="24"/>
        </w:rPr>
        <w:t>PwC recommendations</w:t>
      </w:r>
      <w:r w:rsidRPr="00D26BB0">
        <w:rPr>
          <w:rFonts w:asciiTheme="minorHAnsi" w:hAnsiTheme="minorHAnsi" w:cstheme="minorHAnsi"/>
          <w:szCs w:val="24"/>
        </w:rPr>
        <w:t>.</w:t>
      </w:r>
    </w:p>
    <w:p w14:paraId="39E7685D" w14:textId="6E82B3EB" w:rsidR="00CB0187" w:rsidRPr="00D26BB0" w:rsidRDefault="00CB018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Canada </w:t>
      </w:r>
      <w:r w:rsidR="00C857B1" w:rsidRPr="00D26BB0">
        <w:rPr>
          <w:rFonts w:asciiTheme="minorHAnsi" w:hAnsiTheme="minorHAnsi" w:cstheme="minorHAnsi"/>
          <w:szCs w:val="24"/>
        </w:rPr>
        <w:t xml:space="preserve">noted the need, before deciding on any structure we should </w:t>
      </w:r>
      <w:proofErr w:type="gramStart"/>
      <w:r w:rsidR="00C857B1" w:rsidRPr="00D26BB0">
        <w:rPr>
          <w:rFonts w:asciiTheme="minorHAnsi" w:hAnsiTheme="minorHAnsi" w:cstheme="minorHAnsi"/>
          <w:szCs w:val="24"/>
        </w:rPr>
        <w:t>take into account</w:t>
      </w:r>
      <w:proofErr w:type="gramEnd"/>
      <w:r w:rsidR="00C857B1" w:rsidRPr="00D26BB0">
        <w:rPr>
          <w:rFonts w:asciiTheme="minorHAnsi" w:hAnsiTheme="minorHAnsi" w:cstheme="minorHAnsi"/>
          <w:szCs w:val="24"/>
        </w:rPr>
        <w:t xml:space="preserve"> what is it that the regions want the ITU to do and the important process ongoing </w:t>
      </w:r>
      <w:r w:rsidR="000E39B5" w:rsidRPr="00D26BB0">
        <w:rPr>
          <w:rFonts w:asciiTheme="minorHAnsi" w:hAnsiTheme="minorHAnsi" w:cstheme="minorHAnsi"/>
          <w:szCs w:val="24"/>
        </w:rPr>
        <w:t xml:space="preserve">for deciding on regional priorities and the BDT Thematic Priorities. In that context it is important to take a close look at the Results Based Management implementation by the BDT and to ensure effective </w:t>
      </w:r>
      <w:r w:rsidR="004B5D0E" w:rsidRPr="00D26BB0">
        <w:rPr>
          <w:rFonts w:asciiTheme="minorHAnsi" w:hAnsiTheme="minorHAnsi" w:cstheme="minorHAnsi"/>
          <w:szCs w:val="24"/>
        </w:rPr>
        <w:t>results-based</w:t>
      </w:r>
      <w:r w:rsidR="000E39B5" w:rsidRPr="00D26BB0">
        <w:rPr>
          <w:rFonts w:asciiTheme="minorHAnsi" w:hAnsiTheme="minorHAnsi" w:cstheme="minorHAnsi"/>
          <w:szCs w:val="24"/>
        </w:rPr>
        <w:t xml:space="preserve"> budgeting. Canada also expressed its support for and insistence on maintaining an area office in the Caribbean region to support the </w:t>
      </w:r>
      <w:r w:rsidR="00132DE1" w:rsidRPr="00D26BB0">
        <w:rPr>
          <w:rFonts w:asciiTheme="minorHAnsi" w:hAnsiTheme="minorHAnsi" w:cstheme="minorHAnsi"/>
          <w:szCs w:val="24"/>
        </w:rPr>
        <w:t xml:space="preserve">small island developing states in that region, </w:t>
      </w:r>
      <w:r w:rsidR="004B5D0E" w:rsidRPr="00D26BB0">
        <w:rPr>
          <w:rFonts w:asciiTheme="minorHAnsi" w:hAnsiTheme="minorHAnsi" w:cstheme="minorHAnsi"/>
          <w:szCs w:val="24"/>
        </w:rPr>
        <w:t>and</w:t>
      </w:r>
      <w:r w:rsidR="00132DE1" w:rsidRPr="00D26BB0">
        <w:rPr>
          <w:rFonts w:asciiTheme="minorHAnsi" w:hAnsiTheme="minorHAnsi" w:cstheme="minorHAnsi"/>
          <w:szCs w:val="24"/>
        </w:rPr>
        <w:t xml:space="preserve"> the need for support in the Americas for LLDCs.</w:t>
      </w:r>
    </w:p>
    <w:p w14:paraId="7D9B84E2" w14:textId="0D7FE0B3" w:rsidR="00CB0187" w:rsidRPr="00D26BB0" w:rsidRDefault="001A0FB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The </w:t>
      </w:r>
      <w:r w:rsidR="00CB0187" w:rsidRPr="00D26BB0">
        <w:rPr>
          <w:rFonts w:asciiTheme="minorHAnsi" w:hAnsiTheme="minorHAnsi" w:cstheme="minorHAnsi"/>
          <w:szCs w:val="24"/>
        </w:rPr>
        <w:t xml:space="preserve">Russian Federation </w:t>
      </w:r>
      <w:r w:rsidR="002B7A71" w:rsidRPr="00D26BB0">
        <w:rPr>
          <w:rFonts w:asciiTheme="minorHAnsi" w:hAnsiTheme="minorHAnsi" w:cstheme="minorHAnsi"/>
          <w:szCs w:val="24"/>
        </w:rPr>
        <w:t>expressed s</w:t>
      </w:r>
      <w:r w:rsidR="00CB0187" w:rsidRPr="00D26BB0">
        <w:rPr>
          <w:rFonts w:asciiTheme="minorHAnsi" w:hAnsiTheme="minorHAnsi" w:cstheme="minorHAnsi"/>
          <w:szCs w:val="24"/>
        </w:rPr>
        <w:t xml:space="preserve">upport </w:t>
      </w:r>
      <w:r w:rsidR="002B7A71" w:rsidRPr="00D26BB0">
        <w:rPr>
          <w:rFonts w:asciiTheme="minorHAnsi" w:hAnsiTheme="minorHAnsi" w:cstheme="minorHAnsi"/>
          <w:szCs w:val="24"/>
        </w:rPr>
        <w:t xml:space="preserve">for the </w:t>
      </w:r>
      <w:r w:rsidR="00CB0187" w:rsidRPr="00D26BB0">
        <w:rPr>
          <w:rFonts w:asciiTheme="minorHAnsi" w:hAnsiTheme="minorHAnsi" w:cstheme="minorHAnsi"/>
          <w:szCs w:val="24"/>
        </w:rPr>
        <w:t xml:space="preserve">Egypt and US contributions, and </w:t>
      </w:r>
      <w:r w:rsidR="002B7A71" w:rsidRPr="00D26BB0">
        <w:rPr>
          <w:rFonts w:asciiTheme="minorHAnsi" w:hAnsiTheme="minorHAnsi" w:cstheme="minorHAnsi"/>
          <w:szCs w:val="24"/>
        </w:rPr>
        <w:t xml:space="preserve">the Chair’s approach </w:t>
      </w:r>
      <w:r w:rsidR="000A4C87" w:rsidRPr="00D26BB0">
        <w:rPr>
          <w:rFonts w:asciiTheme="minorHAnsi" w:hAnsiTheme="minorHAnsi" w:cstheme="minorHAnsi"/>
          <w:szCs w:val="24"/>
        </w:rPr>
        <w:t xml:space="preserve">and </w:t>
      </w:r>
      <w:r w:rsidR="00CB0187" w:rsidRPr="00D26BB0">
        <w:rPr>
          <w:rFonts w:asciiTheme="minorHAnsi" w:hAnsiTheme="minorHAnsi" w:cstheme="minorHAnsi"/>
          <w:szCs w:val="24"/>
        </w:rPr>
        <w:t>consider</w:t>
      </w:r>
      <w:r w:rsidR="000A4C87" w:rsidRPr="00D26BB0">
        <w:rPr>
          <w:rFonts w:asciiTheme="minorHAnsi" w:hAnsiTheme="minorHAnsi" w:cstheme="minorHAnsi"/>
          <w:szCs w:val="24"/>
        </w:rPr>
        <w:t xml:space="preserve">ed that </w:t>
      </w:r>
      <w:r w:rsidR="004B5D0E" w:rsidRPr="00D26BB0">
        <w:rPr>
          <w:rFonts w:asciiTheme="minorHAnsi" w:hAnsiTheme="minorHAnsi" w:cstheme="minorHAnsi"/>
          <w:szCs w:val="24"/>
        </w:rPr>
        <w:t>considering</w:t>
      </w:r>
      <w:r w:rsidR="000A4C87" w:rsidRPr="00D26BB0">
        <w:rPr>
          <w:rFonts w:asciiTheme="minorHAnsi" w:hAnsiTheme="minorHAnsi" w:cstheme="minorHAnsi"/>
          <w:szCs w:val="24"/>
        </w:rPr>
        <w:t xml:space="preserve"> financial risk at the present time,</w:t>
      </w:r>
      <w:r w:rsidR="00CB0187" w:rsidRPr="00D26BB0">
        <w:rPr>
          <w:rFonts w:asciiTheme="minorHAnsi" w:hAnsiTheme="minorHAnsi" w:cstheme="minorHAnsi"/>
          <w:szCs w:val="24"/>
        </w:rPr>
        <w:t xml:space="preserve"> asking ITU to consider implementing the </w:t>
      </w:r>
      <w:r w:rsidR="000A4C87" w:rsidRPr="00D26BB0">
        <w:rPr>
          <w:rFonts w:asciiTheme="minorHAnsi" w:hAnsiTheme="minorHAnsi" w:cstheme="minorHAnsi"/>
          <w:szCs w:val="24"/>
        </w:rPr>
        <w:t xml:space="preserve">PwC recommendations that will increase the </w:t>
      </w:r>
      <w:r w:rsidR="00EA0152" w:rsidRPr="00D26BB0">
        <w:rPr>
          <w:rFonts w:asciiTheme="minorHAnsi" w:hAnsiTheme="minorHAnsi" w:cstheme="minorHAnsi"/>
          <w:szCs w:val="24"/>
        </w:rPr>
        <w:t xml:space="preserve">efficiency and significance of the </w:t>
      </w:r>
      <w:r w:rsidR="00E1030A" w:rsidRPr="00D26BB0">
        <w:rPr>
          <w:rFonts w:asciiTheme="minorHAnsi" w:hAnsiTheme="minorHAnsi" w:cstheme="minorHAnsi"/>
          <w:szCs w:val="24"/>
        </w:rPr>
        <w:t xml:space="preserve">regional presence within its existing </w:t>
      </w:r>
      <w:r w:rsidR="00CB0187" w:rsidRPr="00D26BB0">
        <w:rPr>
          <w:rFonts w:asciiTheme="minorHAnsi" w:hAnsiTheme="minorHAnsi" w:cstheme="minorHAnsi"/>
          <w:szCs w:val="24"/>
        </w:rPr>
        <w:t>structure,</w:t>
      </w:r>
      <w:r w:rsidR="00E1030A" w:rsidRPr="00D26BB0">
        <w:rPr>
          <w:rFonts w:asciiTheme="minorHAnsi" w:hAnsiTheme="minorHAnsi" w:cstheme="minorHAnsi"/>
          <w:szCs w:val="24"/>
        </w:rPr>
        <w:t xml:space="preserve"> without carrying out changes in the structure. Issues of transforming the regional presence </w:t>
      </w:r>
      <w:r w:rsidR="00EC0E2B" w:rsidRPr="00D26BB0">
        <w:rPr>
          <w:rFonts w:asciiTheme="minorHAnsi" w:hAnsiTheme="minorHAnsi" w:cstheme="minorHAnsi"/>
          <w:szCs w:val="24"/>
        </w:rPr>
        <w:t>should be considered further including within the framework of the Council Working Group on Strategic and Financial Plans</w:t>
      </w:r>
      <w:r w:rsidR="00CB0187" w:rsidRPr="00D26BB0">
        <w:rPr>
          <w:rFonts w:asciiTheme="minorHAnsi" w:hAnsiTheme="minorHAnsi" w:cstheme="minorHAnsi"/>
          <w:szCs w:val="24"/>
        </w:rPr>
        <w:t xml:space="preserve"> </w:t>
      </w:r>
      <w:r w:rsidR="0061600B" w:rsidRPr="00D26BB0">
        <w:rPr>
          <w:rFonts w:asciiTheme="minorHAnsi" w:hAnsiTheme="minorHAnsi" w:cstheme="minorHAnsi"/>
          <w:szCs w:val="24"/>
        </w:rPr>
        <w:t>for decision at</w:t>
      </w:r>
      <w:r w:rsidR="00CB0187" w:rsidRPr="00D26BB0">
        <w:rPr>
          <w:rFonts w:asciiTheme="minorHAnsi" w:hAnsiTheme="minorHAnsi" w:cstheme="minorHAnsi"/>
          <w:szCs w:val="24"/>
        </w:rPr>
        <w:t xml:space="preserve"> PP22</w:t>
      </w:r>
      <w:r w:rsidR="0061600B" w:rsidRPr="00D26BB0">
        <w:rPr>
          <w:rFonts w:asciiTheme="minorHAnsi" w:hAnsiTheme="minorHAnsi" w:cstheme="minorHAnsi"/>
          <w:szCs w:val="24"/>
        </w:rPr>
        <w:t xml:space="preserve">, </w:t>
      </w:r>
      <w:r w:rsidR="00A80F9F" w:rsidRPr="00D26BB0">
        <w:rPr>
          <w:rFonts w:asciiTheme="minorHAnsi" w:hAnsiTheme="minorHAnsi" w:cstheme="minorHAnsi"/>
          <w:szCs w:val="24"/>
        </w:rPr>
        <w:t>considering</w:t>
      </w:r>
      <w:r w:rsidR="0061600B" w:rsidRPr="00D26BB0">
        <w:rPr>
          <w:rFonts w:asciiTheme="minorHAnsi" w:hAnsiTheme="minorHAnsi" w:cstheme="minorHAnsi"/>
          <w:szCs w:val="24"/>
        </w:rPr>
        <w:t xml:space="preserve"> the relevant resolutions and </w:t>
      </w:r>
      <w:r w:rsidR="00727D25" w:rsidRPr="00D26BB0">
        <w:rPr>
          <w:rFonts w:asciiTheme="minorHAnsi" w:hAnsiTheme="minorHAnsi" w:cstheme="minorHAnsi"/>
          <w:szCs w:val="24"/>
        </w:rPr>
        <w:t>decisions inter alia that will be adopted at WTDC-21</w:t>
      </w:r>
      <w:r w:rsidR="00CB0187" w:rsidRPr="00D26BB0">
        <w:rPr>
          <w:rFonts w:asciiTheme="minorHAnsi" w:hAnsiTheme="minorHAnsi" w:cstheme="minorHAnsi"/>
          <w:szCs w:val="24"/>
        </w:rPr>
        <w:t>.</w:t>
      </w:r>
      <w:r w:rsidR="00E909AF" w:rsidRPr="00D26BB0">
        <w:rPr>
          <w:rFonts w:asciiTheme="minorHAnsi" w:hAnsiTheme="minorHAnsi" w:cstheme="minorHAnsi"/>
          <w:szCs w:val="24"/>
        </w:rPr>
        <w:t xml:space="preserve"> Chair highlighted agreement with this and stressed that whatever steps the secretariat takes it should continue reporting to the CWG-FHR so that the PwC report is kept alive.</w:t>
      </w:r>
    </w:p>
    <w:p w14:paraId="5245CEC8" w14:textId="644D06CD" w:rsidR="00CB0187" w:rsidRPr="00D26BB0" w:rsidRDefault="00CB018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Brazil stress</w:t>
      </w:r>
      <w:r w:rsidR="00844B1B" w:rsidRPr="00D26BB0">
        <w:rPr>
          <w:rFonts w:asciiTheme="minorHAnsi" w:hAnsiTheme="minorHAnsi" w:cstheme="minorHAnsi"/>
          <w:szCs w:val="24"/>
        </w:rPr>
        <w:t>ed the</w:t>
      </w:r>
      <w:r w:rsidRPr="00D26BB0">
        <w:rPr>
          <w:rFonts w:asciiTheme="minorHAnsi" w:hAnsiTheme="minorHAnsi" w:cstheme="minorHAnsi"/>
          <w:szCs w:val="24"/>
        </w:rPr>
        <w:t xml:space="preserve"> importance of the discussion as the topic is valuable for the continuance of the </w:t>
      </w:r>
      <w:r w:rsidR="00844B1B" w:rsidRPr="00D26BB0">
        <w:rPr>
          <w:rFonts w:asciiTheme="minorHAnsi" w:hAnsiTheme="minorHAnsi" w:cstheme="minorHAnsi"/>
          <w:szCs w:val="24"/>
        </w:rPr>
        <w:t xml:space="preserve">effective and relevant </w:t>
      </w:r>
      <w:r w:rsidRPr="00D26BB0">
        <w:rPr>
          <w:rFonts w:asciiTheme="minorHAnsi" w:hAnsiTheme="minorHAnsi" w:cstheme="minorHAnsi"/>
          <w:szCs w:val="24"/>
        </w:rPr>
        <w:t xml:space="preserve">work of the Union. Support secretariat comments and US comments. </w:t>
      </w:r>
      <w:r w:rsidR="00180C18" w:rsidRPr="00D26BB0">
        <w:rPr>
          <w:rFonts w:asciiTheme="minorHAnsi" w:hAnsiTheme="minorHAnsi" w:cstheme="minorHAnsi"/>
          <w:szCs w:val="24"/>
        </w:rPr>
        <w:t xml:space="preserve">Brazil requested details about the extent to which </w:t>
      </w:r>
      <w:r w:rsidRPr="00D26BB0">
        <w:rPr>
          <w:rFonts w:asciiTheme="minorHAnsi" w:hAnsiTheme="minorHAnsi" w:cstheme="minorHAnsi"/>
          <w:szCs w:val="24"/>
        </w:rPr>
        <w:t xml:space="preserve">the secretariat and </w:t>
      </w:r>
      <w:r w:rsidR="00180C18" w:rsidRPr="00D26BB0">
        <w:rPr>
          <w:rFonts w:asciiTheme="minorHAnsi" w:hAnsiTheme="minorHAnsi" w:cstheme="minorHAnsi"/>
          <w:szCs w:val="24"/>
        </w:rPr>
        <w:t xml:space="preserve">the </w:t>
      </w:r>
      <w:r w:rsidRPr="00D26BB0">
        <w:rPr>
          <w:rFonts w:asciiTheme="minorHAnsi" w:hAnsiTheme="minorHAnsi" w:cstheme="minorHAnsi"/>
          <w:szCs w:val="24"/>
        </w:rPr>
        <w:t xml:space="preserve">countries impacted directly </w:t>
      </w:r>
      <w:r w:rsidR="00180C18" w:rsidRPr="00D26BB0">
        <w:rPr>
          <w:rFonts w:asciiTheme="minorHAnsi" w:hAnsiTheme="minorHAnsi" w:cstheme="minorHAnsi"/>
          <w:szCs w:val="24"/>
        </w:rPr>
        <w:t xml:space="preserve">by the proposed changes were </w:t>
      </w:r>
      <w:r w:rsidRPr="00D26BB0">
        <w:rPr>
          <w:rFonts w:asciiTheme="minorHAnsi" w:hAnsiTheme="minorHAnsi" w:cstheme="minorHAnsi"/>
          <w:szCs w:val="24"/>
        </w:rPr>
        <w:t xml:space="preserve">consulted on the changes and </w:t>
      </w:r>
      <w:r w:rsidR="00180C18" w:rsidRPr="00D26BB0">
        <w:rPr>
          <w:rFonts w:asciiTheme="minorHAnsi" w:hAnsiTheme="minorHAnsi" w:cstheme="minorHAnsi"/>
          <w:szCs w:val="24"/>
        </w:rPr>
        <w:t xml:space="preserve">whether they </w:t>
      </w:r>
      <w:r w:rsidRPr="00D26BB0">
        <w:rPr>
          <w:rFonts w:asciiTheme="minorHAnsi" w:hAnsiTheme="minorHAnsi" w:cstheme="minorHAnsi"/>
          <w:szCs w:val="24"/>
        </w:rPr>
        <w:t xml:space="preserve">agreed to them. Brazil reaffirms </w:t>
      </w:r>
      <w:r w:rsidR="00A80F9F" w:rsidRPr="00D26BB0">
        <w:rPr>
          <w:rFonts w:asciiTheme="minorHAnsi" w:hAnsiTheme="minorHAnsi" w:cstheme="minorHAnsi"/>
          <w:szCs w:val="24"/>
        </w:rPr>
        <w:t>its</w:t>
      </w:r>
      <w:r w:rsidR="00180C18" w:rsidRPr="00D26BB0">
        <w:rPr>
          <w:rFonts w:asciiTheme="minorHAnsi" w:hAnsiTheme="minorHAnsi" w:cstheme="minorHAnsi"/>
          <w:szCs w:val="24"/>
        </w:rPr>
        <w:t xml:space="preserve"> position in support of strengthening the ITU’s </w:t>
      </w:r>
      <w:r w:rsidRPr="00D26BB0">
        <w:rPr>
          <w:rFonts w:asciiTheme="minorHAnsi" w:hAnsiTheme="minorHAnsi" w:cstheme="minorHAnsi"/>
          <w:szCs w:val="24"/>
        </w:rPr>
        <w:t>regional presence</w:t>
      </w:r>
      <w:r w:rsidR="00593F36" w:rsidRPr="00D26BB0">
        <w:rPr>
          <w:rFonts w:asciiTheme="minorHAnsi" w:hAnsiTheme="minorHAnsi" w:cstheme="minorHAnsi"/>
          <w:szCs w:val="24"/>
        </w:rPr>
        <w:t>, essentially to keep the flexibility of countries in designing and executing projects in line with regional needs and priorities,</w:t>
      </w:r>
      <w:r w:rsidRPr="00D26BB0">
        <w:rPr>
          <w:rFonts w:asciiTheme="minorHAnsi" w:hAnsiTheme="minorHAnsi" w:cstheme="minorHAnsi"/>
          <w:szCs w:val="24"/>
        </w:rPr>
        <w:t xml:space="preserve"> and welcomes the work already being done by the secretariat in bringing greater clarity to countries about the work</w:t>
      </w:r>
      <w:r w:rsidR="00593F36" w:rsidRPr="00D26BB0">
        <w:rPr>
          <w:rFonts w:asciiTheme="minorHAnsi" w:hAnsiTheme="minorHAnsi" w:cstheme="minorHAnsi"/>
          <w:szCs w:val="24"/>
        </w:rPr>
        <w:t xml:space="preserve"> of the regional presence and the work done </w:t>
      </w:r>
      <w:r w:rsidR="00DD621D" w:rsidRPr="00D26BB0">
        <w:rPr>
          <w:rFonts w:asciiTheme="minorHAnsi" w:hAnsiTheme="minorHAnsi" w:cstheme="minorHAnsi"/>
          <w:szCs w:val="24"/>
        </w:rPr>
        <w:t>at this group</w:t>
      </w:r>
      <w:r w:rsidRPr="00D26BB0">
        <w:rPr>
          <w:rFonts w:asciiTheme="minorHAnsi" w:hAnsiTheme="minorHAnsi" w:cstheme="minorHAnsi"/>
          <w:szCs w:val="24"/>
        </w:rPr>
        <w:t>.</w:t>
      </w:r>
      <w:r w:rsidR="00DD621D" w:rsidRPr="00D26BB0">
        <w:rPr>
          <w:rFonts w:asciiTheme="minorHAnsi" w:hAnsiTheme="minorHAnsi" w:cstheme="minorHAnsi"/>
          <w:szCs w:val="24"/>
        </w:rPr>
        <w:t xml:space="preserve"> Stephen Bereaux responded to the question by Brazil regarding the nature of the consultation with countries noting that the consultation by PwC consulted with member countries, including all those with regional offices, but the consultation was a general consultation on the issues being considered but not designed to seek agreement by member states with specific recommendations. </w:t>
      </w:r>
    </w:p>
    <w:p w14:paraId="5B1AB216" w14:textId="15272999" w:rsidR="00CB0187" w:rsidRPr="00D26BB0" w:rsidRDefault="00CB018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lastRenderedPageBreak/>
        <w:t xml:space="preserve">Indonesia </w:t>
      </w:r>
      <w:r w:rsidR="00AF3749" w:rsidRPr="00D26BB0">
        <w:rPr>
          <w:rFonts w:asciiTheme="minorHAnsi" w:hAnsiTheme="minorHAnsi" w:cstheme="minorHAnsi"/>
          <w:szCs w:val="24"/>
        </w:rPr>
        <w:t>e</w:t>
      </w:r>
      <w:r w:rsidRPr="00D26BB0">
        <w:rPr>
          <w:rFonts w:asciiTheme="minorHAnsi" w:hAnsiTheme="minorHAnsi" w:cstheme="minorHAnsi"/>
          <w:szCs w:val="24"/>
        </w:rPr>
        <w:t>xpress</w:t>
      </w:r>
      <w:r w:rsidR="00AF3749" w:rsidRPr="00D26BB0">
        <w:rPr>
          <w:rFonts w:asciiTheme="minorHAnsi" w:hAnsiTheme="minorHAnsi" w:cstheme="minorHAnsi"/>
          <w:szCs w:val="24"/>
        </w:rPr>
        <w:t>ed</w:t>
      </w:r>
      <w:r w:rsidRPr="00D26BB0">
        <w:rPr>
          <w:rFonts w:asciiTheme="minorHAnsi" w:hAnsiTheme="minorHAnsi" w:cstheme="minorHAnsi"/>
          <w:szCs w:val="24"/>
        </w:rPr>
        <w:t xml:space="preserve"> appreciation to PwC for the comprehensive report. Report provides holistic recommendations for strengthening the ITU regional office</w:t>
      </w:r>
      <w:r w:rsidR="00AF3749" w:rsidRPr="00D26BB0">
        <w:rPr>
          <w:rFonts w:asciiTheme="minorHAnsi" w:hAnsiTheme="minorHAnsi" w:cstheme="minorHAnsi"/>
          <w:szCs w:val="24"/>
        </w:rPr>
        <w:t>s</w:t>
      </w:r>
      <w:r w:rsidRPr="00D26BB0">
        <w:rPr>
          <w:rFonts w:asciiTheme="minorHAnsi" w:hAnsiTheme="minorHAnsi" w:cstheme="minorHAnsi"/>
          <w:szCs w:val="24"/>
        </w:rPr>
        <w:t xml:space="preserve">. </w:t>
      </w:r>
      <w:r w:rsidR="00AF3749" w:rsidRPr="00D26BB0">
        <w:rPr>
          <w:rFonts w:asciiTheme="minorHAnsi" w:hAnsiTheme="minorHAnsi" w:cstheme="minorHAnsi"/>
          <w:szCs w:val="24"/>
        </w:rPr>
        <w:t xml:space="preserve">In this regard we would like to recall and echo the contribution by Egypt, </w:t>
      </w:r>
      <w:proofErr w:type="gramStart"/>
      <w:r w:rsidR="00AF3749" w:rsidRPr="00D26BB0">
        <w:rPr>
          <w:rFonts w:asciiTheme="minorHAnsi" w:hAnsiTheme="minorHAnsi" w:cstheme="minorHAnsi"/>
          <w:szCs w:val="24"/>
        </w:rPr>
        <w:t>Kuwait</w:t>
      </w:r>
      <w:proofErr w:type="gramEnd"/>
      <w:r w:rsidR="00AF3749" w:rsidRPr="00D26BB0">
        <w:rPr>
          <w:rFonts w:asciiTheme="minorHAnsi" w:hAnsiTheme="minorHAnsi" w:cstheme="minorHAnsi"/>
          <w:szCs w:val="24"/>
        </w:rPr>
        <w:t xml:space="preserve"> and South Africa that we should maintain the current </w:t>
      </w:r>
      <w:r w:rsidR="004B5D0E" w:rsidRPr="00D26BB0">
        <w:rPr>
          <w:rFonts w:asciiTheme="minorHAnsi" w:hAnsiTheme="minorHAnsi" w:cstheme="minorHAnsi"/>
          <w:szCs w:val="24"/>
        </w:rPr>
        <w:t>structure and</w:t>
      </w:r>
      <w:r w:rsidR="00AF3749" w:rsidRPr="00D26BB0">
        <w:rPr>
          <w:rFonts w:asciiTheme="minorHAnsi" w:hAnsiTheme="minorHAnsi" w:cstheme="minorHAnsi"/>
          <w:szCs w:val="24"/>
        </w:rPr>
        <w:t xml:space="preserve"> o</w:t>
      </w:r>
      <w:r w:rsidRPr="00D26BB0">
        <w:rPr>
          <w:rFonts w:asciiTheme="minorHAnsi" w:hAnsiTheme="minorHAnsi" w:cstheme="minorHAnsi"/>
          <w:szCs w:val="24"/>
        </w:rPr>
        <w:t xml:space="preserve">ptimize the existing regional and are offices. </w:t>
      </w:r>
      <w:r w:rsidR="00AF3749" w:rsidRPr="00D26BB0">
        <w:rPr>
          <w:rFonts w:asciiTheme="minorHAnsi" w:hAnsiTheme="minorHAnsi" w:cstheme="minorHAnsi"/>
          <w:szCs w:val="24"/>
        </w:rPr>
        <w:t xml:space="preserve">Indonesia </w:t>
      </w:r>
      <w:r w:rsidR="00AE3002" w:rsidRPr="00D26BB0">
        <w:rPr>
          <w:rFonts w:asciiTheme="minorHAnsi" w:hAnsiTheme="minorHAnsi" w:cstheme="minorHAnsi"/>
          <w:szCs w:val="24"/>
        </w:rPr>
        <w:t>noted</w:t>
      </w:r>
      <w:r w:rsidR="00AF3749" w:rsidRPr="00D26BB0">
        <w:rPr>
          <w:rFonts w:asciiTheme="minorHAnsi" w:hAnsiTheme="minorHAnsi" w:cstheme="minorHAnsi"/>
          <w:szCs w:val="24"/>
        </w:rPr>
        <w:t xml:space="preserve"> that </w:t>
      </w:r>
      <w:r w:rsidR="00AE3002" w:rsidRPr="00D26BB0">
        <w:rPr>
          <w:rFonts w:asciiTheme="minorHAnsi" w:hAnsiTheme="minorHAnsi" w:cstheme="minorHAnsi"/>
          <w:szCs w:val="24"/>
        </w:rPr>
        <w:t>establishment of a new are office takes a considerable amount of time. Indonesia is c</w:t>
      </w:r>
      <w:r w:rsidRPr="00D26BB0">
        <w:rPr>
          <w:rFonts w:asciiTheme="minorHAnsi" w:hAnsiTheme="minorHAnsi" w:cstheme="minorHAnsi"/>
          <w:szCs w:val="24"/>
        </w:rPr>
        <w:t xml:space="preserve">oncerned that in </w:t>
      </w:r>
      <w:r w:rsidR="00AE3002" w:rsidRPr="00D26BB0">
        <w:rPr>
          <w:rFonts w:asciiTheme="minorHAnsi" w:hAnsiTheme="minorHAnsi" w:cstheme="minorHAnsi"/>
          <w:szCs w:val="24"/>
        </w:rPr>
        <w:t>O</w:t>
      </w:r>
      <w:r w:rsidRPr="00D26BB0">
        <w:rPr>
          <w:rFonts w:asciiTheme="minorHAnsi" w:hAnsiTheme="minorHAnsi" w:cstheme="minorHAnsi"/>
          <w:szCs w:val="24"/>
        </w:rPr>
        <w:t>ption 1</w:t>
      </w:r>
      <w:r w:rsidR="00AE3002" w:rsidRPr="00D26BB0">
        <w:rPr>
          <w:rFonts w:asciiTheme="minorHAnsi" w:hAnsiTheme="minorHAnsi" w:cstheme="minorHAnsi"/>
          <w:szCs w:val="24"/>
        </w:rPr>
        <w:t xml:space="preserve"> and Option 2</w:t>
      </w:r>
      <w:r w:rsidRPr="00D26BB0">
        <w:rPr>
          <w:rFonts w:asciiTheme="minorHAnsi" w:hAnsiTheme="minorHAnsi" w:cstheme="minorHAnsi"/>
          <w:szCs w:val="24"/>
        </w:rPr>
        <w:t>, the Indonesia Jakarta office is no longer reflected</w:t>
      </w:r>
      <w:r w:rsidR="004204B0" w:rsidRPr="00D26BB0">
        <w:rPr>
          <w:rFonts w:asciiTheme="minorHAnsi" w:hAnsiTheme="minorHAnsi" w:cstheme="minorHAnsi"/>
          <w:szCs w:val="24"/>
        </w:rPr>
        <w:t xml:space="preserve"> within the regional presence</w:t>
      </w:r>
      <w:r w:rsidRPr="00D26BB0">
        <w:rPr>
          <w:rFonts w:asciiTheme="minorHAnsi" w:hAnsiTheme="minorHAnsi" w:cstheme="minorHAnsi"/>
          <w:szCs w:val="24"/>
        </w:rPr>
        <w:t xml:space="preserve">. </w:t>
      </w:r>
      <w:r w:rsidR="004204B0" w:rsidRPr="00D26BB0">
        <w:rPr>
          <w:rFonts w:asciiTheme="minorHAnsi" w:hAnsiTheme="minorHAnsi" w:cstheme="minorHAnsi"/>
          <w:szCs w:val="24"/>
        </w:rPr>
        <w:t>Indonesia discussed the process for establishment of the Area Office and the complicated and time-consuming nature of the negotiations</w:t>
      </w:r>
      <w:r w:rsidRPr="00D26BB0">
        <w:rPr>
          <w:rFonts w:asciiTheme="minorHAnsi" w:hAnsiTheme="minorHAnsi" w:cstheme="minorHAnsi"/>
          <w:szCs w:val="24"/>
        </w:rPr>
        <w:t xml:space="preserve">. Indonesia supports the current structure that consists of ROs and </w:t>
      </w:r>
      <w:r w:rsidR="004B5D0E" w:rsidRPr="00D26BB0">
        <w:rPr>
          <w:rFonts w:asciiTheme="minorHAnsi" w:hAnsiTheme="minorHAnsi" w:cstheme="minorHAnsi"/>
          <w:szCs w:val="24"/>
        </w:rPr>
        <w:t>AOs but</w:t>
      </w:r>
      <w:r w:rsidRPr="00D26BB0">
        <w:rPr>
          <w:rFonts w:asciiTheme="minorHAnsi" w:hAnsiTheme="minorHAnsi" w:cstheme="minorHAnsi"/>
          <w:szCs w:val="24"/>
        </w:rPr>
        <w:t xml:space="preserve"> </w:t>
      </w:r>
      <w:r w:rsidR="004204B0" w:rsidRPr="00D26BB0">
        <w:rPr>
          <w:rFonts w:asciiTheme="minorHAnsi" w:hAnsiTheme="minorHAnsi" w:cstheme="minorHAnsi"/>
          <w:szCs w:val="24"/>
        </w:rPr>
        <w:t xml:space="preserve">considered it </w:t>
      </w:r>
      <w:r w:rsidRPr="00D26BB0">
        <w:rPr>
          <w:rFonts w:asciiTheme="minorHAnsi" w:hAnsiTheme="minorHAnsi" w:cstheme="minorHAnsi"/>
          <w:szCs w:val="24"/>
        </w:rPr>
        <w:t>necessary to maintain existing offices.</w:t>
      </w:r>
    </w:p>
    <w:p w14:paraId="25FF080B" w14:textId="2C5C339B" w:rsidR="00A065BA" w:rsidRPr="00D26BB0" w:rsidRDefault="004B5D0E"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The Secretariat recapped the discussions and agreement, noting broad alignment around the high</w:t>
      </w:r>
      <w:r w:rsidR="00C14582" w:rsidRPr="00D26BB0">
        <w:rPr>
          <w:rFonts w:asciiTheme="minorHAnsi" w:hAnsiTheme="minorHAnsi" w:cstheme="minorHAnsi"/>
          <w:szCs w:val="24"/>
        </w:rPr>
        <w:t>-</w:t>
      </w:r>
      <w:r w:rsidRPr="00D26BB0">
        <w:rPr>
          <w:rFonts w:asciiTheme="minorHAnsi" w:hAnsiTheme="minorHAnsi" w:cstheme="minorHAnsi"/>
          <w:szCs w:val="24"/>
        </w:rPr>
        <w:t xml:space="preserve">level principles for the regional presence and support for the Chair’s proposal that these should be discussed and agreed before moving on to the </w:t>
      </w:r>
      <w:r w:rsidR="00967C45" w:rsidRPr="00D26BB0">
        <w:rPr>
          <w:rFonts w:asciiTheme="minorHAnsi" w:hAnsiTheme="minorHAnsi" w:cstheme="minorHAnsi"/>
          <w:szCs w:val="24"/>
        </w:rPr>
        <w:t xml:space="preserve">specifics. Noted that agreement for strategic principles. Support for maintaining the current structure (RO/AO) </w:t>
      </w:r>
      <w:r w:rsidR="00117EE3" w:rsidRPr="00D26BB0">
        <w:rPr>
          <w:rFonts w:asciiTheme="minorHAnsi" w:hAnsiTheme="minorHAnsi" w:cstheme="minorHAnsi"/>
          <w:szCs w:val="24"/>
        </w:rPr>
        <w:t xml:space="preserve">from Brazil, </w:t>
      </w:r>
      <w:proofErr w:type="gramStart"/>
      <w:r w:rsidR="00117EE3" w:rsidRPr="00D26BB0">
        <w:rPr>
          <w:rFonts w:asciiTheme="minorHAnsi" w:hAnsiTheme="minorHAnsi" w:cstheme="minorHAnsi"/>
          <w:szCs w:val="24"/>
        </w:rPr>
        <w:t>Egypt</w:t>
      </w:r>
      <w:proofErr w:type="gramEnd"/>
      <w:r w:rsidR="00117EE3" w:rsidRPr="00D26BB0">
        <w:rPr>
          <w:rFonts w:asciiTheme="minorHAnsi" w:hAnsiTheme="minorHAnsi" w:cstheme="minorHAnsi"/>
          <w:szCs w:val="24"/>
        </w:rPr>
        <w:t xml:space="preserve"> and Indonesia. Canada and Indonesia specifically supported maintenance of area offices in Bridgetown and Jakarta specifically. </w:t>
      </w:r>
      <w:r w:rsidR="00C14582" w:rsidRPr="00D26BB0">
        <w:rPr>
          <w:rFonts w:asciiTheme="minorHAnsi" w:hAnsiTheme="minorHAnsi" w:cstheme="minorHAnsi"/>
          <w:szCs w:val="24"/>
        </w:rPr>
        <w:t xml:space="preserve">Broad support for the secretariat continuing to implement those recommendations that will enhance and strengthen the regional presence and to continue to report to CWG-FHR/Council on progress. </w:t>
      </w:r>
    </w:p>
    <w:p w14:paraId="683479CD" w14:textId="61F8D3AF" w:rsidR="00C14582" w:rsidRPr="00D26BB0" w:rsidRDefault="00080803"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The Chair asked the meeting whether there are any of the six PwC principles proposed by PwC </w:t>
      </w:r>
      <w:r w:rsidR="006D4519" w:rsidRPr="00D26BB0">
        <w:rPr>
          <w:rFonts w:asciiTheme="minorHAnsi" w:hAnsiTheme="minorHAnsi" w:cstheme="minorHAnsi"/>
          <w:szCs w:val="24"/>
        </w:rPr>
        <w:t xml:space="preserve">that the group does not agree with, plus the principle of concern of the host country. No disagreement was expressed so the Chair </w:t>
      </w:r>
      <w:r w:rsidR="00A52E63" w:rsidRPr="00D26BB0">
        <w:rPr>
          <w:rFonts w:asciiTheme="minorHAnsi" w:hAnsiTheme="minorHAnsi" w:cstheme="minorHAnsi"/>
          <w:szCs w:val="24"/>
        </w:rPr>
        <w:t xml:space="preserve">took this as agreement on the principles and on that basis, at this point, </w:t>
      </w:r>
      <w:r w:rsidR="00B32332" w:rsidRPr="00D26BB0">
        <w:rPr>
          <w:rFonts w:asciiTheme="minorHAnsi" w:hAnsiTheme="minorHAnsi" w:cstheme="minorHAnsi"/>
          <w:szCs w:val="24"/>
        </w:rPr>
        <w:t xml:space="preserve">noted that the report could also act as an opportunity for member states to make direct contributions to council on this. </w:t>
      </w:r>
      <w:r w:rsidR="00297559" w:rsidRPr="00D26BB0">
        <w:rPr>
          <w:rFonts w:asciiTheme="minorHAnsi" w:hAnsiTheme="minorHAnsi" w:cstheme="minorHAnsi"/>
          <w:szCs w:val="24"/>
        </w:rPr>
        <w:t xml:space="preserve">Chair expressed that the principles are sound and ITU should embrace and hold the secretariat accountable to ensure that, except as related to structure, it is implemented. The Chair also stated that the </w:t>
      </w:r>
      <w:r w:rsidR="00C5261C" w:rsidRPr="00D26BB0">
        <w:rPr>
          <w:rFonts w:asciiTheme="minorHAnsi" w:hAnsiTheme="minorHAnsi" w:cstheme="minorHAnsi"/>
          <w:szCs w:val="24"/>
        </w:rPr>
        <w:t xml:space="preserve">secretariat should be required to continue to report to council. </w:t>
      </w:r>
    </w:p>
    <w:p w14:paraId="6F5FD7C6" w14:textId="77777777" w:rsidR="00AE5DF0" w:rsidRPr="00D26BB0" w:rsidRDefault="00C5261C"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Chair noted that inasmuch as we had no agreement with a structure comprising Area Offices </w:t>
      </w:r>
      <w:proofErr w:type="gramStart"/>
      <w:r w:rsidRPr="00D26BB0">
        <w:rPr>
          <w:rFonts w:asciiTheme="minorHAnsi" w:hAnsiTheme="minorHAnsi" w:cstheme="minorHAnsi"/>
          <w:szCs w:val="24"/>
        </w:rPr>
        <w:t>only</w:t>
      </w:r>
      <w:r w:rsidR="00311E71" w:rsidRPr="00D26BB0">
        <w:rPr>
          <w:rFonts w:asciiTheme="minorHAnsi" w:hAnsiTheme="minorHAnsi" w:cstheme="minorHAnsi"/>
          <w:szCs w:val="24"/>
        </w:rPr>
        <w:t>, but</w:t>
      </w:r>
      <w:proofErr w:type="gramEnd"/>
      <w:r w:rsidR="00311E71" w:rsidRPr="00D26BB0">
        <w:rPr>
          <w:rFonts w:asciiTheme="minorHAnsi" w:hAnsiTheme="minorHAnsi" w:cstheme="minorHAnsi"/>
          <w:szCs w:val="24"/>
        </w:rPr>
        <w:t xml:space="preserve"> noted understanding why PwC’s report proposed changes to structure to achieve the principles outlined which the group had agreed to.</w:t>
      </w:r>
      <w:r w:rsidR="00AE5DF0" w:rsidRPr="00D26BB0">
        <w:rPr>
          <w:rFonts w:asciiTheme="minorHAnsi" w:hAnsiTheme="minorHAnsi" w:cstheme="minorHAnsi"/>
          <w:szCs w:val="24"/>
        </w:rPr>
        <w:t xml:space="preserve"> </w:t>
      </w:r>
    </w:p>
    <w:p w14:paraId="21DDC518" w14:textId="1A4C72F3" w:rsidR="00C5261C" w:rsidRPr="00D26BB0" w:rsidRDefault="00AE5DF0"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The Chair asked the Secretariat </w:t>
      </w:r>
      <w:r w:rsidR="002D5A66" w:rsidRPr="00D26BB0">
        <w:rPr>
          <w:rFonts w:asciiTheme="minorHAnsi" w:hAnsiTheme="minorHAnsi" w:cstheme="minorHAnsi"/>
          <w:szCs w:val="24"/>
        </w:rPr>
        <w:t>to ensure that in the report to the meeting it would</w:t>
      </w:r>
      <w:r w:rsidRPr="00D26BB0">
        <w:rPr>
          <w:rFonts w:asciiTheme="minorHAnsi" w:hAnsiTheme="minorHAnsi" w:cstheme="minorHAnsi"/>
          <w:szCs w:val="24"/>
        </w:rPr>
        <w:t xml:space="preserve"> recap and document all contributions</w:t>
      </w:r>
      <w:r w:rsidR="006B1EA0" w:rsidRPr="00D26BB0">
        <w:rPr>
          <w:rFonts w:asciiTheme="minorHAnsi" w:hAnsiTheme="minorHAnsi" w:cstheme="minorHAnsi"/>
          <w:szCs w:val="24"/>
        </w:rPr>
        <w:t>, both written and oral to the meetings</w:t>
      </w:r>
      <w:r w:rsidR="002D5A66" w:rsidRPr="00D26BB0">
        <w:rPr>
          <w:rFonts w:asciiTheme="minorHAnsi" w:hAnsiTheme="minorHAnsi" w:cstheme="minorHAnsi"/>
          <w:szCs w:val="24"/>
        </w:rPr>
        <w:t xml:space="preserve">, and requested that the Secretariat provide further inputs as appropriate. </w:t>
      </w:r>
    </w:p>
    <w:p w14:paraId="210259CC" w14:textId="77777777" w:rsidR="002D5A66" w:rsidRPr="00D26BB0" w:rsidRDefault="002D5A66" w:rsidP="00CE1746">
      <w:pPr>
        <w:pStyle w:val="ListParagraph"/>
        <w:numPr>
          <w:ilvl w:val="1"/>
          <w:numId w:val="11"/>
        </w:numPr>
        <w:tabs>
          <w:tab w:val="clear" w:pos="567"/>
          <w:tab w:val="clear" w:pos="1134"/>
          <w:tab w:val="clear" w:pos="1701"/>
          <w:tab w:val="clear" w:pos="2268"/>
          <w:tab w:val="clear" w:pos="2835"/>
        </w:tabs>
        <w:spacing w:before="8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Secretariat noted that it would:</w:t>
      </w:r>
    </w:p>
    <w:p w14:paraId="1656B06C" w14:textId="77777777" w:rsidR="002D5A66" w:rsidRPr="00D26BB0" w:rsidRDefault="002D5A66" w:rsidP="00CE1746">
      <w:pPr>
        <w:pStyle w:val="ListParagraph"/>
        <w:numPr>
          <w:ilvl w:val="0"/>
          <w:numId w:val="6"/>
        </w:numPr>
        <w:tabs>
          <w:tab w:val="clear" w:pos="567"/>
          <w:tab w:val="clear" w:pos="1134"/>
          <w:tab w:val="clear" w:pos="1701"/>
          <w:tab w:val="clear" w:pos="2268"/>
          <w:tab w:val="clear" w:pos="2835"/>
        </w:tabs>
        <w:spacing w:before="80" w:after="80" w:line="276" w:lineRule="auto"/>
        <w:contextualSpacing w:val="0"/>
        <w:rPr>
          <w:rFonts w:asciiTheme="minorHAnsi" w:hAnsiTheme="minorHAnsi" w:cstheme="minorHAnsi"/>
          <w:szCs w:val="24"/>
        </w:rPr>
      </w:pPr>
      <w:r w:rsidRPr="00D26BB0">
        <w:rPr>
          <w:rFonts w:asciiTheme="minorHAnsi" w:hAnsiTheme="minorHAnsi" w:cstheme="minorHAnsi"/>
          <w:szCs w:val="24"/>
        </w:rPr>
        <w:t xml:space="preserve">Document agreements made during the </w:t>
      </w:r>
      <w:proofErr w:type="gramStart"/>
      <w:r w:rsidRPr="00D26BB0">
        <w:rPr>
          <w:rFonts w:asciiTheme="minorHAnsi" w:hAnsiTheme="minorHAnsi" w:cstheme="minorHAnsi"/>
          <w:szCs w:val="24"/>
        </w:rPr>
        <w:t>meeting;</w:t>
      </w:r>
      <w:proofErr w:type="gramEnd"/>
    </w:p>
    <w:p w14:paraId="3DF7F6F2" w14:textId="59791CE7" w:rsidR="002D5A66" w:rsidRPr="00D26BB0" w:rsidRDefault="002D5A66" w:rsidP="00CE1746">
      <w:pPr>
        <w:pStyle w:val="ListParagraph"/>
        <w:numPr>
          <w:ilvl w:val="0"/>
          <w:numId w:val="6"/>
        </w:numPr>
        <w:tabs>
          <w:tab w:val="clear" w:pos="567"/>
          <w:tab w:val="clear" w:pos="1134"/>
          <w:tab w:val="clear" w:pos="1701"/>
          <w:tab w:val="clear" w:pos="2268"/>
          <w:tab w:val="clear" w:pos="2835"/>
        </w:tabs>
        <w:spacing w:before="80" w:after="80" w:line="276" w:lineRule="auto"/>
        <w:contextualSpacing w:val="0"/>
        <w:rPr>
          <w:rFonts w:asciiTheme="minorHAnsi" w:hAnsiTheme="minorHAnsi" w:cstheme="minorHAnsi"/>
          <w:szCs w:val="24"/>
        </w:rPr>
      </w:pPr>
      <w:r w:rsidRPr="00D26BB0">
        <w:rPr>
          <w:rFonts w:asciiTheme="minorHAnsi" w:hAnsiTheme="minorHAnsi" w:cstheme="minorHAnsi"/>
          <w:szCs w:val="24"/>
        </w:rPr>
        <w:t xml:space="preserve">document all contributions as </w:t>
      </w:r>
      <w:proofErr w:type="gramStart"/>
      <w:r w:rsidRPr="00D26BB0">
        <w:rPr>
          <w:rFonts w:asciiTheme="minorHAnsi" w:hAnsiTheme="minorHAnsi" w:cstheme="minorHAnsi"/>
          <w:szCs w:val="24"/>
        </w:rPr>
        <w:t>submitted;</w:t>
      </w:r>
      <w:proofErr w:type="gramEnd"/>
    </w:p>
    <w:p w14:paraId="11F8D543" w14:textId="6A5291AF" w:rsidR="002D5A66" w:rsidRPr="00D26BB0" w:rsidRDefault="002D5A66" w:rsidP="00CE1746">
      <w:pPr>
        <w:pStyle w:val="ListParagraph"/>
        <w:numPr>
          <w:ilvl w:val="0"/>
          <w:numId w:val="6"/>
        </w:numPr>
        <w:tabs>
          <w:tab w:val="clear" w:pos="567"/>
          <w:tab w:val="clear" w:pos="1134"/>
          <w:tab w:val="clear" w:pos="1701"/>
          <w:tab w:val="clear" w:pos="2268"/>
          <w:tab w:val="clear" w:pos="2835"/>
        </w:tabs>
        <w:spacing w:before="80" w:after="80" w:line="276" w:lineRule="auto"/>
        <w:contextualSpacing w:val="0"/>
        <w:rPr>
          <w:rFonts w:asciiTheme="minorHAnsi" w:hAnsiTheme="minorHAnsi" w:cstheme="minorHAnsi"/>
          <w:szCs w:val="24"/>
        </w:rPr>
      </w:pPr>
      <w:r w:rsidRPr="00D26BB0">
        <w:rPr>
          <w:rFonts w:asciiTheme="minorHAnsi" w:hAnsiTheme="minorHAnsi" w:cstheme="minorHAnsi"/>
          <w:szCs w:val="24"/>
        </w:rPr>
        <w:t xml:space="preserve">respond to and answer all questions asked by contributions from Swiss Federation and </w:t>
      </w:r>
      <w:proofErr w:type="gramStart"/>
      <w:r w:rsidRPr="00D26BB0">
        <w:rPr>
          <w:rFonts w:asciiTheme="minorHAnsi" w:hAnsiTheme="minorHAnsi" w:cstheme="minorHAnsi"/>
          <w:szCs w:val="24"/>
        </w:rPr>
        <w:t>Australia;</w:t>
      </w:r>
      <w:proofErr w:type="gramEnd"/>
    </w:p>
    <w:p w14:paraId="7CABE054" w14:textId="39482B7E" w:rsidR="002D5A66" w:rsidRPr="00D26BB0" w:rsidRDefault="002D5A66" w:rsidP="00CE1746">
      <w:pPr>
        <w:pStyle w:val="ListParagraph"/>
        <w:numPr>
          <w:ilvl w:val="0"/>
          <w:numId w:val="6"/>
        </w:numPr>
        <w:tabs>
          <w:tab w:val="clear" w:pos="567"/>
          <w:tab w:val="clear" w:pos="1134"/>
          <w:tab w:val="clear" w:pos="1701"/>
          <w:tab w:val="clear" w:pos="2268"/>
          <w:tab w:val="clear" w:pos="2835"/>
        </w:tabs>
        <w:spacing w:before="80" w:after="80" w:line="276" w:lineRule="auto"/>
        <w:contextualSpacing w:val="0"/>
        <w:rPr>
          <w:rFonts w:asciiTheme="minorHAnsi" w:hAnsiTheme="minorHAnsi" w:cstheme="minorHAnsi"/>
          <w:szCs w:val="24"/>
        </w:rPr>
      </w:pPr>
      <w:r w:rsidRPr="00D26BB0">
        <w:rPr>
          <w:rFonts w:asciiTheme="minorHAnsi" w:hAnsiTheme="minorHAnsi" w:cstheme="minorHAnsi"/>
          <w:szCs w:val="24"/>
        </w:rPr>
        <w:lastRenderedPageBreak/>
        <w:t xml:space="preserve">Establish an implementation plan for all recommendations from PwC that are implementable, based on the status quo model, having regard to </w:t>
      </w:r>
      <w:r w:rsidR="003E6950" w:rsidRPr="00D26BB0">
        <w:rPr>
          <w:rFonts w:asciiTheme="minorHAnsi" w:hAnsiTheme="minorHAnsi" w:cstheme="minorHAnsi"/>
          <w:szCs w:val="24"/>
        </w:rPr>
        <w:t xml:space="preserve">comments regarding maintenance of the current </w:t>
      </w:r>
      <w:proofErr w:type="gramStart"/>
      <w:r w:rsidR="003E6950" w:rsidRPr="00D26BB0">
        <w:rPr>
          <w:rFonts w:asciiTheme="minorHAnsi" w:hAnsiTheme="minorHAnsi" w:cstheme="minorHAnsi"/>
          <w:szCs w:val="24"/>
        </w:rPr>
        <w:t>structure;</w:t>
      </w:r>
      <w:proofErr w:type="gramEnd"/>
    </w:p>
    <w:p w14:paraId="20B94868" w14:textId="672FA3CB" w:rsidR="003E6950" w:rsidRPr="00D26BB0" w:rsidRDefault="003E6950" w:rsidP="00CE1746">
      <w:pPr>
        <w:pStyle w:val="ListParagraph"/>
        <w:numPr>
          <w:ilvl w:val="0"/>
          <w:numId w:val="6"/>
        </w:numPr>
        <w:tabs>
          <w:tab w:val="clear" w:pos="567"/>
          <w:tab w:val="clear" w:pos="1134"/>
          <w:tab w:val="clear" w:pos="1701"/>
          <w:tab w:val="clear" w:pos="2268"/>
          <w:tab w:val="clear" w:pos="2835"/>
        </w:tabs>
        <w:spacing w:before="80" w:after="80" w:line="276" w:lineRule="auto"/>
        <w:contextualSpacing w:val="0"/>
        <w:rPr>
          <w:rFonts w:asciiTheme="minorHAnsi" w:hAnsiTheme="minorHAnsi" w:cstheme="minorHAnsi"/>
          <w:szCs w:val="24"/>
        </w:rPr>
      </w:pPr>
      <w:r w:rsidRPr="00D26BB0">
        <w:rPr>
          <w:rFonts w:asciiTheme="minorHAnsi" w:hAnsiTheme="minorHAnsi" w:cstheme="minorHAnsi"/>
          <w:szCs w:val="24"/>
        </w:rPr>
        <w:t>Continue to report to CWG-FHR on progress.</w:t>
      </w:r>
    </w:p>
    <w:p w14:paraId="633E7E04" w14:textId="16DCF950" w:rsidR="00666AA2" w:rsidRPr="00D26BB0" w:rsidRDefault="001D7380"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Pr>
          <w:rFonts w:asciiTheme="minorHAnsi" w:hAnsiTheme="minorHAnsi" w:cstheme="minorHAnsi"/>
          <w:szCs w:val="24"/>
        </w:rPr>
        <w:t xml:space="preserve">The </w:t>
      </w:r>
      <w:r w:rsidR="003E6950" w:rsidRPr="00D26BB0">
        <w:rPr>
          <w:rFonts w:asciiTheme="minorHAnsi" w:hAnsiTheme="minorHAnsi" w:cstheme="minorHAnsi"/>
          <w:szCs w:val="24"/>
        </w:rPr>
        <w:t xml:space="preserve">Chair </w:t>
      </w:r>
      <w:r w:rsidR="00666AA2" w:rsidRPr="00D26BB0">
        <w:rPr>
          <w:rFonts w:asciiTheme="minorHAnsi" w:hAnsiTheme="minorHAnsi" w:cstheme="minorHAnsi"/>
          <w:szCs w:val="24"/>
        </w:rPr>
        <w:t>agreed that the foregoing document would be the Ad Hoc group’s report to CWG-FHR. Secretariat noted that the meeting report would be produced in addition to the report to the group to CWG-FHR.</w:t>
      </w:r>
    </w:p>
    <w:p w14:paraId="0D8A5316" w14:textId="35BA33EB" w:rsidR="00666AA2" w:rsidRPr="00D26BB0" w:rsidRDefault="00666AA2"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Canada asked if, in the document that the secretariat produces should include a chart regarding specific inputs that would be provided by the TDAG-WG-RDTP and TDAG-WG-SOP, </w:t>
      </w:r>
      <w:proofErr w:type="gramStart"/>
      <w:r w:rsidRPr="00D26BB0">
        <w:rPr>
          <w:rFonts w:asciiTheme="minorHAnsi" w:hAnsiTheme="minorHAnsi" w:cstheme="minorHAnsi"/>
          <w:szCs w:val="24"/>
        </w:rPr>
        <w:t>and also</w:t>
      </w:r>
      <w:proofErr w:type="gramEnd"/>
      <w:r w:rsidRPr="00D26BB0">
        <w:rPr>
          <w:rFonts w:asciiTheme="minorHAnsi" w:hAnsiTheme="minorHAnsi" w:cstheme="minorHAnsi"/>
          <w:szCs w:val="24"/>
        </w:rPr>
        <w:t xml:space="preserve"> provide for correlation with the CWG that is to be established on the Strategic and Financial Plans of the ITU.</w:t>
      </w:r>
      <w:r w:rsidR="00FD63B0" w:rsidRPr="00D26BB0">
        <w:rPr>
          <w:rFonts w:asciiTheme="minorHAnsi" w:hAnsiTheme="minorHAnsi" w:cstheme="minorHAnsi"/>
          <w:szCs w:val="24"/>
        </w:rPr>
        <w:t xml:space="preserve"> Canada again stressed the </w:t>
      </w:r>
      <w:r w:rsidR="00E27C07" w:rsidRPr="00D26BB0">
        <w:rPr>
          <w:rFonts w:asciiTheme="minorHAnsi" w:hAnsiTheme="minorHAnsi" w:cstheme="minorHAnsi"/>
          <w:szCs w:val="24"/>
        </w:rPr>
        <w:t>importance of the office in the Caribbean.</w:t>
      </w:r>
    </w:p>
    <w:p w14:paraId="43667C90" w14:textId="641EFD8D" w:rsidR="00E27C07" w:rsidRPr="00D26BB0" w:rsidRDefault="00E27C0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Chair thanked Canada and noted that not all recommendations would be </w:t>
      </w:r>
      <w:r w:rsidR="00392683" w:rsidRPr="00D26BB0">
        <w:rPr>
          <w:rFonts w:asciiTheme="minorHAnsi" w:hAnsiTheme="minorHAnsi" w:cstheme="minorHAnsi"/>
          <w:szCs w:val="24"/>
        </w:rPr>
        <w:t xml:space="preserve">implemented and that the request is that all implementable parts of the PwC report whether by the Secretariat or by TDAG </w:t>
      </w:r>
      <w:r w:rsidR="005C38EF" w:rsidRPr="00D26BB0">
        <w:rPr>
          <w:rFonts w:asciiTheme="minorHAnsi" w:hAnsiTheme="minorHAnsi" w:cstheme="minorHAnsi"/>
          <w:szCs w:val="24"/>
        </w:rPr>
        <w:t>be reported on by the Secretariat, whether with the Secretariat’s purview or being done by other parts of ITU.</w:t>
      </w:r>
    </w:p>
    <w:p w14:paraId="13F1F479" w14:textId="3290E3FB" w:rsidR="00265A4F" w:rsidRPr="00D26BB0" w:rsidRDefault="00265A4F"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Russian Federation </w:t>
      </w:r>
      <w:r w:rsidR="002F7FE0" w:rsidRPr="00D26BB0">
        <w:rPr>
          <w:rFonts w:asciiTheme="minorHAnsi" w:hAnsiTheme="minorHAnsi" w:cstheme="minorHAnsi"/>
          <w:szCs w:val="24"/>
        </w:rPr>
        <w:t>noted the value of the PwC report, and stressed the need to use what we already have and for the Regional Presence to be more coordinated and to have terms of reference for this important part of the ITU.</w:t>
      </w:r>
      <w:r w:rsidR="006E762D" w:rsidRPr="00D26BB0">
        <w:rPr>
          <w:rFonts w:asciiTheme="minorHAnsi" w:hAnsiTheme="minorHAnsi" w:cstheme="minorHAnsi"/>
          <w:szCs w:val="24"/>
        </w:rPr>
        <w:t xml:space="preserve"> ROs and AOs in the regions allow the ITU to be more aware of member needs and allows ITU to be more effective in fulfilling the needs. Consolidation or </w:t>
      </w:r>
      <w:r w:rsidR="00D27603" w:rsidRPr="00D26BB0">
        <w:rPr>
          <w:rFonts w:asciiTheme="minorHAnsi" w:hAnsiTheme="minorHAnsi" w:cstheme="minorHAnsi"/>
          <w:szCs w:val="24"/>
        </w:rPr>
        <w:t xml:space="preserve">concentration would risk undermining this. Russian Federation notes the need to have a clear strategic </w:t>
      </w:r>
      <w:r w:rsidR="00CB34CD" w:rsidRPr="00D26BB0">
        <w:rPr>
          <w:rFonts w:asciiTheme="minorHAnsi" w:hAnsiTheme="minorHAnsi" w:cstheme="minorHAnsi"/>
          <w:szCs w:val="24"/>
        </w:rPr>
        <w:t>understanding of the Regional Presence.</w:t>
      </w:r>
    </w:p>
    <w:p w14:paraId="7B86F0DE" w14:textId="59D89CAE" w:rsidR="001D44D7" w:rsidRPr="00D26BB0" w:rsidRDefault="001D44D7"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In response to the Chair’s request, the Secretariat noted that it would have to produce a</w:t>
      </w:r>
      <w:r w:rsidR="009940E2" w:rsidRPr="00D26BB0">
        <w:rPr>
          <w:rFonts w:asciiTheme="minorHAnsi" w:hAnsiTheme="minorHAnsi" w:cstheme="minorHAnsi"/>
          <w:szCs w:val="24"/>
        </w:rPr>
        <w:t xml:space="preserve">n implementation plan tracking the recommendations and status. The Chair suggested </w:t>
      </w:r>
      <w:r w:rsidR="001D7380" w:rsidRPr="00D26BB0">
        <w:rPr>
          <w:rFonts w:asciiTheme="minorHAnsi" w:hAnsiTheme="minorHAnsi" w:cstheme="minorHAnsi"/>
          <w:szCs w:val="24"/>
        </w:rPr>
        <w:t>that the</w:t>
      </w:r>
      <w:r w:rsidR="009940E2" w:rsidRPr="00D26BB0">
        <w:rPr>
          <w:rFonts w:asciiTheme="minorHAnsi" w:hAnsiTheme="minorHAnsi" w:cstheme="minorHAnsi"/>
          <w:szCs w:val="24"/>
        </w:rPr>
        <w:t xml:space="preserve"> current three annexes should be maintained as a basis for the reporting.</w:t>
      </w:r>
      <w:r w:rsidR="001D7380">
        <w:rPr>
          <w:rFonts w:asciiTheme="minorHAnsi" w:hAnsiTheme="minorHAnsi" w:cstheme="minorHAnsi"/>
          <w:szCs w:val="24"/>
        </w:rPr>
        <w:t xml:space="preserve"> The Chair noted that it was not proposed for this </w:t>
      </w:r>
      <w:r w:rsidR="001D7380" w:rsidRPr="00D26BB0">
        <w:rPr>
          <w:rFonts w:asciiTheme="minorHAnsi" w:hAnsiTheme="minorHAnsi" w:cstheme="minorHAnsi"/>
          <w:szCs w:val="24"/>
          <w:lang w:eastAsia="ko-KR"/>
        </w:rPr>
        <w:t>Ad Hoc Group</w:t>
      </w:r>
      <w:r w:rsidR="001D7380">
        <w:rPr>
          <w:rFonts w:asciiTheme="minorHAnsi" w:hAnsiTheme="minorHAnsi" w:cstheme="minorHAnsi"/>
          <w:szCs w:val="24"/>
          <w:lang w:eastAsia="ko-KR"/>
        </w:rPr>
        <w:t xml:space="preserve"> to have any further meetings, but the report would be presented to CWG-FHR and that all members would have the opportunity to endorse the report at that forum.</w:t>
      </w:r>
    </w:p>
    <w:p w14:paraId="78133ABD" w14:textId="35F25E08" w:rsidR="007813D2" w:rsidRPr="00D26BB0" w:rsidRDefault="007813D2" w:rsidP="00CE1746">
      <w:pPr>
        <w:pStyle w:val="ListParagraph"/>
        <w:numPr>
          <w:ilvl w:val="1"/>
          <w:numId w:val="11"/>
        </w:numPr>
        <w:tabs>
          <w:tab w:val="clear" w:pos="567"/>
          <w:tab w:val="clear" w:pos="1134"/>
          <w:tab w:val="clear" w:pos="1701"/>
          <w:tab w:val="clear" w:pos="2268"/>
          <w:tab w:val="clear" w:pos="2835"/>
        </w:tabs>
        <w:spacing w:before="240" w:after="80" w:line="276" w:lineRule="auto"/>
        <w:ind w:left="567" w:hanging="567"/>
        <w:contextualSpacing w:val="0"/>
        <w:rPr>
          <w:rFonts w:asciiTheme="minorHAnsi" w:hAnsiTheme="minorHAnsi" w:cstheme="minorHAnsi"/>
          <w:szCs w:val="24"/>
        </w:rPr>
      </w:pPr>
      <w:r w:rsidRPr="00D26BB0">
        <w:rPr>
          <w:rFonts w:asciiTheme="minorHAnsi" w:hAnsiTheme="minorHAnsi" w:cstheme="minorHAnsi"/>
          <w:szCs w:val="24"/>
        </w:rPr>
        <w:t xml:space="preserve">The Secretariat agreed to produce the Summary Report of the meeting within a </w:t>
      </w:r>
      <w:r w:rsidR="001D7380" w:rsidRPr="00D26BB0">
        <w:rPr>
          <w:rFonts w:asciiTheme="minorHAnsi" w:hAnsiTheme="minorHAnsi" w:cstheme="minorHAnsi"/>
          <w:szCs w:val="24"/>
        </w:rPr>
        <w:t>week and</w:t>
      </w:r>
      <w:r w:rsidRPr="00D26BB0">
        <w:rPr>
          <w:rFonts w:asciiTheme="minorHAnsi" w:hAnsiTheme="minorHAnsi" w:cstheme="minorHAnsi"/>
          <w:szCs w:val="24"/>
        </w:rPr>
        <w:t xml:space="preserve"> requested that the full report of the group would have until the first week in May.</w:t>
      </w:r>
    </w:p>
    <w:p w14:paraId="1A149D4D" w14:textId="77777777" w:rsidR="00B32489" w:rsidRPr="00D26BB0" w:rsidRDefault="00B32489" w:rsidP="00D26BB0">
      <w:pPr>
        <w:tabs>
          <w:tab w:val="clear" w:pos="567"/>
        </w:tabs>
        <w:spacing w:after="120" w:line="276" w:lineRule="auto"/>
        <w:ind w:left="567" w:hanging="567"/>
        <w:rPr>
          <w:rFonts w:asciiTheme="minorHAnsi" w:hAnsiTheme="minorHAnsi" w:cstheme="minorHAnsi"/>
          <w:szCs w:val="24"/>
        </w:rPr>
      </w:pPr>
    </w:p>
    <w:p w14:paraId="01F03892" w14:textId="53BFCB10" w:rsidR="005C109C" w:rsidRPr="00D26BB0" w:rsidRDefault="001D7380" w:rsidP="00D26BB0">
      <w:pPr>
        <w:tabs>
          <w:tab w:val="clear" w:pos="567"/>
        </w:tabs>
        <w:spacing w:after="120" w:line="276" w:lineRule="auto"/>
        <w:ind w:left="567" w:hanging="567"/>
        <w:rPr>
          <w:rFonts w:asciiTheme="minorHAnsi" w:hAnsiTheme="minorHAnsi" w:cstheme="minorHAnsi"/>
          <w:b/>
          <w:szCs w:val="24"/>
        </w:rPr>
      </w:pPr>
      <w:r>
        <w:rPr>
          <w:rFonts w:asciiTheme="minorHAnsi" w:hAnsiTheme="minorHAnsi" w:cstheme="minorHAnsi"/>
          <w:b/>
          <w:szCs w:val="24"/>
        </w:rPr>
        <w:t>6</w:t>
      </w:r>
      <w:r w:rsidR="009B1684" w:rsidRPr="00D26BB0">
        <w:rPr>
          <w:rFonts w:asciiTheme="minorHAnsi" w:hAnsiTheme="minorHAnsi" w:cstheme="minorHAnsi"/>
          <w:b/>
          <w:szCs w:val="24"/>
        </w:rPr>
        <w:t xml:space="preserve">. </w:t>
      </w:r>
      <w:r>
        <w:rPr>
          <w:rFonts w:asciiTheme="minorHAnsi" w:hAnsiTheme="minorHAnsi" w:cstheme="minorHAnsi"/>
          <w:b/>
          <w:szCs w:val="24"/>
        </w:rPr>
        <w:tab/>
      </w:r>
      <w:r w:rsidR="005C109C" w:rsidRPr="00D26BB0">
        <w:rPr>
          <w:rFonts w:asciiTheme="minorHAnsi" w:hAnsiTheme="minorHAnsi" w:cstheme="minorHAnsi"/>
          <w:b/>
          <w:szCs w:val="24"/>
        </w:rPr>
        <w:t>Closing</w:t>
      </w:r>
    </w:p>
    <w:p w14:paraId="6C0A4005" w14:textId="165F88C4" w:rsidR="005C109C" w:rsidRPr="00D26BB0" w:rsidRDefault="005C109C" w:rsidP="00D26BB0">
      <w:pPr>
        <w:tabs>
          <w:tab w:val="clear" w:pos="567"/>
        </w:tabs>
        <w:spacing w:after="120" w:line="276" w:lineRule="auto"/>
        <w:rPr>
          <w:rFonts w:asciiTheme="minorHAnsi" w:hAnsiTheme="minorHAnsi" w:cstheme="minorHAnsi"/>
          <w:szCs w:val="24"/>
        </w:rPr>
      </w:pPr>
      <w:r w:rsidRPr="00D26BB0">
        <w:rPr>
          <w:rFonts w:asciiTheme="minorHAnsi" w:hAnsiTheme="minorHAnsi" w:cstheme="minorHAnsi"/>
          <w:szCs w:val="24"/>
        </w:rPr>
        <w:t xml:space="preserve">The Chair noted the progress and </w:t>
      </w:r>
      <w:r w:rsidR="008B0FDE" w:rsidRPr="00D26BB0">
        <w:rPr>
          <w:rFonts w:asciiTheme="minorHAnsi" w:hAnsiTheme="minorHAnsi" w:cstheme="minorHAnsi"/>
          <w:szCs w:val="24"/>
        </w:rPr>
        <w:t xml:space="preserve">fruitful </w:t>
      </w:r>
      <w:r w:rsidRPr="00D26BB0">
        <w:rPr>
          <w:rFonts w:asciiTheme="minorHAnsi" w:hAnsiTheme="minorHAnsi" w:cstheme="minorHAnsi"/>
          <w:szCs w:val="24"/>
        </w:rPr>
        <w:t xml:space="preserve">discussions of the </w:t>
      </w:r>
      <w:r w:rsidR="008B0FDE" w:rsidRPr="00D26BB0">
        <w:rPr>
          <w:rFonts w:asciiTheme="minorHAnsi" w:hAnsiTheme="minorHAnsi" w:cstheme="minorHAnsi"/>
          <w:szCs w:val="24"/>
        </w:rPr>
        <w:t xml:space="preserve">Ad Hoc </w:t>
      </w:r>
      <w:r w:rsidRPr="00D26BB0">
        <w:rPr>
          <w:rFonts w:asciiTheme="minorHAnsi" w:hAnsiTheme="minorHAnsi" w:cstheme="minorHAnsi"/>
          <w:szCs w:val="24"/>
        </w:rPr>
        <w:t>group</w:t>
      </w:r>
      <w:r w:rsidR="008B0FDE" w:rsidRPr="00D26BB0">
        <w:rPr>
          <w:rFonts w:asciiTheme="minorHAnsi" w:hAnsiTheme="minorHAnsi" w:cstheme="minorHAnsi"/>
          <w:szCs w:val="24"/>
        </w:rPr>
        <w:t>, thanked all participants, and brought the meeting to a close</w:t>
      </w:r>
      <w:r w:rsidRPr="00D26BB0">
        <w:rPr>
          <w:rFonts w:asciiTheme="minorHAnsi" w:hAnsiTheme="minorHAnsi" w:cstheme="minorHAnsi"/>
          <w:szCs w:val="24"/>
        </w:rPr>
        <w:t>.</w:t>
      </w:r>
    </w:p>
    <w:p w14:paraId="4BF47D3E" w14:textId="30E8C5F6" w:rsidR="00AF2EA3" w:rsidRPr="00AF2EA3" w:rsidRDefault="00AF2EA3" w:rsidP="00AF2EA3">
      <w:pPr>
        <w:tabs>
          <w:tab w:val="clear" w:pos="567"/>
          <w:tab w:val="clear" w:pos="1134"/>
          <w:tab w:val="clear" w:pos="1701"/>
          <w:tab w:val="clear" w:pos="2268"/>
          <w:tab w:val="clear" w:pos="2835"/>
        </w:tabs>
        <w:overflowPunct/>
        <w:autoSpaceDE/>
        <w:autoSpaceDN/>
        <w:adjustRightInd/>
        <w:spacing w:before="0"/>
        <w:jc w:val="center"/>
        <w:textAlignment w:val="auto"/>
        <w:rPr>
          <w:u w:val="single"/>
          <w:lang w:val="en-US"/>
        </w:rPr>
      </w:pPr>
      <w:r>
        <w:rPr>
          <w:u w:val="single"/>
          <w:lang w:val="en-US"/>
        </w:rPr>
        <w:t>                                        </w:t>
      </w:r>
    </w:p>
    <w:sectPr w:rsidR="00AF2EA3" w:rsidRPr="00AF2EA3"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BA62" w14:textId="77777777" w:rsidR="00EF0019" w:rsidRDefault="00EF0019">
      <w:r>
        <w:separator/>
      </w:r>
    </w:p>
  </w:endnote>
  <w:endnote w:type="continuationSeparator" w:id="0">
    <w:p w14:paraId="5F579917" w14:textId="77777777" w:rsidR="00EF0019" w:rsidRDefault="00EF0019">
      <w:r>
        <w:continuationSeparator/>
      </w:r>
    </w:p>
  </w:endnote>
  <w:endnote w:type="continuationNotice" w:id="1">
    <w:p w14:paraId="0B1AE04B" w14:textId="77777777" w:rsidR="00EF0019" w:rsidRDefault="00EF001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1B7" w14:textId="46F7B074" w:rsidR="00031A9E" w:rsidRPr="00031A9E" w:rsidRDefault="00031A9E" w:rsidP="00031A9E">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19BF" w14:textId="77777777" w:rsidR="00EF0019" w:rsidRDefault="00EF0019">
      <w:r>
        <w:t>____________________</w:t>
      </w:r>
    </w:p>
  </w:footnote>
  <w:footnote w:type="continuationSeparator" w:id="0">
    <w:p w14:paraId="01BBABCC" w14:textId="77777777" w:rsidR="00EF0019" w:rsidRDefault="00EF0019">
      <w:r>
        <w:continuationSeparator/>
      </w:r>
    </w:p>
  </w:footnote>
  <w:footnote w:type="continuationNotice" w:id="1">
    <w:p w14:paraId="62E5B4DB" w14:textId="77777777" w:rsidR="00EF0019" w:rsidRDefault="00EF001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1266" w14:textId="77777777" w:rsidR="00031A9E" w:rsidRPr="005F2E0F" w:rsidRDefault="00031A9E" w:rsidP="00031A9E">
    <w:pPr>
      <w:pStyle w:val="Header"/>
      <w:rPr>
        <w:rFonts w:asciiTheme="minorHAnsi" w:hAnsiTheme="minorHAnsi" w:cstheme="minorHAnsi"/>
        <w:szCs w:val="18"/>
      </w:rPr>
    </w:pPr>
    <w:r w:rsidRPr="005F2E0F">
      <w:rPr>
        <w:rFonts w:asciiTheme="minorHAnsi" w:hAnsiTheme="minorHAnsi" w:cstheme="minorHAnsi"/>
        <w:szCs w:val="18"/>
        <w:shd w:val="clear" w:color="auto" w:fill="E6E6E6"/>
      </w:rPr>
      <w:fldChar w:fldCharType="begin"/>
    </w:r>
    <w:r w:rsidRPr="005F2E0F">
      <w:rPr>
        <w:rFonts w:asciiTheme="minorHAnsi" w:hAnsiTheme="minorHAnsi" w:cstheme="minorHAnsi"/>
        <w:szCs w:val="18"/>
      </w:rPr>
      <w:instrText>PAGE</w:instrText>
    </w:r>
    <w:r w:rsidRPr="005F2E0F">
      <w:rPr>
        <w:rFonts w:asciiTheme="minorHAnsi" w:hAnsiTheme="minorHAnsi" w:cstheme="minorHAnsi"/>
        <w:szCs w:val="18"/>
        <w:shd w:val="clear" w:color="auto" w:fill="E6E6E6"/>
      </w:rPr>
      <w:fldChar w:fldCharType="separate"/>
    </w:r>
    <w:r>
      <w:rPr>
        <w:rFonts w:asciiTheme="minorHAnsi" w:hAnsiTheme="minorHAnsi" w:cstheme="minorHAnsi"/>
        <w:szCs w:val="18"/>
        <w:shd w:val="clear" w:color="auto" w:fill="E6E6E6"/>
      </w:rPr>
      <w:t>2</w:t>
    </w:r>
    <w:r w:rsidRPr="005F2E0F">
      <w:rPr>
        <w:rFonts w:asciiTheme="minorHAnsi" w:hAnsiTheme="minorHAnsi" w:cstheme="minorHAnsi"/>
        <w:szCs w:val="18"/>
        <w:shd w:val="clear" w:color="auto" w:fill="E6E6E6"/>
      </w:rPr>
      <w:fldChar w:fldCharType="end"/>
    </w:r>
  </w:p>
  <w:p w14:paraId="34EC98F4" w14:textId="1077A83E" w:rsidR="00322D0D" w:rsidRPr="00031A9E" w:rsidRDefault="00031A9E" w:rsidP="00031A9E">
    <w:pPr>
      <w:pStyle w:val="Header"/>
      <w:spacing w:after="120"/>
      <w:rPr>
        <w:rFonts w:asciiTheme="minorHAnsi" w:hAnsiTheme="minorHAnsi" w:cstheme="minorHAnsi"/>
        <w:bCs/>
        <w:szCs w:val="18"/>
      </w:rPr>
    </w:pPr>
    <w:r w:rsidRPr="005F2E0F">
      <w:rPr>
        <w:rFonts w:asciiTheme="minorHAnsi" w:hAnsiTheme="minorHAnsi" w:cstheme="minorHAnsi"/>
        <w:bCs/>
        <w:szCs w:val="18"/>
      </w:rPr>
      <w:t>CWG-FHR-AH-RegPres-2/</w:t>
    </w:r>
    <w:r>
      <w:rPr>
        <w:rFonts w:asciiTheme="minorHAnsi" w:hAnsiTheme="minorHAnsi" w:cstheme="minorHAnsi"/>
        <w:bCs/>
        <w:szCs w:val="18"/>
      </w:rPr>
      <w:t>7</w:t>
    </w:r>
    <w:r w:rsidRPr="005F2E0F">
      <w:rPr>
        <w:rFonts w:asciiTheme="minorHAnsi" w:hAnsiTheme="minorHAnsi" w:cstheme="minorHAnsi"/>
        <w:bCs/>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3E1"/>
    <w:multiLevelType w:val="multilevel"/>
    <w:tmpl w:val="3B2C6D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66297"/>
    <w:multiLevelType w:val="hybridMultilevel"/>
    <w:tmpl w:val="040A57E0"/>
    <w:lvl w:ilvl="0" w:tplc="2E12B988">
      <w:start w:val="1"/>
      <w:numFmt w:val="bullet"/>
      <w:pStyle w:val="ListBullet"/>
      <w:lvlText w:val=""/>
      <w:lvlJc w:val="left"/>
      <w:pPr>
        <w:ind w:left="198" w:hanging="198"/>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575D9"/>
    <w:multiLevelType w:val="multilevel"/>
    <w:tmpl w:val="01768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867D15"/>
    <w:multiLevelType w:val="hybridMultilevel"/>
    <w:tmpl w:val="BEF8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621C6"/>
    <w:multiLevelType w:val="hybridMultilevel"/>
    <w:tmpl w:val="63EA635C"/>
    <w:lvl w:ilvl="0" w:tplc="FFFFFFFF">
      <w:start w:val="1"/>
      <w:numFmt w:val="decimal"/>
      <w:pStyle w:val="Listnum"/>
      <w:lvlText w:val="%1."/>
      <w:lvlJc w:val="left"/>
      <w:pPr>
        <w:ind w:left="284" w:hanging="284"/>
      </w:pPr>
      <w:rPr>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33544CD2"/>
    <w:multiLevelType w:val="multilevel"/>
    <w:tmpl w:val="96502A0A"/>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FD7A9B"/>
    <w:multiLevelType w:val="hybridMultilevel"/>
    <w:tmpl w:val="DADCCA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91D3EE7"/>
    <w:multiLevelType w:val="multilevel"/>
    <w:tmpl w:val="5224A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7C6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DA0F2A"/>
    <w:multiLevelType w:val="hybridMultilevel"/>
    <w:tmpl w:val="E156548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7A4863A0"/>
    <w:multiLevelType w:val="multilevel"/>
    <w:tmpl w:val="EFD09ABC"/>
    <w:lvl w:ilvl="0">
      <w:start w:val="1"/>
      <w:numFmt w:val="decimal"/>
      <w:lvlText w:val="%1"/>
      <w:lvlJc w:val="left"/>
      <w:pPr>
        <w:ind w:left="450" w:hanging="450"/>
      </w:pPr>
      <w:rPr>
        <w:rFonts w:cstheme="minorHAnsi" w:hint="default"/>
        <w:lang w:val="en-US"/>
      </w:rPr>
    </w:lvl>
    <w:lvl w:ilvl="1">
      <w:start w:val="1"/>
      <w:numFmt w:val="decimal"/>
      <w:lvlText w:val="%1.%2"/>
      <w:lvlJc w:val="left"/>
      <w:pPr>
        <w:ind w:left="450" w:hanging="45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num w:numId="1">
    <w:abstractNumId w:val="4"/>
  </w:num>
  <w:num w:numId="2">
    <w:abstractNumId w:val="1"/>
  </w:num>
  <w:num w:numId="3">
    <w:abstractNumId w:val="8"/>
  </w:num>
  <w:num w:numId="4">
    <w:abstractNumId w:val="0"/>
  </w:num>
  <w:num w:numId="5">
    <w:abstractNumId w:val="10"/>
  </w:num>
  <w:num w:numId="6">
    <w:abstractNumId w:val="9"/>
  </w:num>
  <w:num w:numId="7">
    <w:abstractNumId w:val="6"/>
  </w:num>
  <w:num w:numId="8">
    <w:abstractNumId w:val="2"/>
  </w:num>
  <w:num w:numId="9">
    <w:abstractNumId w:val="3"/>
  </w:num>
  <w:num w:numId="10">
    <w:abstractNumId w:val="5"/>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MyMrU0tzQ3NTFS0lEKTi0uzszPAykwrAUACJEWRSwAAAA="/>
  </w:docVars>
  <w:rsids>
    <w:rsidRoot w:val="005F3269"/>
    <w:rsid w:val="00004080"/>
    <w:rsid w:val="00004B5B"/>
    <w:rsid w:val="000129E7"/>
    <w:rsid w:val="0001776F"/>
    <w:rsid w:val="00017CEF"/>
    <w:rsid w:val="000210D4"/>
    <w:rsid w:val="00031A9E"/>
    <w:rsid w:val="000359D8"/>
    <w:rsid w:val="00040D8D"/>
    <w:rsid w:val="00043569"/>
    <w:rsid w:val="000448D9"/>
    <w:rsid w:val="0004585A"/>
    <w:rsid w:val="00050E8E"/>
    <w:rsid w:val="00055384"/>
    <w:rsid w:val="000579C7"/>
    <w:rsid w:val="00063016"/>
    <w:rsid w:val="00063C5B"/>
    <w:rsid w:val="00066795"/>
    <w:rsid w:val="00076AF6"/>
    <w:rsid w:val="00076E3A"/>
    <w:rsid w:val="00080803"/>
    <w:rsid w:val="00085CF2"/>
    <w:rsid w:val="0009086A"/>
    <w:rsid w:val="0009108D"/>
    <w:rsid w:val="000A2A66"/>
    <w:rsid w:val="000A4533"/>
    <w:rsid w:val="000A4C87"/>
    <w:rsid w:val="000A70D0"/>
    <w:rsid w:val="000A940E"/>
    <w:rsid w:val="000B1705"/>
    <w:rsid w:val="000B2C5B"/>
    <w:rsid w:val="000C4792"/>
    <w:rsid w:val="000C6B8B"/>
    <w:rsid w:val="000D75B2"/>
    <w:rsid w:val="000E2E8B"/>
    <w:rsid w:val="000E322E"/>
    <w:rsid w:val="000E34BE"/>
    <w:rsid w:val="000E39B5"/>
    <w:rsid w:val="000F503E"/>
    <w:rsid w:val="0010352D"/>
    <w:rsid w:val="00105234"/>
    <w:rsid w:val="00106E78"/>
    <w:rsid w:val="00107570"/>
    <w:rsid w:val="001121F5"/>
    <w:rsid w:val="00115180"/>
    <w:rsid w:val="00117EE3"/>
    <w:rsid w:val="00123984"/>
    <w:rsid w:val="0012522E"/>
    <w:rsid w:val="00127D8D"/>
    <w:rsid w:val="00132DE1"/>
    <w:rsid w:val="001343F6"/>
    <w:rsid w:val="00137000"/>
    <w:rsid w:val="001400DC"/>
    <w:rsid w:val="00140CE1"/>
    <w:rsid w:val="00143C4D"/>
    <w:rsid w:val="0015657F"/>
    <w:rsid w:val="0016240C"/>
    <w:rsid w:val="001707DB"/>
    <w:rsid w:val="0017539C"/>
    <w:rsid w:val="00175AC2"/>
    <w:rsid w:val="0017609F"/>
    <w:rsid w:val="00180C18"/>
    <w:rsid w:val="00183D2F"/>
    <w:rsid w:val="00185653"/>
    <w:rsid w:val="00185EA0"/>
    <w:rsid w:val="0018631B"/>
    <w:rsid w:val="00187291"/>
    <w:rsid w:val="001901EC"/>
    <w:rsid w:val="00192171"/>
    <w:rsid w:val="0019343C"/>
    <w:rsid w:val="00193F0F"/>
    <w:rsid w:val="001A0FB7"/>
    <w:rsid w:val="001A28D3"/>
    <w:rsid w:val="001A3DA2"/>
    <w:rsid w:val="001B2494"/>
    <w:rsid w:val="001B31DB"/>
    <w:rsid w:val="001B475B"/>
    <w:rsid w:val="001B71F4"/>
    <w:rsid w:val="001B7EC3"/>
    <w:rsid w:val="001C628E"/>
    <w:rsid w:val="001C653B"/>
    <w:rsid w:val="001D44D7"/>
    <w:rsid w:val="001D7380"/>
    <w:rsid w:val="001E0F7B"/>
    <w:rsid w:val="001F2B27"/>
    <w:rsid w:val="001F47C9"/>
    <w:rsid w:val="001F61D2"/>
    <w:rsid w:val="00201556"/>
    <w:rsid w:val="0020166E"/>
    <w:rsid w:val="00206E14"/>
    <w:rsid w:val="002119FD"/>
    <w:rsid w:val="002123DC"/>
    <w:rsid w:val="002130E0"/>
    <w:rsid w:val="00220884"/>
    <w:rsid w:val="00221384"/>
    <w:rsid w:val="002225B3"/>
    <w:rsid w:val="00223F26"/>
    <w:rsid w:val="00224D39"/>
    <w:rsid w:val="002324C8"/>
    <w:rsid w:val="0023439A"/>
    <w:rsid w:val="00236BD2"/>
    <w:rsid w:val="0024049A"/>
    <w:rsid w:val="00241756"/>
    <w:rsid w:val="0024790F"/>
    <w:rsid w:val="00247ED5"/>
    <w:rsid w:val="00256EC4"/>
    <w:rsid w:val="00263013"/>
    <w:rsid w:val="00264425"/>
    <w:rsid w:val="00265875"/>
    <w:rsid w:val="00265A4F"/>
    <w:rsid w:val="002667D5"/>
    <w:rsid w:val="00272006"/>
    <w:rsid w:val="0027303B"/>
    <w:rsid w:val="0027559F"/>
    <w:rsid w:val="00280DFA"/>
    <w:rsid w:val="0028109B"/>
    <w:rsid w:val="00286239"/>
    <w:rsid w:val="0029291C"/>
    <w:rsid w:val="002942CA"/>
    <w:rsid w:val="00296A60"/>
    <w:rsid w:val="00297559"/>
    <w:rsid w:val="00297F52"/>
    <w:rsid w:val="002A2188"/>
    <w:rsid w:val="002A7B68"/>
    <w:rsid w:val="002B1F58"/>
    <w:rsid w:val="002B2A99"/>
    <w:rsid w:val="002B581A"/>
    <w:rsid w:val="002B7A71"/>
    <w:rsid w:val="002C1C7A"/>
    <w:rsid w:val="002C3B4D"/>
    <w:rsid w:val="002C3EB6"/>
    <w:rsid w:val="002D5A66"/>
    <w:rsid w:val="002F15A2"/>
    <w:rsid w:val="002F246F"/>
    <w:rsid w:val="002F256E"/>
    <w:rsid w:val="002F5725"/>
    <w:rsid w:val="002F5E0B"/>
    <w:rsid w:val="002F7FE0"/>
    <w:rsid w:val="0030160F"/>
    <w:rsid w:val="0030337D"/>
    <w:rsid w:val="00304DA3"/>
    <w:rsid w:val="00310602"/>
    <w:rsid w:val="00311E71"/>
    <w:rsid w:val="00311E8B"/>
    <w:rsid w:val="00313115"/>
    <w:rsid w:val="00313D29"/>
    <w:rsid w:val="00320598"/>
    <w:rsid w:val="0032210E"/>
    <w:rsid w:val="003222BC"/>
    <w:rsid w:val="00322424"/>
    <w:rsid w:val="00322D0D"/>
    <w:rsid w:val="00323128"/>
    <w:rsid w:val="003235E9"/>
    <w:rsid w:val="003272EA"/>
    <w:rsid w:val="003275A9"/>
    <w:rsid w:val="003520A2"/>
    <w:rsid w:val="003529C0"/>
    <w:rsid w:val="003532DC"/>
    <w:rsid w:val="003638ED"/>
    <w:rsid w:val="00365BA0"/>
    <w:rsid w:val="00375A05"/>
    <w:rsid w:val="003771B9"/>
    <w:rsid w:val="00380B46"/>
    <w:rsid w:val="00384402"/>
    <w:rsid w:val="00391177"/>
    <w:rsid w:val="00392683"/>
    <w:rsid w:val="003942D4"/>
    <w:rsid w:val="003958A8"/>
    <w:rsid w:val="003A2A22"/>
    <w:rsid w:val="003A7B69"/>
    <w:rsid w:val="003B0A76"/>
    <w:rsid w:val="003B506E"/>
    <w:rsid w:val="003C1552"/>
    <w:rsid w:val="003C2533"/>
    <w:rsid w:val="003C2DD8"/>
    <w:rsid w:val="003D50E1"/>
    <w:rsid w:val="003D58E3"/>
    <w:rsid w:val="003D655D"/>
    <w:rsid w:val="003E4297"/>
    <w:rsid w:val="003E6369"/>
    <w:rsid w:val="003E6950"/>
    <w:rsid w:val="003E7BC9"/>
    <w:rsid w:val="003F025D"/>
    <w:rsid w:val="003F12C0"/>
    <w:rsid w:val="003F2546"/>
    <w:rsid w:val="003F6024"/>
    <w:rsid w:val="003F71F2"/>
    <w:rsid w:val="00401006"/>
    <w:rsid w:val="00401C4C"/>
    <w:rsid w:val="0040435A"/>
    <w:rsid w:val="00404B4D"/>
    <w:rsid w:val="00411DE7"/>
    <w:rsid w:val="00413587"/>
    <w:rsid w:val="00416A24"/>
    <w:rsid w:val="004204B0"/>
    <w:rsid w:val="00423C3D"/>
    <w:rsid w:val="00425F9F"/>
    <w:rsid w:val="00431D9E"/>
    <w:rsid w:val="00433CE8"/>
    <w:rsid w:val="00434A5C"/>
    <w:rsid w:val="00434BAA"/>
    <w:rsid w:val="0044026D"/>
    <w:rsid w:val="004429FC"/>
    <w:rsid w:val="00444BD5"/>
    <w:rsid w:val="004544D9"/>
    <w:rsid w:val="004557C5"/>
    <w:rsid w:val="00455865"/>
    <w:rsid w:val="0046042A"/>
    <w:rsid w:val="00460C62"/>
    <w:rsid w:val="00461C98"/>
    <w:rsid w:val="00462A36"/>
    <w:rsid w:val="00463EEC"/>
    <w:rsid w:val="0046535C"/>
    <w:rsid w:val="00465E3F"/>
    <w:rsid w:val="00467BFC"/>
    <w:rsid w:val="004701BA"/>
    <w:rsid w:val="004705D8"/>
    <w:rsid w:val="004800FB"/>
    <w:rsid w:val="00480CBC"/>
    <w:rsid w:val="004844F6"/>
    <w:rsid w:val="00485B5C"/>
    <w:rsid w:val="004902F1"/>
    <w:rsid w:val="00490D8E"/>
    <w:rsid w:val="00490E72"/>
    <w:rsid w:val="00491157"/>
    <w:rsid w:val="004921C8"/>
    <w:rsid w:val="00493D65"/>
    <w:rsid w:val="00493DB3"/>
    <w:rsid w:val="004A0CE7"/>
    <w:rsid w:val="004A75C3"/>
    <w:rsid w:val="004A7A5B"/>
    <w:rsid w:val="004B5162"/>
    <w:rsid w:val="004B5D0E"/>
    <w:rsid w:val="004B67B1"/>
    <w:rsid w:val="004C6B7F"/>
    <w:rsid w:val="004D1851"/>
    <w:rsid w:val="004D599D"/>
    <w:rsid w:val="004E2EA5"/>
    <w:rsid w:val="004E3AEB"/>
    <w:rsid w:val="004E54AD"/>
    <w:rsid w:val="004F42E3"/>
    <w:rsid w:val="0050223C"/>
    <w:rsid w:val="00503628"/>
    <w:rsid w:val="00510C40"/>
    <w:rsid w:val="00515C0A"/>
    <w:rsid w:val="00517858"/>
    <w:rsid w:val="00522EBD"/>
    <w:rsid w:val="005243FF"/>
    <w:rsid w:val="005335B8"/>
    <w:rsid w:val="00534FE7"/>
    <w:rsid w:val="005403A2"/>
    <w:rsid w:val="005443CD"/>
    <w:rsid w:val="00550448"/>
    <w:rsid w:val="00555764"/>
    <w:rsid w:val="00562261"/>
    <w:rsid w:val="00564FBC"/>
    <w:rsid w:val="00570F2A"/>
    <w:rsid w:val="00571F23"/>
    <w:rsid w:val="00573ABF"/>
    <w:rsid w:val="00576DD4"/>
    <w:rsid w:val="00582110"/>
    <w:rsid w:val="00582442"/>
    <w:rsid w:val="005837F0"/>
    <w:rsid w:val="00593F36"/>
    <w:rsid w:val="005A0C61"/>
    <w:rsid w:val="005B0BCB"/>
    <w:rsid w:val="005B13A2"/>
    <w:rsid w:val="005C109C"/>
    <w:rsid w:val="005C38EF"/>
    <w:rsid w:val="005C6D08"/>
    <w:rsid w:val="005C7127"/>
    <w:rsid w:val="005E0354"/>
    <w:rsid w:val="005E20A8"/>
    <w:rsid w:val="005E6058"/>
    <w:rsid w:val="005E7953"/>
    <w:rsid w:val="005F1D17"/>
    <w:rsid w:val="005F3269"/>
    <w:rsid w:val="005F38DD"/>
    <w:rsid w:val="005F39EF"/>
    <w:rsid w:val="005F52F2"/>
    <w:rsid w:val="00600EEA"/>
    <w:rsid w:val="00600F73"/>
    <w:rsid w:val="0060392C"/>
    <w:rsid w:val="0061542E"/>
    <w:rsid w:val="00615A40"/>
    <w:rsid w:val="0061600B"/>
    <w:rsid w:val="00623AE3"/>
    <w:rsid w:val="006241D5"/>
    <w:rsid w:val="00624DA0"/>
    <w:rsid w:val="00634D34"/>
    <w:rsid w:val="00646E78"/>
    <w:rsid w:val="0064737F"/>
    <w:rsid w:val="00647ED1"/>
    <w:rsid w:val="006535F1"/>
    <w:rsid w:val="0065557D"/>
    <w:rsid w:val="00660E65"/>
    <w:rsid w:val="006619A1"/>
    <w:rsid w:val="00662984"/>
    <w:rsid w:val="00665CA7"/>
    <w:rsid w:val="00666AA2"/>
    <w:rsid w:val="00671065"/>
    <w:rsid w:val="006716BB"/>
    <w:rsid w:val="006828AD"/>
    <w:rsid w:val="00686D3F"/>
    <w:rsid w:val="00691EA9"/>
    <w:rsid w:val="00696781"/>
    <w:rsid w:val="006A02DA"/>
    <w:rsid w:val="006A3261"/>
    <w:rsid w:val="006A6390"/>
    <w:rsid w:val="006A7A41"/>
    <w:rsid w:val="006B0CCE"/>
    <w:rsid w:val="006B169E"/>
    <w:rsid w:val="006B1EA0"/>
    <w:rsid w:val="006B411A"/>
    <w:rsid w:val="006B595A"/>
    <w:rsid w:val="006B6680"/>
    <w:rsid w:val="006B6DCC"/>
    <w:rsid w:val="006C00DC"/>
    <w:rsid w:val="006C1A96"/>
    <w:rsid w:val="006D2B54"/>
    <w:rsid w:val="006D3803"/>
    <w:rsid w:val="006D4519"/>
    <w:rsid w:val="006D5401"/>
    <w:rsid w:val="006D5C7B"/>
    <w:rsid w:val="006E07C3"/>
    <w:rsid w:val="006E166E"/>
    <w:rsid w:val="006E762D"/>
    <w:rsid w:val="006F5CA5"/>
    <w:rsid w:val="00702DEF"/>
    <w:rsid w:val="007034BC"/>
    <w:rsid w:val="007042A5"/>
    <w:rsid w:val="00706861"/>
    <w:rsid w:val="00714203"/>
    <w:rsid w:val="007202AA"/>
    <w:rsid w:val="00723504"/>
    <w:rsid w:val="00727D25"/>
    <w:rsid w:val="00732123"/>
    <w:rsid w:val="00732DA4"/>
    <w:rsid w:val="00740FE3"/>
    <w:rsid w:val="00743AF7"/>
    <w:rsid w:val="007454B9"/>
    <w:rsid w:val="0075051B"/>
    <w:rsid w:val="0075142D"/>
    <w:rsid w:val="00755F1A"/>
    <w:rsid w:val="00770EC5"/>
    <w:rsid w:val="00771A78"/>
    <w:rsid w:val="0077638D"/>
    <w:rsid w:val="007813D2"/>
    <w:rsid w:val="00784D2D"/>
    <w:rsid w:val="00786E13"/>
    <w:rsid w:val="00787AEA"/>
    <w:rsid w:val="007919DF"/>
    <w:rsid w:val="00793188"/>
    <w:rsid w:val="00794D34"/>
    <w:rsid w:val="007A2B40"/>
    <w:rsid w:val="007A48A2"/>
    <w:rsid w:val="007A4AB6"/>
    <w:rsid w:val="007A6217"/>
    <w:rsid w:val="007A684A"/>
    <w:rsid w:val="007C53EA"/>
    <w:rsid w:val="007C62BD"/>
    <w:rsid w:val="007D1CDB"/>
    <w:rsid w:val="007D57C6"/>
    <w:rsid w:val="007D768B"/>
    <w:rsid w:val="007F133A"/>
    <w:rsid w:val="0080377E"/>
    <w:rsid w:val="00807EC7"/>
    <w:rsid w:val="00810A6F"/>
    <w:rsid w:val="00811749"/>
    <w:rsid w:val="00813E5E"/>
    <w:rsid w:val="0081405A"/>
    <w:rsid w:val="00816F6E"/>
    <w:rsid w:val="00824EE1"/>
    <w:rsid w:val="00830E6E"/>
    <w:rsid w:val="0083101D"/>
    <w:rsid w:val="00833535"/>
    <w:rsid w:val="0083581B"/>
    <w:rsid w:val="008366B2"/>
    <w:rsid w:val="00844B1B"/>
    <w:rsid w:val="00845BC9"/>
    <w:rsid w:val="00845D86"/>
    <w:rsid w:val="008464CB"/>
    <w:rsid w:val="00851204"/>
    <w:rsid w:val="00857691"/>
    <w:rsid w:val="00862573"/>
    <w:rsid w:val="008643F7"/>
    <w:rsid w:val="00864AFF"/>
    <w:rsid w:val="0086534A"/>
    <w:rsid w:val="00883D21"/>
    <w:rsid w:val="00886FDB"/>
    <w:rsid w:val="0089142C"/>
    <w:rsid w:val="00894A07"/>
    <w:rsid w:val="00894B7A"/>
    <w:rsid w:val="008A0FAA"/>
    <w:rsid w:val="008A3AF1"/>
    <w:rsid w:val="008A65FD"/>
    <w:rsid w:val="008A7FED"/>
    <w:rsid w:val="008B0FDE"/>
    <w:rsid w:val="008B44B5"/>
    <w:rsid w:val="008B4A6A"/>
    <w:rsid w:val="008B4AD8"/>
    <w:rsid w:val="008C0D08"/>
    <w:rsid w:val="008C341D"/>
    <w:rsid w:val="008C36B0"/>
    <w:rsid w:val="008C443E"/>
    <w:rsid w:val="008C6286"/>
    <w:rsid w:val="008C7E27"/>
    <w:rsid w:val="008D3F87"/>
    <w:rsid w:val="008D64B8"/>
    <w:rsid w:val="008D6B89"/>
    <w:rsid w:val="008E0788"/>
    <w:rsid w:val="008E3219"/>
    <w:rsid w:val="008F3F63"/>
    <w:rsid w:val="009055AF"/>
    <w:rsid w:val="0090589C"/>
    <w:rsid w:val="00910222"/>
    <w:rsid w:val="00913B9D"/>
    <w:rsid w:val="009173EF"/>
    <w:rsid w:val="00927E0F"/>
    <w:rsid w:val="0093066D"/>
    <w:rsid w:val="009313DA"/>
    <w:rsid w:val="00932906"/>
    <w:rsid w:val="00932FA5"/>
    <w:rsid w:val="00937561"/>
    <w:rsid w:val="00942713"/>
    <w:rsid w:val="009461BE"/>
    <w:rsid w:val="00951F71"/>
    <w:rsid w:val="00955172"/>
    <w:rsid w:val="00956BF1"/>
    <w:rsid w:val="00957F19"/>
    <w:rsid w:val="00961B0B"/>
    <w:rsid w:val="009677B4"/>
    <w:rsid w:val="00967C45"/>
    <w:rsid w:val="00967DEA"/>
    <w:rsid w:val="009739F2"/>
    <w:rsid w:val="009741F4"/>
    <w:rsid w:val="009828F9"/>
    <w:rsid w:val="00983856"/>
    <w:rsid w:val="00987546"/>
    <w:rsid w:val="009940E2"/>
    <w:rsid w:val="00995383"/>
    <w:rsid w:val="00997082"/>
    <w:rsid w:val="009A019B"/>
    <w:rsid w:val="009A0E76"/>
    <w:rsid w:val="009A19CF"/>
    <w:rsid w:val="009B1684"/>
    <w:rsid w:val="009B38C3"/>
    <w:rsid w:val="009B69E7"/>
    <w:rsid w:val="009C3A20"/>
    <w:rsid w:val="009C5B7E"/>
    <w:rsid w:val="009E0D54"/>
    <w:rsid w:val="009E17BD"/>
    <w:rsid w:val="009E485A"/>
    <w:rsid w:val="009E792D"/>
    <w:rsid w:val="009F6211"/>
    <w:rsid w:val="009F66A3"/>
    <w:rsid w:val="00A04189"/>
    <w:rsid w:val="00A04CEC"/>
    <w:rsid w:val="00A05E80"/>
    <w:rsid w:val="00A065BA"/>
    <w:rsid w:val="00A06C6C"/>
    <w:rsid w:val="00A06DD9"/>
    <w:rsid w:val="00A115EA"/>
    <w:rsid w:val="00A20930"/>
    <w:rsid w:val="00A222DC"/>
    <w:rsid w:val="00A23DA3"/>
    <w:rsid w:val="00A24FBA"/>
    <w:rsid w:val="00A27D2A"/>
    <w:rsid w:val="00A27F92"/>
    <w:rsid w:val="00A32257"/>
    <w:rsid w:val="00A34210"/>
    <w:rsid w:val="00A3656D"/>
    <w:rsid w:val="00A36D20"/>
    <w:rsid w:val="00A37BB4"/>
    <w:rsid w:val="00A44F61"/>
    <w:rsid w:val="00A46921"/>
    <w:rsid w:val="00A52E63"/>
    <w:rsid w:val="00A532A5"/>
    <w:rsid w:val="00A5460F"/>
    <w:rsid w:val="00A55622"/>
    <w:rsid w:val="00A60911"/>
    <w:rsid w:val="00A64BF6"/>
    <w:rsid w:val="00A71532"/>
    <w:rsid w:val="00A71FF6"/>
    <w:rsid w:val="00A736C9"/>
    <w:rsid w:val="00A76AB3"/>
    <w:rsid w:val="00A770F8"/>
    <w:rsid w:val="00A80E3A"/>
    <w:rsid w:val="00A80F9F"/>
    <w:rsid w:val="00A83502"/>
    <w:rsid w:val="00A8382F"/>
    <w:rsid w:val="00A85C8E"/>
    <w:rsid w:val="00A93619"/>
    <w:rsid w:val="00A975A1"/>
    <w:rsid w:val="00AA166C"/>
    <w:rsid w:val="00AA63A9"/>
    <w:rsid w:val="00AB0ED7"/>
    <w:rsid w:val="00AB2499"/>
    <w:rsid w:val="00AB51C7"/>
    <w:rsid w:val="00AB707C"/>
    <w:rsid w:val="00AC297D"/>
    <w:rsid w:val="00AC3A20"/>
    <w:rsid w:val="00AC47C8"/>
    <w:rsid w:val="00AC7662"/>
    <w:rsid w:val="00AD0C44"/>
    <w:rsid w:val="00AD15B3"/>
    <w:rsid w:val="00AD3C26"/>
    <w:rsid w:val="00AE3002"/>
    <w:rsid w:val="00AE5A2F"/>
    <w:rsid w:val="00AE5DF0"/>
    <w:rsid w:val="00AF0D3F"/>
    <w:rsid w:val="00AF2EA3"/>
    <w:rsid w:val="00AF3749"/>
    <w:rsid w:val="00AF439F"/>
    <w:rsid w:val="00AF5771"/>
    <w:rsid w:val="00AF5F10"/>
    <w:rsid w:val="00AF66D4"/>
    <w:rsid w:val="00AF670F"/>
    <w:rsid w:val="00AF6E49"/>
    <w:rsid w:val="00B00AFE"/>
    <w:rsid w:val="00B04A67"/>
    <w:rsid w:val="00B0583C"/>
    <w:rsid w:val="00B0752C"/>
    <w:rsid w:val="00B10247"/>
    <w:rsid w:val="00B108FD"/>
    <w:rsid w:val="00B1123A"/>
    <w:rsid w:val="00B11ACC"/>
    <w:rsid w:val="00B21929"/>
    <w:rsid w:val="00B21EE8"/>
    <w:rsid w:val="00B3093A"/>
    <w:rsid w:val="00B32332"/>
    <w:rsid w:val="00B32489"/>
    <w:rsid w:val="00B33C35"/>
    <w:rsid w:val="00B365E6"/>
    <w:rsid w:val="00B40472"/>
    <w:rsid w:val="00B40A81"/>
    <w:rsid w:val="00B44910"/>
    <w:rsid w:val="00B46E0D"/>
    <w:rsid w:val="00B47220"/>
    <w:rsid w:val="00B47AFF"/>
    <w:rsid w:val="00B51F0F"/>
    <w:rsid w:val="00B52FE5"/>
    <w:rsid w:val="00B64E75"/>
    <w:rsid w:val="00B71C63"/>
    <w:rsid w:val="00B72267"/>
    <w:rsid w:val="00B7260C"/>
    <w:rsid w:val="00B729BD"/>
    <w:rsid w:val="00B73F1D"/>
    <w:rsid w:val="00B75487"/>
    <w:rsid w:val="00B75C0B"/>
    <w:rsid w:val="00B76EB6"/>
    <w:rsid w:val="00B77123"/>
    <w:rsid w:val="00B7737B"/>
    <w:rsid w:val="00B8019E"/>
    <w:rsid w:val="00B824C8"/>
    <w:rsid w:val="00B91163"/>
    <w:rsid w:val="00B92471"/>
    <w:rsid w:val="00B92CBD"/>
    <w:rsid w:val="00B9771E"/>
    <w:rsid w:val="00BA3A7F"/>
    <w:rsid w:val="00BA3C1D"/>
    <w:rsid w:val="00BA58FD"/>
    <w:rsid w:val="00BA61C0"/>
    <w:rsid w:val="00BA7049"/>
    <w:rsid w:val="00BB5744"/>
    <w:rsid w:val="00BB6FAD"/>
    <w:rsid w:val="00BC060D"/>
    <w:rsid w:val="00BC251A"/>
    <w:rsid w:val="00BC61F4"/>
    <w:rsid w:val="00BC6DA2"/>
    <w:rsid w:val="00BD032B"/>
    <w:rsid w:val="00BD0D4B"/>
    <w:rsid w:val="00BD3FB7"/>
    <w:rsid w:val="00BD661E"/>
    <w:rsid w:val="00BD75C1"/>
    <w:rsid w:val="00BE2640"/>
    <w:rsid w:val="00BE5B46"/>
    <w:rsid w:val="00BE733A"/>
    <w:rsid w:val="00BF3FAD"/>
    <w:rsid w:val="00C003D5"/>
    <w:rsid w:val="00C01189"/>
    <w:rsid w:val="00C0193F"/>
    <w:rsid w:val="00C02B97"/>
    <w:rsid w:val="00C0421F"/>
    <w:rsid w:val="00C14582"/>
    <w:rsid w:val="00C25B86"/>
    <w:rsid w:val="00C25D09"/>
    <w:rsid w:val="00C37339"/>
    <w:rsid w:val="00C374DE"/>
    <w:rsid w:val="00C41DC2"/>
    <w:rsid w:val="00C45C49"/>
    <w:rsid w:val="00C47AD4"/>
    <w:rsid w:val="00C5261C"/>
    <w:rsid w:val="00C52D81"/>
    <w:rsid w:val="00C55198"/>
    <w:rsid w:val="00C668E9"/>
    <w:rsid w:val="00C677D5"/>
    <w:rsid w:val="00C70643"/>
    <w:rsid w:val="00C733C6"/>
    <w:rsid w:val="00C77FB8"/>
    <w:rsid w:val="00C80AE6"/>
    <w:rsid w:val="00C82908"/>
    <w:rsid w:val="00C83CC6"/>
    <w:rsid w:val="00C857B1"/>
    <w:rsid w:val="00C948D7"/>
    <w:rsid w:val="00CA4FB6"/>
    <w:rsid w:val="00CA6393"/>
    <w:rsid w:val="00CA7657"/>
    <w:rsid w:val="00CB0187"/>
    <w:rsid w:val="00CB0282"/>
    <w:rsid w:val="00CB18FF"/>
    <w:rsid w:val="00CB2009"/>
    <w:rsid w:val="00CB34CD"/>
    <w:rsid w:val="00CB4448"/>
    <w:rsid w:val="00CC0FC0"/>
    <w:rsid w:val="00CC369C"/>
    <w:rsid w:val="00CC650C"/>
    <w:rsid w:val="00CC6CB0"/>
    <w:rsid w:val="00CD0C08"/>
    <w:rsid w:val="00CD3C2E"/>
    <w:rsid w:val="00CD6656"/>
    <w:rsid w:val="00CE03FB"/>
    <w:rsid w:val="00CE1746"/>
    <w:rsid w:val="00CE433C"/>
    <w:rsid w:val="00CE68EC"/>
    <w:rsid w:val="00CF16E8"/>
    <w:rsid w:val="00CF204F"/>
    <w:rsid w:val="00CF33F3"/>
    <w:rsid w:val="00CF721F"/>
    <w:rsid w:val="00CF7C32"/>
    <w:rsid w:val="00D01ADB"/>
    <w:rsid w:val="00D02F4D"/>
    <w:rsid w:val="00D06183"/>
    <w:rsid w:val="00D07ED6"/>
    <w:rsid w:val="00D1066E"/>
    <w:rsid w:val="00D13584"/>
    <w:rsid w:val="00D17B47"/>
    <w:rsid w:val="00D20652"/>
    <w:rsid w:val="00D21580"/>
    <w:rsid w:val="00D226D6"/>
    <w:rsid w:val="00D22C42"/>
    <w:rsid w:val="00D22DD1"/>
    <w:rsid w:val="00D23427"/>
    <w:rsid w:val="00D26BB0"/>
    <w:rsid w:val="00D27603"/>
    <w:rsid w:val="00D316FE"/>
    <w:rsid w:val="00D338E0"/>
    <w:rsid w:val="00D34C36"/>
    <w:rsid w:val="00D36A86"/>
    <w:rsid w:val="00D377EF"/>
    <w:rsid w:val="00D434D6"/>
    <w:rsid w:val="00D54521"/>
    <w:rsid w:val="00D65041"/>
    <w:rsid w:val="00D671A2"/>
    <w:rsid w:val="00D70724"/>
    <w:rsid w:val="00D72E42"/>
    <w:rsid w:val="00D75E58"/>
    <w:rsid w:val="00D84585"/>
    <w:rsid w:val="00D86908"/>
    <w:rsid w:val="00D90C4B"/>
    <w:rsid w:val="00DA1523"/>
    <w:rsid w:val="00DA59C8"/>
    <w:rsid w:val="00DB384B"/>
    <w:rsid w:val="00DC2848"/>
    <w:rsid w:val="00DC3787"/>
    <w:rsid w:val="00DC4B17"/>
    <w:rsid w:val="00DC65AF"/>
    <w:rsid w:val="00DD12F7"/>
    <w:rsid w:val="00DD621D"/>
    <w:rsid w:val="00DE1D20"/>
    <w:rsid w:val="00DE408D"/>
    <w:rsid w:val="00DE6609"/>
    <w:rsid w:val="00DE7F3B"/>
    <w:rsid w:val="00DF0FD5"/>
    <w:rsid w:val="00E029D6"/>
    <w:rsid w:val="00E03F1F"/>
    <w:rsid w:val="00E0451C"/>
    <w:rsid w:val="00E0748E"/>
    <w:rsid w:val="00E1030A"/>
    <w:rsid w:val="00E1093E"/>
    <w:rsid w:val="00E10E80"/>
    <w:rsid w:val="00E124F0"/>
    <w:rsid w:val="00E13E46"/>
    <w:rsid w:val="00E162EE"/>
    <w:rsid w:val="00E177C6"/>
    <w:rsid w:val="00E21E20"/>
    <w:rsid w:val="00E25E27"/>
    <w:rsid w:val="00E27C07"/>
    <w:rsid w:val="00E3035A"/>
    <w:rsid w:val="00E31B47"/>
    <w:rsid w:val="00E35269"/>
    <w:rsid w:val="00E376CB"/>
    <w:rsid w:val="00E379F3"/>
    <w:rsid w:val="00E43ACF"/>
    <w:rsid w:val="00E46A3D"/>
    <w:rsid w:val="00E51B00"/>
    <w:rsid w:val="00E53F55"/>
    <w:rsid w:val="00E549C9"/>
    <w:rsid w:val="00E54D3A"/>
    <w:rsid w:val="00E57BD9"/>
    <w:rsid w:val="00E60424"/>
    <w:rsid w:val="00E60F04"/>
    <w:rsid w:val="00E64B38"/>
    <w:rsid w:val="00E67658"/>
    <w:rsid w:val="00E71218"/>
    <w:rsid w:val="00E76375"/>
    <w:rsid w:val="00E854E4"/>
    <w:rsid w:val="00E8557B"/>
    <w:rsid w:val="00E909AF"/>
    <w:rsid w:val="00EA0152"/>
    <w:rsid w:val="00EA1895"/>
    <w:rsid w:val="00EA586F"/>
    <w:rsid w:val="00EB0D6F"/>
    <w:rsid w:val="00EB2232"/>
    <w:rsid w:val="00EB2847"/>
    <w:rsid w:val="00EB429A"/>
    <w:rsid w:val="00EB5438"/>
    <w:rsid w:val="00EC0E2B"/>
    <w:rsid w:val="00EC5337"/>
    <w:rsid w:val="00EC710D"/>
    <w:rsid w:val="00ED52CB"/>
    <w:rsid w:val="00ED5DED"/>
    <w:rsid w:val="00ED6175"/>
    <w:rsid w:val="00ED7821"/>
    <w:rsid w:val="00EE1339"/>
    <w:rsid w:val="00EE220C"/>
    <w:rsid w:val="00EE2955"/>
    <w:rsid w:val="00EE3D15"/>
    <w:rsid w:val="00EE6CD6"/>
    <w:rsid w:val="00EF0019"/>
    <w:rsid w:val="00EF197A"/>
    <w:rsid w:val="00EF212C"/>
    <w:rsid w:val="00EF4AEC"/>
    <w:rsid w:val="00EF5B67"/>
    <w:rsid w:val="00EF6203"/>
    <w:rsid w:val="00F05DD1"/>
    <w:rsid w:val="00F11596"/>
    <w:rsid w:val="00F17477"/>
    <w:rsid w:val="00F20837"/>
    <w:rsid w:val="00F2150A"/>
    <w:rsid w:val="00F21C47"/>
    <w:rsid w:val="00F226C4"/>
    <w:rsid w:val="00F231D8"/>
    <w:rsid w:val="00F36A82"/>
    <w:rsid w:val="00F37F23"/>
    <w:rsid w:val="00F406D6"/>
    <w:rsid w:val="00F424F1"/>
    <w:rsid w:val="00F4262A"/>
    <w:rsid w:val="00F42A30"/>
    <w:rsid w:val="00F46C5F"/>
    <w:rsid w:val="00F52243"/>
    <w:rsid w:val="00F5524D"/>
    <w:rsid w:val="00F56212"/>
    <w:rsid w:val="00F56F54"/>
    <w:rsid w:val="00F6240F"/>
    <w:rsid w:val="00F65CF6"/>
    <w:rsid w:val="00F66057"/>
    <w:rsid w:val="00F74BB0"/>
    <w:rsid w:val="00F76191"/>
    <w:rsid w:val="00F80644"/>
    <w:rsid w:val="00F83265"/>
    <w:rsid w:val="00F94A63"/>
    <w:rsid w:val="00F963D0"/>
    <w:rsid w:val="00FA1472"/>
    <w:rsid w:val="00FA1858"/>
    <w:rsid w:val="00FA1C28"/>
    <w:rsid w:val="00FA3DD5"/>
    <w:rsid w:val="00FB1279"/>
    <w:rsid w:val="00FB42D9"/>
    <w:rsid w:val="00FB5F95"/>
    <w:rsid w:val="00FB68FA"/>
    <w:rsid w:val="00FB7596"/>
    <w:rsid w:val="00FC1977"/>
    <w:rsid w:val="00FC5DC2"/>
    <w:rsid w:val="00FC628C"/>
    <w:rsid w:val="00FD63B0"/>
    <w:rsid w:val="00FD69C2"/>
    <w:rsid w:val="00FE3245"/>
    <w:rsid w:val="00FE4077"/>
    <w:rsid w:val="00FE77D2"/>
    <w:rsid w:val="00FF329A"/>
    <w:rsid w:val="013DE38E"/>
    <w:rsid w:val="016D41BE"/>
    <w:rsid w:val="061176B6"/>
    <w:rsid w:val="0663AB57"/>
    <w:rsid w:val="06FDBF1F"/>
    <w:rsid w:val="075B1CAC"/>
    <w:rsid w:val="08CB46F1"/>
    <w:rsid w:val="098E537E"/>
    <w:rsid w:val="0C0D5575"/>
    <w:rsid w:val="0CBD7AF2"/>
    <w:rsid w:val="0EF3276C"/>
    <w:rsid w:val="0FA672E7"/>
    <w:rsid w:val="12BFB89D"/>
    <w:rsid w:val="142C0AA9"/>
    <w:rsid w:val="1AA5CDFF"/>
    <w:rsid w:val="1BDF1220"/>
    <w:rsid w:val="21D1A479"/>
    <w:rsid w:val="23391E50"/>
    <w:rsid w:val="23E7E730"/>
    <w:rsid w:val="249A1267"/>
    <w:rsid w:val="256706C7"/>
    <w:rsid w:val="2698B645"/>
    <w:rsid w:val="26A2E48F"/>
    <w:rsid w:val="26B8506B"/>
    <w:rsid w:val="27112910"/>
    <w:rsid w:val="27E86B19"/>
    <w:rsid w:val="28141608"/>
    <w:rsid w:val="298820E7"/>
    <w:rsid w:val="2BE49A33"/>
    <w:rsid w:val="2D84CB4A"/>
    <w:rsid w:val="2DB9D871"/>
    <w:rsid w:val="312A680B"/>
    <w:rsid w:val="321CF252"/>
    <w:rsid w:val="33F36489"/>
    <w:rsid w:val="34039B18"/>
    <w:rsid w:val="35B41CF9"/>
    <w:rsid w:val="377EB828"/>
    <w:rsid w:val="3888F868"/>
    <w:rsid w:val="389B7C09"/>
    <w:rsid w:val="38C4152D"/>
    <w:rsid w:val="38CACE7A"/>
    <w:rsid w:val="39F4BE4A"/>
    <w:rsid w:val="3AB658EA"/>
    <w:rsid w:val="3B616FE6"/>
    <w:rsid w:val="3C09E585"/>
    <w:rsid w:val="3D556D39"/>
    <w:rsid w:val="41D5CD2B"/>
    <w:rsid w:val="42FF8C4F"/>
    <w:rsid w:val="43722CAC"/>
    <w:rsid w:val="43ABDE28"/>
    <w:rsid w:val="43B52DC2"/>
    <w:rsid w:val="46D732F7"/>
    <w:rsid w:val="47DEFDCA"/>
    <w:rsid w:val="48F34D24"/>
    <w:rsid w:val="4A5C96E8"/>
    <w:rsid w:val="4B3EFE05"/>
    <w:rsid w:val="4B8935A9"/>
    <w:rsid w:val="4C134A3F"/>
    <w:rsid w:val="4C8B2135"/>
    <w:rsid w:val="4FB8D884"/>
    <w:rsid w:val="502A3CF3"/>
    <w:rsid w:val="5056A047"/>
    <w:rsid w:val="5149F9E2"/>
    <w:rsid w:val="5200F9E4"/>
    <w:rsid w:val="538EFEFF"/>
    <w:rsid w:val="546215C5"/>
    <w:rsid w:val="57AEC980"/>
    <w:rsid w:val="594A99E1"/>
    <w:rsid w:val="59913CBA"/>
    <w:rsid w:val="5DCDB7D5"/>
    <w:rsid w:val="60BFB456"/>
    <w:rsid w:val="610D1CAB"/>
    <w:rsid w:val="618E02B2"/>
    <w:rsid w:val="61F5F939"/>
    <w:rsid w:val="64ACCE38"/>
    <w:rsid w:val="655D359C"/>
    <w:rsid w:val="66FB617C"/>
    <w:rsid w:val="682E8FED"/>
    <w:rsid w:val="6960BD25"/>
    <w:rsid w:val="6A12B057"/>
    <w:rsid w:val="6A28EDCF"/>
    <w:rsid w:val="6AB60141"/>
    <w:rsid w:val="6B1F9BA7"/>
    <w:rsid w:val="7054330C"/>
    <w:rsid w:val="746A41AF"/>
    <w:rsid w:val="75423A3E"/>
    <w:rsid w:val="7559DFA7"/>
    <w:rsid w:val="7B4A6A77"/>
    <w:rsid w:val="7BCC348B"/>
    <w:rsid w:val="7C2D7D3D"/>
    <w:rsid w:val="7FEE1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04E449"/>
  <w15:docId w15:val="{6E6C1917-5ADE-4B52-ABD0-3E83CAC8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Recommendation,List Paragraph11"/>
    <w:basedOn w:val="Normal"/>
    <w:link w:val="ListParagraphChar"/>
    <w:uiPriority w:val="34"/>
    <w:qFormat/>
    <w:rsid w:val="000E322E"/>
    <w:pPr>
      <w:ind w:left="720"/>
      <w:contextualSpacing/>
    </w:pPr>
  </w:style>
  <w:style w:type="paragraph" w:styleId="ListBullet">
    <w:name w:val="List Bullet"/>
    <w:basedOn w:val="Normal"/>
    <w:uiPriority w:val="99"/>
    <w:unhideWhenUsed/>
    <w:rsid w:val="00696781"/>
    <w:pPr>
      <w:numPr>
        <w:numId w:val="2"/>
      </w:numPr>
      <w:tabs>
        <w:tab w:val="clear" w:pos="567"/>
        <w:tab w:val="clear" w:pos="1134"/>
        <w:tab w:val="clear" w:pos="1701"/>
        <w:tab w:val="clear" w:pos="2268"/>
        <w:tab w:val="clear" w:pos="2835"/>
      </w:tabs>
      <w:overflowPunct/>
      <w:autoSpaceDE/>
      <w:autoSpaceDN/>
      <w:adjustRightInd/>
      <w:spacing w:before="0" w:after="60" w:line="281" w:lineRule="auto"/>
      <w:textAlignment w:val="auto"/>
    </w:pPr>
    <w:rPr>
      <w:rFonts w:asciiTheme="minorHAnsi" w:eastAsiaTheme="minorHAnsi" w:hAnsiTheme="minorHAnsi" w:cstheme="minorBidi"/>
      <w:sz w:val="17"/>
      <w:szCs w:val="17"/>
    </w:rPr>
  </w:style>
  <w:style w:type="paragraph" w:customStyle="1" w:styleId="Listnum">
    <w:name w:val="List num"/>
    <w:basedOn w:val="ListBullet"/>
    <w:qFormat/>
    <w:rsid w:val="00696781"/>
    <w:pPr>
      <w:numPr>
        <w:numId w:val="1"/>
      </w:numPr>
    </w:pPr>
    <w:rPr>
      <w:rFonts w:cstheme="minorHAnsi"/>
      <w:bCs/>
      <w:lang w:eastAsia="fr-CH"/>
    </w:rPr>
  </w:style>
  <w:style w:type="paragraph" w:styleId="BalloonText">
    <w:name w:val="Balloon Text"/>
    <w:basedOn w:val="Normal"/>
    <w:link w:val="BalloonTextChar"/>
    <w:semiHidden/>
    <w:unhideWhenUsed/>
    <w:rsid w:val="00460C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60C62"/>
    <w:rPr>
      <w:rFonts w:ascii="Segoe UI" w:hAnsi="Segoe UI" w:cs="Segoe UI"/>
      <w:sz w:val="18"/>
      <w:szCs w:val="18"/>
      <w:lang w:val="en-GB" w:eastAsia="en-US"/>
    </w:rPr>
  </w:style>
  <w:style w:type="table" w:styleId="ListTable3-Accent1">
    <w:name w:val="List Table 3 Accent 1"/>
    <w:basedOn w:val="TableNormal"/>
    <w:uiPriority w:val="48"/>
    <w:rsid w:val="00C45C49"/>
    <w:rPr>
      <w:rFonts w:ascii="Georgia" w:eastAsiaTheme="minorHAnsi" w:hAnsi="Georgia" w:cstheme="minorBidi"/>
      <w:szCs w:val="22"/>
      <w:lang w:eastAsia="en-US"/>
    </w:rPr>
    <w:tblPr>
      <w:tblStyleRowBandSize w:val="1"/>
      <w:tblStyleColBandSize w:val="1"/>
      <w:tblBorders>
        <w:top w:val="single" w:sz="4" w:space="0" w:color="4F81BD" w:themeColor="accent1"/>
        <w:bottom w:val="single" w:sz="4" w:space="0" w:color="4F81BD" w:themeColor="accent1"/>
      </w:tblBorders>
      <w:tblCellMar>
        <w:top w:w="28" w:type="dxa"/>
        <w:bottom w:w="28" w:type="dxa"/>
      </w:tblCellMar>
    </w:tblPr>
    <w:tblStylePr w:type="firstRow">
      <w:pPr>
        <w:wordWrap/>
        <w:spacing w:beforeLines="0" w:before="60" w:beforeAutospacing="0" w:afterLines="0" w:after="60" w:afterAutospacing="0" w:line="281" w:lineRule="auto"/>
        <w:contextualSpacing w:val="0"/>
      </w:pPr>
      <w:rPr>
        <w:b/>
        <w:bCs/>
        <w:color w:val="FFFFFF" w:themeColor="background1"/>
      </w:rPr>
      <w:tblPr/>
      <w:tcPr>
        <w:shd w:val="clear" w:color="auto" w:fill="4F81BD" w:themeFill="accent1"/>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845BC9"/>
    <w:rPr>
      <w:sz w:val="16"/>
      <w:szCs w:val="16"/>
    </w:rPr>
  </w:style>
  <w:style w:type="paragraph" w:styleId="CommentText">
    <w:name w:val="annotation text"/>
    <w:basedOn w:val="Normal"/>
    <w:link w:val="CommentTextChar"/>
    <w:uiPriority w:val="99"/>
    <w:semiHidden/>
    <w:unhideWhenUsed/>
    <w:rsid w:val="00845BC9"/>
    <w:rPr>
      <w:sz w:val="20"/>
    </w:rPr>
  </w:style>
  <w:style w:type="character" w:customStyle="1" w:styleId="CommentTextChar">
    <w:name w:val="Comment Text Char"/>
    <w:basedOn w:val="DefaultParagraphFont"/>
    <w:link w:val="CommentText"/>
    <w:uiPriority w:val="99"/>
    <w:semiHidden/>
    <w:rsid w:val="00845BC9"/>
    <w:rPr>
      <w:rFonts w:ascii="Calibri" w:hAnsi="Calibri"/>
      <w:lang w:val="en-GB" w:eastAsia="en-US"/>
    </w:rPr>
  </w:style>
  <w:style w:type="paragraph" w:styleId="CommentSubject">
    <w:name w:val="annotation subject"/>
    <w:basedOn w:val="CommentText"/>
    <w:next w:val="CommentText"/>
    <w:link w:val="CommentSubjectChar"/>
    <w:semiHidden/>
    <w:unhideWhenUsed/>
    <w:rsid w:val="00845BC9"/>
    <w:rPr>
      <w:b/>
      <w:bCs/>
    </w:rPr>
  </w:style>
  <w:style w:type="character" w:customStyle="1" w:styleId="CommentSubjectChar">
    <w:name w:val="Comment Subject Char"/>
    <w:basedOn w:val="CommentTextChar"/>
    <w:link w:val="CommentSubject"/>
    <w:semiHidden/>
    <w:rsid w:val="00845BC9"/>
    <w:rPr>
      <w:rFonts w:ascii="Calibri" w:hAnsi="Calibri"/>
      <w:b/>
      <w:bCs/>
      <w:lang w:val="en-GB" w:eastAsia="en-US"/>
    </w:rPr>
  </w:style>
  <w:style w:type="paragraph" w:customStyle="1" w:styleId="Default">
    <w:name w:val="Default"/>
    <w:rsid w:val="00B1123A"/>
    <w:pPr>
      <w:autoSpaceDE w:val="0"/>
      <w:autoSpaceDN w:val="0"/>
      <w:adjustRightInd w:val="0"/>
    </w:pPr>
    <w:rPr>
      <w:rFonts w:ascii="Arial" w:hAnsi="Arial" w:cs="Arial"/>
      <w:color w:val="000000"/>
      <w:sz w:val="24"/>
      <w:szCs w:val="24"/>
      <w:lang w:val="en-GB"/>
    </w:rPr>
  </w:style>
  <w:style w:type="character" w:styleId="Mention">
    <w:name w:val="Mention"/>
    <w:basedOn w:val="DefaultParagraphFont"/>
    <w:uiPriority w:val="99"/>
    <w:unhideWhenUsed/>
    <w:rsid w:val="00493DB3"/>
    <w:rPr>
      <w:color w:val="2B579A"/>
      <w:shd w:val="clear" w:color="auto" w:fill="E6E6E6"/>
    </w:rPr>
  </w:style>
  <w:style w:type="table" w:styleId="TableGrid">
    <w:name w:val="Table Grid"/>
    <w:basedOn w:val="TableNormal"/>
    <w:rsid w:val="0035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2EA3"/>
    <w:rPr>
      <w:color w:val="605E5C"/>
      <w:shd w:val="clear" w:color="auto" w:fill="E1DFDD"/>
    </w:rPr>
  </w:style>
  <w:style w:type="paragraph" w:customStyle="1" w:styleId="Fixed">
    <w:name w:val="Fixed"/>
    <w:rsid w:val="005C109C"/>
    <w:pPr>
      <w:widowControl w:val="0"/>
      <w:autoSpaceDE w:val="0"/>
      <w:autoSpaceDN w:val="0"/>
      <w:adjustRightInd w:val="0"/>
      <w:spacing w:line="285" w:lineRule="atLeast"/>
      <w:ind w:right="676"/>
    </w:pPr>
    <w:rPr>
      <w:rFonts w:ascii="Courier New" w:hAnsi="Courier New" w:cs="Courier New"/>
      <w:sz w:val="24"/>
      <w:szCs w:val="24"/>
      <w:lang w:eastAsia="en-US"/>
    </w:rPr>
  </w:style>
  <w:style w:type="paragraph" w:styleId="NormalWeb">
    <w:name w:val="Normal (Web)"/>
    <w:basedOn w:val="Normal"/>
    <w:unhideWhenUsed/>
    <w:rsid w:val="005C109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ko-KR"/>
    </w:rPr>
  </w:style>
  <w:style w:type="character" w:customStyle="1" w:styleId="ListParagraphChar">
    <w:name w:val="List Paragraph Char"/>
    <w:aliases w:val="Recommendation Char,List Paragraph11 Char"/>
    <w:link w:val="ListParagraph"/>
    <w:uiPriority w:val="34"/>
    <w:locked/>
    <w:rsid w:val="005C109C"/>
    <w:rPr>
      <w:rFonts w:ascii="Calibri" w:hAnsi="Calibri"/>
      <w:sz w:val="24"/>
      <w:lang w:val="en-GB" w:eastAsia="en-US"/>
    </w:rPr>
  </w:style>
  <w:style w:type="character" w:customStyle="1" w:styleId="NormalaftertitleChar">
    <w:name w:val="Normal after title Char"/>
    <w:link w:val="Normalaftertitle"/>
    <w:locked/>
    <w:rsid w:val="005C109C"/>
    <w:rPr>
      <w:rFonts w:ascii="Calibri" w:hAnsi="Calibri"/>
      <w:sz w:val="24"/>
      <w:lang w:val="en-GB" w:eastAsia="en-US"/>
    </w:rPr>
  </w:style>
  <w:style w:type="character" w:customStyle="1" w:styleId="href">
    <w:name w:val="href"/>
    <w:basedOn w:val="DefaultParagraphFont"/>
    <w:uiPriority w:val="99"/>
    <w:rsid w:val="005C109C"/>
    <w:rPr>
      <w:color w:val="auto"/>
    </w:rPr>
  </w:style>
  <w:style w:type="paragraph" w:styleId="PlainText">
    <w:name w:val="Plain Text"/>
    <w:basedOn w:val="Normal"/>
    <w:link w:val="PlainTextChar"/>
    <w:uiPriority w:val="99"/>
    <w:unhideWhenUsed/>
    <w:rsid w:val="00E46A3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E46A3D"/>
    <w:rPr>
      <w:rFonts w:ascii="Calibri" w:eastAsiaTheme="minorHAnsi" w:hAnsi="Calibri" w:cs="Calibri"/>
      <w:sz w:val="24"/>
      <w:szCs w:val="21"/>
      <w:lang w:val="en-GB" w:eastAsia="en-US"/>
    </w:rPr>
  </w:style>
  <w:style w:type="character" w:customStyle="1" w:styleId="HeaderChar">
    <w:name w:val="Header Char"/>
    <w:basedOn w:val="DefaultParagraphFont"/>
    <w:link w:val="Header"/>
    <w:rsid w:val="00031A9E"/>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26ABB250795C4C864ECEAF98686E60" ma:contentTypeVersion="4" ma:contentTypeDescription="Create a new document." ma:contentTypeScope="" ma:versionID="0e35f48e31541ab9e4638d617a46a522">
  <xsd:schema xmlns:xsd="http://www.w3.org/2001/XMLSchema" xmlns:xs="http://www.w3.org/2001/XMLSchema" xmlns:p="http://schemas.microsoft.com/office/2006/metadata/properties" xmlns:ns2="860e8ac1-669d-4302-b3e5-2b14f66222e6" targetNamespace="http://schemas.microsoft.com/office/2006/metadata/properties" ma:root="true" ma:fieldsID="762396a41828e76fdc7b7a6bc71ab16f" ns2:_="">
    <xsd:import namespace="860e8ac1-669d-4302-b3e5-2b14f6622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8ac1-669d-4302-b3e5-2b14f6622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72CC32-17FD-4AEF-9B82-9B1BA7AA6F2B}">
  <ds:schemaRefs>
    <ds:schemaRef ds:uri="http://schemas.microsoft.com/sharepoint/v3/contenttype/forms"/>
  </ds:schemaRefs>
</ds:datastoreItem>
</file>

<file path=customXml/itemProps2.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customXml/itemProps3.xml><?xml version="1.0" encoding="utf-8"?>
<ds:datastoreItem xmlns:ds="http://schemas.openxmlformats.org/officeDocument/2006/customXml" ds:itemID="{32E5B686-24C2-48AB-8116-D7645918D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8ac1-669d-4302-b3e5-2b14f662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6FBB1-DCBA-45EA-AF52-CD708FC84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4389</Words>
  <Characters>23381</Characters>
  <Application>Microsoft Office Word</Application>
  <DocSecurity>4</DocSecurity>
  <Lines>194</Lines>
  <Paragraphs>55</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 template</dc:title>
  <dc:subject>Council 2018</dc:subject>
  <dc:creator>Brouard, Ricarda</dc:creator>
  <cp:keywords>C2020, C20</cp:keywords>
  <dc:description/>
  <cp:lastModifiedBy>Brouard, Ricarda</cp:lastModifiedBy>
  <cp:revision>2</cp:revision>
  <cp:lastPrinted>2000-07-18T22:30:00Z</cp:lastPrinted>
  <dcterms:created xsi:type="dcterms:W3CDTF">2021-04-27T15:06:00Z</dcterms:created>
  <dcterms:modified xsi:type="dcterms:W3CDTF">2021-04-27T15:06:00Z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0x0101003026ABB250795C4C864ECEAF98686E60</vt:lpwstr>
  </property>
</Properties>
</file>