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59BD" w14:textId="0C0AF5FC" w:rsidR="00B915C1" w:rsidRDefault="00B915C1" w:rsidP="00E61DC1">
      <w:pPr>
        <w:tabs>
          <w:tab w:val="left" w:pos="6468"/>
        </w:tabs>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5954"/>
        <w:gridCol w:w="4360"/>
      </w:tblGrid>
      <w:tr w:rsidR="005F153A" w14:paraId="2E873D7B" w14:textId="77777777" w:rsidTr="00313312">
        <w:trPr>
          <w:cantSplit/>
        </w:trPr>
        <w:tc>
          <w:tcPr>
            <w:tcW w:w="5954" w:type="dxa"/>
          </w:tcPr>
          <w:p w14:paraId="44469129" w14:textId="400B1303" w:rsidR="004E5922" w:rsidRDefault="00313312" w:rsidP="00815174">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Ad Hoc Group of the CWG-FHR on the ITU Regional Presence Review</w:t>
            </w:r>
          </w:p>
          <w:p w14:paraId="623BA224" w14:textId="7C185ED0" w:rsidR="005F153A" w:rsidRPr="00B72B57" w:rsidRDefault="00E224D7" w:rsidP="00E224D7">
            <w:pPr>
              <w:spacing w:after="120"/>
              <w:rPr>
                <w:rFonts w:asciiTheme="minorHAnsi" w:hAnsiTheme="minorHAnsi"/>
                <w:b/>
                <w:position w:val="6"/>
                <w:szCs w:val="22"/>
              </w:rPr>
            </w:pPr>
            <w:r>
              <w:rPr>
                <w:rFonts w:ascii="Calibri" w:hAnsi="Calibri" w:cs="Times New Roman Bold"/>
                <w:b/>
                <w:sz w:val="24"/>
                <w:szCs w:val="26"/>
              </w:rPr>
              <w:t>Second</w:t>
            </w:r>
            <w:r w:rsidR="00313312" w:rsidRPr="00313312">
              <w:rPr>
                <w:rFonts w:ascii="Calibri" w:hAnsi="Calibri" w:cs="Times New Roman Bold"/>
                <w:b/>
                <w:sz w:val="24"/>
                <w:szCs w:val="26"/>
              </w:rPr>
              <w:t xml:space="preserve"> meeting - </w:t>
            </w:r>
            <w:r w:rsidR="00CC3671" w:rsidRPr="00313312">
              <w:rPr>
                <w:rFonts w:ascii="Calibri" w:hAnsi="Calibri" w:cs="Times New Roman Bold"/>
                <w:b/>
                <w:sz w:val="24"/>
                <w:szCs w:val="26"/>
              </w:rPr>
              <w:t xml:space="preserve">Virtual, </w:t>
            </w:r>
            <w:r>
              <w:rPr>
                <w:rFonts w:ascii="Calibri" w:hAnsi="Calibri" w:cs="Times New Roman Bold"/>
                <w:b/>
                <w:sz w:val="24"/>
                <w:szCs w:val="26"/>
              </w:rPr>
              <w:t>20</w:t>
            </w:r>
            <w:r w:rsidR="00313312" w:rsidRPr="00313312">
              <w:rPr>
                <w:rFonts w:ascii="Calibri" w:hAnsi="Calibri" w:cs="Times New Roman Bold"/>
                <w:b/>
                <w:sz w:val="24"/>
                <w:szCs w:val="26"/>
              </w:rPr>
              <w:t xml:space="preserve"> </w:t>
            </w:r>
            <w:r>
              <w:rPr>
                <w:rFonts w:ascii="Calibri" w:hAnsi="Calibri" w:cs="Times New Roman Bold"/>
                <w:b/>
                <w:sz w:val="24"/>
                <w:szCs w:val="26"/>
              </w:rPr>
              <w:t>April</w:t>
            </w:r>
            <w:r w:rsidR="00313312" w:rsidRPr="00313312">
              <w:rPr>
                <w:rFonts w:ascii="Calibri" w:hAnsi="Calibri" w:cs="Times New Roman Bold"/>
                <w:b/>
                <w:sz w:val="24"/>
                <w:szCs w:val="26"/>
              </w:rPr>
              <w:t xml:space="preserve"> 2021</w:t>
            </w:r>
          </w:p>
        </w:tc>
        <w:tc>
          <w:tcPr>
            <w:tcW w:w="4360" w:type="dxa"/>
          </w:tcPr>
          <w:p w14:paraId="24C82D86" w14:textId="77777777" w:rsidR="005F153A" w:rsidRPr="00D613F6" w:rsidRDefault="002A1458" w:rsidP="001B506B">
            <w:pPr>
              <w:spacing w:before="120" w:line="240" w:lineRule="atLeast"/>
            </w:pPr>
            <w:bookmarkStart w:id="1" w:name="ditulogo"/>
            <w:bookmarkEnd w:id="1"/>
            <w:r>
              <w:rPr>
                <w:noProof/>
                <w:lang w:val="de-CH" w:eastAsia="de-CH"/>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635E8E06" w14:textId="77777777" w:rsidTr="00313312">
        <w:trPr>
          <w:cantSplit/>
        </w:trPr>
        <w:tc>
          <w:tcPr>
            <w:tcW w:w="5954" w:type="dxa"/>
            <w:tcBorders>
              <w:top w:val="single" w:sz="12" w:space="0" w:color="auto"/>
            </w:tcBorders>
          </w:tcPr>
          <w:p w14:paraId="154E5C52" w14:textId="77777777" w:rsidR="005F153A" w:rsidRPr="00D613F6" w:rsidRDefault="005F153A" w:rsidP="000F2E67">
            <w:pPr>
              <w:snapToGrid w:val="0"/>
              <w:rPr>
                <w:b/>
                <w:smallCaps/>
              </w:rPr>
            </w:pPr>
          </w:p>
        </w:tc>
        <w:tc>
          <w:tcPr>
            <w:tcW w:w="4360" w:type="dxa"/>
            <w:tcBorders>
              <w:top w:val="single" w:sz="12" w:space="0" w:color="auto"/>
            </w:tcBorders>
          </w:tcPr>
          <w:p w14:paraId="7A3877F3" w14:textId="77777777" w:rsidR="005F153A" w:rsidRPr="00D613F6" w:rsidRDefault="005F153A" w:rsidP="000F2E67">
            <w:pPr>
              <w:snapToGrid w:val="0"/>
              <w:ind w:left="209"/>
              <w:rPr>
                <w:rFonts w:ascii="Verdana" w:hAnsi="Verdana"/>
              </w:rPr>
            </w:pPr>
          </w:p>
        </w:tc>
      </w:tr>
      <w:tr w:rsidR="005F153A" w:rsidRPr="00472018" w14:paraId="34EE5352" w14:textId="77777777" w:rsidTr="00313312">
        <w:trPr>
          <w:cantSplit/>
          <w:trHeight w:val="23"/>
        </w:trPr>
        <w:tc>
          <w:tcPr>
            <w:tcW w:w="5954" w:type="dxa"/>
            <w:vMerge w:val="restart"/>
          </w:tcPr>
          <w:p w14:paraId="3D7B79FC"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4360" w:type="dxa"/>
          </w:tcPr>
          <w:p w14:paraId="45039169" w14:textId="02FCE427" w:rsidR="005F153A" w:rsidRPr="000F2E67" w:rsidRDefault="005F153A" w:rsidP="002A145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313312">
              <w:rPr>
                <w:rFonts w:asciiTheme="minorHAnsi" w:hAnsiTheme="minorHAnsi" w:cs="Times New Roman Bold"/>
                <w:b/>
                <w:spacing w:val="-4"/>
                <w:sz w:val="24"/>
                <w:lang w:val="de-CH"/>
              </w:rPr>
              <w:t>-AH-RegPres</w:t>
            </w:r>
            <w:r w:rsidR="00455793">
              <w:rPr>
                <w:rFonts w:asciiTheme="minorHAnsi" w:hAnsiTheme="minorHAnsi" w:cs="Times New Roman Bold"/>
                <w:b/>
                <w:spacing w:val="-4"/>
                <w:sz w:val="24"/>
                <w:lang w:val="de-CH"/>
              </w:rPr>
              <w:t>-</w:t>
            </w:r>
            <w:r w:rsidR="00472018">
              <w:rPr>
                <w:rFonts w:asciiTheme="minorHAnsi" w:hAnsiTheme="minorHAnsi" w:cs="Times New Roman Bold"/>
                <w:b/>
                <w:spacing w:val="-4"/>
                <w:sz w:val="24"/>
                <w:lang w:val="de-CH"/>
              </w:rPr>
              <w:t>2</w:t>
            </w:r>
            <w:r w:rsidR="00455793">
              <w:rPr>
                <w:rFonts w:asciiTheme="minorHAnsi" w:hAnsiTheme="minorHAnsi" w:cs="Times New Roman Bold"/>
                <w:b/>
                <w:spacing w:val="-4"/>
                <w:sz w:val="24"/>
                <w:lang w:val="de-CH"/>
              </w:rPr>
              <w:t>/</w:t>
            </w:r>
            <w:r w:rsidR="00472018">
              <w:rPr>
                <w:rFonts w:asciiTheme="minorHAnsi" w:hAnsiTheme="minorHAnsi" w:cs="Times New Roman Bold"/>
                <w:b/>
                <w:spacing w:val="-4"/>
                <w:sz w:val="24"/>
                <w:lang w:val="de-CH"/>
              </w:rPr>
              <w:t>5</w:t>
            </w:r>
            <w:r w:rsidR="006B460D" w:rsidRPr="000F2E67">
              <w:rPr>
                <w:rFonts w:asciiTheme="minorHAnsi" w:hAnsiTheme="minorHAnsi" w:cs="Times New Roman Bold"/>
                <w:b/>
                <w:spacing w:val="-4"/>
                <w:sz w:val="24"/>
                <w:lang w:val="de-CH"/>
              </w:rPr>
              <w:t>-E</w:t>
            </w:r>
          </w:p>
        </w:tc>
      </w:tr>
      <w:tr w:rsidR="005F153A" w:rsidRPr="00E544AC" w14:paraId="57D9B6B9" w14:textId="77777777" w:rsidTr="00313312">
        <w:trPr>
          <w:cantSplit/>
          <w:trHeight w:val="23"/>
        </w:trPr>
        <w:tc>
          <w:tcPr>
            <w:tcW w:w="5954" w:type="dxa"/>
            <w:vMerge/>
          </w:tcPr>
          <w:p w14:paraId="35FF3307"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4360" w:type="dxa"/>
          </w:tcPr>
          <w:p w14:paraId="1A555CE7" w14:textId="50BF42F5" w:rsidR="005F153A" w:rsidRPr="000F2E67" w:rsidRDefault="00E224D7" w:rsidP="00B72B57">
            <w:pPr>
              <w:snapToGrid w:val="0"/>
              <w:ind w:left="57"/>
              <w:rPr>
                <w:rFonts w:asciiTheme="minorHAnsi" w:hAnsiTheme="minorHAnsi"/>
                <w:b/>
                <w:sz w:val="24"/>
              </w:rPr>
            </w:pPr>
            <w:r>
              <w:rPr>
                <w:rFonts w:asciiTheme="minorHAnsi" w:hAnsiTheme="minorHAnsi"/>
                <w:b/>
                <w:sz w:val="24"/>
              </w:rPr>
              <w:t>13 April</w:t>
            </w:r>
            <w:r w:rsidR="000F2E67">
              <w:rPr>
                <w:rFonts w:asciiTheme="minorHAnsi" w:hAnsiTheme="minorHAnsi"/>
                <w:b/>
                <w:sz w:val="24"/>
              </w:rPr>
              <w:t xml:space="preserve"> </w:t>
            </w:r>
            <w:r w:rsidR="00CC3671">
              <w:rPr>
                <w:rFonts w:asciiTheme="minorHAnsi" w:hAnsiTheme="minorHAnsi"/>
                <w:b/>
                <w:sz w:val="24"/>
              </w:rPr>
              <w:t>2021</w:t>
            </w:r>
          </w:p>
        </w:tc>
      </w:tr>
      <w:tr w:rsidR="005F153A" w:rsidRPr="00E544AC" w14:paraId="5A1BF486" w14:textId="77777777" w:rsidTr="00313312">
        <w:trPr>
          <w:cantSplit/>
          <w:trHeight w:val="80"/>
        </w:trPr>
        <w:tc>
          <w:tcPr>
            <w:tcW w:w="5954" w:type="dxa"/>
            <w:vMerge/>
          </w:tcPr>
          <w:p w14:paraId="5643C8DF" w14:textId="77777777" w:rsidR="005F153A" w:rsidRPr="00E544AC" w:rsidRDefault="005F153A" w:rsidP="000F2E67">
            <w:pPr>
              <w:snapToGrid w:val="0"/>
              <w:rPr>
                <w:rFonts w:asciiTheme="minorHAnsi" w:hAnsiTheme="minorHAnsi"/>
                <w:b/>
              </w:rPr>
            </w:pPr>
            <w:bookmarkStart w:id="5" w:name="dorlang" w:colFirst="1" w:colLast="1"/>
            <w:bookmarkEnd w:id="4"/>
          </w:p>
        </w:tc>
        <w:tc>
          <w:tcPr>
            <w:tcW w:w="4360" w:type="dxa"/>
          </w:tcPr>
          <w:p w14:paraId="017E01E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2F7A236C" w14:textId="307C9F69" w:rsidR="00313312" w:rsidRPr="00313312" w:rsidRDefault="00313312" w:rsidP="00313312">
      <w:pPr>
        <w:pStyle w:val="Source"/>
        <w:spacing w:before="480"/>
        <w:rPr>
          <w:rFonts w:asciiTheme="minorHAnsi" w:hAnsiTheme="minorHAnsi" w:cstheme="minorHAnsi"/>
        </w:rPr>
      </w:pPr>
      <w:r w:rsidRPr="00313312">
        <w:rPr>
          <w:rFonts w:asciiTheme="minorHAnsi" w:hAnsiTheme="minorHAnsi" w:cstheme="minorHAnsi"/>
        </w:rPr>
        <w:t xml:space="preserve">Contribution by </w:t>
      </w:r>
      <w:r w:rsidR="004F6DE0">
        <w:rPr>
          <w:rFonts w:asciiTheme="minorHAnsi" w:hAnsiTheme="minorHAnsi" w:cstheme="minorHAnsi"/>
        </w:rPr>
        <w:t>Switzerland</w:t>
      </w:r>
    </w:p>
    <w:p w14:paraId="52699930" w14:textId="33AE6ECE" w:rsidR="00313312" w:rsidRPr="00313312" w:rsidRDefault="00472018" w:rsidP="00472018">
      <w:pPr>
        <w:spacing w:before="240" w:after="120"/>
        <w:jc w:val="center"/>
        <w:rPr>
          <w:rFonts w:asciiTheme="minorHAnsi" w:hAnsiTheme="minorHAnsi" w:cstheme="minorHAnsi"/>
          <w:b/>
          <w:sz w:val="28"/>
          <w:szCs w:val="28"/>
        </w:rPr>
      </w:pPr>
      <w:r>
        <w:rPr>
          <w:rFonts w:asciiTheme="minorHAnsi" w:hAnsiTheme="minorHAnsi" w:cstheme="minorHAnsi"/>
          <w:sz w:val="28"/>
          <w:szCs w:val="28"/>
        </w:rPr>
        <w:t>REGIONAL PRESENCE AD HOC GROUP</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313312" w:rsidRPr="00313312" w14:paraId="5822048E" w14:textId="77777777" w:rsidTr="0005630B">
        <w:trPr>
          <w:trHeight w:val="3372"/>
        </w:trPr>
        <w:tc>
          <w:tcPr>
            <w:tcW w:w="10065" w:type="dxa"/>
            <w:tcBorders>
              <w:top w:val="single" w:sz="12" w:space="0" w:color="auto"/>
              <w:left w:val="single" w:sz="12" w:space="0" w:color="auto"/>
              <w:bottom w:val="single" w:sz="12" w:space="0" w:color="auto"/>
              <w:right w:val="single" w:sz="12" w:space="0" w:color="auto"/>
            </w:tcBorders>
          </w:tcPr>
          <w:p w14:paraId="3D9D4CEE" w14:textId="77777777" w:rsidR="00313312" w:rsidRPr="00472018" w:rsidRDefault="00313312" w:rsidP="00472018">
            <w:pPr>
              <w:pStyle w:val="Headingb"/>
              <w:spacing w:before="120" w:after="120"/>
              <w:jc w:val="both"/>
              <w:rPr>
                <w:rFonts w:asciiTheme="minorHAnsi" w:hAnsiTheme="minorHAnsi" w:cstheme="minorHAnsi"/>
                <w:sz w:val="22"/>
                <w:szCs w:val="22"/>
              </w:rPr>
            </w:pPr>
            <w:r w:rsidRPr="00472018">
              <w:rPr>
                <w:rFonts w:asciiTheme="minorHAnsi" w:hAnsiTheme="minorHAnsi" w:cstheme="minorHAnsi"/>
                <w:sz w:val="22"/>
                <w:szCs w:val="22"/>
              </w:rPr>
              <w:t>Summary</w:t>
            </w:r>
          </w:p>
          <w:p w14:paraId="044B3AE8" w14:textId="3DE169BD" w:rsidR="00FE55CF" w:rsidRPr="00472018" w:rsidRDefault="00E224D7" w:rsidP="00472018">
            <w:pPr>
              <w:spacing w:before="120" w:after="120"/>
              <w:jc w:val="both"/>
              <w:rPr>
                <w:rFonts w:asciiTheme="minorHAnsi" w:hAnsiTheme="minorHAnsi" w:cstheme="minorHAnsi"/>
                <w:szCs w:val="22"/>
                <w:lang w:eastAsia="en-US"/>
              </w:rPr>
            </w:pPr>
            <w:r w:rsidRPr="00472018">
              <w:rPr>
                <w:rFonts w:asciiTheme="minorHAnsi" w:hAnsiTheme="minorHAnsi" w:cstheme="minorHAnsi"/>
                <w:szCs w:val="22"/>
                <w:u w:val="single"/>
              </w:rPr>
              <w:t>Implementation of future delivery model:</w:t>
            </w:r>
            <w:r w:rsidR="0077381B" w:rsidRPr="00472018">
              <w:rPr>
                <w:rFonts w:asciiTheme="minorHAnsi" w:hAnsiTheme="minorHAnsi" w:cstheme="minorHAnsi"/>
                <w:szCs w:val="22"/>
              </w:rPr>
              <w:t xml:space="preserve"> While the PWC report offers an important and valuable analysis of the ITU’s regional presence, Switzerland </w:t>
            </w:r>
            <w:r w:rsidR="00986E99" w:rsidRPr="00472018">
              <w:rPr>
                <w:rFonts w:asciiTheme="minorHAnsi" w:hAnsiTheme="minorHAnsi" w:cstheme="minorHAnsi"/>
                <w:szCs w:val="22"/>
              </w:rPr>
              <w:t>considers</w:t>
            </w:r>
            <w:r w:rsidR="0077381B" w:rsidRPr="00472018">
              <w:rPr>
                <w:rFonts w:asciiTheme="minorHAnsi" w:hAnsiTheme="minorHAnsi" w:cstheme="minorHAnsi"/>
                <w:szCs w:val="22"/>
              </w:rPr>
              <w:t xml:space="preserve"> that the “options” for a future model as presented in the report do not predefine a set number of models </w:t>
            </w:r>
            <w:r w:rsidR="001E032A" w:rsidRPr="00472018">
              <w:rPr>
                <w:rFonts w:asciiTheme="minorHAnsi" w:hAnsiTheme="minorHAnsi" w:cstheme="minorHAnsi"/>
                <w:szCs w:val="22"/>
              </w:rPr>
              <w:t xml:space="preserve">which the Union would implement </w:t>
            </w:r>
            <w:r w:rsidR="0077381B" w:rsidRPr="00472018">
              <w:rPr>
                <w:rFonts w:asciiTheme="minorHAnsi" w:hAnsiTheme="minorHAnsi" w:cstheme="minorHAnsi"/>
                <w:szCs w:val="22"/>
              </w:rPr>
              <w:t xml:space="preserve">one-to-one. The implementation of any delivery model in the absence of a preceding </w:t>
            </w:r>
            <w:r w:rsidR="00FE55CF" w:rsidRPr="00472018">
              <w:rPr>
                <w:rFonts w:asciiTheme="minorHAnsi" w:hAnsiTheme="minorHAnsi" w:cstheme="minorHAnsi"/>
                <w:szCs w:val="22"/>
              </w:rPr>
              <w:t xml:space="preserve">strategic </w:t>
            </w:r>
            <w:r w:rsidR="0077381B" w:rsidRPr="00472018">
              <w:rPr>
                <w:rFonts w:asciiTheme="minorHAnsi" w:hAnsiTheme="minorHAnsi" w:cstheme="minorHAnsi"/>
                <w:szCs w:val="22"/>
              </w:rPr>
              <w:t>planning (incl. expected outcomes, focus of activities, etc.) could lead to an inefficient and ineffective resource allocation.</w:t>
            </w:r>
          </w:p>
          <w:p w14:paraId="63F1F680" w14:textId="6AF2A621" w:rsidR="00FE55CF" w:rsidRPr="00472018" w:rsidRDefault="00E224D7" w:rsidP="00472018">
            <w:pPr>
              <w:spacing w:before="120" w:after="120"/>
              <w:jc w:val="both"/>
              <w:rPr>
                <w:rFonts w:asciiTheme="minorHAnsi" w:hAnsiTheme="minorHAnsi" w:cstheme="minorHAnsi"/>
                <w:szCs w:val="22"/>
                <w:lang w:val="en-GB" w:eastAsia="en-US"/>
              </w:rPr>
            </w:pPr>
            <w:r w:rsidRPr="00472018">
              <w:rPr>
                <w:rFonts w:asciiTheme="minorHAnsi" w:hAnsiTheme="minorHAnsi" w:cstheme="minorHAnsi"/>
                <w:szCs w:val="22"/>
                <w:u w:val="single"/>
              </w:rPr>
              <w:t>Strategic Planning</w:t>
            </w:r>
            <w:r w:rsidR="0077381B" w:rsidRPr="00472018">
              <w:rPr>
                <w:rFonts w:asciiTheme="minorHAnsi" w:hAnsiTheme="minorHAnsi" w:cstheme="minorHAnsi"/>
                <w:szCs w:val="22"/>
              </w:rPr>
              <w:t xml:space="preserve">: </w:t>
            </w:r>
            <w:r w:rsidR="004E5923" w:rsidRPr="00472018">
              <w:rPr>
                <w:rFonts w:asciiTheme="minorHAnsi" w:hAnsiTheme="minorHAnsi" w:cstheme="minorHAnsi"/>
                <w:szCs w:val="22"/>
              </w:rPr>
              <w:t xml:space="preserve">In its comment in </w:t>
            </w:r>
            <w:r w:rsidR="004E5923" w:rsidRPr="00472018">
              <w:rPr>
                <w:rFonts w:asciiTheme="minorHAnsi" w:hAnsiTheme="minorHAnsi" w:cstheme="minorHAnsi"/>
                <w:i/>
                <w:szCs w:val="22"/>
              </w:rPr>
              <w:t>Annex 3</w:t>
            </w:r>
            <w:r w:rsidR="004E5923" w:rsidRPr="00472018">
              <w:rPr>
                <w:rFonts w:asciiTheme="minorHAnsi" w:hAnsiTheme="minorHAnsi" w:cstheme="minorHAnsi"/>
                <w:szCs w:val="22"/>
              </w:rPr>
              <w:t xml:space="preserve"> of Document </w:t>
            </w:r>
            <w:r w:rsidR="004E5923" w:rsidRPr="00472018">
              <w:rPr>
                <w:rFonts w:asciiTheme="minorHAnsi" w:hAnsiTheme="minorHAnsi" w:cstheme="minorHAnsi"/>
                <w:i/>
                <w:spacing w:val="-4"/>
                <w:szCs w:val="22"/>
              </w:rPr>
              <w:t xml:space="preserve">CWG-FHR-AH-RegPres-1/4, the Secretariat </w:t>
            </w:r>
            <w:r w:rsidR="004E5923" w:rsidRPr="00472018">
              <w:rPr>
                <w:rFonts w:asciiTheme="minorHAnsi" w:hAnsiTheme="minorHAnsi" w:cstheme="minorHAnsi"/>
                <w:szCs w:val="22"/>
              </w:rPr>
              <w:t>lays out “</w:t>
            </w:r>
            <w:r w:rsidR="004E5923" w:rsidRPr="00472018">
              <w:rPr>
                <w:rFonts w:asciiTheme="minorHAnsi" w:hAnsiTheme="minorHAnsi" w:cstheme="minorHAnsi"/>
                <w:i/>
                <w:spacing w:val="-4"/>
                <w:szCs w:val="22"/>
              </w:rPr>
              <w:t xml:space="preserve">that these matters would require significant revision of Council working methods related to the ITU Strategic and Operational Plans”. </w:t>
            </w:r>
            <w:r w:rsidR="004E5923" w:rsidRPr="00472018">
              <w:rPr>
                <w:rFonts w:asciiTheme="minorHAnsi" w:hAnsiTheme="minorHAnsi" w:cstheme="minorHAnsi"/>
                <w:spacing w:val="-4"/>
                <w:szCs w:val="22"/>
              </w:rPr>
              <w:t xml:space="preserve">Switzerland </w:t>
            </w:r>
            <w:r w:rsidR="00986E99" w:rsidRPr="00472018">
              <w:rPr>
                <w:rFonts w:asciiTheme="minorHAnsi" w:hAnsiTheme="minorHAnsi" w:cstheme="minorHAnsi"/>
                <w:spacing w:val="-4"/>
                <w:szCs w:val="22"/>
              </w:rPr>
              <w:t>would like</w:t>
            </w:r>
            <w:r w:rsidR="004E5923" w:rsidRPr="00472018">
              <w:rPr>
                <w:rFonts w:asciiTheme="minorHAnsi" w:hAnsiTheme="minorHAnsi" w:cstheme="minorHAnsi"/>
                <w:spacing w:val="-4"/>
                <w:szCs w:val="22"/>
              </w:rPr>
              <w:t xml:space="preserve"> to receive more information from the Secretariat on how the interplay of strategic and operational planning processes at all levels could be improved</w:t>
            </w:r>
            <w:r w:rsidR="001E032A" w:rsidRPr="00472018">
              <w:rPr>
                <w:rFonts w:asciiTheme="minorHAnsi" w:hAnsiTheme="minorHAnsi" w:cstheme="minorHAnsi"/>
                <w:spacing w:val="-4"/>
                <w:szCs w:val="22"/>
              </w:rPr>
              <w:t>, with the aim of supporting a coherent programmatic focus in the Union’s mandate delivery through its regional presence</w:t>
            </w:r>
            <w:r w:rsidR="00FE55CF" w:rsidRPr="00472018">
              <w:rPr>
                <w:rFonts w:asciiTheme="minorHAnsi" w:hAnsiTheme="minorHAnsi" w:cstheme="minorHAnsi"/>
                <w:spacing w:val="-4"/>
                <w:szCs w:val="22"/>
              </w:rPr>
              <w:t>.</w:t>
            </w:r>
          </w:p>
          <w:p w14:paraId="76F8F132" w14:textId="77777777" w:rsidR="00FE55CF" w:rsidRPr="00472018" w:rsidRDefault="00E224D7" w:rsidP="00472018">
            <w:pPr>
              <w:spacing w:before="120" w:after="120"/>
              <w:jc w:val="both"/>
              <w:rPr>
                <w:rFonts w:asciiTheme="minorHAnsi" w:hAnsiTheme="minorHAnsi" w:cstheme="minorHAnsi"/>
                <w:b/>
                <w:spacing w:val="-4"/>
                <w:szCs w:val="22"/>
              </w:rPr>
            </w:pPr>
            <w:r w:rsidRPr="00472018">
              <w:rPr>
                <w:rFonts w:asciiTheme="minorHAnsi" w:hAnsiTheme="minorHAnsi" w:cstheme="minorHAnsi"/>
                <w:szCs w:val="22"/>
                <w:u w:val="single"/>
              </w:rPr>
              <w:t>Opportunities in context of UN processes</w:t>
            </w:r>
            <w:r w:rsidRPr="00472018">
              <w:rPr>
                <w:rFonts w:asciiTheme="minorHAnsi" w:hAnsiTheme="minorHAnsi" w:cstheme="minorHAnsi"/>
                <w:szCs w:val="22"/>
              </w:rPr>
              <w:t>:</w:t>
            </w:r>
            <w:r w:rsidR="004D43AC" w:rsidRPr="00472018">
              <w:rPr>
                <w:rFonts w:asciiTheme="minorHAnsi" w:hAnsiTheme="minorHAnsi" w:cstheme="minorHAnsi"/>
                <w:spacing w:val="-4"/>
                <w:szCs w:val="22"/>
              </w:rPr>
              <w:t xml:space="preserve"> It is Switzerland’s view that collaboration within the multilateral system and the reform of the UN Development system (UNDS) offer</w:t>
            </w:r>
            <w:r w:rsidR="00986E99" w:rsidRPr="00472018">
              <w:rPr>
                <w:rFonts w:asciiTheme="minorHAnsi" w:hAnsiTheme="minorHAnsi" w:cstheme="minorHAnsi"/>
                <w:spacing w:val="-4"/>
                <w:szCs w:val="22"/>
              </w:rPr>
              <w:t>s</w:t>
            </w:r>
            <w:r w:rsidR="004D43AC" w:rsidRPr="00472018">
              <w:rPr>
                <w:rFonts w:asciiTheme="minorHAnsi" w:hAnsiTheme="minorHAnsi" w:cstheme="minorHAnsi"/>
                <w:spacing w:val="-4"/>
                <w:szCs w:val="22"/>
              </w:rPr>
              <w:t xml:space="preserve"> opportunities for increased impact, </w:t>
            </w:r>
            <w:proofErr w:type="gramStart"/>
            <w:r w:rsidR="004D43AC" w:rsidRPr="00472018">
              <w:rPr>
                <w:rFonts w:asciiTheme="minorHAnsi" w:hAnsiTheme="minorHAnsi" w:cstheme="minorHAnsi"/>
                <w:spacing w:val="-4"/>
                <w:szCs w:val="22"/>
              </w:rPr>
              <w:t>effectiveness</w:t>
            </w:r>
            <w:proofErr w:type="gramEnd"/>
            <w:r w:rsidR="004D43AC" w:rsidRPr="00472018">
              <w:rPr>
                <w:rFonts w:asciiTheme="minorHAnsi" w:hAnsiTheme="minorHAnsi" w:cstheme="minorHAnsi"/>
                <w:spacing w:val="-4"/>
                <w:szCs w:val="22"/>
              </w:rPr>
              <w:t xml:space="preserve"> and efficiency. Switzerland </w:t>
            </w:r>
            <w:r w:rsidR="00986E99" w:rsidRPr="00472018">
              <w:rPr>
                <w:rFonts w:asciiTheme="minorHAnsi" w:hAnsiTheme="minorHAnsi" w:cstheme="minorHAnsi"/>
                <w:spacing w:val="-4"/>
                <w:szCs w:val="22"/>
              </w:rPr>
              <w:t>would welcome</w:t>
            </w:r>
            <w:r w:rsidR="004D43AC" w:rsidRPr="00472018">
              <w:rPr>
                <w:rFonts w:asciiTheme="minorHAnsi" w:hAnsiTheme="minorHAnsi" w:cstheme="minorHAnsi"/>
                <w:spacing w:val="-4"/>
                <w:szCs w:val="22"/>
              </w:rPr>
              <w:t xml:space="preserve"> the Secretariat’s views on potential avenues for collaborat</w:t>
            </w:r>
            <w:r w:rsidR="007C4460" w:rsidRPr="00472018">
              <w:rPr>
                <w:rFonts w:asciiTheme="minorHAnsi" w:hAnsiTheme="minorHAnsi" w:cstheme="minorHAnsi"/>
                <w:spacing w:val="-4"/>
                <w:szCs w:val="22"/>
              </w:rPr>
              <w:t xml:space="preserve">ion as well as opportunities the Secretariat </w:t>
            </w:r>
            <w:r w:rsidR="004D43AC" w:rsidRPr="00472018">
              <w:rPr>
                <w:rFonts w:asciiTheme="minorHAnsi" w:hAnsiTheme="minorHAnsi" w:cstheme="minorHAnsi"/>
                <w:spacing w:val="-4"/>
                <w:szCs w:val="22"/>
              </w:rPr>
              <w:t>sees</w:t>
            </w:r>
            <w:r w:rsidR="007C4460" w:rsidRPr="00472018">
              <w:rPr>
                <w:rFonts w:asciiTheme="minorHAnsi" w:hAnsiTheme="minorHAnsi" w:cstheme="minorHAnsi"/>
                <w:spacing w:val="-4"/>
                <w:szCs w:val="22"/>
              </w:rPr>
              <w:t xml:space="preserve"> in the current UNDS reform</w:t>
            </w:r>
            <w:r w:rsidR="004D43AC" w:rsidRPr="00472018">
              <w:rPr>
                <w:rFonts w:asciiTheme="minorHAnsi" w:hAnsiTheme="minorHAnsi" w:cstheme="minorHAnsi"/>
                <w:spacing w:val="-4"/>
                <w:szCs w:val="22"/>
              </w:rPr>
              <w:t xml:space="preserve"> </w:t>
            </w:r>
            <w:r w:rsidR="007C4460" w:rsidRPr="00472018">
              <w:rPr>
                <w:rFonts w:asciiTheme="minorHAnsi" w:hAnsiTheme="minorHAnsi" w:cstheme="minorHAnsi"/>
                <w:spacing w:val="-4"/>
                <w:szCs w:val="22"/>
              </w:rPr>
              <w:t>for the ITU’s mandate delivery in the regions.</w:t>
            </w:r>
          </w:p>
          <w:p w14:paraId="46A06A1F" w14:textId="05B068DA" w:rsidR="007C4460" w:rsidRPr="00472018" w:rsidRDefault="00E224D7" w:rsidP="00472018">
            <w:pPr>
              <w:spacing w:before="120" w:after="120"/>
              <w:jc w:val="both"/>
              <w:rPr>
                <w:rFonts w:asciiTheme="minorHAnsi" w:hAnsiTheme="minorHAnsi" w:cstheme="minorHAnsi"/>
                <w:szCs w:val="22"/>
              </w:rPr>
            </w:pPr>
            <w:r w:rsidRPr="00472018">
              <w:rPr>
                <w:rFonts w:asciiTheme="minorHAnsi" w:hAnsiTheme="minorHAnsi" w:cstheme="minorHAnsi"/>
                <w:szCs w:val="22"/>
                <w:u w:val="single"/>
              </w:rPr>
              <w:t>Coordination</w:t>
            </w:r>
            <w:r w:rsidR="007C4460" w:rsidRPr="00472018">
              <w:rPr>
                <w:rFonts w:asciiTheme="minorHAnsi" w:hAnsiTheme="minorHAnsi" w:cstheme="minorHAnsi"/>
                <w:szCs w:val="22"/>
                <w:u w:val="single"/>
              </w:rPr>
              <w:t>, Coherence and Oversight</w:t>
            </w:r>
            <w:r w:rsidR="00C9143A" w:rsidRPr="00472018">
              <w:rPr>
                <w:rFonts w:asciiTheme="minorHAnsi" w:hAnsiTheme="minorHAnsi" w:cstheme="minorHAnsi"/>
                <w:szCs w:val="22"/>
              </w:rPr>
              <w:t>:</w:t>
            </w:r>
            <w:r w:rsidR="007C4460" w:rsidRPr="00472018">
              <w:rPr>
                <w:rFonts w:asciiTheme="minorHAnsi" w:hAnsiTheme="minorHAnsi" w:cstheme="minorHAnsi"/>
                <w:szCs w:val="22"/>
              </w:rPr>
              <w:t xml:space="preserve"> While it does not seem advisable to </w:t>
            </w:r>
            <w:r w:rsidR="009431CA" w:rsidRPr="00472018">
              <w:rPr>
                <w:rFonts w:asciiTheme="minorHAnsi" w:hAnsiTheme="minorHAnsi" w:cstheme="minorHAnsi"/>
                <w:szCs w:val="22"/>
              </w:rPr>
              <w:t>re</w:t>
            </w:r>
            <w:r w:rsidR="007C4460" w:rsidRPr="00472018">
              <w:rPr>
                <w:rFonts w:asciiTheme="minorHAnsi" w:hAnsiTheme="minorHAnsi" w:cstheme="minorHAnsi"/>
                <w:szCs w:val="22"/>
              </w:rPr>
              <w:t xml:space="preserve">deploy TSB and BR staff to regional offices, Switzerland is of the view that </w:t>
            </w:r>
            <w:r w:rsidR="007C4460" w:rsidRPr="00472018">
              <w:rPr>
                <w:rFonts w:asciiTheme="minorHAnsi" w:hAnsiTheme="minorHAnsi" w:cstheme="minorHAnsi"/>
                <w:spacing w:val="-4"/>
                <w:szCs w:val="22"/>
              </w:rPr>
              <w:t>it is important that field offices can benefit as much as possible from the specific technical expertise at headquarters. Direct contact and communication between staff at regional offices and headquarter</w:t>
            </w:r>
            <w:r w:rsidR="001E032A" w:rsidRPr="00472018">
              <w:rPr>
                <w:rFonts w:asciiTheme="minorHAnsi" w:hAnsiTheme="minorHAnsi" w:cstheme="minorHAnsi"/>
                <w:spacing w:val="-4"/>
                <w:szCs w:val="22"/>
              </w:rPr>
              <w:t>s</w:t>
            </w:r>
            <w:r w:rsidR="007C4460" w:rsidRPr="00472018">
              <w:rPr>
                <w:rFonts w:asciiTheme="minorHAnsi" w:hAnsiTheme="minorHAnsi" w:cstheme="minorHAnsi"/>
                <w:spacing w:val="-4"/>
                <w:szCs w:val="22"/>
              </w:rPr>
              <w:t xml:space="preserve"> should be supported </w:t>
            </w:r>
            <w:r w:rsidR="001E032A" w:rsidRPr="00472018">
              <w:rPr>
                <w:rFonts w:asciiTheme="minorHAnsi" w:hAnsiTheme="minorHAnsi" w:cstheme="minorHAnsi"/>
                <w:spacing w:val="-4"/>
                <w:szCs w:val="22"/>
              </w:rPr>
              <w:t>best</w:t>
            </w:r>
            <w:r w:rsidR="007C4460" w:rsidRPr="00472018">
              <w:rPr>
                <w:rFonts w:asciiTheme="minorHAnsi" w:hAnsiTheme="minorHAnsi" w:cstheme="minorHAnsi"/>
                <w:spacing w:val="-4"/>
                <w:szCs w:val="22"/>
              </w:rPr>
              <w:t xml:space="preserve"> possibl</w:t>
            </w:r>
            <w:r w:rsidR="001E032A" w:rsidRPr="00472018">
              <w:rPr>
                <w:rFonts w:asciiTheme="minorHAnsi" w:hAnsiTheme="minorHAnsi" w:cstheme="minorHAnsi"/>
                <w:spacing w:val="-4"/>
                <w:szCs w:val="22"/>
              </w:rPr>
              <w:t>y</w:t>
            </w:r>
            <w:r w:rsidR="007C4460" w:rsidRPr="00472018">
              <w:rPr>
                <w:rFonts w:asciiTheme="minorHAnsi" w:hAnsiTheme="minorHAnsi" w:cstheme="minorHAnsi"/>
                <w:spacing w:val="-4"/>
                <w:szCs w:val="22"/>
              </w:rPr>
              <w:t>. A small</w:t>
            </w:r>
            <w:r w:rsidR="001E032A" w:rsidRPr="00472018">
              <w:rPr>
                <w:rFonts w:asciiTheme="minorHAnsi" w:hAnsiTheme="minorHAnsi" w:cstheme="minorHAnsi"/>
                <w:spacing w:val="-4"/>
                <w:szCs w:val="22"/>
              </w:rPr>
              <w:t xml:space="preserve"> </w:t>
            </w:r>
            <w:r w:rsidR="007C4460" w:rsidRPr="00472018">
              <w:rPr>
                <w:rFonts w:asciiTheme="minorHAnsi" w:hAnsiTheme="minorHAnsi" w:cstheme="minorHAnsi"/>
                <w:spacing w:val="-4"/>
                <w:szCs w:val="22"/>
              </w:rPr>
              <w:t>coordi</w:t>
            </w:r>
            <w:r w:rsidR="001E032A" w:rsidRPr="00472018">
              <w:rPr>
                <w:rFonts w:asciiTheme="minorHAnsi" w:hAnsiTheme="minorHAnsi" w:cstheme="minorHAnsi"/>
                <w:spacing w:val="-4"/>
                <w:szCs w:val="22"/>
              </w:rPr>
              <w:t>nation team could support mandate delivery</w:t>
            </w:r>
            <w:r w:rsidR="007C4460" w:rsidRPr="00472018">
              <w:rPr>
                <w:rFonts w:asciiTheme="minorHAnsi" w:hAnsiTheme="minorHAnsi" w:cstheme="minorHAnsi"/>
                <w:spacing w:val="-4"/>
                <w:szCs w:val="22"/>
              </w:rPr>
              <w:t xml:space="preserve"> also </w:t>
            </w:r>
            <w:r w:rsidR="001E032A" w:rsidRPr="00472018">
              <w:rPr>
                <w:rFonts w:asciiTheme="minorHAnsi" w:hAnsiTheme="minorHAnsi" w:cstheme="minorHAnsi"/>
                <w:spacing w:val="-4"/>
                <w:szCs w:val="22"/>
              </w:rPr>
              <w:t>in</w:t>
            </w:r>
            <w:r w:rsidR="007C4460" w:rsidRPr="00472018">
              <w:rPr>
                <w:rFonts w:asciiTheme="minorHAnsi" w:hAnsiTheme="minorHAnsi" w:cstheme="minorHAnsi"/>
                <w:spacing w:val="-4"/>
                <w:szCs w:val="22"/>
              </w:rPr>
              <w:t xml:space="preserve"> the long-term.</w:t>
            </w:r>
          </w:p>
          <w:p w14:paraId="0C314005" w14:textId="1AD4CDF3" w:rsidR="00313312" w:rsidRPr="00472018" w:rsidRDefault="00313312" w:rsidP="00472018">
            <w:pPr>
              <w:pStyle w:val="Headingb"/>
              <w:spacing w:before="120" w:after="120"/>
              <w:jc w:val="both"/>
              <w:rPr>
                <w:rFonts w:asciiTheme="minorHAnsi" w:hAnsiTheme="minorHAnsi" w:cstheme="minorHAnsi"/>
                <w:sz w:val="22"/>
                <w:szCs w:val="22"/>
              </w:rPr>
            </w:pPr>
            <w:r w:rsidRPr="00472018">
              <w:rPr>
                <w:rFonts w:asciiTheme="minorHAnsi" w:hAnsiTheme="minorHAnsi" w:cstheme="minorHAnsi"/>
                <w:sz w:val="22"/>
                <w:szCs w:val="22"/>
              </w:rPr>
              <w:t xml:space="preserve">Action </w:t>
            </w:r>
            <w:proofErr w:type="gramStart"/>
            <w:r w:rsidRPr="00472018">
              <w:rPr>
                <w:rFonts w:asciiTheme="minorHAnsi" w:hAnsiTheme="minorHAnsi" w:cstheme="minorHAnsi"/>
                <w:sz w:val="22"/>
                <w:szCs w:val="22"/>
              </w:rPr>
              <w:t>required</w:t>
            </w:r>
            <w:proofErr w:type="gramEnd"/>
          </w:p>
          <w:p w14:paraId="5871BA8F" w14:textId="13B051E3" w:rsidR="00313312" w:rsidRPr="00472018" w:rsidRDefault="00E224D7" w:rsidP="00472018">
            <w:pPr>
              <w:spacing w:before="120" w:after="120"/>
              <w:jc w:val="both"/>
              <w:rPr>
                <w:rFonts w:asciiTheme="minorHAnsi" w:hAnsiTheme="minorHAnsi" w:cstheme="minorHAnsi"/>
                <w:szCs w:val="22"/>
              </w:rPr>
            </w:pPr>
            <w:r w:rsidRPr="00472018">
              <w:rPr>
                <w:rFonts w:asciiTheme="minorHAnsi" w:hAnsiTheme="minorHAnsi" w:cstheme="minorHAnsi"/>
                <w:szCs w:val="22"/>
              </w:rPr>
              <w:t xml:space="preserve">The group could invite the Secretariat to: </w:t>
            </w:r>
          </w:p>
          <w:p w14:paraId="779FA4A1" w14:textId="6D3EB0CB" w:rsidR="001E032A" w:rsidRPr="00472018" w:rsidRDefault="001E032A" w:rsidP="00472018">
            <w:pPr>
              <w:pStyle w:val="ListParagraph"/>
              <w:numPr>
                <w:ilvl w:val="0"/>
                <w:numId w:val="3"/>
              </w:numPr>
              <w:spacing w:before="40" w:after="40"/>
              <w:jc w:val="both"/>
              <w:rPr>
                <w:rFonts w:asciiTheme="minorHAnsi" w:hAnsiTheme="minorHAnsi" w:cstheme="minorHAnsi"/>
                <w:szCs w:val="22"/>
              </w:rPr>
            </w:pPr>
            <w:r w:rsidRPr="00472018">
              <w:rPr>
                <w:rFonts w:asciiTheme="minorHAnsi" w:hAnsiTheme="minorHAnsi" w:cstheme="minorHAnsi"/>
                <w:spacing w:val="-4"/>
                <w:szCs w:val="22"/>
              </w:rPr>
              <w:t xml:space="preserve">provide more information on how the interplay of strategic and operational planning processes at all levels could be </w:t>
            </w:r>
            <w:proofErr w:type="gramStart"/>
            <w:r w:rsidRPr="00472018">
              <w:rPr>
                <w:rFonts w:asciiTheme="minorHAnsi" w:hAnsiTheme="minorHAnsi" w:cstheme="minorHAnsi"/>
                <w:spacing w:val="-4"/>
                <w:szCs w:val="22"/>
              </w:rPr>
              <w:t>improved;</w:t>
            </w:r>
            <w:proofErr w:type="gramEnd"/>
          </w:p>
          <w:p w14:paraId="43B6FF41" w14:textId="0913648F" w:rsidR="001E032A" w:rsidRPr="00472018" w:rsidRDefault="001E032A" w:rsidP="00472018">
            <w:pPr>
              <w:pStyle w:val="ListParagraph"/>
              <w:numPr>
                <w:ilvl w:val="0"/>
                <w:numId w:val="3"/>
              </w:numPr>
              <w:spacing w:before="40" w:after="40"/>
              <w:jc w:val="both"/>
              <w:rPr>
                <w:rFonts w:asciiTheme="minorHAnsi" w:hAnsiTheme="minorHAnsi" w:cstheme="minorHAnsi"/>
                <w:szCs w:val="22"/>
              </w:rPr>
            </w:pPr>
            <w:r w:rsidRPr="00472018">
              <w:rPr>
                <w:rFonts w:asciiTheme="minorHAnsi" w:hAnsiTheme="minorHAnsi" w:cs="Times New Roman Bold"/>
                <w:spacing w:val="-4"/>
                <w:szCs w:val="22"/>
              </w:rPr>
              <w:t xml:space="preserve">present its own analysis of how to best address the criteria highlighted in the PWC </w:t>
            </w:r>
            <w:proofErr w:type="gramStart"/>
            <w:r w:rsidRPr="00472018">
              <w:rPr>
                <w:rFonts w:asciiTheme="minorHAnsi" w:hAnsiTheme="minorHAnsi" w:cs="Times New Roman Bold"/>
                <w:spacing w:val="-4"/>
                <w:szCs w:val="22"/>
              </w:rPr>
              <w:t>report</w:t>
            </w:r>
            <w:r w:rsidR="00E61DC1" w:rsidRPr="00472018">
              <w:rPr>
                <w:rFonts w:asciiTheme="minorHAnsi" w:hAnsiTheme="minorHAnsi" w:cs="Times New Roman Bold"/>
                <w:spacing w:val="-4"/>
                <w:szCs w:val="22"/>
              </w:rPr>
              <w:t>;</w:t>
            </w:r>
            <w:proofErr w:type="gramEnd"/>
          </w:p>
          <w:p w14:paraId="1FDF249B" w14:textId="136C0429" w:rsidR="001E032A" w:rsidRPr="00472018" w:rsidRDefault="001E032A" w:rsidP="00472018">
            <w:pPr>
              <w:pStyle w:val="ListParagraph"/>
              <w:numPr>
                <w:ilvl w:val="0"/>
                <w:numId w:val="3"/>
              </w:numPr>
              <w:spacing w:before="40" w:after="40"/>
              <w:jc w:val="both"/>
              <w:rPr>
                <w:rFonts w:asciiTheme="minorHAnsi" w:hAnsiTheme="minorHAnsi" w:cstheme="minorHAnsi"/>
                <w:szCs w:val="22"/>
              </w:rPr>
            </w:pPr>
            <w:r w:rsidRPr="00472018">
              <w:rPr>
                <w:rFonts w:asciiTheme="minorHAnsi" w:hAnsiTheme="minorHAnsi" w:cs="Times New Roman Bold"/>
                <w:spacing w:val="-4"/>
                <w:szCs w:val="22"/>
              </w:rPr>
              <w:t>provide its views on opportunities the UNDS reform offers for increased effectiveness and efficiency in the ITU’s mandate delivery in the regions, as well as an overview of potential avenues for collaboration with other institutions within the multilateral system</w:t>
            </w:r>
            <w:r w:rsidR="00E61DC1" w:rsidRPr="00472018">
              <w:rPr>
                <w:rFonts w:asciiTheme="minorHAnsi" w:hAnsiTheme="minorHAnsi" w:cs="Times New Roman Bold"/>
                <w:spacing w:val="-4"/>
                <w:szCs w:val="22"/>
              </w:rPr>
              <w:t>.</w:t>
            </w:r>
          </w:p>
          <w:p w14:paraId="1E0EE960" w14:textId="77777777" w:rsidR="00313312" w:rsidRPr="00472018" w:rsidRDefault="00313312" w:rsidP="00472018">
            <w:pPr>
              <w:pStyle w:val="Table"/>
              <w:keepNext w:val="0"/>
              <w:spacing w:before="120"/>
              <w:jc w:val="both"/>
              <w:rPr>
                <w:rFonts w:asciiTheme="minorHAnsi" w:hAnsiTheme="minorHAnsi" w:cstheme="minorHAnsi"/>
                <w:caps w:val="0"/>
                <w:sz w:val="22"/>
                <w:szCs w:val="22"/>
              </w:rPr>
            </w:pPr>
            <w:r w:rsidRPr="00472018">
              <w:rPr>
                <w:rFonts w:asciiTheme="minorHAnsi" w:hAnsiTheme="minorHAnsi" w:cstheme="minorHAnsi"/>
                <w:caps w:val="0"/>
                <w:sz w:val="22"/>
                <w:szCs w:val="22"/>
              </w:rPr>
              <w:t>____________</w:t>
            </w:r>
          </w:p>
          <w:p w14:paraId="3D1BD128" w14:textId="77777777" w:rsidR="00313312" w:rsidRPr="00472018" w:rsidRDefault="00313312" w:rsidP="00472018">
            <w:pPr>
              <w:pStyle w:val="Headingb"/>
              <w:spacing w:before="120" w:after="120"/>
              <w:jc w:val="both"/>
              <w:rPr>
                <w:rFonts w:asciiTheme="minorHAnsi" w:hAnsiTheme="minorHAnsi" w:cstheme="minorHAnsi"/>
                <w:sz w:val="22"/>
                <w:szCs w:val="22"/>
              </w:rPr>
            </w:pPr>
            <w:r w:rsidRPr="00472018">
              <w:rPr>
                <w:rFonts w:asciiTheme="minorHAnsi" w:hAnsiTheme="minorHAnsi" w:cstheme="minorHAnsi"/>
                <w:sz w:val="22"/>
                <w:szCs w:val="22"/>
              </w:rPr>
              <w:t>References</w:t>
            </w:r>
          </w:p>
          <w:p w14:paraId="62A7BD9C" w14:textId="5027DFA5" w:rsidR="00204344" w:rsidRPr="00472018" w:rsidRDefault="00472018" w:rsidP="00472018">
            <w:pPr>
              <w:spacing w:before="120" w:after="120"/>
              <w:jc w:val="both"/>
              <w:rPr>
                <w:rFonts w:asciiTheme="minorHAnsi" w:hAnsiTheme="minorHAnsi" w:cstheme="minorHAnsi"/>
                <w:szCs w:val="22"/>
              </w:rPr>
            </w:pPr>
            <w:hyperlink r:id="rId13" w:history="1">
              <w:r w:rsidR="00204344" w:rsidRPr="00472018">
                <w:rPr>
                  <w:rStyle w:val="Hyperlink"/>
                  <w:rFonts w:asciiTheme="minorHAnsi" w:hAnsiTheme="minorHAnsi" w:cstheme="minorHAnsi"/>
                  <w:szCs w:val="22"/>
                </w:rPr>
                <w:t>C20</w:t>
              </w:r>
              <w:r w:rsidRPr="00472018">
                <w:rPr>
                  <w:rStyle w:val="Hyperlink"/>
                  <w:rFonts w:asciiTheme="minorHAnsi" w:hAnsiTheme="minorHAnsi" w:cstheme="minorHAnsi"/>
                  <w:szCs w:val="22"/>
                </w:rPr>
                <w:t>/</w:t>
              </w:r>
              <w:r w:rsidR="00204344" w:rsidRPr="00472018">
                <w:rPr>
                  <w:rStyle w:val="Hyperlink"/>
                  <w:rFonts w:asciiTheme="minorHAnsi" w:hAnsiTheme="minorHAnsi" w:cstheme="minorHAnsi"/>
                  <w:szCs w:val="22"/>
                </w:rPr>
                <w:t>74</w:t>
              </w:r>
            </w:hyperlink>
            <w:r w:rsidR="00E224D7" w:rsidRPr="00472018">
              <w:rPr>
                <w:rFonts w:asciiTheme="minorHAnsi" w:hAnsiTheme="minorHAnsi" w:cs="Times New Roman Bold"/>
                <w:spacing w:val="-4"/>
                <w:szCs w:val="22"/>
              </w:rPr>
              <w:t xml:space="preserve">; </w:t>
            </w:r>
            <w:hyperlink r:id="rId14" w:history="1">
              <w:r w:rsidR="00204344" w:rsidRPr="00472018">
                <w:rPr>
                  <w:rStyle w:val="Hyperlink"/>
                  <w:rFonts w:asciiTheme="minorHAnsi" w:hAnsiTheme="minorHAnsi" w:cs="Times New Roman Bold"/>
                  <w:spacing w:val="-4"/>
                  <w:szCs w:val="22"/>
                </w:rPr>
                <w:t>CWG-FHR-12/9</w:t>
              </w:r>
            </w:hyperlink>
            <w:r w:rsidR="00E224D7" w:rsidRPr="00472018">
              <w:rPr>
                <w:rFonts w:asciiTheme="minorHAnsi" w:hAnsiTheme="minorHAnsi" w:cs="Times New Roman Bold"/>
                <w:spacing w:val="-4"/>
                <w:szCs w:val="22"/>
              </w:rPr>
              <w:t xml:space="preserve">; </w:t>
            </w:r>
            <w:hyperlink r:id="rId15" w:history="1">
              <w:r w:rsidR="00204344" w:rsidRPr="00472018">
                <w:rPr>
                  <w:rStyle w:val="Hyperlink"/>
                  <w:rFonts w:asciiTheme="minorHAnsi" w:hAnsiTheme="minorHAnsi" w:cs="Times New Roman Bold"/>
                  <w:spacing w:val="-4"/>
                  <w:szCs w:val="22"/>
                </w:rPr>
                <w:t>CWG-FHR-AH-RegPres-1/4</w:t>
              </w:r>
            </w:hyperlink>
          </w:p>
        </w:tc>
      </w:tr>
    </w:tbl>
    <w:p w14:paraId="3126F6D6" w14:textId="77777777" w:rsidR="00E61DC1" w:rsidRDefault="00E61DC1">
      <w:pPr>
        <w:rPr>
          <w:rFonts w:asciiTheme="minorHAnsi" w:hAnsiTheme="minorHAnsi" w:cstheme="minorHAnsi"/>
          <w:b/>
        </w:rPr>
      </w:pPr>
      <w:bookmarkStart w:id="6" w:name="dstart"/>
      <w:bookmarkStart w:id="7" w:name="dbreak"/>
      <w:bookmarkEnd w:id="6"/>
      <w:bookmarkEnd w:id="7"/>
      <w:r>
        <w:rPr>
          <w:rFonts w:asciiTheme="minorHAnsi" w:hAnsiTheme="minorHAnsi" w:cstheme="minorHAnsi"/>
          <w:b/>
        </w:rPr>
        <w:br w:type="page"/>
      </w:r>
    </w:p>
    <w:p w14:paraId="42F295BA" w14:textId="21BED610" w:rsidR="004049C4" w:rsidRPr="00472018" w:rsidRDefault="00BC5F3B" w:rsidP="00472018">
      <w:pPr>
        <w:spacing w:before="120" w:after="120"/>
        <w:rPr>
          <w:rFonts w:asciiTheme="minorHAnsi" w:hAnsiTheme="minorHAnsi" w:cstheme="minorHAnsi"/>
          <w:b/>
          <w:sz w:val="24"/>
        </w:rPr>
      </w:pPr>
      <w:r w:rsidRPr="00472018">
        <w:rPr>
          <w:rFonts w:asciiTheme="minorHAnsi" w:hAnsiTheme="minorHAnsi" w:cstheme="minorHAnsi"/>
          <w:b/>
          <w:sz w:val="24"/>
        </w:rPr>
        <w:lastRenderedPageBreak/>
        <w:t xml:space="preserve">General </w:t>
      </w:r>
      <w:r w:rsidR="00FE6DB9" w:rsidRPr="00472018">
        <w:rPr>
          <w:rFonts w:asciiTheme="minorHAnsi" w:hAnsiTheme="minorHAnsi" w:cstheme="minorHAnsi"/>
          <w:b/>
          <w:sz w:val="24"/>
        </w:rPr>
        <w:t xml:space="preserve">comments regarding implementing a future delivery </w:t>
      </w:r>
      <w:proofErr w:type="gramStart"/>
      <w:r w:rsidR="00FE6DB9" w:rsidRPr="00472018">
        <w:rPr>
          <w:rFonts w:asciiTheme="minorHAnsi" w:hAnsiTheme="minorHAnsi" w:cstheme="minorHAnsi"/>
          <w:b/>
          <w:sz w:val="24"/>
        </w:rPr>
        <w:t>model</w:t>
      </w:r>
      <w:proofErr w:type="gramEnd"/>
    </w:p>
    <w:p w14:paraId="587B14AB" w14:textId="36600823" w:rsidR="007E7313" w:rsidRPr="00472018" w:rsidRDefault="006C4E5D" w:rsidP="00472018">
      <w:pPr>
        <w:spacing w:before="120" w:after="120"/>
        <w:jc w:val="both"/>
        <w:rPr>
          <w:rFonts w:asciiTheme="minorHAnsi" w:hAnsiTheme="minorHAnsi" w:cstheme="minorHAnsi"/>
          <w:sz w:val="24"/>
        </w:rPr>
      </w:pPr>
      <w:r w:rsidRPr="00472018">
        <w:rPr>
          <w:rFonts w:asciiTheme="minorHAnsi" w:hAnsiTheme="minorHAnsi" w:cstheme="minorHAnsi"/>
          <w:sz w:val="24"/>
        </w:rPr>
        <w:t xml:space="preserve">The </w:t>
      </w:r>
      <w:r w:rsidR="0034174F" w:rsidRPr="00472018">
        <w:rPr>
          <w:rFonts w:asciiTheme="minorHAnsi" w:hAnsiTheme="minorHAnsi" w:cstheme="minorHAnsi"/>
          <w:sz w:val="24"/>
        </w:rPr>
        <w:t>organizational set-up</w:t>
      </w:r>
      <w:r w:rsidR="004A4D3E" w:rsidRPr="00472018">
        <w:rPr>
          <w:rFonts w:asciiTheme="minorHAnsi" w:hAnsiTheme="minorHAnsi" w:cstheme="minorHAnsi"/>
          <w:sz w:val="24"/>
        </w:rPr>
        <w:t>,</w:t>
      </w:r>
      <w:r w:rsidR="00F773BF" w:rsidRPr="00472018">
        <w:rPr>
          <w:rFonts w:asciiTheme="minorHAnsi" w:hAnsiTheme="minorHAnsi" w:cstheme="minorHAnsi"/>
          <w:sz w:val="24"/>
        </w:rPr>
        <w:t xml:space="preserve"> </w:t>
      </w:r>
      <w:r w:rsidR="000C5145" w:rsidRPr="00472018">
        <w:rPr>
          <w:rFonts w:asciiTheme="minorHAnsi" w:hAnsiTheme="minorHAnsi" w:cstheme="minorHAnsi"/>
          <w:sz w:val="24"/>
        </w:rPr>
        <w:t>including the</w:t>
      </w:r>
      <w:r w:rsidR="0034174F" w:rsidRPr="00472018">
        <w:rPr>
          <w:rFonts w:asciiTheme="minorHAnsi" w:hAnsiTheme="minorHAnsi" w:cstheme="minorHAnsi"/>
          <w:sz w:val="24"/>
        </w:rPr>
        <w:t xml:space="preserve"> regional presence</w:t>
      </w:r>
      <w:r w:rsidR="004A4D3E" w:rsidRPr="00472018">
        <w:rPr>
          <w:rFonts w:asciiTheme="minorHAnsi" w:hAnsiTheme="minorHAnsi" w:cstheme="minorHAnsi"/>
          <w:sz w:val="24"/>
        </w:rPr>
        <w:t>,</w:t>
      </w:r>
      <w:r w:rsidR="0034174F" w:rsidRPr="00472018">
        <w:rPr>
          <w:rFonts w:asciiTheme="minorHAnsi" w:hAnsiTheme="minorHAnsi" w:cstheme="minorHAnsi"/>
          <w:sz w:val="24"/>
        </w:rPr>
        <w:t xml:space="preserve"> i</w:t>
      </w:r>
      <w:r w:rsidR="000C5145" w:rsidRPr="00472018">
        <w:rPr>
          <w:rFonts w:asciiTheme="minorHAnsi" w:hAnsiTheme="minorHAnsi" w:cstheme="minorHAnsi"/>
          <w:sz w:val="24"/>
        </w:rPr>
        <w:t xml:space="preserve">s an important factor for the ITU </w:t>
      </w:r>
      <w:r w:rsidR="00D5334D" w:rsidRPr="00472018">
        <w:rPr>
          <w:rFonts w:asciiTheme="minorHAnsi" w:hAnsiTheme="minorHAnsi" w:cstheme="minorHAnsi"/>
          <w:sz w:val="24"/>
        </w:rPr>
        <w:t xml:space="preserve">to </w:t>
      </w:r>
      <w:r w:rsidR="00A06752" w:rsidRPr="00472018">
        <w:rPr>
          <w:rFonts w:asciiTheme="minorHAnsi" w:hAnsiTheme="minorHAnsi" w:cstheme="minorHAnsi"/>
          <w:sz w:val="24"/>
        </w:rPr>
        <w:t>implement</w:t>
      </w:r>
      <w:r w:rsidR="00D5334D" w:rsidRPr="00472018">
        <w:rPr>
          <w:rFonts w:asciiTheme="minorHAnsi" w:hAnsiTheme="minorHAnsi" w:cstheme="minorHAnsi"/>
          <w:sz w:val="24"/>
        </w:rPr>
        <w:t xml:space="preserve"> its mandate.</w:t>
      </w:r>
      <w:r w:rsidR="00340D3B" w:rsidRPr="00472018">
        <w:rPr>
          <w:rFonts w:asciiTheme="minorHAnsi" w:hAnsiTheme="minorHAnsi" w:cstheme="minorHAnsi"/>
          <w:sz w:val="24"/>
        </w:rPr>
        <w:t xml:space="preserve"> </w:t>
      </w:r>
      <w:r w:rsidR="0034174F" w:rsidRPr="00472018">
        <w:rPr>
          <w:rFonts w:asciiTheme="minorHAnsi" w:hAnsiTheme="minorHAnsi" w:cstheme="minorHAnsi"/>
          <w:sz w:val="24"/>
        </w:rPr>
        <w:t>Switzerland deems the report prepared by PWC (</w:t>
      </w:r>
      <w:r w:rsidR="007E7313" w:rsidRPr="00472018">
        <w:rPr>
          <w:rFonts w:asciiTheme="minorHAnsi" w:hAnsiTheme="minorHAnsi" w:cstheme="minorHAnsi"/>
          <w:i/>
          <w:sz w:val="24"/>
        </w:rPr>
        <w:t xml:space="preserve">document </w:t>
      </w:r>
      <w:hyperlink r:id="rId16" w:history="1">
        <w:r w:rsidR="007E7313" w:rsidRPr="005F2E0F">
          <w:rPr>
            <w:rStyle w:val="Hyperlink"/>
            <w:rFonts w:asciiTheme="minorHAnsi" w:hAnsiTheme="minorHAnsi" w:cstheme="minorHAnsi"/>
            <w:i/>
            <w:sz w:val="24"/>
          </w:rPr>
          <w:t>C20</w:t>
        </w:r>
        <w:r w:rsidR="00472018" w:rsidRPr="005F2E0F">
          <w:rPr>
            <w:rStyle w:val="Hyperlink"/>
            <w:rFonts w:asciiTheme="minorHAnsi" w:hAnsiTheme="minorHAnsi" w:cstheme="minorHAnsi"/>
            <w:i/>
            <w:sz w:val="24"/>
          </w:rPr>
          <w:t>/</w:t>
        </w:r>
        <w:r w:rsidR="007E7313" w:rsidRPr="005F2E0F">
          <w:rPr>
            <w:rStyle w:val="Hyperlink"/>
            <w:rFonts w:asciiTheme="minorHAnsi" w:hAnsiTheme="minorHAnsi" w:cstheme="minorHAnsi"/>
            <w:i/>
            <w:sz w:val="24"/>
          </w:rPr>
          <w:t>74</w:t>
        </w:r>
      </w:hyperlink>
      <w:r w:rsidR="0034174F" w:rsidRPr="00472018">
        <w:rPr>
          <w:rFonts w:asciiTheme="minorHAnsi" w:hAnsiTheme="minorHAnsi" w:cstheme="minorHAnsi"/>
          <w:sz w:val="24"/>
        </w:rPr>
        <w:t>) a valuable document</w:t>
      </w:r>
      <w:r w:rsidR="007E7313" w:rsidRPr="00472018">
        <w:rPr>
          <w:rFonts w:asciiTheme="minorHAnsi" w:hAnsiTheme="minorHAnsi" w:cstheme="minorHAnsi"/>
          <w:sz w:val="24"/>
        </w:rPr>
        <w:t>,</w:t>
      </w:r>
      <w:r w:rsidR="00F773BF" w:rsidRPr="00472018">
        <w:rPr>
          <w:rFonts w:asciiTheme="minorHAnsi" w:hAnsiTheme="minorHAnsi" w:cstheme="minorHAnsi"/>
          <w:sz w:val="24"/>
        </w:rPr>
        <w:t xml:space="preserve"> as it provides</w:t>
      </w:r>
      <w:r w:rsidR="0034174F" w:rsidRPr="00472018">
        <w:rPr>
          <w:rFonts w:asciiTheme="minorHAnsi" w:hAnsiTheme="minorHAnsi" w:cstheme="minorHAnsi"/>
          <w:sz w:val="24"/>
        </w:rPr>
        <w:t xml:space="preserve"> important insights from an external perspective on the functioning of the </w:t>
      </w:r>
      <w:r w:rsidR="00F773BF" w:rsidRPr="00472018">
        <w:rPr>
          <w:rFonts w:asciiTheme="minorHAnsi" w:hAnsiTheme="minorHAnsi" w:cstheme="minorHAnsi"/>
          <w:sz w:val="24"/>
        </w:rPr>
        <w:t xml:space="preserve">ITU’s </w:t>
      </w:r>
      <w:r w:rsidR="0034174F" w:rsidRPr="00472018">
        <w:rPr>
          <w:rFonts w:asciiTheme="minorHAnsi" w:hAnsiTheme="minorHAnsi" w:cstheme="minorHAnsi"/>
          <w:sz w:val="24"/>
        </w:rPr>
        <w:t xml:space="preserve">regional presence. </w:t>
      </w:r>
      <w:r w:rsidR="00D5334D" w:rsidRPr="00472018">
        <w:rPr>
          <w:rFonts w:asciiTheme="minorHAnsi" w:hAnsiTheme="minorHAnsi" w:cstheme="minorHAnsi"/>
          <w:sz w:val="24"/>
        </w:rPr>
        <w:t>The analytical framework based on seven evaluation criteria</w:t>
      </w:r>
      <w:r w:rsidR="00D5334D" w:rsidRPr="005F2E0F">
        <w:rPr>
          <w:rStyle w:val="FootnoteReference"/>
          <w:rFonts w:asciiTheme="minorHAnsi" w:hAnsiTheme="minorHAnsi" w:cstheme="minorHAnsi"/>
          <w:sz w:val="20"/>
          <w:szCs w:val="20"/>
        </w:rPr>
        <w:footnoteReference w:id="2"/>
      </w:r>
      <w:r w:rsidR="00D5334D" w:rsidRPr="00472018">
        <w:rPr>
          <w:rFonts w:asciiTheme="minorHAnsi" w:hAnsiTheme="minorHAnsi" w:cstheme="minorHAnsi"/>
          <w:sz w:val="24"/>
        </w:rPr>
        <w:t xml:space="preserve"> offers an adequate lens for such an analysis. </w:t>
      </w:r>
    </w:p>
    <w:p w14:paraId="5FBCA0C2" w14:textId="563640E2" w:rsidR="007E7313" w:rsidRPr="00472018" w:rsidRDefault="00303AC0" w:rsidP="00472018">
      <w:pPr>
        <w:spacing w:before="120" w:after="120"/>
        <w:jc w:val="both"/>
        <w:rPr>
          <w:rFonts w:asciiTheme="minorHAnsi" w:hAnsiTheme="minorHAnsi" w:cstheme="minorHAnsi"/>
          <w:sz w:val="24"/>
        </w:rPr>
      </w:pPr>
      <w:r w:rsidRPr="00472018">
        <w:rPr>
          <w:rFonts w:asciiTheme="minorHAnsi" w:hAnsiTheme="minorHAnsi" w:cstheme="minorHAnsi"/>
          <w:sz w:val="24"/>
        </w:rPr>
        <w:t xml:space="preserve">While methodologies applied by PWC </w:t>
      </w:r>
      <w:proofErr w:type="gramStart"/>
      <w:r w:rsidRPr="00472018">
        <w:rPr>
          <w:rFonts w:asciiTheme="minorHAnsi" w:hAnsiTheme="minorHAnsi" w:cstheme="minorHAnsi"/>
          <w:sz w:val="24"/>
        </w:rPr>
        <w:t>in order to</w:t>
      </w:r>
      <w:proofErr w:type="gramEnd"/>
      <w:r w:rsidRPr="00472018">
        <w:rPr>
          <w:rFonts w:asciiTheme="minorHAnsi" w:hAnsiTheme="minorHAnsi" w:cstheme="minorHAnsi"/>
          <w:sz w:val="24"/>
        </w:rPr>
        <w:t xml:space="preserve"> complete the analysis appear sound to us, it is Swit</w:t>
      </w:r>
      <w:r w:rsidR="00EB3970" w:rsidRPr="00472018">
        <w:rPr>
          <w:rFonts w:asciiTheme="minorHAnsi" w:hAnsiTheme="minorHAnsi" w:cstheme="minorHAnsi"/>
          <w:sz w:val="24"/>
        </w:rPr>
        <w:t>zerland’s view that the report</w:t>
      </w:r>
      <w:r w:rsidR="00F773BF" w:rsidRPr="00472018">
        <w:rPr>
          <w:rFonts w:asciiTheme="minorHAnsi" w:hAnsiTheme="minorHAnsi" w:cstheme="minorHAnsi"/>
          <w:sz w:val="24"/>
        </w:rPr>
        <w:t xml:space="preserve"> primarily s</w:t>
      </w:r>
      <w:r w:rsidRPr="00472018">
        <w:rPr>
          <w:rFonts w:asciiTheme="minorHAnsi" w:hAnsiTheme="minorHAnsi" w:cstheme="minorHAnsi"/>
          <w:sz w:val="24"/>
        </w:rPr>
        <w:t>erve</w:t>
      </w:r>
      <w:r w:rsidR="00EB3970" w:rsidRPr="00472018">
        <w:rPr>
          <w:rFonts w:asciiTheme="minorHAnsi" w:hAnsiTheme="minorHAnsi" w:cstheme="minorHAnsi"/>
          <w:sz w:val="24"/>
        </w:rPr>
        <w:t>s</w:t>
      </w:r>
      <w:r w:rsidRPr="00472018">
        <w:rPr>
          <w:rFonts w:asciiTheme="minorHAnsi" w:hAnsiTheme="minorHAnsi" w:cstheme="minorHAnsi"/>
          <w:sz w:val="24"/>
        </w:rPr>
        <w:t xml:space="preserve"> as an input</w:t>
      </w:r>
      <w:r w:rsidR="007E7313" w:rsidRPr="00472018">
        <w:rPr>
          <w:rFonts w:asciiTheme="minorHAnsi" w:hAnsiTheme="minorHAnsi" w:cstheme="minorHAnsi"/>
          <w:sz w:val="24"/>
        </w:rPr>
        <w:t xml:space="preserve"> for the ITU’s own reflections</w:t>
      </w:r>
      <w:r w:rsidR="00326F4F" w:rsidRPr="00472018">
        <w:rPr>
          <w:rFonts w:asciiTheme="minorHAnsi" w:hAnsiTheme="minorHAnsi" w:cstheme="minorHAnsi"/>
          <w:sz w:val="24"/>
        </w:rPr>
        <w:t>.</w:t>
      </w:r>
      <w:r w:rsidRPr="00472018">
        <w:rPr>
          <w:rFonts w:asciiTheme="minorHAnsi" w:hAnsiTheme="minorHAnsi" w:cstheme="minorHAnsi"/>
          <w:sz w:val="24"/>
        </w:rPr>
        <w:t xml:space="preserve"> </w:t>
      </w:r>
      <w:r w:rsidR="0057111D" w:rsidRPr="00472018">
        <w:rPr>
          <w:rFonts w:asciiTheme="minorHAnsi" w:hAnsiTheme="minorHAnsi" w:cstheme="minorHAnsi"/>
          <w:sz w:val="24"/>
        </w:rPr>
        <w:t xml:space="preserve">Analysis, </w:t>
      </w:r>
      <w:proofErr w:type="gramStart"/>
      <w:r w:rsidR="0057111D" w:rsidRPr="00472018">
        <w:rPr>
          <w:rFonts w:asciiTheme="minorHAnsi" w:hAnsiTheme="minorHAnsi" w:cstheme="minorHAnsi"/>
          <w:sz w:val="24"/>
        </w:rPr>
        <w:t>recommendations</w:t>
      </w:r>
      <w:proofErr w:type="gramEnd"/>
      <w:r w:rsidR="0057111D" w:rsidRPr="00472018">
        <w:rPr>
          <w:rFonts w:asciiTheme="minorHAnsi" w:hAnsiTheme="minorHAnsi" w:cstheme="minorHAnsi"/>
          <w:sz w:val="24"/>
        </w:rPr>
        <w:t xml:space="preserve"> and </w:t>
      </w:r>
      <w:r w:rsidR="00FE6DB9" w:rsidRPr="00472018">
        <w:rPr>
          <w:rFonts w:asciiTheme="minorHAnsi" w:hAnsiTheme="minorHAnsi" w:cstheme="minorHAnsi"/>
          <w:sz w:val="24"/>
        </w:rPr>
        <w:t>“</w:t>
      </w:r>
      <w:r w:rsidR="0057111D" w:rsidRPr="00472018">
        <w:rPr>
          <w:rFonts w:asciiTheme="minorHAnsi" w:hAnsiTheme="minorHAnsi" w:cstheme="minorHAnsi"/>
          <w:sz w:val="24"/>
        </w:rPr>
        <w:t>o</w:t>
      </w:r>
      <w:r w:rsidR="00FE6DB9" w:rsidRPr="00472018">
        <w:rPr>
          <w:rFonts w:asciiTheme="minorHAnsi" w:hAnsiTheme="minorHAnsi" w:cstheme="minorHAnsi"/>
          <w:sz w:val="24"/>
        </w:rPr>
        <w:t xml:space="preserve">ptions” </w:t>
      </w:r>
      <w:r w:rsidRPr="00472018">
        <w:rPr>
          <w:rFonts w:asciiTheme="minorHAnsi" w:hAnsiTheme="minorHAnsi" w:cstheme="minorHAnsi"/>
          <w:sz w:val="24"/>
        </w:rPr>
        <w:t xml:space="preserve">of future delivery models </w:t>
      </w:r>
      <w:r w:rsidR="0057111D" w:rsidRPr="00472018">
        <w:rPr>
          <w:rFonts w:asciiTheme="minorHAnsi" w:hAnsiTheme="minorHAnsi" w:cstheme="minorHAnsi"/>
          <w:sz w:val="24"/>
        </w:rPr>
        <w:t>in the report</w:t>
      </w:r>
      <w:r w:rsidR="000C5145" w:rsidRPr="00472018">
        <w:rPr>
          <w:rFonts w:asciiTheme="minorHAnsi" w:hAnsiTheme="minorHAnsi" w:cstheme="minorHAnsi"/>
          <w:sz w:val="24"/>
        </w:rPr>
        <w:t xml:space="preserve"> offer </w:t>
      </w:r>
      <w:r w:rsidR="00FE6DB9" w:rsidRPr="00472018">
        <w:rPr>
          <w:rFonts w:asciiTheme="minorHAnsi" w:hAnsiTheme="minorHAnsi" w:cstheme="minorHAnsi"/>
          <w:sz w:val="24"/>
        </w:rPr>
        <w:t>v</w:t>
      </w:r>
      <w:r w:rsidR="00DC496F" w:rsidRPr="00472018">
        <w:rPr>
          <w:rFonts w:asciiTheme="minorHAnsi" w:hAnsiTheme="minorHAnsi" w:cstheme="minorHAnsi"/>
          <w:sz w:val="24"/>
        </w:rPr>
        <w:t>aluable</w:t>
      </w:r>
      <w:r w:rsidR="00D5334D" w:rsidRPr="00472018">
        <w:rPr>
          <w:rFonts w:asciiTheme="minorHAnsi" w:hAnsiTheme="minorHAnsi" w:cstheme="minorHAnsi"/>
          <w:sz w:val="24"/>
        </w:rPr>
        <w:t xml:space="preserve"> insights</w:t>
      </w:r>
      <w:r w:rsidR="00F773BF" w:rsidRPr="00472018">
        <w:rPr>
          <w:rFonts w:asciiTheme="minorHAnsi" w:hAnsiTheme="minorHAnsi" w:cstheme="minorHAnsi"/>
          <w:sz w:val="24"/>
        </w:rPr>
        <w:t xml:space="preserve"> for the</w:t>
      </w:r>
      <w:r w:rsidR="007E7313" w:rsidRPr="00472018">
        <w:rPr>
          <w:rFonts w:asciiTheme="minorHAnsi" w:hAnsiTheme="minorHAnsi" w:cstheme="minorHAnsi"/>
          <w:sz w:val="24"/>
        </w:rPr>
        <w:t xml:space="preserve"> ongoing</w:t>
      </w:r>
      <w:r w:rsidR="00E652F8" w:rsidRPr="00472018">
        <w:rPr>
          <w:rFonts w:asciiTheme="minorHAnsi" w:hAnsiTheme="minorHAnsi" w:cstheme="minorHAnsi"/>
          <w:sz w:val="24"/>
        </w:rPr>
        <w:t xml:space="preserve"> </w:t>
      </w:r>
      <w:r w:rsidR="0057111D" w:rsidRPr="00472018">
        <w:rPr>
          <w:rFonts w:asciiTheme="minorHAnsi" w:hAnsiTheme="minorHAnsi" w:cstheme="minorHAnsi"/>
          <w:sz w:val="24"/>
        </w:rPr>
        <w:t>deliberations. A</w:t>
      </w:r>
      <w:r w:rsidR="00F773BF" w:rsidRPr="00472018">
        <w:rPr>
          <w:rFonts w:asciiTheme="minorHAnsi" w:hAnsiTheme="minorHAnsi" w:cstheme="minorHAnsi"/>
          <w:sz w:val="24"/>
        </w:rPr>
        <w:t>t</w:t>
      </w:r>
      <w:r w:rsidR="0057111D" w:rsidRPr="00472018">
        <w:rPr>
          <w:rFonts w:asciiTheme="minorHAnsi" w:hAnsiTheme="minorHAnsi" w:cstheme="minorHAnsi"/>
          <w:sz w:val="24"/>
        </w:rPr>
        <w:t xml:space="preserve"> the same time</w:t>
      </w:r>
      <w:r w:rsidR="00F773BF" w:rsidRPr="00472018">
        <w:rPr>
          <w:rFonts w:asciiTheme="minorHAnsi" w:hAnsiTheme="minorHAnsi" w:cstheme="minorHAnsi"/>
          <w:sz w:val="24"/>
        </w:rPr>
        <w:t xml:space="preserve">, </w:t>
      </w:r>
      <w:r w:rsidR="004A4D3E" w:rsidRPr="00472018">
        <w:rPr>
          <w:rFonts w:asciiTheme="minorHAnsi" w:hAnsiTheme="minorHAnsi" w:cstheme="minorHAnsi"/>
          <w:sz w:val="24"/>
        </w:rPr>
        <w:t>it is Switzerland’s view tha</w:t>
      </w:r>
      <w:r w:rsidR="00E652F8" w:rsidRPr="00472018">
        <w:rPr>
          <w:rFonts w:asciiTheme="minorHAnsi" w:hAnsiTheme="minorHAnsi" w:cstheme="minorHAnsi"/>
          <w:sz w:val="24"/>
        </w:rPr>
        <w:t xml:space="preserve">t </w:t>
      </w:r>
      <w:r w:rsidR="0057111D" w:rsidRPr="00472018">
        <w:rPr>
          <w:rFonts w:asciiTheme="minorHAnsi" w:hAnsiTheme="minorHAnsi" w:cstheme="minorHAnsi"/>
          <w:sz w:val="24"/>
        </w:rPr>
        <w:t xml:space="preserve">the </w:t>
      </w:r>
      <w:proofErr w:type="gramStart"/>
      <w:r w:rsidR="00DC496F" w:rsidRPr="00472018">
        <w:rPr>
          <w:rFonts w:asciiTheme="minorHAnsi" w:hAnsiTheme="minorHAnsi" w:cstheme="minorHAnsi"/>
          <w:sz w:val="24"/>
        </w:rPr>
        <w:t>sketched out</w:t>
      </w:r>
      <w:proofErr w:type="gramEnd"/>
      <w:r w:rsidR="00DC496F" w:rsidRPr="00472018">
        <w:rPr>
          <w:rFonts w:asciiTheme="minorHAnsi" w:hAnsiTheme="minorHAnsi" w:cstheme="minorHAnsi"/>
          <w:sz w:val="24"/>
        </w:rPr>
        <w:t xml:space="preserve"> </w:t>
      </w:r>
      <w:r w:rsidR="004A5C65" w:rsidRPr="00472018">
        <w:rPr>
          <w:rFonts w:asciiTheme="minorHAnsi" w:hAnsiTheme="minorHAnsi" w:cstheme="minorHAnsi"/>
          <w:sz w:val="24"/>
        </w:rPr>
        <w:t>options</w:t>
      </w:r>
      <w:r w:rsidR="004A4D3E" w:rsidRPr="00472018">
        <w:rPr>
          <w:rFonts w:asciiTheme="minorHAnsi" w:hAnsiTheme="minorHAnsi" w:cstheme="minorHAnsi"/>
          <w:sz w:val="24"/>
        </w:rPr>
        <w:t xml:space="preserve"> </w:t>
      </w:r>
      <w:r w:rsidR="004A5C65" w:rsidRPr="00472018">
        <w:rPr>
          <w:rFonts w:asciiTheme="minorHAnsi" w:hAnsiTheme="minorHAnsi" w:cstheme="minorHAnsi"/>
          <w:sz w:val="24"/>
        </w:rPr>
        <w:t xml:space="preserve">do </w:t>
      </w:r>
      <w:r w:rsidR="00D5334D" w:rsidRPr="00472018">
        <w:rPr>
          <w:rFonts w:asciiTheme="minorHAnsi" w:hAnsiTheme="minorHAnsi" w:cstheme="minorHAnsi"/>
          <w:sz w:val="24"/>
        </w:rPr>
        <w:t>not</w:t>
      </w:r>
      <w:r w:rsidR="00AD4F03" w:rsidRPr="00472018">
        <w:rPr>
          <w:rFonts w:asciiTheme="minorHAnsi" w:hAnsiTheme="minorHAnsi" w:cstheme="minorHAnsi"/>
          <w:sz w:val="24"/>
        </w:rPr>
        <w:t xml:space="preserve"> </w:t>
      </w:r>
      <w:r w:rsidR="00FE6DB9" w:rsidRPr="00472018">
        <w:rPr>
          <w:rFonts w:asciiTheme="minorHAnsi" w:hAnsiTheme="minorHAnsi" w:cstheme="minorHAnsi"/>
          <w:sz w:val="24"/>
        </w:rPr>
        <w:t>predefine</w:t>
      </w:r>
      <w:r w:rsidR="004A5C65" w:rsidRPr="00472018">
        <w:rPr>
          <w:rFonts w:asciiTheme="minorHAnsi" w:hAnsiTheme="minorHAnsi" w:cstheme="minorHAnsi"/>
          <w:sz w:val="24"/>
        </w:rPr>
        <w:t xml:space="preserve"> </w:t>
      </w:r>
      <w:r w:rsidR="007E7313" w:rsidRPr="00472018">
        <w:rPr>
          <w:rFonts w:asciiTheme="minorHAnsi" w:hAnsiTheme="minorHAnsi" w:cstheme="minorHAnsi"/>
          <w:sz w:val="24"/>
        </w:rPr>
        <w:t>a set number of models</w:t>
      </w:r>
      <w:r w:rsidR="004A5C65" w:rsidRPr="00472018">
        <w:rPr>
          <w:rFonts w:asciiTheme="minorHAnsi" w:hAnsiTheme="minorHAnsi" w:cstheme="minorHAnsi"/>
          <w:sz w:val="24"/>
        </w:rPr>
        <w:t xml:space="preserve"> for the</w:t>
      </w:r>
      <w:r w:rsidR="00DC496F" w:rsidRPr="00472018">
        <w:rPr>
          <w:rFonts w:asciiTheme="minorHAnsi" w:hAnsiTheme="minorHAnsi" w:cstheme="minorHAnsi"/>
          <w:sz w:val="24"/>
        </w:rPr>
        <w:t xml:space="preserve"> ITU’s </w:t>
      </w:r>
      <w:r w:rsidR="007E7313" w:rsidRPr="00472018">
        <w:rPr>
          <w:rFonts w:asciiTheme="minorHAnsi" w:hAnsiTheme="minorHAnsi" w:cstheme="minorHAnsi"/>
          <w:sz w:val="24"/>
        </w:rPr>
        <w:t xml:space="preserve">future regional presence from which the Union would have to choose and implement it one-to-one. </w:t>
      </w:r>
    </w:p>
    <w:p w14:paraId="379EAADF" w14:textId="55376DAF" w:rsidR="004D43AC" w:rsidRPr="00472018" w:rsidRDefault="007E7313" w:rsidP="00472018">
      <w:pPr>
        <w:spacing w:before="120" w:after="120"/>
        <w:jc w:val="both"/>
        <w:rPr>
          <w:rFonts w:asciiTheme="minorHAnsi" w:hAnsiTheme="minorHAnsi" w:cstheme="minorHAnsi"/>
          <w:sz w:val="24"/>
        </w:rPr>
      </w:pPr>
      <w:r w:rsidRPr="00472018">
        <w:rPr>
          <w:rFonts w:asciiTheme="minorHAnsi" w:hAnsiTheme="minorHAnsi" w:cstheme="minorHAnsi"/>
          <w:sz w:val="24"/>
        </w:rPr>
        <w:t xml:space="preserve">After all, </w:t>
      </w:r>
      <w:r w:rsidR="000C397E" w:rsidRPr="00472018">
        <w:rPr>
          <w:rFonts w:asciiTheme="minorHAnsi" w:hAnsiTheme="minorHAnsi" w:cstheme="minorHAnsi"/>
          <w:sz w:val="24"/>
        </w:rPr>
        <w:t xml:space="preserve">while </w:t>
      </w:r>
      <w:proofErr w:type="gramStart"/>
      <w:r w:rsidR="000C397E" w:rsidRPr="00472018">
        <w:rPr>
          <w:rFonts w:asciiTheme="minorHAnsi" w:hAnsiTheme="minorHAnsi" w:cstheme="minorHAnsi"/>
          <w:sz w:val="24"/>
        </w:rPr>
        <w:t>taking into account</w:t>
      </w:r>
      <w:proofErr w:type="gramEnd"/>
      <w:r w:rsidR="000C397E" w:rsidRPr="00472018">
        <w:rPr>
          <w:rFonts w:asciiTheme="minorHAnsi" w:hAnsiTheme="minorHAnsi" w:cstheme="minorHAnsi"/>
          <w:sz w:val="24"/>
        </w:rPr>
        <w:t xml:space="preserve"> inputs from PWC’s analysis, </w:t>
      </w:r>
      <w:r w:rsidR="00326F4F" w:rsidRPr="00472018">
        <w:rPr>
          <w:rFonts w:asciiTheme="minorHAnsi" w:hAnsiTheme="minorHAnsi" w:cstheme="minorHAnsi"/>
          <w:sz w:val="24"/>
        </w:rPr>
        <w:t>the implementation of</w:t>
      </w:r>
      <w:r w:rsidR="00AD5265" w:rsidRPr="00472018">
        <w:rPr>
          <w:rFonts w:asciiTheme="minorHAnsi" w:hAnsiTheme="minorHAnsi" w:cstheme="minorHAnsi"/>
          <w:sz w:val="24"/>
        </w:rPr>
        <w:t xml:space="preserve"> a</w:t>
      </w:r>
      <w:r w:rsidR="00EB3970" w:rsidRPr="00472018">
        <w:rPr>
          <w:rFonts w:asciiTheme="minorHAnsi" w:hAnsiTheme="minorHAnsi" w:cstheme="minorHAnsi"/>
          <w:sz w:val="24"/>
        </w:rPr>
        <w:t>ny</w:t>
      </w:r>
      <w:r w:rsidR="00326F4F" w:rsidRPr="00472018">
        <w:rPr>
          <w:rFonts w:asciiTheme="minorHAnsi" w:hAnsiTheme="minorHAnsi" w:cstheme="minorHAnsi"/>
          <w:sz w:val="24"/>
        </w:rPr>
        <w:t xml:space="preserve"> future model</w:t>
      </w:r>
      <w:r w:rsidR="00AD5265" w:rsidRPr="00472018">
        <w:rPr>
          <w:rFonts w:asciiTheme="minorHAnsi" w:hAnsiTheme="minorHAnsi" w:cstheme="minorHAnsi"/>
          <w:sz w:val="24"/>
        </w:rPr>
        <w:t xml:space="preserve"> should be</w:t>
      </w:r>
      <w:r w:rsidR="00EB3970" w:rsidRPr="00472018">
        <w:rPr>
          <w:rFonts w:asciiTheme="minorHAnsi" w:hAnsiTheme="minorHAnsi" w:cstheme="minorHAnsi"/>
          <w:sz w:val="24"/>
        </w:rPr>
        <w:t xml:space="preserve"> based on</w:t>
      </w:r>
      <w:r w:rsidR="000C397E" w:rsidRPr="00472018">
        <w:rPr>
          <w:rFonts w:asciiTheme="minorHAnsi" w:hAnsiTheme="minorHAnsi" w:cstheme="minorHAnsi"/>
          <w:sz w:val="24"/>
        </w:rPr>
        <w:t xml:space="preserve"> the Union’s own reflection of</w:t>
      </w:r>
      <w:r w:rsidR="00AD5265" w:rsidRPr="00472018">
        <w:rPr>
          <w:rFonts w:asciiTheme="minorHAnsi" w:hAnsiTheme="minorHAnsi" w:cstheme="minorHAnsi"/>
          <w:sz w:val="24"/>
        </w:rPr>
        <w:t xml:space="preserve"> how its reg</w:t>
      </w:r>
      <w:r w:rsidR="00D5334D" w:rsidRPr="00472018">
        <w:rPr>
          <w:rFonts w:asciiTheme="minorHAnsi" w:hAnsiTheme="minorHAnsi" w:cstheme="minorHAnsi"/>
          <w:sz w:val="24"/>
        </w:rPr>
        <w:t>ional presence can best support</w:t>
      </w:r>
      <w:r w:rsidR="004A5C65" w:rsidRPr="00472018">
        <w:rPr>
          <w:rFonts w:asciiTheme="minorHAnsi" w:hAnsiTheme="minorHAnsi" w:cstheme="minorHAnsi"/>
          <w:sz w:val="24"/>
        </w:rPr>
        <w:t xml:space="preserve"> </w:t>
      </w:r>
      <w:r w:rsidR="00AD5265" w:rsidRPr="00472018">
        <w:rPr>
          <w:rFonts w:asciiTheme="minorHAnsi" w:hAnsiTheme="minorHAnsi" w:cstheme="minorHAnsi"/>
          <w:sz w:val="24"/>
        </w:rPr>
        <w:t>mandate delivery</w:t>
      </w:r>
      <w:r w:rsidR="000C397E" w:rsidRPr="00472018">
        <w:rPr>
          <w:rFonts w:asciiTheme="minorHAnsi" w:hAnsiTheme="minorHAnsi" w:cstheme="minorHAnsi"/>
          <w:sz w:val="24"/>
        </w:rPr>
        <w:t xml:space="preserve">. </w:t>
      </w:r>
      <w:r w:rsidR="00FE6DB9" w:rsidRPr="00472018">
        <w:rPr>
          <w:rFonts w:asciiTheme="minorHAnsi" w:hAnsiTheme="minorHAnsi" w:cstheme="minorHAnsi"/>
          <w:sz w:val="24"/>
        </w:rPr>
        <w:t>Specifically, given</w:t>
      </w:r>
      <w:r w:rsidR="00EB3970" w:rsidRPr="00472018">
        <w:rPr>
          <w:rFonts w:asciiTheme="minorHAnsi" w:hAnsiTheme="minorHAnsi" w:cstheme="minorHAnsi"/>
          <w:sz w:val="24"/>
        </w:rPr>
        <w:t xml:space="preserve"> limited overall resources</w:t>
      </w:r>
      <w:r w:rsidR="00F30583" w:rsidRPr="00472018">
        <w:rPr>
          <w:rFonts w:asciiTheme="minorHAnsi" w:hAnsiTheme="minorHAnsi" w:cstheme="minorHAnsi"/>
          <w:sz w:val="24"/>
        </w:rPr>
        <w:t xml:space="preserve"> of the Union</w:t>
      </w:r>
      <w:r w:rsidR="00EB3970" w:rsidRPr="00472018">
        <w:rPr>
          <w:rFonts w:asciiTheme="minorHAnsi" w:hAnsiTheme="minorHAnsi" w:cstheme="minorHAnsi"/>
          <w:sz w:val="24"/>
        </w:rPr>
        <w:t xml:space="preserve">, </w:t>
      </w:r>
      <w:r w:rsidR="00DC496F" w:rsidRPr="00472018">
        <w:rPr>
          <w:rFonts w:asciiTheme="minorHAnsi" w:hAnsiTheme="minorHAnsi" w:cstheme="minorHAnsi"/>
          <w:sz w:val="24"/>
        </w:rPr>
        <w:t xml:space="preserve">questions </w:t>
      </w:r>
      <w:r w:rsidR="000C397E" w:rsidRPr="00472018">
        <w:rPr>
          <w:rFonts w:asciiTheme="minorHAnsi" w:hAnsiTheme="minorHAnsi" w:cstheme="minorHAnsi"/>
          <w:sz w:val="24"/>
        </w:rPr>
        <w:t xml:space="preserve">and decisions </w:t>
      </w:r>
      <w:r w:rsidR="00DC496F" w:rsidRPr="00472018">
        <w:rPr>
          <w:rFonts w:asciiTheme="minorHAnsi" w:hAnsiTheme="minorHAnsi" w:cstheme="minorHAnsi"/>
          <w:sz w:val="24"/>
        </w:rPr>
        <w:t xml:space="preserve">related to resource allocation </w:t>
      </w:r>
      <w:r w:rsidR="00EB3970" w:rsidRPr="00472018">
        <w:rPr>
          <w:rFonts w:asciiTheme="minorHAnsi" w:hAnsiTheme="minorHAnsi" w:cstheme="minorHAnsi"/>
          <w:sz w:val="24"/>
        </w:rPr>
        <w:t>(</w:t>
      </w:r>
      <w:proofErr w:type="gramStart"/>
      <w:r w:rsidR="00EB3970" w:rsidRPr="00472018">
        <w:rPr>
          <w:rFonts w:asciiTheme="minorHAnsi" w:hAnsiTheme="minorHAnsi" w:cstheme="minorHAnsi"/>
          <w:sz w:val="24"/>
        </w:rPr>
        <w:t>e.g.</w:t>
      </w:r>
      <w:proofErr w:type="gramEnd"/>
      <w:r w:rsidR="00EB3970" w:rsidRPr="00472018">
        <w:rPr>
          <w:rFonts w:asciiTheme="minorHAnsi" w:hAnsiTheme="minorHAnsi" w:cstheme="minorHAnsi"/>
          <w:sz w:val="24"/>
        </w:rPr>
        <w:t xml:space="preserve"> number and level of </w:t>
      </w:r>
      <w:r w:rsidR="00DC496F" w:rsidRPr="00472018">
        <w:rPr>
          <w:rFonts w:asciiTheme="minorHAnsi" w:hAnsiTheme="minorHAnsi" w:cstheme="minorHAnsi"/>
          <w:sz w:val="24"/>
        </w:rPr>
        <w:t>st</w:t>
      </w:r>
      <w:r w:rsidR="00EB3970" w:rsidRPr="00472018">
        <w:rPr>
          <w:rFonts w:asciiTheme="minorHAnsi" w:hAnsiTheme="minorHAnsi" w:cstheme="minorHAnsi"/>
          <w:sz w:val="24"/>
        </w:rPr>
        <w:t>affing</w:t>
      </w:r>
      <w:r w:rsidR="000C397E" w:rsidRPr="00472018">
        <w:rPr>
          <w:rFonts w:asciiTheme="minorHAnsi" w:hAnsiTheme="minorHAnsi" w:cstheme="minorHAnsi"/>
          <w:sz w:val="24"/>
        </w:rPr>
        <w:t xml:space="preserve">) should be according – and hence subsequent – to </w:t>
      </w:r>
      <w:r w:rsidR="00DF3854" w:rsidRPr="00472018">
        <w:rPr>
          <w:rFonts w:asciiTheme="minorHAnsi" w:hAnsiTheme="minorHAnsi" w:cstheme="minorHAnsi"/>
          <w:sz w:val="24"/>
        </w:rPr>
        <w:t>specific</w:t>
      </w:r>
      <w:r w:rsidR="000C397E" w:rsidRPr="00472018">
        <w:rPr>
          <w:rFonts w:asciiTheme="minorHAnsi" w:hAnsiTheme="minorHAnsi" w:cstheme="minorHAnsi"/>
          <w:sz w:val="24"/>
        </w:rPr>
        <w:t xml:space="preserve"> </w:t>
      </w:r>
      <w:r w:rsidR="00EB3970" w:rsidRPr="00472018">
        <w:rPr>
          <w:rFonts w:asciiTheme="minorHAnsi" w:hAnsiTheme="minorHAnsi" w:cstheme="minorHAnsi"/>
          <w:sz w:val="24"/>
        </w:rPr>
        <w:t xml:space="preserve">needs </w:t>
      </w:r>
      <w:r w:rsidR="007366E9" w:rsidRPr="00472018">
        <w:rPr>
          <w:rFonts w:asciiTheme="minorHAnsi" w:hAnsiTheme="minorHAnsi" w:cstheme="minorHAnsi"/>
          <w:sz w:val="24"/>
        </w:rPr>
        <w:t xml:space="preserve">of the </w:t>
      </w:r>
      <w:r w:rsidR="00DF3854" w:rsidRPr="00472018">
        <w:rPr>
          <w:rFonts w:asciiTheme="minorHAnsi" w:hAnsiTheme="minorHAnsi" w:cstheme="minorHAnsi"/>
          <w:sz w:val="24"/>
        </w:rPr>
        <w:t xml:space="preserve">ITU </w:t>
      </w:r>
      <w:r w:rsidR="007366E9" w:rsidRPr="00472018">
        <w:rPr>
          <w:rFonts w:asciiTheme="minorHAnsi" w:hAnsiTheme="minorHAnsi" w:cstheme="minorHAnsi"/>
          <w:sz w:val="24"/>
        </w:rPr>
        <w:t xml:space="preserve">and its offices </w:t>
      </w:r>
      <w:r w:rsidR="00EB3970" w:rsidRPr="00472018">
        <w:rPr>
          <w:rFonts w:asciiTheme="minorHAnsi" w:hAnsiTheme="minorHAnsi" w:cstheme="minorHAnsi"/>
          <w:sz w:val="24"/>
        </w:rPr>
        <w:t>to</w:t>
      </w:r>
      <w:r w:rsidR="00EF0571" w:rsidRPr="00472018">
        <w:rPr>
          <w:rFonts w:asciiTheme="minorHAnsi" w:hAnsiTheme="minorHAnsi" w:cstheme="minorHAnsi"/>
          <w:sz w:val="24"/>
        </w:rPr>
        <w:t xml:space="preserve"> effectively</w:t>
      </w:r>
      <w:r w:rsidR="00EB3970" w:rsidRPr="00472018">
        <w:rPr>
          <w:rFonts w:asciiTheme="minorHAnsi" w:hAnsiTheme="minorHAnsi" w:cstheme="minorHAnsi"/>
          <w:sz w:val="24"/>
        </w:rPr>
        <w:t xml:space="preserve"> </w:t>
      </w:r>
      <w:r w:rsidR="00EF0571" w:rsidRPr="00472018">
        <w:rPr>
          <w:rFonts w:asciiTheme="minorHAnsi" w:hAnsiTheme="minorHAnsi" w:cstheme="minorHAnsi"/>
          <w:sz w:val="24"/>
        </w:rPr>
        <w:t>and efficiently deliver impact</w:t>
      </w:r>
      <w:r w:rsidR="000C397E" w:rsidRPr="00472018">
        <w:rPr>
          <w:rFonts w:asciiTheme="minorHAnsi" w:hAnsiTheme="minorHAnsi" w:cstheme="minorHAnsi"/>
          <w:sz w:val="24"/>
        </w:rPr>
        <w:t>;</w:t>
      </w:r>
      <w:r w:rsidR="00EB3970" w:rsidRPr="00472018">
        <w:rPr>
          <w:rFonts w:asciiTheme="minorHAnsi" w:hAnsiTheme="minorHAnsi" w:cstheme="minorHAnsi"/>
          <w:sz w:val="24"/>
        </w:rPr>
        <w:t xml:space="preserve"> </w:t>
      </w:r>
      <w:r w:rsidR="00EB3970" w:rsidRPr="005F2E0F">
        <w:rPr>
          <w:rFonts w:asciiTheme="minorHAnsi" w:hAnsiTheme="minorHAnsi" w:cstheme="minorHAnsi"/>
          <w:spacing w:val="-4"/>
          <w:sz w:val="24"/>
        </w:rPr>
        <w:t xml:space="preserve">rather </w:t>
      </w:r>
      <w:r w:rsidR="00AD4F03" w:rsidRPr="005F2E0F">
        <w:rPr>
          <w:rFonts w:asciiTheme="minorHAnsi" w:hAnsiTheme="minorHAnsi" w:cstheme="minorHAnsi"/>
          <w:spacing w:val="-4"/>
          <w:sz w:val="24"/>
        </w:rPr>
        <w:t xml:space="preserve">than </w:t>
      </w:r>
      <w:r w:rsidR="00D5334D" w:rsidRPr="005F2E0F">
        <w:rPr>
          <w:rFonts w:asciiTheme="minorHAnsi" w:hAnsiTheme="minorHAnsi" w:cstheme="minorHAnsi"/>
          <w:spacing w:val="-4"/>
          <w:sz w:val="24"/>
        </w:rPr>
        <w:t>on</w:t>
      </w:r>
      <w:r w:rsidR="003201AF" w:rsidRPr="005F2E0F">
        <w:rPr>
          <w:rFonts w:asciiTheme="minorHAnsi" w:hAnsiTheme="minorHAnsi" w:cstheme="minorHAnsi"/>
          <w:spacing w:val="-4"/>
          <w:sz w:val="24"/>
        </w:rPr>
        <w:t xml:space="preserve"> </w:t>
      </w:r>
      <w:r w:rsidR="00FE6DB9" w:rsidRPr="005F2E0F">
        <w:rPr>
          <w:rFonts w:asciiTheme="minorHAnsi" w:hAnsiTheme="minorHAnsi" w:cstheme="minorHAnsi"/>
          <w:spacing w:val="-4"/>
          <w:sz w:val="24"/>
        </w:rPr>
        <w:t>any pre-defined</w:t>
      </w:r>
      <w:r w:rsidR="00D5334D" w:rsidRPr="005F2E0F">
        <w:rPr>
          <w:rFonts w:asciiTheme="minorHAnsi" w:hAnsiTheme="minorHAnsi" w:cstheme="minorHAnsi"/>
          <w:spacing w:val="-4"/>
          <w:sz w:val="24"/>
        </w:rPr>
        <w:t>, top-down</w:t>
      </w:r>
      <w:r w:rsidR="002B44B6" w:rsidRPr="005F2E0F">
        <w:rPr>
          <w:rFonts w:asciiTheme="minorHAnsi" w:hAnsiTheme="minorHAnsi" w:cstheme="minorHAnsi"/>
          <w:spacing w:val="-4"/>
          <w:sz w:val="24"/>
        </w:rPr>
        <w:t xml:space="preserve"> </w:t>
      </w:r>
      <w:r w:rsidR="003201AF" w:rsidRPr="005F2E0F">
        <w:rPr>
          <w:rFonts w:asciiTheme="minorHAnsi" w:hAnsiTheme="minorHAnsi" w:cstheme="minorHAnsi"/>
          <w:spacing w:val="-4"/>
          <w:sz w:val="24"/>
        </w:rPr>
        <w:t>model</w:t>
      </w:r>
      <w:r w:rsidR="00D5334D" w:rsidRPr="005F2E0F">
        <w:rPr>
          <w:rFonts w:asciiTheme="minorHAnsi" w:hAnsiTheme="minorHAnsi" w:cstheme="minorHAnsi"/>
          <w:spacing w:val="-4"/>
          <w:sz w:val="24"/>
        </w:rPr>
        <w:t>.</w:t>
      </w:r>
      <w:r w:rsidR="00507DF0" w:rsidRPr="005F2E0F">
        <w:rPr>
          <w:rFonts w:asciiTheme="minorHAnsi" w:hAnsiTheme="minorHAnsi" w:cstheme="minorHAnsi"/>
          <w:spacing w:val="-4"/>
          <w:sz w:val="24"/>
        </w:rPr>
        <w:t xml:space="preserve"> </w:t>
      </w:r>
      <w:r w:rsidR="00F40E57" w:rsidRPr="005F2E0F">
        <w:rPr>
          <w:rFonts w:asciiTheme="minorHAnsi" w:hAnsiTheme="minorHAnsi" w:cstheme="minorHAnsi"/>
          <w:spacing w:val="-4"/>
          <w:sz w:val="24"/>
        </w:rPr>
        <w:t xml:space="preserve">Furthermore, </w:t>
      </w:r>
      <w:r w:rsidR="000C397E" w:rsidRPr="005F2E0F">
        <w:rPr>
          <w:rFonts w:asciiTheme="minorHAnsi" w:hAnsiTheme="minorHAnsi" w:cstheme="minorHAnsi"/>
          <w:spacing w:val="-4"/>
          <w:sz w:val="24"/>
        </w:rPr>
        <w:t xml:space="preserve">it is Switzerland’s view that </w:t>
      </w:r>
      <w:r w:rsidR="00F40E57" w:rsidRPr="005F2E0F">
        <w:rPr>
          <w:rFonts w:asciiTheme="minorHAnsi" w:hAnsiTheme="minorHAnsi" w:cstheme="minorHAnsi"/>
          <w:spacing w:val="-4"/>
          <w:sz w:val="24"/>
        </w:rPr>
        <w:t>t</w:t>
      </w:r>
      <w:r w:rsidR="007366E9" w:rsidRPr="005F2E0F">
        <w:rPr>
          <w:rFonts w:asciiTheme="minorHAnsi" w:hAnsiTheme="minorHAnsi" w:cstheme="minorHAnsi"/>
          <w:spacing w:val="-4"/>
          <w:sz w:val="24"/>
        </w:rPr>
        <w:t xml:space="preserve">he implementation of any </w:t>
      </w:r>
      <w:r w:rsidR="00AD4F03" w:rsidRPr="005F2E0F">
        <w:rPr>
          <w:rFonts w:asciiTheme="minorHAnsi" w:hAnsiTheme="minorHAnsi" w:cstheme="minorHAnsi"/>
          <w:spacing w:val="-4"/>
          <w:sz w:val="24"/>
        </w:rPr>
        <w:t xml:space="preserve">pre-defined </w:t>
      </w:r>
      <w:r w:rsidR="002B44B6" w:rsidRPr="005F2E0F">
        <w:rPr>
          <w:rFonts w:asciiTheme="minorHAnsi" w:hAnsiTheme="minorHAnsi" w:cstheme="minorHAnsi"/>
          <w:spacing w:val="-4"/>
          <w:sz w:val="24"/>
        </w:rPr>
        <w:t xml:space="preserve">delivery </w:t>
      </w:r>
      <w:r w:rsidR="007366E9" w:rsidRPr="005F2E0F">
        <w:rPr>
          <w:rFonts w:asciiTheme="minorHAnsi" w:hAnsiTheme="minorHAnsi" w:cstheme="minorHAnsi"/>
          <w:spacing w:val="-4"/>
          <w:sz w:val="24"/>
        </w:rPr>
        <w:t>model in the absence of a preceding planning</w:t>
      </w:r>
      <w:r w:rsidR="007366E9" w:rsidRPr="005F2E0F">
        <w:rPr>
          <w:rFonts w:asciiTheme="minorHAnsi" w:hAnsiTheme="minorHAnsi" w:cstheme="minorHAnsi"/>
          <w:spacing w:val="-2"/>
          <w:sz w:val="24"/>
        </w:rPr>
        <w:t xml:space="preserve"> </w:t>
      </w:r>
      <w:r w:rsidR="007366E9" w:rsidRPr="00472018">
        <w:rPr>
          <w:rFonts w:asciiTheme="minorHAnsi" w:hAnsiTheme="minorHAnsi" w:cstheme="minorHAnsi"/>
          <w:sz w:val="24"/>
        </w:rPr>
        <w:t>(</w:t>
      </w:r>
      <w:r w:rsidR="00AD4F03" w:rsidRPr="00472018">
        <w:rPr>
          <w:rFonts w:asciiTheme="minorHAnsi" w:hAnsiTheme="minorHAnsi" w:cstheme="minorHAnsi"/>
          <w:sz w:val="24"/>
        </w:rPr>
        <w:t xml:space="preserve">incl. </w:t>
      </w:r>
      <w:r w:rsidR="007366E9" w:rsidRPr="00472018">
        <w:rPr>
          <w:rFonts w:asciiTheme="minorHAnsi" w:hAnsiTheme="minorHAnsi" w:cstheme="minorHAnsi"/>
          <w:sz w:val="24"/>
        </w:rPr>
        <w:t>e</w:t>
      </w:r>
      <w:r w:rsidR="00507DF0" w:rsidRPr="00472018">
        <w:rPr>
          <w:rFonts w:asciiTheme="minorHAnsi" w:hAnsiTheme="minorHAnsi" w:cstheme="minorHAnsi"/>
          <w:sz w:val="24"/>
        </w:rPr>
        <w:t>xpected outcomes</w:t>
      </w:r>
      <w:r w:rsidR="007366E9" w:rsidRPr="00472018">
        <w:rPr>
          <w:rFonts w:asciiTheme="minorHAnsi" w:hAnsiTheme="minorHAnsi" w:cstheme="minorHAnsi"/>
          <w:sz w:val="24"/>
        </w:rPr>
        <w:t xml:space="preserve">, focus of activities, etc.) could lead to </w:t>
      </w:r>
      <w:r w:rsidR="00F40E57" w:rsidRPr="00472018">
        <w:rPr>
          <w:rFonts w:asciiTheme="minorHAnsi" w:hAnsiTheme="minorHAnsi" w:cstheme="minorHAnsi"/>
          <w:sz w:val="24"/>
        </w:rPr>
        <w:t xml:space="preserve">an </w:t>
      </w:r>
      <w:r w:rsidR="007366E9" w:rsidRPr="00472018">
        <w:rPr>
          <w:rFonts w:asciiTheme="minorHAnsi" w:hAnsiTheme="minorHAnsi" w:cstheme="minorHAnsi"/>
          <w:sz w:val="24"/>
        </w:rPr>
        <w:t>inefficient</w:t>
      </w:r>
      <w:r w:rsidR="00AD4F03" w:rsidRPr="00472018">
        <w:rPr>
          <w:rFonts w:asciiTheme="minorHAnsi" w:hAnsiTheme="minorHAnsi" w:cstheme="minorHAnsi"/>
          <w:sz w:val="24"/>
        </w:rPr>
        <w:t xml:space="preserve"> and ineffective</w:t>
      </w:r>
      <w:r w:rsidR="007366E9" w:rsidRPr="00472018">
        <w:rPr>
          <w:rFonts w:asciiTheme="minorHAnsi" w:hAnsiTheme="minorHAnsi" w:cstheme="minorHAnsi"/>
          <w:sz w:val="24"/>
        </w:rPr>
        <w:t xml:space="preserve"> resou</w:t>
      </w:r>
      <w:r w:rsidR="00751703" w:rsidRPr="00472018">
        <w:rPr>
          <w:rFonts w:asciiTheme="minorHAnsi" w:hAnsiTheme="minorHAnsi" w:cstheme="minorHAnsi"/>
          <w:sz w:val="24"/>
        </w:rPr>
        <w:t xml:space="preserve">rce allocation and thereby </w:t>
      </w:r>
      <w:r w:rsidR="000C397E" w:rsidRPr="00472018">
        <w:rPr>
          <w:rFonts w:asciiTheme="minorHAnsi" w:hAnsiTheme="minorHAnsi" w:cstheme="minorHAnsi"/>
          <w:sz w:val="24"/>
        </w:rPr>
        <w:t xml:space="preserve">risk </w:t>
      </w:r>
      <w:proofErr w:type="gramStart"/>
      <w:r w:rsidR="000C397E" w:rsidRPr="00472018">
        <w:rPr>
          <w:rFonts w:asciiTheme="minorHAnsi" w:hAnsiTheme="minorHAnsi" w:cstheme="minorHAnsi"/>
          <w:sz w:val="24"/>
        </w:rPr>
        <w:t>to weaken</w:t>
      </w:r>
      <w:proofErr w:type="gramEnd"/>
      <w:r w:rsidR="00751703" w:rsidRPr="00472018">
        <w:rPr>
          <w:rFonts w:asciiTheme="minorHAnsi" w:hAnsiTheme="minorHAnsi" w:cstheme="minorHAnsi"/>
          <w:sz w:val="24"/>
        </w:rPr>
        <w:t xml:space="preserve"> the ITU’s</w:t>
      </w:r>
      <w:r w:rsidR="000C397E" w:rsidRPr="00472018">
        <w:rPr>
          <w:rFonts w:asciiTheme="minorHAnsi" w:hAnsiTheme="minorHAnsi" w:cstheme="minorHAnsi"/>
          <w:sz w:val="24"/>
        </w:rPr>
        <w:t xml:space="preserve"> overall</w:t>
      </w:r>
      <w:r w:rsidR="00751703" w:rsidRPr="00472018">
        <w:rPr>
          <w:rFonts w:asciiTheme="minorHAnsi" w:hAnsiTheme="minorHAnsi" w:cstheme="minorHAnsi"/>
          <w:sz w:val="24"/>
        </w:rPr>
        <w:t xml:space="preserve"> capacity to deliver. </w:t>
      </w:r>
    </w:p>
    <w:p w14:paraId="1349EAD9" w14:textId="4D509EB3" w:rsidR="00FE6DB9" w:rsidRPr="00472018" w:rsidRDefault="009926DF" w:rsidP="005F2E0F">
      <w:pPr>
        <w:spacing w:before="360" w:after="120"/>
        <w:jc w:val="both"/>
        <w:rPr>
          <w:rFonts w:asciiTheme="minorHAnsi" w:hAnsiTheme="minorHAnsi" w:cstheme="minorHAnsi"/>
          <w:b/>
          <w:sz w:val="24"/>
        </w:rPr>
      </w:pPr>
      <w:r w:rsidRPr="00472018">
        <w:rPr>
          <w:rFonts w:asciiTheme="minorHAnsi" w:hAnsiTheme="minorHAnsi" w:cstheme="minorHAnsi"/>
          <w:b/>
          <w:sz w:val="24"/>
        </w:rPr>
        <w:t>Strategic planning</w:t>
      </w:r>
      <w:r w:rsidR="003902E3" w:rsidRPr="00472018">
        <w:rPr>
          <w:rFonts w:asciiTheme="minorHAnsi" w:hAnsiTheme="minorHAnsi" w:cstheme="minorHAnsi"/>
          <w:b/>
          <w:sz w:val="24"/>
        </w:rPr>
        <w:t xml:space="preserve"> </w:t>
      </w:r>
    </w:p>
    <w:p w14:paraId="786567C1" w14:textId="30533A84" w:rsidR="002B44B6" w:rsidRPr="00472018" w:rsidRDefault="00F40E57" w:rsidP="00472018">
      <w:pPr>
        <w:spacing w:before="120" w:after="120"/>
        <w:jc w:val="both"/>
        <w:rPr>
          <w:rFonts w:asciiTheme="minorHAnsi" w:hAnsiTheme="minorHAnsi" w:cstheme="minorHAnsi"/>
          <w:sz w:val="24"/>
        </w:rPr>
      </w:pPr>
      <w:r w:rsidRPr="00472018">
        <w:rPr>
          <w:rFonts w:asciiTheme="minorHAnsi" w:hAnsiTheme="minorHAnsi" w:cstheme="minorHAnsi"/>
          <w:sz w:val="24"/>
        </w:rPr>
        <w:t>Accordingly, it is</w:t>
      </w:r>
      <w:r w:rsidR="0072652E" w:rsidRPr="00472018">
        <w:rPr>
          <w:rFonts w:asciiTheme="minorHAnsi" w:hAnsiTheme="minorHAnsi" w:cstheme="minorHAnsi"/>
          <w:sz w:val="24"/>
        </w:rPr>
        <w:t xml:space="preserve"> </w:t>
      </w:r>
      <w:r w:rsidR="00D5334D" w:rsidRPr="00472018">
        <w:rPr>
          <w:rFonts w:asciiTheme="minorHAnsi" w:hAnsiTheme="minorHAnsi" w:cstheme="minorHAnsi"/>
          <w:sz w:val="24"/>
        </w:rPr>
        <w:t>Switzerland</w:t>
      </w:r>
      <w:r w:rsidR="0072652E" w:rsidRPr="00472018">
        <w:rPr>
          <w:rFonts w:asciiTheme="minorHAnsi" w:hAnsiTheme="minorHAnsi" w:cstheme="minorHAnsi"/>
          <w:sz w:val="24"/>
        </w:rPr>
        <w:t>’s view</w:t>
      </w:r>
      <w:r w:rsidR="009926DF" w:rsidRPr="00472018">
        <w:rPr>
          <w:rFonts w:asciiTheme="minorHAnsi" w:hAnsiTheme="minorHAnsi" w:cstheme="minorHAnsi"/>
          <w:sz w:val="24"/>
        </w:rPr>
        <w:t xml:space="preserve"> that </w:t>
      </w:r>
      <w:r w:rsidR="00D5334D" w:rsidRPr="00472018">
        <w:rPr>
          <w:rFonts w:asciiTheme="minorHAnsi" w:hAnsiTheme="minorHAnsi" w:cstheme="minorHAnsi"/>
          <w:sz w:val="24"/>
        </w:rPr>
        <w:t xml:space="preserve">a coherent strategic framework </w:t>
      </w:r>
      <w:r w:rsidRPr="00472018">
        <w:rPr>
          <w:rFonts w:asciiTheme="minorHAnsi" w:hAnsiTheme="minorHAnsi" w:cstheme="minorHAnsi"/>
          <w:sz w:val="24"/>
        </w:rPr>
        <w:t xml:space="preserve">with a sharp programmatic focus </w:t>
      </w:r>
      <w:r w:rsidR="00D5334D" w:rsidRPr="00472018">
        <w:rPr>
          <w:rFonts w:asciiTheme="minorHAnsi" w:hAnsiTheme="minorHAnsi" w:cstheme="minorHAnsi"/>
          <w:sz w:val="24"/>
        </w:rPr>
        <w:t xml:space="preserve">should be </w:t>
      </w:r>
      <w:r w:rsidR="009926DF" w:rsidRPr="00472018">
        <w:rPr>
          <w:rFonts w:asciiTheme="minorHAnsi" w:hAnsiTheme="minorHAnsi" w:cstheme="minorHAnsi"/>
          <w:sz w:val="24"/>
        </w:rPr>
        <w:t xml:space="preserve">the basis </w:t>
      </w:r>
      <w:r w:rsidR="007366E9" w:rsidRPr="00472018">
        <w:rPr>
          <w:rFonts w:asciiTheme="minorHAnsi" w:hAnsiTheme="minorHAnsi" w:cstheme="minorHAnsi"/>
          <w:sz w:val="24"/>
        </w:rPr>
        <w:t>for the Union’s future regional presence</w:t>
      </w:r>
      <w:r w:rsidR="000C397E" w:rsidRPr="00472018">
        <w:rPr>
          <w:rFonts w:asciiTheme="minorHAnsi" w:hAnsiTheme="minorHAnsi" w:cstheme="minorHAnsi"/>
          <w:sz w:val="24"/>
        </w:rPr>
        <w:t xml:space="preserve"> model, as equally laid out in Recommendation 1.2 in the PWC report.</w:t>
      </w:r>
    </w:p>
    <w:p w14:paraId="77739B42" w14:textId="7994643D" w:rsidR="002B44B6" w:rsidRPr="00472018" w:rsidRDefault="0072652E" w:rsidP="00472018">
      <w:pPr>
        <w:spacing w:before="120" w:after="120"/>
        <w:jc w:val="both"/>
        <w:rPr>
          <w:rFonts w:asciiTheme="minorHAnsi" w:hAnsiTheme="minorHAnsi" w:cs="Times New Roman Bold"/>
          <w:spacing w:val="-4"/>
          <w:sz w:val="24"/>
        </w:rPr>
      </w:pPr>
      <w:r w:rsidRPr="00472018">
        <w:rPr>
          <w:rFonts w:asciiTheme="minorHAnsi" w:hAnsiTheme="minorHAnsi" w:cstheme="minorHAnsi"/>
          <w:sz w:val="24"/>
        </w:rPr>
        <w:t xml:space="preserve">In its comment in </w:t>
      </w:r>
      <w:r w:rsidRPr="00472018">
        <w:rPr>
          <w:rFonts w:asciiTheme="minorHAnsi" w:hAnsiTheme="minorHAnsi" w:cstheme="minorHAnsi"/>
          <w:i/>
          <w:sz w:val="24"/>
        </w:rPr>
        <w:t>Annex 3</w:t>
      </w:r>
      <w:r w:rsidRPr="00472018">
        <w:rPr>
          <w:rFonts w:asciiTheme="minorHAnsi" w:hAnsiTheme="minorHAnsi" w:cstheme="minorHAnsi"/>
          <w:sz w:val="24"/>
        </w:rPr>
        <w:t xml:space="preserve"> of Document </w:t>
      </w:r>
      <w:hyperlink r:id="rId17" w:history="1">
        <w:r w:rsidR="009926DF" w:rsidRPr="005F2E0F">
          <w:rPr>
            <w:rStyle w:val="Hyperlink"/>
            <w:rFonts w:asciiTheme="minorHAnsi" w:hAnsiTheme="minorHAnsi" w:cs="Times New Roman Bold"/>
            <w:i/>
            <w:spacing w:val="-4"/>
            <w:sz w:val="24"/>
          </w:rPr>
          <w:t>CWG-FHR-AH-RegPres-1/4</w:t>
        </w:r>
      </w:hyperlink>
      <w:r w:rsidR="009926DF" w:rsidRPr="00472018">
        <w:rPr>
          <w:rFonts w:asciiTheme="minorHAnsi" w:hAnsiTheme="minorHAnsi" w:cs="Times New Roman Bold"/>
          <w:b/>
          <w:spacing w:val="-4"/>
          <w:sz w:val="24"/>
        </w:rPr>
        <w:t xml:space="preserve"> </w:t>
      </w:r>
      <w:r w:rsidR="009926DF" w:rsidRPr="00472018">
        <w:rPr>
          <w:rFonts w:asciiTheme="minorHAnsi" w:hAnsiTheme="minorHAnsi" w:cs="Times New Roman Bold"/>
          <w:spacing w:val="-4"/>
          <w:sz w:val="24"/>
        </w:rPr>
        <w:t>regarding Recommendation</w:t>
      </w:r>
      <w:r w:rsidR="002B44B6" w:rsidRPr="00472018">
        <w:rPr>
          <w:rFonts w:asciiTheme="minorHAnsi" w:hAnsiTheme="minorHAnsi" w:cs="Times New Roman Bold"/>
          <w:spacing w:val="-4"/>
          <w:sz w:val="24"/>
        </w:rPr>
        <w:t xml:space="preserve"> 1.2.1, the Secretariat mentions</w:t>
      </w:r>
      <w:r w:rsidR="009926DF" w:rsidRPr="00472018">
        <w:rPr>
          <w:rFonts w:asciiTheme="minorHAnsi" w:hAnsiTheme="minorHAnsi" w:cs="Times New Roman Bold"/>
          <w:spacing w:val="-4"/>
          <w:sz w:val="24"/>
        </w:rPr>
        <w:t xml:space="preserve"> “</w:t>
      </w:r>
      <w:r w:rsidR="002B44B6" w:rsidRPr="00472018">
        <w:rPr>
          <w:rFonts w:asciiTheme="minorHAnsi" w:hAnsiTheme="minorHAnsi" w:cs="Times New Roman Bold"/>
          <w:i/>
          <w:spacing w:val="-4"/>
          <w:sz w:val="24"/>
        </w:rPr>
        <w:t>t</w:t>
      </w:r>
      <w:r w:rsidR="002B44B6" w:rsidRPr="00472018">
        <w:rPr>
          <w:rFonts w:asciiTheme="minorHAnsi" w:hAnsiTheme="minorHAnsi" w:cstheme="minorHAnsi"/>
          <w:i/>
          <w:sz w:val="24"/>
        </w:rPr>
        <w:t xml:space="preserve">hat a review of the Strategic and Planning Framework would result in better alignment with the RBM approach already being implemented by BDT, and would make for more effective, </w:t>
      </w:r>
      <w:proofErr w:type="spellStart"/>
      <w:r w:rsidR="002B44B6" w:rsidRPr="00472018">
        <w:rPr>
          <w:rFonts w:asciiTheme="minorHAnsi" w:hAnsiTheme="minorHAnsi" w:cstheme="minorHAnsi"/>
          <w:i/>
          <w:sz w:val="24"/>
        </w:rPr>
        <w:t>focussed</w:t>
      </w:r>
      <w:proofErr w:type="spellEnd"/>
      <w:r w:rsidR="002B44B6" w:rsidRPr="00472018">
        <w:rPr>
          <w:rFonts w:asciiTheme="minorHAnsi" w:hAnsiTheme="minorHAnsi" w:cstheme="minorHAnsi"/>
          <w:i/>
          <w:sz w:val="24"/>
        </w:rPr>
        <w:t xml:space="preserve"> and achievable targets for the ROs</w:t>
      </w:r>
      <w:r w:rsidR="002B44B6" w:rsidRPr="00472018">
        <w:rPr>
          <w:rFonts w:asciiTheme="minorHAnsi" w:hAnsiTheme="minorHAnsi" w:cstheme="minorHAnsi"/>
          <w:sz w:val="24"/>
        </w:rPr>
        <w:t>”</w:t>
      </w:r>
      <w:r w:rsidR="000C397E" w:rsidRPr="00472018">
        <w:rPr>
          <w:rFonts w:asciiTheme="minorHAnsi" w:hAnsiTheme="minorHAnsi" w:cstheme="minorHAnsi"/>
          <w:sz w:val="24"/>
        </w:rPr>
        <w:t>. It furthermore</w:t>
      </w:r>
      <w:r w:rsidR="002B44B6" w:rsidRPr="00472018">
        <w:rPr>
          <w:rFonts w:asciiTheme="minorHAnsi" w:hAnsiTheme="minorHAnsi" w:cstheme="minorHAnsi"/>
          <w:sz w:val="24"/>
        </w:rPr>
        <w:t xml:space="preserve"> lays out “</w:t>
      </w:r>
      <w:r w:rsidR="009926DF" w:rsidRPr="00472018">
        <w:rPr>
          <w:rFonts w:asciiTheme="minorHAnsi" w:hAnsiTheme="minorHAnsi" w:cs="Times New Roman Bold"/>
          <w:i/>
          <w:spacing w:val="-4"/>
          <w:sz w:val="24"/>
        </w:rPr>
        <w:t xml:space="preserve">that these matters would require significant revision of Council working methods related to the ITU </w:t>
      </w:r>
      <w:r w:rsidR="000C397E" w:rsidRPr="00472018">
        <w:rPr>
          <w:rFonts w:asciiTheme="minorHAnsi" w:hAnsiTheme="minorHAnsi" w:cs="Times New Roman Bold"/>
          <w:i/>
          <w:spacing w:val="-4"/>
          <w:sz w:val="24"/>
        </w:rPr>
        <w:t>Strategic and Operational Plans”</w:t>
      </w:r>
      <w:r w:rsidR="009926DF" w:rsidRPr="00472018">
        <w:rPr>
          <w:rFonts w:asciiTheme="minorHAnsi" w:hAnsiTheme="minorHAnsi" w:cs="Times New Roman Bold"/>
          <w:i/>
          <w:spacing w:val="-4"/>
          <w:sz w:val="24"/>
        </w:rPr>
        <w:t xml:space="preserve"> </w:t>
      </w:r>
      <w:r w:rsidR="009926DF" w:rsidRPr="00472018">
        <w:rPr>
          <w:rFonts w:asciiTheme="minorHAnsi" w:hAnsiTheme="minorHAnsi" w:cs="Times New Roman Bold"/>
          <w:spacing w:val="-4"/>
          <w:sz w:val="24"/>
        </w:rPr>
        <w:t>and suggests</w:t>
      </w:r>
      <w:r w:rsidR="009926DF" w:rsidRPr="00472018">
        <w:rPr>
          <w:rFonts w:asciiTheme="minorHAnsi" w:hAnsiTheme="minorHAnsi" w:cs="Times New Roman Bold"/>
          <w:i/>
          <w:spacing w:val="-4"/>
          <w:sz w:val="24"/>
        </w:rPr>
        <w:t xml:space="preserve"> </w:t>
      </w:r>
      <w:r w:rsidR="000C397E" w:rsidRPr="00472018">
        <w:rPr>
          <w:rFonts w:asciiTheme="minorHAnsi" w:hAnsiTheme="minorHAnsi" w:cs="Times New Roman Bold"/>
          <w:i/>
          <w:spacing w:val="-4"/>
          <w:sz w:val="24"/>
        </w:rPr>
        <w:t>“</w:t>
      </w:r>
      <w:r w:rsidR="009926DF" w:rsidRPr="00472018">
        <w:rPr>
          <w:rFonts w:asciiTheme="minorHAnsi" w:hAnsiTheme="minorHAnsi" w:cs="Times New Roman Bold"/>
          <w:i/>
          <w:spacing w:val="-4"/>
          <w:sz w:val="24"/>
        </w:rPr>
        <w:t>that this matter could be a focus for the CWG-FHR</w:t>
      </w:r>
      <w:r w:rsidR="009926DF" w:rsidRPr="00472018">
        <w:rPr>
          <w:rFonts w:asciiTheme="minorHAnsi" w:hAnsiTheme="minorHAnsi" w:cs="Times New Roman Bold"/>
          <w:spacing w:val="-4"/>
          <w:sz w:val="24"/>
        </w:rPr>
        <w:t>”</w:t>
      </w:r>
      <w:r w:rsidR="000C397E" w:rsidRPr="00472018">
        <w:rPr>
          <w:rFonts w:asciiTheme="minorHAnsi" w:hAnsiTheme="minorHAnsi" w:cs="Times New Roman Bold"/>
          <w:spacing w:val="-4"/>
          <w:sz w:val="24"/>
        </w:rPr>
        <w:t>.</w:t>
      </w:r>
      <w:r w:rsidR="009926DF" w:rsidRPr="00472018">
        <w:rPr>
          <w:rFonts w:asciiTheme="minorHAnsi" w:hAnsiTheme="minorHAnsi" w:cs="Times New Roman Bold"/>
          <w:spacing w:val="-4"/>
          <w:sz w:val="24"/>
        </w:rPr>
        <w:t xml:space="preserve"> </w:t>
      </w:r>
    </w:p>
    <w:p w14:paraId="5D104C4B" w14:textId="5F6D3F03" w:rsidR="008A123F" w:rsidRPr="00472018" w:rsidRDefault="004A4F43" w:rsidP="00472018">
      <w:pPr>
        <w:spacing w:before="120" w:after="120"/>
        <w:jc w:val="both"/>
        <w:rPr>
          <w:rFonts w:asciiTheme="minorHAnsi" w:hAnsiTheme="minorHAnsi" w:cstheme="minorHAnsi"/>
          <w:spacing w:val="-4"/>
          <w:sz w:val="24"/>
        </w:rPr>
      </w:pPr>
      <w:r w:rsidRPr="00472018">
        <w:rPr>
          <w:rFonts w:asciiTheme="minorHAnsi" w:hAnsiTheme="minorHAnsi" w:cstheme="minorHAnsi"/>
          <w:spacing w:val="-4"/>
          <w:sz w:val="24"/>
        </w:rPr>
        <w:t xml:space="preserve">Switzerland kindly requests the Secretariat to provide more information on how the interplay of strategic and operational planning processes at all levels could be improved. </w:t>
      </w:r>
      <w:r w:rsidR="008A123F" w:rsidRPr="00472018">
        <w:rPr>
          <w:rFonts w:asciiTheme="minorHAnsi" w:hAnsiTheme="minorHAnsi" w:cstheme="minorHAnsi"/>
          <w:spacing w:val="-4"/>
          <w:sz w:val="24"/>
        </w:rPr>
        <w:t>S</w:t>
      </w:r>
      <w:r w:rsidR="000C397E" w:rsidRPr="00472018">
        <w:rPr>
          <w:rFonts w:asciiTheme="minorHAnsi" w:hAnsiTheme="minorHAnsi" w:cstheme="minorHAnsi"/>
          <w:spacing w:val="-4"/>
          <w:sz w:val="24"/>
        </w:rPr>
        <w:t xml:space="preserve">uch </w:t>
      </w:r>
      <w:r w:rsidR="00173BA5" w:rsidRPr="00472018">
        <w:rPr>
          <w:rFonts w:asciiTheme="minorHAnsi" w:hAnsiTheme="minorHAnsi" w:cstheme="minorHAnsi"/>
          <w:spacing w:val="-4"/>
          <w:sz w:val="24"/>
        </w:rPr>
        <w:t>clarification</w:t>
      </w:r>
      <w:r w:rsidR="000C397E" w:rsidRPr="00472018">
        <w:rPr>
          <w:rFonts w:asciiTheme="minorHAnsi" w:hAnsiTheme="minorHAnsi" w:cstheme="minorHAnsi"/>
          <w:spacing w:val="-4"/>
          <w:sz w:val="24"/>
        </w:rPr>
        <w:t xml:space="preserve"> would be deemed</w:t>
      </w:r>
      <w:r w:rsidR="002B44B6" w:rsidRPr="00472018">
        <w:rPr>
          <w:rFonts w:asciiTheme="minorHAnsi" w:hAnsiTheme="minorHAnsi" w:cstheme="minorHAnsi"/>
          <w:spacing w:val="-4"/>
          <w:sz w:val="24"/>
        </w:rPr>
        <w:t xml:space="preserve"> </w:t>
      </w:r>
      <w:r w:rsidR="00340D3B" w:rsidRPr="00472018">
        <w:rPr>
          <w:rFonts w:asciiTheme="minorHAnsi" w:hAnsiTheme="minorHAnsi" w:cstheme="minorHAnsi"/>
          <w:spacing w:val="-4"/>
          <w:sz w:val="24"/>
        </w:rPr>
        <w:t>helpful for any deliberations wi</w:t>
      </w:r>
      <w:r w:rsidR="002B44B6" w:rsidRPr="00472018">
        <w:rPr>
          <w:rFonts w:asciiTheme="minorHAnsi" w:hAnsiTheme="minorHAnsi" w:cstheme="minorHAnsi"/>
          <w:spacing w:val="-4"/>
          <w:sz w:val="24"/>
        </w:rPr>
        <w:t>thin the CWG-FHR</w:t>
      </w:r>
      <w:r w:rsidR="008A123F" w:rsidRPr="00472018">
        <w:rPr>
          <w:rFonts w:asciiTheme="minorHAnsi" w:hAnsiTheme="minorHAnsi" w:cstheme="minorHAnsi"/>
          <w:spacing w:val="-4"/>
          <w:sz w:val="24"/>
        </w:rPr>
        <w:t xml:space="preserve"> </w:t>
      </w:r>
      <w:r w:rsidR="004E5923" w:rsidRPr="00472018">
        <w:rPr>
          <w:rFonts w:asciiTheme="minorHAnsi" w:hAnsiTheme="minorHAnsi" w:cstheme="minorHAnsi"/>
          <w:spacing w:val="-4"/>
          <w:sz w:val="24"/>
        </w:rPr>
        <w:t>with the aim of</w:t>
      </w:r>
      <w:r w:rsidR="008A123F" w:rsidRPr="00472018">
        <w:rPr>
          <w:rFonts w:asciiTheme="minorHAnsi" w:hAnsiTheme="minorHAnsi" w:cstheme="minorHAnsi"/>
          <w:spacing w:val="-4"/>
          <w:sz w:val="24"/>
        </w:rPr>
        <w:t xml:space="preserve"> supporting a coherent programmatic focus in the Union’s mandate delivery through its regional presence.</w:t>
      </w:r>
      <w:r w:rsidRPr="00472018">
        <w:rPr>
          <w:rFonts w:asciiTheme="minorHAnsi" w:hAnsiTheme="minorHAnsi" w:cstheme="minorHAnsi"/>
          <w:spacing w:val="-4"/>
          <w:sz w:val="24"/>
        </w:rPr>
        <w:t xml:space="preserve"> </w:t>
      </w:r>
    </w:p>
    <w:p w14:paraId="6391A130" w14:textId="57A2B2D8" w:rsidR="00C9143A" w:rsidRPr="00472018" w:rsidRDefault="003F24A2"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 xml:space="preserve">Furthermore, </w:t>
      </w:r>
      <w:r w:rsidR="000C397E" w:rsidRPr="00472018">
        <w:rPr>
          <w:rFonts w:asciiTheme="minorHAnsi" w:hAnsiTheme="minorHAnsi" w:cs="Times New Roman Bold"/>
          <w:spacing w:val="-4"/>
          <w:sz w:val="24"/>
        </w:rPr>
        <w:t xml:space="preserve">in addition to the Secretariat’s first reaction to </w:t>
      </w:r>
      <w:r w:rsidR="008A123F" w:rsidRPr="00472018">
        <w:rPr>
          <w:rFonts w:asciiTheme="minorHAnsi" w:hAnsiTheme="minorHAnsi" w:cs="Times New Roman Bold"/>
          <w:spacing w:val="-4"/>
          <w:sz w:val="24"/>
        </w:rPr>
        <w:t>PWC’s report (</w:t>
      </w:r>
      <w:r w:rsidR="008A123F" w:rsidRPr="00472018">
        <w:rPr>
          <w:rFonts w:asciiTheme="minorHAnsi" w:hAnsiTheme="minorHAnsi" w:cs="Times New Roman Bold"/>
          <w:i/>
          <w:spacing w:val="-4"/>
          <w:sz w:val="24"/>
        </w:rPr>
        <w:t xml:space="preserve">document </w:t>
      </w:r>
      <w:hyperlink r:id="rId18" w:history="1">
        <w:r w:rsidR="008A123F" w:rsidRPr="005F2E0F">
          <w:rPr>
            <w:rStyle w:val="Hyperlink"/>
            <w:rFonts w:asciiTheme="minorHAnsi" w:hAnsiTheme="minorHAnsi" w:cs="Times New Roman Bold"/>
            <w:i/>
            <w:spacing w:val="-4"/>
            <w:sz w:val="24"/>
          </w:rPr>
          <w:t>CWG-FHR-12/9</w:t>
        </w:r>
      </w:hyperlink>
      <w:r w:rsidR="008A123F"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 xml:space="preserve">Switzerland would be interested </w:t>
      </w:r>
      <w:r w:rsidR="00916BA1" w:rsidRPr="00472018">
        <w:rPr>
          <w:rFonts w:asciiTheme="minorHAnsi" w:hAnsiTheme="minorHAnsi" w:cs="Times New Roman Bold"/>
          <w:spacing w:val="-4"/>
          <w:sz w:val="24"/>
        </w:rPr>
        <w:t xml:space="preserve">in </w:t>
      </w:r>
      <w:r w:rsidRPr="00472018">
        <w:rPr>
          <w:rFonts w:asciiTheme="minorHAnsi" w:hAnsiTheme="minorHAnsi" w:cs="Times New Roman Bold"/>
          <w:spacing w:val="-4"/>
          <w:sz w:val="24"/>
        </w:rPr>
        <w:t>the Secretariat’s</w:t>
      </w:r>
      <w:r w:rsidR="00C9143A" w:rsidRPr="00472018">
        <w:rPr>
          <w:rFonts w:asciiTheme="minorHAnsi" w:hAnsiTheme="minorHAnsi" w:cs="Times New Roman Bold"/>
          <w:spacing w:val="-4"/>
          <w:sz w:val="24"/>
        </w:rPr>
        <w:t xml:space="preserve"> </w:t>
      </w:r>
      <w:r w:rsidR="009431CA" w:rsidRPr="00472018">
        <w:rPr>
          <w:rFonts w:asciiTheme="minorHAnsi" w:hAnsiTheme="minorHAnsi" w:cs="Times New Roman Bold"/>
          <w:spacing w:val="-4"/>
          <w:sz w:val="24"/>
        </w:rPr>
        <w:t xml:space="preserve">own </w:t>
      </w:r>
      <w:r w:rsidR="00C9143A" w:rsidRPr="00472018">
        <w:rPr>
          <w:rFonts w:asciiTheme="minorHAnsi" w:hAnsiTheme="minorHAnsi" w:cs="Times New Roman Bold"/>
          <w:spacing w:val="-4"/>
          <w:sz w:val="24"/>
        </w:rPr>
        <w:t>views on how to best address the criteria highlighted in the report,</w:t>
      </w:r>
      <w:r w:rsidR="004D43AC" w:rsidRPr="00472018">
        <w:rPr>
          <w:rFonts w:asciiTheme="minorHAnsi" w:hAnsiTheme="minorHAnsi" w:cs="Times New Roman Bold"/>
          <w:spacing w:val="-4"/>
          <w:sz w:val="24"/>
        </w:rPr>
        <w:t xml:space="preserve"> </w:t>
      </w:r>
      <w:r w:rsidR="00C9143A" w:rsidRPr="00472018">
        <w:rPr>
          <w:rFonts w:asciiTheme="minorHAnsi" w:hAnsiTheme="minorHAnsi" w:cs="Times New Roman Bold"/>
          <w:spacing w:val="-4"/>
          <w:sz w:val="24"/>
        </w:rPr>
        <w:t xml:space="preserve">as well as </w:t>
      </w:r>
      <w:r w:rsidR="004A4F43" w:rsidRPr="00472018">
        <w:rPr>
          <w:rFonts w:asciiTheme="minorHAnsi" w:hAnsiTheme="minorHAnsi" w:cs="Times New Roman Bold"/>
          <w:spacing w:val="-4"/>
          <w:sz w:val="24"/>
        </w:rPr>
        <w:t>its</w:t>
      </w:r>
      <w:r w:rsidR="00C9143A"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own analysis of areas where</w:t>
      </w:r>
      <w:r w:rsidR="004A4F43"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the Union</w:t>
      </w:r>
      <w:r w:rsidR="00916BA1"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 xml:space="preserve">can be </w:t>
      </w:r>
      <w:r w:rsidR="008A123F" w:rsidRPr="00472018">
        <w:rPr>
          <w:rFonts w:asciiTheme="minorHAnsi" w:hAnsiTheme="minorHAnsi" w:cs="Times New Roman Bold"/>
          <w:spacing w:val="-4"/>
          <w:sz w:val="24"/>
        </w:rPr>
        <w:t xml:space="preserve">most </w:t>
      </w:r>
      <w:r w:rsidRPr="00472018">
        <w:rPr>
          <w:rFonts w:asciiTheme="minorHAnsi" w:hAnsiTheme="minorHAnsi" w:cs="Times New Roman Bold"/>
          <w:spacing w:val="-4"/>
          <w:sz w:val="24"/>
        </w:rPr>
        <w:t>supportive to Member states and their populations</w:t>
      </w:r>
      <w:r w:rsidR="009431CA" w:rsidRPr="00472018">
        <w:rPr>
          <w:rFonts w:asciiTheme="minorHAnsi" w:hAnsiTheme="minorHAnsi" w:cs="Times New Roman Bold"/>
          <w:spacing w:val="-4"/>
          <w:sz w:val="24"/>
        </w:rPr>
        <w:t>, through its regional presence.</w:t>
      </w:r>
    </w:p>
    <w:p w14:paraId="521CCF89" w14:textId="57084C92" w:rsidR="00340D3B" w:rsidRPr="00472018" w:rsidRDefault="008A123F" w:rsidP="005F2E0F">
      <w:pPr>
        <w:keepNext/>
        <w:keepLines/>
        <w:spacing w:before="360" w:after="120"/>
        <w:jc w:val="both"/>
        <w:rPr>
          <w:rFonts w:asciiTheme="minorHAnsi" w:hAnsiTheme="minorHAnsi" w:cs="Times New Roman Bold"/>
          <w:b/>
          <w:spacing w:val="-4"/>
          <w:sz w:val="24"/>
        </w:rPr>
      </w:pPr>
      <w:r w:rsidRPr="00472018">
        <w:rPr>
          <w:rFonts w:asciiTheme="minorHAnsi" w:hAnsiTheme="minorHAnsi" w:cs="Times New Roman Bold"/>
          <w:b/>
          <w:spacing w:val="-4"/>
          <w:sz w:val="24"/>
        </w:rPr>
        <w:lastRenderedPageBreak/>
        <w:t>Opportunities</w:t>
      </w:r>
      <w:r w:rsidR="006B41FD" w:rsidRPr="00472018">
        <w:rPr>
          <w:rFonts w:asciiTheme="minorHAnsi" w:hAnsiTheme="minorHAnsi" w:cs="Times New Roman Bold"/>
          <w:b/>
          <w:spacing w:val="-4"/>
          <w:sz w:val="24"/>
        </w:rPr>
        <w:t xml:space="preserve"> in the context</w:t>
      </w:r>
      <w:r w:rsidR="00922F01" w:rsidRPr="00472018">
        <w:rPr>
          <w:rFonts w:asciiTheme="minorHAnsi" w:hAnsiTheme="minorHAnsi" w:cs="Times New Roman Bold"/>
          <w:b/>
          <w:spacing w:val="-4"/>
          <w:sz w:val="24"/>
        </w:rPr>
        <w:t xml:space="preserve"> of UN-processes</w:t>
      </w:r>
      <w:r w:rsidR="00A82C37" w:rsidRPr="00472018">
        <w:rPr>
          <w:rFonts w:asciiTheme="minorHAnsi" w:hAnsiTheme="minorHAnsi" w:cs="Times New Roman Bold"/>
          <w:b/>
          <w:spacing w:val="-4"/>
          <w:sz w:val="24"/>
        </w:rPr>
        <w:t xml:space="preserve"> and synergies with other organizations</w:t>
      </w:r>
    </w:p>
    <w:p w14:paraId="00EB913B" w14:textId="4B7E6418" w:rsidR="004157DB" w:rsidRPr="00472018" w:rsidRDefault="00340D3B" w:rsidP="005F2E0F">
      <w:pPr>
        <w:keepNext/>
        <w:keepLines/>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Regarding</w:t>
      </w:r>
      <w:r w:rsidR="00333793" w:rsidRPr="00472018">
        <w:rPr>
          <w:rFonts w:asciiTheme="minorHAnsi" w:hAnsiTheme="minorHAnsi" w:cs="Times New Roman Bold"/>
          <w:spacing w:val="-4"/>
          <w:sz w:val="24"/>
        </w:rPr>
        <w:t xml:space="preserve"> programmatic focus</w:t>
      </w:r>
      <w:r w:rsidR="00922F01" w:rsidRPr="00472018">
        <w:rPr>
          <w:rFonts w:asciiTheme="minorHAnsi" w:hAnsiTheme="minorHAnsi" w:cs="Times New Roman Bold"/>
          <w:spacing w:val="-4"/>
          <w:sz w:val="24"/>
        </w:rPr>
        <w:t xml:space="preserve"> and set-up</w:t>
      </w:r>
      <w:r w:rsidRPr="00472018">
        <w:rPr>
          <w:rFonts w:asciiTheme="minorHAnsi" w:hAnsiTheme="minorHAnsi" w:cs="Times New Roman Bold"/>
          <w:spacing w:val="-4"/>
          <w:sz w:val="24"/>
        </w:rPr>
        <w:t xml:space="preserve">, </w:t>
      </w:r>
      <w:r w:rsidR="00922F01" w:rsidRPr="00472018">
        <w:rPr>
          <w:rFonts w:asciiTheme="minorHAnsi" w:hAnsiTheme="minorHAnsi" w:cs="Times New Roman Bold"/>
          <w:spacing w:val="-4"/>
          <w:sz w:val="24"/>
        </w:rPr>
        <w:t>it is Switzerland’s view that current processes in the UN system such as the reform of the UN Development system</w:t>
      </w:r>
      <w:r w:rsidR="00A82C37" w:rsidRPr="00472018">
        <w:rPr>
          <w:rFonts w:asciiTheme="minorHAnsi" w:hAnsiTheme="minorHAnsi" w:cs="Times New Roman Bold"/>
          <w:spacing w:val="-4"/>
          <w:sz w:val="24"/>
        </w:rPr>
        <w:t xml:space="preserve"> </w:t>
      </w:r>
      <w:r w:rsidR="008B396C" w:rsidRPr="00472018">
        <w:rPr>
          <w:rFonts w:asciiTheme="minorHAnsi" w:hAnsiTheme="minorHAnsi" w:cs="Times New Roman Bold"/>
          <w:spacing w:val="-4"/>
          <w:sz w:val="24"/>
        </w:rPr>
        <w:t>(UNDS)</w:t>
      </w:r>
      <w:r w:rsidR="006F0D6C" w:rsidRPr="00472018">
        <w:rPr>
          <w:rFonts w:asciiTheme="minorHAnsi" w:hAnsiTheme="minorHAnsi" w:cs="Times New Roman Bold"/>
          <w:spacing w:val="-4"/>
          <w:sz w:val="24"/>
        </w:rPr>
        <w:t xml:space="preserve">, in which member states have </w:t>
      </w:r>
      <w:r w:rsidR="008A123F" w:rsidRPr="00472018">
        <w:rPr>
          <w:rFonts w:asciiTheme="minorHAnsi" w:hAnsiTheme="minorHAnsi" w:cs="Times New Roman Bold"/>
          <w:spacing w:val="-4"/>
          <w:sz w:val="24"/>
        </w:rPr>
        <w:t xml:space="preserve">already </w:t>
      </w:r>
      <w:r w:rsidR="006F0D6C" w:rsidRPr="00472018">
        <w:rPr>
          <w:rFonts w:asciiTheme="minorHAnsi" w:hAnsiTheme="minorHAnsi" w:cs="Times New Roman Bold"/>
          <w:spacing w:val="-4"/>
          <w:sz w:val="24"/>
        </w:rPr>
        <w:t>invested,</w:t>
      </w:r>
      <w:r w:rsidR="008B396C" w:rsidRPr="00472018">
        <w:rPr>
          <w:rFonts w:asciiTheme="minorHAnsi" w:hAnsiTheme="minorHAnsi" w:cs="Times New Roman Bold"/>
          <w:spacing w:val="-4"/>
          <w:sz w:val="24"/>
        </w:rPr>
        <w:t xml:space="preserve"> </w:t>
      </w:r>
      <w:r w:rsidR="00A82C37" w:rsidRPr="00472018">
        <w:rPr>
          <w:rFonts w:asciiTheme="minorHAnsi" w:hAnsiTheme="minorHAnsi" w:cs="Times New Roman Bold"/>
          <w:spacing w:val="-4"/>
          <w:sz w:val="24"/>
        </w:rPr>
        <w:t xml:space="preserve">further offer opportunities for increased effectiveness and efficiency. </w:t>
      </w:r>
      <w:r w:rsidR="004157DB" w:rsidRPr="00472018">
        <w:rPr>
          <w:rFonts w:asciiTheme="minorHAnsi" w:hAnsiTheme="minorHAnsi" w:cs="Times New Roman Bold"/>
          <w:spacing w:val="-4"/>
          <w:sz w:val="24"/>
        </w:rPr>
        <w:t>Cross-sectoral cooperation and s</w:t>
      </w:r>
      <w:r w:rsidR="00A82C37" w:rsidRPr="00472018">
        <w:rPr>
          <w:rFonts w:asciiTheme="minorHAnsi" w:hAnsiTheme="minorHAnsi" w:cs="Times New Roman Bold"/>
          <w:spacing w:val="-4"/>
          <w:sz w:val="24"/>
        </w:rPr>
        <w:t>ynergies with other organizations can increase scope and impact of developme</w:t>
      </w:r>
      <w:r w:rsidR="008B396C" w:rsidRPr="00472018">
        <w:rPr>
          <w:rFonts w:asciiTheme="minorHAnsi" w:hAnsiTheme="minorHAnsi" w:cs="Times New Roman Bold"/>
          <w:spacing w:val="-4"/>
          <w:sz w:val="24"/>
        </w:rPr>
        <w:t>nt projects and are</w:t>
      </w:r>
      <w:r w:rsidR="00A82C37" w:rsidRPr="00472018">
        <w:rPr>
          <w:rFonts w:asciiTheme="minorHAnsi" w:hAnsiTheme="minorHAnsi" w:cs="Times New Roman Bold"/>
          <w:spacing w:val="-4"/>
          <w:sz w:val="24"/>
        </w:rPr>
        <w:t xml:space="preserve"> </w:t>
      </w:r>
      <w:r w:rsidR="008B396C" w:rsidRPr="00472018">
        <w:rPr>
          <w:rFonts w:asciiTheme="minorHAnsi" w:hAnsiTheme="minorHAnsi" w:cs="Times New Roman Bold"/>
          <w:spacing w:val="-4"/>
          <w:sz w:val="24"/>
        </w:rPr>
        <w:t>essential for the achievement of the UN Sustainable Development Goals</w:t>
      </w:r>
      <w:r w:rsidR="00A82C37" w:rsidRPr="00472018">
        <w:rPr>
          <w:rFonts w:asciiTheme="minorHAnsi" w:hAnsiTheme="minorHAnsi" w:cs="Times New Roman Bold"/>
          <w:spacing w:val="-4"/>
          <w:sz w:val="24"/>
        </w:rPr>
        <w:t>.</w:t>
      </w:r>
      <w:r w:rsidR="004157DB" w:rsidRPr="00472018">
        <w:rPr>
          <w:rFonts w:asciiTheme="minorHAnsi" w:hAnsiTheme="minorHAnsi" w:cs="Times New Roman Bold"/>
          <w:spacing w:val="-4"/>
          <w:sz w:val="24"/>
        </w:rPr>
        <w:t xml:space="preserve"> </w:t>
      </w:r>
      <w:r w:rsidR="004C03C8" w:rsidRPr="00472018">
        <w:rPr>
          <w:rFonts w:asciiTheme="minorHAnsi" w:hAnsiTheme="minorHAnsi" w:cs="Times New Roman Bold"/>
          <w:spacing w:val="-4"/>
          <w:sz w:val="24"/>
        </w:rPr>
        <w:t xml:space="preserve">It is Switzerland’s view that </w:t>
      </w:r>
      <w:proofErr w:type="gramStart"/>
      <w:r w:rsidR="004C03C8" w:rsidRPr="00472018">
        <w:rPr>
          <w:rFonts w:asciiTheme="minorHAnsi" w:hAnsiTheme="minorHAnsi" w:cs="Times New Roman Bold"/>
          <w:spacing w:val="-4"/>
          <w:sz w:val="24"/>
        </w:rPr>
        <w:t>in order to</w:t>
      </w:r>
      <w:proofErr w:type="gramEnd"/>
      <w:r w:rsidR="004C03C8" w:rsidRPr="00472018">
        <w:rPr>
          <w:rFonts w:asciiTheme="minorHAnsi" w:hAnsiTheme="minorHAnsi" w:cs="Times New Roman Bold"/>
          <w:spacing w:val="-4"/>
          <w:sz w:val="24"/>
        </w:rPr>
        <w:t xml:space="preserve"> increase impact through regional partnerships and common resource mobilization,</w:t>
      </w:r>
      <w:r w:rsidR="008B396C" w:rsidRPr="00472018">
        <w:rPr>
          <w:rFonts w:asciiTheme="minorHAnsi" w:hAnsiTheme="minorHAnsi" w:cs="Times New Roman Bold"/>
          <w:spacing w:val="-4"/>
          <w:sz w:val="24"/>
        </w:rPr>
        <w:t xml:space="preserve"> ITU regional presence’s programmatic focus should align its activities </w:t>
      </w:r>
      <w:r w:rsidR="00916BA1" w:rsidRPr="00472018">
        <w:rPr>
          <w:rFonts w:asciiTheme="minorHAnsi" w:hAnsiTheme="minorHAnsi" w:cs="Times New Roman Bold"/>
          <w:spacing w:val="-4"/>
          <w:sz w:val="24"/>
        </w:rPr>
        <w:t>as closely as possible</w:t>
      </w:r>
      <w:r w:rsidR="008A123F" w:rsidRPr="00472018">
        <w:rPr>
          <w:rFonts w:asciiTheme="minorHAnsi" w:hAnsiTheme="minorHAnsi" w:cs="Times New Roman Bold"/>
          <w:spacing w:val="-4"/>
          <w:sz w:val="24"/>
        </w:rPr>
        <w:t xml:space="preserve"> </w:t>
      </w:r>
      <w:r w:rsidR="008B396C" w:rsidRPr="00472018">
        <w:rPr>
          <w:rFonts w:asciiTheme="minorHAnsi" w:hAnsiTheme="minorHAnsi" w:cs="Times New Roman Bold"/>
          <w:spacing w:val="-4"/>
          <w:sz w:val="24"/>
        </w:rPr>
        <w:t xml:space="preserve">with the UNDS and its stakeholder </w:t>
      </w:r>
      <w:r w:rsidR="006F0D6C" w:rsidRPr="00472018">
        <w:rPr>
          <w:rFonts w:asciiTheme="minorHAnsi" w:hAnsiTheme="minorHAnsi" w:cs="Times New Roman Bold"/>
          <w:spacing w:val="-4"/>
          <w:sz w:val="24"/>
        </w:rPr>
        <w:t>agencies</w:t>
      </w:r>
      <w:r w:rsidR="004157DB" w:rsidRPr="00472018">
        <w:rPr>
          <w:rFonts w:asciiTheme="minorHAnsi" w:hAnsiTheme="minorHAnsi" w:cs="Times New Roman Bold"/>
          <w:spacing w:val="-4"/>
          <w:sz w:val="24"/>
        </w:rPr>
        <w:t xml:space="preserve">. </w:t>
      </w:r>
      <w:r w:rsidR="008B396C" w:rsidRPr="00472018">
        <w:rPr>
          <w:rFonts w:asciiTheme="minorHAnsi" w:hAnsiTheme="minorHAnsi" w:cs="Times New Roman Bold"/>
          <w:spacing w:val="-4"/>
          <w:sz w:val="24"/>
        </w:rPr>
        <w:t xml:space="preserve"> </w:t>
      </w:r>
      <w:r w:rsidR="004157DB" w:rsidRPr="00472018">
        <w:rPr>
          <w:rFonts w:asciiTheme="minorHAnsi" w:hAnsiTheme="minorHAnsi" w:cs="Times New Roman Bold"/>
          <w:spacing w:val="-4"/>
          <w:sz w:val="24"/>
        </w:rPr>
        <w:t xml:space="preserve">It should do so </w:t>
      </w:r>
      <w:r w:rsidR="008B396C" w:rsidRPr="00472018">
        <w:rPr>
          <w:rFonts w:asciiTheme="minorHAnsi" w:hAnsiTheme="minorHAnsi" w:cs="Times New Roman Bold"/>
          <w:spacing w:val="-4"/>
          <w:sz w:val="24"/>
        </w:rPr>
        <w:t xml:space="preserve">by </w:t>
      </w:r>
      <w:proofErr w:type="gramStart"/>
      <w:r w:rsidR="008B396C" w:rsidRPr="00472018">
        <w:rPr>
          <w:rFonts w:asciiTheme="minorHAnsi" w:hAnsiTheme="minorHAnsi" w:cs="Times New Roman Bold"/>
          <w:spacing w:val="-4"/>
          <w:sz w:val="24"/>
        </w:rPr>
        <w:t>taking into account</w:t>
      </w:r>
      <w:proofErr w:type="gramEnd"/>
      <w:r w:rsidR="004157DB" w:rsidRPr="00472018">
        <w:rPr>
          <w:rFonts w:asciiTheme="minorHAnsi" w:hAnsiTheme="minorHAnsi" w:cs="Times New Roman Bold"/>
          <w:spacing w:val="-4"/>
          <w:sz w:val="24"/>
        </w:rPr>
        <w:t xml:space="preserve"> not only</w:t>
      </w:r>
      <w:r w:rsidR="008B396C" w:rsidRPr="00472018">
        <w:rPr>
          <w:rFonts w:asciiTheme="minorHAnsi" w:hAnsiTheme="minorHAnsi" w:cs="Times New Roman Bold"/>
          <w:spacing w:val="-4"/>
          <w:sz w:val="24"/>
        </w:rPr>
        <w:t xml:space="preserve"> the ITU’s own value proposition</w:t>
      </w:r>
      <w:r w:rsidR="008A123F" w:rsidRPr="00472018">
        <w:rPr>
          <w:rFonts w:asciiTheme="minorHAnsi" w:hAnsiTheme="minorHAnsi" w:cs="Times New Roman Bold"/>
          <w:spacing w:val="-4"/>
          <w:sz w:val="24"/>
        </w:rPr>
        <w:t xml:space="preserve"> for member states and cross-agency projects</w:t>
      </w:r>
      <w:r w:rsidR="006F0D6C" w:rsidRPr="00472018">
        <w:rPr>
          <w:rFonts w:asciiTheme="minorHAnsi" w:hAnsiTheme="minorHAnsi" w:cs="Times New Roman Bold"/>
          <w:spacing w:val="-4"/>
          <w:sz w:val="24"/>
        </w:rPr>
        <w:t xml:space="preserve">, </w:t>
      </w:r>
      <w:r w:rsidR="004157DB" w:rsidRPr="00472018">
        <w:rPr>
          <w:rFonts w:asciiTheme="minorHAnsi" w:hAnsiTheme="minorHAnsi" w:cs="Times New Roman Bold"/>
          <w:spacing w:val="-4"/>
          <w:sz w:val="24"/>
        </w:rPr>
        <w:t>but also</w:t>
      </w:r>
      <w:r w:rsidR="008B396C" w:rsidRPr="00472018">
        <w:rPr>
          <w:rFonts w:asciiTheme="minorHAnsi" w:hAnsiTheme="minorHAnsi" w:cs="Times New Roman Bold"/>
          <w:spacing w:val="-4"/>
          <w:sz w:val="24"/>
        </w:rPr>
        <w:t xml:space="preserve"> </w:t>
      </w:r>
      <w:r w:rsidR="006F0D6C" w:rsidRPr="00472018">
        <w:rPr>
          <w:rFonts w:asciiTheme="minorHAnsi" w:hAnsiTheme="minorHAnsi" w:cs="Times New Roman Bold"/>
          <w:spacing w:val="-4"/>
          <w:sz w:val="24"/>
        </w:rPr>
        <w:t xml:space="preserve">areas </w:t>
      </w:r>
      <w:r w:rsidR="008B396C" w:rsidRPr="00472018">
        <w:rPr>
          <w:rFonts w:asciiTheme="minorHAnsi" w:hAnsiTheme="minorHAnsi" w:cs="Times New Roman Bold"/>
          <w:spacing w:val="-4"/>
          <w:sz w:val="24"/>
        </w:rPr>
        <w:t xml:space="preserve">where </w:t>
      </w:r>
      <w:r w:rsidR="00E864B3" w:rsidRPr="00472018">
        <w:rPr>
          <w:rFonts w:asciiTheme="minorHAnsi" w:hAnsiTheme="minorHAnsi" w:cs="Times New Roman Bold"/>
          <w:spacing w:val="-4"/>
          <w:sz w:val="24"/>
        </w:rPr>
        <w:t xml:space="preserve">the ITU </w:t>
      </w:r>
      <w:r w:rsidR="008B396C" w:rsidRPr="00472018">
        <w:rPr>
          <w:rFonts w:asciiTheme="minorHAnsi" w:hAnsiTheme="minorHAnsi" w:cs="Times New Roman Bold"/>
          <w:spacing w:val="-4"/>
          <w:sz w:val="24"/>
        </w:rPr>
        <w:t>it</w:t>
      </w:r>
      <w:r w:rsidR="008A123F" w:rsidRPr="00472018">
        <w:rPr>
          <w:rFonts w:asciiTheme="minorHAnsi" w:hAnsiTheme="minorHAnsi" w:cs="Times New Roman Bold"/>
          <w:spacing w:val="-4"/>
          <w:sz w:val="24"/>
        </w:rPr>
        <w:t>self</w:t>
      </w:r>
      <w:r w:rsidR="008B396C" w:rsidRPr="00472018">
        <w:rPr>
          <w:rFonts w:asciiTheme="minorHAnsi" w:hAnsiTheme="minorHAnsi" w:cs="Times New Roman Bold"/>
          <w:spacing w:val="-4"/>
          <w:sz w:val="24"/>
        </w:rPr>
        <w:t xml:space="preserve"> can benefit from partner organizations’ expertis</w:t>
      </w:r>
      <w:r w:rsidR="006F0D6C" w:rsidRPr="00472018">
        <w:rPr>
          <w:rFonts w:asciiTheme="minorHAnsi" w:hAnsiTheme="minorHAnsi" w:cs="Times New Roman Bold"/>
          <w:spacing w:val="-4"/>
          <w:sz w:val="24"/>
        </w:rPr>
        <w:t>e</w:t>
      </w:r>
      <w:r w:rsidR="004157DB" w:rsidRPr="00472018">
        <w:rPr>
          <w:rFonts w:asciiTheme="minorHAnsi" w:hAnsiTheme="minorHAnsi" w:cs="Times New Roman Bold"/>
          <w:spacing w:val="-4"/>
          <w:sz w:val="24"/>
        </w:rPr>
        <w:t>.</w:t>
      </w:r>
    </w:p>
    <w:p w14:paraId="760F51BF" w14:textId="2A4DD8CB" w:rsidR="004A4F43" w:rsidRPr="00472018" w:rsidRDefault="00916BA1"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 xml:space="preserve">Strengthened </w:t>
      </w:r>
      <w:r w:rsidR="006F0D6C" w:rsidRPr="00472018">
        <w:rPr>
          <w:rFonts w:asciiTheme="minorHAnsi" w:hAnsiTheme="minorHAnsi" w:cs="Times New Roman Bold"/>
          <w:spacing w:val="-4"/>
          <w:sz w:val="24"/>
        </w:rPr>
        <w:t xml:space="preserve">cooperation and coordination </w:t>
      </w:r>
      <w:r w:rsidR="004157DB" w:rsidRPr="00472018">
        <w:rPr>
          <w:rFonts w:asciiTheme="minorHAnsi" w:hAnsiTheme="minorHAnsi" w:cs="Times New Roman Bold"/>
          <w:spacing w:val="-4"/>
          <w:sz w:val="24"/>
        </w:rPr>
        <w:t>within</w:t>
      </w:r>
      <w:r w:rsidR="007025A7" w:rsidRPr="00472018">
        <w:rPr>
          <w:rFonts w:asciiTheme="minorHAnsi" w:hAnsiTheme="minorHAnsi" w:cs="Times New Roman Bold"/>
          <w:spacing w:val="-4"/>
          <w:sz w:val="24"/>
        </w:rPr>
        <w:t xml:space="preserve"> UN co</w:t>
      </w:r>
      <w:r w:rsidR="004157DB" w:rsidRPr="00472018">
        <w:rPr>
          <w:rFonts w:asciiTheme="minorHAnsi" w:hAnsiTheme="minorHAnsi" w:cs="Times New Roman Bold"/>
          <w:spacing w:val="-4"/>
          <w:sz w:val="24"/>
        </w:rPr>
        <w:t xml:space="preserve">untry teams </w:t>
      </w:r>
      <w:r w:rsidR="006F0D6C" w:rsidRPr="00472018">
        <w:rPr>
          <w:rFonts w:asciiTheme="minorHAnsi" w:hAnsiTheme="minorHAnsi" w:cs="Times New Roman Bold"/>
          <w:spacing w:val="-4"/>
          <w:sz w:val="24"/>
        </w:rPr>
        <w:t xml:space="preserve">furthermore offer the potential for increased </w:t>
      </w:r>
      <w:r w:rsidR="004A4F43" w:rsidRPr="00472018">
        <w:rPr>
          <w:rFonts w:asciiTheme="minorHAnsi" w:hAnsiTheme="minorHAnsi" w:cs="Times New Roman Bold"/>
          <w:spacing w:val="-4"/>
          <w:sz w:val="24"/>
        </w:rPr>
        <w:t xml:space="preserve">effectiveness and </w:t>
      </w:r>
      <w:r w:rsidR="003762B2" w:rsidRPr="00472018">
        <w:rPr>
          <w:rFonts w:asciiTheme="minorHAnsi" w:hAnsiTheme="minorHAnsi" w:cs="Times New Roman Bold"/>
          <w:spacing w:val="-4"/>
          <w:sz w:val="24"/>
        </w:rPr>
        <w:t xml:space="preserve">efficiency through common </w:t>
      </w:r>
      <w:r w:rsidR="006F0D6C" w:rsidRPr="00472018">
        <w:rPr>
          <w:rFonts w:asciiTheme="minorHAnsi" w:hAnsiTheme="minorHAnsi" w:cs="Times New Roman Bold"/>
          <w:spacing w:val="-4"/>
          <w:sz w:val="24"/>
        </w:rPr>
        <w:t>use of resources</w:t>
      </w:r>
      <w:r w:rsidR="004157DB" w:rsidRPr="00472018">
        <w:rPr>
          <w:rFonts w:asciiTheme="minorHAnsi" w:hAnsiTheme="minorHAnsi" w:cs="Times New Roman Bold"/>
          <w:spacing w:val="-4"/>
          <w:sz w:val="24"/>
        </w:rPr>
        <w:t xml:space="preserve"> on the ground</w:t>
      </w:r>
      <w:r w:rsidR="006F0D6C" w:rsidRPr="00472018">
        <w:rPr>
          <w:rFonts w:asciiTheme="minorHAnsi" w:hAnsiTheme="minorHAnsi" w:cs="Times New Roman Bold"/>
          <w:spacing w:val="-4"/>
          <w:sz w:val="24"/>
        </w:rPr>
        <w:t>, for example by common logistical and administrative functions among organizations</w:t>
      </w:r>
      <w:r w:rsidR="004157DB" w:rsidRPr="00472018">
        <w:rPr>
          <w:rFonts w:asciiTheme="minorHAnsi" w:hAnsiTheme="minorHAnsi" w:cs="Times New Roman Bold"/>
          <w:spacing w:val="-4"/>
          <w:sz w:val="24"/>
        </w:rPr>
        <w:t>; thereby potentially increasing the ratio of impact to resources.</w:t>
      </w:r>
      <w:r w:rsidR="007025A7" w:rsidRPr="00472018">
        <w:rPr>
          <w:rFonts w:asciiTheme="minorHAnsi" w:hAnsiTheme="minorHAnsi" w:cs="Times New Roman Bold"/>
          <w:spacing w:val="-4"/>
          <w:sz w:val="24"/>
        </w:rPr>
        <w:t xml:space="preserve"> </w:t>
      </w:r>
    </w:p>
    <w:p w14:paraId="1D51335D" w14:textId="09CC730E" w:rsidR="008D119C" w:rsidRPr="00472018" w:rsidRDefault="004A4F43"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Switzerland is theref</w:t>
      </w:r>
      <w:r w:rsidR="0077381B" w:rsidRPr="00472018">
        <w:rPr>
          <w:rFonts w:asciiTheme="minorHAnsi" w:hAnsiTheme="minorHAnsi" w:cs="Times New Roman Bold"/>
          <w:spacing w:val="-4"/>
          <w:sz w:val="24"/>
        </w:rPr>
        <w:t>ore interested to receive more information regarding</w:t>
      </w:r>
      <w:r w:rsidR="00564BC4"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the Secretariat</w:t>
      </w:r>
      <w:r w:rsidR="00564BC4" w:rsidRPr="00472018">
        <w:rPr>
          <w:rFonts w:asciiTheme="minorHAnsi" w:hAnsiTheme="minorHAnsi" w:cs="Times New Roman Bold"/>
          <w:spacing w:val="-4"/>
          <w:sz w:val="24"/>
        </w:rPr>
        <w:t xml:space="preserve">’s views on </w:t>
      </w:r>
      <w:r w:rsidR="0077381B" w:rsidRPr="00472018">
        <w:rPr>
          <w:rFonts w:asciiTheme="minorHAnsi" w:hAnsiTheme="minorHAnsi" w:cs="Times New Roman Bold"/>
          <w:spacing w:val="-4"/>
          <w:sz w:val="24"/>
        </w:rPr>
        <w:t>opportunities the UNDS reform</w:t>
      </w:r>
      <w:r w:rsidR="00564BC4" w:rsidRPr="00472018">
        <w:rPr>
          <w:rFonts w:asciiTheme="minorHAnsi" w:hAnsiTheme="minorHAnsi" w:cs="Times New Roman Bold"/>
          <w:spacing w:val="-4"/>
          <w:sz w:val="24"/>
        </w:rPr>
        <w:t xml:space="preserve"> </w:t>
      </w:r>
      <w:r w:rsidR="0077381B" w:rsidRPr="00472018">
        <w:rPr>
          <w:rFonts w:asciiTheme="minorHAnsi" w:hAnsiTheme="minorHAnsi" w:cs="Times New Roman Bold"/>
          <w:spacing w:val="-4"/>
          <w:sz w:val="24"/>
        </w:rPr>
        <w:t>offers for</w:t>
      </w:r>
      <w:r w:rsidR="008D119C" w:rsidRPr="00472018">
        <w:rPr>
          <w:rFonts w:asciiTheme="minorHAnsi" w:hAnsiTheme="minorHAnsi" w:cs="Times New Roman Bold"/>
          <w:spacing w:val="-4"/>
          <w:sz w:val="24"/>
        </w:rPr>
        <w:t xml:space="preserve"> increase</w:t>
      </w:r>
      <w:r w:rsidR="0077381B" w:rsidRPr="00472018">
        <w:rPr>
          <w:rFonts w:asciiTheme="minorHAnsi" w:hAnsiTheme="minorHAnsi" w:cs="Times New Roman Bold"/>
          <w:spacing w:val="-4"/>
          <w:sz w:val="24"/>
        </w:rPr>
        <w:t>d</w:t>
      </w:r>
      <w:r w:rsidR="008D119C" w:rsidRPr="00472018">
        <w:rPr>
          <w:rFonts w:asciiTheme="minorHAnsi" w:hAnsiTheme="minorHAnsi" w:cs="Times New Roman Bold"/>
          <w:spacing w:val="-4"/>
          <w:sz w:val="24"/>
        </w:rPr>
        <w:t xml:space="preserve"> </w:t>
      </w:r>
      <w:r w:rsidR="0077381B" w:rsidRPr="00472018">
        <w:rPr>
          <w:rFonts w:asciiTheme="minorHAnsi" w:hAnsiTheme="minorHAnsi" w:cs="Times New Roman Bold"/>
          <w:spacing w:val="-4"/>
          <w:sz w:val="24"/>
        </w:rPr>
        <w:t>effectiveness and efficiency in the ITU’s</w:t>
      </w:r>
      <w:r w:rsidR="008D119C" w:rsidRPr="00472018">
        <w:rPr>
          <w:rFonts w:asciiTheme="minorHAnsi" w:hAnsiTheme="minorHAnsi" w:cs="Times New Roman Bold"/>
          <w:spacing w:val="-4"/>
          <w:sz w:val="24"/>
        </w:rPr>
        <w:t xml:space="preserve"> mandate delivery </w:t>
      </w:r>
      <w:r w:rsidR="0077381B" w:rsidRPr="00472018">
        <w:rPr>
          <w:rFonts w:asciiTheme="minorHAnsi" w:hAnsiTheme="minorHAnsi" w:cs="Times New Roman Bold"/>
          <w:spacing w:val="-4"/>
          <w:sz w:val="24"/>
        </w:rPr>
        <w:t xml:space="preserve">in the </w:t>
      </w:r>
      <w:proofErr w:type="gramStart"/>
      <w:r w:rsidR="0077381B" w:rsidRPr="00472018">
        <w:rPr>
          <w:rFonts w:asciiTheme="minorHAnsi" w:hAnsiTheme="minorHAnsi" w:cs="Times New Roman Bold"/>
          <w:spacing w:val="-4"/>
          <w:sz w:val="24"/>
        </w:rPr>
        <w:t>regions</w:t>
      </w:r>
      <w:r w:rsidR="003F6C4E" w:rsidRPr="00472018">
        <w:rPr>
          <w:rFonts w:asciiTheme="minorHAnsi" w:hAnsiTheme="minorHAnsi" w:cs="Times New Roman Bold"/>
          <w:spacing w:val="-4"/>
          <w:sz w:val="24"/>
        </w:rPr>
        <w:t>;</w:t>
      </w:r>
      <w:proofErr w:type="gramEnd"/>
      <w:r w:rsidR="003F6C4E" w:rsidRPr="00472018">
        <w:rPr>
          <w:rFonts w:asciiTheme="minorHAnsi" w:hAnsiTheme="minorHAnsi" w:cs="Times New Roman Bold"/>
          <w:spacing w:val="-4"/>
          <w:sz w:val="24"/>
        </w:rPr>
        <w:t xml:space="preserve"> as well as potential avenues for collaboration with individual institutions in the multilateral system.</w:t>
      </w:r>
    </w:p>
    <w:p w14:paraId="57B8F2F8" w14:textId="22BA148C" w:rsidR="007025A7" w:rsidRPr="00472018" w:rsidRDefault="007025A7" w:rsidP="005F2E0F">
      <w:pPr>
        <w:spacing w:before="360" w:after="120"/>
        <w:jc w:val="both"/>
        <w:rPr>
          <w:rFonts w:asciiTheme="minorHAnsi" w:hAnsiTheme="minorHAnsi" w:cs="Times New Roman Bold"/>
          <w:b/>
          <w:spacing w:val="-4"/>
          <w:sz w:val="24"/>
        </w:rPr>
      </w:pPr>
      <w:r w:rsidRPr="00472018">
        <w:rPr>
          <w:rFonts w:asciiTheme="minorHAnsi" w:hAnsiTheme="minorHAnsi" w:cs="Times New Roman Bold"/>
          <w:b/>
          <w:spacing w:val="-4"/>
          <w:sz w:val="24"/>
        </w:rPr>
        <w:t>C</w:t>
      </w:r>
      <w:r w:rsidR="008217F4" w:rsidRPr="00472018">
        <w:rPr>
          <w:rFonts w:asciiTheme="minorHAnsi" w:hAnsiTheme="minorHAnsi" w:cs="Times New Roman Bold"/>
          <w:b/>
          <w:spacing w:val="-4"/>
          <w:sz w:val="24"/>
        </w:rPr>
        <w:t xml:space="preserve">oordination, </w:t>
      </w:r>
      <w:r w:rsidRPr="00472018">
        <w:rPr>
          <w:rFonts w:asciiTheme="minorHAnsi" w:hAnsiTheme="minorHAnsi" w:cs="Times New Roman Bold"/>
          <w:b/>
          <w:spacing w:val="-4"/>
          <w:sz w:val="24"/>
        </w:rPr>
        <w:t>Coherence</w:t>
      </w:r>
      <w:r w:rsidR="008217F4" w:rsidRPr="00472018">
        <w:rPr>
          <w:rFonts w:asciiTheme="minorHAnsi" w:hAnsiTheme="minorHAnsi" w:cs="Times New Roman Bold"/>
          <w:b/>
          <w:spacing w:val="-4"/>
          <w:sz w:val="24"/>
        </w:rPr>
        <w:t xml:space="preserve"> and Oversight</w:t>
      </w:r>
    </w:p>
    <w:p w14:paraId="066C580B" w14:textId="41258C5C" w:rsidR="003902E3" w:rsidRPr="00472018" w:rsidRDefault="00F541F6"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In Switzerland’s view,</w:t>
      </w:r>
      <w:r w:rsidR="008217F4" w:rsidRPr="00472018">
        <w:rPr>
          <w:rFonts w:asciiTheme="minorHAnsi" w:hAnsiTheme="minorHAnsi" w:cs="Times New Roman Bold"/>
          <w:spacing w:val="-4"/>
          <w:sz w:val="24"/>
        </w:rPr>
        <w:t xml:space="preserve"> </w:t>
      </w:r>
      <w:proofErr w:type="gramStart"/>
      <w:r w:rsidR="003902E3" w:rsidRPr="00472018">
        <w:rPr>
          <w:rFonts w:asciiTheme="minorHAnsi" w:hAnsiTheme="minorHAnsi" w:cs="Times New Roman Bold"/>
          <w:spacing w:val="-4"/>
          <w:sz w:val="24"/>
        </w:rPr>
        <w:t>coordination</w:t>
      </w:r>
      <w:proofErr w:type="gramEnd"/>
      <w:r w:rsidR="003902E3" w:rsidRPr="00472018">
        <w:rPr>
          <w:rFonts w:asciiTheme="minorHAnsi" w:hAnsiTheme="minorHAnsi" w:cs="Times New Roman Bold"/>
          <w:spacing w:val="-4"/>
          <w:sz w:val="24"/>
        </w:rPr>
        <w:t xml:space="preserve"> and coherence of the Union’s activities both in the regional offices a</w:t>
      </w:r>
      <w:r w:rsidRPr="00472018">
        <w:rPr>
          <w:rFonts w:asciiTheme="minorHAnsi" w:hAnsiTheme="minorHAnsi" w:cs="Times New Roman Bold"/>
          <w:spacing w:val="-4"/>
          <w:sz w:val="24"/>
        </w:rPr>
        <w:t>s well as at h</w:t>
      </w:r>
      <w:r w:rsidR="003902E3" w:rsidRPr="00472018">
        <w:rPr>
          <w:rFonts w:asciiTheme="minorHAnsi" w:hAnsiTheme="minorHAnsi" w:cs="Times New Roman Bold"/>
          <w:spacing w:val="-4"/>
          <w:sz w:val="24"/>
        </w:rPr>
        <w:t>eadquarter</w:t>
      </w:r>
      <w:r w:rsidRPr="00472018">
        <w:rPr>
          <w:rFonts w:asciiTheme="minorHAnsi" w:hAnsiTheme="minorHAnsi" w:cs="Times New Roman Bold"/>
          <w:spacing w:val="-4"/>
          <w:sz w:val="24"/>
        </w:rPr>
        <w:t>s</w:t>
      </w:r>
      <w:r w:rsidR="003902E3"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are</w:t>
      </w:r>
      <w:r w:rsidR="003902E3" w:rsidRPr="00472018">
        <w:rPr>
          <w:rFonts w:asciiTheme="minorHAnsi" w:hAnsiTheme="minorHAnsi" w:cs="Times New Roman Bold"/>
          <w:spacing w:val="-4"/>
          <w:sz w:val="24"/>
        </w:rPr>
        <w:t xml:space="preserve"> </w:t>
      </w:r>
      <w:r w:rsidR="008217F4" w:rsidRPr="00472018">
        <w:rPr>
          <w:rFonts w:asciiTheme="minorHAnsi" w:hAnsiTheme="minorHAnsi" w:cs="Times New Roman Bold"/>
          <w:spacing w:val="-4"/>
          <w:sz w:val="24"/>
        </w:rPr>
        <w:t>important elemen</w:t>
      </w:r>
      <w:r w:rsidR="003902E3" w:rsidRPr="00472018">
        <w:rPr>
          <w:rFonts w:asciiTheme="minorHAnsi" w:hAnsiTheme="minorHAnsi" w:cs="Times New Roman Bold"/>
          <w:spacing w:val="-4"/>
          <w:sz w:val="24"/>
        </w:rPr>
        <w:t>ts of a future regional presence model</w:t>
      </w:r>
      <w:r w:rsidRPr="00472018">
        <w:rPr>
          <w:rFonts w:asciiTheme="minorHAnsi" w:hAnsiTheme="minorHAnsi" w:cs="Times New Roman Bold"/>
          <w:spacing w:val="-4"/>
          <w:sz w:val="24"/>
        </w:rPr>
        <w:t xml:space="preserve"> and should </w:t>
      </w:r>
      <w:r w:rsidR="00326089" w:rsidRPr="00472018">
        <w:rPr>
          <w:rFonts w:asciiTheme="minorHAnsi" w:hAnsiTheme="minorHAnsi" w:cs="Times New Roman Bold"/>
          <w:spacing w:val="-4"/>
          <w:sz w:val="24"/>
        </w:rPr>
        <w:t>en</w:t>
      </w:r>
      <w:r w:rsidRPr="00472018">
        <w:rPr>
          <w:rFonts w:asciiTheme="minorHAnsi" w:hAnsiTheme="minorHAnsi" w:cs="Times New Roman Bold"/>
          <w:spacing w:val="-4"/>
          <w:sz w:val="24"/>
        </w:rPr>
        <w:t>sure highest possible efficiency, effectiveness and relevance</w:t>
      </w:r>
      <w:r w:rsidR="00557444" w:rsidRPr="00472018">
        <w:rPr>
          <w:rFonts w:asciiTheme="minorHAnsi" w:hAnsiTheme="minorHAnsi" w:cs="Times New Roman Bold"/>
          <w:spacing w:val="-4"/>
          <w:sz w:val="24"/>
        </w:rPr>
        <w:t xml:space="preserve"> (</w:t>
      </w:r>
      <w:r w:rsidR="00E864B3" w:rsidRPr="00472018">
        <w:rPr>
          <w:rFonts w:asciiTheme="minorHAnsi" w:hAnsiTheme="minorHAnsi" w:cs="Times New Roman Bold"/>
          <w:spacing w:val="-4"/>
          <w:sz w:val="24"/>
        </w:rPr>
        <w:t xml:space="preserve">according to the </w:t>
      </w:r>
      <w:r w:rsidRPr="00472018">
        <w:rPr>
          <w:rFonts w:asciiTheme="minorHAnsi" w:hAnsiTheme="minorHAnsi" w:cs="Times New Roman Bold"/>
          <w:spacing w:val="-4"/>
          <w:sz w:val="24"/>
        </w:rPr>
        <w:t xml:space="preserve">principle of </w:t>
      </w:r>
      <w:r w:rsidR="00557444" w:rsidRPr="00472018">
        <w:rPr>
          <w:rFonts w:asciiTheme="minorHAnsi" w:hAnsiTheme="minorHAnsi" w:cs="Times New Roman Bold"/>
          <w:spacing w:val="-4"/>
          <w:sz w:val="24"/>
        </w:rPr>
        <w:t>“One ITU”)</w:t>
      </w:r>
      <w:r w:rsidR="003902E3" w:rsidRPr="00472018">
        <w:rPr>
          <w:rFonts w:asciiTheme="minorHAnsi" w:hAnsiTheme="minorHAnsi" w:cs="Times New Roman Bold"/>
          <w:spacing w:val="-4"/>
          <w:sz w:val="24"/>
        </w:rPr>
        <w:t xml:space="preserve">. This </w:t>
      </w:r>
      <w:r w:rsidR="00326089" w:rsidRPr="00472018">
        <w:rPr>
          <w:rFonts w:asciiTheme="minorHAnsi" w:hAnsiTheme="minorHAnsi" w:cs="Times New Roman Bold"/>
          <w:spacing w:val="-4"/>
          <w:sz w:val="24"/>
        </w:rPr>
        <w:t xml:space="preserve">requires </w:t>
      </w:r>
      <w:r w:rsidR="003902E3" w:rsidRPr="00472018">
        <w:rPr>
          <w:rFonts w:asciiTheme="minorHAnsi" w:hAnsiTheme="minorHAnsi" w:cs="Times New Roman Bold"/>
          <w:spacing w:val="-4"/>
          <w:sz w:val="24"/>
        </w:rPr>
        <w:t xml:space="preserve">a consistent strategic framework, but also a close exchange and communication channel between </w:t>
      </w:r>
      <w:r w:rsidRPr="00472018">
        <w:rPr>
          <w:rFonts w:asciiTheme="minorHAnsi" w:hAnsiTheme="minorHAnsi" w:cs="Times New Roman Bold"/>
          <w:spacing w:val="-4"/>
          <w:sz w:val="24"/>
        </w:rPr>
        <w:t>the different o</w:t>
      </w:r>
      <w:r w:rsidR="003902E3" w:rsidRPr="00472018">
        <w:rPr>
          <w:rFonts w:asciiTheme="minorHAnsi" w:hAnsiTheme="minorHAnsi" w:cs="Times New Roman Bold"/>
          <w:spacing w:val="-4"/>
          <w:sz w:val="24"/>
        </w:rPr>
        <w:t xml:space="preserve">ffices as well as the different sectors. </w:t>
      </w:r>
    </w:p>
    <w:p w14:paraId="61B07778" w14:textId="4CF7402D" w:rsidR="003902E3" w:rsidRPr="00472018" w:rsidRDefault="003902E3"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 xml:space="preserve">Regarding contributions from other ITU sectors </w:t>
      </w:r>
      <w:r w:rsidR="0052405F" w:rsidRPr="00472018">
        <w:rPr>
          <w:rFonts w:asciiTheme="minorHAnsi" w:hAnsiTheme="minorHAnsi" w:cs="Times New Roman Bold"/>
          <w:spacing w:val="-4"/>
          <w:sz w:val="24"/>
        </w:rPr>
        <w:t xml:space="preserve">to regional offices </w:t>
      </w:r>
      <w:r w:rsidRPr="00472018">
        <w:rPr>
          <w:rFonts w:asciiTheme="minorHAnsi" w:hAnsiTheme="minorHAnsi" w:cs="Times New Roman Bold"/>
          <w:spacing w:val="-4"/>
          <w:sz w:val="24"/>
        </w:rPr>
        <w:t xml:space="preserve">(Recommendation 1.1.2.), Switzerland </w:t>
      </w:r>
      <w:r w:rsidR="00326089" w:rsidRPr="00472018">
        <w:rPr>
          <w:rFonts w:asciiTheme="minorHAnsi" w:hAnsiTheme="minorHAnsi" w:cs="Times New Roman Bold"/>
          <w:spacing w:val="-4"/>
          <w:sz w:val="24"/>
        </w:rPr>
        <w:t xml:space="preserve">understands </w:t>
      </w:r>
      <w:r w:rsidR="0052405F" w:rsidRPr="00472018">
        <w:rPr>
          <w:rFonts w:asciiTheme="minorHAnsi" w:hAnsiTheme="minorHAnsi" w:cs="Times New Roman Bold"/>
          <w:spacing w:val="-4"/>
          <w:sz w:val="24"/>
        </w:rPr>
        <w:t>the Secretariat’s concerns that TSB and BR are not staffed with generalists who would be broadly expert enough to independently ad</w:t>
      </w:r>
      <w:r w:rsidR="00F541F6" w:rsidRPr="00472018">
        <w:rPr>
          <w:rFonts w:asciiTheme="minorHAnsi" w:hAnsiTheme="minorHAnsi" w:cs="Times New Roman Bold"/>
          <w:spacing w:val="-4"/>
          <w:sz w:val="24"/>
        </w:rPr>
        <w:t xml:space="preserve">dress the variety of issues which </w:t>
      </w:r>
      <w:r w:rsidR="0052405F" w:rsidRPr="00472018">
        <w:rPr>
          <w:rFonts w:asciiTheme="minorHAnsi" w:hAnsiTheme="minorHAnsi" w:cs="Times New Roman Bold"/>
          <w:spacing w:val="-4"/>
          <w:sz w:val="24"/>
        </w:rPr>
        <w:t xml:space="preserve">arise in the regions. </w:t>
      </w:r>
      <w:r w:rsidR="00F541F6" w:rsidRPr="00472018">
        <w:rPr>
          <w:rFonts w:asciiTheme="minorHAnsi" w:hAnsiTheme="minorHAnsi" w:cs="Times New Roman Bold"/>
          <w:spacing w:val="-4"/>
          <w:sz w:val="24"/>
        </w:rPr>
        <w:t>To Switzerland</w:t>
      </w:r>
      <w:r w:rsidR="0052405F" w:rsidRPr="00472018">
        <w:rPr>
          <w:rFonts w:asciiTheme="minorHAnsi" w:hAnsiTheme="minorHAnsi" w:cs="Times New Roman Bold"/>
          <w:spacing w:val="-4"/>
          <w:sz w:val="24"/>
        </w:rPr>
        <w:t>, it would therefore</w:t>
      </w:r>
      <w:r w:rsidR="004C53ED" w:rsidRPr="00472018">
        <w:rPr>
          <w:rFonts w:asciiTheme="minorHAnsi" w:hAnsiTheme="minorHAnsi" w:cs="Times New Roman Bold"/>
          <w:spacing w:val="-4"/>
          <w:sz w:val="24"/>
        </w:rPr>
        <w:t xml:space="preserve"> not seem advisable</w:t>
      </w:r>
      <w:r w:rsidR="0052405F" w:rsidRPr="00472018">
        <w:rPr>
          <w:rFonts w:asciiTheme="minorHAnsi" w:hAnsiTheme="minorHAnsi" w:cs="Times New Roman Bold"/>
          <w:spacing w:val="-4"/>
          <w:sz w:val="24"/>
        </w:rPr>
        <w:t xml:space="preserve"> to redeploy TSB or BR staff to the regional offices</w:t>
      </w:r>
      <w:r w:rsidR="004C53ED" w:rsidRPr="00472018">
        <w:rPr>
          <w:rFonts w:asciiTheme="minorHAnsi" w:hAnsiTheme="minorHAnsi" w:cs="Times New Roman Bold"/>
          <w:spacing w:val="-4"/>
          <w:sz w:val="24"/>
        </w:rPr>
        <w:t>; thereby creating voids in existing teams</w:t>
      </w:r>
      <w:r w:rsidR="0052405F" w:rsidRPr="00472018">
        <w:rPr>
          <w:rFonts w:asciiTheme="minorHAnsi" w:hAnsiTheme="minorHAnsi" w:cs="Times New Roman Bold"/>
          <w:spacing w:val="-4"/>
          <w:sz w:val="24"/>
        </w:rPr>
        <w:t>. Rather, it seems that TSB and BR can</w:t>
      </w:r>
      <w:r w:rsidR="00557444" w:rsidRPr="00472018">
        <w:rPr>
          <w:rFonts w:asciiTheme="minorHAnsi" w:hAnsiTheme="minorHAnsi" w:cs="Times New Roman Bold"/>
          <w:spacing w:val="-4"/>
          <w:sz w:val="24"/>
        </w:rPr>
        <w:t xml:space="preserve"> provide most</w:t>
      </w:r>
      <w:r w:rsidR="0052405F" w:rsidRPr="00472018">
        <w:rPr>
          <w:rFonts w:asciiTheme="minorHAnsi" w:hAnsiTheme="minorHAnsi" w:cs="Times New Roman Bold"/>
          <w:spacing w:val="-4"/>
          <w:sz w:val="24"/>
        </w:rPr>
        <w:t xml:space="preserve"> value by offering respective technical expertise and capacity building </w:t>
      </w:r>
      <w:r w:rsidR="00CA39A8" w:rsidRPr="00472018">
        <w:rPr>
          <w:rFonts w:asciiTheme="minorHAnsi" w:hAnsiTheme="minorHAnsi" w:cs="Times New Roman Bold"/>
          <w:spacing w:val="-4"/>
          <w:sz w:val="24"/>
        </w:rPr>
        <w:t xml:space="preserve">through remote support as well as </w:t>
      </w:r>
      <w:r w:rsidR="0052405F" w:rsidRPr="00472018">
        <w:rPr>
          <w:rFonts w:asciiTheme="minorHAnsi" w:hAnsiTheme="minorHAnsi" w:cs="Times New Roman Bold"/>
          <w:spacing w:val="-4"/>
          <w:sz w:val="24"/>
        </w:rPr>
        <w:t>on a project basis</w:t>
      </w:r>
      <w:r w:rsidR="004C53ED" w:rsidRPr="00472018">
        <w:rPr>
          <w:rFonts w:asciiTheme="minorHAnsi" w:hAnsiTheme="minorHAnsi" w:cs="Times New Roman Bold"/>
          <w:spacing w:val="-4"/>
          <w:sz w:val="24"/>
        </w:rPr>
        <w:t xml:space="preserve"> in the offices</w:t>
      </w:r>
      <w:r w:rsidR="00F541F6" w:rsidRPr="00472018">
        <w:rPr>
          <w:rFonts w:asciiTheme="minorHAnsi" w:hAnsiTheme="minorHAnsi" w:cs="Times New Roman Bold"/>
          <w:spacing w:val="-4"/>
          <w:sz w:val="24"/>
        </w:rPr>
        <w:t xml:space="preserve">. Such a co-working approach between headquarters and regional offices could furthermore </w:t>
      </w:r>
      <w:r w:rsidR="00E63FD9" w:rsidRPr="00472018">
        <w:rPr>
          <w:rFonts w:asciiTheme="minorHAnsi" w:hAnsiTheme="minorHAnsi" w:cs="Times New Roman Bold"/>
          <w:spacing w:val="-4"/>
          <w:sz w:val="24"/>
        </w:rPr>
        <w:t xml:space="preserve">increase intra-agency learning. </w:t>
      </w:r>
    </w:p>
    <w:p w14:paraId="2A55E379" w14:textId="77777777" w:rsidR="00E63FD9" w:rsidRPr="00472018" w:rsidRDefault="00E63FD9"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Furthermore</w:t>
      </w:r>
      <w:r w:rsidR="00557444" w:rsidRPr="00472018">
        <w:rPr>
          <w:rFonts w:asciiTheme="minorHAnsi" w:hAnsiTheme="minorHAnsi" w:cs="Times New Roman Bold"/>
          <w:spacing w:val="-4"/>
          <w:sz w:val="24"/>
        </w:rPr>
        <w:t>, i</w:t>
      </w:r>
      <w:r w:rsidRPr="00472018">
        <w:rPr>
          <w:rFonts w:asciiTheme="minorHAnsi" w:hAnsiTheme="minorHAnsi" w:cs="Times New Roman Bold"/>
          <w:spacing w:val="-4"/>
          <w:sz w:val="24"/>
        </w:rPr>
        <w:t>t is important that field offices can benefit as much as possible from the specific</w:t>
      </w:r>
      <w:r w:rsidR="00CA39A8" w:rsidRPr="00472018">
        <w:rPr>
          <w:rFonts w:asciiTheme="minorHAnsi" w:hAnsiTheme="minorHAnsi" w:cs="Times New Roman Bold"/>
          <w:spacing w:val="-4"/>
          <w:sz w:val="24"/>
        </w:rPr>
        <w:t xml:space="preserve"> technical expertise at</w:t>
      </w:r>
      <w:r w:rsidRPr="00472018">
        <w:rPr>
          <w:rFonts w:asciiTheme="minorHAnsi" w:hAnsiTheme="minorHAnsi" w:cs="Times New Roman Bold"/>
          <w:spacing w:val="-4"/>
          <w:sz w:val="24"/>
        </w:rPr>
        <w:t xml:space="preserve"> headquarters.</w:t>
      </w:r>
      <w:r w:rsidR="004C53ED"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 xml:space="preserve">Direct </w:t>
      </w:r>
      <w:r w:rsidR="00557444" w:rsidRPr="00472018">
        <w:rPr>
          <w:rFonts w:asciiTheme="minorHAnsi" w:hAnsiTheme="minorHAnsi" w:cs="Times New Roman Bold"/>
          <w:spacing w:val="-4"/>
          <w:sz w:val="24"/>
        </w:rPr>
        <w:t>contact</w:t>
      </w:r>
      <w:r w:rsidRPr="00472018">
        <w:rPr>
          <w:rFonts w:asciiTheme="minorHAnsi" w:hAnsiTheme="minorHAnsi" w:cs="Times New Roman Bold"/>
          <w:spacing w:val="-4"/>
          <w:sz w:val="24"/>
        </w:rPr>
        <w:t xml:space="preserve"> between staff at regional offices and headquarter should be supported as much as possible; </w:t>
      </w:r>
      <w:r w:rsidR="00557444" w:rsidRPr="00472018">
        <w:rPr>
          <w:rFonts w:asciiTheme="minorHAnsi" w:hAnsiTheme="minorHAnsi" w:cs="Times New Roman Bold"/>
          <w:spacing w:val="-4"/>
          <w:sz w:val="24"/>
        </w:rPr>
        <w:t>communication channel</w:t>
      </w:r>
      <w:r w:rsidR="004C53ED" w:rsidRPr="00472018">
        <w:rPr>
          <w:rFonts w:asciiTheme="minorHAnsi" w:hAnsiTheme="minorHAnsi" w:cs="Times New Roman Bold"/>
          <w:spacing w:val="-4"/>
          <w:sz w:val="24"/>
        </w:rPr>
        <w:t>s</w:t>
      </w:r>
      <w:r w:rsidR="00557444" w:rsidRPr="00472018">
        <w:rPr>
          <w:rFonts w:asciiTheme="minorHAnsi" w:hAnsiTheme="minorHAnsi" w:cs="Times New Roman Bold"/>
          <w:spacing w:val="-4"/>
          <w:sz w:val="24"/>
        </w:rPr>
        <w:t xml:space="preserve"> </w:t>
      </w:r>
      <w:r w:rsidR="004C53ED" w:rsidRPr="00472018">
        <w:rPr>
          <w:rFonts w:asciiTheme="minorHAnsi" w:hAnsiTheme="minorHAnsi" w:cs="Times New Roman Bold"/>
          <w:spacing w:val="-4"/>
          <w:sz w:val="24"/>
        </w:rPr>
        <w:t xml:space="preserve">for each office </w:t>
      </w:r>
      <w:r w:rsidR="00557444" w:rsidRPr="00472018">
        <w:rPr>
          <w:rFonts w:asciiTheme="minorHAnsi" w:hAnsiTheme="minorHAnsi" w:cs="Times New Roman Bold"/>
          <w:spacing w:val="-4"/>
          <w:sz w:val="24"/>
        </w:rPr>
        <w:t>should</w:t>
      </w:r>
      <w:r w:rsidR="004C53ED" w:rsidRPr="00472018">
        <w:rPr>
          <w:rFonts w:asciiTheme="minorHAnsi" w:hAnsiTheme="minorHAnsi" w:cs="Times New Roman Bold"/>
          <w:spacing w:val="-4"/>
          <w:sz w:val="24"/>
        </w:rPr>
        <w:t xml:space="preserve"> </w:t>
      </w:r>
      <w:r w:rsidR="00557444" w:rsidRPr="00472018">
        <w:rPr>
          <w:rFonts w:asciiTheme="minorHAnsi" w:hAnsiTheme="minorHAnsi" w:cs="Times New Roman Bold"/>
          <w:spacing w:val="-4"/>
          <w:sz w:val="24"/>
        </w:rPr>
        <w:t>be as direct as possible.</w:t>
      </w:r>
      <w:r w:rsidR="004C53ED" w:rsidRPr="00472018">
        <w:rPr>
          <w:rFonts w:asciiTheme="minorHAnsi" w:hAnsiTheme="minorHAnsi" w:cs="Times New Roman Bold"/>
          <w:spacing w:val="-4"/>
          <w:sz w:val="24"/>
        </w:rPr>
        <w:t xml:space="preserve"> </w:t>
      </w:r>
    </w:p>
    <w:p w14:paraId="47ABC57F" w14:textId="2727BAD9" w:rsidR="00915BFE" w:rsidRPr="00472018" w:rsidRDefault="004C53ED" w:rsidP="00472018">
      <w:pPr>
        <w:spacing w:before="120" w:after="120"/>
        <w:jc w:val="both"/>
        <w:rPr>
          <w:rFonts w:asciiTheme="minorHAnsi" w:hAnsiTheme="minorHAnsi" w:cs="Times New Roman Bold"/>
          <w:spacing w:val="-4"/>
          <w:sz w:val="24"/>
        </w:rPr>
      </w:pPr>
      <w:r w:rsidRPr="00472018">
        <w:rPr>
          <w:rFonts w:asciiTheme="minorHAnsi" w:hAnsiTheme="minorHAnsi" w:cs="Times New Roman Bold"/>
          <w:spacing w:val="-4"/>
          <w:sz w:val="24"/>
        </w:rPr>
        <w:t>T</w:t>
      </w:r>
      <w:r w:rsidR="00557444" w:rsidRPr="00472018">
        <w:rPr>
          <w:rFonts w:asciiTheme="minorHAnsi" w:hAnsiTheme="minorHAnsi" w:cs="Times New Roman Bold"/>
          <w:spacing w:val="-4"/>
          <w:sz w:val="24"/>
        </w:rPr>
        <w:t xml:space="preserve">he establishment of a </w:t>
      </w:r>
      <w:r w:rsidR="00CA39A8" w:rsidRPr="00472018">
        <w:rPr>
          <w:rFonts w:asciiTheme="minorHAnsi" w:hAnsiTheme="minorHAnsi" w:cs="Times New Roman Bold"/>
          <w:spacing w:val="-4"/>
          <w:sz w:val="24"/>
        </w:rPr>
        <w:t xml:space="preserve">small, centralized </w:t>
      </w:r>
      <w:r w:rsidR="00557444" w:rsidRPr="00472018">
        <w:rPr>
          <w:rFonts w:asciiTheme="minorHAnsi" w:hAnsiTheme="minorHAnsi" w:cs="Times New Roman Bold"/>
          <w:spacing w:val="-4"/>
          <w:sz w:val="24"/>
        </w:rPr>
        <w:t>coordination team</w:t>
      </w:r>
      <w:r w:rsidRPr="00472018">
        <w:rPr>
          <w:rFonts w:asciiTheme="minorHAnsi" w:hAnsiTheme="minorHAnsi" w:cs="Times New Roman Bold"/>
          <w:spacing w:val="-4"/>
          <w:sz w:val="24"/>
        </w:rPr>
        <w:t xml:space="preserve"> could further</w:t>
      </w:r>
      <w:r w:rsidR="00CA39A8" w:rsidRPr="00472018">
        <w:rPr>
          <w:rFonts w:asciiTheme="minorHAnsi" w:hAnsiTheme="minorHAnsi" w:cs="Times New Roman Bold"/>
          <w:spacing w:val="-4"/>
          <w:sz w:val="24"/>
        </w:rPr>
        <w:t xml:space="preserve"> impr</w:t>
      </w:r>
      <w:r w:rsidRPr="00472018">
        <w:rPr>
          <w:rFonts w:asciiTheme="minorHAnsi" w:hAnsiTheme="minorHAnsi" w:cs="Times New Roman Bold"/>
          <w:spacing w:val="-4"/>
          <w:sz w:val="24"/>
        </w:rPr>
        <w:t>ove coordination and hence effectiveness and efficiency</w:t>
      </w:r>
      <w:r w:rsidR="00CA39A8" w:rsidRPr="00472018">
        <w:rPr>
          <w:rFonts w:asciiTheme="minorHAnsi" w:hAnsiTheme="minorHAnsi" w:cs="Times New Roman Bold"/>
          <w:spacing w:val="-4"/>
          <w:sz w:val="24"/>
        </w:rPr>
        <w:t xml:space="preserve">. </w:t>
      </w:r>
      <w:r w:rsidR="00E63FD9" w:rsidRPr="00472018">
        <w:rPr>
          <w:rFonts w:asciiTheme="minorHAnsi" w:hAnsiTheme="minorHAnsi" w:cs="Times New Roman Bold"/>
          <w:spacing w:val="-4"/>
          <w:sz w:val="24"/>
        </w:rPr>
        <w:t>The team could furthermore</w:t>
      </w:r>
      <w:r w:rsidR="00CA39A8" w:rsidRPr="00472018">
        <w:rPr>
          <w:rFonts w:asciiTheme="minorHAnsi" w:hAnsiTheme="minorHAnsi" w:cs="Times New Roman Bold"/>
          <w:spacing w:val="-4"/>
          <w:sz w:val="24"/>
        </w:rPr>
        <w:t xml:space="preserve"> support field of</w:t>
      </w:r>
      <w:r w:rsidRPr="00472018">
        <w:rPr>
          <w:rFonts w:asciiTheme="minorHAnsi" w:hAnsiTheme="minorHAnsi" w:cs="Times New Roman Bold"/>
          <w:spacing w:val="-4"/>
          <w:sz w:val="24"/>
        </w:rPr>
        <w:t>fices in their reporting</w:t>
      </w:r>
      <w:r w:rsidR="00507DF0" w:rsidRPr="00472018">
        <w:rPr>
          <w:rFonts w:asciiTheme="minorHAnsi" w:hAnsiTheme="minorHAnsi" w:cs="Times New Roman Bold"/>
          <w:spacing w:val="-4"/>
          <w:sz w:val="24"/>
        </w:rPr>
        <w:t xml:space="preserve"> and communication</w:t>
      </w:r>
      <w:r w:rsidR="00E63FD9" w:rsidRPr="00472018">
        <w:rPr>
          <w:rFonts w:asciiTheme="minorHAnsi" w:hAnsiTheme="minorHAnsi" w:cs="Times New Roman Bold"/>
          <w:spacing w:val="-4"/>
          <w:sz w:val="24"/>
        </w:rPr>
        <w:t xml:space="preserve">, </w:t>
      </w:r>
      <w:r w:rsidRPr="00472018">
        <w:rPr>
          <w:rFonts w:asciiTheme="minorHAnsi" w:hAnsiTheme="minorHAnsi" w:cs="Times New Roman Bold"/>
          <w:spacing w:val="-4"/>
          <w:sz w:val="24"/>
        </w:rPr>
        <w:t>thereby</w:t>
      </w:r>
      <w:r w:rsidR="00E63FD9" w:rsidRPr="00472018">
        <w:rPr>
          <w:rFonts w:asciiTheme="minorHAnsi" w:hAnsiTheme="minorHAnsi" w:cs="Times New Roman Bold"/>
          <w:spacing w:val="-4"/>
          <w:sz w:val="24"/>
        </w:rPr>
        <w:t xml:space="preserve"> </w:t>
      </w:r>
      <w:r w:rsidR="00CA39A8" w:rsidRPr="00472018">
        <w:rPr>
          <w:rFonts w:asciiTheme="minorHAnsi" w:hAnsiTheme="minorHAnsi" w:cs="Times New Roman Bold"/>
          <w:spacing w:val="-4"/>
          <w:sz w:val="24"/>
        </w:rPr>
        <w:t>help</w:t>
      </w:r>
      <w:r w:rsidR="00E63FD9" w:rsidRPr="00472018">
        <w:rPr>
          <w:rFonts w:asciiTheme="minorHAnsi" w:hAnsiTheme="minorHAnsi" w:cs="Times New Roman Bold"/>
          <w:spacing w:val="-4"/>
          <w:sz w:val="24"/>
        </w:rPr>
        <w:t xml:space="preserve">ing </w:t>
      </w:r>
      <w:proofErr w:type="gramStart"/>
      <w:r w:rsidR="00E63FD9" w:rsidRPr="00472018">
        <w:rPr>
          <w:rFonts w:asciiTheme="minorHAnsi" w:hAnsiTheme="minorHAnsi" w:cs="Times New Roman Bold"/>
          <w:spacing w:val="-4"/>
          <w:sz w:val="24"/>
        </w:rPr>
        <w:t>monitoring</w:t>
      </w:r>
      <w:proofErr w:type="gramEnd"/>
      <w:r w:rsidR="00E63FD9" w:rsidRPr="00472018">
        <w:rPr>
          <w:rFonts w:asciiTheme="minorHAnsi" w:hAnsiTheme="minorHAnsi" w:cs="Times New Roman Bold"/>
          <w:spacing w:val="-4"/>
          <w:sz w:val="24"/>
        </w:rPr>
        <w:t xml:space="preserve"> and </w:t>
      </w:r>
      <w:r w:rsidR="00CA39A8" w:rsidRPr="00472018">
        <w:rPr>
          <w:rFonts w:asciiTheme="minorHAnsi" w:hAnsiTheme="minorHAnsi" w:cs="Times New Roman Bold"/>
          <w:spacing w:val="-4"/>
          <w:sz w:val="24"/>
        </w:rPr>
        <w:t>evaluation of regional impact</w:t>
      </w:r>
      <w:r w:rsidR="00507DF0" w:rsidRPr="00472018">
        <w:rPr>
          <w:rFonts w:asciiTheme="minorHAnsi" w:hAnsiTheme="minorHAnsi" w:cs="Times New Roman Bold"/>
          <w:spacing w:val="-4"/>
          <w:sz w:val="24"/>
        </w:rPr>
        <w:t>.</w:t>
      </w:r>
      <w:r w:rsidR="00E63FD9" w:rsidRPr="00472018">
        <w:rPr>
          <w:rFonts w:asciiTheme="minorHAnsi" w:hAnsiTheme="minorHAnsi" w:cs="Times New Roman Bold"/>
          <w:spacing w:val="-4"/>
          <w:sz w:val="24"/>
        </w:rPr>
        <w:t xml:space="preserve"> This would be important not only for general managerial oversight at the level of ITU-D directorate, but also provide a dynamic and constant review of the ITU’s region</w:t>
      </w:r>
      <w:r w:rsidR="00587F79" w:rsidRPr="00472018">
        <w:rPr>
          <w:rFonts w:asciiTheme="minorHAnsi" w:hAnsiTheme="minorHAnsi" w:cs="Times New Roman Bold"/>
          <w:spacing w:val="-4"/>
          <w:sz w:val="24"/>
        </w:rPr>
        <w:t>al activities and how its</w:t>
      </w:r>
      <w:r w:rsidR="00E63FD9" w:rsidRPr="00472018">
        <w:rPr>
          <w:rFonts w:asciiTheme="minorHAnsi" w:hAnsiTheme="minorHAnsi" w:cs="Times New Roman Bold"/>
          <w:spacing w:val="-4"/>
          <w:sz w:val="24"/>
        </w:rPr>
        <w:t xml:space="preserve"> impact can further</w:t>
      </w:r>
      <w:r w:rsidR="00587F79" w:rsidRPr="00472018">
        <w:rPr>
          <w:rFonts w:asciiTheme="minorHAnsi" w:hAnsiTheme="minorHAnsi" w:cs="Times New Roman Bold"/>
          <w:spacing w:val="-4"/>
          <w:sz w:val="24"/>
        </w:rPr>
        <w:t xml:space="preserve"> be</w:t>
      </w:r>
      <w:r w:rsidR="00E63FD9" w:rsidRPr="00472018">
        <w:rPr>
          <w:rFonts w:asciiTheme="minorHAnsi" w:hAnsiTheme="minorHAnsi" w:cs="Times New Roman Bold"/>
          <w:spacing w:val="-4"/>
          <w:sz w:val="24"/>
        </w:rPr>
        <w:t xml:space="preserve"> </w:t>
      </w:r>
      <w:r w:rsidR="00587F79" w:rsidRPr="00472018">
        <w:rPr>
          <w:rFonts w:asciiTheme="minorHAnsi" w:hAnsiTheme="minorHAnsi" w:cs="Times New Roman Bold"/>
          <w:spacing w:val="-4"/>
          <w:sz w:val="24"/>
        </w:rPr>
        <w:t>increased.</w:t>
      </w:r>
      <w:r w:rsidR="00E63FD9" w:rsidRPr="00472018">
        <w:rPr>
          <w:rFonts w:asciiTheme="minorHAnsi" w:hAnsiTheme="minorHAnsi" w:cs="Times New Roman Bold"/>
          <w:spacing w:val="-4"/>
          <w:sz w:val="24"/>
        </w:rPr>
        <w:t xml:space="preserve"> </w:t>
      </w:r>
    </w:p>
    <w:p w14:paraId="08FF1F88" w14:textId="739F7DF5" w:rsidR="00A976EC" w:rsidRPr="00472018" w:rsidRDefault="00472018" w:rsidP="005F2E0F">
      <w:pPr>
        <w:spacing w:before="480" w:after="120"/>
        <w:jc w:val="center"/>
        <w:rPr>
          <w:rFonts w:asciiTheme="minorHAnsi" w:hAnsiTheme="minorHAnsi" w:cs="Times New Roman Bold"/>
          <w:spacing w:val="-4"/>
          <w:sz w:val="24"/>
        </w:rPr>
      </w:pPr>
      <w:r w:rsidRPr="00472018">
        <w:rPr>
          <w:rFonts w:asciiTheme="minorHAnsi" w:hAnsiTheme="minorHAnsi" w:cs="Times New Roman Bold"/>
          <w:spacing w:val="-4"/>
          <w:sz w:val="24"/>
        </w:rPr>
        <w:t>_______________</w:t>
      </w:r>
    </w:p>
    <w:sectPr w:rsidR="00A976EC" w:rsidRPr="00472018" w:rsidSect="002A1458">
      <w:headerReference w:type="default" r:id="rId19"/>
      <w:footerReference w:type="first" r:id="rId20"/>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46B6" w14:textId="77777777" w:rsidR="007B471B" w:rsidRDefault="007B471B">
      <w:r>
        <w:separator/>
      </w:r>
    </w:p>
  </w:endnote>
  <w:endnote w:type="continuationSeparator" w:id="0">
    <w:p w14:paraId="17AE6EDA" w14:textId="77777777" w:rsidR="007B471B" w:rsidRDefault="007B471B">
      <w:r>
        <w:continuationSeparator/>
      </w:r>
    </w:p>
  </w:endnote>
  <w:endnote w:type="continuationNotice" w:id="1">
    <w:p w14:paraId="2C2F8913" w14:textId="77777777" w:rsidR="007B471B" w:rsidRDefault="007B4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1364"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C5A9C33" w14:textId="77777777" w:rsidR="00756E92" w:rsidRPr="00756E92" w:rsidRDefault="00756E92"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1332" w14:textId="77777777" w:rsidR="007B471B" w:rsidRDefault="007B471B">
      <w:r>
        <w:separator/>
      </w:r>
    </w:p>
  </w:footnote>
  <w:footnote w:type="continuationSeparator" w:id="0">
    <w:p w14:paraId="7F90394B" w14:textId="77777777" w:rsidR="007B471B" w:rsidRDefault="007B471B">
      <w:r>
        <w:continuationSeparator/>
      </w:r>
    </w:p>
  </w:footnote>
  <w:footnote w:type="continuationNotice" w:id="1">
    <w:p w14:paraId="3603EF40" w14:textId="77777777" w:rsidR="007B471B" w:rsidRDefault="007B471B"/>
  </w:footnote>
  <w:footnote w:id="2">
    <w:p w14:paraId="70436192" w14:textId="6DF44EC1" w:rsidR="00D5334D" w:rsidRPr="007559E1" w:rsidRDefault="00D5334D" w:rsidP="005F2E0F">
      <w:pPr>
        <w:pStyle w:val="FootnoteText"/>
        <w:tabs>
          <w:tab w:val="left" w:pos="142"/>
        </w:tabs>
      </w:pPr>
      <w:r>
        <w:rPr>
          <w:rStyle w:val="FootnoteReference"/>
        </w:rPr>
        <w:footnoteRef/>
      </w:r>
      <w:r>
        <w:t xml:space="preserve"> </w:t>
      </w:r>
      <w:r w:rsidR="005F2E0F">
        <w:tab/>
      </w:r>
      <w:r>
        <w:rPr>
          <w:rFonts w:asciiTheme="minorHAnsi" w:hAnsiTheme="minorHAnsi" w:cstheme="minorHAnsi"/>
        </w:rPr>
        <w:t>in alphabetic order: Coherence, Control, Effectiveness, Efficiency, Impact, Relevance, Sustainability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14AE" w14:textId="77777777" w:rsidR="005F2E0F" w:rsidRPr="005F2E0F" w:rsidRDefault="005F2E0F" w:rsidP="005F2E0F">
    <w:pPr>
      <w:pStyle w:val="Header"/>
      <w:jc w:val="center"/>
      <w:rPr>
        <w:rFonts w:asciiTheme="minorHAnsi" w:hAnsiTheme="minorHAnsi" w:cstheme="minorHAnsi"/>
        <w:sz w:val="18"/>
        <w:szCs w:val="18"/>
      </w:rPr>
    </w:pPr>
    <w:r w:rsidRPr="005F2E0F">
      <w:rPr>
        <w:rFonts w:asciiTheme="minorHAnsi" w:hAnsiTheme="minorHAnsi" w:cstheme="minorHAnsi"/>
        <w:sz w:val="18"/>
        <w:szCs w:val="18"/>
        <w:shd w:val="clear" w:color="auto" w:fill="E6E6E6"/>
      </w:rPr>
      <w:fldChar w:fldCharType="begin"/>
    </w:r>
    <w:r w:rsidRPr="005F2E0F">
      <w:rPr>
        <w:rFonts w:asciiTheme="minorHAnsi" w:hAnsiTheme="minorHAnsi" w:cstheme="minorHAnsi"/>
        <w:sz w:val="18"/>
        <w:szCs w:val="18"/>
      </w:rPr>
      <w:instrText>PAGE</w:instrText>
    </w:r>
    <w:r w:rsidRPr="005F2E0F">
      <w:rPr>
        <w:rFonts w:asciiTheme="minorHAnsi" w:hAnsiTheme="minorHAnsi" w:cstheme="minorHAnsi"/>
        <w:sz w:val="18"/>
        <w:szCs w:val="18"/>
        <w:shd w:val="clear" w:color="auto" w:fill="E6E6E6"/>
      </w:rPr>
      <w:fldChar w:fldCharType="separate"/>
    </w:r>
    <w:r w:rsidRPr="005F2E0F">
      <w:rPr>
        <w:rFonts w:asciiTheme="minorHAnsi" w:hAnsiTheme="minorHAnsi" w:cstheme="minorHAnsi"/>
        <w:sz w:val="18"/>
        <w:szCs w:val="18"/>
        <w:shd w:val="clear" w:color="auto" w:fill="E6E6E6"/>
      </w:rPr>
      <w:t>2</w:t>
    </w:r>
    <w:r w:rsidRPr="005F2E0F">
      <w:rPr>
        <w:rFonts w:asciiTheme="minorHAnsi" w:hAnsiTheme="minorHAnsi" w:cstheme="minorHAnsi"/>
        <w:sz w:val="18"/>
        <w:szCs w:val="18"/>
        <w:shd w:val="clear" w:color="auto" w:fill="E6E6E6"/>
      </w:rPr>
      <w:fldChar w:fldCharType="end"/>
    </w:r>
  </w:p>
  <w:p w14:paraId="0CD5C7C3" w14:textId="4D606D26" w:rsidR="002A1458" w:rsidRPr="005F2E0F" w:rsidRDefault="005F2E0F" w:rsidP="005F2E0F">
    <w:pPr>
      <w:pStyle w:val="Header"/>
      <w:spacing w:after="120"/>
      <w:jc w:val="center"/>
      <w:rPr>
        <w:rFonts w:asciiTheme="minorHAnsi" w:hAnsiTheme="minorHAnsi" w:cstheme="minorHAnsi"/>
        <w:bCs/>
        <w:sz w:val="18"/>
        <w:szCs w:val="18"/>
      </w:rPr>
    </w:pPr>
    <w:r w:rsidRPr="005F2E0F">
      <w:rPr>
        <w:rFonts w:asciiTheme="minorHAnsi" w:hAnsiTheme="minorHAnsi" w:cstheme="minorHAnsi"/>
        <w:bCs/>
        <w:sz w:val="18"/>
        <w:szCs w:val="18"/>
      </w:rPr>
      <w:t>CWG-FHR-AH-RegPres-2/</w:t>
    </w:r>
    <w:r w:rsidRPr="005F2E0F">
      <w:rPr>
        <w:rFonts w:asciiTheme="minorHAnsi" w:hAnsiTheme="minorHAnsi" w:cstheme="minorHAnsi"/>
        <w:bCs/>
        <w:sz w:val="18"/>
        <w:szCs w:val="18"/>
      </w:rPr>
      <w:t>5</w:t>
    </w:r>
    <w:r w:rsidRPr="005F2E0F">
      <w:rPr>
        <w:rFonts w:asciiTheme="minorHAnsi" w:hAnsiTheme="minorHAnsi" w:cstheme="minorHAnsi"/>
        <w:bCs/>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E4CF2"/>
    <w:multiLevelType w:val="hybridMultilevel"/>
    <w:tmpl w:val="EDB60534"/>
    <w:lvl w:ilvl="0" w:tplc="20D84AF4">
      <w:start w:val="19"/>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025847"/>
    <w:multiLevelType w:val="hybridMultilevel"/>
    <w:tmpl w:val="D77A1914"/>
    <w:lvl w:ilvl="0" w:tplc="11E86BA4">
      <w:numFmt w:val="bullet"/>
      <w:lvlText w:val=""/>
      <w:lvlJc w:val="left"/>
      <w:pPr>
        <w:ind w:left="720" w:hanging="360"/>
      </w:pPr>
      <w:rPr>
        <w:rFonts w:ascii="Wingdings" w:eastAsia="SimSun" w:hAnsi="Wingdings" w:cstheme="minorHAns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E3D4C31"/>
    <w:multiLevelType w:val="hybridMultilevel"/>
    <w:tmpl w:val="C94A91C8"/>
    <w:lvl w:ilvl="0" w:tplc="1730DBA4">
      <w:start w:val="1"/>
      <w:numFmt w:val="bullet"/>
      <w:lvlText w:val="-"/>
      <w:lvlJc w:val="left"/>
      <w:pPr>
        <w:ind w:left="720" w:hanging="360"/>
      </w:pPr>
      <w:rPr>
        <w:rFonts w:ascii="Calibri" w:eastAsia="SimSu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4BCE"/>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18CA"/>
    <w:rsid w:val="0008236A"/>
    <w:rsid w:val="000929FF"/>
    <w:rsid w:val="00093ACA"/>
    <w:rsid w:val="00095690"/>
    <w:rsid w:val="000A1688"/>
    <w:rsid w:val="000A5071"/>
    <w:rsid w:val="000B2D95"/>
    <w:rsid w:val="000B4C95"/>
    <w:rsid w:val="000C20DC"/>
    <w:rsid w:val="000C2A2E"/>
    <w:rsid w:val="000C2C28"/>
    <w:rsid w:val="000C397E"/>
    <w:rsid w:val="000C4839"/>
    <w:rsid w:val="000C5145"/>
    <w:rsid w:val="000D1EC9"/>
    <w:rsid w:val="000D2A32"/>
    <w:rsid w:val="000D746E"/>
    <w:rsid w:val="000E0B2E"/>
    <w:rsid w:val="000E6444"/>
    <w:rsid w:val="000E6F49"/>
    <w:rsid w:val="000E738E"/>
    <w:rsid w:val="000F2E67"/>
    <w:rsid w:val="000F366F"/>
    <w:rsid w:val="000F4BBB"/>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3BA5"/>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032A"/>
    <w:rsid w:val="001E4BD2"/>
    <w:rsid w:val="001E5885"/>
    <w:rsid w:val="001E5B3B"/>
    <w:rsid w:val="001F61F7"/>
    <w:rsid w:val="00200486"/>
    <w:rsid w:val="00200CD5"/>
    <w:rsid w:val="00204344"/>
    <w:rsid w:val="0020692F"/>
    <w:rsid w:val="002070AD"/>
    <w:rsid w:val="00207123"/>
    <w:rsid w:val="002079BE"/>
    <w:rsid w:val="0021145F"/>
    <w:rsid w:val="00212BF7"/>
    <w:rsid w:val="00214150"/>
    <w:rsid w:val="0022078A"/>
    <w:rsid w:val="002228D5"/>
    <w:rsid w:val="00224A4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939BD"/>
    <w:rsid w:val="00294EAB"/>
    <w:rsid w:val="002A09B4"/>
    <w:rsid w:val="002A1458"/>
    <w:rsid w:val="002A173B"/>
    <w:rsid w:val="002A264E"/>
    <w:rsid w:val="002A585E"/>
    <w:rsid w:val="002A6B9A"/>
    <w:rsid w:val="002B4498"/>
    <w:rsid w:val="002B44B6"/>
    <w:rsid w:val="002B4C20"/>
    <w:rsid w:val="002B7F6E"/>
    <w:rsid w:val="002C29BB"/>
    <w:rsid w:val="002D0596"/>
    <w:rsid w:val="002D0F7E"/>
    <w:rsid w:val="002E04CE"/>
    <w:rsid w:val="002E581D"/>
    <w:rsid w:val="002E5B9B"/>
    <w:rsid w:val="002F150A"/>
    <w:rsid w:val="003010A1"/>
    <w:rsid w:val="00302584"/>
    <w:rsid w:val="00302B27"/>
    <w:rsid w:val="00303AC0"/>
    <w:rsid w:val="00306388"/>
    <w:rsid w:val="00307AF2"/>
    <w:rsid w:val="00312766"/>
    <w:rsid w:val="00313312"/>
    <w:rsid w:val="00315C60"/>
    <w:rsid w:val="0031621F"/>
    <w:rsid w:val="003201AF"/>
    <w:rsid w:val="00326089"/>
    <w:rsid w:val="00326F4F"/>
    <w:rsid w:val="00332B82"/>
    <w:rsid w:val="00333793"/>
    <w:rsid w:val="003341A5"/>
    <w:rsid w:val="00340D3B"/>
    <w:rsid w:val="0034174F"/>
    <w:rsid w:val="00342898"/>
    <w:rsid w:val="00344CAA"/>
    <w:rsid w:val="00344DC5"/>
    <w:rsid w:val="0034736F"/>
    <w:rsid w:val="00347E04"/>
    <w:rsid w:val="003520F8"/>
    <w:rsid w:val="003573BA"/>
    <w:rsid w:val="00363097"/>
    <w:rsid w:val="00366DC6"/>
    <w:rsid w:val="00374C2C"/>
    <w:rsid w:val="0037552B"/>
    <w:rsid w:val="003762B2"/>
    <w:rsid w:val="0038108B"/>
    <w:rsid w:val="003834F8"/>
    <w:rsid w:val="00383935"/>
    <w:rsid w:val="0038552E"/>
    <w:rsid w:val="0038562C"/>
    <w:rsid w:val="00390067"/>
    <w:rsid w:val="003902E3"/>
    <w:rsid w:val="00391655"/>
    <w:rsid w:val="003917D7"/>
    <w:rsid w:val="00394C20"/>
    <w:rsid w:val="00396A5D"/>
    <w:rsid w:val="003A4FC0"/>
    <w:rsid w:val="003B306B"/>
    <w:rsid w:val="003B63AE"/>
    <w:rsid w:val="003C1B04"/>
    <w:rsid w:val="003C441A"/>
    <w:rsid w:val="003D1349"/>
    <w:rsid w:val="003D1F22"/>
    <w:rsid w:val="003D38E2"/>
    <w:rsid w:val="003D721F"/>
    <w:rsid w:val="003D7FD9"/>
    <w:rsid w:val="003E071A"/>
    <w:rsid w:val="003E74D8"/>
    <w:rsid w:val="003E7E4F"/>
    <w:rsid w:val="003F24A2"/>
    <w:rsid w:val="003F36AF"/>
    <w:rsid w:val="003F6014"/>
    <w:rsid w:val="003F6C4E"/>
    <w:rsid w:val="003F7794"/>
    <w:rsid w:val="00401FA7"/>
    <w:rsid w:val="00403A79"/>
    <w:rsid w:val="004049C4"/>
    <w:rsid w:val="00405880"/>
    <w:rsid w:val="00405A0C"/>
    <w:rsid w:val="004061AF"/>
    <w:rsid w:val="00406379"/>
    <w:rsid w:val="00406503"/>
    <w:rsid w:val="00406D07"/>
    <w:rsid w:val="004110D2"/>
    <w:rsid w:val="0041154D"/>
    <w:rsid w:val="00412020"/>
    <w:rsid w:val="004157DB"/>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5793"/>
    <w:rsid w:val="0045624E"/>
    <w:rsid w:val="00456819"/>
    <w:rsid w:val="00457B00"/>
    <w:rsid w:val="00463A64"/>
    <w:rsid w:val="00471036"/>
    <w:rsid w:val="00472018"/>
    <w:rsid w:val="00473B64"/>
    <w:rsid w:val="00477A11"/>
    <w:rsid w:val="004812CB"/>
    <w:rsid w:val="004855FD"/>
    <w:rsid w:val="00486CB6"/>
    <w:rsid w:val="004944DB"/>
    <w:rsid w:val="00496213"/>
    <w:rsid w:val="004A0CD0"/>
    <w:rsid w:val="004A4D3E"/>
    <w:rsid w:val="004A4F43"/>
    <w:rsid w:val="004A5C65"/>
    <w:rsid w:val="004C03C8"/>
    <w:rsid w:val="004C1A8E"/>
    <w:rsid w:val="004C4DBE"/>
    <w:rsid w:val="004C53CF"/>
    <w:rsid w:val="004C53ED"/>
    <w:rsid w:val="004C72E3"/>
    <w:rsid w:val="004D3913"/>
    <w:rsid w:val="004D43AC"/>
    <w:rsid w:val="004D48DF"/>
    <w:rsid w:val="004E2A9A"/>
    <w:rsid w:val="004E5922"/>
    <w:rsid w:val="004E5923"/>
    <w:rsid w:val="004E59D9"/>
    <w:rsid w:val="004F5D70"/>
    <w:rsid w:val="004F6DE0"/>
    <w:rsid w:val="00502CCA"/>
    <w:rsid w:val="005070D4"/>
    <w:rsid w:val="00507DF0"/>
    <w:rsid w:val="00510FAF"/>
    <w:rsid w:val="00513A75"/>
    <w:rsid w:val="0052405F"/>
    <w:rsid w:val="00524EF4"/>
    <w:rsid w:val="00530D10"/>
    <w:rsid w:val="005325DA"/>
    <w:rsid w:val="00532C41"/>
    <w:rsid w:val="00533490"/>
    <w:rsid w:val="00533519"/>
    <w:rsid w:val="0053382F"/>
    <w:rsid w:val="005364C3"/>
    <w:rsid w:val="00536CF3"/>
    <w:rsid w:val="0054047D"/>
    <w:rsid w:val="00545DD0"/>
    <w:rsid w:val="005523DF"/>
    <w:rsid w:val="00555C6E"/>
    <w:rsid w:val="00557444"/>
    <w:rsid w:val="00564BC4"/>
    <w:rsid w:val="00566BFF"/>
    <w:rsid w:val="00570FC0"/>
    <w:rsid w:val="0057111D"/>
    <w:rsid w:val="00571DB9"/>
    <w:rsid w:val="00575631"/>
    <w:rsid w:val="0057653D"/>
    <w:rsid w:val="00580A4A"/>
    <w:rsid w:val="00581062"/>
    <w:rsid w:val="005816C5"/>
    <w:rsid w:val="00582047"/>
    <w:rsid w:val="00586ABC"/>
    <w:rsid w:val="00587F79"/>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2E0F"/>
    <w:rsid w:val="005F3C9A"/>
    <w:rsid w:val="005F42CA"/>
    <w:rsid w:val="005F43BC"/>
    <w:rsid w:val="005F6E60"/>
    <w:rsid w:val="005F716F"/>
    <w:rsid w:val="005F7189"/>
    <w:rsid w:val="005F7C2E"/>
    <w:rsid w:val="006006FD"/>
    <w:rsid w:val="00602355"/>
    <w:rsid w:val="00607F0B"/>
    <w:rsid w:val="00611188"/>
    <w:rsid w:val="00616D37"/>
    <w:rsid w:val="00617D05"/>
    <w:rsid w:val="006204DB"/>
    <w:rsid w:val="00623E67"/>
    <w:rsid w:val="00624887"/>
    <w:rsid w:val="00626262"/>
    <w:rsid w:val="00630805"/>
    <w:rsid w:val="00635161"/>
    <w:rsid w:val="006367B6"/>
    <w:rsid w:val="0064055B"/>
    <w:rsid w:val="00642B5B"/>
    <w:rsid w:val="006463AB"/>
    <w:rsid w:val="00647395"/>
    <w:rsid w:val="006477FD"/>
    <w:rsid w:val="00656B2D"/>
    <w:rsid w:val="00665F5E"/>
    <w:rsid w:val="0066704D"/>
    <w:rsid w:val="00671D68"/>
    <w:rsid w:val="0067474B"/>
    <w:rsid w:val="00683733"/>
    <w:rsid w:val="00683C44"/>
    <w:rsid w:val="00685B0C"/>
    <w:rsid w:val="00692A3E"/>
    <w:rsid w:val="00692FA4"/>
    <w:rsid w:val="00696709"/>
    <w:rsid w:val="006978E5"/>
    <w:rsid w:val="006A02E2"/>
    <w:rsid w:val="006A079F"/>
    <w:rsid w:val="006A0E15"/>
    <w:rsid w:val="006A15AC"/>
    <w:rsid w:val="006A2F0C"/>
    <w:rsid w:val="006A6D99"/>
    <w:rsid w:val="006B361F"/>
    <w:rsid w:val="006B39E1"/>
    <w:rsid w:val="006B41FD"/>
    <w:rsid w:val="006B460D"/>
    <w:rsid w:val="006C1523"/>
    <w:rsid w:val="006C1682"/>
    <w:rsid w:val="006C2B40"/>
    <w:rsid w:val="006C364F"/>
    <w:rsid w:val="006C4E5D"/>
    <w:rsid w:val="006C5D53"/>
    <w:rsid w:val="006D18A0"/>
    <w:rsid w:val="006D42F1"/>
    <w:rsid w:val="006D47EF"/>
    <w:rsid w:val="006D5D09"/>
    <w:rsid w:val="006D70C6"/>
    <w:rsid w:val="006E0FF3"/>
    <w:rsid w:val="006E36F1"/>
    <w:rsid w:val="006E39B8"/>
    <w:rsid w:val="006F0D6C"/>
    <w:rsid w:val="006F2163"/>
    <w:rsid w:val="006F5ACB"/>
    <w:rsid w:val="007003D6"/>
    <w:rsid w:val="007025A7"/>
    <w:rsid w:val="0070262F"/>
    <w:rsid w:val="00704271"/>
    <w:rsid w:val="00713A1D"/>
    <w:rsid w:val="007156E4"/>
    <w:rsid w:val="00717F6C"/>
    <w:rsid w:val="0072067D"/>
    <w:rsid w:val="00721EED"/>
    <w:rsid w:val="0072652E"/>
    <w:rsid w:val="007270D0"/>
    <w:rsid w:val="00733871"/>
    <w:rsid w:val="007339D5"/>
    <w:rsid w:val="00734285"/>
    <w:rsid w:val="007366E9"/>
    <w:rsid w:val="00750401"/>
    <w:rsid w:val="00751703"/>
    <w:rsid w:val="007559E1"/>
    <w:rsid w:val="00756E92"/>
    <w:rsid w:val="0076010E"/>
    <w:rsid w:val="00764696"/>
    <w:rsid w:val="0077353C"/>
    <w:rsid w:val="0077381B"/>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471B"/>
    <w:rsid w:val="007B7E45"/>
    <w:rsid w:val="007C05A7"/>
    <w:rsid w:val="007C102C"/>
    <w:rsid w:val="007C34B0"/>
    <w:rsid w:val="007C4460"/>
    <w:rsid w:val="007C5CDF"/>
    <w:rsid w:val="007C7752"/>
    <w:rsid w:val="007E1149"/>
    <w:rsid w:val="007E2B65"/>
    <w:rsid w:val="007E33CE"/>
    <w:rsid w:val="007E6398"/>
    <w:rsid w:val="007E7313"/>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7F4"/>
    <w:rsid w:val="00821976"/>
    <w:rsid w:val="0082335C"/>
    <w:rsid w:val="008233F9"/>
    <w:rsid w:val="00831D35"/>
    <w:rsid w:val="0083200C"/>
    <w:rsid w:val="00833A1F"/>
    <w:rsid w:val="00833DC2"/>
    <w:rsid w:val="00835CD6"/>
    <w:rsid w:val="0084292A"/>
    <w:rsid w:val="00842DFD"/>
    <w:rsid w:val="0084353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123F"/>
    <w:rsid w:val="008A2445"/>
    <w:rsid w:val="008A292E"/>
    <w:rsid w:val="008A4F01"/>
    <w:rsid w:val="008B2C85"/>
    <w:rsid w:val="008B396C"/>
    <w:rsid w:val="008B56C2"/>
    <w:rsid w:val="008C173B"/>
    <w:rsid w:val="008C2C8E"/>
    <w:rsid w:val="008D119C"/>
    <w:rsid w:val="008D18C5"/>
    <w:rsid w:val="008D1B8D"/>
    <w:rsid w:val="008D1DB1"/>
    <w:rsid w:val="008D45D6"/>
    <w:rsid w:val="008E27E9"/>
    <w:rsid w:val="008E28FB"/>
    <w:rsid w:val="008E3915"/>
    <w:rsid w:val="008E74F8"/>
    <w:rsid w:val="008F0348"/>
    <w:rsid w:val="00902E96"/>
    <w:rsid w:val="009039E6"/>
    <w:rsid w:val="009041E7"/>
    <w:rsid w:val="0090735D"/>
    <w:rsid w:val="00907F6E"/>
    <w:rsid w:val="00911D35"/>
    <w:rsid w:val="0091462A"/>
    <w:rsid w:val="009152F8"/>
    <w:rsid w:val="009158E2"/>
    <w:rsid w:val="00915BFE"/>
    <w:rsid w:val="0091691F"/>
    <w:rsid w:val="00916BA1"/>
    <w:rsid w:val="009208B2"/>
    <w:rsid w:val="00921BD2"/>
    <w:rsid w:val="00922F01"/>
    <w:rsid w:val="009325E5"/>
    <w:rsid w:val="00932DC2"/>
    <w:rsid w:val="00933184"/>
    <w:rsid w:val="00941F8F"/>
    <w:rsid w:val="009431CA"/>
    <w:rsid w:val="009468B8"/>
    <w:rsid w:val="00946B12"/>
    <w:rsid w:val="00946D2C"/>
    <w:rsid w:val="00952D9C"/>
    <w:rsid w:val="009537F8"/>
    <w:rsid w:val="009538DC"/>
    <w:rsid w:val="0095704D"/>
    <w:rsid w:val="009579CD"/>
    <w:rsid w:val="00957F67"/>
    <w:rsid w:val="009605B2"/>
    <w:rsid w:val="00960A81"/>
    <w:rsid w:val="00962DE5"/>
    <w:rsid w:val="00964048"/>
    <w:rsid w:val="009640AB"/>
    <w:rsid w:val="00967173"/>
    <w:rsid w:val="00973FB5"/>
    <w:rsid w:val="00977945"/>
    <w:rsid w:val="00981751"/>
    <w:rsid w:val="00981C18"/>
    <w:rsid w:val="00986E99"/>
    <w:rsid w:val="00990CB4"/>
    <w:rsid w:val="009914AD"/>
    <w:rsid w:val="009926DF"/>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06752"/>
    <w:rsid w:val="00A10925"/>
    <w:rsid w:val="00A10EFD"/>
    <w:rsid w:val="00A10EFE"/>
    <w:rsid w:val="00A12C2C"/>
    <w:rsid w:val="00A14D06"/>
    <w:rsid w:val="00A241C3"/>
    <w:rsid w:val="00A26C2E"/>
    <w:rsid w:val="00A26EF2"/>
    <w:rsid w:val="00A3221E"/>
    <w:rsid w:val="00A368F3"/>
    <w:rsid w:val="00A37145"/>
    <w:rsid w:val="00A40EC9"/>
    <w:rsid w:val="00A4220F"/>
    <w:rsid w:val="00A4381A"/>
    <w:rsid w:val="00A43E66"/>
    <w:rsid w:val="00A46705"/>
    <w:rsid w:val="00A467F7"/>
    <w:rsid w:val="00A47D6B"/>
    <w:rsid w:val="00A51ACE"/>
    <w:rsid w:val="00A53763"/>
    <w:rsid w:val="00A538E3"/>
    <w:rsid w:val="00A5763D"/>
    <w:rsid w:val="00A60890"/>
    <w:rsid w:val="00A62722"/>
    <w:rsid w:val="00A66A91"/>
    <w:rsid w:val="00A66CCC"/>
    <w:rsid w:val="00A70CB6"/>
    <w:rsid w:val="00A714BD"/>
    <w:rsid w:val="00A77A06"/>
    <w:rsid w:val="00A819C3"/>
    <w:rsid w:val="00A82C37"/>
    <w:rsid w:val="00A8726B"/>
    <w:rsid w:val="00A93C72"/>
    <w:rsid w:val="00A95D42"/>
    <w:rsid w:val="00A962C3"/>
    <w:rsid w:val="00A973E2"/>
    <w:rsid w:val="00A976EC"/>
    <w:rsid w:val="00AA0D6E"/>
    <w:rsid w:val="00AA5CFE"/>
    <w:rsid w:val="00AB1A29"/>
    <w:rsid w:val="00AC37B1"/>
    <w:rsid w:val="00AC6047"/>
    <w:rsid w:val="00AC7956"/>
    <w:rsid w:val="00AD4F03"/>
    <w:rsid w:val="00AD5265"/>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0E03"/>
    <w:rsid w:val="00BC1480"/>
    <w:rsid w:val="00BC30E9"/>
    <w:rsid w:val="00BC4228"/>
    <w:rsid w:val="00BC5F3B"/>
    <w:rsid w:val="00BD6AF4"/>
    <w:rsid w:val="00BD6DF5"/>
    <w:rsid w:val="00BE0708"/>
    <w:rsid w:val="00BE175D"/>
    <w:rsid w:val="00BE364F"/>
    <w:rsid w:val="00BE4BC7"/>
    <w:rsid w:val="00BE5EDE"/>
    <w:rsid w:val="00BE71E9"/>
    <w:rsid w:val="00BE7737"/>
    <w:rsid w:val="00BF3543"/>
    <w:rsid w:val="00BF3A0C"/>
    <w:rsid w:val="00C03ACA"/>
    <w:rsid w:val="00C07674"/>
    <w:rsid w:val="00C077B4"/>
    <w:rsid w:val="00C13CAA"/>
    <w:rsid w:val="00C13CBB"/>
    <w:rsid w:val="00C1434E"/>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098A"/>
    <w:rsid w:val="00C71595"/>
    <w:rsid w:val="00C73FEA"/>
    <w:rsid w:val="00C863F7"/>
    <w:rsid w:val="00C86BA0"/>
    <w:rsid w:val="00C9084A"/>
    <w:rsid w:val="00C9143A"/>
    <w:rsid w:val="00CA2A06"/>
    <w:rsid w:val="00CA39A8"/>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98D"/>
    <w:rsid w:val="00CD6E42"/>
    <w:rsid w:val="00CE036F"/>
    <w:rsid w:val="00CF049D"/>
    <w:rsid w:val="00CF1CD3"/>
    <w:rsid w:val="00CF3EA5"/>
    <w:rsid w:val="00D02CC5"/>
    <w:rsid w:val="00D03809"/>
    <w:rsid w:val="00D03FE6"/>
    <w:rsid w:val="00D05D1C"/>
    <w:rsid w:val="00D078F2"/>
    <w:rsid w:val="00D13E8A"/>
    <w:rsid w:val="00D14744"/>
    <w:rsid w:val="00D15326"/>
    <w:rsid w:val="00D15F1E"/>
    <w:rsid w:val="00D1632D"/>
    <w:rsid w:val="00D24CF3"/>
    <w:rsid w:val="00D35A9D"/>
    <w:rsid w:val="00D42974"/>
    <w:rsid w:val="00D44BB2"/>
    <w:rsid w:val="00D45050"/>
    <w:rsid w:val="00D452A3"/>
    <w:rsid w:val="00D50491"/>
    <w:rsid w:val="00D5205D"/>
    <w:rsid w:val="00D5334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496F"/>
    <w:rsid w:val="00DC740F"/>
    <w:rsid w:val="00DD0E84"/>
    <w:rsid w:val="00DD0F20"/>
    <w:rsid w:val="00DD4270"/>
    <w:rsid w:val="00DD551F"/>
    <w:rsid w:val="00DD5C53"/>
    <w:rsid w:val="00DD7F74"/>
    <w:rsid w:val="00DE0161"/>
    <w:rsid w:val="00DE2E35"/>
    <w:rsid w:val="00DE6AB7"/>
    <w:rsid w:val="00DF3854"/>
    <w:rsid w:val="00DF7B4D"/>
    <w:rsid w:val="00E00223"/>
    <w:rsid w:val="00E00BB9"/>
    <w:rsid w:val="00E01D38"/>
    <w:rsid w:val="00E023F8"/>
    <w:rsid w:val="00E02AF4"/>
    <w:rsid w:val="00E04BBC"/>
    <w:rsid w:val="00E0648E"/>
    <w:rsid w:val="00E06E45"/>
    <w:rsid w:val="00E1258E"/>
    <w:rsid w:val="00E1346D"/>
    <w:rsid w:val="00E1668A"/>
    <w:rsid w:val="00E21532"/>
    <w:rsid w:val="00E224D7"/>
    <w:rsid w:val="00E30DF6"/>
    <w:rsid w:val="00E33E37"/>
    <w:rsid w:val="00E44ED4"/>
    <w:rsid w:val="00E450ED"/>
    <w:rsid w:val="00E50795"/>
    <w:rsid w:val="00E507AC"/>
    <w:rsid w:val="00E50806"/>
    <w:rsid w:val="00E5592F"/>
    <w:rsid w:val="00E55EFC"/>
    <w:rsid w:val="00E57DBA"/>
    <w:rsid w:val="00E6031C"/>
    <w:rsid w:val="00E6198A"/>
    <w:rsid w:val="00E61DC1"/>
    <w:rsid w:val="00E63FD9"/>
    <w:rsid w:val="00E652C7"/>
    <w:rsid w:val="00E652F8"/>
    <w:rsid w:val="00E8066A"/>
    <w:rsid w:val="00E864B3"/>
    <w:rsid w:val="00E87721"/>
    <w:rsid w:val="00E90EA7"/>
    <w:rsid w:val="00E950B1"/>
    <w:rsid w:val="00E95A03"/>
    <w:rsid w:val="00E97D5E"/>
    <w:rsid w:val="00EA1E39"/>
    <w:rsid w:val="00EA3A6C"/>
    <w:rsid w:val="00EA5FFD"/>
    <w:rsid w:val="00EA751F"/>
    <w:rsid w:val="00EB1578"/>
    <w:rsid w:val="00EB3970"/>
    <w:rsid w:val="00EB47FF"/>
    <w:rsid w:val="00EB67D1"/>
    <w:rsid w:val="00EB7CDE"/>
    <w:rsid w:val="00EC7457"/>
    <w:rsid w:val="00EE27ED"/>
    <w:rsid w:val="00EE2DD2"/>
    <w:rsid w:val="00EF0571"/>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0583"/>
    <w:rsid w:val="00F339FB"/>
    <w:rsid w:val="00F37B8E"/>
    <w:rsid w:val="00F40E12"/>
    <w:rsid w:val="00F40E57"/>
    <w:rsid w:val="00F45331"/>
    <w:rsid w:val="00F47396"/>
    <w:rsid w:val="00F52927"/>
    <w:rsid w:val="00F541F6"/>
    <w:rsid w:val="00F55548"/>
    <w:rsid w:val="00F567E9"/>
    <w:rsid w:val="00F57E7D"/>
    <w:rsid w:val="00F60D6B"/>
    <w:rsid w:val="00F63237"/>
    <w:rsid w:val="00F63983"/>
    <w:rsid w:val="00F70AE5"/>
    <w:rsid w:val="00F739A8"/>
    <w:rsid w:val="00F773BF"/>
    <w:rsid w:val="00F810B3"/>
    <w:rsid w:val="00F81790"/>
    <w:rsid w:val="00F84989"/>
    <w:rsid w:val="00F8521F"/>
    <w:rsid w:val="00F85428"/>
    <w:rsid w:val="00F87D4E"/>
    <w:rsid w:val="00F91073"/>
    <w:rsid w:val="00F914BF"/>
    <w:rsid w:val="00F91B39"/>
    <w:rsid w:val="00F93469"/>
    <w:rsid w:val="00F93F8E"/>
    <w:rsid w:val="00FA0E59"/>
    <w:rsid w:val="00FA1C6D"/>
    <w:rsid w:val="00FA3BE3"/>
    <w:rsid w:val="00FA473A"/>
    <w:rsid w:val="00FB022C"/>
    <w:rsid w:val="00FB0912"/>
    <w:rsid w:val="00FB21E2"/>
    <w:rsid w:val="00FC30CC"/>
    <w:rsid w:val="00FD1433"/>
    <w:rsid w:val="00FE1C5A"/>
    <w:rsid w:val="00FE55CF"/>
    <w:rsid w:val="00FE5D70"/>
    <w:rsid w:val="00FE6802"/>
    <w:rsid w:val="00FE6DB9"/>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List Paragraph 1,List Paragraph1"/>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13312"/>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Table">
    <w:name w:val="Table_#"/>
    <w:basedOn w:val="Normal"/>
    <w:next w:val="Normal"/>
    <w:rsid w:val="00313312"/>
    <w:pPr>
      <w:keepNext/>
      <w:tabs>
        <w:tab w:val="left" w:pos="794"/>
        <w:tab w:val="left" w:pos="1191"/>
        <w:tab w:val="left" w:pos="1588"/>
        <w:tab w:val="left" w:pos="1985"/>
      </w:tabs>
      <w:spacing w:before="560" w:after="120"/>
      <w:jc w:val="center"/>
    </w:pPr>
    <w:rPr>
      <w:rFonts w:ascii="Times New Roman" w:eastAsia="Times New Roman" w:hAnsi="Times New Roman"/>
      <w:caps/>
      <w:sz w:val="24"/>
      <w:szCs w:val="20"/>
      <w:lang w:val="en-GB" w:eastAsia="en-US"/>
    </w:rPr>
  </w:style>
  <w:style w:type="paragraph" w:styleId="PlainText">
    <w:name w:val="Plain Text"/>
    <w:basedOn w:val="Normal"/>
    <w:link w:val="PlainTextChar"/>
    <w:uiPriority w:val="99"/>
    <w:unhideWhenUsed/>
    <w:rsid w:val="00313312"/>
    <w:rPr>
      <w:rFonts w:ascii="Calibri" w:eastAsiaTheme="minorHAnsi" w:hAnsi="Calibri" w:cs="Calibri"/>
      <w:sz w:val="24"/>
      <w:szCs w:val="21"/>
      <w:lang w:val="en-GB" w:eastAsia="en-US"/>
    </w:rPr>
  </w:style>
  <w:style w:type="character" w:customStyle="1" w:styleId="PlainTextChar">
    <w:name w:val="Plain Text Char"/>
    <w:basedOn w:val="DefaultParagraphFont"/>
    <w:link w:val="PlainText"/>
    <w:uiPriority w:val="99"/>
    <w:rsid w:val="00313312"/>
    <w:rPr>
      <w:rFonts w:ascii="Calibri" w:eastAsiaTheme="minorHAnsi" w:hAnsi="Calibri" w:cs="Calibri"/>
      <w:sz w:val="24"/>
      <w:szCs w:val="21"/>
      <w:lang w:val="en-GB" w:eastAsia="en-US"/>
    </w:rPr>
  </w:style>
  <w:style w:type="paragraph" w:customStyle="1" w:styleId="Source">
    <w:name w:val="Source"/>
    <w:basedOn w:val="Normal"/>
    <w:rsid w:val="00313312"/>
    <w:pPr>
      <w:jc w:val="center"/>
    </w:pPr>
    <w:rPr>
      <w:b/>
      <w:bCs/>
      <w:sz w:val="28"/>
      <w:szCs w:val="28"/>
    </w:rPr>
  </w:style>
  <w:style w:type="paragraph" w:styleId="FootnoteText">
    <w:name w:val="footnote text"/>
    <w:basedOn w:val="Normal"/>
    <w:link w:val="FootnoteTextChar"/>
    <w:semiHidden/>
    <w:unhideWhenUsed/>
    <w:rsid w:val="007559E1"/>
    <w:rPr>
      <w:sz w:val="20"/>
      <w:szCs w:val="20"/>
    </w:rPr>
  </w:style>
  <w:style w:type="character" w:customStyle="1" w:styleId="FootnoteTextChar">
    <w:name w:val="Footnote Text Char"/>
    <w:basedOn w:val="DefaultParagraphFont"/>
    <w:link w:val="FootnoteText"/>
    <w:semiHidden/>
    <w:rsid w:val="007559E1"/>
    <w:rPr>
      <w:rFonts w:ascii="Arial" w:hAnsi="Arial"/>
      <w:lang w:eastAsia="zh-CN"/>
    </w:rPr>
  </w:style>
  <w:style w:type="character" w:styleId="FootnoteReference">
    <w:name w:val="footnote reference"/>
    <w:basedOn w:val="DefaultParagraphFont"/>
    <w:semiHidden/>
    <w:unhideWhenUsed/>
    <w:rsid w:val="007559E1"/>
    <w:rPr>
      <w:vertAlign w:val="superscript"/>
    </w:rPr>
  </w:style>
  <w:style w:type="character" w:customStyle="1" w:styleId="ListParagraphChar">
    <w:name w:val="List Paragraph Char"/>
    <w:aliases w:val="List Paragraph 1 Char,List Paragraph1 Char"/>
    <w:basedOn w:val="DefaultParagraphFont"/>
    <w:link w:val="ListParagraph"/>
    <w:uiPriority w:val="34"/>
    <w:locked/>
    <w:rsid w:val="00922F01"/>
    <w:rPr>
      <w:rFonts w:ascii="Arial" w:hAnsi="Arial"/>
      <w:sz w:val="22"/>
      <w:szCs w:val="24"/>
      <w:lang w:eastAsia="zh-CN"/>
    </w:rPr>
  </w:style>
  <w:style w:type="character" w:styleId="UnresolvedMention">
    <w:name w:val="Unresolved Mention"/>
    <w:basedOn w:val="DefaultParagraphFont"/>
    <w:uiPriority w:val="99"/>
    <w:semiHidden/>
    <w:unhideWhenUsed/>
    <w:rsid w:val="00472018"/>
    <w:rPr>
      <w:color w:val="605E5C"/>
      <w:shd w:val="clear" w:color="auto" w:fill="E1DFDD"/>
    </w:rPr>
  </w:style>
  <w:style w:type="character" w:customStyle="1" w:styleId="HeaderChar">
    <w:name w:val="Header Char"/>
    <w:basedOn w:val="DefaultParagraphFont"/>
    <w:link w:val="Header"/>
    <w:rsid w:val="005F2E0F"/>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5112712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0-CL-C-0074/en" TargetMode="External"/><Relationship Id="rId18" Type="http://schemas.openxmlformats.org/officeDocument/2006/relationships/hyperlink" Target="https://www.itu.int/md/S21-CWGFHR12-C-0009/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1-AHGFHR1-C-0004/en" TargetMode="External"/><Relationship Id="rId2" Type="http://schemas.openxmlformats.org/officeDocument/2006/relationships/customXml" Target="../customXml/item2.xml"/><Relationship Id="rId16" Type="http://schemas.openxmlformats.org/officeDocument/2006/relationships/hyperlink" Target="https://www.itu.int/md/S20-CL-C-007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1-AHGFHR1-C-0004/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1-CWGFHR12-C-000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31a26b5e6a84297540fb9bcd5875ca0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DB134C-126A-432F-813D-6BBC6DB4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12F2316B-A08E-4609-ABF8-694AC3CC84A9}">
  <ds:schemaRefs>
    <ds:schemaRef ds:uri="http://schemas.openxmlformats.org/officeDocument/2006/bibliography"/>
  </ds:schemaRefs>
</ds:datastoreItem>
</file>

<file path=customXml/itemProps4.xml><?xml version="1.0" encoding="utf-8"?>
<ds:datastoreItem xmlns:ds="http://schemas.openxmlformats.org/officeDocument/2006/customXml" ds:itemID="{D6398EB4-1D99-403E-A27B-EAD775A4873C}">
  <ds:schemaRefs>
    <ds:schemaRef ds:uri="http://schemas.openxmlformats.org/officeDocument/2006/bibliography"/>
  </ds:schemaRefs>
</ds:datastoreItem>
</file>

<file path=customXml/itemProps5.xml><?xml version="1.0" encoding="utf-8"?>
<ds:datastoreItem xmlns:ds="http://schemas.openxmlformats.org/officeDocument/2006/customXml" ds:itemID="{0CBB7ADF-EB5F-4537-943F-279F722AEB4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1aaea1ea-72e4-4374-b05e-72e2f16fb7ae"/>
    <ds:schemaRef ds:uri="http://www.w3.org/XML/1998/namespace"/>
    <ds:schemaRef ds:uri="http://purl.org/dc/dcmitype/"/>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1493</Words>
  <Characters>9014</Characters>
  <Application>Microsoft Office Word</Application>
  <DocSecurity>4</DocSecurity>
  <Lines>75</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AdHoc Group on Regional Presence</vt:lpstr>
      <vt:lpstr>ITU Normal.dot</vt:lpstr>
    </vt:vector>
  </TitlesOfParts>
  <Company>ITU</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Switzerland - AdHoc Group on Regional Presence</dc:title>
  <dc:subject>CWG-FHR Ad Hoc Group on Regional presence</dc:subject>
  <dc:creator>Brouard, Ricarda</dc:creator>
  <cp:keywords>CWG-FHR, Ad hoc Group, AHG</cp:keywords>
  <cp:lastModifiedBy>Brouard, Ricarda</cp:lastModifiedBy>
  <cp:revision>2</cp:revision>
  <cp:lastPrinted>2013-07-15T09:23:00Z</cp:lastPrinted>
  <dcterms:created xsi:type="dcterms:W3CDTF">2021-04-13T18:02:00Z</dcterms:created>
  <dcterms:modified xsi:type="dcterms:W3CDTF">2021-04-13T18:02:00Z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