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359BD" w14:textId="77777777" w:rsidR="00B915C1" w:rsidRDefault="00B915C1" w:rsidP="00B915C1">
      <w:pPr>
        <w:rPr>
          <w:rFonts w:cs="Arial"/>
          <w:sz w:val="20"/>
          <w:szCs w:val="20"/>
        </w:rPr>
      </w:pPr>
    </w:p>
    <w:tbl>
      <w:tblPr>
        <w:tblpPr w:leftFromText="181" w:rightFromText="181" w:horzAnchor="margin" w:tblpY="-674"/>
        <w:tblW w:w="10314" w:type="dxa"/>
        <w:tblLayout w:type="fixed"/>
        <w:tblLook w:val="0000" w:firstRow="0" w:lastRow="0" w:firstColumn="0" w:lastColumn="0" w:noHBand="0" w:noVBand="0"/>
      </w:tblPr>
      <w:tblGrid>
        <w:gridCol w:w="5954"/>
        <w:gridCol w:w="4360"/>
      </w:tblGrid>
      <w:tr w:rsidR="005F153A" w14:paraId="2E873D7B" w14:textId="77777777" w:rsidTr="00313312">
        <w:trPr>
          <w:cantSplit/>
        </w:trPr>
        <w:tc>
          <w:tcPr>
            <w:tcW w:w="5954" w:type="dxa"/>
          </w:tcPr>
          <w:p w14:paraId="44469129" w14:textId="400B1303" w:rsidR="004E5922" w:rsidRDefault="00313312" w:rsidP="00815174">
            <w:pPr>
              <w:spacing w:before="240" w:after="48"/>
              <w:rPr>
                <w:rFonts w:asciiTheme="minorHAnsi" w:hAnsiTheme="minorHAnsi"/>
                <w:b/>
                <w:position w:val="6"/>
                <w:sz w:val="30"/>
                <w:szCs w:val="30"/>
              </w:rPr>
            </w:pPr>
            <w:bookmarkStart w:id="0" w:name="dc06"/>
            <w:bookmarkEnd w:id="0"/>
            <w:r>
              <w:rPr>
                <w:rFonts w:asciiTheme="minorHAnsi" w:hAnsiTheme="minorHAnsi"/>
                <w:b/>
                <w:position w:val="6"/>
                <w:sz w:val="30"/>
                <w:szCs w:val="30"/>
              </w:rPr>
              <w:t>Ad Hoc Group of the CWG-FHR on the ITU Regional Presence Review</w:t>
            </w:r>
          </w:p>
          <w:p w14:paraId="623BA224" w14:textId="02C50EAE" w:rsidR="005F153A" w:rsidRPr="00B72B57" w:rsidRDefault="00E561D8" w:rsidP="00E561D8">
            <w:pPr>
              <w:spacing w:after="120"/>
              <w:rPr>
                <w:rFonts w:asciiTheme="minorHAnsi" w:hAnsiTheme="minorHAnsi"/>
                <w:b/>
                <w:position w:val="6"/>
                <w:szCs w:val="22"/>
              </w:rPr>
            </w:pPr>
            <w:r>
              <w:rPr>
                <w:rFonts w:ascii="Calibri" w:hAnsi="Calibri" w:cs="Times New Roman Bold"/>
                <w:b/>
                <w:sz w:val="24"/>
                <w:szCs w:val="26"/>
              </w:rPr>
              <w:t>Second</w:t>
            </w:r>
            <w:r w:rsidR="00313312" w:rsidRPr="00313312">
              <w:rPr>
                <w:rFonts w:ascii="Calibri" w:hAnsi="Calibri" w:cs="Times New Roman Bold"/>
                <w:b/>
                <w:sz w:val="24"/>
                <w:szCs w:val="26"/>
              </w:rPr>
              <w:t xml:space="preserve"> meeting - </w:t>
            </w:r>
            <w:r w:rsidR="00CC3671" w:rsidRPr="00313312">
              <w:rPr>
                <w:rFonts w:ascii="Calibri" w:hAnsi="Calibri" w:cs="Times New Roman Bold"/>
                <w:b/>
                <w:sz w:val="24"/>
                <w:szCs w:val="26"/>
              </w:rPr>
              <w:t xml:space="preserve">Virtual, </w:t>
            </w:r>
            <w:r>
              <w:rPr>
                <w:rFonts w:ascii="Calibri" w:hAnsi="Calibri" w:cs="Times New Roman Bold"/>
                <w:b/>
                <w:sz w:val="24"/>
                <w:szCs w:val="26"/>
              </w:rPr>
              <w:t>20 April</w:t>
            </w:r>
            <w:r w:rsidR="00313312" w:rsidRPr="00313312">
              <w:rPr>
                <w:rFonts w:ascii="Calibri" w:hAnsi="Calibri" w:cs="Times New Roman Bold"/>
                <w:b/>
                <w:sz w:val="24"/>
                <w:szCs w:val="26"/>
              </w:rPr>
              <w:t xml:space="preserve"> 2021</w:t>
            </w:r>
          </w:p>
        </w:tc>
        <w:tc>
          <w:tcPr>
            <w:tcW w:w="4360" w:type="dxa"/>
          </w:tcPr>
          <w:p w14:paraId="24C82D86" w14:textId="77777777" w:rsidR="005F153A" w:rsidRPr="00D613F6" w:rsidRDefault="002A1458" w:rsidP="001B506B">
            <w:pPr>
              <w:spacing w:before="120" w:line="240" w:lineRule="atLeast"/>
            </w:pPr>
            <w:bookmarkStart w:id="1" w:name="ditulogo"/>
            <w:bookmarkEnd w:id="1"/>
            <w:r>
              <w:rPr>
                <w:noProof/>
                <w:lang w:val="en-AU" w:eastAsia="en-AU"/>
              </w:rPr>
              <w:drawing>
                <wp:inline distT="0" distB="0" distL="0" distR="0" wp14:anchorId="55C1F7BE" wp14:editId="0D4A089F">
                  <wp:extent cx="615600" cy="64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5600" cy="648000"/>
                          </a:xfrm>
                          <a:prstGeom prst="rect">
                            <a:avLst/>
                          </a:prstGeom>
                        </pic:spPr>
                      </pic:pic>
                    </a:graphicData>
                  </a:graphic>
                </wp:inline>
              </w:drawing>
            </w:r>
          </w:p>
        </w:tc>
      </w:tr>
      <w:tr w:rsidR="005F153A" w:rsidRPr="00617BE4" w14:paraId="635E8E06" w14:textId="77777777" w:rsidTr="00313312">
        <w:trPr>
          <w:cantSplit/>
        </w:trPr>
        <w:tc>
          <w:tcPr>
            <w:tcW w:w="5954" w:type="dxa"/>
            <w:tcBorders>
              <w:top w:val="single" w:sz="12" w:space="0" w:color="auto"/>
            </w:tcBorders>
          </w:tcPr>
          <w:p w14:paraId="154E5C52" w14:textId="77777777" w:rsidR="005F153A" w:rsidRPr="00D613F6" w:rsidRDefault="005F153A" w:rsidP="000F2E67">
            <w:pPr>
              <w:snapToGrid w:val="0"/>
              <w:rPr>
                <w:b/>
                <w:smallCaps/>
              </w:rPr>
            </w:pPr>
          </w:p>
        </w:tc>
        <w:tc>
          <w:tcPr>
            <w:tcW w:w="4360" w:type="dxa"/>
            <w:tcBorders>
              <w:top w:val="single" w:sz="12" w:space="0" w:color="auto"/>
            </w:tcBorders>
          </w:tcPr>
          <w:p w14:paraId="7A3877F3" w14:textId="77777777" w:rsidR="005F153A" w:rsidRPr="00D613F6" w:rsidRDefault="005F153A" w:rsidP="000F2E67">
            <w:pPr>
              <w:snapToGrid w:val="0"/>
              <w:ind w:left="209"/>
              <w:rPr>
                <w:rFonts w:ascii="Verdana" w:hAnsi="Verdana"/>
              </w:rPr>
            </w:pPr>
          </w:p>
        </w:tc>
      </w:tr>
      <w:tr w:rsidR="005F153A" w:rsidRPr="003E57F5" w14:paraId="34EE5352" w14:textId="77777777" w:rsidTr="00313312">
        <w:trPr>
          <w:cantSplit/>
          <w:trHeight w:val="23"/>
        </w:trPr>
        <w:tc>
          <w:tcPr>
            <w:tcW w:w="5954" w:type="dxa"/>
            <w:vMerge w:val="restart"/>
          </w:tcPr>
          <w:p w14:paraId="3D7B79FC" w14:textId="77777777" w:rsidR="005F153A" w:rsidRPr="00D613F6" w:rsidRDefault="005F153A" w:rsidP="000F2E67">
            <w:pPr>
              <w:snapToGrid w:val="0"/>
              <w:rPr>
                <w:rFonts w:asciiTheme="minorHAnsi" w:hAnsiTheme="minorHAnsi"/>
                <w:b/>
              </w:rPr>
            </w:pPr>
            <w:bookmarkStart w:id="2" w:name="dmeeting" w:colFirst="0" w:colLast="0"/>
            <w:bookmarkStart w:id="3" w:name="dnum" w:colFirst="1" w:colLast="1"/>
          </w:p>
        </w:tc>
        <w:tc>
          <w:tcPr>
            <w:tcW w:w="4360" w:type="dxa"/>
          </w:tcPr>
          <w:p w14:paraId="45039169" w14:textId="6384FE7D" w:rsidR="005F153A" w:rsidRPr="000F2E67" w:rsidRDefault="005F153A" w:rsidP="002A1458">
            <w:pPr>
              <w:snapToGrid w:val="0"/>
              <w:ind w:left="57"/>
              <w:rPr>
                <w:rFonts w:asciiTheme="minorHAnsi" w:hAnsiTheme="minorHAnsi" w:cs="Times New Roman Bold"/>
                <w:b/>
                <w:spacing w:val="-4"/>
                <w:sz w:val="24"/>
                <w:lang w:val="de-CH"/>
              </w:rPr>
            </w:pPr>
            <w:r w:rsidRPr="000F2E67">
              <w:rPr>
                <w:rFonts w:asciiTheme="minorHAnsi" w:hAnsiTheme="minorHAnsi" w:cs="Times New Roman Bold"/>
                <w:b/>
                <w:spacing w:val="-4"/>
                <w:sz w:val="24"/>
                <w:lang w:val="de-CH"/>
              </w:rPr>
              <w:t xml:space="preserve">Document </w:t>
            </w:r>
            <w:r w:rsidR="00F45331">
              <w:rPr>
                <w:rFonts w:asciiTheme="minorHAnsi" w:hAnsiTheme="minorHAnsi" w:cs="Times New Roman Bold"/>
                <w:b/>
                <w:spacing w:val="-4"/>
                <w:sz w:val="24"/>
                <w:lang w:val="de-CH"/>
              </w:rPr>
              <w:t>C</w:t>
            </w:r>
            <w:r w:rsidRPr="000F2E67">
              <w:rPr>
                <w:rFonts w:asciiTheme="minorHAnsi" w:hAnsiTheme="minorHAnsi" w:cs="Times New Roman Bold"/>
                <w:b/>
                <w:spacing w:val="-4"/>
                <w:sz w:val="24"/>
                <w:lang w:val="de-CH"/>
              </w:rPr>
              <w:t>WG-</w:t>
            </w:r>
            <w:r w:rsidR="00815174">
              <w:rPr>
                <w:rFonts w:asciiTheme="minorHAnsi" w:hAnsiTheme="minorHAnsi" w:cs="Times New Roman Bold"/>
                <w:b/>
                <w:spacing w:val="-4"/>
                <w:sz w:val="24"/>
                <w:lang w:val="de-CH"/>
              </w:rPr>
              <w:t>FHR</w:t>
            </w:r>
            <w:r w:rsidR="00313312">
              <w:rPr>
                <w:rFonts w:asciiTheme="minorHAnsi" w:hAnsiTheme="minorHAnsi" w:cs="Times New Roman Bold"/>
                <w:b/>
                <w:spacing w:val="-4"/>
                <w:sz w:val="24"/>
                <w:lang w:val="de-CH"/>
              </w:rPr>
              <w:t>-AH-RegPres</w:t>
            </w:r>
            <w:r w:rsidR="00E561D8">
              <w:rPr>
                <w:rFonts w:asciiTheme="minorHAnsi" w:hAnsiTheme="minorHAnsi" w:cs="Times New Roman Bold"/>
                <w:b/>
                <w:spacing w:val="-4"/>
                <w:sz w:val="24"/>
                <w:lang w:val="de-CH"/>
              </w:rPr>
              <w:t>-2</w:t>
            </w:r>
            <w:r w:rsidR="00455793">
              <w:rPr>
                <w:rFonts w:asciiTheme="minorHAnsi" w:hAnsiTheme="minorHAnsi" w:cs="Times New Roman Bold"/>
                <w:b/>
                <w:spacing w:val="-4"/>
                <w:sz w:val="24"/>
                <w:lang w:val="de-CH"/>
              </w:rPr>
              <w:t>/</w:t>
            </w:r>
            <w:r w:rsidR="00FC09A4">
              <w:rPr>
                <w:rFonts w:asciiTheme="minorHAnsi" w:hAnsiTheme="minorHAnsi" w:cs="Times New Roman Bold"/>
                <w:b/>
                <w:spacing w:val="-4"/>
                <w:sz w:val="24"/>
                <w:lang w:val="de-CH"/>
              </w:rPr>
              <w:t>4</w:t>
            </w:r>
            <w:r w:rsidR="006B460D" w:rsidRPr="000F2E67">
              <w:rPr>
                <w:rFonts w:asciiTheme="minorHAnsi" w:hAnsiTheme="minorHAnsi" w:cs="Times New Roman Bold"/>
                <w:b/>
                <w:spacing w:val="-4"/>
                <w:sz w:val="24"/>
                <w:lang w:val="de-CH"/>
              </w:rPr>
              <w:t>-E</w:t>
            </w:r>
          </w:p>
        </w:tc>
      </w:tr>
      <w:tr w:rsidR="005F153A" w:rsidRPr="00E544AC" w14:paraId="57D9B6B9" w14:textId="77777777" w:rsidTr="00313312">
        <w:trPr>
          <w:cantSplit/>
          <w:trHeight w:val="23"/>
        </w:trPr>
        <w:tc>
          <w:tcPr>
            <w:tcW w:w="5954" w:type="dxa"/>
            <w:vMerge/>
          </w:tcPr>
          <w:p w14:paraId="35FF3307" w14:textId="77777777" w:rsidR="005F153A" w:rsidRPr="00D613F6" w:rsidRDefault="005F153A" w:rsidP="000F2E67">
            <w:pPr>
              <w:snapToGrid w:val="0"/>
              <w:rPr>
                <w:rFonts w:asciiTheme="minorHAnsi" w:hAnsiTheme="minorHAnsi"/>
                <w:b/>
                <w:lang w:val="de-CH"/>
              </w:rPr>
            </w:pPr>
            <w:bookmarkStart w:id="4" w:name="ddate" w:colFirst="1" w:colLast="1"/>
            <w:bookmarkEnd w:id="2"/>
            <w:bookmarkEnd w:id="3"/>
          </w:p>
        </w:tc>
        <w:tc>
          <w:tcPr>
            <w:tcW w:w="4360" w:type="dxa"/>
          </w:tcPr>
          <w:p w14:paraId="1A555CE7" w14:textId="0C15D9A7" w:rsidR="005F153A" w:rsidRPr="000F2E67" w:rsidRDefault="00FC09A4" w:rsidP="00B72B57">
            <w:pPr>
              <w:snapToGrid w:val="0"/>
              <w:ind w:left="57"/>
              <w:rPr>
                <w:rFonts w:asciiTheme="minorHAnsi" w:hAnsiTheme="minorHAnsi"/>
                <w:b/>
                <w:sz w:val="24"/>
              </w:rPr>
            </w:pPr>
            <w:r>
              <w:rPr>
                <w:rFonts w:asciiTheme="minorHAnsi" w:hAnsiTheme="minorHAnsi"/>
                <w:b/>
                <w:sz w:val="24"/>
              </w:rPr>
              <w:t>13</w:t>
            </w:r>
            <w:r w:rsidR="00E561D8">
              <w:rPr>
                <w:rFonts w:asciiTheme="minorHAnsi" w:hAnsiTheme="minorHAnsi"/>
                <w:b/>
                <w:sz w:val="24"/>
              </w:rPr>
              <w:t xml:space="preserve"> April</w:t>
            </w:r>
            <w:r w:rsidR="000F2E67">
              <w:rPr>
                <w:rFonts w:asciiTheme="minorHAnsi" w:hAnsiTheme="minorHAnsi"/>
                <w:b/>
                <w:sz w:val="24"/>
              </w:rPr>
              <w:t xml:space="preserve"> </w:t>
            </w:r>
            <w:r w:rsidR="00CC3671">
              <w:rPr>
                <w:rFonts w:asciiTheme="minorHAnsi" w:hAnsiTheme="minorHAnsi"/>
                <w:b/>
                <w:sz w:val="24"/>
              </w:rPr>
              <w:t>2021</w:t>
            </w:r>
          </w:p>
        </w:tc>
      </w:tr>
      <w:tr w:rsidR="005F153A" w:rsidRPr="00E544AC" w14:paraId="5A1BF486" w14:textId="77777777" w:rsidTr="00313312">
        <w:trPr>
          <w:cantSplit/>
          <w:trHeight w:val="80"/>
        </w:trPr>
        <w:tc>
          <w:tcPr>
            <w:tcW w:w="5954" w:type="dxa"/>
            <w:vMerge/>
          </w:tcPr>
          <w:p w14:paraId="5643C8DF" w14:textId="77777777" w:rsidR="005F153A" w:rsidRPr="00E544AC" w:rsidRDefault="005F153A" w:rsidP="000F2E67">
            <w:pPr>
              <w:snapToGrid w:val="0"/>
              <w:rPr>
                <w:rFonts w:asciiTheme="minorHAnsi" w:hAnsiTheme="minorHAnsi"/>
                <w:b/>
              </w:rPr>
            </w:pPr>
            <w:bookmarkStart w:id="5" w:name="dorlang" w:colFirst="1" w:colLast="1"/>
            <w:bookmarkEnd w:id="4"/>
          </w:p>
        </w:tc>
        <w:tc>
          <w:tcPr>
            <w:tcW w:w="4360" w:type="dxa"/>
          </w:tcPr>
          <w:p w14:paraId="017E01E9" w14:textId="77777777" w:rsidR="005F153A" w:rsidRPr="000F2E67" w:rsidRDefault="005F153A" w:rsidP="000F2E67">
            <w:pPr>
              <w:snapToGrid w:val="0"/>
              <w:ind w:left="57"/>
              <w:rPr>
                <w:rFonts w:asciiTheme="minorHAnsi" w:hAnsiTheme="minorHAnsi"/>
                <w:b/>
                <w:sz w:val="24"/>
              </w:rPr>
            </w:pPr>
            <w:r w:rsidRPr="000F2E67">
              <w:rPr>
                <w:rFonts w:asciiTheme="minorHAnsi" w:hAnsiTheme="minorHAnsi"/>
                <w:b/>
                <w:sz w:val="24"/>
              </w:rPr>
              <w:t>English only</w:t>
            </w:r>
          </w:p>
        </w:tc>
      </w:tr>
    </w:tbl>
    <w:bookmarkEnd w:id="5"/>
    <w:p w14:paraId="2F7A236C" w14:textId="386024E2" w:rsidR="00313312" w:rsidRPr="00313312" w:rsidRDefault="00313312" w:rsidP="00313312">
      <w:pPr>
        <w:pStyle w:val="Source"/>
        <w:spacing w:before="480"/>
        <w:rPr>
          <w:rFonts w:asciiTheme="minorHAnsi" w:hAnsiTheme="minorHAnsi" w:cstheme="minorHAnsi"/>
        </w:rPr>
      </w:pPr>
      <w:r w:rsidRPr="00313312">
        <w:rPr>
          <w:rFonts w:asciiTheme="minorHAnsi" w:hAnsiTheme="minorHAnsi" w:cstheme="minorHAnsi"/>
        </w:rPr>
        <w:t xml:space="preserve">Contribution by </w:t>
      </w:r>
      <w:r w:rsidR="00E561D8">
        <w:rPr>
          <w:rFonts w:asciiTheme="minorHAnsi" w:hAnsiTheme="minorHAnsi" w:cstheme="minorHAnsi"/>
        </w:rPr>
        <w:t>Australia</w:t>
      </w:r>
    </w:p>
    <w:p w14:paraId="52699930" w14:textId="3D58E441" w:rsidR="00313312" w:rsidRPr="00313312" w:rsidRDefault="00E561D8" w:rsidP="00313312">
      <w:pPr>
        <w:spacing w:before="240"/>
        <w:jc w:val="center"/>
        <w:rPr>
          <w:rFonts w:asciiTheme="minorHAnsi" w:hAnsiTheme="minorHAnsi" w:cstheme="minorHAnsi"/>
          <w:b/>
          <w:sz w:val="28"/>
          <w:szCs w:val="28"/>
        </w:rPr>
      </w:pPr>
      <w:r>
        <w:rPr>
          <w:rFonts w:asciiTheme="minorHAnsi" w:hAnsiTheme="minorHAnsi" w:cstheme="minorHAnsi"/>
          <w:sz w:val="28"/>
          <w:szCs w:val="28"/>
        </w:rPr>
        <w:t>ITU Regional Presence Review</w:t>
      </w:r>
    </w:p>
    <w:p w14:paraId="3826A539" w14:textId="77777777" w:rsidR="00313312" w:rsidRPr="00313312" w:rsidRDefault="00313312" w:rsidP="00313312">
      <w:pPr>
        <w:rPr>
          <w:rFonts w:asciiTheme="minorHAnsi" w:hAnsiTheme="minorHAnsi" w:cstheme="minorHAnsi"/>
        </w:rPr>
      </w:pPr>
    </w:p>
    <w:tbl>
      <w:tblPr>
        <w:tblW w:w="8789"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313312" w:rsidRPr="00313312" w14:paraId="5822048E" w14:textId="77777777" w:rsidTr="003E57F5">
        <w:trPr>
          <w:trHeight w:val="3372"/>
        </w:trPr>
        <w:tc>
          <w:tcPr>
            <w:tcW w:w="8789" w:type="dxa"/>
            <w:tcBorders>
              <w:top w:val="single" w:sz="12" w:space="0" w:color="auto"/>
              <w:left w:val="single" w:sz="12" w:space="0" w:color="auto"/>
              <w:bottom w:val="single" w:sz="12" w:space="0" w:color="auto"/>
              <w:right w:val="single" w:sz="12" w:space="0" w:color="auto"/>
            </w:tcBorders>
          </w:tcPr>
          <w:p w14:paraId="3D9D4CEE" w14:textId="77777777" w:rsidR="00313312" w:rsidRPr="003E57F5" w:rsidRDefault="00313312" w:rsidP="0005630B">
            <w:pPr>
              <w:pStyle w:val="Headingb"/>
              <w:spacing w:before="120" w:after="120"/>
              <w:jc w:val="both"/>
              <w:rPr>
                <w:rFonts w:asciiTheme="minorHAnsi" w:hAnsiTheme="minorHAnsi" w:cstheme="minorHAnsi"/>
                <w:szCs w:val="24"/>
              </w:rPr>
            </w:pPr>
            <w:r w:rsidRPr="003E57F5">
              <w:rPr>
                <w:rFonts w:asciiTheme="minorHAnsi" w:hAnsiTheme="minorHAnsi" w:cstheme="minorHAnsi"/>
                <w:szCs w:val="24"/>
              </w:rPr>
              <w:t>Summary</w:t>
            </w:r>
          </w:p>
          <w:p w14:paraId="536EE215" w14:textId="68E57896" w:rsidR="00A857D0" w:rsidRPr="003E57F5" w:rsidRDefault="00E561D8" w:rsidP="0005630B">
            <w:pPr>
              <w:pStyle w:val="PlainText"/>
              <w:spacing w:before="120" w:after="120"/>
              <w:jc w:val="both"/>
              <w:rPr>
                <w:rFonts w:asciiTheme="minorHAnsi" w:hAnsiTheme="minorHAnsi" w:cstheme="minorHAnsi"/>
                <w:szCs w:val="24"/>
                <w:lang w:val="en-US"/>
              </w:rPr>
            </w:pPr>
            <w:r w:rsidRPr="003E57F5">
              <w:rPr>
                <w:rFonts w:asciiTheme="minorHAnsi" w:hAnsiTheme="minorHAnsi" w:cstheme="minorHAnsi"/>
                <w:szCs w:val="24"/>
                <w:lang w:val="en-US"/>
              </w:rPr>
              <w:t xml:space="preserve">This document provides Australia’s views on the </w:t>
            </w:r>
            <w:r w:rsidR="00A857D0" w:rsidRPr="003E57F5">
              <w:rPr>
                <w:rFonts w:asciiTheme="minorHAnsi" w:hAnsiTheme="minorHAnsi" w:cstheme="minorHAnsi"/>
                <w:szCs w:val="24"/>
                <w:lang w:val="en-US"/>
              </w:rPr>
              <w:t xml:space="preserve">strategic positioning of the </w:t>
            </w:r>
            <w:r w:rsidRPr="003E57F5">
              <w:rPr>
                <w:rFonts w:asciiTheme="minorHAnsi" w:hAnsiTheme="minorHAnsi" w:cstheme="minorHAnsi"/>
                <w:szCs w:val="24"/>
                <w:lang w:val="en-US"/>
              </w:rPr>
              <w:t xml:space="preserve">ITU </w:t>
            </w:r>
            <w:r w:rsidR="00A857D0" w:rsidRPr="003E57F5">
              <w:rPr>
                <w:rFonts w:asciiTheme="minorHAnsi" w:hAnsiTheme="minorHAnsi" w:cstheme="minorHAnsi"/>
                <w:szCs w:val="24"/>
                <w:lang w:val="en-US"/>
              </w:rPr>
              <w:t>regional presence.</w:t>
            </w:r>
          </w:p>
          <w:p w14:paraId="0C314005" w14:textId="77777777" w:rsidR="00313312" w:rsidRPr="003E57F5" w:rsidRDefault="00313312" w:rsidP="0005630B">
            <w:pPr>
              <w:pStyle w:val="Headingb"/>
              <w:spacing w:before="120" w:after="120"/>
              <w:jc w:val="both"/>
              <w:rPr>
                <w:rFonts w:asciiTheme="minorHAnsi" w:hAnsiTheme="minorHAnsi" w:cstheme="minorHAnsi"/>
                <w:szCs w:val="24"/>
              </w:rPr>
            </w:pPr>
            <w:r w:rsidRPr="003E57F5">
              <w:rPr>
                <w:rFonts w:asciiTheme="minorHAnsi" w:hAnsiTheme="minorHAnsi" w:cstheme="minorHAnsi"/>
                <w:szCs w:val="24"/>
              </w:rPr>
              <w:t xml:space="preserve">Action </w:t>
            </w:r>
            <w:proofErr w:type="gramStart"/>
            <w:r w:rsidRPr="003E57F5">
              <w:rPr>
                <w:rFonts w:asciiTheme="minorHAnsi" w:hAnsiTheme="minorHAnsi" w:cstheme="minorHAnsi"/>
                <w:szCs w:val="24"/>
              </w:rPr>
              <w:t>required</w:t>
            </w:r>
            <w:proofErr w:type="gramEnd"/>
          </w:p>
          <w:p w14:paraId="5871BA8F" w14:textId="444F3637" w:rsidR="00313312" w:rsidRPr="003E57F5" w:rsidRDefault="00E561D8" w:rsidP="0005630B">
            <w:pPr>
              <w:spacing w:after="120"/>
              <w:jc w:val="both"/>
              <w:rPr>
                <w:rFonts w:asciiTheme="minorHAnsi" w:hAnsiTheme="minorHAnsi" w:cstheme="minorHAnsi"/>
                <w:sz w:val="24"/>
              </w:rPr>
            </w:pPr>
            <w:r w:rsidRPr="003E57F5">
              <w:rPr>
                <w:rFonts w:asciiTheme="minorHAnsi" w:hAnsiTheme="minorHAnsi" w:cstheme="minorHAnsi"/>
                <w:sz w:val="24"/>
              </w:rPr>
              <w:t>That this contribution is presented to the Ad Hoc Group of the CWG-FHR for their consideration and discussion.</w:t>
            </w:r>
          </w:p>
          <w:p w14:paraId="1E0EE960" w14:textId="77777777" w:rsidR="00313312" w:rsidRPr="003E57F5" w:rsidRDefault="00313312" w:rsidP="003E57F5">
            <w:pPr>
              <w:pStyle w:val="Table"/>
              <w:keepNext w:val="0"/>
              <w:spacing w:before="120"/>
              <w:rPr>
                <w:rFonts w:asciiTheme="minorHAnsi" w:hAnsiTheme="minorHAnsi" w:cstheme="minorHAnsi"/>
                <w:caps w:val="0"/>
                <w:szCs w:val="24"/>
              </w:rPr>
            </w:pPr>
            <w:r w:rsidRPr="003E57F5">
              <w:rPr>
                <w:rFonts w:asciiTheme="minorHAnsi" w:hAnsiTheme="minorHAnsi" w:cstheme="minorHAnsi"/>
                <w:caps w:val="0"/>
                <w:szCs w:val="24"/>
              </w:rPr>
              <w:t>____________</w:t>
            </w:r>
          </w:p>
          <w:p w14:paraId="3D1BD128" w14:textId="77777777" w:rsidR="00313312" w:rsidRPr="003E57F5" w:rsidRDefault="00313312" w:rsidP="0005630B">
            <w:pPr>
              <w:pStyle w:val="Headingb"/>
              <w:spacing w:before="120" w:after="120"/>
              <w:jc w:val="both"/>
              <w:rPr>
                <w:rFonts w:asciiTheme="minorHAnsi" w:hAnsiTheme="minorHAnsi" w:cstheme="minorHAnsi"/>
                <w:szCs w:val="24"/>
              </w:rPr>
            </w:pPr>
            <w:r w:rsidRPr="003E57F5">
              <w:rPr>
                <w:rFonts w:asciiTheme="minorHAnsi" w:hAnsiTheme="minorHAnsi" w:cstheme="minorHAnsi"/>
                <w:szCs w:val="24"/>
              </w:rPr>
              <w:t>References</w:t>
            </w:r>
          </w:p>
          <w:p w14:paraId="62A7BD9C" w14:textId="52777DDB" w:rsidR="00313312" w:rsidRPr="00313312" w:rsidRDefault="006273A5" w:rsidP="00AF7F4F">
            <w:pPr>
              <w:spacing w:after="120"/>
              <w:jc w:val="both"/>
              <w:rPr>
                <w:rFonts w:asciiTheme="minorHAnsi" w:hAnsiTheme="minorHAnsi" w:cstheme="minorHAnsi"/>
              </w:rPr>
            </w:pPr>
            <w:hyperlink r:id="rId13" w:history="1">
              <w:r w:rsidR="00AF7F4F" w:rsidRPr="003E57F5">
                <w:rPr>
                  <w:rStyle w:val="Hyperlink"/>
                  <w:rFonts w:asciiTheme="minorHAnsi" w:hAnsiTheme="minorHAnsi" w:cstheme="minorHAnsi"/>
                  <w:sz w:val="24"/>
                </w:rPr>
                <w:t>Document CWG-FHR 12/4</w:t>
              </w:r>
            </w:hyperlink>
            <w:r w:rsidR="00AF7F4F" w:rsidRPr="003E57F5">
              <w:rPr>
                <w:rFonts w:asciiTheme="minorHAnsi" w:hAnsiTheme="minorHAnsi" w:cstheme="minorHAnsi"/>
                <w:sz w:val="24"/>
              </w:rPr>
              <w:t xml:space="preserve"> “Review of ITU Regional Presence – Report by </w:t>
            </w:r>
            <w:r w:rsidR="00114707" w:rsidRPr="003E57F5">
              <w:rPr>
                <w:rFonts w:asciiTheme="minorHAnsi" w:hAnsiTheme="minorHAnsi" w:cstheme="minorHAnsi"/>
                <w:sz w:val="24"/>
              </w:rPr>
              <w:t>PwC</w:t>
            </w:r>
            <w:r w:rsidR="00AF7F4F" w:rsidRPr="003E57F5">
              <w:rPr>
                <w:rFonts w:asciiTheme="minorHAnsi" w:hAnsiTheme="minorHAnsi" w:cstheme="minorHAnsi"/>
                <w:sz w:val="24"/>
              </w:rPr>
              <w:t>”</w:t>
            </w:r>
            <w:r w:rsidR="00AF7F4F">
              <w:rPr>
                <w:rFonts w:asciiTheme="minorHAnsi" w:hAnsiTheme="minorHAnsi" w:cstheme="minorHAnsi"/>
                <w:sz w:val="24"/>
              </w:rPr>
              <w:t xml:space="preserve"> </w:t>
            </w:r>
          </w:p>
        </w:tc>
      </w:tr>
    </w:tbl>
    <w:p w14:paraId="31E58C37" w14:textId="4D241898" w:rsidR="00A75A2B" w:rsidRPr="002D4745" w:rsidRDefault="00560ED7" w:rsidP="00FC09A4">
      <w:pPr>
        <w:pStyle w:val="Default"/>
        <w:spacing w:before="600" w:after="120"/>
        <w:jc w:val="both"/>
        <w:rPr>
          <w:rFonts w:ascii="Calibri" w:hAnsi="Calibri" w:cs="Calibri"/>
          <w:color w:val="auto"/>
        </w:rPr>
      </w:pPr>
      <w:bookmarkStart w:id="6" w:name="dstart"/>
      <w:bookmarkStart w:id="7" w:name="dbreak"/>
      <w:bookmarkEnd w:id="6"/>
      <w:bookmarkEnd w:id="7"/>
      <w:r w:rsidRPr="002D4745">
        <w:rPr>
          <w:rFonts w:ascii="Calibri" w:hAnsi="Calibri" w:cs="Calibri"/>
          <w:color w:val="auto"/>
        </w:rPr>
        <w:t xml:space="preserve">The </w:t>
      </w:r>
      <w:r w:rsidR="00B84EA9" w:rsidRPr="002D4745">
        <w:rPr>
          <w:rFonts w:ascii="Calibri" w:hAnsi="Calibri" w:cs="Calibri"/>
          <w:color w:val="auto"/>
        </w:rPr>
        <w:t>review</w:t>
      </w:r>
      <w:r w:rsidR="002B5D06" w:rsidRPr="002D4745">
        <w:rPr>
          <w:rFonts w:ascii="Calibri" w:hAnsi="Calibri" w:cs="Calibri"/>
          <w:color w:val="auto"/>
        </w:rPr>
        <w:t xml:space="preserve"> of</w:t>
      </w:r>
      <w:r w:rsidR="00B84EA9" w:rsidRPr="002D4745">
        <w:rPr>
          <w:rFonts w:ascii="Calibri" w:hAnsi="Calibri" w:cs="Calibri"/>
          <w:color w:val="auto"/>
        </w:rPr>
        <w:t xml:space="preserve"> the ITU’s regional </w:t>
      </w:r>
      <w:r w:rsidRPr="002D4745">
        <w:rPr>
          <w:rFonts w:ascii="Calibri" w:hAnsi="Calibri" w:cs="Calibri"/>
          <w:color w:val="auto"/>
        </w:rPr>
        <w:t xml:space="preserve">presence is an important </w:t>
      </w:r>
      <w:r w:rsidR="002B5D06" w:rsidRPr="002D4745">
        <w:rPr>
          <w:rFonts w:ascii="Calibri" w:hAnsi="Calibri" w:cs="Calibri"/>
          <w:color w:val="auto"/>
        </w:rPr>
        <w:t>moment</w:t>
      </w:r>
      <w:r w:rsidRPr="002D4745">
        <w:rPr>
          <w:rFonts w:ascii="Calibri" w:hAnsi="Calibri" w:cs="Calibri"/>
          <w:color w:val="auto"/>
        </w:rPr>
        <w:t xml:space="preserve"> for the Union and its members to evaluate how the ITU’s regional presence can best deliver on the goals of the organisation</w:t>
      </w:r>
      <w:r w:rsidR="00BA6EA5" w:rsidRPr="002D4745">
        <w:rPr>
          <w:rFonts w:ascii="Calibri" w:hAnsi="Calibri" w:cs="Calibri"/>
          <w:color w:val="auto"/>
        </w:rPr>
        <w:t xml:space="preserve"> in accordance with its mandate</w:t>
      </w:r>
      <w:r w:rsidRPr="002D4745">
        <w:rPr>
          <w:rFonts w:ascii="Calibri" w:hAnsi="Calibri" w:cs="Calibri"/>
          <w:color w:val="auto"/>
        </w:rPr>
        <w:t>. To this end, the review also provides a</w:t>
      </w:r>
      <w:r w:rsidR="002B5D06" w:rsidRPr="002D4745">
        <w:rPr>
          <w:rFonts w:ascii="Calibri" w:hAnsi="Calibri" w:cs="Calibri"/>
          <w:color w:val="auto"/>
        </w:rPr>
        <w:t>n opportunity</w:t>
      </w:r>
      <w:r w:rsidRPr="002D4745">
        <w:rPr>
          <w:rFonts w:ascii="Calibri" w:hAnsi="Calibri" w:cs="Calibri"/>
          <w:color w:val="auto"/>
        </w:rPr>
        <w:t xml:space="preserve"> to </w:t>
      </w:r>
      <w:r w:rsidR="007A364C" w:rsidRPr="002D4745">
        <w:rPr>
          <w:rFonts w:ascii="Calibri" w:hAnsi="Calibri" w:cs="Calibri"/>
          <w:color w:val="auto"/>
        </w:rPr>
        <w:t>ensure the I</w:t>
      </w:r>
      <w:r w:rsidR="00A75A2B" w:rsidRPr="002D4745">
        <w:rPr>
          <w:rFonts w:ascii="Calibri" w:hAnsi="Calibri" w:cs="Calibri"/>
          <w:color w:val="auto"/>
        </w:rPr>
        <w:t>TU is</w:t>
      </w:r>
      <w:r w:rsidRPr="002D4745">
        <w:rPr>
          <w:rFonts w:ascii="Calibri" w:hAnsi="Calibri" w:cs="Calibri"/>
          <w:color w:val="auto"/>
        </w:rPr>
        <w:t xml:space="preserve"> fit for purpose </w:t>
      </w:r>
      <w:r w:rsidR="00A75A2B" w:rsidRPr="002D4745">
        <w:rPr>
          <w:rFonts w:ascii="Calibri" w:hAnsi="Calibri" w:cs="Calibri"/>
          <w:color w:val="auto"/>
        </w:rPr>
        <w:t xml:space="preserve">and can provide </w:t>
      </w:r>
      <w:r w:rsidR="00BA6EA5" w:rsidRPr="002D4745">
        <w:rPr>
          <w:rFonts w:ascii="Calibri" w:hAnsi="Calibri" w:cs="Calibri"/>
          <w:color w:val="auto"/>
        </w:rPr>
        <w:t>specialised</w:t>
      </w:r>
      <w:r w:rsidRPr="002D4745">
        <w:rPr>
          <w:rFonts w:ascii="Calibri" w:hAnsi="Calibri" w:cs="Calibri"/>
          <w:color w:val="auto"/>
        </w:rPr>
        <w:t xml:space="preserve"> expertise and assistance </w:t>
      </w:r>
      <w:r w:rsidR="00BF15C9" w:rsidRPr="002D4745">
        <w:rPr>
          <w:rFonts w:ascii="Calibri" w:hAnsi="Calibri" w:cs="Calibri"/>
          <w:color w:val="auto"/>
        </w:rPr>
        <w:t>in order to meet the needs of the regions</w:t>
      </w:r>
      <w:r w:rsidRPr="002D4745">
        <w:rPr>
          <w:rFonts w:ascii="Calibri" w:hAnsi="Calibri" w:cs="Calibri"/>
          <w:color w:val="auto"/>
        </w:rPr>
        <w:t>.</w:t>
      </w:r>
    </w:p>
    <w:p w14:paraId="169ABBCD" w14:textId="51A4B974" w:rsidR="0067040A" w:rsidRPr="002D4745" w:rsidRDefault="00A75A2B" w:rsidP="00FC09A4">
      <w:pPr>
        <w:pStyle w:val="Default"/>
        <w:spacing w:before="120" w:after="120"/>
        <w:jc w:val="both"/>
        <w:rPr>
          <w:rFonts w:ascii="Calibri" w:hAnsi="Calibri" w:cs="Calibri"/>
          <w:color w:val="auto"/>
        </w:rPr>
      </w:pPr>
      <w:r w:rsidRPr="002D4745">
        <w:rPr>
          <w:rFonts w:ascii="Calibri" w:hAnsi="Calibri" w:cs="Calibri"/>
          <w:color w:val="auto"/>
        </w:rPr>
        <w:t>The report prepared by P</w:t>
      </w:r>
      <w:r w:rsidR="000B7443">
        <w:rPr>
          <w:rFonts w:ascii="Calibri" w:hAnsi="Calibri" w:cs="Calibri"/>
          <w:color w:val="auto"/>
        </w:rPr>
        <w:t>w</w:t>
      </w:r>
      <w:r w:rsidRPr="002D4745">
        <w:rPr>
          <w:rFonts w:ascii="Calibri" w:hAnsi="Calibri" w:cs="Calibri"/>
          <w:color w:val="auto"/>
        </w:rPr>
        <w:t>C (document C20</w:t>
      </w:r>
      <w:r w:rsidR="003E57F5">
        <w:rPr>
          <w:rFonts w:ascii="Calibri" w:hAnsi="Calibri" w:cs="Calibri"/>
          <w:color w:val="auto"/>
        </w:rPr>
        <w:t>/</w:t>
      </w:r>
      <w:r w:rsidRPr="002D4745">
        <w:rPr>
          <w:rFonts w:ascii="Calibri" w:hAnsi="Calibri" w:cs="Calibri"/>
          <w:color w:val="auto"/>
        </w:rPr>
        <w:t xml:space="preserve">74) provides important </w:t>
      </w:r>
      <w:r w:rsidR="002B5D06" w:rsidRPr="002D4745">
        <w:rPr>
          <w:rFonts w:ascii="Calibri" w:hAnsi="Calibri" w:cs="Calibri"/>
          <w:color w:val="auto"/>
        </w:rPr>
        <w:t xml:space="preserve">external </w:t>
      </w:r>
      <w:r w:rsidR="00372D77" w:rsidRPr="002D4745">
        <w:rPr>
          <w:rFonts w:ascii="Calibri" w:hAnsi="Calibri" w:cs="Calibri"/>
          <w:color w:val="auto"/>
        </w:rPr>
        <w:t xml:space="preserve">insights </w:t>
      </w:r>
      <w:r w:rsidRPr="002D4745">
        <w:rPr>
          <w:rFonts w:ascii="Calibri" w:hAnsi="Calibri" w:cs="Calibri"/>
          <w:color w:val="auto"/>
        </w:rPr>
        <w:t xml:space="preserve">on the ITU’s regional presence and is a </w:t>
      </w:r>
      <w:r w:rsidR="00BA6EA5" w:rsidRPr="002D4745">
        <w:rPr>
          <w:rFonts w:ascii="Calibri" w:hAnsi="Calibri" w:cs="Calibri"/>
          <w:color w:val="auto"/>
        </w:rPr>
        <w:t xml:space="preserve">useful </w:t>
      </w:r>
      <w:r w:rsidRPr="002D4745">
        <w:rPr>
          <w:rFonts w:ascii="Calibri" w:hAnsi="Calibri" w:cs="Calibri"/>
          <w:color w:val="auto"/>
        </w:rPr>
        <w:t xml:space="preserve">input into the review process. </w:t>
      </w:r>
      <w:r w:rsidR="00005068" w:rsidRPr="002D4745">
        <w:rPr>
          <w:rFonts w:ascii="Calibri" w:hAnsi="Calibri" w:cs="Calibri"/>
          <w:color w:val="auto"/>
        </w:rPr>
        <w:t xml:space="preserve">Australia </w:t>
      </w:r>
      <w:r w:rsidRPr="002D4745">
        <w:rPr>
          <w:rFonts w:ascii="Calibri" w:hAnsi="Calibri" w:cs="Calibri"/>
          <w:color w:val="auto"/>
        </w:rPr>
        <w:t>consider</w:t>
      </w:r>
      <w:r w:rsidR="00005068" w:rsidRPr="002D4745">
        <w:rPr>
          <w:rFonts w:ascii="Calibri" w:hAnsi="Calibri" w:cs="Calibri"/>
          <w:color w:val="auto"/>
        </w:rPr>
        <w:t>s</w:t>
      </w:r>
      <w:r w:rsidRPr="002D4745">
        <w:rPr>
          <w:rFonts w:ascii="Calibri" w:hAnsi="Calibri" w:cs="Calibri"/>
          <w:color w:val="auto"/>
        </w:rPr>
        <w:t xml:space="preserve"> the evaluation criteria utilised by P</w:t>
      </w:r>
      <w:r w:rsidR="000B7443">
        <w:rPr>
          <w:rFonts w:ascii="Calibri" w:hAnsi="Calibri" w:cs="Calibri"/>
          <w:color w:val="auto"/>
        </w:rPr>
        <w:t>w</w:t>
      </w:r>
      <w:r w:rsidRPr="002D4745">
        <w:rPr>
          <w:rFonts w:ascii="Calibri" w:hAnsi="Calibri" w:cs="Calibri"/>
          <w:color w:val="auto"/>
        </w:rPr>
        <w:t>C (coherence, control, effectiveness, efficiency, impact, relevance and sustainability</w:t>
      </w:r>
      <w:r w:rsidR="0067040A" w:rsidRPr="002D4745">
        <w:rPr>
          <w:rFonts w:ascii="Calibri" w:hAnsi="Calibri" w:cs="Calibri"/>
          <w:color w:val="auto"/>
        </w:rPr>
        <w:t>)</w:t>
      </w:r>
      <w:r w:rsidRPr="002D4745">
        <w:rPr>
          <w:rFonts w:ascii="Calibri" w:hAnsi="Calibri" w:cs="Calibri"/>
          <w:color w:val="auto"/>
        </w:rPr>
        <w:t xml:space="preserve"> </w:t>
      </w:r>
      <w:r w:rsidR="00BA6EA5" w:rsidRPr="002D4745">
        <w:rPr>
          <w:rFonts w:ascii="Calibri" w:hAnsi="Calibri" w:cs="Calibri"/>
          <w:color w:val="auto"/>
        </w:rPr>
        <w:t xml:space="preserve">as </w:t>
      </w:r>
      <w:r w:rsidR="00005068" w:rsidRPr="002D4745">
        <w:rPr>
          <w:rFonts w:ascii="Calibri" w:hAnsi="Calibri" w:cs="Calibri"/>
          <w:color w:val="auto"/>
        </w:rPr>
        <w:t>valuable</w:t>
      </w:r>
      <w:r w:rsidRPr="002D4745">
        <w:rPr>
          <w:rFonts w:ascii="Calibri" w:hAnsi="Calibri" w:cs="Calibri"/>
          <w:color w:val="auto"/>
        </w:rPr>
        <w:t xml:space="preserve"> </w:t>
      </w:r>
      <w:r w:rsidR="00BA6EA5" w:rsidRPr="002D4745">
        <w:rPr>
          <w:rFonts w:ascii="Calibri" w:hAnsi="Calibri" w:cs="Calibri"/>
          <w:color w:val="auto"/>
        </w:rPr>
        <w:t xml:space="preserve">when </w:t>
      </w:r>
      <w:r w:rsidR="0067040A" w:rsidRPr="002D4745">
        <w:rPr>
          <w:rFonts w:ascii="Calibri" w:hAnsi="Calibri" w:cs="Calibri"/>
          <w:color w:val="auto"/>
        </w:rPr>
        <w:t xml:space="preserve">assessing options for the regional presence going forward. </w:t>
      </w:r>
    </w:p>
    <w:p w14:paraId="13CA6CD3" w14:textId="4B3FFED6" w:rsidR="00BA6EA5" w:rsidRPr="002D4745" w:rsidRDefault="0067040A" w:rsidP="00FC09A4">
      <w:pPr>
        <w:pStyle w:val="Default"/>
        <w:tabs>
          <w:tab w:val="left" w:pos="1342"/>
        </w:tabs>
        <w:spacing w:before="120" w:after="120"/>
        <w:jc w:val="both"/>
        <w:rPr>
          <w:rFonts w:ascii="Calibri" w:hAnsi="Calibri" w:cs="Calibri"/>
          <w:color w:val="auto"/>
        </w:rPr>
      </w:pPr>
      <w:r w:rsidRPr="002D4745">
        <w:rPr>
          <w:rFonts w:ascii="Calibri" w:hAnsi="Calibri" w:cs="Calibri"/>
          <w:color w:val="auto"/>
        </w:rPr>
        <w:t>However, Australia considers th</w:t>
      </w:r>
      <w:r w:rsidR="002B5D06" w:rsidRPr="002D4745">
        <w:rPr>
          <w:rFonts w:ascii="Calibri" w:hAnsi="Calibri" w:cs="Calibri"/>
          <w:color w:val="auto"/>
        </w:rPr>
        <w:t>e P</w:t>
      </w:r>
      <w:r w:rsidR="00114707">
        <w:rPr>
          <w:rFonts w:ascii="Calibri" w:hAnsi="Calibri" w:cs="Calibri"/>
          <w:color w:val="auto"/>
        </w:rPr>
        <w:t>w</w:t>
      </w:r>
      <w:r w:rsidR="002B5D06" w:rsidRPr="002D4745">
        <w:rPr>
          <w:rFonts w:ascii="Calibri" w:hAnsi="Calibri" w:cs="Calibri"/>
          <w:color w:val="auto"/>
        </w:rPr>
        <w:t xml:space="preserve">C report as only one </w:t>
      </w:r>
      <w:r w:rsidR="00372D77" w:rsidRPr="002D4745">
        <w:rPr>
          <w:rFonts w:ascii="Calibri" w:hAnsi="Calibri" w:cs="Calibri"/>
          <w:color w:val="auto"/>
        </w:rPr>
        <w:t>element</w:t>
      </w:r>
      <w:r w:rsidR="002B5D06" w:rsidRPr="002D4745">
        <w:rPr>
          <w:rFonts w:ascii="Calibri" w:hAnsi="Calibri" w:cs="Calibri"/>
          <w:color w:val="auto"/>
        </w:rPr>
        <w:t xml:space="preserve"> (albeit </w:t>
      </w:r>
      <w:r w:rsidR="00372D77" w:rsidRPr="002D4745">
        <w:rPr>
          <w:rFonts w:ascii="Calibri" w:hAnsi="Calibri" w:cs="Calibri"/>
          <w:color w:val="auto"/>
        </w:rPr>
        <w:t>significant</w:t>
      </w:r>
      <w:r w:rsidR="002B5D06" w:rsidRPr="002D4745">
        <w:rPr>
          <w:rFonts w:ascii="Calibri" w:hAnsi="Calibri" w:cs="Calibri"/>
          <w:color w:val="auto"/>
        </w:rPr>
        <w:t xml:space="preserve">) </w:t>
      </w:r>
      <w:r w:rsidR="00372D77" w:rsidRPr="002D4745">
        <w:rPr>
          <w:rFonts w:ascii="Calibri" w:hAnsi="Calibri" w:cs="Calibri"/>
          <w:color w:val="auto"/>
        </w:rPr>
        <w:t xml:space="preserve">in </w:t>
      </w:r>
      <w:r w:rsidRPr="002D4745">
        <w:rPr>
          <w:rFonts w:ascii="Calibri" w:hAnsi="Calibri" w:cs="Calibri"/>
          <w:color w:val="auto"/>
        </w:rPr>
        <w:t xml:space="preserve">the review process. </w:t>
      </w:r>
      <w:r w:rsidR="00A16415">
        <w:rPr>
          <w:rFonts w:ascii="Calibri" w:hAnsi="Calibri" w:cs="Calibri"/>
          <w:color w:val="auto"/>
        </w:rPr>
        <w:t>In order to ensure there is cohesion across the organisation, w</w:t>
      </w:r>
      <w:r w:rsidR="00005068" w:rsidRPr="002D4745">
        <w:rPr>
          <w:rFonts w:ascii="Calibri" w:hAnsi="Calibri" w:cs="Calibri"/>
          <w:color w:val="auto"/>
        </w:rPr>
        <w:t>e</w:t>
      </w:r>
      <w:r w:rsidR="006F18FB" w:rsidRPr="002D4745">
        <w:rPr>
          <w:rFonts w:ascii="Calibri" w:hAnsi="Calibri" w:cs="Calibri"/>
          <w:color w:val="auto"/>
        </w:rPr>
        <w:t xml:space="preserve"> support the report’s assertion </w:t>
      </w:r>
      <w:r w:rsidR="00A16415">
        <w:rPr>
          <w:rFonts w:ascii="Calibri" w:hAnsi="Calibri" w:cs="Calibri"/>
          <w:color w:val="auto"/>
        </w:rPr>
        <w:t xml:space="preserve">of the need to clarify </w:t>
      </w:r>
      <w:r w:rsidR="006F18FB" w:rsidRPr="002D4745">
        <w:rPr>
          <w:rFonts w:ascii="Calibri" w:hAnsi="Calibri" w:cs="Calibri"/>
          <w:color w:val="auto"/>
        </w:rPr>
        <w:t xml:space="preserve">the role of the ITU regional network within the ITU’s strategic framework and key policy documents </w:t>
      </w:r>
      <w:r w:rsidR="00A16415">
        <w:rPr>
          <w:rFonts w:ascii="Calibri" w:hAnsi="Calibri" w:cs="Calibri"/>
          <w:color w:val="auto"/>
        </w:rPr>
        <w:t>which would allow</w:t>
      </w:r>
      <w:r w:rsidR="006F18FB" w:rsidRPr="002D4745">
        <w:rPr>
          <w:rFonts w:ascii="Calibri" w:hAnsi="Calibri" w:cs="Calibri"/>
          <w:color w:val="auto"/>
        </w:rPr>
        <w:t xml:space="preserve"> </w:t>
      </w:r>
      <w:r w:rsidR="00005068" w:rsidRPr="002D4745">
        <w:rPr>
          <w:rFonts w:ascii="Calibri" w:hAnsi="Calibri" w:cs="Calibri"/>
          <w:color w:val="auto"/>
        </w:rPr>
        <w:t>regional offices</w:t>
      </w:r>
      <w:r w:rsidR="006F18FB" w:rsidRPr="002D4745">
        <w:rPr>
          <w:rFonts w:ascii="Calibri" w:hAnsi="Calibri" w:cs="Calibri"/>
          <w:color w:val="auto"/>
        </w:rPr>
        <w:t xml:space="preserve"> have clear direction and objectives.</w:t>
      </w:r>
    </w:p>
    <w:p w14:paraId="0FAE4330" w14:textId="6A67AFF5" w:rsidR="000C5478" w:rsidRPr="002D4745" w:rsidRDefault="000C5478" w:rsidP="00FC09A4">
      <w:pPr>
        <w:pStyle w:val="Default"/>
        <w:tabs>
          <w:tab w:val="left" w:pos="1342"/>
        </w:tabs>
        <w:spacing w:before="120" w:after="120"/>
        <w:jc w:val="both"/>
        <w:rPr>
          <w:rFonts w:ascii="Calibri" w:hAnsi="Calibri" w:cs="Calibri"/>
          <w:color w:val="auto"/>
        </w:rPr>
      </w:pPr>
      <w:r w:rsidRPr="002D4745">
        <w:rPr>
          <w:rFonts w:ascii="Calibri" w:hAnsi="Calibri" w:cs="Calibri"/>
          <w:color w:val="auto"/>
        </w:rPr>
        <w:t>In addition to the Secretariat’s first reaction to P</w:t>
      </w:r>
      <w:r w:rsidR="000B7443">
        <w:rPr>
          <w:rFonts w:ascii="Calibri" w:hAnsi="Calibri" w:cs="Calibri"/>
          <w:color w:val="auto"/>
        </w:rPr>
        <w:t>w</w:t>
      </w:r>
      <w:r w:rsidRPr="002D4745">
        <w:rPr>
          <w:rFonts w:ascii="Calibri" w:hAnsi="Calibri" w:cs="Calibri"/>
          <w:color w:val="auto"/>
        </w:rPr>
        <w:t>C’s report (document CWG-FHRE-12/9)</w:t>
      </w:r>
      <w:r w:rsidR="007A364C" w:rsidRPr="002D4745">
        <w:rPr>
          <w:rFonts w:ascii="Calibri" w:hAnsi="Calibri" w:cs="Calibri"/>
          <w:color w:val="auto"/>
        </w:rPr>
        <w:t xml:space="preserve">, we would welcome further reflections on how </w:t>
      </w:r>
      <w:r w:rsidR="00372D77">
        <w:rPr>
          <w:rFonts w:ascii="Calibri" w:hAnsi="Calibri" w:cs="Calibri"/>
          <w:color w:val="auto"/>
        </w:rPr>
        <w:t>the</w:t>
      </w:r>
      <w:r w:rsidR="007A364C" w:rsidRPr="002D4745">
        <w:rPr>
          <w:rFonts w:ascii="Calibri" w:hAnsi="Calibri" w:cs="Calibri"/>
          <w:color w:val="auto"/>
        </w:rPr>
        <w:t xml:space="preserve"> regional presence can best support mandate delivery </w:t>
      </w:r>
      <w:r w:rsidR="00372D77" w:rsidRPr="002D4745">
        <w:rPr>
          <w:rFonts w:ascii="Calibri" w:hAnsi="Calibri" w:cs="Calibri"/>
          <w:color w:val="auto"/>
        </w:rPr>
        <w:t xml:space="preserve">in a coherent and coordinated manner </w:t>
      </w:r>
      <w:r w:rsidR="007A364C" w:rsidRPr="002D4745">
        <w:rPr>
          <w:rFonts w:ascii="Calibri" w:hAnsi="Calibri" w:cs="Calibri"/>
          <w:color w:val="auto"/>
        </w:rPr>
        <w:t xml:space="preserve">and </w:t>
      </w:r>
      <w:r w:rsidR="00BA6EA5" w:rsidRPr="002D4745">
        <w:rPr>
          <w:rFonts w:ascii="Calibri" w:hAnsi="Calibri" w:cs="Calibri"/>
          <w:color w:val="auto"/>
        </w:rPr>
        <w:t>request the</w:t>
      </w:r>
      <w:r w:rsidR="00A16415">
        <w:rPr>
          <w:rFonts w:ascii="Calibri" w:hAnsi="Calibri" w:cs="Calibri"/>
          <w:color w:val="auto"/>
        </w:rPr>
        <w:t xml:space="preserve"> ITU</w:t>
      </w:r>
      <w:r w:rsidR="004A7CD5">
        <w:rPr>
          <w:rFonts w:ascii="Calibri" w:hAnsi="Calibri" w:cs="Calibri"/>
          <w:color w:val="auto"/>
        </w:rPr>
        <w:t xml:space="preserve"> Sec</w:t>
      </w:r>
      <w:r w:rsidR="00BA6EA5" w:rsidRPr="002D4745">
        <w:rPr>
          <w:rFonts w:ascii="Calibri" w:hAnsi="Calibri" w:cs="Calibri"/>
          <w:color w:val="auto"/>
        </w:rPr>
        <w:t>retariat o</w:t>
      </w:r>
      <w:r w:rsidR="007A364C" w:rsidRPr="002D4745">
        <w:rPr>
          <w:rFonts w:ascii="Calibri" w:hAnsi="Calibri" w:cs="Calibri"/>
          <w:color w:val="auto"/>
        </w:rPr>
        <w:t>utline th</w:t>
      </w:r>
      <w:r w:rsidR="00005068" w:rsidRPr="002D4745">
        <w:rPr>
          <w:rFonts w:ascii="Calibri" w:hAnsi="Calibri" w:cs="Calibri"/>
          <w:color w:val="auto"/>
        </w:rPr>
        <w:t xml:space="preserve">ese reflections </w:t>
      </w:r>
      <w:r w:rsidR="007A364C" w:rsidRPr="002D4745">
        <w:rPr>
          <w:rFonts w:ascii="Calibri" w:hAnsi="Calibri" w:cs="Calibri"/>
          <w:color w:val="auto"/>
        </w:rPr>
        <w:t>to members.</w:t>
      </w:r>
    </w:p>
    <w:p w14:paraId="4F55E150" w14:textId="26D64556" w:rsidR="00560ED7" w:rsidRPr="002D4745" w:rsidRDefault="00005068" w:rsidP="00FC09A4">
      <w:pPr>
        <w:pStyle w:val="Default"/>
        <w:spacing w:before="120" w:after="120"/>
        <w:jc w:val="both"/>
        <w:rPr>
          <w:rFonts w:ascii="Calibri" w:hAnsi="Calibri" w:cs="Calibri"/>
          <w:color w:val="auto"/>
        </w:rPr>
      </w:pPr>
      <w:r w:rsidRPr="002D4745">
        <w:rPr>
          <w:rFonts w:ascii="Calibri" w:hAnsi="Calibri" w:cs="Calibri"/>
          <w:color w:val="auto"/>
        </w:rPr>
        <w:lastRenderedPageBreak/>
        <w:t>At this point, w</w:t>
      </w:r>
      <w:r w:rsidR="007A364C" w:rsidRPr="002D4745">
        <w:rPr>
          <w:rFonts w:ascii="Calibri" w:hAnsi="Calibri" w:cs="Calibri"/>
          <w:color w:val="auto"/>
        </w:rPr>
        <w:t xml:space="preserve">e consider the transition to a discussion </w:t>
      </w:r>
      <w:r w:rsidRPr="002D4745">
        <w:rPr>
          <w:rFonts w:ascii="Calibri" w:hAnsi="Calibri" w:cs="Calibri"/>
          <w:color w:val="auto"/>
        </w:rPr>
        <w:t xml:space="preserve">designed to take </w:t>
      </w:r>
      <w:r w:rsidR="000C5478" w:rsidRPr="002D4745">
        <w:rPr>
          <w:rFonts w:ascii="Calibri" w:hAnsi="Calibri" w:cs="Calibri"/>
          <w:color w:val="auto"/>
        </w:rPr>
        <w:t xml:space="preserve">decisions </w:t>
      </w:r>
      <w:r w:rsidRPr="002D4745">
        <w:rPr>
          <w:rFonts w:ascii="Calibri" w:hAnsi="Calibri" w:cs="Calibri"/>
          <w:color w:val="auto"/>
        </w:rPr>
        <w:t>on</w:t>
      </w:r>
      <w:r w:rsidR="000C5478" w:rsidRPr="002D4745">
        <w:rPr>
          <w:rFonts w:ascii="Calibri" w:hAnsi="Calibri" w:cs="Calibri"/>
          <w:color w:val="auto"/>
        </w:rPr>
        <w:t xml:space="preserve"> resource allocation</w:t>
      </w:r>
      <w:r w:rsidR="00372D77" w:rsidRPr="002D4745">
        <w:rPr>
          <w:rFonts w:ascii="Calibri" w:hAnsi="Calibri" w:cs="Calibri"/>
          <w:color w:val="auto"/>
        </w:rPr>
        <w:t xml:space="preserve"> a missed opportunity</w:t>
      </w:r>
      <w:r w:rsidR="007A364C" w:rsidRPr="002D4745">
        <w:rPr>
          <w:rFonts w:ascii="Calibri" w:hAnsi="Calibri" w:cs="Calibri"/>
          <w:color w:val="auto"/>
        </w:rPr>
        <w:t>. Instead</w:t>
      </w:r>
      <w:r w:rsidR="00BA6EA5" w:rsidRPr="002D4745">
        <w:rPr>
          <w:rFonts w:ascii="Calibri" w:hAnsi="Calibri" w:cs="Calibri"/>
          <w:color w:val="auto"/>
        </w:rPr>
        <w:t>,</w:t>
      </w:r>
      <w:r w:rsidR="007A364C" w:rsidRPr="002D4745">
        <w:rPr>
          <w:rFonts w:ascii="Calibri" w:hAnsi="Calibri" w:cs="Calibri"/>
          <w:color w:val="auto"/>
        </w:rPr>
        <w:t xml:space="preserve"> we should first focus o</w:t>
      </w:r>
      <w:r w:rsidR="00053839">
        <w:rPr>
          <w:rFonts w:ascii="Calibri" w:hAnsi="Calibri" w:cs="Calibri"/>
          <w:color w:val="auto"/>
        </w:rPr>
        <w:t>n</w:t>
      </w:r>
      <w:r w:rsidR="007A364C" w:rsidRPr="002D4745">
        <w:rPr>
          <w:rFonts w:ascii="Calibri" w:hAnsi="Calibri" w:cs="Calibri"/>
          <w:color w:val="auto"/>
        </w:rPr>
        <w:t xml:space="preserve"> the </w:t>
      </w:r>
      <w:r w:rsidR="000C5478" w:rsidRPr="002D4745">
        <w:rPr>
          <w:rFonts w:ascii="Calibri" w:hAnsi="Calibri" w:cs="Calibri"/>
          <w:color w:val="auto"/>
        </w:rPr>
        <w:t xml:space="preserve">specific </w:t>
      </w:r>
      <w:r w:rsidR="00CD0658" w:rsidRPr="002D4745">
        <w:rPr>
          <w:rFonts w:ascii="Calibri" w:hAnsi="Calibri" w:cs="Calibri"/>
          <w:color w:val="auto"/>
        </w:rPr>
        <w:t>objectives</w:t>
      </w:r>
      <w:r w:rsidR="000C5478" w:rsidRPr="002D4745">
        <w:rPr>
          <w:rFonts w:ascii="Calibri" w:hAnsi="Calibri" w:cs="Calibri"/>
          <w:color w:val="auto"/>
        </w:rPr>
        <w:t xml:space="preserve"> of the ITU </w:t>
      </w:r>
      <w:r w:rsidR="00CD0658" w:rsidRPr="002D4745">
        <w:rPr>
          <w:rFonts w:ascii="Calibri" w:hAnsi="Calibri" w:cs="Calibri"/>
          <w:color w:val="auto"/>
        </w:rPr>
        <w:t>globally and regionally</w:t>
      </w:r>
      <w:r w:rsidR="002D4745">
        <w:rPr>
          <w:rFonts w:ascii="Calibri" w:hAnsi="Calibri" w:cs="Calibri"/>
          <w:color w:val="auto"/>
        </w:rPr>
        <w:t>,</w:t>
      </w:r>
      <w:r w:rsidR="00CD0658" w:rsidRPr="002D4745">
        <w:rPr>
          <w:rFonts w:ascii="Calibri" w:hAnsi="Calibri" w:cs="Calibri"/>
          <w:color w:val="auto"/>
        </w:rPr>
        <w:t xml:space="preserve"> </w:t>
      </w:r>
      <w:r w:rsidR="000C5478" w:rsidRPr="002D4745">
        <w:rPr>
          <w:rFonts w:ascii="Calibri" w:hAnsi="Calibri" w:cs="Calibri"/>
          <w:color w:val="auto"/>
        </w:rPr>
        <w:t>and</w:t>
      </w:r>
      <w:r w:rsidR="007A364C" w:rsidRPr="002D4745">
        <w:rPr>
          <w:rFonts w:ascii="Calibri" w:hAnsi="Calibri" w:cs="Calibri"/>
          <w:color w:val="auto"/>
        </w:rPr>
        <w:t xml:space="preserve"> </w:t>
      </w:r>
      <w:r w:rsidR="00CD0658" w:rsidRPr="002D4745">
        <w:rPr>
          <w:rFonts w:ascii="Calibri" w:hAnsi="Calibri" w:cs="Calibri"/>
          <w:color w:val="auto"/>
        </w:rPr>
        <w:t>how the regional presence assists with delivering these objectives</w:t>
      </w:r>
      <w:r w:rsidR="007A364C" w:rsidRPr="002D4745">
        <w:rPr>
          <w:rFonts w:ascii="Calibri" w:hAnsi="Calibri" w:cs="Calibri"/>
          <w:color w:val="auto"/>
        </w:rPr>
        <w:t xml:space="preserve"> in a</w:t>
      </w:r>
      <w:r w:rsidR="006F18FB" w:rsidRPr="002D4745">
        <w:rPr>
          <w:rFonts w:ascii="Calibri" w:hAnsi="Calibri" w:cs="Calibri"/>
          <w:color w:val="auto"/>
        </w:rPr>
        <w:t xml:space="preserve">ccordance with </w:t>
      </w:r>
      <w:r w:rsidR="00BA6EA5" w:rsidRPr="002D4745">
        <w:rPr>
          <w:rFonts w:ascii="Calibri" w:hAnsi="Calibri" w:cs="Calibri"/>
          <w:color w:val="auto"/>
        </w:rPr>
        <w:t>the ITU’s</w:t>
      </w:r>
      <w:r w:rsidR="006F18FB" w:rsidRPr="002D4745">
        <w:rPr>
          <w:rFonts w:ascii="Calibri" w:hAnsi="Calibri" w:cs="Calibri"/>
          <w:color w:val="auto"/>
        </w:rPr>
        <w:t xml:space="preserve"> mandate. </w:t>
      </w:r>
      <w:r w:rsidR="000C5478" w:rsidRPr="002D4745">
        <w:rPr>
          <w:rFonts w:ascii="Calibri" w:hAnsi="Calibri" w:cs="Calibri"/>
          <w:color w:val="auto"/>
        </w:rPr>
        <w:t xml:space="preserve">We consider a discussion which progresses straight to </w:t>
      </w:r>
      <w:r w:rsidR="006F18FB" w:rsidRPr="002D4745">
        <w:rPr>
          <w:rFonts w:ascii="Calibri" w:hAnsi="Calibri" w:cs="Calibri"/>
          <w:color w:val="auto"/>
        </w:rPr>
        <w:t xml:space="preserve">the location, </w:t>
      </w:r>
      <w:proofErr w:type="gramStart"/>
      <w:r w:rsidR="006F18FB" w:rsidRPr="002D4745">
        <w:rPr>
          <w:rFonts w:ascii="Calibri" w:hAnsi="Calibri" w:cs="Calibri"/>
          <w:color w:val="auto"/>
        </w:rPr>
        <w:t>number</w:t>
      </w:r>
      <w:proofErr w:type="gramEnd"/>
      <w:r w:rsidR="006F18FB" w:rsidRPr="002D4745">
        <w:rPr>
          <w:rFonts w:ascii="Calibri" w:hAnsi="Calibri" w:cs="Calibri"/>
          <w:color w:val="auto"/>
        </w:rPr>
        <w:t xml:space="preserve"> and level of staffing</w:t>
      </w:r>
      <w:r w:rsidR="000C5478" w:rsidRPr="002D4745">
        <w:rPr>
          <w:rFonts w:ascii="Calibri" w:hAnsi="Calibri" w:cs="Calibri"/>
          <w:color w:val="auto"/>
        </w:rPr>
        <w:t xml:space="preserve"> to</w:t>
      </w:r>
      <w:r w:rsidR="00372D77" w:rsidRPr="002D4745">
        <w:rPr>
          <w:rFonts w:ascii="Calibri" w:hAnsi="Calibri" w:cs="Calibri"/>
          <w:color w:val="auto"/>
        </w:rPr>
        <w:t xml:space="preserve"> be premature</w:t>
      </w:r>
      <w:r w:rsidR="000C5478" w:rsidRPr="002D4745">
        <w:rPr>
          <w:rFonts w:ascii="Calibri" w:hAnsi="Calibri" w:cs="Calibri"/>
          <w:color w:val="auto"/>
        </w:rPr>
        <w:t xml:space="preserve">. </w:t>
      </w:r>
    </w:p>
    <w:p w14:paraId="4BB722FC" w14:textId="77777777" w:rsidR="006F18FB" w:rsidRPr="002D4745" w:rsidRDefault="006F18FB" w:rsidP="006273A5">
      <w:pPr>
        <w:pStyle w:val="Default"/>
        <w:spacing w:before="240" w:after="120"/>
        <w:jc w:val="both"/>
        <w:rPr>
          <w:rFonts w:ascii="Calibri" w:hAnsi="Calibri" w:cs="Calibri"/>
          <w:b/>
          <w:bCs/>
          <w:color w:val="auto"/>
        </w:rPr>
      </w:pPr>
      <w:r w:rsidRPr="002D4745">
        <w:rPr>
          <w:rFonts w:ascii="Calibri" w:hAnsi="Calibri" w:cs="Calibri"/>
          <w:b/>
          <w:bCs/>
          <w:color w:val="auto"/>
        </w:rPr>
        <w:t>UN Governance &amp; Reform</w:t>
      </w:r>
    </w:p>
    <w:p w14:paraId="520BFFC2" w14:textId="473A64B4" w:rsidR="00FE5FEE" w:rsidRPr="00372D77" w:rsidRDefault="006F18FB" w:rsidP="00FC09A4">
      <w:pPr>
        <w:pStyle w:val="Default"/>
        <w:spacing w:before="120" w:after="120"/>
        <w:jc w:val="both"/>
        <w:rPr>
          <w:rFonts w:asciiTheme="minorHAnsi" w:hAnsiTheme="minorHAnsi" w:cs="Times New Roman Bold"/>
          <w:spacing w:val="-4"/>
        </w:rPr>
      </w:pPr>
      <w:r w:rsidRPr="002D4745">
        <w:rPr>
          <w:rFonts w:ascii="Calibri" w:hAnsi="Calibri" w:cs="Calibri"/>
          <w:color w:val="auto"/>
        </w:rPr>
        <w:t>Overall, Australia welcomes the P</w:t>
      </w:r>
      <w:r w:rsidR="000B7443">
        <w:rPr>
          <w:rFonts w:ascii="Calibri" w:hAnsi="Calibri" w:cs="Calibri"/>
          <w:color w:val="auto"/>
        </w:rPr>
        <w:t>w</w:t>
      </w:r>
      <w:r w:rsidRPr="002D4745">
        <w:rPr>
          <w:rFonts w:ascii="Calibri" w:hAnsi="Calibri" w:cs="Calibri"/>
          <w:color w:val="auto"/>
        </w:rPr>
        <w:t xml:space="preserve">C report noting the review </w:t>
      </w:r>
      <w:r w:rsidR="00A16415">
        <w:rPr>
          <w:rFonts w:ascii="Calibri" w:hAnsi="Calibri" w:cs="Calibri"/>
          <w:color w:val="auto"/>
        </w:rPr>
        <w:t>was conducted</w:t>
      </w:r>
      <w:r w:rsidRPr="002D4745">
        <w:rPr>
          <w:rFonts w:ascii="Calibri" w:hAnsi="Calibri" w:cs="Calibri"/>
          <w:color w:val="auto"/>
        </w:rPr>
        <w:t xml:space="preserve"> against the backdrop of the </w:t>
      </w:r>
      <w:r w:rsidR="00A16415">
        <w:rPr>
          <w:rFonts w:ascii="Calibri" w:hAnsi="Calibri" w:cs="Calibri"/>
          <w:color w:val="auto"/>
        </w:rPr>
        <w:t>Sustainable Development Goals (</w:t>
      </w:r>
      <w:r w:rsidRPr="002D4745">
        <w:rPr>
          <w:rFonts w:ascii="Calibri" w:hAnsi="Calibri" w:cs="Calibri"/>
          <w:color w:val="auto"/>
        </w:rPr>
        <w:t>SDG</w:t>
      </w:r>
      <w:r w:rsidR="00A16415">
        <w:rPr>
          <w:rFonts w:ascii="Calibri" w:hAnsi="Calibri" w:cs="Calibri"/>
          <w:color w:val="auto"/>
        </w:rPr>
        <w:t>)</w:t>
      </w:r>
      <w:r w:rsidRPr="002D4745">
        <w:rPr>
          <w:rFonts w:ascii="Calibri" w:hAnsi="Calibri" w:cs="Calibri"/>
          <w:color w:val="auto"/>
        </w:rPr>
        <w:t xml:space="preserve"> Agenda and the </w:t>
      </w:r>
      <w:r w:rsidR="00FE5FEE" w:rsidRPr="002D4745">
        <w:rPr>
          <w:rFonts w:ascii="Calibri" w:hAnsi="Calibri" w:cs="Calibri"/>
          <w:color w:val="auto"/>
        </w:rPr>
        <w:t>r</w:t>
      </w:r>
      <w:r w:rsidRPr="002D4745">
        <w:rPr>
          <w:rFonts w:ascii="Calibri" w:hAnsi="Calibri" w:cs="Calibri"/>
          <w:color w:val="auto"/>
        </w:rPr>
        <w:t>eform of the UN Development system</w:t>
      </w:r>
      <w:r w:rsidR="00FE5FEE" w:rsidRPr="002D4745">
        <w:rPr>
          <w:rFonts w:ascii="Calibri" w:hAnsi="Calibri" w:cs="Calibri"/>
          <w:color w:val="auto"/>
        </w:rPr>
        <w:t xml:space="preserve"> (UNDS)</w:t>
      </w:r>
      <w:r w:rsidR="00A16415">
        <w:rPr>
          <w:rFonts w:ascii="Calibri" w:hAnsi="Calibri" w:cs="Calibri"/>
          <w:color w:val="auto"/>
        </w:rPr>
        <w:t>. B</w:t>
      </w:r>
      <w:r w:rsidRPr="002D4745">
        <w:rPr>
          <w:rFonts w:ascii="Calibri" w:hAnsi="Calibri" w:cs="Calibri"/>
          <w:color w:val="auto"/>
        </w:rPr>
        <w:t xml:space="preserve">oth </w:t>
      </w:r>
      <w:r w:rsidR="00A16415">
        <w:rPr>
          <w:rFonts w:ascii="Calibri" w:hAnsi="Calibri" w:cs="Calibri"/>
          <w:color w:val="auto"/>
        </w:rPr>
        <w:t>agendas</w:t>
      </w:r>
      <w:r w:rsidRPr="002D4745">
        <w:rPr>
          <w:rFonts w:ascii="Calibri" w:hAnsi="Calibri" w:cs="Calibri"/>
          <w:color w:val="auto"/>
        </w:rPr>
        <w:t xml:space="preserve"> are inducing a shift in the expected </w:t>
      </w:r>
      <w:r w:rsidR="004A7CD5">
        <w:rPr>
          <w:rFonts w:ascii="Calibri" w:hAnsi="Calibri" w:cs="Calibri"/>
          <w:color w:val="auto"/>
        </w:rPr>
        <w:t>role and ways of working of UN a</w:t>
      </w:r>
      <w:r w:rsidRPr="002D4745">
        <w:rPr>
          <w:rFonts w:ascii="Calibri" w:hAnsi="Calibri" w:cs="Calibri"/>
          <w:color w:val="auto"/>
        </w:rPr>
        <w:t>gencies at country level</w:t>
      </w:r>
      <w:r w:rsidR="00FE5FEE" w:rsidRPr="002D4745">
        <w:rPr>
          <w:rFonts w:ascii="Calibri" w:hAnsi="Calibri" w:cs="Calibri"/>
          <w:color w:val="auto"/>
        </w:rPr>
        <w:t xml:space="preserve"> and continue to offer opportunities </w:t>
      </w:r>
      <w:r w:rsidR="00FE5FEE" w:rsidRPr="00372D77">
        <w:rPr>
          <w:rFonts w:asciiTheme="minorHAnsi" w:hAnsiTheme="minorHAnsi" w:cs="Times New Roman Bold"/>
          <w:spacing w:val="-4"/>
        </w:rPr>
        <w:t xml:space="preserve">for increased effectiveness and efficiency. </w:t>
      </w:r>
    </w:p>
    <w:p w14:paraId="3B31FAC7" w14:textId="47586234" w:rsidR="00FE5FEE" w:rsidRPr="00372D77" w:rsidRDefault="002B5D06" w:rsidP="00FC09A4">
      <w:pPr>
        <w:pStyle w:val="Default"/>
        <w:spacing w:before="120" w:after="120"/>
        <w:jc w:val="both"/>
        <w:rPr>
          <w:rFonts w:asciiTheme="minorHAnsi" w:hAnsiTheme="minorHAnsi" w:cs="Times New Roman Bold"/>
          <w:spacing w:val="-4"/>
        </w:rPr>
      </w:pPr>
      <w:r w:rsidRPr="002D4745">
        <w:rPr>
          <w:rFonts w:ascii="Calibri" w:hAnsi="Calibri" w:cs="Calibri"/>
          <w:color w:val="auto"/>
        </w:rPr>
        <w:t>In a resource constrained environment</w:t>
      </w:r>
      <w:r w:rsidR="002D4745">
        <w:rPr>
          <w:rFonts w:ascii="Calibri" w:hAnsi="Calibri" w:cs="Calibri"/>
          <w:color w:val="auto"/>
        </w:rPr>
        <w:t>,</w:t>
      </w:r>
      <w:r w:rsidR="00FE5FEE" w:rsidRPr="002D4745">
        <w:rPr>
          <w:rFonts w:ascii="Calibri" w:hAnsi="Calibri" w:cs="Calibri"/>
          <w:color w:val="auto"/>
        </w:rPr>
        <w:t xml:space="preserve"> by aligning more closely with UNDS the ITU could increase its impact through regional partnerships</w:t>
      </w:r>
      <w:r w:rsidR="00BF15C9" w:rsidRPr="002D4745">
        <w:rPr>
          <w:rFonts w:ascii="Calibri" w:hAnsi="Calibri" w:cs="Calibri"/>
          <w:color w:val="auto"/>
        </w:rPr>
        <w:t xml:space="preserve">, </w:t>
      </w:r>
      <w:r w:rsidR="00FE5FEE" w:rsidRPr="002D4745">
        <w:rPr>
          <w:rFonts w:ascii="Calibri" w:hAnsi="Calibri" w:cs="Calibri"/>
          <w:color w:val="auto"/>
        </w:rPr>
        <w:t>common resource mobilization</w:t>
      </w:r>
      <w:r w:rsidR="00BF15C9" w:rsidRPr="002D4745">
        <w:rPr>
          <w:rFonts w:ascii="Calibri" w:hAnsi="Calibri" w:cs="Calibri"/>
          <w:color w:val="auto"/>
        </w:rPr>
        <w:t xml:space="preserve"> and reduced overheads</w:t>
      </w:r>
      <w:r w:rsidR="00053839">
        <w:rPr>
          <w:rFonts w:ascii="Calibri" w:hAnsi="Calibri" w:cs="Calibri"/>
          <w:color w:val="auto"/>
        </w:rPr>
        <w:t>,</w:t>
      </w:r>
      <w:r w:rsidR="00BF15C9" w:rsidRPr="002D4745">
        <w:rPr>
          <w:rFonts w:ascii="Calibri" w:hAnsi="Calibri" w:cs="Calibri"/>
          <w:color w:val="auto"/>
        </w:rPr>
        <w:t xml:space="preserve"> </w:t>
      </w:r>
      <w:r w:rsidR="00053839">
        <w:rPr>
          <w:rFonts w:ascii="Calibri" w:hAnsi="Calibri" w:cs="Calibri"/>
          <w:color w:val="auto"/>
        </w:rPr>
        <w:t>including</w:t>
      </w:r>
      <w:r w:rsidR="00BF15C9" w:rsidRPr="002D4745">
        <w:rPr>
          <w:rFonts w:ascii="Calibri" w:hAnsi="Calibri" w:cs="Calibri"/>
          <w:color w:val="auto"/>
        </w:rPr>
        <w:t xml:space="preserve"> utilisation of common administrative and logistical support functions</w:t>
      </w:r>
      <w:r w:rsidR="00F139F2" w:rsidRPr="002D4745">
        <w:rPr>
          <w:rFonts w:ascii="Calibri" w:hAnsi="Calibri" w:cs="Calibri"/>
          <w:color w:val="auto"/>
        </w:rPr>
        <w:t>. Not only could the ITU benefit from the expertise of partner organisations</w:t>
      </w:r>
      <w:r w:rsidR="00372D77" w:rsidRPr="002D4745">
        <w:rPr>
          <w:rFonts w:ascii="Calibri" w:hAnsi="Calibri" w:cs="Calibri"/>
          <w:color w:val="auto"/>
        </w:rPr>
        <w:t>,</w:t>
      </w:r>
      <w:r w:rsidR="00F139F2" w:rsidRPr="002D4745">
        <w:rPr>
          <w:rFonts w:ascii="Calibri" w:hAnsi="Calibri" w:cs="Calibri"/>
          <w:color w:val="auto"/>
        </w:rPr>
        <w:t xml:space="preserve"> it could also</w:t>
      </w:r>
      <w:r w:rsidR="00FE5FEE" w:rsidRPr="002D4745">
        <w:rPr>
          <w:rFonts w:ascii="Calibri" w:hAnsi="Calibri" w:cs="Calibri"/>
          <w:color w:val="auto"/>
        </w:rPr>
        <w:t xml:space="preserve"> become a partner of choice in the d</w:t>
      </w:r>
      <w:r w:rsidR="00F139F2" w:rsidRPr="002D4745">
        <w:rPr>
          <w:rFonts w:ascii="Calibri" w:hAnsi="Calibri" w:cs="Calibri"/>
          <w:color w:val="auto"/>
        </w:rPr>
        <w:t>elivery of multi-agency programs and subsequently deliver valuable outcomes for the regions</w:t>
      </w:r>
      <w:r w:rsidR="002D4745">
        <w:rPr>
          <w:rFonts w:ascii="Calibri" w:hAnsi="Calibri" w:cs="Calibri"/>
          <w:color w:val="auto"/>
        </w:rPr>
        <w:t xml:space="preserve">. We reiterate our view that UN agencies should be transparent and </w:t>
      </w:r>
      <w:proofErr w:type="gramStart"/>
      <w:r w:rsidR="002D4745">
        <w:rPr>
          <w:rFonts w:ascii="Calibri" w:hAnsi="Calibri" w:cs="Calibri"/>
          <w:color w:val="auto"/>
        </w:rPr>
        <w:t>accountable, and</w:t>
      </w:r>
      <w:proofErr w:type="gramEnd"/>
      <w:r w:rsidR="002D4745">
        <w:rPr>
          <w:rFonts w:ascii="Calibri" w:hAnsi="Calibri" w:cs="Calibri"/>
          <w:color w:val="auto"/>
        </w:rPr>
        <w:t xml:space="preserve"> operate within their means. </w:t>
      </w:r>
    </w:p>
    <w:p w14:paraId="6159C4BE" w14:textId="7B7DA794" w:rsidR="006F18FB" w:rsidRPr="002D4745" w:rsidRDefault="00A16415" w:rsidP="00FC09A4">
      <w:pPr>
        <w:pStyle w:val="Default"/>
        <w:spacing w:before="120" w:after="120"/>
        <w:jc w:val="both"/>
        <w:rPr>
          <w:rFonts w:ascii="Calibri" w:hAnsi="Calibri" w:cs="Calibri"/>
          <w:color w:val="auto"/>
        </w:rPr>
      </w:pPr>
      <w:r>
        <w:rPr>
          <w:rFonts w:ascii="Calibri" w:hAnsi="Calibri" w:cs="Calibri"/>
          <w:color w:val="auto"/>
        </w:rPr>
        <w:t>As well as being a specialised agency, t</w:t>
      </w:r>
      <w:r w:rsidR="006F18FB" w:rsidRPr="002D4745">
        <w:rPr>
          <w:rFonts w:ascii="Calibri" w:hAnsi="Calibri" w:cs="Calibri"/>
          <w:color w:val="auto"/>
        </w:rPr>
        <w:t xml:space="preserve">he ITU is one of the UN </w:t>
      </w:r>
      <w:r>
        <w:rPr>
          <w:rFonts w:ascii="Calibri" w:hAnsi="Calibri" w:cs="Calibri"/>
          <w:color w:val="auto"/>
        </w:rPr>
        <w:t>SDG</w:t>
      </w:r>
      <w:r w:rsidR="006F18FB" w:rsidRPr="002D4745">
        <w:rPr>
          <w:rFonts w:ascii="Calibri" w:hAnsi="Calibri" w:cs="Calibri"/>
          <w:color w:val="auto"/>
        </w:rPr>
        <w:t xml:space="preserve"> agencies, and we are keen to see closer and more effective cooperation between these agencies to help deliver on the SDG agenda and to build back better after COVID. This also speaks to the suggested opportunity (in the report) to leverage the upcoming review of UN Sustainable Development Cooperation Frameworks (UNSDCFs) in 131 countries to support the ITU to be recognised as a key contributor within the UN Family.</w:t>
      </w:r>
    </w:p>
    <w:p w14:paraId="60BC6C19" w14:textId="52C4B74B" w:rsidR="00F139F2" w:rsidRPr="002D4745" w:rsidRDefault="00F139F2" w:rsidP="006273A5">
      <w:pPr>
        <w:pStyle w:val="Default"/>
        <w:spacing w:before="240" w:after="120"/>
        <w:jc w:val="both"/>
        <w:rPr>
          <w:rFonts w:ascii="Calibri" w:hAnsi="Calibri" w:cs="Calibri"/>
          <w:b/>
          <w:bCs/>
          <w:color w:val="auto"/>
        </w:rPr>
      </w:pPr>
      <w:r w:rsidRPr="002D4745">
        <w:rPr>
          <w:rFonts w:ascii="Calibri" w:hAnsi="Calibri" w:cs="Calibri"/>
          <w:b/>
          <w:bCs/>
          <w:color w:val="auto"/>
        </w:rPr>
        <w:t xml:space="preserve">Presence in the Asia Pacific </w:t>
      </w:r>
    </w:p>
    <w:p w14:paraId="4A16D1FC" w14:textId="59C82DC8" w:rsidR="00BF15C9" w:rsidRPr="002D4745" w:rsidRDefault="00A16415" w:rsidP="00FC09A4">
      <w:pPr>
        <w:pStyle w:val="Default"/>
        <w:spacing w:before="120" w:after="120"/>
        <w:jc w:val="both"/>
        <w:rPr>
          <w:rFonts w:ascii="Calibri" w:hAnsi="Calibri" w:cs="Calibri"/>
          <w:color w:val="auto"/>
        </w:rPr>
      </w:pPr>
      <w:r>
        <w:rPr>
          <w:rFonts w:ascii="Calibri" w:hAnsi="Calibri" w:cs="Calibri"/>
          <w:color w:val="auto"/>
        </w:rPr>
        <w:t>I</w:t>
      </w:r>
      <w:r w:rsidR="00BF15C9" w:rsidRPr="002D4745">
        <w:rPr>
          <w:rFonts w:ascii="Calibri" w:hAnsi="Calibri" w:cs="Calibri"/>
          <w:color w:val="auto"/>
        </w:rPr>
        <w:t>t is important the</w:t>
      </w:r>
      <w:r>
        <w:rPr>
          <w:rFonts w:ascii="Calibri" w:hAnsi="Calibri" w:cs="Calibri"/>
          <w:color w:val="auto"/>
        </w:rPr>
        <w:t xml:space="preserve"> ITU strikes the</w:t>
      </w:r>
      <w:r w:rsidR="00BF15C9" w:rsidRPr="002D4745">
        <w:rPr>
          <w:rFonts w:ascii="Calibri" w:hAnsi="Calibri" w:cs="Calibri"/>
          <w:color w:val="auto"/>
        </w:rPr>
        <w:t xml:space="preserve"> right balance in the Asia-Pacific. </w:t>
      </w:r>
      <w:r w:rsidRPr="002D4745">
        <w:rPr>
          <w:rFonts w:ascii="Calibri" w:hAnsi="Calibri" w:cs="Calibri"/>
          <w:color w:val="auto"/>
        </w:rPr>
        <w:t>Australia</w:t>
      </w:r>
      <w:r>
        <w:rPr>
          <w:rFonts w:ascii="Calibri" w:hAnsi="Calibri" w:cs="Calibri"/>
          <w:color w:val="auto"/>
        </w:rPr>
        <w:t>’s</w:t>
      </w:r>
      <w:r w:rsidRPr="002D4745">
        <w:rPr>
          <w:rFonts w:ascii="Calibri" w:hAnsi="Calibri" w:cs="Calibri"/>
          <w:color w:val="auto"/>
        </w:rPr>
        <w:t xml:space="preserve"> </w:t>
      </w:r>
      <w:r>
        <w:rPr>
          <w:rFonts w:ascii="Calibri" w:hAnsi="Calibri" w:cs="Calibri"/>
          <w:color w:val="auto"/>
        </w:rPr>
        <w:t>k</w:t>
      </w:r>
      <w:r w:rsidR="00BF15C9" w:rsidRPr="002D4745">
        <w:rPr>
          <w:rFonts w:ascii="Calibri" w:hAnsi="Calibri" w:cs="Calibri"/>
          <w:color w:val="auto"/>
        </w:rPr>
        <w:t>ey considerations</w:t>
      </w:r>
      <w:r w:rsidR="000B7443">
        <w:rPr>
          <w:rFonts w:ascii="Calibri" w:hAnsi="Calibri" w:cs="Calibri"/>
          <w:color w:val="auto"/>
        </w:rPr>
        <w:t xml:space="preserve"> for the ITU’s presence in the Pacific</w:t>
      </w:r>
      <w:r w:rsidR="00BF15C9" w:rsidRPr="002D4745">
        <w:rPr>
          <w:rFonts w:ascii="Calibri" w:hAnsi="Calibri" w:cs="Calibri"/>
          <w:color w:val="auto"/>
        </w:rPr>
        <w:t xml:space="preserve"> include our UN reform priorities, alignment with the delivery of the ITU’s mandate </w:t>
      </w:r>
      <w:r w:rsidR="00372D77" w:rsidRPr="002D4745">
        <w:rPr>
          <w:rFonts w:ascii="Calibri" w:hAnsi="Calibri" w:cs="Calibri"/>
          <w:color w:val="auto"/>
        </w:rPr>
        <w:t>underscored by</w:t>
      </w:r>
      <w:r w:rsidR="00BF15C9" w:rsidRPr="002D4745">
        <w:rPr>
          <w:rFonts w:ascii="Calibri" w:hAnsi="Calibri" w:cs="Calibri"/>
          <w:color w:val="auto"/>
        </w:rPr>
        <w:t xml:space="preserve"> </w:t>
      </w:r>
      <w:r w:rsidR="00372D77" w:rsidRPr="002D4745">
        <w:rPr>
          <w:rFonts w:ascii="Calibri" w:hAnsi="Calibri" w:cs="Calibri"/>
          <w:color w:val="auto"/>
        </w:rPr>
        <w:t>a</w:t>
      </w:r>
      <w:r w:rsidR="00BF15C9" w:rsidRPr="002D4745">
        <w:rPr>
          <w:rFonts w:ascii="Calibri" w:hAnsi="Calibri" w:cs="Calibri"/>
          <w:color w:val="auto"/>
        </w:rPr>
        <w:t xml:space="preserve"> clearly defined vision for the regional presence</w:t>
      </w:r>
      <w:r w:rsidR="00372D77" w:rsidRPr="002D4745">
        <w:rPr>
          <w:rFonts w:ascii="Calibri" w:hAnsi="Calibri" w:cs="Calibri"/>
          <w:color w:val="auto"/>
        </w:rPr>
        <w:t>,</w:t>
      </w:r>
      <w:r w:rsidR="00BF15C9" w:rsidRPr="002D4745">
        <w:rPr>
          <w:rFonts w:ascii="Calibri" w:hAnsi="Calibri" w:cs="Calibri"/>
          <w:color w:val="auto"/>
        </w:rPr>
        <w:t xml:space="preserve"> and ensuring regional membership views are understood and promoted </w:t>
      </w:r>
      <w:r w:rsidR="000B7443" w:rsidRPr="002D4745">
        <w:rPr>
          <w:rFonts w:ascii="Calibri" w:hAnsi="Calibri" w:cs="Calibri"/>
          <w:color w:val="auto"/>
        </w:rPr>
        <w:t xml:space="preserve">effectively </w:t>
      </w:r>
      <w:r w:rsidR="00BF15C9" w:rsidRPr="002D4745">
        <w:rPr>
          <w:rFonts w:ascii="Calibri" w:hAnsi="Calibri" w:cs="Calibri"/>
          <w:color w:val="auto"/>
        </w:rPr>
        <w:t>in the organisation</w:t>
      </w:r>
      <w:r w:rsidR="009D6A80">
        <w:rPr>
          <w:rFonts w:ascii="Calibri" w:hAnsi="Calibri" w:cs="Calibri"/>
          <w:color w:val="auto"/>
        </w:rPr>
        <w:t>.</w:t>
      </w:r>
    </w:p>
    <w:p w14:paraId="05AAD371" w14:textId="56E5542C" w:rsidR="00F139F2" w:rsidRPr="002D4745" w:rsidRDefault="00F139F2" w:rsidP="00FC09A4">
      <w:pPr>
        <w:pStyle w:val="Default"/>
        <w:spacing w:before="120" w:after="120"/>
        <w:jc w:val="both"/>
        <w:rPr>
          <w:rFonts w:ascii="Calibri" w:hAnsi="Calibri" w:cs="Calibri"/>
          <w:color w:val="auto"/>
        </w:rPr>
      </w:pPr>
      <w:r w:rsidRPr="009D6A80">
        <w:rPr>
          <w:rFonts w:ascii="Calibri" w:hAnsi="Calibri" w:cs="Calibri"/>
        </w:rPr>
        <w:t>Australia welcomes the recognition that Pacific member countries are confronted by particularly difficult circumstances and require a more structured form of assistance. In terms</w:t>
      </w:r>
      <w:r w:rsidRPr="002D4745">
        <w:rPr>
          <w:rFonts w:ascii="Calibri" w:hAnsi="Calibri" w:cs="Calibri"/>
        </w:rPr>
        <w:t xml:space="preserve"> </w:t>
      </w:r>
      <w:r w:rsidR="000B7443">
        <w:rPr>
          <w:rFonts w:ascii="Calibri" w:hAnsi="Calibri" w:cs="Calibri"/>
        </w:rPr>
        <w:t xml:space="preserve">of </w:t>
      </w:r>
      <w:r w:rsidR="004A7CD5">
        <w:rPr>
          <w:rFonts w:ascii="Calibri" w:hAnsi="Calibri" w:cs="Calibri"/>
        </w:rPr>
        <w:t xml:space="preserve">being fit </w:t>
      </w:r>
      <w:r w:rsidRPr="002D4745">
        <w:rPr>
          <w:rFonts w:ascii="Calibri" w:hAnsi="Calibri" w:cs="Calibri"/>
        </w:rPr>
        <w:t>for</w:t>
      </w:r>
      <w:r w:rsidR="004A7CD5">
        <w:rPr>
          <w:rFonts w:ascii="Calibri" w:hAnsi="Calibri" w:cs="Calibri"/>
        </w:rPr>
        <w:t xml:space="preserve"> </w:t>
      </w:r>
      <w:r w:rsidRPr="002D4745">
        <w:rPr>
          <w:rFonts w:ascii="Calibri" w:hAnsi="Calibri" w:cs="Calibri"/>
        </w:rPr>
        <w:t xml:space="preserve">purpose, the review of alignment between the geographical distribution of the current regional presence and thematic needs is welcome.  </w:t>
      </w:r>
    </w:p>
    <w:p w14:paraId="53B11FCD" w14:textId="22B07E78" w:rsidR="00BF15C9" w:rsidRPr="00FC09A4" w:rsidRDefault="00F139F2" w:rsidP="00FC09A4">
      <w:pPr>
        <w:pStyle w:val="Default"/>
        <w:spacing w:before="120" w:after="120"/>
        <w:jc w:val="both"/>
        <w:rPr>
          <w:rFonts w:asciiTheme="minorHAnsi" w:hAnsiTheme="minorHAnsi" w:cstheme="minorHAnsi"/>
          <w:color w:val="auto"/>
        </w:rPr>
      </w:pPr>
      <w:r w:rsidRPr="00556D82">
        <w:rPr>
          <w:rFonts w:ascii="Calibri" w:hAnsi="Calibri" w:cs="Calibri"/>
          <w:color w:val="auto"/>
        </w:rPr>
        <w:t>We agree with interviewees (from the Geneva Group and donors) that there is a need to “define explicit criteria detailing on which basis a regional presence should be set up. A governance process should also be established to ensure that these criteria (and, hence, the effectiveness of the regional presence) can be regularly reviewed” (page 105).  Whether this points to a need to create a presence in the Pacific requires</w:t>
      </w:r>
      <w:r w:rsidR="002D4745">
        <w:rPr>
          <w:rFonts w:ascii="Calibri" w:hAnsi="Calibri" w:cs="Calibri"/>
          <w:color w:val="auto"/>
        </w:rPr>
        <w:t xml:space="preserve"> further</w:t>
      </w:r>
      <w:r w:rsidRPr="002D4745">
        <w:rPr>
          <w:rFonts w:ascii="Calibri" w:hAnsi="Calibri" w:cs="Calibri"/>
          <w:color w:val="auto"/>
        </w:rPr>
        <w:t xml:space="preserve"> consideration</w:t>
      </w:r>
      <w:r w:rsidR="00BF15C9" w:rsidRPr="002D4745">
        <w:rPr>
          <w:rFonts w:ascii="Calibri" w:hAnsi="Calibri" w:cs="Calibri"/>
          <w:color w:val="auto"/>
        </w:rPr>
        <w:t xml:space="preserve">. </w:t>
      </w:r>
      <w:r w:rsidR="00BF15C9" w:rsidRPr="002D4745">
        <w:rPr>
          <w:rFonts w:ascii="Calibri" w:eastAsia="Times New Roman" w:hAnsi="Calibri" w:cs="Calibri"/>
          <w:color w:val="auto"/>
        </w:rPr>
        <w:t>Austr</w:t>
      </w:r>
      <w:r w:rsidR="004A7CD5">
        <w:rPr>
          <w:rFonts w:ascii="Calibri" w:eastAsia="Times New Roman" w:hAnsi="Calibri" w:cs="Calibri"/>
          <w:color w:val="auto"/>
        </w:rPr>
        <w:t>alia would like to see the UN</w:t>
      </w:r>
      <w:r w:rsidR="00BF15C9" w:rsidRPr="002D4745">
        <w:rPr>
          <w:rFonts w:ascii="Calibri" w:eastAsia="Times New Roman" w:hAnsi="Calibri" w:cs="Calibri"/>
          <w:color w:val="auto"/>
        </w:rPr>
        <w:t xml:space="preserve"> “do more” </w:t>
      </w:r>
      <w:r w:rsidR="00E973CE">
        <w:rPr>
          <w:rFonts w:ascii="Calibri" w:eastAsia="Times New Roman" w:hAnsi="Calibri" w:cs="Calibri"/>
          <w:color w:val="auto"/>
        </w:rPr>
        <w:t xml:space="preserve">to address the unique challenges </w:t>
      </w:r>
      <w:r w:rsidR="00BF15C9" w:rsidRPr="002D4745">
        <w:rPr>
          <w:rFonts w:ascii="Calibri" w:eastAsia="Times New Roman" w:hAnsi="Calibri" w:cs="Calibri"/>
          <w:color w:val="auto"/>
        </w:rPr>
        <w:t>in the Pacific</w:t>
      </w:r>
      <w:r w:rsidR="002D4745">
        <w:rPr>
          <w:rFonts w:ascii="Calibri" w:eastAsia="Times New Roman" w:hAnsi="Calibri" w:cs="Calibri"/>
          <w:color w:val="auto"/>
        </w:rPr>
        <w:t>. T</w:t>
      </w:r>
      <w:r w:rsidR="00BF15C9" w:rsidRPr="002D4745">
        <w:rPr>
          <w:rFonts w:ascii="Calibri" w:eastAsia="Times New Roman" w:hAnsi="Calibri" w:cs="Calibri"/>
          <w:color w:val="auto"/>
        </w:rPr>
        <w:t>herefore</w:t>
      </w:r>
      <w:r w:rsidR="002D4745">
        <w:rPr>
          <w:rFonts w:ascii="Calibri" w:eastAsia="Times New Roman" w:hAnsi="Calibri" w:cs="Calibri"/>
          <w:color w:val="auto"/>
        </w:rPr>
        <w:t>, we</w:t>
      </w:r>
      <w:r w:rsidR="00BF15C9" w:rsidRPr="002D4745">
        <w:rPr>
          <w:rFonts w:ascii="Calibri" w:eastAsia="Times New Roman" w:hAnsi="Calibri" w:cs="Calibri"/>
          <w:color w:val="auto"/>
        </w:rPr>
        <w:t xml:space="preserve"> would welcome an increased ITU presence should the appropriate criteria be met</w:t>
      </w:r>
      <w:r w:rsidR="00E973CE">
        <w:rPr>
          <w:rFonts w:ascii="Calibri" w:eastAsia="Times New Roman" w:hAnsi="Calibri" w:cs="Calibri"/>
          <w:color w:val="auto"/>
        </w:rPr>
        <w:t xml:space="preserve"> </w:t>
      </w:r>
      <w:r w:rsidR="002D4745" w:rsidRPr="002D4745">
        <w:rPr>
          <w:rFonts w:ascii="Calibri" w:hAnsi="Calibri" w:cs="Calibri"/>
          <w:color w:val="auto"/>
        </w:rPr>
        <w:t>to ensure there is cohesion across the organisation, and so regional offices have clear direction and objectives, and respond effectively to the unique circumstances of the countries they will be serving</w:t>
      </w:r>
      <w:r w:rsidR="002D4745" w:rsidRPr="00FC09A4">
        <w:rPr>
          <w:rFonts w:asciiTheme="minorHAnsi" w:hAnsiTheme="minorHAnsi" w:cstheme="minorHAnsi"/>
          <w:color w:val="auto"/>
        </w:rPr>
        <w:t xml:space="preserve">. </w:t>
      </w:r>
    </w:p>
    <w:p w14:paraId="67F08B79" w14:textId="31A419A5" w:rsidR="00FC09A4" w:rsidRPr="00FC09A4" w:rsidRDefault="00FC09A4" w:rsidP="00FC09A4">
      <w:pPr>
        <w:pStyle w:val="Default"/>
        <w:spacing w:before="480"/>
        <w:jc w:val="center"/>
        <w:rPr>
          <w:rFonts w:asciiTheme="minorHAnsi" w:eastAsia="Times New Roman" w:hAnsiTheme="minorHAnsi" w:cstheme="minorHAnsi"/>
          <w:color w:val="auto"/>
        </w:rPr>
      </w:pPr>
      <w:r w:rsidRPr="00FC09A4">
        <w:rPr>
          <w:rFonts w:asciiTheme="minorHAnsi" w:hAnsiTheme="minorHAnsi" w:cstheme="minorHAnsi"/>
          <w:color w:val="auto"/>
        </w:rPr>
        <w:t>___________________</w:t>
      </w:r>
    </w:p>
    <w:sectPr w:rsidR="00FC09A4" w:rsidRPr="00FC09A4" w:rsidSect="002A1458">
      <w:headerReference w:type="default" r:id="rId14"/>
      <w:footerReference w:type="first" r:id="rId15"/>
      <w:pgSz w:w="11901" w:h="16840" w:code="9"/>
      <w:pgMar w:top="1418" w:right="1077" w:bottom="851" w:left="1077" w:header="68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6E627E" w14:textId="77777777" w:rsidR="00292EB7" w:rsidRDefault="00292EB7">
      <w:r>
        <w:separator/>
      </w:r>
    </w:p>
  </w:endnote>
  <w:endnote w:type="continuationSeparator" w:id="0">
    <w:p w14:paraId="4C226B5E" w14:textId="77777777" w:rsidR="00292EB7" w:rsidRDefault="00292EB7">
      <w:r>
        <w:continuationSeparator/>
      </w:r>
    </w:p>
  </w:endnote>
  <w:endnote w:type="continuationNotice" w:id="1">
    <w:p w14:paraId="79DF018B" w14:textId="77777777" w:rsidR="00292EB7" w:rsidRDefault="00292E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E1364" w14:textId="77777777" w:rsidR="002A1458" w:rsidRPr="00756E92" w:rsidRDefault="002A1458" w:rsidP="002A1458">
    <w:pPr>
      <w:jc w:val="center"/>
      <w:rPr>
        <w:rFonts w:asciiTheme="minorHAnsi" w:hAnsiTheme="minorHAnsi"/>
        <w:szCs w:val="22"/>
      </w:rPr>
    </w:pPr>
    <w:r w:rsidRPr="00756E92">
      <w:rPr>
        <w:rFonts w:asciiTheme="minorHAnsi" w:hAnsiTheme="minorHAnsi"/>
        <w:szCs w:val="22"/>
      </w:rPr>
      <w:t xml:space="preserve">• </w:t>
    </w:r>
    <w:hyperlink r:id="rId1" w:history="1">
      <w:r w:rsidRPr="00756E92">
        <w:rPr>
          <w:rStyle w:val="Hyperlink"/>
          <w:rFonts w:asciiTheme="minorHAnsi" w:hAnsiTheme="minorHAnsi"/>
          <w:szCs w:val="22"/>
        </w:rPr>
        <w:t>http://www.itu.int/council</w:t>
      </w:r>
    </w:hyperlink>
    <w:r w:rsidRPr="00756E92">
      <w:rPr>
        <w:rFonts w:asciiTheme="minorHAnsi" w:hAnsiTheme="minorHAnsi"/>
        <w:szCs w:val="22"/>
      </w:rPr>
      <w:t xml:space="preserve"> •</w:t>
    </w:r>
  </w:p>
  <w:p w14:paraId="6C5A9C33" w14:textId="77777777" w:rsidR="00756E92" w:rsidRPr="00756E92" w:rsidRDefault="00756E92" w:rsidP="00756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397202" w14:textId="77777777" w:rsidR="00292EB7" w:rsidRDefault="00292EB7">
      <w:r>
        <w:separator/>
      </w:r>
    </w:p>
  </w:footnote>
  <w:footnote w:type="continuationSeparator" w:id="0">
    <w:p w14:paraId="55BD3ACC" w14:textId="77777777" w:rsidR="00292EB7" w:rsidRDefault="00292EB7">
      <w:r>
        <w:continuationSeparator/>
      </w:r>
    </w:p>
  </w:footnote>
  <w:footnote w:type="continuationNotice" w:id="1">
    <w:p w14:paraId="38A214EA" w14:textId="77777777" w:rsidR="00292EB7" w:rsidRDefault="00292E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5C7C3" w14:textId="731005EF" w:rsidR="002A1458" w:rsidRPr="002A1458" w:rsidRDefault="002A1458" w:rsidP="002A1458">
    <w:pPr>
      <w:pStyle w:val="Header"/>
      <w:jc w:val="center"/>
      <w:rPr>
        <w:sz w:val="18"/>
        <w:szCs w:val="20"/>
      </w:rPr>
    </w:pPr>
    <w:r w:rsidRPr="002A1458">
      <w:rPr>
        <w:sz w:val="18"/>
        <w:szCs w:val="20"/>
      </w:rPr>
      <w:fldChar w:fldCharType="begin"/>
    </w:r>
    <w:r w:rsidRPr="002A1458">
      <w:rPr>
        <w:sz w:val="18"/>
        <w:szCs w:val="20"/>
      </w:rPr>
      <w:instrText xml:space="preserve"> PAGE   \* MERGEFORMAT </w:instrText>
    </w:r>
    <w:r w:rsidRPr="002A1458">
      <w:rPr>
        <w:sz w:val="18"/>
        <w:szCs w:val="20"/>
      </w:rPr>
      <w:fldChar w:fldCharType="separate"/>
    </w:r>
    <w:r w:rsidR="004A7CD5">
      <w:rPr>
        <w:noProof/>
        <w:sz w:val="18"/>
        <w:szCs w:val="20"/>
      </w:rPr>
      <w:t>2</w:t>
    </w:r>
    <w:r w:rsidRPr="002A1458">
      <w:rPr>
        <w:noProof/>
        <w:sz w:val="18"/>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F73E1"/>
    <w:multiLevelType w:val="multilevel"/>
    <w:tmpl w:val="3B2C6D8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055662"/>
    <w:multiLevelType w:val="hybridMultilevel"/>
    <w:tmpl w:val="55DA15BC"/>
    <w:lvl w:ilvl="0" w:tplc="4AF62F06">
      <w:start w:val="2"/>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B4E2E12"/>
    <w:multiLevelType w:val="multilevel"/>
    <w:tmpl w:val="46769186"/>
    <w:lvl w:ilvl="0">
      <w:start w:val="1"/>
      <w:numFmt w:val="bullet"/>
      <w:pStyle w:val="Bullet1"/>
      <w:lvlText w:val=""/>
      <w:lvlJc w:val="left"/>
      <w:pPr>
        <w:tabs>
          <w:tab w:val="num" w:pos="1134"/>
        </w:tabs>
        <w:ind w:left="1134" w:hanging="567"/>
      </w:pPr>
      <w:rPr>
        <w:rFonts w:ascii="Symbol" w:hAnsi="Symbol" w:hint="default"/>
        <w:sz w:val="32"/>
      </w:rPr>
    </w:lvl>
    <w:lvl w:ilvl="1">
      <w:start w:val="1"/>
      <w:numFmt w:val="bullet"/>
      <w:pStyle w:val="Bullet2"/>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2835"/>
        </w:tabs>
        <w:ind w:left="2835" w:hanging="567"/>
      </w:pPr>
      <w:rPr>
        <w:rFonts w:ascii="Symbol" w:hAnsi="Symbo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3084"/>
        </w:tabs>
        <w:ind w:left="3084" w:hanging="357"/>
      </w:pPr>
      <w:rPr>
        <w:rFonts w:ascii="Symbol" w:hAnsi="Symbol" w:hint="default"/>
      </w:rPr>
    </w:lvl>
    <w:lvl w:ilvl="7">
      <w:start w:val="1"/>
      <w:numFmt w:val="bullet"/>
      <w:lvlText w:val=""/>
      <w:lvlJc w:val="left"/>
      <w:pPr>
        <w:tabs>
          <w:tab w:val="num" w:pos="3447"/>
        </w:tabs>
        <w:ind w:left="3447" w:hanging="363"/>
      </w:pPr>
      <w:rPr>
        <w:rFonts w:ascii="Symbol" w:hAnsi="Symbol" w:hint="default"/>
      </w:rPr>
    </w:lvl>
    <w:lvl w:ilvl="8">
      <w:start w:val="1"/>
      <w:numFmt w:val="bullet"/>
      <w:lvlText w:val=""/>
      <w:lvlJc w:val="left"/>
      <w:pPr>
        <w:tabs>
          <w:tab w:val="num" w:pos="3804"/>
        </w:tabs>
        <w:ind w:left="3804" w:hanging="357"/>
      </w:pPr>
      <w:rPr>
        <w:rFonts w:ascii="Symbol" w:hAnsi="Symbol" w:hint="default"/>
      </w:rPr>
    </w:lvl>
  </w:abstractNum>
  <w:abstractNum w:abstractNumId="3" w15:restartNumberingAfterBreak="0">
    <w:nsid w:val="24C70CF5"/>
    <w:multiLevelType w:val="hybridMultilevel"/>
    <w:tmpl w:val="A82E8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C6"/>
    <w:rsid w:val="00000257"/>
    <w:rsid w:val="00001A9C"/>
    <w:rsid w:val="000038C4"/>
    <w:rsid w:val="00005068"/>
    <w:rsid w:val="00007F7F"/>
    <w:rsid w:val="00010C32"/>
    <w:rsid w:val="00010F48"/>
    <w:rsid w:val="000147CA"/>
    <w:rsid w:val="0001781D"/>
    <w:rsid w:val="0002197D"/>
    <w:rsid w:val="00021DF9"/>
    <w:rsid w:val="0002607F"/>
    <w:rsid w:val="000264BE"/>
    <w:rsid w:val="000268B0"/>
    <w:rsid w:val="00027767"/>
    <w:rsid w:val="0003282D"/>
    <w:rsid w:val="00047F0D"/>
    <w:rsid w:val="00052578"/>
    <w:rsid w:val="00052886"/>
    <w:rsid w:val="00052EB0"/>
    <w:rsid w:val="00053839"/>
    <w:rsid w:val="00053C26"/>
    <w:rsid w:val="00053FE3"/>
    <w:rsid w:val="00054724"/>
    <w:rsid w:val="000548E3"/>
    <w:rsid w:val="0006023C"/>
    <w:rsid w:val="00060990"/>
    <w:rsid w:val="0006108F"/>
    <w:rsid w:val="00061780"/>
    <w:rsid w:val="00065E3D"/>
    <w:rsid w:val="000720AB"/>
    <w:rsid w:val="00073F35"/>
    <w:rsid w:val="0007733F"/>
    <w:rsid w:val="000811C5"/>
    <w:rsid w:val="0008236A"/>
    <w:rsid w:val="000929FF"/>
    <w:rsid w:val="00093ACA"/>
    <w:rsid w:val="000A1688"/>
    <w:rsid w:val="000A5071"/>
    <w:rsid w:val="000B4C95"/>
    <w:rsid w:val="000B7443"/>
    <w:rsid w:val="000C20DC"/>
    <w:rsid w:val="000C2A2E"/>
    <w:rsid w:val="000C2C28"/>
    <w:rsid w:val="000C4839"/>
    <w:rsid w:val="000C5478"/>
    <w:rsid w:val="000D1EC9"/>
    <w:rsid w:val="000D2A32"/>
    <w:rsid w:val="000D746E"/>
    <w:rsid w:val="000E0B2E"/>
    <w:rsid w:val="000E6444"/>
    <w:rsid w:val="000E6F49"/>
    <w:rsid w:val="000E738E"/>
    <w:rsid w:val="000F2E67"/>
    <w:rsid w:val="000F366F"/>
    <w:rsid w:val="000F7587"/>
    <w:rsid w:val="0010077D"/>
    <w:rsid w:val="00100FFB"/>
    <w:rsid w:val="001012BC"/>
    <w:rsid w:val="0010361A"/>
    <w:rsid w:val="0010375B"/>
    <w:rsid w:val="001054A9"/>
    <w:rsid w:val="00111A8A"/>
    <w:rsid w:val="00114707"/>
    <w:rsid w:val="001158FB"/>
    <w:rsid w:val="001164E6"/>
    <w:rsid w:val="001217CF"/>
    <w:rsid w:val="00121D0F"/>
    <w:rsid w:val="00122205"/>
    <w:rsid w:val="0012767B"/>
    <w:rsid w:val="00130BEC"/>
    <w:rsid w:val="0014173E"/>
    <w:rsid w:val="00143AFF"/>
    <w:rsid w:val="00151F6B"/>
    <w:rsid w:val="001668F0"/>
    <w:rsid w:val="0017057A"/>
    <w:rsid w:val="001743A1"/>
    <w:rsid w:val="001867B3"/>
    <w:rsid w:val="00193826"/>
    <w:rsid w:val="00194AC8"/>
    <w:rsid w:val="001962CD"/>
    <w:rsid w:val="001A1E52"/>
    <w:rsid w:val="001B0D22"/>
    <w:rsid w:val="001B17B9"/>
    <w:rsid w:val="001B3FBE"/>
    <w:rsid w:val="001B506B"/>
    <w:rsid w:val="001B5EDA"/>
    <w:rsid w:val="001B776D"/>
    <w:rsid w:val="001B7A37"/>
    <w:rsid w:val="001C230E"/>
    <w:rsid w:val="001C2863"/>
    <w:rsid w:val="001C36A8"/>
    <w:rsid w:val="001C4440"/>
    <w:rsid w:val="001C533D"/>
    <w:rsid w:val="001D16E1"/>
    <w:rsid w:val="001D27FE"/>
    <w:rsid w:val="001D6882"/>
    <w:rsid w:val="001D69BE"/>
    <w:rsid w:val="001D6BE4"/>
    <w:rsid w:val="001E4BD2"/>
    <w:rsid w:val="001E5885"/>
    <w:rsid w:val="001E5B3B"/>
    <w:rsid w:val="00200486"/>
    <w:rsid w:val="00200CD5"/>
    <w:rsid w:val="0020692F"/>
    <w:rsid w:val="002070AD"/>
    <w:rsid w:val="00207123"/>
    <w:rsid w:val="002079BE"/>
    <w:rsid w:val="0021145F"/>
    <w:rsid w:val="00212BF7"/>
    <w:rsid w:val="00214150"/>
    <w:rsid w:val="0022078A"/>
    <w:rsid w:val="002228D5"/>
    <w:rsid w:val="0022556C"/>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7A13"/>
    <w:rsid w:val="00291555"/>
    <w:rsid w:val="00291F7C"/>
    <w:rsid w:val="00292EB7"/>
    <w:rsid w:val="002A09B4"/>
    <w:rsid w:val="002A1458"/>
    <w:rsid w:val="002A173B"/>
    <w:rsid w:val="002A264E"/>
    <w:rsid w:val="002A6B9A"/>
    <w:rsid w:val="002B4498"/>
    <w:rsid w:val="002B4C20"/>
    <w:rsid w:val="002B5D06"/>
    <w:rsid w:val="002B7F6E"/>
    <w:rsid w:val="002D0596"/>
    <w:rsid w:val="002D0F7E"/>
    <w:rsid w:val="002D4745"/>
    <w:rsid w:val="002E04CE"/>
    <w:rsid w:val="002E581D"/>
    <w:rsid w:val="002E5B9B"/>
    <w:rsid w:val="002F150A"/>
    <w:rsid w:val="003010A1"/>
    <w:rsid w:val="00302584"/>
    <w:rsid w:val="00302B27"/>
    <w:rsid w:val="00306388"/>
    <w:rsid w:val="00307AF2"/>
    <w:rsid w:val="00312766"/>
    <w:rsid w:val="00313312"/>
    <w:rsid w:val="00315C60"/>
    <w:rsid w:val="0031621F"/>
    <w:rsid w:val="00332B82"/>
    <w:rsid w:val="003341A5"/>
    <w:rsid w:val="00342898"/>
    <w:rsid w:val="00344CAA"/>
    <w:rsid w:val="00344DC5"/>
    <w:rsid w:val="0034736F"/>
    <w:rsid w:val="00347E04"/>
    <w:rsid w:val="003520F8"/>
    <w:rsid w:val="003573BA"/>
    <w:rsid w:val="00366DC6"/>
    <w:rsid w:val="00372D77"/>
    <w:rsid w:val="00374C2C"/>
    <w:rsid w:val="0037552B"/>
    <w:rsid w:val="0038108B"/>
    <w:rsid w:val="003834F8"/>
    <w:rsid w:val="00383935"/>
    <w:rsid w:val="0038562C"/>
    <w:rsid w:val="00390067"/>
    <w:rsid w:val="00391655"/>
    <w:rsid w:val="003917D7"/>
    <w:rsid w:val="00394C20"/>
    <w:rsid w:val="003A4FC0"/>
    <w:rsid w:val="003B306B"/>
    <w:rsid w:val="003B63AE"/>
    <w:rsid w:val="003C1B04"/>
    <w:rsid w:val="003C441A"/>
    <w:rsid w:val="003D1349"/>
    <w:rsid w:val="003D1F22"/>
    <w:rsid w:val="003D38E2"/>
    <w:rsid w:val="003D7FD9"/>
    <w:rsid w:val="003E071A"/>
    <w:rsid w:val="003E57F5"/>
    <w:rsid w:val="003E74D8"/>
    <w:rsid w:val="003E7E4F"/>
    <w:rsid w:val="003F36AF"/>
    <w:rsid w:val="003F6014"/>
    <w:rsid w:val="003F7794"/>
    <w:rsid w:val="00401FA7"/>
    <w:rsid w:val="00403A79"/>
    <w:rsid w:val="004049C4"/>
    <w:rsid w:val="00405880"/>
    <w:rsid w:val="00405A0C"/>
    <w:rsid w:val="004061AF"/>
    <w:rsid w:val="00406379"/>
    <w:rsid w:val="00406503"/>
    <w:rsid w:val="00406D07"/>
    <w:rsid w:val="004110D2"/>
    <w:rsid w:val="0041154D"/>
    <w:rsid w:val="00412020"/>
    <w:rsid w:val="00413578"/>
    <w:rsid w:val="00417936"/>
    <w:rsid w:val="00423041"/>
    <w:rsid w:val="004232D9"/>
    <w:rsid w:val="004268D5"/>
    <w:rsid w:val="004303C3"/>
    <w:rsid w:val="00431D53"/>
    <w:rsid w:val="00431EA7"/>
    <w:rsid w:val="00434926"/>
    <w:rsid w:val="0043494A"/>
    <w:rsid w:val="004351D8"/>
    <w:rsid w:val="0043742A"/>
    <w:rsid w:val="00441E09"/>
    <w:rsid w:val="00451616"/>
    <w:rsid w:val="00453636"/>
    <w:rsid w:val="00455626"/>
    <w:rsid w:val="00455793"/>
    <w:rsid w:val="0045624E"/>
    <w:rsid w:val="00457B00"/>
    <w:rsid w:val="00463A64"/>
    <w:rsid w:val="00471036"/>
    <w:rsid w:val="00473B64"/>
    <w:rsid w:val="00477A11"/>
    <w:rsid w:val="004812CB"/>
    <w:rsid w:val="004855FD"/>
    <w:rsid w:val="00486CB6"/>
    <w:rsid w:val="004944DB"/>
    <w:rsid w:val="00496213"/>
    <w:rsid w:val="004A0CD0"/>
    <w:rsid w:val="004A7CD5"/>
    <w:rsid w:val="004C1A8E"/>
    <w:rsid w:val="004C4DBE"/>
    <w:rsid w:val="004C53CF"/>
    <w:rsid w:val="004C72E3"/>
    <w:rsid w:val="004D3913"/>
    <w:rsid w:val="004D48DF"/>
    <w:rsid w:val="004E2A9A"/>
    <w:rsid w:val="004E5922"/>
    <w:rsid w:val="004E59D9"/>
    <w:rsid w:val="004F5D70"/>
    <w:rsid w:val="00502CCA"/>
    <w:rsid w:val="005070D4"/>
    <w:rsid w:val="00510FAF"/>
    <w:rsid w:val="00513A75"/>
    <w:rsid w:val="00524EF4"/>
    <w:rsid w:val="00530D10"/>
    <w:rsid w:val="005325DA"/>
    <w:rsid w:val="00532C41"/>
    <w:rsid w:val="00533490"/>
    <w:rsid w:val="00533519"/>
    <w:rsid w:val="0053382F"/>
    <w:rsid w:val="005364C3"/>
    <w:rsid w:val="00536CF3"/>
    <w:rsid w:val="0054047D"/>
    <w:rsid w:val="00545DD0"/>
    <w:rsid w:val="005523DF"/>
    <w:rsid w:val="00555C6E"/>
    <w:rsid w:val="00556D82"/>
    <w:rsid w:val="00560ED7"/>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153A"/>
    <w:rsid w:val="005F3C9A"/>
    <w:rsid w:val="005F42CA"/>
    <w:rsid w:val="005F43BC"/>
    <w:rsid w:val="005F6E60"/>
    <w:rsid w:val="005F716F"/>
    <w:rsid w:val="005F7189"/>
    <w:rsid w:val="005F7C2E"/>
    <w:rsid w:val="006006FD"/>
    <w:rsid w:val="00602355"/>
    <w:rsid w:val="00607F0B"/>
    <w:rsid w:val="00611188"/>
    <w:rsid w:val="00616D37"/>
    <w:rsid w:val="006204DB"/>
    <w:rsid w:val="00623E67"/>
    <w:rsid w:val="00624887"/>
    <w:rsid w:val="00626262"/>
    <w:rsid w:val="006273A5"/>
    <w:rsid w:val="00630805"/>
    <w:rsid w:val="00635161"/>
    <w:rsid w:val="006367B6"/>
    <w:rsid w:val="0064055B"/>
    <w:rsid w:val="00642B5B"/>
    <w:rsid w:val="006463AB"/>
    <w:rsid w:val="006477FD"/>
    <w:rsid w:val="00656B2D"/>
    <w:rsid w:val="00665F5E"/>
    <w:rsid w:val="0066704D"/>
    <w:rsid w:val="0067040A"/>
    <w:rsid w:val="00671D68"/>
    <w:rsid w:val="0067474B"/>
    <w:rsid w:val="00683733"/>
    <w:rsid w:val="00683C44"/>
    <w:rsid w:val="00692A3E"/>
    <w:rsid w:val="00692FA4"/>
    <w:rsid w:val="00696709"/>
    <w:rsid w:val="006978E5"/>
    <w:rsid w:val="006A02E2"/>
    <w:rsid w:val="006A079F"/>
    <w:rsid w:val="006A0E15"/>
    <w:rsid w:val="006A15AC"/>
    <w:rsid w:val="006A2F0C"/>
    <w:rsid w:val="006A6D99"/>
    <w:rsid w:val="006B361F"/>
    <w:rsid w:val="006B39E1"/>
    <w:rsid w:val="006B460D"/>
    <w:rsid w:val="006C1682"/>
    <w:rsid w:val="006C2B40"/>
    <w:rsid w:val="006C364F"/>
    <w:rsid w:val="006C5D53"/>
    <w:rsid w:val="006D18A0"/>
    <w:rsid w:val="006D42F1"/>
    <w:rsid w:val="006D5D09"/>
    <w:rsid w:val="006D70C6"/>
    <w:rsid w:val="006E0FF3"/>
    <w:rsid w:val="006E36F1"/>
    <w:rsid w:val="006E39B8"/>
    <w:rsid w:val="006F18FB"/>
    <w:rsid w:val="006F2163"/>
    <w:rsid w:val="006F5ACB"/>
    <w:rsid w:val="007003D6"/>
    <w:rsid w:val="0070262F"/>
    <w:rsid w:val="00704271"/>
    <w:rsid w:val="00713A1D"/>
    <w:rsid w:val="007156E4"/>
    <w:rsid w:val="00717F6C"/>
    <w:rsid w:val="0072067D"/>
    <w:rsid w:val="00721EED"/>
    <w:rsid w:val="007270D0"/>
    <w:rsid w:val="00732C76"/>
    <w:rsid w:val="00733871"/>
    <w:rsid w:val="007339D5"/>
    <w:rsid w:val="00734285"/>
    <w:rsid w:val="00750401"/>
    <w:rsid w:val="00756E92"/>
    <w:rsid w:val="0076010E"/>
    <w:rsid w:val="00764696"/>
    <w:rsid w:val="0077353C"/>
    <w:rsid w:val="00775A12"/>
    <w:rsid w:val="00776D75"/>
    <w:rsid w:val="00783E51"/>
    <w:rsid w:val="0078643F"/>
    <w:rsid w:val="00790E9D"/>
    <w:rsid w:val="007944BB"/>
    <w:rsid w:val="0079453B"/>
    <w:rsid w:val="007962C2"/>
    <w:rsid w:val="00797D46"/>
    <w:rsid w:val="007A364C"/>
    <w:rsid w:val="007A5462"/>
    <w:rsid w:val="007A54BE"/>
    <w:rsid w:val="007B1D6C"/>
    <w:rsid w:val="007B3243"/>
    <w:rsid w:val="007B3BF2"/>
    <w:rsid w:val="007B7E45"/>
    <w:rsid w:val="007C05A7"/>
    <w:rsid w:val="007C102C"/>
    <w:rsid w:val="007C34B0"/>
    <w:rsid w:val="007C5CDF"/>
    <w:rsid w:val="007C7752"/>
    <w:rsid w:val="007E1149"/>
    <w:rsid w:val="007E33CE"/>
    <w:rsid w:val="007E6398"/>
    <w:rsid w:val="007E754E"/>
    <w:rsid w:val="007E77C1"/>
    <w:rsid w:val="007F1EAE"/>
    <w:rsid w:val="007F5448"/>
    <w:rsid w:val="007F5590"/>
    <w:rsid w:val="007F7EDA"/>
    <w:rsid w:val="008002FF"/>
    <w:rsid w:val="00802ED1"/>
    <w:rsid w:val="00803EC9"/>
    <w:rsid w:val="0080441F"/>
    <w:rsid w:val="00804996"/>
    <w:rsid w:val="0080713C"/>
    <w:rsid w:val="00811AE1"/>
    <w:rsid w:val="00815174"/>
    <w:rsid w:val="008151AA"/>
    <w:rsid w:val="00816221"/>
    <w:rsid w:val="00816507"/>
    <w:rsid w:val="00821976"/>
    <w:rsid w:val="0082335C"/>
    <w:rsid w:val="008233F9"/>
    <w:rsid w:val="00831D35"/>
    <w:rsid w:val="0083200C"/>
    <w:rsid w:val="00833A1F"/>
    <w:rsid w:val="00833DC2"/>
    <w:rsid w:val="00835CD6"/>
    <w:rsid w:val="0084292A"/>
    <w:rsid w:val="00842DFD"/>
    <w:rsid w:val="008446CA"/>
    <w:rsid w:val="0084622B"/>
    <w:rsid w:val="00853371"/>
    <w:rsid w:val="008543CD"/>
    <w:rsid w:val="00861F9C"/>
    <w:rsid w:val="008703EF"/>
    <w:rsid w:val="00872804"/>
    <w:rsid w:val="008749C8"/>
    <w:rsid w:val="0088059A"/>
    <w:rsid w:val="00883936"/>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1DB1"/>
    <w:rsid w:val="008D45D6"/>
    <w:rsid w:val="008E27E9"/>
    <w:rsid w:val="008E28FB"/>
    <w:rsid w:val="008E3915"/>
    <w:rsid w:val="008E74F8"/>
    <w:rsid w:val="008E7586"/>
    <w:rsid w:val="008F0348"/>
    <w:rsid w:val="00902E96"/>
    <w:rsid w:val="009039E6"/>
    <w:rsid w:val="0090735D"/>
    <w:rsid w:val="00907F6E"/>
    <w:rsid w:val="00911D35"/>
    <w:rsid w:val="0091462A"/>
    <w:rsid w:val="009152F8"/>
    <w:rsid w:val="009158E2"/>
    <w:rsid w:val="0091691F"/>
    <w:rsid w:val="009208B2"/>
    <w:rsid w:val="00921BD2"/>
    <w:rsid w:val="009325A6"/>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A0436"/>
    <w:rsid w:val="009A5599"/>
    <w:rsid w:val="009A68D0"/>
    <w:rsid w:val="009A7E6E"/>
    <w:rsid w:val="009B2CB2"/>
    <w:rsid w:val="009B7A6D"/>
    <w:rsid w:val="009C38EC"/>
    <w:rsid w:val="009C53AB"/>
    <w:rsid w:val="009C7808"/>
    <w:rsid w:val="009D06FA"/>
    <w:rsid w:val="009D6A80"/>
    <w:rsid w:val="009D6E05"/>
    <w:rsid w:val="009E0E57"/>
    <w:rsid w:val="009E6DA4"/>
    <w:rsid w:val="009E788E"/>
    <w:rsid w:val="009F6474"/>
    <w:rsid w:val="00A004BB"/>
    <w:rsid w:val="00A01278"/>
    <w:rsid w:val="00A017C1"/>
    <w:rsid w:val="00A03373"/>
    <w:rsid w:val="00A034D1"/>
    <w:rsid w:val="00A036B8"/>
    <w:rsid w:val="00A10925"/>
    <w:rsid w:val="00A10EFD"/>
    <w:rsid w:val="00A10EFE"/>
    <w:rsid w:val="00A12C2C"/>
    <w:rsid w:val="00A14D06"/>
    <w:rsid w:val="00A16415"/>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5A2B"/>
    <w:rsid w:val="00A77A06"/>
    <w:rsid w:val="00A819C3"/>
    <w:rsid w:val="00A857D0"/>
    <w:rsid w:val="00A8726B"/>
    <w:rsid w:val="00A93C72"/>
    <w:rsid w:val="00A95D42"/>
    <w:rsid w:val="00A962C3"/>
    <w:rsid w:val="00A973E2"/>
    <w:rsid w:val="00AA0D6E"/>
    <w:rsid w:val="00AA5CFE"/>
    <w:rsid w:val="00AB1A29"/>
    <w:rsid w:val="00AC37B1"/>
    <w:rsid w:val="00AC6047"/>
    <w:rsid w:val="00AC7956"/>
    <w:rsid w:val="00AD6268"/>
    <w:rsid w:val="00AE72AF"/>
    <w:rsid w:val="00AF2C12"/>
    <w:rsid w:val="00AF50A8"/>
    <w:rsid w:val="00AF7F4F"/>
    <w:rsid w:val="00B012E8"/>
    <w:rsid w:val="00B02AB0"/>
    <w:rsid w:val="00B13CEA"/>
    <w:rsid w:val="00B15C66"/>
    <w:rsid w:val="00B22946"/>
    <w:rsid w:val="00B25573"/>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2B57"/>
    <w:rsid w:val="00B7485F"/>
    <w:rsid w:val="00B83F99"/>
    <w:rsid w:val="00B84EA9"/>
    <w:rsid w:val="00B915C1"/>
    <w:rsid w:val="00B921B1"/>
    <w:rsid w:val="00B92D6B"/>
    <w:rsid w:val="00B9352F"/>
    <w:rsid w:val="00B97A98"/>
    <w:rsid w:val="00BA02C1"/>
    <w:rsid w:val="00BA4B96"/>
    <w:rsid w:val="00BA6EA5"/>
    <w:rsid w:val="00BA7BE0"/>
    <w:rsid w:val="00BB09A2"/>
    <w:rsid w:val="00BB0AE6"/>
    <w:rsid w:val="00BB1545"/>
    <w:rsid w:val="00BB16E4"/>
    <w:rsid w:val="00BB21AD"/>
    <w:rsid w:val="00BB46DF"/>
    <w:rsid w:val="00BB4B1A"/>
    <w:rsid w:val="00BB611D"/>
    <w:rsid w:val="00BC1480"/>
    <w:rsid w:val="00BC30E9"/>
    <w:rsid w:val="00BC4228"/>
    <w:rsid w:val="00BD6AF4"/>
    <w:rsid w:val="00BD6DF5"/>
    <w:rsid w:val="00BE175D"/>
    <w:rsid w:val="00BE364F"/>
    <w:rsid w:val="00BE4BC7"/>
    <w:rsid w:val="00BE5EDE"/>
    <w:rsid w:val="00BE71E9"/>
    <w:rsid w:val="00BE7737"/>
    <w:rsid w:val="00BF15C9"/>
    <w:rsid w:val="00BF3543"/>
    <w:rsid w:val="00BF3A0C"/>
    <w:rsid w:val="00C03ACA"/>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62E1A"/>
    <w:rsid w:val="00C64BBF"/>
    <w:rsid w:val="00C64EB2"/>
    <w:rsid w:val="00C657EE"/>
    <w:rsid w:val="00C70729"/>
    <w:rsid w:val="00C71595"/>
    <w:rsid w:val="00C73FEA"/>
    <w:rsid w:val="00C863F7"/>
    <w:rsid w:val="00C86BA0"/>
    <w:rsid w:val="00C9084A"/>
    <w:rsid w:val="00CA2A06"/>
    <w:rsid w:val="00CA3CB2"/>
    <w:rsid w:val="00CA3F8B"/>
    <w:rsid w:val="00CA5798"/>
    <w:rsid w:val="00CA59F0"/>
    <w:rsid w:val="00CB0190"/>
    <w:rsid w:val="00CB5E62"/>
    <w:rsid w:val="00CB6567"/>
    <w:rsid w:val="00CB7672"/>
    <w:rsid w:val="00CB7CCD"/>
    <w:rsid w:val="00CC2C8B"/>
    <w:rsid w:val="00CC3671"/>
    <w:rsid w:val="00CC597D"/>
    <w:rsid w:val="00CD01A7"/>
    <w:rsid w:val="00CD04E4"/>
    <w:rsid w:val="00CD0658"/>
    <w:rsid w:val="00CD098D"/>
    <w:rsid w:val="00CD6E42"/>
    <w:rsid w:val="00CE036F"/>
    <w:rsid w:val="00CF049D"/>
    <w:rsid w:val="00CF1CD3"/>
    <w:rsid w:val="00CF3EA5"/>
    <w:rsid w:val="00D02CC5"/>
    <w:rsid w:val="00D03809"/>
    <w:rsid w:val="00D03FE6"/>
    <w:rsid w:val="00D078F2"/>
    <w:rsid w:val="00D13E8A"/>
    <w:rsid w:val="00D14744"/>
    <w:rsid w:val="00D15326"/>
    <w:rsid w:val="00D15F1E"/>
    <w:rsid w:val="00D1632D"/>
    <w:rsid w:val="00D24CF3"/>
    <w:rsid w:val="00D35A9D"/>
    <w:rsid w:val="00D44BB2"/>
    <w:rsid w:val="00D45050"/>
    <w:rsid w:val="00D452A3"/>
    <w:rsid w:val="00D50491"/>
    <w:rsid w:val="00D5205D"/>
    <w:rsid w:val="00D55BA5"/>
    <w:rsid w:val="00D565B5"/>
    <w:rsid w:val="00D56BEF"/>
    <w:rsid w:val="00D57D04"/>
    <w:rsid w:val="00D60A90"/>
    <w:rsid w:val="00D626A2"/>
    <w:rsid w:val="00D65D0F"/>
    <w:rsid w:val="00D67FAE"/>
    <w:rsid w:val="00D70819"/>
    <w:rsid w:val="00D70C72"/>
    <w:rsid w:val="00D70EE0"/>
    <w:rsid w:val="00D73265"/>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E6AB7"/>
    <w:rsid w:val="00DF6DC8"/>
    <w:rsid w:val="00DF7B4D"/>
    <w:rsid w:val="00E00223"/>
    <w:rsid w:val="00E01D38"/>
    <w:rsid w:val="00E023F8"/>
    <w:rsid w:val="00E02AF4"/>
    <w:rsid w:val="00E04BBC"/>
    <w:rsid w:val="00E0648E"/>
    <w:rsid w:val="00E06E45"/>
    <w:rsid w:val="00E1258E"/>
    <w:rsid w:val="00E1668A"/>
    <w:rsid w:val="00E30DF6"/>
    <w:rsid w:val="00E33E37"/>
    <w:rsid w:val="00E44ED4"/>
    <w:rsid w:val="00E450ED"/>
    <w:rsid w:val="00E50795"/>
    <w:rsid w:val="00E507AC"/>
    <w:rsid w:val="00E50806"/>
    <w:rsid w:val="00E5592F"/>
    <w:rsid w:val="00E55EFC"/>
    <w:rsid w:val="00E561D8"/>
    <w:rsid w:val="00E57DBA"/>
    <w:rsid w:val="00E6031C"/>
    <w:rsid w:val="00E6198A"/>
    <w:rsid w:val="00E652C7"/>
    <w:rsid w:val="00E8066A"/>
    <w:rsid w:val="00E87721"/>
    <w:rsid w:val="00E90EA7"/>
    <w:rsid w:val="00E950B1"/>
    <w:rsid w:val="00E95A03"/>
    <w:rsid w:val="00E973CE"/>
    <w:rsid w:val="00E97D5E"/>
    <w:rsid w:val="00EA1E39"/>
    <w:rsid w:val="00EA3A6C"/>
    <w:rsid w:val="00EA5FFD"/>
    <w:rsid w:val="00EA751F"/>
    <w:rsid w:val="00EB1578"/>
    <w:rsid w:val="00EB47FF"/>
    <w:rsid w:val="00EB67D1"/>
    <w:rsid w:val="00EB7CDE"/>
    <w:rsid w:val="00EC7457"/>
    <w:rsid w:val="00EE27ED"/>
    <w:rsid w:val="00EE2DD2"/>
    <w:rsid w:val="00EF3901"/>
    <w:rsid w:val="00EF430C"/>
    <w:rsid w:val="00EF4B60"/>
    <w:rsid w:val="00F0400A"/>
    <w:rsid w:val="00F05197"/>
    <w:rsid w:val="00F06256"/>
    <w:rsid w:val="00F063E8"/>
    <w:rsid w:val="00F06CEE"/>
    <w:rsid w:val="00F07006"/>
    <w:rsid w:val="00F139F2"/>
    <w:rsid w:val="00F13DB9"/>
    <w:rsid w:val="00F147F9"/>
    <w:rsid w:val="00F1697D"/>
    <w:rsid w:val="00F2080E"/>
    <w:rsid w:val="00F22AF9"/>
    <w:rsid w:val="00F339FB"/>
    <w:rsid w:val="00F37B8E"/>
    <w:rsid w:val="00F40E12"/>
    <w:rsid w:val="00F45331"/>
    <w:rsid w:val="00F47396"/>
    <w:rsid w:val="00F52927"/>
    <w:rsid w:val="00F55548"/>
    <w:rsid w:val="00F567E9"/>
    <w:rsid w:val="00F57E7D"/>
    <w:rsid w:val="00F60D6B"/>
    <w:rsid w:val="00F63237"/>
    <w:rsid w:val="00F63983"/>
    <w:rsid w:val="00F70AE5"/>
    <w:rsid w:val="00F739A8"/>
    <w:rsid w:val="00F810B3"/>
    <w:rsid w:val="00F81790"/>
    <w:rsid w:val="00F84989"/>
    <w:rsid w:val="00F8521F"/>
    <w:rsid w:val="00F85428"/>
    <w:rsid w:val="00F87D4E"/>
    <w:rsid w:val="00F91073"/>
    <w:rsid w:val="00F91B39"/>
    <w:rsid w:val="00F93469"/>
    <w:rsid w:val="00F93F8E"/>
    <w:rsid w:val="00F948C3"/>
    <w:rsid w:val="00FA0E59"/>
    <w:rsid w:val="00FA1C6D"/>
    <w:rsid w:val="00FA3BE3"/>
    <w:rsid w:val="00FA473A"/>
    <w:rsid w:val="00FB022C"/>
    <w:rsid w:val="00FB0912"/>
    <w:rsid w:val="00FB21E2"/>
    <w:rsid w:val="00FC09A4"/>
    <w:rsid w:val="00FC30CC"/>
    <w:rsid w:val="00FD1433"/>
    <w:rsid w:val="00FE1C5A"/>
    <w:rsid w:val="00FE5D70"/>
    <w:rsid w:val="00FE5FEE"/>
    <w:rsid w:val="00FE6802"/>
    <w:rsid w:val="00FE6FD2"/>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936D88F"/>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6705"/>
    <w:rPr>
      <w:rFonts w:ascii="Arial" w:hAnsi="Arial"/>
      <w:sz w:val="22"/>
      <w:szCs w:val="24"/>
      <w:lang w:eastAsia="zh-CN"/>
    </w:rPr>
  </w:style>
  <w:style w:type="paragraph" w:styleId="Heading1">
    <w:name w:val="heading 1"/>
    <w:basedOn w:val="Normal"/>
    <w:next w:val="Normal"/>
    <w:link w:val="Heading1Char"/>
    <w:qFormat/>
    <w:rsid w:val="00BF35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962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16F"/>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semiHidden/>
    <w:unhideWhenUsed/>
    <w:qFormat/>
    <w:rsid w:val="004962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Hyperlink">
    <w:name w:val="Hyperlink"/>
    <w:rsid w:val="006D70C6"/>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rsid w:val="005A000B"/>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sz w:val="24"/>
    </w:rPr>
  </w:style>
  <w:style w:type="character" w:styleId="Strong">
    <w:name w:val="Strong"/>
    <w:uiPriority w:val="22"/>
    <w:qFormat/>
    <w:rsid w:val="00AC7956"/>
    <w:rPr>
      <w:b/>
      <w:bCs/>
    </w:rPr>
  </w:style>
  <w:style w:type="character" w:styleId="CommentReference">
    <w:name w:val="annotation reference"/>
    <w:uiPriority w:val="99"/>
    <w:semiHidden/>
    <w:rsid w:val="006367B6"/>
    <w:rPr>
      <w:sz w:val="16"/>
      <w:szCs w:val="16"/>
    </w:rPr>
  </w:style>
  <w:style w:type="paragraph" w:styleId="CommentText">
    <w:name w:val="annotation text"/>
    <w:basedOn w:val="Normal"/>
    <w:link w:val="CommentTextChar"/>
    <w:uiPriority w:val="99"/>
    <w:semiHidden/>
    <w:rsid w:val="006367B6"/>
    <w:rPr>
      <w:sz w:val="20"/>
      <w:szCs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aliases w:val="Recommendation,List Paragraph11"/>
    <w:basedOn w:val="Normal"/>
    <w:link w:val="ListParagraphChar"/>
    <w:uiPriority w:val="34"/>
    <w:qFormat/>
    <w:rsid w:val="0080713C"/>
    <w:pPr>
      <w:ind w:left="720"/>
    </w:pPr>
  </w:style>
  <w:style w:type="character" w:customStyle="1" w:styleId="Heading3Char">
    <w:name w:val="Heading 3 Char"/>
    <w:link w:val="Heading3"/>
    <w:uiPriority w:val="9"/>
    <w:rsid w:val="005F716F"/>
    <w:rPr>
      <w:rFonts w:eastAsia="Times New Roman"/>
      <w:b/>
      <w:bCs/>
      <w:sz w:val="27"/>
      <w:szCs w:val="27"/>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semiHidden/>
    <w:rsid w:val="00496213"/>
    <w:rPr>
      <w:rFonts w:asciiTheme="majorHAnsi" w:eastAsiaTheme="majorEastAsia" w:hAnsiTheme="majorHAnsi" w:cstheme="majorBidi"/>
      <w:color w:val="2E74B5" w:themeColor="accent1" w:themeShade="BF"/>
      <w:sz w:val="26"/>
      <w:szCs w:val="26"/>
      <w:lang w:eastAsia="zh-CN"/>
    </w:rPr>
  </w:style>
  <w:style w:type="character" w:customStyle="1" w:styleId="Heading4Char">
    <w:name w:val="Heading 4 Char"/>
    <w:basedOn w:val="DefaultParagraphFont"/>
    <w:link w:val="Heading4"/>
    <w:semiHidden/>
    <w:rsid w:val="00496213"/>
    <w:rPr>
      <w:rFonts w:asciiTheme="majorHAnsi" w:eastAsiaTheme="majorEastAsia" w:hAnsiTheme="majorHAnsi" w:cstheme="majorBidi"/>
      <w:i/>
      <w:iCs/>
      <w:color w:val="2E74B5" w:themeColor="accent1" w:themeShade="BF"/>
      <w:sz w:val="22"/>
      <w:szCs w:val="24"/>
      <w:lang w:eastAsia="zh-CN"/>
    </w:rPr>
  </w:style>
  <w:style w:type="paragraph" w:customStyle="1" w:styleId="text-sm-justify">
    <w:name w:val="text-sm-justify"/>
    <w:basedOn w:val="Normal"/>
    <w:rsid w:val="00496213"/>
    <w:pPr>
      <w:spacing w:before="100" w:beforeAutospacing="1" w:after="100" w:afterAutospacing="1"/>
    </w:pPr>
    <w:rPr>
      <w:rFonts w:ascii="Times New Roman" w:eastAsia="Times New Roman" w:hAnsi="Times New Roman"/>
      <w:sz w:val="24"/>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Headingb">
    <w:name w:val="Heading_b"/>
    <w:basedOn w:val="Heading3"/>
    <w:next w:val="Normal"/>
    <w:rsid w:val="00313312"/>
    <w:pPr>
      <w:keepNext/>
      <w:keepLines/>
      <w:tabs>
        <w:tab w:val="left" w:pos="567"/>
        <w:tab w:val="left" w:pos="1134"/>
        <w:tab w:val="left" w:pos="1701"/>
        <w:tab w:val="left" w:pos="2268"/>
        <w:tab w:val="left" w:pos="2835"/>
      </w:tabs>
      <w:overflowPunct w:val="0"/>
      <w:autoSpaceDE w:val="0"/>
      <w:autoSpaceDN w:val="0"/>
      <w:adjustRightInd w:val="0"/>
      <w:spacing w:before="160" w:beforeAutospacing="0" w:after="0" w:afterAutospacing="0"/>
      <w:ind w:left="567" w:hanging="567"/>
      <w:textAlignment w:val="baseline"/>
      <w:outlineLvl w:val="0"/>
    </w:pPr>
    <w:rPr>
      <w:rFonts w:ascii="Calibri" w:hAnsi="Calibri"/>
      <w:bCs w:val="0"/>
      <w:sz w:val="24"/>
      <w:szCs w:val="20"/>
      <w:lang w:val="en-GB" w:eastAsia="en-US"/>
    </w:rPr>
  </w:style>
  <w:style w:type="paragraph" w:customStyle="1" w:styleId="Table">
    <w:name w:val="Table_#"/>
    <w:basedOn w:val="Normal"/>
    <w:next w:val="Normal"/>
    <w:rsid w:val="00313312"/>
    <w:pPr>
      <w:keepNext/>
      <w:tabs>
        <w:tab w:val="left" w:pos="794"/>
        <w:tab w:val="left" w:pos="1191"/>
        <w:tab w:val="left" w:pos="1588"/>
        <w:tab w:val="left" w:pos="1985"/>
      </w:tabs>
      <w:spacing w:before="560" w:after="120"/>
      <w:jc w:val="center"/>
    </w:pPr>
    <w:rPr>
      <w:rFonts w:ascii="Times New Roman" w:eastAsia="Times New Roman" w:hAnsi="Times New Roman"/>
      <w:caps/>
      <w:sz w:val="24"/>
      <w:szCs w:val="20"/>
      <w:lang w:val="en-GB" w:eastAsia="en-US"/>
    </w:rPr>
  </w:style>
  <w:style w:type="paragraph" w:styleId="PlainText">
    <w:name w:val="Plain Text"/>
    <w:basedOn w:val="Normal"/>
    <w:link w:val="PlainTextChar"/>
    <w:uiPriority w:val="99"/>
    <w:unhideWhenUsed/>
    <w:rsid w:val="00313312"/>
    <w:rPr>
      <w:rFonts w:ascii="Calibri" w:eastAsiaTheme="minorHAnsi" w:hAnsi="Calibri" w:cs="Calibri"/>
      <w:sz w:val="24"/>
      <w:szCs w:val="21"/>
      <w:lang w:val="en-GB" w:eastAsia="en-US"/>
    </w:rPr>
  </w:style>
  <w:style w:type="character" w:customStyle="1" w:styleId="PlainTextChar">
    <w:name w:val="Plain Text Char"/>
    <w:basedOn w:val="DefaultParagraphFont"/>
    <w:link w:val="PlainText"/>
    <w:uiPriority w:val="99"/>
    <w:rsid w:val="00313312"/>
    <w:rPr>
      <w:rFonts w:ascii="Calibri" w:eastAsiaTheme="minorHAnsi" w:hAnsi="Calibri" w:cs="Calibri"/>
      <w:sz w:val="24"/>
      <w:szCs w:val="21"/>
      <w:lang w:val="en-GB" w:eastAsia="en-US"/>
    </w:rPr>
  </w:style>
  <w:style w:type="paragraph" w:customStyle="1" w:styleId="Source">
    <w:name w:val="Source"/>
    <w:basedOn w:val="Normal"/>
    <w:rsid w:val="00313312"/>
    <w:pPr>
      <w:jc w:val="center"/>
    </w:pPr>
    <w:rPr>
      <w:b/>
      <w:bCs/>
      <w:sz w:val="28"/>
      <w:szCs w:val="28"/>
    </w:rPr>
  </w:style>
  <w:style w:type="paragraph" w:customStyle="1" w:styleId="Default">
    <w:name w:val="Default"/>
    <w:basedOn w:val="Normal"/>
    <w:rsid w:val="00B84EA9"/>
    <w:pPr>
      <w:autoSpaceDE w:val="0"/>
      <w:autoSpaceDN w:val="0"/>
    </w:pPr>
    <w:rPr>
      <w:rFonts w:eastAsiaTheme="minorHAnsi" w:cs="Arial"/>
      <w:color w:val="000000"/>
      <w:sz w:val="24"/>
      <w:lang w:val="en-AU" w:eastAsia="en-AU"/>
    </w:rPr>
  </w:style>
  <w:style w:type="character" w:customStyle="1" w:styleId="CommentTextChar">
    <w:name w:val="Comment Text Char"/>
    <w:basedOn w:val="DefaultParagraphFont"/>
    <w:link w:val="CommentText"/>
    <w:uiPriority w:val="99"/>
    <w:semiHidden/>
    <w:rsid w:val="00B84EA9"/>
    <w:rPr>
      <w:rFonts w:ascii="Arial" w:hAnsi="Arial"/>
      <w:lang w:eastAsia="zh-CN"/>
    </w:rPr>
  </w:style>
  <w:style w:type="paragraph" w:customStyle="1" w:styleId="Bullet1">
    <w:name w:val="Bullet 1"/>
    <w:basedOn w:val="Normal"/>
    <w:rsid w:val="00B84EA9"/>
    <w:pPr>
      <w:numPr>
        <w:numId w:val="1"/>
      </w:numPr>
      <w:ind w:left="720" w:firstLine="0"/>
      <w:contextualSpacing/>
    </w:pPr>
    <w:rPr>
      <w:rFonts w:ascii="Calibri" w:eastAsiaTheme="minorHAnsi" w:hAnsi="Calibri" w:cs="Calibri"/>
      <w:sz w:val="24"/>
      <w:lang w:val="en-AU" w:eastAsia="en-US"/>
    </w:rPr>
  </w:style>
  <w:style w:type="paragraph" w:customStyle="1" w:styleId="Bullet2">
    <w:name w:val="Bullet 2"/>
    <w:basedOn w:val="Normal"/>
    <w:rsid w:val="00B84EA9"/>
    <w:pPr>
      <w:numPr>
        <w:ilvl w:val="1"/>
        <w:numId w:val="1"/>
      </w:numPr>
      <w:contextualSpacing/>
    </w:pPr>
    <w:rPr>
      <w:rFonts w:ascii="Calibri" w:eastAsiaTheme="minorHAnsi" w:hAnsi="Calibri" w:cs="Calibri"/>
      <w:sz w:val="24"/>
      <w:lang w:val="en-AU" w:eastAsia="en-US"/>
    </w:rPr>
  </w:style>
  <w:style w:type="character" w:customStyle="1" w:styleId="ListParagraphChar">
    <w:name w:val="List Paragraph Char"/>
    <w:aliases w:val="Recommendation Char,List Paragraph11 Char"/>
    <w:link w:val="ListParagraph"/>
    <w:uiPriority w:val="34"/>
    <w:locked/>
    <w:rsid w:val="00A857D0"/>
    <w:rPr>
      <w:rFonts w:ascii="Arial" w:hAnsi="Arial"/>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356808904">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8675783">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S21-CWGFHR12-C-0004/en"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A5AED0024D4C4B908559843DB30158" ma:contentTypeVersion="2" ma:contentTypeDescription="Create a new document." ma:contentTypeScope="" ma:versionID="31a26b5e6a84297540fb9bcd5875ca00">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d648448f94c3d58177b40b5933f2d41a"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B7ADF-EB5F-4537-943F-279F722AEB45}">
  <ds:schemaRefs>
    <ds:schemaRef ds:uri="http://schemas.microsoft.com/sharepoint/v3"/>
    <ds:schemaRef ds:uri="http://schemas.microsoft.com/office/2006/metadata/properties"/>
    <ds:schemaRef ds:uri="http://schemas.microsoft.com/office/2006/documentManagement/types"/>
    <ds:schemaRef ds:uri="http://purl.org/dc/elements/1.1/"/>
    <ds:schemaRef ds:uri="http://schemas.microsoft.com/office/infopath/2007/PartnerControls"/>
    <ds:schemaRef ds:uri="1aaea1ea-72e4-4374-b05e-72e2f16fb7ae"/>
    <ds:schemaRef ds:uri="http://schemas.openxmlformats.org/package/2006/metadata/core-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C8DB134C-126A-432F-813D-6BBC6DB48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4.xml><?xml version="1.0" encoding="utf-8"?>
<ds:datastoreItem xmlns:ds="http://schemas.openxmlformats.org/officeDocument/2006/customXml" ds:itemID="{50D71035-4387-4447-AE40-4549D6BDF56F}">
  <ds:schemaRefs>
    <ds:schemaRef ds:uri="http://schemas.openxmlformats.org/officeDocument/2006/bibliography"/>
  </ds:schemaRefs>
</ds:datastoreItem>
</file>

<file path=customXml/itemProps5.xml><?xml version="1.0" encoding="utf-8"?>
<ds:datastoreItem xmlns:ds="http://schemas.openxmlformats.org/officeDocument/2006/customXml" ds:itemID="{3021D382-1DEC-42A5-9011-ED0C00826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857</Words>
  <Characters>4816</Characters>
  <Application>Microsoft Office Word</Application>
  <DocSecurity>0</DocSecurity>
  <Lines>40</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AdHoc Group on Regional Presence</vt:lpstr>
      <vt:lpstr>ITU Normal.dot</vt:lpstr>
    </vt:vector>
  </TitlesOfParts>
  <Company>ITU</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AdHoc Group on Regional Presence</dc:title>
  <dc:subject>Council Working Group on Financial and Human Resources</dc:subject>
  <dc:creator>Brouard, Ricarda</dc:creator>
  <cp:keywords>CWG-FHR</cp:keywords>
  <cp:lastModifiedBy>Brouard, Ricarda</cp:lastModifiedBy>
  <cp:revision>3</cp:revision>
  <cp:lastPrinted>2013-07-15T09:23:00Z</cp:lastPrinted>
  <dcterms:created xsi:type="dcterms:W3CDTF">2021-04-13T13:16:00Z</dcterms:created>
  <dcterms:modified xsi:type="dcterms:W3CDTF">2021-04-13T13:17:00Z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0x01010041A5AED0024D4C4B908559843DB30158</vt:lpwstr>
  </property>
  <property fmtid="{D5CDD505-2E9C-101B-9397-08002B2CF9AE}" pid="5" name="TitusGUID">
    <vt:lpwstr>0cb45af2-fddc-4aca-8a18-983f045da923</vt:lpwstr>
  </property>
  <property fmtid="{D5CDD505-2E9C-101B-9397-08002B2CF9AE}" pid="6" name="SEC">
    <vt:lpwstr>OFFICIAL</vt:lpwstr>
  </property>
</Properties>
</file>