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D850EA" w:rsidRPr="00EF01DE" w14:paraId="74E68751" w14:textId="77777777" w:rsidTr="008A0C43">
        <w:trPr>
          <w:cantSplit/>
          <w:trHeight w:val="851"/>
        </w:trPr>
        <w:tc>
          <w:tcPr>
            <w:tcW w:w="6237" w:type="dxa"/>
            <w:vAlign w:val="center"/>
          </w:tcPr>
          <w:p w14:paraId="77C9D505" w14:textId="23F23E75" w:rsidR="00D850EA" w:rsidRPr="00EF01DE" w:rsidRDefault="00D850EA" w:rsidP="008A0C43">
            <w:pPr>
              <w:shd w:val="solid" w:color="FFFFFF" w:fill="FFFFFF"/>
              <w:spacing w:before="40" w:after="200" w:line="240" w:lineRule="auto"/>
              <w:ind w:firstLine="0"/>
              <w:contextualSpacing w:val="0"/>
              <w:jc w:val="left"/>
              <w:rPr>
                <w:rFonts w:ascii="Calibri" w:eastAsia="DengXian" w:hAnsi="Calibri" w:cs="Calibri"/>
                <w:b/>
                <w:sz w:val="30"/>
                <w:szCs w:val="30"/>
                <w:lang w:val="en-US" w:eastAsia="zh-CN"/>
              </w:rPr>
            </w:pPr>
            <w:r w:rsidRPr="00EF01DE">
              <w:rPr>
                <w:rFonts w:ascii="Calibri" w:eastAsia="DengXian" w:hAnsi="Calibri" w:cs="Calibri"/>
                <w:b/>
                <w:sz w:val="30"/>
                <w:szCs w:val="30"/>
                <w:lang w:val="en-US" w:eastAsia="zh-CN"/>
              </w:rPr>
              <w:t>Informal Experts Group on WTPF-21</w:t>
            </w:r>
            <w:r w:rsidRPr="00EF01DE">
              <w:rPr>
                <w:rFonts w:ascii="Calibri" w:eastAsia="DengXian" w:hAnsi="Calibri" w:cs="Calibri"/>
                <w:b/>
                <w:sz w:val="30"/>
                <w:szCs w:val="30"/>
                <w:lang w:val="en-US" w:eastAsia="zh-CN"/>
              </w:rPr>
              <w:br/>
            </w: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 xml:space="preserve">Third meeting </w:t>
            </w:r>
            <w:r w:rsidR="00224370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(virtual)</w:t>
            </w: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 xml:space="preserve">, </w:t>
            </w:r>
            <w:r w:rsidR="00224370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 xml:space="preserve">14-16 </w:t>
            </w: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September 2020</w:t>
            </w:r>
          </w:p>
        </w:tc>
        <w:tc>
          <w:tcPr>
            <w:tcW w:w="3600" w:type="dxa"/>
            <w:vAlign w:val="center"/>
          </w:tcPr>
          <w:p w14:paraId="14FE2538" w14:textId="77777777" w:rsidR="00D850EA" w:rsidRPr="00EF01DE" w:rsidRDefault="00D850EA" w:rsidP="008A0C43">
            <w:pPr>
              <w:shd w:val="solid" w:color="FFFFFF" w:fill="FFFFFF"/>
              <w:tabs>
                <w:tab w:val="left" w:pos="1871"/>
              </w:tabs>
              <w:spacing w:after="120" w:line="259" w:lineRule="auto"/>
              <w:ind w:firstLine="0"/>
              <w:contextualSpacing w:val="0"/>
              <w:jc w:val="left"/>
              <w:rPr>
                <w:rFonts w:ascii="Calibri" w:eastAsia="DengXian" w:hAnsi="Calibri" w:cs="Arial"/>
                <w:b/>
                <w:bCs/>
                <w:sz w:val="22"/>
                <w:lang w:val="en-GB" w:eastAsia="zh-CN"/>
              </w:rPr>
            </w:pPr>
            <w:r w:rsidRPr="00EF01DE">
              <w:rPr>
                <w:rFonts w:ascii="Calibri" w:eastAsia="DengXian" w:hAnsi="Calibri" w:cs="Arial"/>
                <w:b/>
                <w:bCs/>
                <w:noProof/>
                <w:sz w:val="22"/>
                <w:lang w:val="en-US"/>
              </w:rPr>
              <w:drawing>
                <wp:inline distT="0" distB="0" distL="0" distR="0" wp14:anchorId="3D496B9A" wp14:editId="44B1B69B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EA" w:rsidRPr="00EF01DE" w14:paraId="14B77364" w14:textId="77777777" w:rsidTr="008A0C43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4AE2348C" w14:textId="77777777" w:rsidR="00D850EA" w:rsidRPr="00EF01DE" w:rsidRDefault="00D850EA" w:rsidP="008A0C43">
            <w:pPr>
              <w:shd w:val="solid" w:color="FFFFFF" w:fill="FFFFFF"/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Arial"/>
                <w:sz w:val="22"/>
                <w:lang w:val="en-US" w:eastAsia="zh-CN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306BE17" w14:textId="77777777" w:rsidR="00D850EA" w:rsidRPr="00EF01DE" w:rsidRDefault="00D850EA" w:rsidP="008A0C43">
            <w:pPr>
              <w:tabs>
                <w:tab w:val="left" w:pos="851"/>
              </w:tabs>
              <w:spacing w:line="240" w:lineRule="auto"/>
              <w:ind w:right="284" w:firstLine="0"/>
              <w:contextualSpacing w:val="0"/>
              <w:jc w:val="left"/>
              <w:rPr>
                <w:rFonts w:ascii="Times New Roman Bold" w:eastAsia="DengXian" w:hAnsi="Times New Roman Bold" w:cs="Times New Roman Bold"/>
                <w:b/>
                <w:sz w:val="22"/>
                <w:lang w:val="en-US" w:eastAsia="zh-CN"/>
              </w:rPr>
            </w:pPr>
          </w:p>
        </w:tc>
      </w:tr>
      <w:tr w:rsidR="00D850EA" w:rsidRPr="00EF01DE" w14:paraId="423DB067" w14:textId="77777777" w:rsidTr="008A0C43">
        <w:trPr>
          <w:cantSplit/>
          <w:trHeight w:val="138"/>
        </w:trPr>
        <w:tc>
          <w:tcPr>
            <w:tcW w:w="6237" w:type="dxa"/>
          </w:tcPr>
          <w:p w14:paraId="5CD2808B" w14:textId="77777777" w:rsidR="00D850EA" w:rsidRPr="00EF01DE" w:rsidRDefault="00D850EA" w:rsidP="008A0C43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DengXian" w:hAnsi="Calibri" w:cs="Arial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00" w:type="dxa"/>
          </w:tcPr>
          <w:p w14:paraId="129A3DB3" w14:textId="1C6481B0" w:rsidR="00D850EA" w:rsidRPr="00EF01DE" w:rsidRDefault="00D850EA" w:rsidP="008A0C43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</w:rPr>
            </w:pP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fr-CH" w:eastAsia="zh-CN"/>
              </w:rPr>
              <w:t>Document IEG-WTPF-21-</w:t>
            </w:r>
            <w:r w:rsidR="00224370">
              <w:rPr>
                <w:rFonts w:ascii="Calibri" w:eastAsia="DengXian" w:hAnsi="Calibri" w:cs="Calibri"/>
                <w:b/>
                <w:sz w:val="24"/>
                <w:szCs w:val="24"/>
                <w:lang w:val="fr-CH" w:eastAsia="zh-CN"/>
              </w:rPr>
              <w:t>3</w:t>
            </w: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/</w:t>
            </w:r>
            <w:r w:rsidR="009C2704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 w:rsidR="00D850EA" w:rsidRPr="00EF01DE" w14:paraId="2D65338E" w14:textId="77777777" w:rsidTr="008A0C43">
        <w:trPr>
          <w:cantSplit/>
          <w:trHeight w:val="138"/>
        </w:trPr>
        <w:tc>
          <w:tcPr>
            <w:tcW w:w="6237" w:type="dxa"/>
          </w:tcPr>
          <w:p w14:paraId="53A537FB" w14:textId="77777777" w:rsidR="00D850EA" w:rsidRPr="00EF01DE" w:rsidRDefault="00D850EA" w:rsidP="008A0C43">
            <w:pPr>
              <w:shd w:val="solid" w:color="FFFFFF" w:fill="FFFFFF"/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Arial"/>
                <w:sz w:val="22"/>
                <w:lang w:val="fr-CH" w:eastAsia="zh-CN"/>
              </w:rPr>
            </w:pPr>
          </w:p>
        </w:tc>
        <w:tc>
          <w:tcPr>
            <w:tcW w:w="3600" w:type="dxa"/>
          </w:tcPr>
          <w:p w14:paraId="04618CDA" w14:textId="2FB1865C" w:rsidR="00D850EA" w:rsidRPr="00EF01DE" w:rsidRDefault="009C2704" w:rsidP="008A0C43">
            <w:pPr>
              <w:tabs>
                <w:tab w:val="left" w:pos="851"/>
              </w:tabs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20 August</w:t>
            </w:r>
            <w:r w:rsidR="00D850EA"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 xml:space="preserve"> 2020</w:t>
            </w:r>
          </w:p>
        </w:tc>
      </w:tr>
      <w:tr w:rsidR="00D850EA" w:rsidRPr="00EF01DE" w14:paraId="016FFDB3" w14:textId="77777777" w:rsidTr="008A0C43">
        <w:trPr>
          <w:cantSplit/>
          <w:trHeight w:val="138"/>
        </w:trPr>
        <w:tc>
          <w:tcPr>
            <w:tcW w:w="6237" w:type="dxa"/>
          </w:tcPr>
          <w:p w14:paraId="1E779672" w14:textId="77777777" w:rsidR="00D850EA" w:rsidRPr="00EF01DE" w:rsidRDefault="00D850EA" w:rsidP="008A0C43">
            <w:pPr>
              <w:shd w:val="solid" w:color="FFFFFF" w:fill="FFFFFF"/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Arial"/>
                <w:sz w:val="22"/>
                <w:lang w:val="en-US" w:eastAsia="zh-CN"/>
              </w:rPr>
            </w:pPr>
          </w:p>
        </w:tc>
        <w:tc>
          <w:tcPr>
            <w:tcW w:w="3600" w:type="dxa"/>
          </w:tcPr>
          <w:p w14:paraId="6CD34E4E" w14:textId="77777777" w:rsidR="00D850EA" w:rsidRPr="00EF01DE" w:rsidRDefault="00D850EA" w:rsidP="008A0C43">
            <w:pPr>
              <w:tabs>
                <w:tab w:val="left" w:pos="851"/>
              </w:tabs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</w:pP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English only</w:t>
            </w:r>
          </w:p>
        </w:tc>
      </w:tr>
      <w:tr w:rsidR="00D850EA" w:rsidRPr="00EF01DE" w14:paraId="6A21A1FF" w14:textId="77777777" w:rsidTr="008A0C43">
        <w:trPr>
          <w:cantSplit/>
          <w:trHeight w:val="138"/>
        </w:trPr>
        <w:tc>
          <w:tcPr>
            <w:tcW w:w="9837" w:type="dxa"/>
            <w:gridSpan w:val="2"/>
          </w:tcPr>
          <w:p w14:paraId="40647D24" w14:textId="388A0405" w:rsidR="00D850EA" w:rsidRPr="00EF01DE" w:rsidRDefault="00D850EA" w:rsidP="008A0C43">
            <w:pPr>
              <w:spacing w:before="480" w:line="259" w:lineRule="auto"/>
              <w:ind w:firstLine="0"/>
              <w:contextualSpacing w:val="0"/>
              <w:jc w:val="center"/>
              <w:rPr>
                <w:rFonts w:ascii="Calibri" w:eastAsia="DengXian" w:hAnsi="Calibri" w:cs="Arial"/>
                <w:bCs/>
                <w:lang w:val="en-GB" w:eastAsia="zh-CN"/>
              </w:rPr>
            </w:pPr>
            <w:r w:rsidRPr="00EF01DE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 xml:space="preserve">Contribution submitted by </w:t>
            </w:r>
            <w:r w:rsidR="009C2704" w:rsidRP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>Saudi Arabia</w:t>
            </w:r>
            <w:r w:rsid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 xml:space="preserve"> (Kingdom of)</w:t>
            </w:r>
            <w:r w:rsidR="009C2704" w:rsidRP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>, Jordan</w:t>
            </w:r>
            <w:r w:rsid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 xml:space="preserve"> (Hashemite Kingdom of)</w:t>
            </w:r>
            <w:r w:rsidR="009C2704" w:rsidRP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>, Ghana, South Africa</w:t>
            </w:r>
            <w:r w:rsid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 xml:space="preserve"> (Republic of)</w:t>
            </w:r>
            <w:r w:rsidR="009C2704" w:rsidRP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>, Egypt</w:t>
            </w:r>
            <w:r w:rsid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 xml:space="preserve"> (Arab Republic of)</w:t>
            </w:r>
            <w:r w:rsidR="009C2704" w:rsidRPr="009C2704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>, Russian Federation, Cuba</w:t>
            </w:r>
          </w:p>
        </w:tc>
      </w:tr>
      <w:tr w:rsidR="00D850EA" w:rsidRPr="00EF01DE" w14:paraId="5C8C023C" w14:textId="77777777" w:rsidTr="008A0C43">
        <w:trPr>
          <w:cantSplit/>
          <w:trHeight w:val="138"/>
        </w:trPr>
        <w:tc>
          <w:tcPr>
            <w:tcW w:w="9837" w:type="dxa"/>
            <w:gridSpan w:val="2"/>
          </w:tcPr>
          <w:p w14:paraId="2750A9BA" w14:textId="21C901D2" w:rsidR="00D850EA" w:rsidRPr="00EF01DE" w:rsidRDefault="00D850EA" w:rsidP="008A0C43">
            <w:pPr>
              <w:spacing w:before="240" w:line="259" w:lineRule="auto"/>
              <w:ind w:firstLine="0"/>
              <w:contextualSpacing w:val="0"/>
              <w:jc w:val="center"/>
              <w:rPr>
                <w:rFonts w:ascii="Calibri" w:eastAsia="DengXian" w:hAnsi="Calibri" w:cs="Arial"/>
                <w:caps/>
                <w:lang w:val="en-GB" w:eastAsia="zh-CN"/>
              </w:rPr>
            </w:pPr>
            <w:r w:rsidRPr="00EF01DE">
              <w:rPr>
                <w:rFonts w:ascii="Calibri" w:eastAsia="DengXian" w:hAnsi="Calibri" w:cs="Calibri"/>
                <w:caps/>
                <w:lang w:val="en-GB" w:eastAsia="zh-CN"/>
              </w:rPr>
              <w:t>DRAFT OPINIONS for wtpf-21</w:t>
            </w:r>
          </w:p>
        </w:tc>
      </w:tr>
    </w:tbl>
    <w:p w14:paraId="023EA472" w14:textId="77777777" w:rsidR="00D850EA" w:rsidRPr="00EF01DE" w:rsidRDefault="00D850EA" w:rsidP="00D850EA">
      <w:pPr>
        <w:spacing w:after="200" w:line="276" w:lineRule="auto"/>
        <w:ind w:firstLine="0"/>
        <w:contextualSpacing w:val="0"/>
        <w:jc w:val="left"/>
        <w:rPr>
          <w:rFonts w:ascii="Calibri" w:eastAsia="Calibri" w:hAnsi="Calibri" w:cs="Calibri"/>
          <w:b/>
          <w:sz w:val="22"/>
          <w:lang w:val="en-US" w:eastAsia="zh-CN"/>
        </w:rPr>
      </w:pPr>
    </w:p>
    <w:p w14:paraId="0E85F5B8" w14:textId="77777777" w:rsidR="009C2704" w:rsidRPr="009C2704" w:rsidRDefault="009C2704" w:rsidP="009C2704">
      <w:pPr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Opinion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[X] –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Artificial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Intelligence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for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Sustainable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Development</w:t>
      </w:r>
      <w:proofErr w:type="spellEnd"/>
    </w:p>
    <w:p w14:paraId="44305F72" w14:textId="77777777" w:rsidR="009C2704" w:rsidRPr="009C2704" w:rsidRDefault="009C2704" w:rsidP="009C2704">
      <w:pPr>
        <w:ind w:left="709" w:firstLine="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Opinion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[Y]</w:t>
      </w:r>
      <w:hyperlink w:anchor="OP2" w:history="1"/>
      <w:r w:rsidRPr="009C2704">
        <w:rPr>
          <w:rFonts w:asciiTheme="minorHAnsi" w:hAnsiTheme="minorHAnsi" w:cstheme="minorHAnsi"/>
          <w:b/>
          <w:sz w:val="24"/>
          <w:szCs w:val="24"/>
        </w:rPr>
        <w:t xml:space="preserve"> -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Building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Confidence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and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Security in the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Era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of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New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and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Emerging</w:t>
      </w:r>
      <w:proofErr w:type="spellEnd"/>
      <w:r w:rsidRPr="009C27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 w:val="24"/>
          <w:szCs w:val="24"/>
        </w:rPr>
        <w:t>Technologies</w:t>
      </w:r>
      <w:proofErr w:type="spellEnd"/>
    </w:p>
    <w:p w14:paraId="0ECA7CD2" w14:textId="77777777" w:rsidR="009C2704" w:rsidRPr="009C2704" w:rsidRDefault="009C2704" w:rsidP="009C2704">
      <w:pPr>
        <w:spacing w:line="240" w:lineRule="auto"/>
        <w:contextualSpacing w:val="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9C2704">
        <w:rPr>
          <w:rFonts w:asciiTheme="minorHAnsi" w:hAnsiTheme="minorHAnsi" w:cstheme="minorHAnsi"/>
          <w:b/>
          <w:sz w:val="24"/>
          <w:szCs w:val="24"/>
        </w:rPr>
        <w:t>* * * * * * * * * * * *</w:t>
      </w:r>
    </w:p>
    <w:p w14:paraId="0923470E" w14:textId="77777777" w:rsidR="009C2704" w:rsidRPr="009C2704" w:rsidRDefault="009C2704" w:rsidP="00B6679E">
      <w:pPr>
        <w:spacing w:before="480" w:line="240" w:lineRule="auto"/>
        <w:contextualSpacing w:val="0"/>
        <w:jc w:val="center"/>
        <w:rPr>
          <w:rFonts w:asciiTheme="minorHAnsi" w:eastAsia="Calibri" w:hAnsiTheme="minorHAnsi" w:cstheme="minorHAnsi"/>
          <w:b/>
          <w:szCs w:val="28"/>
        </w:rPr>
      </w:pPr>
      <w:bookmarkStart w:id="0" w:name="OP1"/>
      <w:bookmarkEnd w:id="0"/>
      <w:r w:rsidRPr="009C2704">
        <w:rPr>
          <w:rFonts w:asciiTheme="minorHAnsi" w:eastAsia="Calibri" w:hAnsiTheme="minorHAnsi" w:cstheme="minorHAnsi"/>
          <w:b/>
          <w:szCs w:val="28"/>
        </w:rPr>
        <w:t>OPINION [X] –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New</w:t>
      </w:r>
      <w:proofErr w:type="spellEnd"/>
      <w:r w:rsidRPr="009C2704">
        <w:rPr>
          <w:rFonts w:asciiTheme="minorHAnsi" w:eastAsia="Calibri" w:hAnsiTheme="minorHAnsi" w:cstheme="minorHAnsi"/>
          <w:b/>
          <w:szCs w:val="28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and</w:t>
      </w:r>
      <w:proofErr w:type="spellEnd"/>
      <w:r w:rsidRPr="009C2704">
        <w:rPr>
          <w:rFonts w:asciiTheme="minorHAnsi" w:eastAsia="Calibri" w:hAnsiTheme="minorHAnsi" w:cstheme="minorHAnsi"/>
          <w:b/>
          <w:szCs w:val="28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emerging</w:t>
      </w:r>
      <w:proofErr w:type="spellEnd"/>
      <w:r w:rsidRPr="009C2704">
        <w:rPr>
          <w:rFonts w:asciiTheme="minorHAnsi" w:eastAsia="Calibri" w:hAnsiTheme="minorHAnsi" w:cstheme="minorHAnsi"/>
          <w:b/>
          <w:szCs w:val="28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technologies</w:t>
      </w:r>
      <w:proofErr w:type="spellEnd"/>
      <w:r w:rsidRPr="009C2704">
        <w:rPr>
          <w:rFonts w:asciiTheme="minorHAnsi" w:eastAsia="Calibri" w:hAnsiTheme="minorHAnsi" w:cstheme="minorHAnsi"/>
          <w:b/>
          <w:szCs w:val="28"/>
        </w:rPr>
        <w:t xml:space="preserve">, in 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particular</w:t>
      </w:r>
      <w:proofErr w:type="spellEnd"/>
      <w:r w:rsidRPr="009C2704">
        <w:rPr>
          <w:rFonts w:asciiTheme="minorHAnsi" w:eastAsia="Calibri" w:hAnsiTheme="minorHAnsi" w:cstheme="minorHAnsi"/>
          <w:b/>
          <w:szCs w:val="28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Artificial</w:t>
      </w:r>
      <w:proofErr w:type="spellEnd"/>
      <w:r w:rsidRPr="009C2704">
        <w:rPr>
          <w:rFonts w:asciiTheme="minorHAnsi" w:eastAsia="Calibri" w:hAnsiTheme="minorHAnsi" w:cstheme="minorHAnsi"/>
          <w:b/>
          <w:szCs w:val="28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Intelligence</w:t>
      </w:r>
      <w:proofErr w:type="spellEnd"/>
      <w:r w:rsidRPr="009C2704">
        <w:rPr>
          <w:rFonts w:asciiTheme="minorHAnsi" w:eastAsia="Calibri" w:hAnsiTheme="minorHAnsi" w:cstheme="minorHAnsi"/>
          <w:b/>
          <w:szCs w:val="28"/>
        </w:rPr>
        <w:t xml:space="preserve"> for 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Sustainable</w:t>
      </w:r>
      <w:proofErr w:type="spellEnd"/>
      <w:r w:rsidRPr="009C2704">
        <w:rPr>
          <w:rFonts w:asciiTheme="minorHAnsi" w:eastAsia="Calibri" w:hAnsiTheme="minorHAnsi" w:cstheme="minorHAnsi"/>
          <w:b/>
          <w:szCs w:val="28"/>
        </w:rPr>
        <w:t xml:space="preserve"> </w:t>
      </w:r>
      <w:proofErr w:type="spellStart"/>
      <w:r w:rsidRPr="009C2704">
        <w:rPr>
          <w:rFonts w:asciiTheme="minorHAnsi" w:eastAsia="Calibri" w:hAnsiTheme="minorHAnsi" w:cstheme="minorHAnsi"/>
          <w:b/>
          <w:szCs w:val="28"/>
        </w:rPr>
        <w:t>Development</w:t>
      </w:r>
      <w:proofErr w:type="spellEnd"/>
    </w:p>
    <w:p w14:paraId="2969917F" w14:textId="77777777" w:rsidR="009C2704" w:rsidRPr="00B6679E" w:rsidRDefault="009C2704" w:rsidP="00B6679E">
      <w:pPr>
        <w:spacing w:before="24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sixth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World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Telecommunication/ICT Policy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Forum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(X, 2021),</w:t>
      </w:r>
    </w:p>
    <w:p w14:paraId="51FF6B75" w14:textId="77777777" w:rsidR="009C2704" w:rsidRPr="00B6679E" w:rsidRDefault="009C2704" w:rsidP="00B6679E">
      <w:pPr>
        <w:pStyle w:val="Call"/>
        <w:ind w:firstLine="567"/>
      </w:pPr>
      <w:r w:rsidRPr="00B6679E">
        <w:t>recalling</w:t>
      </w:r>
    </w:p>
    <w:p w14:paraId="4ECA5BCB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a)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Resolution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70/1 of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United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Nations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General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Assembly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(UNGA)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transforming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world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: the 2030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agenda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Sustainable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443050FD" w14:textId="16833D8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b)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Resolution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70/125 of the UNGA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outcome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document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High-level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meeting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UNGA in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overall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review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implementation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outcomes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WSIS; </w:t>
      </w:r>
    </w:p>
    <w:p w14:paraId="0C9FD660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c)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WSIS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Action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Lines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Sustainable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Goals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SDGs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),</w:t>
      </w:r>
    </w:p>
    <w:p w14:paraId="6AEFD9E5" w14:textId="77777777" w:rsidR="009C2704" w:rsidRPr="00B6679E" w:rsidRDefault="009C2704" w:rsidP="00B6679E">
      <w:pPr>
        <w:pStyle w:val="Call"/>
        <w:ind w:firstLine="567"/>
        <w:rPr>
          <w:rFonts w:cstheme="minorHAnsi"/>
        </w:rPr>
      </w:pPr>
      <w:r w:rsidRPr="00B6679E">
        <w:rPr>
          <w:rFonts w:cstheme="minorHAnsi"/>
        </w:rPr>
        <w:t>considering</w:t>
      </w:r>
    </w:p>
    <w:p w14:paraId="0E8708CD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a)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expansion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telecommunication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networks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r w:rsidRPr="00B6679E">
        <w:rPr>
          <w:rFonts w:asciiTheme="minorHAnsi" w:hAnsiTheme="minorHAnsi" w:cstheme="minorHAnsi"/>
          <w:sz w:val="24"/>
          <w:szCs w:val="24"/>
          <w:lang w:val="en-ZA"/>
        </w:rPr>
        <w:t>spreading access to Internet</w:t>
      </w:r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global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interconnectedness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great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potential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accelerate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human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progress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bridge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divide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develop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knowledge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societies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6D695572" w14:textId="5644C7B0" w:rsidR="009C2704" w:rsidRPr="0087748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B6679E">
        <w:rPr>
          <w:rFonts w:asciiTheme="minorHAnsi" w:hAnsiTheme="minorHAnsi" w:cstheme="minorHAnsi"/>
          <w:i/>
          <w:sz w:val="24"/>
          <w:szCs w:val="24"/>
        </w:rPr>
        <w:t>b)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breakthrough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especially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Big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Data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Internet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Things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IoT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), IMT-2020,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Artificial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Intelligence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(AI),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have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brought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about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eras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significant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non-linear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change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profoundly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alters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economic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systems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structures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particularly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Artificial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Intelligence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(AI)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one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main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catalysts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Fourth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Industrial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Revolution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(4IR)</w:t>
      </w:r>
      <w:r w:rsidR="00877484" w:rsidRPr="00877484">
        <w:rPr>
          <w:rFonts w:asciiTheme="minorHAnsi" w:hAnsiTheme="minorHAnsi" w:cstheme="minorHAnsi"/>
          <w:sz w:val="24"/>
          <w:szCs w:val="24"/>
          <w:lang w:val="en-GB"/>
        </w:rPr>
        <w:t>;</w:t>
      </w:r>
    </w:p>
    <w:p w14:paraId="7F4F23A0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sz w:val="24"/>
          <w:szCs w:val="24"/>
        </w:rPr>
        <w:lastRenderedPageBreak/>
        <w:t>c)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r w:rsidRPr="00B6679E">
        <w:rPr>
          <w:rFonts w:asciiTheme="minorHAnsi" w:hAnsiTheme="minorHAnsi" w:cstheme="minorHAnsi"/>
          <w:sz w:val="24"/>
          <w:szCs w:val="24"/>
          <w:lang w:val="en-GB"/>
        </w:rPr>
        <w:t>AI has emerged as a general-purpose technology with widespread applications throughout the economy and society;</w:t>
      </w:r>
    </w:p>
    <w:p w14:paraId="1A16BB38" w14:textId="47F96A63" w:rsidR="009C2704" w:rsidRPr="0087748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d)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AI,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IoT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IMT-2020,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Big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Data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evolutions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enormous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countries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harvest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benefits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however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developing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countries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at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highest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risk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left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behind</w:t>
      </w:r>
      <w:proofErr w:type="spellEnd"/>
      <w:r w:rsidR="00877484" w:rsidRPr="00877484">
        <w:rPr>
          <w:rFonts w:asciiTheme="minorHAnsi" w:hAnsiTheme="minorHAnsi" w:cstheme="minorHAnsi"/>
          <w:sz w:val="24"/>
          <w:szCs w:val="24"/>
          <w:lang w:val="en-GB"/>
        </w:rPr>
        <w:t>,</w:t>
      </w:r>
    </w:p>
    <w:p w14:paraId="75192430" w14:textId="77777777" w:rsidR="009C2704" w:rsidRPr="00B6679E" w:rsidRDefault="009C2704" w:rsidP="00877484">
      <w:pPr>
        <w:pStyle w:val="Call"/>
        <w:ind w:firstLine="567"/>
        <w:rPr>
          <w:rFonts w:cstheme="minorHAnsi"/>
        </w:rPr>
      </w:pPr>
      <w:r w:rsidRPr="00B6679E">
        <w:rPr>
          <w:rFonts w:cstheme="minorHAnsi"/>
        </w:rPr>
        <w:t>recognizing</w:t>
      </w:r>
    </w:p>
    <w:p w14:paraId="608E4543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a)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significant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impact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economic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progress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more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efforts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done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accelerate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attaining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SDGs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leveraging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4D04170C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b)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advancements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certain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SDGs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correlated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telecommunication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/ICT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30F4FCEE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sz w:val="24"/>
          <w:szCs w:val="24"/>
        </w:rPr>
        <w:t>c)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enablers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global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transition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economy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inclusive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economic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growth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4197FA92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d)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have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great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potential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benefit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humanity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bolsters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shared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values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advance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SDGs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overcome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global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challenges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poverty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hunger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education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environment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7E749125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sz w:val="24"/>
          <w:szCs w:val="24"/>
        </w:rPr>
        <w:t>e)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combination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AI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potential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dramatically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accelerate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benefits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transformation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different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industries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societies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human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life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general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39E5DA61" w14:textId="43D1E50F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i/>
          <w:iCs/>
          <w:sz w:val="24"/>
          <w:szCs w:val="24"/>
        </w:rPr>
        <w:t>f)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designed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in a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way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enables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their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decisions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actions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explained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humans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accountable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their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41F77F6C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</w:pPr>
      <w:r w:rsidRPr="00877484">
        <w:rPr>
          <w:rFonts w:asciiTheme="minorHAnsi" w:eastAsia="Calibri" w:hAnsiTheme="minorHAnsi" w:cstheme="minorHAnsi"/>
          <w:i/>
          <w:iCs/>
          <w:sz w:val="24"/>
          <w:szCs w:val="24"/>
          <w:u w:color="000000"/>
          <w:bdr w:val="nil"/>
        </w:rPr>
        <w:t>g)</w:t>
      </w: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ab/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that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ITU,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being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UN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specialized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Agency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for Telecommunication/ICT,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plays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important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leading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role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in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implementation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of WSIS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outcomes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achieving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SDGs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;</w:t>
      </w:r>
    </w:p>
    <w:p w14:paraId="4EE03750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  <w:rtl/>
        </w:rPr>
      </w:pPr>
      <w:r w:rsidRPr="00B6679E">
        <w:rPr>
          <w:rFonts w:asciiTheme="minorHAnsi" w:eastAsia="Calibri" w:hAnsiTheme="minorHAnsi" w:cstheme="minorHAnsi"/>
          <w:i/>
          <w:iCs/>
          <w:sz w:val="24"/>
          <w:szCs w:val="24"/>
          <w:u w:color="000000"/>
          <w:bdr w:val="nil"/>
        </w:rPr>
        <w:t>h)</w:t>
      </w: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ab/>
        <w:t xml:space="preserve">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ongoing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work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in the ITU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particularly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in ITU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study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groups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related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new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emerging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technologies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including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AI,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IoT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Big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Data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cloud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computing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IMT-2020,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Distributed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ledger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technologies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machine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learning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,</w:t>
      </w:r>
    </w:p>
    <w:p w14:paraId="22D03A65" w14:textId="77777777" w:rsidR="009C2704" w:rsidRPr="00B6679E" w:rsidRDefault="009C2704" w:rsidP="00877484">
      <w:pPr>
        <w:pStyle w:val="Call"/>
        <w:ind w:firstLine="567"/>
        <w:rPr>
          <w:rFonts w:cstheme="minorHAnsi"/>
        </w:rPr>
      </w:pPr>
      <w:r w:rsidRPr="00B6679E">
        <w:rPr>
          <w:rFonts w:cstheme="minorHAnsi"/>
        </w:rPr>
        <w:t>is of the view</w:t>
      </w:r>
    </w:p>
    <w:p w14:paraId="295CEE63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</w:pPr>
      <w:r w:rsidRPr="00B6679E">
        <w:rPr>
          <w:rFonts w:asciiTheme="minorHAnsi" w:hAnsiTheme="minorHAnsi" w:cstheme="minorHAnsi"/>
          <w:sz w:val="24"/>
          <w:szCs w:val="24"/>
        </w:rPr>
        <w:t>1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policy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challenges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related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new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emerging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technologies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addressed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at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regional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international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levels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with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full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involvement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of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all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countries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especially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developing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countries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;</w:t>
      </w:r>
    </w:p>
    <w:p w14:paraId="6D32208E" w14:textId="5CD94B58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sz w:val="24"/>
          <w:szCs w:val="24"/>
        </w:rPr>
        <w:t>2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Member States,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Sector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Members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interested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stakeholders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undertake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prioritize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efforts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foster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enabling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environment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for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greater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growth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particularly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AI;</w:t>
      </w:r>
    </w:p>
    <w:p w14:paraId="3717EA90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sz w:val="24"/>
          <w:szCs w:val="24"/>
        </w:rPr>
        <w:t>3</w:t>
      </w:r>
      <w:r w:rsidRPr="00B6679E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there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identify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practical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applications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smart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platforms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applications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powered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supporting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strategies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improve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sustainability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life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planet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ensure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trusted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safe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inclusive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proofErr w:type="gram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equitable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access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their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benefits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2B8E5D45" w14:textId="172C4CB5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</w:pP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4</w:t>
      </w: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ab/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that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Member States,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Sector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Members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other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interested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stakeholders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work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closely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together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address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common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challenges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in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use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of AI,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IoT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Big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Data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etc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.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such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trust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transparency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bias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accountability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representativeness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;</w:t>
      </w:r>
    </w:p>
    <w:p w14:paraId="0F9CFA6F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</w:pP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lastRenderedPageBreak/>
        <w:t>5</w:t>
      </w: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ab/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that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while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new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emerging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technologies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can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foster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innovation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policy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makers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work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together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guarantee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safe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secure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technological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environment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sustainable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future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for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all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;</w:t>
      </w:r>
    </w:p>
    <w:p w14:paraId="14402A0D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</w:pP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6</w:t>
      </w: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ab/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that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ITU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should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play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a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role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in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helping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its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membership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take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advantage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of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opportunities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address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challenges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caused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AI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other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new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emerging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technologies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; </w:t>
      </w:r>
    </w:p>
    <w:p w14:paraId="7C99F143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</w:pPr>
      <w:r w:rsidRPr="00B6679E">
        <w:rPr>
          <w:rFonts w:asciiTheme="minorHAnsi" w:hAnsiTheme="minorHAnsi" w:cstheme="minorHAnsi"/>
          <w:sz w:val="24"/>
          <w:szCs w:val="24"/>
        </w:rPr>
        <w:t>7</w:t>
      </w:r>
      <w:r w:rsidRPr="00B667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stakeholders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encouraged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implement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projects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programs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initiatives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related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AI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so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that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all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stakeholders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from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all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nations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could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benefit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from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use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of AI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address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SDGs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;</w:t>
      </w:r>
    </w:p>
    <w:p w14:paraId="38C98E8D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8</w:t>
      </w: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ab/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that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constructive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strategies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policies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guidelines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principles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needed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maximize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benefits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AI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276E90C4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</w:pPr>
      <w:r w:rsidRPr="00877484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9</w:t>
      </w:r>
      <w:r w:rsidRPr="00B6679E">
        <w:rPr>
          <w:rFonts w:asciiTheme="minorHAnsi" w:eastAsia="Calibri" w:hAnsiTheme="minorHAnsi" w:cstheme="minorHAnsi"/>
          <w:i/>
          <w:iCs/>
          <w:sz w:val="24"/>
          <w:szCs w:val="24"/>
          <w:u w:color="000000"/>
          <w:bdr w:val="nil"/>
        </w:rPr>
        <w:tab/>
      </w: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Member States,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Sector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Members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other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interested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stakeholders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collaborate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harness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benefits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of AI,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IoT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Big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Data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etc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. for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developing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countries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overcome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challenges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;</w:t>
      </w:r>
    </w:p>
    <w:p w14:paraId="57B46500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</w:pP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10</w:t>
      </w:r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ab/>
        <w:t xml:space="preserve">Member States,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Sector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Members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other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interested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stakeholders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need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to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cooperate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in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addressing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critical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issues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of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interoperability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security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trust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identification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,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standardization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in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use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of the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new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and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emerging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 xml:space="preserve"> </w:t>
      </w:r>
      <w:proofErr w:type="spellStart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technologies</w:t>
      </w:r>
      <w:proofErr w:type="spellEnd"/>
      <w:r w:rsidRPr="00B6679E">
        <w:rPr>
          <w:rFonts w:asciiTheme="minorHAnsi" w:eastAsia="Calibri" w:hAnsiTheme="minorHAnsi" w:cstheme="minorHAnsi"/>
          <w:sz w:val="24"/>
          <w:szCs w:val="24"/>
          <w:u w:color="000000"/>
          <w:bdr w:val="nil"/>
        </w:rPr>
        <w:t>,</w:t>
      </w:r>
    </w:p>
    <w:p w14:paraId="3FA9501A" w14:textId="7D190CB6" w:rsidR="009C2704" w:rsidRPr="00B6679E" w:rsidRDefault="009C2704" w:rsidP="00877484">
      <w:pPr>
        <w:pStyle w:val="Call"/>
        <w:ind w:firstLine="567"/>
        <w:rPr>
          <w:rFonts w:cstheme="minorHAnsi"/>
        </w:rPr>
      </w:pPr>
      <w:r w:rsidRPr="00B6679E">
        <w:rPr>
          <w:rFonts w:cstheme="minorHAnsi"/>
        </w:rPr>
        <w:t>Invites</w:t>
      </w:r>
      <w:r w:rsidR="00877484">
        <w:rPr>
          <w:rFonts w:cstheme="minorHAnsi"/>
        </w:rPr>
        <w:t xml:space="preserve"> </w:t>
      </w:r>
      <w:r w:rsidRPr="00B6679E">
        <w:rPr>
          <w:rFonts w:cstheme="minorHAnsi"/>
        </w:rPr>
        <w:t xml:space="preserve">Member States, Sector Members, and all other stakeholders </w:t>
      </w:r>
    </w:p>
    <w:p w14:paraId="5D72CF48" w14:textId="536774C5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sz w:val="24"/>
          <w:szCs w:val="24"/>
        </w:rPr>
        <w:t>1</w:t>
      </w:r>
      <w:r w:rsidRPr="00B6679E">
        <w:rPr>
          <w:rFonts w:asciiTheme="minorHAnsi" w:hAnsiTheme="minorHAnsi" w:cstheme="minorHAnsi"/>
          <w:sz w:val="24"/>
          <w:szCs w:val="24"/>
        </w:rPr>
        <w:tab/>
        <w:t xml:space="preserve">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work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collaboratively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utilize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unlimited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potentials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provide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advance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achieving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SDGs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>;</w:t>
      </w:r>
    </w:p>
    <w:p w14:paraId="1886F532" w14:textId="77777777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sz w:val="24"/>
          <w:szCs w:val="24"/>
        </w:rPr>
        <w:t>2</w:t>
      </w:r>
      <w:r w:rsidRPr="00B6679E">
        <w:rPr>
          <w:rFonts w:asciiTheme="minorHAnsi" w:hAnsiTheme="minorHAnsi" w:cstheme="minorHAnsi"/>
          <w:sz w:val="24"/>
          <w:szCs w:val="24"/>
        </w:rPr>
        <w:tab/>
        <w:t xml:space="preserve">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promote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policies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strategies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at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national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regional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international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levels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overcome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challenges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particular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AI;</w:t>
      </w:r>
    </w:p>
    <w:p w14:paraId="0C793232" w14:textId="26AB0124" w:rsidR="009C2704" w:rsidRPr="00B6679E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6679E">
        <w:rPr>
          <w:rFonts w:asciiTheme="minorHAnsi" w:hAnsiTheme="minorHAnsi" w:cstheme="minorHAnsi"/>
          <w:sz w:val="24"/>
          <w:szCs w:val="24"/>
        </w:rPr>
        <w:t>3</w:t>
      </w:r>
      <w:r w:rsidR="00B6679E" w:rsidRPr="00B6679E">
        <w:rPr>
          <w:rFonts w:asciiTheme="minorHAnsi" w:hAnsiTheme="minorHAnsi" w:cstheme="minorHAnsi"/>
          <w:sz w:val="24"/>
          <w:szCs w:val="24"/>
        </w:rPr>
        <w:tab/>
      </w:r>
      <w:r w:rsidRPr="00B6679E">
        <w:rPr>
          <w:rFonts w:asciiTheme="minorHAnsi" w:hAnsiTheme="minorHAnsi" w:cstheme="minorHAnsi"/>
          <w:sz w:val="24"/>
          <w:szCs w:val="24"/>
        </w:rPr>
        <w:t xml:space="preserve">to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support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participation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developing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countries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stakeholders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initiatives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entities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organizations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institutions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involved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various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aspects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6679E">
        <w:rPr>
          <w:rFonts w:asciiTheme="minorHAnsi" w:hAnsiTheme="minorHAnsi" w:cstheme="minorHAnsi"/>
          <w:sz w:val="24"/>
          <w:szCs w:val="24"/>
        </w:rPr>
        <w:t>especially</w:t>
      </w:r>
      <w:proofErr w:type="spellEnd"/>
      <w:r w:rsidRPr="00B6679E">
        <w:rPr>
          <w:rFonts w:asciiTheme="minorHAnsi" w:hAnsiTheme="minorHAnsi" w:cstheme="minorHAnsi"/>
          <w:sz w:val="24"/>
          <w:szCs w:val="24"/>
        </w:rPr>
        <w:t xml:space="preserve"> AI,</w:t>
      </w:r>
    </w:p>
    <w:p w14:paraId="20875007" w14:textId="77777777" w:rsidR="009C2704" w:rsidRPr="00B6679E" w:rsidRDefault="009C2704" w:rsidP="00877484">
      <w:pPr>
        <w:pStyle w:val="Call"/>
        <w:ind w:firstLine="567"/>
        <w:rPr>
          <w:rFonts w:cstheme="minorHAnsi"/>
        </w:rPr>
      </w:pPr>
      <w:r w:rsidRPr="00B6679E">
        <w:rPr>
          <w:rFonts w:cstheme="minorHAnsi"/>
        </w:rPr>
        <w:t xml:space="preserve">Invites the Secretary-General </w:t>
      </w:r>
    </w:p>
    <w:p w14:paraId="0215E84D" w14:textId="2F794F95" w:rsidR="009C2704" w:rsidRPr="00B6679E" w:rsidRDefault="009C2704" w:rsidP="00877484">
      <w:pPr>
        <w:pStyle w:val="Call"/>
        <w:spacing w:before="120"/>
        <w:rPr>
          <w:rFonts w:cstheme="minorHAnsi"/>
          <w:i w:val="0"/>
          <w:iCs w:val="0"/>
        </w:rPr>
      </w:pPr>
      <w:r w:rsidRPr="00B6679E">
        <w:rPr>
          <w:rFonts w:cstheme="minorHAnsi"/>
          <w:i w:val="0"/>
          <w:iCs w:val="0"/>
        </w:rPr>
        <w:t>to support the processes and activities that enable ITU membership to take advantage of the opportunities and address the challenges caused by AI and other new and emerging technologies</w:t>
      </w:r>
      <w:r w:rsidR="00877484">
        <w:rPr>
          <w:rFonts w:cstheme="minorHAnsi"/>
          <w:i w:val="0"/>
          <w:iCs w:val="0"/>
        </w:rPr>
        <w:t>.</w:t>
      </w:r>
    </w:p>
    <w:p w14:paraId="1D7D7797" w14:textId="77777777" w:rsidR="009C2704" w:rsidRPr="009C2704" w:rsidRDefault="009C2704" w:rsidP="009C2704">
      <w:pPr>
        <w:spacing w:before="480" w:line="240" w:lineRule="auto"/>
        <w:ind w:firstLine="0"/>
        <w:contextualSpacing w:val="0"/>
        <w:jc w:val="center"/>
        <w:rPr>
          <w:rFonts w:asciiTheme="minorHAnsi" w:eastAsia="Calibri" w:hAnsiTheme="minorHAnsi" w:cstheme="minorHAnsi"/>
          <w:b/>
          <w:szCs w:val="28"/>
        </w:rPr>
      </w:pPr>
      <w:bookmarkStart w:id="1" w:name="OP2"/>
      <w:bookmarkEnd w:id="1"/>
      <w:r w:rsidRPr="009C2704">
        <w:rPr>
          <w:rFonts w:asciiTheme="minorHAnsi" w:eastAsia="Calibri" w:hAnsiTheme="minorHAnsi" w:cstheme="minorHAnsi"/>
          <w:b/>
          <w:szCs w:val="28"/>
        </w:rPr>
        <w:t xml:space="preserve">OPINION [Y] – </w:t>
      </w:r>
      <w:r w:rsidRPr="009C2704">
        <w:rPr>
          <w:rFonts w:asciiTheme="minorHAnsi" w:hAnsiTheme="minorHAnsi" w:cstheme="minorHAnsi"/>
          <w:b/>
          <w:bCs/>
          <w:szCs w:val="28"/>
          <w:lang w:val="en-GB"/>
        </w:rPr>
        <w:t>Building Confidence and Security in the Era of New and Emerging Technologies</w:t>
      </w:r>
    </w:p>
    <w:p w14:paraId="71619660" w14:textId="77777777" w:rsidR="009C2704" w:rsidRPr="009C2704" w:rsidRDefault="009C2704" w:rsidP="00877484">
      <w:pPr>
        <w:spacing w:before="24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sixth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World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Telecommunication/ICT Policy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Forum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(X, 2021),</w:t>
      </w:r>
    </w:p>
    <w:p w14:paraId="47D2CC66" w14:textId="77777777" w:rsidR="009C2704" w:rsidRPr="009C2704" w:rsidRDefault="009C2704" w:rsidP="00877484">
      <w:pPr>
        <w:pStyle w:val="Call"/>
        <w:ind w:firstLine="567"/>
        <w:rPr>
          <w:rFonts w:cstheme="minorHAnsi"/>
        </w:rPr>
      </w:pPr>
      <w:r w:rsidRPr="009C2704">
        <w:rPr>
          <w:rFonts w:cstheme="minorHAnsi"/>
        </w:rPr>
        <w:t>recalling</w:t>
      </w:r>
    </w:p>
    <w:p w14:paraId="7CF831B4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a)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Resolution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70/1 of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United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General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Assembly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(UNGA)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transforming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world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: the 2030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agenda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Sustainable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5897BFA0" w14:textId="77777777" w:rsidR="009C2704" w:rsidRPr="009C270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lastRenderedPageBreak/>
        <w:t>b)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UNGA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Resolution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70/125,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outcome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document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UNGA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high-level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meeting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overall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review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implementation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outcomes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World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Summit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Society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(WSIS);</w:t>
      </w:r>
    </w:p>
    <w:p w14:paraId="509F3311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c)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WSIS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Action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Lines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Sustainable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Goals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SDGs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);</w:t>
      </w:r>
    </w:p>
    <w:p w14:paraId="0676FA22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d)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UNGA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Resolution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68/167,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age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1D668D7F" w14:textId="77777777" w:rsidR="009C2704" w:rsidRPr="009C270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e)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cybersecurity-related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provisions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Tunis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Commitment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Tunis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Agenda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Society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outcome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document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UNGA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high-level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meeting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overall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review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implementation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WSIS;</w:t>
      </w:r>
    </w:p>
    <w:p w14:paraId="024EFBE2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f)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Resolution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101 (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Dubai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2018),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Resolution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102 (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Dubai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2018),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Resolution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133 (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Dubai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2018),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Resolutions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ITU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Plenipotentiary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B21D02A" w14:textId="1EE0EC8A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g)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United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Secretary-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General’s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High-level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Panel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Cooperation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Declaration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Interdependence</w:t>
      </w:r>
      <w:proofErr w:type="spellEnd"/>
      <w:r w:rsidR="00877484" w:rsidRPr="00877484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3BA48A" w14:textId="77777777" w:rsidR="009C2704" w:rsidRPr="009C2704" w:rsidRDefault="009C2704" w:rsidP="00877484">
      <w:pPr>
        <w:pStyle w:val="Call"/>
        <w:ind w:firstLine="567"/>
        <w:rPr>
          <w:rFonts w:cstheme="minorHAnsi"/>
        </w:rPr>
      </w:pPr>
      <w:r w:rsidRPr="009C2704">
        <w:rPr>
          <w:rFonts w:cstheme="minorHAnsi"/>
        </w:rPr>
        <w:t>noting</w:t>
      </w:r>
    </w:p>
    <w:p w14:paraId="4A242556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i/>
          <w:iCs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a)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increasing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dependency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governments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businesses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individual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users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telecommunications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communication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)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deliver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essential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services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exchange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67B940F6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b)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telecommunications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rapid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expansion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reaching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more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half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world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population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decisions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taken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private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sector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gradually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affecting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millions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people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across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national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borders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48FE0CB6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c)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rapid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pace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gives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advantage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individuals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over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world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communicate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at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same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time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enhances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capacity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governments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companies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individuals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undertake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surveillance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interception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data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collection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may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violate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,</w:t>
      </w:r>
    </w:p>
    <w:p w14:paraId="553A78CF" w14:textId="77777777" w:rsidR="009C2704" w:rsidRPr="009C2704" w:rsidRDefault="009C2704" w:rsidP="00877484">
      <w:pPr>
        <w:pStyle w:val="Call"/>
        <w:ind w:firstLine="567"/>
        <w:rPr>
          <w:rFonts w:cstheme="minorHAnsi"/>
        </w:rPr>
      </w:pPr>
      <w:r w:rsidRPr="009C2704">
        <w:rPr>
          <w:rFonts w:cstheme="minorHAnsi"/>
        </w:rPr>
        <w:t xml:space="preserve">noting with concerns </w:t>
      </w:r>
    </w:p>
    <w:p w14:paraId="3F397D1C" w14:textId="56B20BCC" w:rsidR="009C2704" w:rsidRPr="0087748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growing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threats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cyberattacks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lack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international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convergence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approaches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mitigate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threats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cyberattacks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while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hoc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responses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increase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fragment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silos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leading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competing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standards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approaches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lessening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trust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discouraging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cooperation</w:t>
      </w:r>
      <w:proofErr w:type="spellEnd"/>
      <w:r w:rsidR="00877484" w:rsidRPr="00877484">
        <w:rPr>
          <w:rFonts w:asciiTheme="minorHAnsi" w:hAnsiTheme="minorHAnsi" w:cstheme="minorHAnsi"/>
          <w:sz w:val="24"/>
          <w:szCs w:val="24"/>
          <w:lang w:val="en-GB"/>
        </w:rPr>
        <w:t>,</w:t>
      </w:r>
    </w:p>
    <w:p w14:paraId="1B8161D5" w14:textId="77777777" w:rsidR="009C2704" w:rsidRPr="009C2704" w:rsidRDefault="009C2704" w:rsidP="00877484">
      <w:pPr>
        <w:pStyle w:val="Call"/>
        <w:keepNext/>
        <w:ind w:firstLine="567"/>
        <w:rPr>
          <w:rFonts w:cstheme="minorHAnsi"/>
        </w:rPr>
      </w:pPr>
      <w:r w:rsidRPr="009C2704">
        <w:rPr>
          <w:rFonts w:cstheme="minorHAnsi"/>
        </w:rPr>
        <w:t>considering</w:t>
      </w:r>
    </w:p>
    <w:p w14:paraId="4D92E6DE" w14:textId="77777777" w:rsidR="009C2704" w:rsidRPr="009C2704" w:rsidRDefault="009C2704" w:rsidP="00877484">
      <w:pPr>
        <w:keepNext/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a)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advances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communication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continue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important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enabler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achievement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SDGs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well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economic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environmental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cultural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7AFBF39" w14:textId="2413352A" w:rsidR="009C2704" w:rsidRPr="0087748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b)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considering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main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recent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have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brought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significant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non-linear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change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aspects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life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including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economic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aspects</w:t>
      </w:r>
      <w:proofErr w:type="spellEnd"/>
      <w:r w:rsidR="00877484" w:rsidRPr="00877484">
        <w:rPr>
          <w:rFonts w:asciiTheme="minorHAnsi" w:hAnsiTheme="minorHAnsi" w:cstheme="minorHAnsi"/>
          <w:sz w:val="24"/>
          <w:szCs w:val="24"/>
          <w:lang w:val="en-GB"/>
        </w:rPr>
        <w:t>,</w:t>
      </w:r>
    </w:p>
    <w:p w14:paraId="4C47A8C0" w14:textId="77777777" w:rsidR="009C2704" w:rsidRPr="009C2704" w:rsidRDefault="009C2704" w:rsidP="00877484">
      <w:pPr>
        <w:pStyle w:val="Call"/>
        <w:ind w:firstLine="567"/>
        <w:rPr>
          <w:rFonts w:cstheme="minorHAnsi"/>
        </w:rPr>
      </w:pPr>
      <w:r w:rsidRPr="009C2704">
        <w:rPr>
          <w:rFonts w:cstheme="minorHAnsi"/>
        </w:rPr>
        <w:t>recognizing</w:t>
      </w:r>
    </w:p>
    <w:p w14:paraId="7421ACAE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i/>
          <w:iCs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a)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context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multi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-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stakeholders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approach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government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private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sector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organizations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individual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users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must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aware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risks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preventive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measures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assume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responsibility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take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steps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enhance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lastRenderedPageBreak/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telecommunications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particularly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those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apply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4AEA94BC" w14:textId="77777777" w:rsidR="009C2704" w:rsidRPr="009C270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i/>
          <w:iCs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b)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communication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rapidly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changing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bringing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opportunities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challenges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policy-makers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keep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pace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change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utilize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opportunities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overcome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challenges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2458BE26" w14:textId="77777777" w:rsidR="009C2704" w:rsidRPr="009C270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c)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main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challenges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era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C2704">
        <w:rPr>
          <w:rFonts w:asciiTheme="minorHAnsi" w:hAnsiTheme="minorHAnsi" w:cstheme="minorHAnsi"/>
          <w:sz w:val="24"/>
          <w:szCs w:val="24"/>
        </w:rPr>
        <w:t xml:space="preserve">of 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proofErr w:type="gram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7B838713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d)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respect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national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sovereignty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international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laws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context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communication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7FE1EAD8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e)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innovation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driver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9C2704">
        <w:rPr>
          <w:rFonts w:asciiTheme="minorHAnsi" w:hAnsiTheme="minorHAnsi" w:cstheme="minorHAnsi"/>
          <w:sz w:val="24"/>
          <w:szCs w:val="24"/>
        </w:rPr>
        <w:t>including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proofErr w:type="gram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AI,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quantum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5G,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requires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stakeholders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continuously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adapt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innovations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taking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account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needed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measures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safe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cyberspace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18FB65EB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f)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fact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critical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factors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economic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employment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growth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welfare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threats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threats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economic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welfare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States; </w:t>
      </w:r>
    </w:p>
    <w:p w14:paraId="7F81AF2D" w14:textId="7D814FCA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g)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governments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pursuing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transformations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adopting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including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deliver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their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services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attiring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services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crucial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factors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achieve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transformations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meet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national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needs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priorities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2D2A4424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h)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important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role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played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private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sector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civil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society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technical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communities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4984D70B" w14:textId="7AE0DC7D" w:rsidR="009C2704" w:rsidRPr="0087748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i)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there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persistent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major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obstacles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challenges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cyberspace</w:t>
      </w:r>
      <w:proofErr w:type="spellEnd"/>
      <w:r w:rsidR="00877484" w:rsidRPr="00877484">
        <w:rPr>
          <w:rFonts w:asciiTheme="minorHAnsi" w:hAnsiTheme="minorHAnsi" w:cstheme="minorHAnsi"/>
          <w:sz w:val="24"/>
          <w:szCs w:val="24"/>
          <w:lang w:val="en-GB"/>
        </w:rPr>
        <w:t>;</w:t>
      </w:r>
    </w:p>
    <w:p w14:paraId="083AA328" w14:textId="77777777" w:rsidR="009C2704" w:rsidRPr="009C270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i/>
          <w:iCs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j)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ITU Global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Agenda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(GCA)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encourages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international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cooperation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proposing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strategies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solutions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enhance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telecommunications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,</w:t>
      </w:r>
    </w:p>
    <w:p w14:paraId="4C91E70F" w14:textId="77777777" w:rsidR="009C2704" w:rsidRPr="009C2704" w:rsidRDefault="009C2704" w:rsidP="00877484">
      <w:pPr>
        <w:pStyle w:val="Call"/>
        <w:keepNext/>
        <w:ind w:firstLine="567"/>
        <w:rPr>
          <w:rFonts w:cstheme="minorHAnsi"/>
        </w:rPr>
      </w:pPr>
      <w:r w:rsidRPr="009C2704">
        <w:rPr>
          <w:rFonts w:cstheme="minorHAnsi"/>
        </w:rPr>
        <w:t>is of the view</w:t>
      </w:r>
    </w:p>
    <w:p w14:paraId="145A06C4" w14:textId="77777777" w:rsidR="009C2704" w:rsidRPr="009C2704" w:rsidRDefault="009C2704" w:rsidP="00877484">
      <w:pPr>
        <w:keepNext/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a)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there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now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urgent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global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united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commitment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implement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multi-stakeholders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approach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secure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cyberspace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propose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priorities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action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5CC23849" w14:textId="77777777" w:rsidR="009C2704" w:rsidRPr="009C270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b)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private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sector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companies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especially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media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e-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commerce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platforms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companies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expected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develop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clearer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guidance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procedures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mechanisms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needed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both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consumers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governments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reach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mutual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trust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quickly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violations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including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those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children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21F6335F" w14:textId="77777777" w:rsidR="009C2704" w:rsidRPr="009C2704" w:rsidRDefault="009C2704" w:rsidP="00877484">
      <w:pPr>
        <w:autoSpaceDE w:val="0"/>
        <w:autoSpaceDN w:val="0"/>
        <w:adjustRightInd w:val="0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c)</w:t>
      </w:r>
      <w:r w:rsidRPr="009C270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activities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related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data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processing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e.g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surveillance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storing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modifying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Pr="009C2704">
        <w:rPr>
          <w:rFonts w:asciiTheme="minorHAnsi" w:hAnsiTheme="minorHAnsi" w:cstheme="minorHAnsi"/>
          <w:sz w:val="24"/>
          <w:szCs w:val="24"/>
        </w:rPr>
        <w:t>disseminating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,…</w:t>
      </w:r>
      <w:proofErr w:type="spellStart"/>
      <w:proofErr w:type="gramEnd"/>
      <w:r w:rsidRPr="009C2704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.,)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governments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private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sector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companies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organizations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violate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international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regional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national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laws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7D1D77BC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t>d)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call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stakeholders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including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governments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respect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protect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develop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recommendations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measures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mitigate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violations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cyberspace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;</w:t>
      </w:r>
    </w:p>
    <w:p w14:paraId="6E875849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i/>
          <w:iCs/>
          <w:sz w:val="24"/>
          <w:szCs w:val="24"/>
        </w:rPr>
        <w:lastRenderedPageBreak/>
        <w:t>e)</w:t>
      </w:r>
      <w:r w:rsidRPr="009C2704">
        <w:rPr>
          <w:rFonts w:asciiTheme="minorHAnsi" w:hAnsiTheme="minorHAnsi" w:cstheme="minorHAnsi"/>
          <w:sz w:val="24"/>
          <w:szCs w:val="24"/>
        </w:rPr>
        <w:tab/>
        <w:t xml:space="preserve">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utilize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contribute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the GCA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framework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further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guide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the ITU,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specialized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agency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efforts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,</w:t>
      </w:r>
    </w:p>
    <w:p w14:paraId="5952E56C" w14:textId="77777777" w:rsidR="009C2704" w:rsidRPr="009C2704" w:rsidRDefault="009C2704" w:rsidP="00877484">
      <w:pPr>
        <w:pStyle w:val="Call"/>
        <w:ind w:firstLine="567"/>
        <w:rPr>
          <w:rFonts w:cstheme="minorHAnsi"/>
        </w:rPr>
      </w:pPr>
      <w:r w:rsidRPr="009C2704">
        <w:rPr>
          <w:rFonts w:cstheme="minorHAnsi"/>
        </w:rPr>
        <w:t xml:space="preserve">invites Member States, Sector Members, and all other stakeholders </w:t>
      </w:r>
    </w:p>
    <w:p w14:paraId="5C3858A5" w14:textId="77777777" w:rsidR="009C2704" w:rsidRPr="009C2704" w:rsidRDefault="009C2704" w:rsidP="00877484">
      <w:pPr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C2704">
        <w:rPr>
          <w:rFonts w:asciiTheme="minorHAnsi" w:hAnsiTheme="minorHAnsi" w:cstheme="minorHAnsi"/>
          <w:sz w:val="24"/>
          <w:szCs w:val="24"/>
        </w:rPr>
        <w:t xml:space="preserve">to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work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collaboratively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build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confidence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ICTs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especially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application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including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communication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2704">
        <w:rPr>
          <w:rFonts w:asciiTheme="minorHAnsi" w:hAnsiTheme="minorHAnsi" w:cstheme="minorHAnsi"/>
          <w:sz w:val="24"/>
          <w:szCs w:val="24"/>
        </w:rPr>
        <w:t>technologies</w:t>
      </w:r>
      <w:proofErr w:type="spellEnd"/>
      <w:r w:rsidRPr="009C2704">
        <w:rPr>
          <w:rFonts w:asciiTheme="minorHAnsi" w:hAnsiTheme="minorHAnsi" w:cstheme="minorHAnsi"/>
          <w:sz w:val="24"/>
          <w:szCs w:val="24"/>
        </w:rPr>
        <w:t>.</w:t>
      </w:r>
    </w:p>
    <w:p w14:paraId="78AD87CE" w14:textId="77777777" w:rsidR="009C2704" w:rsidRPr="009C2704" w:rsidRDefault="009C2704" w:rsidP="00877484">
      <w:pPr>
        <w:pStyle w:val="Call"/>
        <w:ind w:firstLine="567"/>
        <w:rPr>
          <w:rFonts w:cstheme="minorHAnsi"/>
        </w:rPr>
      </w:pPr>
      <w:r w:rsidRPr="009C2704">
        <w:rPr>
          <w:rFonts w:cstheme="minorHAnsi"/>
        </w:rPr>
        <w:t xml:space="preserve">Invites the Secretary-General </w:t>
      </w:r>
    </w:p>
    <w:p w14:paraId="343FF02F" w14:textId="77777777" w:rsidR="009C2704" w:rsidRPr="009C2704" w:rsidRDefault="009C2704" w:rsidP="00877484">
      <w:pPr>
        <w:pStyle w:val="Call"/>
        <w:spacing w:before="120"/>
        <w:rPr>
          <w:rFonts w:cstheme="minorHAnsi"/>
          <w:i w:val="0"/>
          <w:iCs w:val="0"/>
        </w:rPr>
      </w:pPr>
      <w:r w:rsidRPr="009C2704">
        <w:rPr>
          <w:rFonts w:cstheme="minorHAnsi"/>
          <w:i w:val="0"/>
          <w:iCs w:val="0"/>
        </w:rPr>
        <w:t>to support the activities related to this opinion,</w:t>
      </w:r>
    </w:p>
    <w:p w14:paraId="6D38F62F" w14:textId="69C15824" w:rsidR="001E0506" w:rsidRPr="00877484" w:rsidRDefault="00877484" w:rsidP="00877484">
      <w:pPr>
        <w:spacing w:before="600" w:line="240" w:lineRule="auto"/>
        <w:jc w:val="center"/>
        <w:rPr>
          <w:rFonts w:asciiTheme="minorHAnsi" w:hAnsiTheme="minorHAnsi" w:cstheme="minorHAnsi"/>
          <w:bCs/>
          <w:sz w:val="24"/>
          <w:szCs w:val="24"/>
          <w:lang w:val="fr-CH"/>
        </w:rPr>
      </w:pPr>
      <w:r w:rsidRPr="00877484">
        <w:rPr>
          <w:rFonts w:asciiTheme="minorHAnsi" w:hAnsiTheme="minorHAnsi" w:cstheme="minorHAnsi"/>
          <w:bCs/>
          <w:sz w:val="24"/>
          <w:szCs w:val="24"/>
          <w:lang w:val="fr-CH"/>
        </w:rPr>
        <w:t>____________________</w:t>
      </w:r>
    </w:p>
    <w:sectPr w:rsidR="001E0506" w:rsidRPr="00877484" w:rsidSect="00EC376A">
      <w:headerReference w:type="default" r:id="rId8"/>
      <w:head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1792" w14:textId="77777777" w:rsidR="00661AFA" w:rsidRDefault="00661AFA">
      <w:pPr>
        <w:spacing w:line="240" w:lineRule="auto"/>
      </w:pPr>
      <w:r>
        <w:separator/>
      </w:r>
    </w:p>
  </w:endnote>
  <w:endnote w:type="continuationSeparator" w:id="0">
    <w:p w14:paraId="610FD347" w14:textId="77777777" w:rsidR="00661AFA" w:rsidRDefault="00661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9A869" w14:textId="77777777" w:rsidR="00661AFA" w:rsidRDefault="00661AFA">
      <w:pPr>
        <w:spacing w:line="240" w:lineRule="auto"/>
      </w:pPr>
      <w:r>
        <w:separator/>
      </w:r>
    </w:p>
  </w:footnote>
  <w:footnote w:type="continuationSeparator" w:id="0">
    <w:p w14:paraId="5A5FAEC5" w14:textId="77777777" w:rsidR="00661AFA" w:rsidRDefault="00661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>
      <w:rPr>
        <w:i/>
      </w:rPr>
    </w:sdtEndPr>
    <w:sdtContent>
      <w:p w14:paraId="5066D209" w14:textId="31A12B0F" w:rsidR="008B5522" w:rsidRDefault="00D850EA" w:rsidP="00EC376A">
        <w:pPr>
          <w:pStyle w:val="Header"/>
          <w:jc w:val="center"/>
        </w:pPr>
        <w:proofErr w:type="spellStart"/>
        <w:r w:rsidRPr="00877484">
          <w:rPr>
            <w:rFonts w:asciiTheme="minorHAnsi" w:hAnsiTheme="minorHAnsi" w:cstheme="minorHAnsi"/>
            <w:sz w:val="18"/>
            <w:szCs w:val="18"/>
          </w:rPr>
          <w:t>Page</w:t>
        </w:r>
        <w:proofErr w:type="spellEnd"/>
        <w:r w:rsidRPr="00877484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Pr="00877484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Pr="00877484">
          <w:rPr>
            <w:rFonts w:asciiTheme="minorHAnsi" w:hAnsiTheme="minorHAnsi" w:cstheme="minorHAnsi"/>
            <w:bCs/>
            <w:sz w:val="18"/>
            <w:szCs w:val="18"/>
          </w:rPr>
          <w:instrText xml:space="preserve"> PAGE </w:instrText>
        </w:r>
        <w:r w:rsidRPr="00877484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 w:rsidRPr="00877484">
          <w:rPr>
            <w:rFonts w:asciiTheme="minorHAnsi" w:hAnsiTheme="minorHAnsi" w:cstheme="minorHAnsi"/>
            <w:bCs/>
            <w:noProof/>
            <w:sz w:val="18"/>
            <w:szCs w:val="18"/>
          </w:rPr>
          <w:t>3</w:t>
        </w:r>
        <w:r w:rsidRPr="00877484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  <w:r w:rsidRPr="00877484">
          <w:rPr>
            <w:rFonts w:asciiTheme="minorHAnsi" w:hAnsiTheme="minorHAnsi" w:cstheme="minorHAnsi"/>
            <w:sz w:val="18"/>
            <w:szCs w:val="18"/>
          </w:rPr>
          <w:t xml:space="preserve"> of </w:t>
        </w:r>
        <w:r w:rsidRPr="00877484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Pr="00877484">
          <w:rPr>
            <w:rFonts w:asciiTheme="minorHAnsi" w:hAnsiTheme="minorHAnsi" w:cstheme="minorHAnsi"/>
            <w:bCs/>
            <w:sz w:val="18"/>
            <w:szCs w:val="18"/>
          </w:rPr>
          <w:instrText xml:space="preserve"> NUMPAGES  </w:instrText>
        </w:r>
        <w:r w:rsidRPr="00877484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 w:rsidRPr="00877484">
          <w:rPr>
            <w:rFonts w:asciiTheme="minorHAnsi" w:hAnsiTheme="minorHAnsi" w:cstheme="minorHAnsi"/>
            <w:bCs/>
            <w:noProof/>
            <w:sz w:val="18"/>
            <w:szCs w:val="18"/>
          </w:rPr>
          <w:t>3</w:t>
        </w:r>
        <w:r w:rsidRPr="00877484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5607" w14:textId="77777777" w:rsidR="008B5522" w:rsidRDefault="00877484" w:rsidP="00EC37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EA"/>
    <w:rsid w:val="000E4CB7"/>
    <w:rsid w:val="00157906"/>
    <w:rsid w:val="00224370"/>
    <w:rsid w:val="00656533"/>
    <w:rsid w:val="00661AFA"/>
    <w:rsid w:val="0080767D"/>
    <w:rsid w:val="008133D7"/>
    <w:rsid w:val="00877484"/>
    <w:rsid w:val="00922E68"/>
    <w:rsid w:val="009630F0"/>
    <w:rsid w:val="009C2704"/>
    <w:rsid w:val="00A22709"/>
    <w:rsid w:val="00B04DA6"/>
    <w:rsid w:val="00B6679E"/>
    <w:rsid w:val="00D850EA"/>
    <w:rsid w:val="00D94E14"/>
    <w:rsid w:val="00DB29AE"/>
    <w:rsid w:val="00EF01DE"/>
    <w:rsid w:val="00F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C992"/>
  <w15:chartTrackingRefBased/>
  <w15:docId w15:val="{CB3F1060-452C-49FE-AD83-E42B770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EA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0EA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0EA"/>
    <w:rPr>
      <w:rFonts w:ascii="Times New Roman" w:hAnsi="Times New Roman"/>
      <w:sz w:val="28"/>
      <w:lang w:val="ru-RU"/>
    </w:rPr>
  </w:style>
  <w:style w:type="paragraph" w:customStyle="1" w:styleId="Call">
    <w:name w:val="Call"/>
    <w:basedOn w:val="Normal"/>
    <w:rsid w:val="009C2704"/>
    <w:pPr>
      <w:spacing w:before="160" w:line="240" w:lineRule="auto"/>
      <w:ind w:firstLine="0"/>
      <w:contextualSpacing w:val="0"/>
      <w:jc w:val="left"/>
    </w:pPr>
    <w:rPr>
      <w:rFonts w:asciiTheme="minorHAnsi" w:eastAsiaTheme="minorEastAsia" w:hAnsiTheme="minorHAnsi"/>
      <w:i/>
      <w:iCs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774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84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E70A-7758-4357-806B-F935F63C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Brouard, Ricarda</cp:lastModifiedBy>
  <cp:revision>3</cp:revision>
  <dcterms:created xsi:type="dcterms:W3CDTF">2020-08-20T12:16:00Z</dcterms:created>
  <dcterms:modified xsi:type="dcterms:W3CDTF">2020-08-20T12:46:00Z</dcterms:modified>
</cp:coreProperties>
</file>