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D850EA" w:rsidRPr="00EF01DE" w14:paraId="74E68751" w14:textId="77777777" w:rsidTr="008A0C43">
        <w:trPr>
          <w:cantSplit/>
          <w:trHeight w:val="851"/>
        </w:trPr>
        <w:tc>
          <w:tcPr>
            <w:tcW w:w="6237" w:type="dxa"/>
            <w:vAlign w:val="center"/>
          </w:tcPr>
          <w:p w14:paraId="77C9D505" w14:textId="23F23E75" w:rsidR="00D850EA" w:rsidRPr="00EF01DE" w:rsidRDefault="00D850EA" w:rsidP="008A0C43">
            <w:pPr>
              <w:shd w:val="solid" w:color="FFFFFF" w:fill="FFFFFF"/>
              <w:spacing w:before="40" w:after="200" w:line="240" w:lineRule="auto"/>
              <w:ind w:firstLine="0"/>
              <w:contextualSpacing w:val="0"/>
              <w:jc w:val="left"/>
              <w:rPr>
                <w:rFonts w:ascii="Calibri" w:eastAsia="DengXian" w:hAnsi="Calibri" w:cs="Calibri"/>
                <w:b/>
                <w:sz w:val="30"/>
                <w:szCs w:val="30"/>
                <w:lang w:val="en-US" w:eastAsia="zh-CN"/>
              </w:rPr>
            </w:pPr>
            <w:r w:rsidRPr="00EF01DE">
              <w:rPr>
                <w:rFonts w:ascii="Calibri" w:eastAsia="DengXian" w:hAnsi="Calibri" w:cs="Calibri"/>
                <w:b/>
                <w:sz w:val="30"/>
                <w:szCs w:val="30"/>
                <w:lang w:val="en-US" w:eastAsia="zh-CN"/>
              </w:rPr>
              <w:t>Informal Experts Group on WTPF-21</w:t>
            </w:r>
            <w:r w:rsidRPr="00EF01DE">
              <w:rPr>
                <w:rFonts w:ascii="Calibri" w:eastAsia="DengXian" w:hAnsi="Calibri" w:cs="Calibri"/>
                <w:b/>
                <w:sz w:val="30"/>
                <w:szCs w:val="30"/>
                <w:lang w:val="en-US" w:eastAsia="zh-CN"/>
              </w:rPr>
              <w:br/>
            </w:r>
            <w:r w:rsidRPr="00EF01DE">
              <w:rPr>
                <w:rFonts w:ascii="Calibri" w:eastAsia="DengXian" w:hAnsi="Calibri" w:cs="Calibri"/>
                <w:b/>
                <w:sz w:val="24"/>
                <w:szCs w:val="24"/>
                <w:lang w:val="en-US" w:eastAsia="zh-CN"/>
              </w:rPr>
              <w:t xml:space="preserve">Third meeting </w:t>
            </w:r>
            <w:r w:rsidR="00224370">
              <w:rPr>
                <w:rFonts w:ascii="Calibri" w:eastAsia="DengXian" w:hAnsi="Calibri" w:cs="Calibri"/>
                <w:b/>
                <w:sz w:val="24"/>
                <w:szCs w:val="24"/>
                <w:lang w:val="en-US" w:eastAsia="zh-CN"/>
              </w:rPr>
              <w:t>(virtual)</w:t>
            </w:r>
            <w:r w:rsidRPr="00EF01DE">
              <w:rPr>
                <w:rFonts w:ascii="Calibri" w:eastAsia="DengXian" w:hAnsi="Calibri" w:cs="Calibri"/>
                <w:b/>
                <w:sz w:val="24"/>
                <w:szCs w:val="24"/>
                <w:lang w:val="en-US" w:eastAsia="zh-CN"/>
              </w:rPr>
              <w:t xml:space="preserve">, </w:t>
            </w:r>
            <w:r w:rsidR="00224370">
              <w:rPr>
                <w:rFonts w:ascii="Calibri" w:eastAsia="DengXian" w:hAnsi="Calibri" w:cs="Calibri"/>
                <w:b/>
                <w:sz w:val="24"/>
                <w:szCs w:val="24"/>
                <w:lang w:val="en-US" w:eastAsia="zh-CN"/>
              </w:rPr>
              <w:t xml:space="preserve">14-16 </w:t>
            </w:r>
            <w:r w:rsidRPr="00EF01DE">
              <w:rPr>
                <w:rFonts w:ascii="Calibri" w:eastAsia="DengXian" w:hAnsi="Calibri" w:cs="Calibri"/>
                <w:b/>
                <w:sz w:val="24"/>
                <w:szCs w:val="24"/>
                <w:lang w:val="en-US" w:eastAsia="zh-CN"/>
              </w:rPr>
              <w:t>September 2020</w:t>
            </w:r>
          </w:p>
        </w:tc>
        <w:tc>
          <w:tcPr>
            <w:tcW w:w="3600" w:type="dxa"/>
            <w:vAlign w:val="center"/>
          </w:tcPr>
          <w:p w14:paraId="14FE2538" w14:textId="77777777" w:rsidR="00D850EA" w:rsidRPr="00EF01DE" w:rsidRDefault="00D850EA" w:rsidP="008A0C43">
            <w:pPr>
              <w:shd w:val="solid" w:color="FFFFFF" w:fill="FFFFFF"/>
              <w:tabs>
                <w:tab w:val="left" w:pos="1871"/>
              </w:tabs>
              <w:spacing w:after="120" w:line="259" w:lineRule="auto"/>
              <w:ind w:firstLine="0"/>
              <w:contextualSpacing w:val="0"/>
              <w:jc w:val="left"/>
              <w:rPr>
                <w:rFonts w:ascii="Calibri" w:eastAsia="DengXian" w:hAnsi="Calibri" w:cs="Arial"/>
                <w:b/>
                <w:bCs/>
                <w:sz w:val="22"/>
                <w:lang w:val="en-GB" w:eastAsia="zh-CN"/>
              </w:rPr>
            </w:pPr>
            <w:r w:rsidRPr="00EF01DE">
              <w:rPr>
                <w:rFonts w:ascii="Calibri" w:eastAsia="DengXian" w:hAnsi="Calibri" w:cs="Arial"/>
                <w:b/>
                <w:bCs/>
                <w:noProof/>
                <w:sz w:val="22"/>
                <w:lang w:val="en-US"/>
              </w:rPr>
              <w:drawing>
                <wp:inline distT="0" distB="0" distL="0" distR="0" wp14:anchorId="3D496B9A" wp14:editId="44B1B69B">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D850EA" w:rsidRPr="00EF01DE" w14:paraId="14B77364" w14:textId="77777777" w:rsidTr="008A0C43">
        <w:trPr>
          <w:cantSplit/>
          <w:trHeight w:val="138"/>
        </w:trPr>
        <w:tc>
          <w:tcPr>
            <w:tcW w:w="6237" w:type="dxa"/>
            <w:tcBorders>
              <w:top w:val="single" w:sz="12" w:space="0" w:color="auto"/>
            </w:tcBorders>
          </w:tcPr>
          <w:p w14:paraId="4AE2348C" w14:textId="77777777" w:rsidR="00D850EA" w:rsidRPr="00EF01DE" w:rsidRDefault="00D850EA" w:rsidP="008A0C43">
            <w:pPr>
              <w:shd w:val="solid" w:color="FFFFFF" w:fill="FFFFFF"/>
              <w:spacing w:line="240" w:lineRule="auto"/>
              <w:ind w:right="284" w:firstLine="0"/>
              <w:contextualSpacing w:val="0"/>
              <w:jc w:val="left"/>
              <w:rPr>
                <w:rFonts w:ascii="Calibri" w:eastAsia="DengXian" w:hAnsi="Calibri" w:cs="Arial"/>
                <w:sz w:val="22"/>
                <w:lang w:val="en-US" w:eastAsia="zh-CN"/>
              </w:rPr>
            </w:pPr>
          </w:p>
        </w:tc>
        <w:tc>
          <w:tcPr>
            <w:tcW w:w="3600" w:type="dxa"/>
            <w:tcBorders>
              <w:top w:val="single" w:sz="12" w:space="0" w:color="auto"/>
            </w:tcBorders>
          </w:tcPr>
          <w:p w14:paraId="6306BE17" w14:textId="77777777" w:rsidR="00D850EA" w:rsidRPr="00EF01DE" w:rsidRDefault="00D850EA" w:rsidP="008A0C43">
            <w:pPr>
              <w:tabs>
                <w:tab w:val="left" w:pos="851"/>
              </w:tabs>
              <w:spacing w:line="240" w:lineRule="auto"/>
              <w:ind w:right="284" w:firstLine="0"/>
              <w:contextualSpacing w:val="0"/>
              <w:jc w:val="left"/>
              <w:rPr>
                <w:rFonts w:ascii="Times New Roman Bold" w:eastAsia="DengXian" w:hAnsi="Times New Roman Bold" w:cs="Times New Roman Bold"/>
                <w:b/>
                <w:sz w:val="22"/>
                <w:lang w:val="en-US" w:eastAsia="zh-CN"/>
              </w:rPr>
            </w:pPr>
          </w:p>
        </w:tc>
      </w:tr>
      <w:tr w:rsidR="00D850EA" w:rsidRPr="00EF01DE" w14:paraId="423DB067" w14:textId="77777777" w:rsidTr="008A0C43">
        <w:trPr>
          <w:cantSplit/>
          <w:trHeight w:val="138"/>
        </w:trPr>
        <w:tc>
          <w:tcPr>
            <w:tcW w:w="6237" w:type="dxa"/>
          </w:tcPr>
          <w:p w14:paraId="5CD2808B" w14:textId="77777777" w:rsidR="00D850EA" w:rsidRPr="00EF01DE" w:rsidRDefault="00D850EA" w:rsidP="008A0C43">
            <w:pPr>
              <w:spacing w:line="240" w:lineRule="auto"/>
              <w:ind w:firstLine="0"/>
              <w:contextualSpacing w:val="0"/>
              <w:jc w:val="left"/>
              <w:rPr>
                <w:rFonts w:ascii="Calibri" w:eastAsia="DengXian" w:hAnsi="Calibri" w:cs="Arial"/>
                <w:b/>
                <w:bCs/>
                <w:sz w:val="24"/>
                <w:szCs w:val="24"/>
                <w:lang w:val="en-US" w:eastAsia="zh-CN"/>
              </w:rPr>
            </w:pPr>
          </w:p>
        </w:tc>
        <w:tc>
          <w:tcPr>
            <w:tcW w:w="3600" w:type="dxa"/>
          </w:tcPr>
          <w:p w14:paraId="129A3DB3" w14:textId="1EF789E8" w:rsidR="00D850EA" w:rsidRPr="00EF01DE" w:rsidRDefault="00D850EA" w:rsidP="008A0C43">
            <w:pPr>
              <w:spacing w:line="240" w:lineRule="auto"/>
              <w:ind w:firstLine="0"/>
              <w:contextualSpacing w:val="0"/>
              <w:jc w:val="left"/>
              <w:rPr>
                <w:rFonts w:ascii="Calibri" w:eastAsia="DengXian" w:hAnsi="Calibri" w:cs="Calibri"/>
                <w:b/>
                <w:bCs/>
                <w:sz w:val="24"/>
                <w:szCs w:val="24"/>
                <w:lang w:val="en-US" w:eastAsia="zh-CN"/>
              </w:rPr>
            </w:pPr>
            <w:r w:rsidRPr="00EF01DE">
              <w:rPr>
                <w:rFonts w:ascii="Calibri" w:eastAsia="DengXian" w:hAnsi="Calibri" w:cs="Calibri"/>
                <w:b/>
                <w:sz w:val="24"/>
                <w:szCs w:val="24"/>
                <w:lang w:val="fr-CH" w:eastAsia="zh-CN"/>
              </w:rPr>
              <w:t>Document IEG-WTPF-21-</w:t>
            </w:r>
            <w:r w:rsidR="00224370">
              <w:rPr>
                <w:rFonts w:ascii="Calibri" w:eastAsia="DengXian" w:hAnsi="Calibri" w:cs="Calibri"/>
                <w:b/>
                <w:sz w:val="24"/>
                <w:szCs w:val="24"/>
                <w:lang w:val="fr-CH" w:eastAsia="zh-CN"/>
              </w:rPr>
              <w:t>3</w:t>
            </w:r>
            <w:r w:rsidRPr="00EF01DE">
              <w:rPr>
                <w:rFonts w:ascii="Calibri" w:eastAsia="DengXian" w:hAnsi="Calibri" w:cs="Calibri"/>
                <w:b/>
                <w:sz w:val="24"/>
                <w:szCs w:val="24"/>
                <w:lang w:val="en-US" w:eastAsia="zh-CN"/>
              </w:rPr>
              <w:t>/</w:t>
            </w:r>
            <w:r w:rsidR="00224370">
              <w:rPr>
                <w:rFonts w:ascii="Calibri" w:eastAsia="DengXian" w:hAnsi="Calibri" w:cs="Calibri"/>
                <w:b/>
                <w:sz w:val="24"/>
                <w:szCs w:val="24"/>
                <w:lang w:val="en-US" w:eastAsia="zh-CN"/>
              </w:rPr>
              <w:t>8</w:t>
            </w:r>
          </w:p>
        </w:tc>
      </w:tr>
      <w:tr w:rsidR="00D850EA" w:rsidRPr="00EF01DE" w14:paraId="2D65338E" w14:textId="77777777" w:rsidTr="008A0C43">
        <w:trPr>
          <w:cantSplit/>
          <w:trHeight w:val="138"/>
        </w:trPr>
        <w:tc>
          <w:tcPr>
            <w:tcW w:w="6237" w:type="dxa"/>
          </w:tcPr>
          <w:p w14:paraId="53A537FB" w14:textId="77777777" w:rsidR="00D850EA" w:rsidRPr="00EF01DE" w:rsidRDefault="00D850EA" w:rsidP="008A0C43">
            <w:pPr>
              <w:shd w:val="solid" w:color="FFFFFF" w:fill="FFFFFF"/>
              <w:spacing w:line="240" w:lineRule="auto"/>
              <w:ind w:right="284" w:firstLine="0"/>
              <w:contextualSpacing w:val="0"/>
              <w:jc w:val="left"/>
              <w:rPr>
                <w:rFonts w:ascii="Calibri" w:eastAsia="DengXian" w:hAnsi="Calibri" w:cs="Arial"/>
                <w:sz w:val="22"/>
                <w:lang w:val="fr-CH" w:eastAsia="zh-CN"/>
              </w:rPr>
            </w:pPr>
          </w:p>
        </w:tc>
        <w:tc>
          <w:tcPr>
            <w:tcW w:w="3600" w:type="dxa"/>
          </w:tcPr>
          <w:p w14:paraId="04618CDA" w14:textId="3F9C808E" w:rsidR="00D850EA" w:rsidRPr="00EF01DE" w:rsidRDefault="00224370" w:rsidP="008A0C43">
            <w:pPr>
              <w:tabs>
                <w:tab w:val="left" w:pos="851"/>
              </w:tabs>
              <w:spacing w:line="240" w:lineRule="auto"/>
              <w:ind w:right="284" w:firstLine="0"/>
              <w:contextualSpacing w:val="0"/>
              <w:jc w:val="left"/>
              <w:rPr>
                <w:rFonts w:ascii="Calibri" w:eastAsia="DengXian" w:hAnsi="Calibri" w:cs="Calibri"/>
                <w:b/>
                <w:sz w:val="24"/>
                <w:szCs w:val="24"/>
                <w:lang w:val="en-US" w:eastAsia="zh-CN"/>
              </w:rPr>
            </w:pPr>
            <w:r>
              <w:rPr>
                <w:rFonts w:ascii="Calibri" w:eastAsia="DengXian" w:hAnsi="Calibri" w:cs="Calibri"/>
                <w:b/>
                <w:sz w:val="24"/>
                <w:szCs w:val="24"/>
                <w:lang w:val="en-US" w:eastAsia="zh-CN"/>
              </w:rPr>
              <w:t>28 July</w:t>
            </w:r>
            <w:r w:rsidR="00D850EA" w:rsidRPr="00EF01DE">
              <w:rPr>
                <w:rFonts w:ascii="Calibri" w:eastAsia="DengXian" w:hAnsi="Calibri" w:cs="Calibri"/>
                <w:b/>
                <w:sz w:val="24"/>
                <w:szCs w:val="24"/>
                <w:lang w:val="en-US" w:eastAsia="zh-CN"/>
              </w:rPr>
              <w:t xml:space="preserve"> 2020</w:t>
            </w:r>
          </w:p>
        </w:tc>
      </w:tr>
      <w:tr w:rsidR="00D850EA" w:rsidRPr="00EF01DE" w14:paraId="016FFDB3" w14:textId="77777777" w:rsidTr="008A0C43">
        <w:trPr>
          <w:cantSplit/>
          <w:trHeight w:val="138"/>
        </w:trPr>
        <w:tc>
          <w:tcPr>
            <w:tcW w:w="6237" w:type="dxa"/>
          </w:tcPr>
          <w:p w14:paraId="1E779672" w14:textId="77777777" w:rsidR="00D850EA" w:rsidRPr="00EF01DE" w:rsidRDefault="00D850EA" w:rsidP="008A0C43">
            <w:pPr>
              <w:shd w:val="solid" w:color="FFFFFF" w:fill="FFFFFF"/>
              <w:spacing w:line="240" w:lineRule="auto"/>
              <w:ind w:right="284" w:firstLine="0"/>
              <w:contextualSpacing w:val="0"/>
              <w:jc w:val="left"/>
              <w:rPr>
                <w:rFonts w:ascii="Calibri" w:eastAsia="DengXian" w:hAnsi="Calibri" w:cs="Arial"/>
                <w:sz w:val="22"/>
                <w:lang w:val="en-US" w:eastAsia="zh-CN"/>
              </w:rPr>
            </w:pPr>
          </w:p>
        </w:tc>
        <w:tc>
          <w:tcPr>
            <w:tcW w:w="3600" w:type="dxa"/>
          </w:tcPr>
          <w:p w14:paraId="6CD34E4E" w14:textId="77777777" w:rsidR="00D850EA" w:rsidRPr="00EF01DE" w:rsidRDefault="00D850EA" w:rsidP="008A0C43">
            <w:pPr>
              <w:tabs>
                <w:tab w:val="left" w:pos="851"/>
              </w:tabs>
              <w:spacing w:line="240" w:lineRule="auto"/>
              <w:ind w:right="284" w:firstLine="0"/>
              <w:contextualSpacing w:val="0"/>
              <w:jc w:val="left"/>
              <w:rPr>
                <w:rFonts w:ascii="Calibri" w:eastAsia="DengXian" w:hAnsi="Calibri" w:cs="Calibri"/>
                <w:b/>
                <w:sz w:val="24"/>
                <w:szCs w:val="24"/>
                <w:lang w:val="en-US" w:eastAsia="zh-CN"/>
              </w:rPr>
            </w:pPr>
            <w:r w:rsidRPr="00EF01DE">
              <w:rPr>
                <w:rFonts w:ascii="Calibri" w:eastAsia="DengXian" w:hAnsi="Calibri" w:cs="Calibri"/>
                <w:b/>
                <w:sz w:val="24"/>
                <w:szCs w:val="24"/>
                <w:lang w:val="en-US" w:eastAsia="zh-CN"/>
              </w:rPr>
              <w:t>English only</w:t>
            </w:r>
          </w:p>
        </w:tc>
      </w:tr>
      <w:tr w:rsidR="00D850EA" w:rsidRPr="00EF01DE" w14:paraId="6A21A1FF" w14:textId="77777777" w:rsidTr="008A0C43">
        <w:trPr>
          <w:cantSplit/>
          <w:trHeight w:val="138"/>
        </w:trPr>
        <w:tc>
          <w:tcPr>
            <w:tcW w:w="9837" w:type="dxa"/>
            <w:gridSpan w:val="2"/>
          </w:tcPr>
          <w:p w14:paraId="40647D24" w14:textId="77777777" w:rsidR="00D850EA" w:rsidRPr="00EF01DE" w:rsidRDefault="00D850EA" w:rsidP="008A0C43">
            <w:pPr>
              <w:spacing w:before="480" w:line="259" w:lineRule="auto"/>
              <w:ind w:firstLine="0"/>
              <w:contextualSpacing w:val="0"/>
              <w:jc w:val="center"/>
              <w:rPr>
                <w:rFonts w:ascii="Calibri" w:eastAsia="DengXian" w:hAnsi="Calibri" w:cs="Arial"/>
                <w:bCs/>
                <w:lang w:val="en-GB" w:eastAsia="zh-CN"/>
              </w:rPr>
            </w:pPr>
            <w:r w:rsidRPr="00EF01DE">
              <w:rPr>
                <w:rFonts w:ascii="Calibri" w:eastAsia="DengXian" w:hAnsi="Calibri" w:cs="Calibri"/>
                <w:b/>
                <w:bCs/>
                <w:sz w:val="32"/>
                <w:szCs w:val="32"/>
                <w:lang w:val="en-GB" w:eastAsia="zh-CN"/>
              </w:rPr>
              <w:t>Contribution submitted by the Russian Federation</w:t>
            </w:r>
          </w:p>
        </w:tc>
      </w:tr>
      <w:tr w:rsidR="00D850EA" w:rsidRPr="00EF01DE" w14:paraId="5C8C023C" w14:textId="77777777" w:rsidTr="008A0C43">
        <w:trPr>
          <w:cantSplit/>
          <w:trHeight w:val="138"/>
        </w:trPr>
        <w:tc>
          <w:tcPr>
            <w:tcW w:w="9837" w:type="dxa"/>
            <w:gridSpan w:val="2"/>
          </w:tcPr>
          <w:p w14:paraId="2750A9BA" w14:textId="77777777" w:rsidR="00D850EA" w:rsidRPr="00EF01DE" w:rsidRDefault="00D850EA" w:rsidP="008A0C43">
            <w:pPr>
              <w:spacing w:before="240" w:line="259" w:lineRule="auto"/>
              <w:ind w:firstLine="0"/>
              <w:contextualSpacing w:val="0"/>
              <w:jc w:val="center"/>
              <w:rPr>
                <w:rFonts w:ascii="Calibri" w:eastAsia="DengXian" w:hAnsi="Calibri" w:cs="Arial"/>
                <w:caps/>
                <w:lang w:val="en-GB" w:eastAsia="zh-CN"/>
              </w:rPr>
            </w:pPr>
            <w:r w:rsidRPr="00EF01DE">
              <w:rPr>
                <w:rFonts w:ascii="Calibri" w:eastAsia="DengXian" w:hAnsi="Calibri" w:cs="Calibri"/>
                <w:caps/>
                <w:lang w:val="en-GB" w:eastAsia="zh-CN"/>
              </w:rPr>
              <w:t>possible DRAFT OPINIONS for wtpf-21</w:t>
            </w:r>
          </w:p>
        </w:tc>
      </w:tr>
    </w:tbl>
    <w:p w14:paraId="023EA472" w14:textId="77777777" w:rsidR="00D850EA" w:rsidRPr="00EF01DE" w:rsidRDefault="00D850EA" w:rsidP="00D850EA">
      <w:pPr>
        <w:spacing w:after="200" w:line="276" w:lineRule="auto"/>
        <w:ind w:firstLine="0"/>
        <w:contextualSpacing w:val="0"/>
        <w:jc w:val="left"/>
        <w:rPr>
          <w:rFonts w:ascii="Calibri" w:eastAsia="Calibri" w:hAnsi="Calibri" w:cs="Calibri"/>
          <w:b/>
          <w:sz w:val="22"/>
          <w:lang w:val="en-US" w:eastAsia="zh-CN"/>
        </w:rPr>
      </w:pPr>
    </w:p>
    <w:p w14:paraId="38376B6D" w14:textId="77777777" w:rsidR="00D850EA" w:rsidRPr="00EF01DE" w:rsidRDefault="00D850EA" w:rsidP="00D850EA">
      <w:pPr>
        <w:spacing w:after="200" w:line="276" w:lineRule="auto"/>
        <w:ind w:firstLine="0"/>
        <w:contextualSpacing w:val="0"/>
        <w:jc w:val="center"/>
        <w:rPr>
          <w:rFonts w:ascii="Calibri" w:eastAsia="DengXian" w:hAnsi="Calibri" w:cs="Arial"/>
          <w:b/>
          <w:bCs/>
          <w:szCs w:val="28"/>
          <w:lang w:val="en-US" w:eastAsia="zh-CN"/>
        </w:rPr>
      </w:pPr>
      <w:r w:rsidRPr="00EF01DE">
        <w:rPr>
          <w:rFonts w:ascii="Calibri" w:eastAsia="DengXian" w:hAnsi="Calibri" w:cs="Arial"/>
          <w:b/>
          <w:bCs/>
          <w:szCs w:val="28"/>
          <w:lang w:val="en-US" w:eastAsia="zh-CN"/>
        </w:rPr>
        <w:t xml:space="preserve">OPINION X – </w:t>
      </w:r>
      <w:bookmarkStart w:id="0" w:name="_Hlk42679592"/>
      <w:r w:rsidRPr="00EF01DE">
        <w:rPr>
          <w:rFonts w:ascii="Calibri" w:eastAsia="DengXian" w:hAnsi="Calibri" w:cs="Arial"/>
          <w:b/>
          <w:bCs/>
          <w:szCs w:val="28"/>
          <w:lang w:val="en-US" w:eastAsia="zh-CN"/>
        </w:rPr>
        <w:t>Mobilizing new and emerging telecommunications/ICTs for sustainable development in the context of helping to eliminate and manage the effects of the COVID-19 pandemic</w:t>
      </w:r>
      <w:bookmarkEnd w:id="0"/>
    </w:p>
    <w:p w14:paraId="41210F6A" w14:textId="77777777" w:rsidR="00D850EA" w:rsidRPr="00EF01DE" w:rsidRDefault="00D850EA" w:rsidP="00D850EA">
      <w:pPr>
        <w:spacing w:after="200" w:line="276" w:lineRule="auto"/>
        <w:ind w:firstLine="0"/>
        <w:contextualSpacing w:val="0"/>
        <w:rPr>
          <w:rFonts w:ascii="Calibri" w:eastAsia="DengXian" w:hAnsi="Calibri" w:cs="Arial"/>
          <w:sz w:val="24"/>
          <w:szCs w:val="24"/>
          <w:lang w:val="en-US" w:eastAsia="zh-CN"/>
        </w:rPr>
      </w:pPr>
      <w:r w:rsidRPr="00EF01DE">
        <w:rPr>
          <w:rFonts w:ascii="Calibri" w:eastAsia="DengXian" w:hAnsi="Calibri" w:cs="Arial"/>
          <w:sz w:val="24"/>
          <w:szCs w:val="24"/>
          <w:lang w:val="en-US" w:eastAsia="zh-CN"/>
        </w:rPr>
        <w:t>The sixth World Telecommunication/ICT Policy Forum (Geneva, 2021),</w:t>
      </w:r>
    </w:p>
    <w:p w14:paraId="2C5925AF" w14:textId="77777777" w:rsidR="00D850EA" w:rsidRPr="00EF01DE" w:rsidRDefault="00D850EA" w:rsidP="00D850EA">
      <w:pPr>
        <w:keepNext/>
        <w:keepLines/>
        <w:tabs>
          <w:tab w:val="left" w:pos="567"/>
        </w:tabs>
        <w:overflowPunct w:val="0"/>
        <w:autoSpaceDE w:val="0"/>
        <w:autoSpaceDN w:val="0"/>
        <w:adjustRightInd w:val="0"/>
        <w:spacing w:before="160" w:after="240" w:line="240" w:lineRule="auto"/>
        <w:ind w:left="567" w:firstLine="0"/>
        <w:contextualSpacing w:val="0"/>
        <w:textAlignment w:val="baseline"/>
        <w:rPr>
          <w:rFonts w:ascii="Calibri" w:eastAsia="Calibri" w:hAnsi="Calibri" w:cs="Times New Roman"/>
          <w:i/>
          <w:sz w:val="24"/>
          <w:szCs w:val="24"/>
          <w:u w:color="000000"/>
          <w:bdr w:val="nil"/>
          <w:lang w:val="en-US"/>
        </w:rPr>
      </w:pPr>
      <w:r w:rsidRPr="00EF01DE">
        <w:rPr>
          <w:rFonts w:ascii="Calibri" w:eastAsia="Calibri" w:hAnsi="Calibri" w:cs="Times New Roman"/>
          <w:i/>
          <w:sz w:val="24"/>
          <w:szCs w:val="24"/>
          <w:u w:color="000000"/>
          <w:bdr w:val="nil"/>
          <w:lang w:val="en-US"/>
        </w:rPr>
        <w:t>Recalling</w:t>
      </w:r>
    </w:p>
    <w:p w14:paraId="73076BAF" w14:textId="77777777" w:rsidR="00D850EA" w:rsidRPr="00EF01DE" w:rsidRDefault="00D850EA" w:rsidP="00D850EA">
      <w:pPr>
        <w:spacing w:before="120"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a)</w:t>
      </w:r>
      <w:r w:rsidRPr="00EF01DE">
        <w:rPr>
          <w:rFonts w:ascii="Calibri" w:eastAsia="Calibri" w:hAnsi="Calibri" w:cs="Arial"/>
          <w:sz w:val="24"/>
          <w:szCs w:val="24"/>
          <w:u w:color="000000"/>
          <w:bdr w:val="nil"/>
          <w:lang w:val="en-US" w:eastAsia="zh-CN"/>
        </w:rPr>
        <w:tab/>
        <w:t>Article 40 of the ITU Constitution on the priority of telecommunications related to the safety of human life;</w:t>
      </w:r>
    </w:p>
    <w:p w14:paraId="7EBB12DB" w14:textId="77777777" w:rsidR="00D850EA" w:rsidRPr="00EF01DE" w:rsidRDefault="00D850EA" w:rsidP="00D850EA">
      <w:pPr>
        <w:spacing w:before="120"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b)</w:t>
      </w:r>
      <w:r w:rsidRPr="00EF01DE">
        <w:rPr>
          <w:rFonts w:ascii="Calibri" w:eastAsia="Calibri" w:hAnsi="Calibri" w:cs="Arial"/>
          <w:sz w:val="24"/>
          <w:szCs w:val="24"/>
          <w:u w:color="000000"/>
          <w:bdr w:val="nil"/>
          <w:lang w:val="en-US" w:eastAsia="zh-CN"/>
        </w:rPr>
        <w:tab/>
        <w:t>Chapter VII of the ITU Radio Regulations for distress and safety communications and Article 5 of the International Telecommunication Regulations on the safety of human life and telecommunication priorities;</w:t>
      </w:r>
    </w:p>
    <w:p w14:paraId="69CF462E" w14:textId="77777777" w:rsidR="00D850EA" w:rsidRPr="00EF01DE" w:rsidRDefault="00D850EA" w:rsidP="00D850EA">
      <w:pPr>
        <w:spacing w:before="120"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c)</w:t>
      </w:r>
      <w:r w:rsidRPr="00EF01DE">
        <w:rPr>
          <w:rFonts w:ascii="Calibri" w:eastAsia="Calibri" w:hAnsi="Calibri" w:cs="Arial"/>
          <w:sz w:val="24"/>
          <w:szCs w:val="24"/>
          <w:u w:color="000000"/>
          <w:bdr w:val="nil"/>
          <w:lang w:val="en-US" w:eastAsia="zh-CN"/>
        </w:rPr>
        <w:tab/>
        <w:t>Plenipotentiary Conference (PP) Resolution 136 (Rev. Dubai, 2018) on the use of telecommunications/information and communication technologies for humanitarian assistance and for monitoring and management in emergency and disaster situations, including health-related emergencies, for early warning, prevention, mitigation and relief;</w:t>
      </w:r>
    </w:p>
    <w:p w14:paraId="4FC43ED5" w14:textId="77777777" w:rsidR="00D850EA" w:rsidRPr="00EF01DE" w:rsidRDefault="00D850EA" w:rsidP="00D850EA">
      <w:pPr>
        <w:spacing w:before="120"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d)</w:t>
      </w:r>
      <w:r w:rsidRPr="00EF01DE">
        <w:rPr>
          <w:rFonts w:ascii="Calibri" w:eastAsia="Calibri" w:hAnsi="Calibri" w:cs="Arial"/>
          <w:sz w:val="24"/>
          <w:szCs w:val="24"/>
          <w:u w:color="000000"/>
          <w:bdr w:val="nil"/>
          <w:lang w:val="en-US" w:eastAsia="zh-CN"/>
        </w:rPr>
        <w:tab/>
        <w:t>PP Resolution 202 (Busan, 2014) on using information and communication technologies to break the chain of health-related emergencies such as Ebola virus transmission;</w:t>
      </w:r>
    </w:p>
    <w:p w14:paraId="36AB4F57" w14:textId="77777777" w:rsidR="00D850EA" w:rsidRPr="00EF01DE" w:rsidRDefault="00D850EA" w:rsidP="00D850EA">
      <w:pPr>
        <w:spacing w:before="120"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e)</w:t>
      </w:r>
      <w:r w:rsidRPr="00EF01DE">
        <w:rPr>
          <w:rFonts w:ascii="Calibri" w:eastAsia="Calibri" w:hAnsi="Calibri" w:cs="Arial"/>
          <w:sz w:val="24"/>
          <w:szCs w:val="24"/>
          <w:u w:color="000000"/>
          <w:bdr w:val="nil"/>
          <w:lang w:val="en-US" w:eastAsia="zh-CN"/>
        </w:rPr>
        <w:tab/>
        <w:t>United Nations General Assembly Resolution 74/270 on global solidarity in the fight against coronavirus disease 2019 (COVID-19), which calls on the United Nations system to work with all relevant actors to mobilize a coordinated global effort in response to the pandemic and its adverse social, economic and financial consequences for all countries;</w:t>
      </w:r>
    </w:p>
    <w:p w14:paraId="650F8DE7" w14:textId="720507C4" w:rsidR="00D850EA" w:rsidRPr="00EF01DE" w:rsidRDefault="00D850EA" w:rsidP="00D850EA">
      <w:pPr>
        <w:spacing w:before="120"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f)</w:t>
      </w:r>
      <w:r w:rsidRPr="00EF01DE">
        <w:rPr>
          <w:rFonts w:ascii="Calibri" w:eastAsia="Calibri" w:hAnsi="Calibri" w:cs="Arial"/>
          <w:sz w:val="24"/>
          <w:szCs w:val="24"/>
          <w:u w:color="000000"/>
          <w:bdr w:val="nil"/>
          <w:lang w:val="en-US" w:eastAsia="zh-CN"/>
        </w:rPr>
        <w:tab/>
        <w:t xml:space="preserve">Subparagraph “c)” of paragraph 20 of Action Line C7 (Electronic Environmental Protection) of the Geneva Plan of Action, which calls for the establishment of ICT-based </w:t>
      </w:r>
      <w:r w:rsidRPr="00EF01DE">
        <w:rPr>
          <w:rFonts w:ascii="Calibri" w:eastAsia="Calibri" w:hAnsi="Calibri" w:cs="Arial"/>
          <w:sz w:val="24"/>
          <w:szCs w:val="24"/>
          <w:u w:color="000000"/>
          <w:bdr w:val="nil"/>
          <w:lang w:val="en-US" w:eastAsia="zh-CN"/>
        </w:rPr>
        <w:lastRenderedPageBreak/>
        <w:t xml:space="preserve">monitoring systems for forecasting and monitoring the impact of natural and man-made disasters, especially in developing countries; </w:t>
      </w:r>
    </w:p>
    <w:p w14:paraId="20C3B3D5" w14:textId="77777777" w:rsidR="00D850EA" w:rsidRPr="00EF01DE" w:rsidRDefault="00D850EA" w:rsidP="00D850EA">
      <w:pPr>
        <w:spacing w:line="276" w:lineRule="auto"/>
        <w:ind w:firstLine="0"/>
        <w:rPr>
          <w:rFonts w:asciiTheme="minorHAnsi" w:hAnsiTheme="minorHAnsi" w:cstheme="minorHAnsi"/>
          <w:sz w:val="24"/>
          <w:szCs w:val="20"/>
          <w:u w:color="000000"/>
          <w:bdr w:val="nil"/>
          <w:lang w:val="en-US" w:eastAsia="zh-CN"/>
        </w:rPr>
      </w:pPr>
      <w:r w:rsidRPr="00EF01DE">
        <w:rPr>
          <w:rFonts w:asciiTheme="minorHAnsi" w:hAnsiTheme="minorHAnsi" w:cstheme="minorHAnsi"/>
          <w:sz w:val="24"/>
          <w:szCs w:val="20"/>
          <w:u w:color="000000"/>
          <w:bdr w:val="nil"/>
          <w:lang w:val="en-US" w:eastAsia="zh-CN"/>
        </w:rPr>
        <w:t>g)</w:t>
      </w:r>
      <w:r w:rsidRPr="00EF01DE">
        <w:rPr>
          <w:rFonts w:asciiTheme="minorHAnsi" w:hAnsiTheme="minorHAnsi" w:cstheme="minorHAnsi"/>
          <w:sz w:val="24"/>
          <w:szCs w:val="20"/>
          <w:u w:color="000000"/>
          <w:bdr w:val="nil"/>
          <w:lang w:val="en-US" w:eastAsia="zh-CN"/>
        </w:rPr>
        <w:tab/>
        <w:t>Sustainable Development Goal 3 “Ensure healthy lives and promote well-being for all at all ages”, as well as SDG 9 “Build resilient infrastructure, promote inclusive and sustainable industrialization and foster innovation” and SDG 11 “Make cities and human settlements inclusive, safe, resilient and sustainable» the 2030 Agenda for Sustainable Development,</w:t>
      </w:r>
    </w:p>
    <w:p w14:paraId="0ED6AED9" w14:textId="77777777" w:rsidR="00D850EA" w:rsidRPr="00EF01DE" w:rsidRDefault="00D850EA" w:rsidP="00D850EA">
      <w:pPr>
        <w:keepNext/>
        <w:keepLines/>
        <w:tabs>
          <w:tab w:val="left" w:pos="567"/>
        </w:tabs>
        <w:overflowPunct w:val="0"/>
        <w:autoSpaceDE w:val="0"/>
        <w:autoSpaceDN w:val="0"/>
        <w:adjustRightInd w:val="0"/>
        <w:spacing w:before="160" w:line="240" w:lineRule="auto"/>
        <w:ind w:left="567" w:firstLine="0"/>
        <w:contextualSpacing w:val="0"/>
        <w:textAlignment w:val="baseline"/>
        <w:rPr>
          <w:rFonts w:ascii="Calibri" w:eastAsia="Calibri" w:hAnsi="Calibri" w:cs="Times New Roman"/>
          <w:i/>
          <w:sz w:val="24"/>
          <w:szCs w:val="24"/>
          <w:u w:color="000000"/>
          <w:bdr w:val="nil"/>
          <w:lang w:val="en-US"/>
        </w:rPr>
      </w:pPr>
      <w:r w:rsidRPr="00EF01DE">
        <w:rPr>
          <w:rFonts w:ascii="Calibri" w:eastAsia="Calibri" w:hAnsi="Calibri" w:cs="Times New Roman"/>
          <w:i/>
          <w:sz w:val="24"/>
          <w:szCs w:val="24"/>
          <w:u w:color="000000"/>
          <w:bdr w:val="nil"/>
          <w:lang w:val="en-US"/>
        </w:rPr>
        <w:t>bearing in mind</w:t>
      </w:r>
    </w:p>
    <w:p w14:paraId="5CFE84B6" w14:textId="77777777" w:rsidR="00D850EA" w:rsidRPr="00EF01DE" w:rsidRDefault="00D850EA" w:rsidP="00D850EA">
      <w:pPr>
        <w:spacing w:before="120"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i/>
          <w:iCs/>
          <w:sz w:val="24"/>
          <w:szCs w:val="24"/>
          <w:u w:color="000000"/>
          <w:bdr w:val="nil"/>
          <w:lang w:val="en-US" w:eastAsia="zh-CN"/>
        </w:rPr>
        <w:t>a)</w:t>
      </w:r>
      <w:r w:rsidRPr="00EF01DE">
        <w:rPr>
          <w:rFonts w:ascii="Calibri" w:eastAsia="Calibri" w:hAnsi="Calibri" w:cs="Arial"/>
          <w:sz w:val="24"/>
          <w:szCs w:val="24"/>
          <w:u w:color="000000"/>
          <w:bdr w:val="nil"/>
          <w:lang w:val="en-US" w:eastAsia="zh-CN"/>
        </w:rPr>
        <w:tab/>
        <w:t>the significant potential of new and emerging telecommunications/ICTs in improving the response to emergencies caused by the COVID-19 pandemic and improving the effectiveness of their prevention and mitigation;</w:t>
      </w:r>
    </w:p>
    <w:p w14:paraId="2B3617B4" w14:textId="308E1652" w:rsidR="00D850EA" w:rsidRPr="00EF01DE" w:rsidRDefault="00D850EA" w:rsidP="00D850EA">
      <w:pPr>
        <w:spacing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i/>
          <w:iCs/>
          <w:sz w:val="24"/>
          <w:szCs w:val="24"/>
          <w:u w:color="000000"/>
          <w:bdr w:val="nil"/>
          <w:lang w:val="en-US" w:eastAsia="zh-CN"/>
        </w:rPr>
        <w:t>b)</w:t>
      </w:r>
      <w:r w:rsidRPr="00EF01DE">
        <w:rPr>
          <w:rFonts w:ascii="Calibri" w:eastAsia="Calibri" w:hAnsi="Calibri" w:cs="Arial"/>
          <w:sz w:val="24"/>
          <w:szCs w:val="24"/>
          <w:u w:color="000000"/>
          <w:bdr w:val="nil"/>
          <w:lang w:val="en-US" w:eastAsia="zh-CN"/>
        </w:rPr>
        <w:tab/>
        <w:t>the tragic events around the world related to the spread of the COVID-19 pandemic, which clearly show the need for a high-quality communications infrastructure, as well as the collection and dissemination of relevant information to assist public safety, health and disaster relief agencies, as well as ensuring the continuity of</w:t>
      </w:r>
      <w:r w:rsidR="00F53703" w:rsidRPr="00EF01DE">
        <w:rPr>
          <w:rFonts w:ascii="Calibri" w:eastAsia="Calibri" w:hAnsi="Calibri" w:cs="Arial"/>
          <w:sz w:val="24"/>
          <w:szCs w:val="24"/>
          <w:u w:color="000000"/>
          <w:bdr w:val="nil"/>
          <w:lang w:val="en-US" w:eastAsia="zh-CN"/>
        </w:rPr>
        <w:t xml:space="preserve"> everyday</w:t>
      </w:r>
      <w:r w:rsidRPr="00EF01DE">
        <w:rPr>
          <w:rFonts w:ascii="Calibri" w:eastAsia="Calibri" w:hAnsi="Calibri" w:cs="Arial"/>
          <w:sz w:val="24"/>
          <w:szCs w:val="24"/>
          <w:u w:color="000000"/>
          <w:bdr w:val="nil"/>
          <w:lang w:val="en-US" w:eastAsia="zh-CN"/>
        </w:rPr>
        <w:t xml:space="preserve"> </w:t>
      </w:r>
      <w:r w:rsidR="00F53703" w:rsidRPr="00EF01DE">
        <w:rPr>
          <w:rFonts w:ascii="Calibri" w:eastAsia="Calibri" w:hAnsi="Calibri" w:cs="Arial"/>
          <w:sz w:val="24"/>
          <w:szCs w:val="24"/>
          <w:u w:color="000000"/>
          <w:bdr w:val="nil"/>
          <w:lang w:val="en-US" w:eastAsia="zh-CN"/>
        </w:rPr>
        <w:t>social and economic processes</w:t>
      </w:r>
      <w:r w:rsidR="00B04DA6" w:rsidRPr="00EF01DE">
        <w:rPr>
          <w:rFonts w:ascii="Calibri" w:eastAsia="Calibri" w:hAnsi="Calibri" w:cs="Arial"/>
          <w:sz w:val="24"/>
          <w:szCs w:val="24"/>
          <w:u w:color="000000"/>
          <w:bdr w:val="nil"/>
          <w:lang w:val="en-US" w:eastAsia="zh-CN"/>
        </w:rPr>
        <w:t xml:space="preserve"> and leaving no one </w:t>
      </w:r>
      <w:r w:rsidR="00656533" w:rsidRPr="00EF01DE">
        <w:rPr>
          <w:rFonts w:ascii="Calibri" w:eastAsia="Calibri" w:hAnsi="Calibri" w:cs="Arial"/>
          <w:sz w:val="24"/>
          <w:szCs w:val="24"/>
          <w:u w:color="000000"/>
          <w:bdr w:val="nil"/>
          <w:lang w:val="en-US" w:eastAsia="zh-CN"/>
        </w:rPr>
        <w:t>excluded from them</w:t>
      </w:r>
      <w:r w:rsidR="00F53703" w:rsidRPr="00EF01DE">
        <w:rPr>
          <w:rFonts w:ascii="Calibri" w:eastAsia="Calibri" w:hAnsi="Calibri" w:cs="Arial"/>
          <w:sz w:val="24"/>
          <w:szCs w:val="24"/>
          <w:u w:color="000000"/>
          <w:bdr w:val="nil"/>
          <w:lang w:val="en-US" w:eastAsia="zh-CN"/>
        </w:rPr>
        <w:t xml:space="preserve"> </w:t>
      </w:r>
      <w:r w:rsidRPr="00EF01DE">
        <w:rPr>
          <w:rFonts w:ascii="Calibri" w:eastAsia="Calibri" w:hAnsi="Calibri" w:cs="Arial"/>
          <w:sz w:val="24"/>
          <w:szCs w:val="24"/>
          <w:u w:color="000000"/>
          <w:bdr w:val="nil"/>
          <w:lang w:val="en-US" w:eastAsia="zh-CN"/>
        </w:rPr>
        <w:t>by using the capabilities of telecommunications / ICTs;</w:t>
      </w:r>
    </w:p>
    <w:p w14:paraId="55382935" w14:textId="77777777" w:rsidR="00D850EA" w:rsidRPr="00EF01DE" w:rsidRDefault="00D850EA" w:rsidP="00D850EA">
      <w:pPr>
        <w:spacing w:before="120"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c)</w:t>
      </w:r>
      <w:r w:rsidRPr="00EF01DE">
        <w:rPr>
          <w:rFonts w:ascii="Calibri" w:eastAsia="Calibri" w:hAnsi="Calibri" w:cs="Arial"/>
          <w:sz w:val="24"/>
          <w:szCs w:val="24"/>
          <w:u w:color="000000"/>
          <w:bdr w:val="nil"/>
          <w:lang w:val="en-US" w:eastAsia="zh-CN"/>
        </w:rPr>
        <w:tab/>
        <w:t>the need to minimize risks to human life and health and the need to meet the urgent needs of the population for information and communication, which requires the effective functioning of telecommunication/ICT systems necessary to ensure effective and appropriate humanitarian assistance, as well as measures to mitigate social consequences and economic response measures for sustainable and inclusive recovery;</w:t>
      </w:r>
    </w:p>
    <w:p w14:paraId="6691C7C5" w14:textId="77777777" w:rsidR="00D850EA" w:rsidRPr="00EF01DE" w:rsidRDefault="00D850EA" w:rsidP="00D850EA">
      <w:pPr>
        <w:keepNext/>
        <w:keepLines/>
        <w:tabs>
          <w:tab w:val="left" w:pos="567"/>
        </w:tabs>
        <w:overflowPunct w:val="0"/>
        <w:autoSpaceDE w:val="0"/>
        <w:autoSpaceDN w:val="0"/>
        <w:adjustRightInd w:val="0"/>
        <w:spacing w:before="160" w:line="240" w:lineRule="auto"/>
        <w:ind w:left="567" w:firstLine="0"/>
        <w:contextualSpacing w:val="0"/>
        <w:textAlignment w:val="baseline"/>
        <w:rPr>
          <w:rFonts w:ascii="Calibri" w:eastAsia="Calibri" w:hAnsi="Calibri" w:cs="Times New Roman"/>
          <w:i/>
          <w:sz w:val="24"/>
          <w:szCs w:val="24"/>
          <w:u w:color="000000"/>
          <w:bdr w:val="nil"/>
          <w:lang w:val="en-US"/>
        </w:rPr>
      </w:pPr>
      <w:r w:rsidRPr="00EF01DE">
        <w:rPr>
          <w:rFonts w:ascii="Calibri" w:eastAsia="Calibri" w:hAnsi="Calibri" w:cs="Times New Roman"/>
          <w:i/>
          <w:sz w:val="24"/>
          <w:szCs w:val="24"/>
          <w:u w:color="000000"/>
          <w:bdr w:val="nil"/>
          <w:lang w:val="en-US"/>
        </w:rPr>
        <w:t>recognizing</w:t>
      </w:r>
    </w:p>
    <w:p w14:paraId="01A9B187" w14:textId="77777777" w:rsidR="00D850EA" w:rsidRPr="00EF01DE" w:rsidRDefault="00D850EA" w:rsidP="00D850EA">
      <w:pPr>
        <w:spacing w:before="120" w:after="200" w:line="240"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i/>
          <w:iCs/>
          <w:sz w:val="24"/>
          <w:szCs w:val="24"/>
          <w:u w:color="000000"/>
          <w:bdr w:val="nil"/>
          <w:lang w:val="en-US" w:eastAsia="zh-CN"/>
        </w:rPr>
        <w:t>a)</w:t>
      </w:r>
      <w:r w:rsidRPr="00EF01DE">
        <w:rPr>
          <w:rFonts w:ascii="Calibri" w:eastAsia="Calibri" w:hAnsi="Calibri" w:cs="Arial"/>
          <w:sz w:val="24"/>
          <w:szCs w:val="24"/>
          <w:u w:color="000000"/>
          <w:bdr w:val="nil"/>
          <w:lang w:val="en-US" w:eastAsia="zh-CN"/>
        </w:rPr>
        <w:tab/>
        <w:t>that ITU, being the UN specialized Agency for Telecommunication/ICT, plays an important leading role in the implementation of WSIS and achieving the SDGs;</w:t>
      </w:r>
    </w:p>
    <w:p w14:paraId="660C3D2A" w14:textId="18C651EC" w:rsidR="00D850EA" w:rsidRPr="00EF01DE" w:rsidRDefault="00D850EA" w:rsidP="00D850EA">
      <w:pPr>
        <w:spacing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i/>
          <w:iCs/>
          <w:sz w:val="24"/>
          <w:szCs w:val="24"/>
          <w:u w:color="000000"/>
          <w:bdr w:val="nil"/>
          <w:lang w:val="en-US" w:eastAsia="zh-CN"/>
        </w:rPr>
        <w:t>b)</w:t>
      </w:r>
      <w:r w:rsidRPr="00EF01DE">
        <w:rPr>
          <w:rFonts w:ascii="Calibri" w:eastAsia="Calibri" w:hAnsi="Calibri" w:cs="Arial"/>
          <w:sz w:val="24"/>
          <w:szCs w:val="24"/>
          <w:u w:color="000000"/>
          <w:bdr w:val="nil"/>
          <w:lang w:val="en-US" w:eastAsia="zh-CN"/>
        </w:rPr>
        <w:tab/>
        <w:t xml:space="preserve">the ongoing work in ITU and ITU study groups related to new and emerging telecommunications/ICTs and trends, a wide range of ITU standards, ensuring the efficient use of telecommunication/ICT systems and applications for solving various social, economic and production tasks, as well as </w:t>
      </w:r>
      <w:r w:rsidR="00DB29AE" w:rsidRPr="00EF01DE">
        <w:rPr>
          <w:rFonts w:ascii="Calibri" w:eastAsia="Calibri" w:hAnsi="Calibri" w:cs="Arial"/>
          <w:sz w:val="24"/>
          <w:szCs w:val="24"/>
          <w:u w:color="000000"/>
          <w:bdr w:val="nil"/>
          <w:lang w:val="en-US" w:eastAsia="zh-CN"/>
        </w:rPr>
        <w:t xml:space="preserve">other relevant </w:t>
      </w:r>
      <w:r w:rsidRPr="00EF01DE">
        <w:rPr>
          <w:rFonts w:ascii="Calibri" w:eastAsia="Calibri" w:hAnsi="Calibri" w:cs="Arial"/>
          <w:sz w:val="24"/>
          <w:szCs w:val="24"/>
          <w:u w:color="000000"/>
          <w:bdr w:val="nil"/>
          <w:lang w:val="en-US" w:eastAsia="zh-CN"/>
        </w:rPr>
        <w:t>ITU's best practices;</w:t>
      </w:r>
    </w:p>
    <w:p w14:paraId="7E936C24" w14:textId="77777777" w:rsidR="00D850EA" w:rsidRPr="00EF01DE" w:rsidRDefault="00D850EA" w:rsidP="00D850EA">
      <w:pPr>
        <w:spacing w:after="200" w:line="276" w:lineRule="auto"/>
        <w:ind w:firstLine="0"/>
        <w:contextualSpacing w:val="0"/>
        <w:rPr>
          <w:rFonts w:ascii="Calibri" w:eastAsia="Calibri" w:hAnsi="Calibri" w:cs="Arial"/>
          <w:sz w:val="24"/>
          <w:szCs w:val="24"/>
          <w:u w:color="000000"/>
          <w:bdr w:val="nil"/>
          <w:rtl/>
          <w:lang w:val="en-US" w:eastAsia="zh-CN"/>
        </w:rPr>
      </w:pPr>
      <w:r w:rsidRPr="00EF01DE">
        <w:rPr>
          <w:rFonts w:ascii="Calibri" w:eastAsia="Calibri" w:hAnsi="Calibri" w:cs="Arial"/>
          <w:i/>
          <w:iCs/>
          <w:sz w:val="24"/>
          <w:szCs w:val="24"/>
          <w:u w:color="000000"/>
          <w:bdr w:val="nil"/>
          <w:lang w:val="en-US" w:eastAsia="zh-CN"/>
        </w:rPr>
        <w:t>c)</w:t>
      </w:r>
      <w:r w:rsidRPr="00EF01DE">
        <w:rPr>
          <w:rFonts w:ascii="Calibri" w:eastAsia="Calibri" w:hAnsi="Calibri" w:cs="Arial"/>
          <w:i/>
          <w:iCs/>
          <w:sz w:val="24"/>
          <w:szCs w:val="24"/>
          <w:u w:color="000000"/>
          <w:bdr w:val="nil"/>
          <w:lang w:val="en-US" w:eastAsia="zh-CN"/>
        </w:rPr>
        <w:tab/>
      </w:r>
      <w:r w:rsidRPr="00EF01DE">
        <w:rPr>
          <w:rFonts w:ascii="Calibri" w:eastAsia="Calibri" w:hAnsi="Calibri" w:cs="Arial"/>
          <w:sz w:val="24"/>
          <w:szCs w:val="24"/>
          <w:u w:color="000000"/>
          <w:bdr w:val="nil"/>
          <w:lang w:val="en-US" w:eastAsia="zh-CN"/>
        </w:rPr>
        <w:t>ITU's already launched initiatives to defeat COVID-19, including with other UN organizations and the private sector, including but not limited to the Global Network Resiliency Platform (#REG4COVID) and webinar series on Digital Cooperation during COVID19 and beyond,</w:t>
      </w:r>
    </w:p>
    <w:p w14:paraId="78A89E5B" w14:textId="77777777" w:rsidR="00D850EA" w:rsidRPr="00EF01DE" w:rsidRDefault="00D850EA" w:rsidP="00D850EA">
      <w:pPr>
        <w:keepNext/>
        <w:keepLines/>
        <w:tabs>
          <w:tab w:val="left" w:pos="567"/>
        </w:tabs>
        <w:overflowPunct w:val="0"/>
        <w:autoSpaceDE w:val="0"/>
        <w:autoSpaceDN w:val="0"/>
        <w:adjustRightInd w:val="0"/>
        <w:spacing w:before="160" w:after="240" w:line="240" w:lineRule="auto"/>
        <w:ind w:left="567" w:firstLine="0"/>
        <w:contextualSpacing w:val="0"/>
        <w:textAlignment w:val="baseline"/>
        <w:rPr>
          <w:rFonts w:ascii="Calibri" w:eastAsia="Calibri" w:hAnsi="Calibri" w:cs="Times New Roman"/>
          <w:i/>
          <w:sz w:val="24"/>
          <w:szCs w:val="24"/>
          <w:u w:color="000000"/>
          <w:bdr w:val="nil"/>
          <w:lang w:val="en-US"/>
        </w:rPr>
      </w:pPr>
      <w:r w:rsidRPr="00EF01DE">
        <w:rPr>
          <w:rFonts w:ascii="Calibri" w:eastAsia="Calibri" w:hAnsi="Calibri" w:cs="Times New Roman"/>
          <w:i/>
          <w:sz w:val="24"/>
          <w:szCs w:val="24"/>
          <w:u w:color="000000"/>
          <w:bdr w:val="nil"/>
          <w:lang w:val="en-US"/>
        </w:rPr>
        <w:t xml:space="preserve">in the view that there is a need for Member States, Sector Members and interested parties </w:t>
      </w:r>
    </w:p>
    <w:p w14:paraId="77CFFDDE" w14:textId="1F8C9F11" w:rsidR="00D850EA" w:rsidRPr="00EF01DE" w:rsidRDefault="00D850EA" w:rsidP="00D850EA">
      <w:pPr>
        <w:spacing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1</w:t>
      </w:r>
      <w:r w:rsidRPr="00EF01DE">
        <w:rPr>
          <w:rFonts w:ascii="Calibri" w:eastAsia="Calibri" w:hAnsi="Calibri" w:cs="Arial"/>
          <w:i/>
          <w:iCs/>
          <w:sz w:val="24"/>
          <w:szCs w:val="24"/>
          <w:u w:color="000000"/>
          <w:bdr w:val="nil"/>
          <w:lang w:val="en-US" w:eastAsia="zh-CN"/>
        </w:rPr>
        <w:tab/>
      </w:r>
      <w:r w:rsidRPr="00EF01DE">
        <w:rPr>
          <w:rFonts w:ascii="Calibri" w:eastAsia="Calibri" w:hAnsi="Calibri" w:cs="Arial"/>
          <w:sz w:val="24"/>
          <w:szCs w:val="24"/>
          <w:u w:color="000000"/>
          <w:bdr w:val="nil"/>
          <w:lang w:val="en-US" w:eastAsia="zh-CN"/>
        </w:rPr>
        <w:t xml:space="preserve">to cooperate and offer all possible assistance and support to consumers, organizations, and, if possible, other countries, especially developing countries, in the </w:t>
      </w:r>
      <w:r w:rsidRPr="00EF01DE">
        <w:rPr>
          <w:rFonts w:ascii="Calibri" w:eastAsia="Calibri" w:hAnsi="Calibri" w:cs="Arial"/>
          <w:sz w:val="24"/>
          <w:szCs w:val="24"/>
          <w:u w:color="000000"/>
          <w:bdr w:val="nil"/>
          <w:lang w:val="en-US" w:eastAsia="zh-CN"/>
        </w:rPr>
        <w:lastRenderedPageBreak/>
        <w:t>provision of humanitarian assistance and support for sectors related to telecommunications/ICTs, including for disease tracking, response, and public warning on measures taken, ensuring conditions for preserving, if possible, jobs</w:t>
      </w:r>
      <w:r w:rsidR="00F53703" w:rsidRPr="00EF01DE">
        <w:rPr>
          <w:rFonts w:ascii="Calibri" w:eastAsia="Calibri" w:hAnsi="Calibri" w:cs="Arial"/>
          <w:sz w:val="24"/>
          <w:szCs w:val="24"/>
          <w:u w:color="000000"/>
          <w:bdr w:val="nil"/>
          <w:lang w:val="en-US" w:eastAsia="zh-CN"/>
        </w:rPr>
        <w:t>, especially for small and medium enterprises (SMEs),</w:t>
      </w:r>
      <w:r w:rsidRPr="00EF01DE">
        <w:rPr>
          <w:rFonts w:ascii="Calibri" w:eastAsia="Calibri" w:hAnsi="Calibri" w:cs="Arial"/>
          <w:sz w:val="24"/>
          <w:szCs w:val="24"/>
          <w:u w:color="000000"/>
          <w:bdr w:val="nil"/>
          <w:lang w:val="en-US" w:eastAsia="zh-CN"/>
        </w:rPr>
        <w:t xml:space="preserve"> and continuing the educational process during a pandemic and mitigating its adverse social, economic and financial consequences;</w:t>
      </w:r>
    </w:p>
    <w:p w14:paraId="014B34C0" w14:textId="77777777" w:rsidR="00D850EA" w:rsidRPr="00EF01DE" w:rsidRDefault="00D850EA" w:rsidP="00D850EA">
      <w:pPr>
        <w:spacing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2</w:t>
      </w:r>
      <w:r w:rsidRPr="00EF01DE">
        <w:rPr>
          <w:rFonts w:ascii="Calibri" w:eastAsia="Calibri" w:hAnsi="Calibri" w:cs="Arial"/>
          <w:sz w:val="24"/>
          <w:szCs w:val="24"/>
          <w:u w:color="000000"/>
          <w:bdr w:val="nil"/>
          <w:lang w:val="en-US" w:eastAsia="zh-CN"/>
        </w:rPr>
        <w:tab/>
        <w:t xml:space="preserve">to assist in the implementation of international, regional, </w:t>
      </w:r>
      <w:proofErr w:type="spellStart"/>
      <w:r w:rsidRPr="00EF01DE">
        <w:rPr>
          <w:rFonts w:ascii="Calibri" w:eastAsia="Calibri" w:hAnsi="Calibri" w:cs="Arial"/>
          <w:sz w:val="24"/>
          <w:szCs w:val="24"/>
          <w:u w:color="000000"/>
          <w:bdr w:val="nil"/>
          <w:lang w:val="en-US" w:eastAsia="zh-CN"/>
        </w:rPr>
        <w:t>subregional</w:t>
      </w:r>
      <w:proofErr w:type="spellEnd"/>
      <w:r w:rsidRPr="00EF01DE">
        <w:rPr>
          <w:rFonts w:ascii="Calibri" w:eastAsia="Calibri" w:hAnsi="Calibri" w:cs="Arial"/>
          <w:sz w:val="24"/>
          <w:szCs w:val="24"/>
          <w:u w:color="000000"/>
          <w:bdr w:val="nil"/>
          <w:lang w:val="en-US" w:eastAsia="zh-CN"/>
        </w:rPr>
        <w:t>, multilateral and bilateral projects and programs that serve the interests of using telecommunications / ICTs as a support tool in responding to the consequences of the COVID 19 pandemic, in order to break the chain of emergency situations caused by the COVID-19 pandemic, and to facilitate the elimination of its consequences, including providing local communities with infrastructure and information, especially in local languages, to help preserve human life;</w:t>
      </w:r>
    </w:p>
    <w:p w14:paraId="3D334A0B" w14:textId="77777777" w:rsidR="00D850EA" w:rsidRPr="00EF01DE" w:rsidRDefault="00D850EA" w:rsidP="00D850EA">
      <w:pPr>
        <w:spacing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3</w:t>
      </w:r>
      <w:r w:rsidRPr="00EF01DE">
        <w:rPr>
          <w:rFonts w:ascii="Calibri" w:eastAsia="Calibri" w:hAnsi="Calibri" w:cs="Arial"/>
          <w:sz w:val="24"/>
          <w:szCs w:val="24"/>
          <w:u w:color="000000"/>
          <w:bdr w:val="nil"/>
          <w:lang w:val="en-US" w:eastAsia="zh-CN"/>
        </w:rPr>
        <w:tab/>
        <w:t>to take an active role in developing standards, guidelines and best practices for the use of telecommunications / ICTs in emergencies and disasters caused by epidemics and pandemics.</w:t>
      </w:r>
    </w:p>
    <w:p w14:paraId="73AC6CD9" w14:textId="77777777" w:rsidR="00D850EA" w:rsidRPr="00EF01DE" w:rsidRDefault="00D850EA" w:rsidP="00D850EA">
      <w:pPr>
        <w:keepNext/>
        <w:keepLines/>
        <w:tabs>
          <w:tab w:val="left" w:pos="567"/>
        </w:tabs>
        <w:overflowPunct w:val="0"/>
        <w:autoSpaceDE w:val="0"/>
        <w:autoSpaceDN w:val="0"/>
        <w:adjustRightInd w:val="0"/>
        <w:spacing w:before="160" w:after="240" w:line="240" w:lineRule="auto"/>
        <w:ind w:left="567" w:firstLine="0"/>
        <w:contextualSpacing w:val="0"/>
        <w:textAlignment w:val="baseline"/>
        <w:rPr>
          <w:rFonts w:ascii="Calibri" w:eastAsia="Calibri" w:hAnsi="Calibri" w:cs="Times New Roman"/>
          <w:i/>
          <w:sz w:val="24"/>
          <w:szCs w:val="24"/>
          <w:u w:color="000000"/>
          <w:bdr w:val="nil"/>
          <w:lang w:val="en-US"/>
        </w:rPr>
      </w:pPr>
      <w:r w:rsidRPr="00EF01DE">
        <w:rPr>
          <w:rFonts w:ascii="Calibri" w:eastAsia="Calibri" w:hAnsi="Calibri" w:cs="Times New Roman"/>
          <w:i/>
          <w:sz w:val="24"/>
          <w:szCs w:val="24"/>
          <w:u w:color="000000"/>
          <w:bdr w:val="nil"/>
          <w:lang w:val="en-US"/>
        </w:rPr>
        <w:t xml:space="preserve">invites </w:t>
      </w:r>
    </w:p>
    <w:p w14:paraId="38D8B8DE" w14:textId="77777777" w:rsidR="00D850EA" w:rsidRPr="008862FA" w:rsidRDefault="00D850EA" w:rsidP="00D850EA">
      <w:pPr>
        <w:spacing w:after="200" w:line="276" w:lineRule="auto"/>
        <w:ind w:firstLine="0"/>
        <w:contextualSpacing w:val="0"/>
        <w:rPr>
          <w:rFonts w:ascii="Calibri" w:eastAsia="Calibri" w:hAnsi="Calibri" w:cs="Arial"/>
          <w:sz w:val="24"/>
          <w:szCs w:val="24"/>
          <w:u w:color="000000"/>
          <w:bdr w:val="nil"/>
          <w:lang w:val="en-US" w:eastAsia="zh-CN"/>
        </w:rPr>
      </w:pPr>
      <w:r w:rsidRPr="00EF01DE">
        <w:rPr>
          <w:rFonts w:ascii="Calibri" w:eastAsia="Calibri" w:hAnsi="Calibri" w:cs="Arial"/>
          <w:sz w:val="24"/>
          <w:szCs w:val="24"/>
          <w:u w:color="000000"/>
          <w:bdr w:val="nil"/>
          <w:lang w:val="en-US" w:eastAsia="zh-CN"/>
        </w:rPr>
        <w:t>Member States, Sector Members and interested parties to collaborate accordingly</w:t>
      </w:r>
    </w:p>
    <w:p w14:paraId="6D38F62F" w14:textId="77777777" w:rsidR="001E0506" w:rsidRPr="0080767D" w:rsidRDefault="00224370">
      <w:pPr>
        <w:rPr>
          <w:lang w:val="en-US"/>
        </w:rPr>
      </w:pPr>
    </w:p>
    <w:sectPr w:rsidR="001E0506" w:rsidRPr="0080767D" w:rsidSect="00EC376A">
      <w:headerReference w:type="default" r:id="rId7"/>
      <w:head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F1792" w14:textId="77777777" w:rsidR="00661AFA" w:rsidRDefault="00661AFA">
      <w:pPr>
        <w:spacing w:line="240" w:lineRule="auto"/>
      </w:pPr>
      <w:r>
        <w:separator/>
      </w:r>
    </w:p>
  </w:endnote>
  <w:endnote w:type="continuationSeparator" w:id="0">
    <w:p w14:paraId="610FD347" w14:textId="77777777" w:rsidR="00661AFA" w:rsidRDefault="00661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9A869" w14:textId="77777777" w:rsidR="00661AFA" w:rsidRDefault="00661AFA">
      <w:pPr>
        <w:spacing w:line="240" w:lineRule="auto"/>
      </w:pPr>
      <w:r>
        <w:separator/>
      </w:r>
    </w:p>
  </w:footnote>
  <w:footnote w:type="continuationSeparator" w:id="0">
    <w:p w14:paraId="5A5FAEC5" w14:textId="77777777" w:rsidR="00661AFA" w:rsidRDefault="00661A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5066D209" w14:textId="77777777" w:rsidR="008B5522" w:rsidRDefault="00D850EA" w:rsidP="00EC376A">
        <w:pPr>
          <w:pStyle w:val="Header"/>
          <w:jc w:val="center"/>
        </w:pPr>
        <w:proofErr w:type="spellStart"/>
        <w:r w:rsidRPr="009D56B5">
          <w:rPr>
            <w:sz w:val="18"/>
          </w:rPr>
          <w:t>Page</w:t>
        </w:r>
        <w:proofErr w:type="spellEnd"/>
        <w:r w:rsidRPr="009D56B5">
          <w:rPr>
            <w:sz w:val="18"/>
          </w:rPr>
          <w:t xml:space="preserv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Pr>
            <w:bCs/>
            <w:noProof/>
            <w:sz w:val="18"/>
          </w:rPr>
          <w:t>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Pr>
            <w:bCs/>
            <w:noProof/>
            <w:sz w:val="18"/>
          </w:rPr>
          <w:t>3</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5607" w14:textId="77777777" w:rsidR="008B5522" w:rsidRDefault="00224370" w:rsidP="00EC376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EA"/>
    <w:rsid w:val="000E4CB7"/>
    <w:rsid w:val="00157906"/>
    <w:rsid w:val="00224370"/>
    <w:rsid w:val="00656533"/>
    <w:rsid w:val="00661AFA"/>
    <w:rsid w:val="0080767D"/>
    <w:rsid w:val="008133D7"/>
    <w:rsid w:val="00922E68"/>
    <w:rsid w:val="009630F0"/>
    <w:rsid w:val="00A22709"/>
    <w:rsid w:val="00B04DA6"/>
    <w:rsid w:val="00D850EA"/>
    <w:rsid w:val="00DB29AE"/>
    <w:rsid w:val="00EF01DE"/>
    <w:rsid w:val="00F5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C992"/>
  <w15:chartTrackingRefBased/>
  <w15:docId w15:val="{CB3F1060-452C-49FE-AD83-E42B770E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EA"/>
    <w:pPr>
      <w:spacing w:after="0" w:line="360" w:lineRule="auto"/>
      <w:ind w:firstLine="709"/>
      <w:contextualSpacing/>
      <w:jc w:val="both"/>
    </w:pPr>
    <w:rPr>
      <w:rFonts w:ascii="Times New Roman" w:hAnsi="Times New Roman"/>
      <w:sz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50EA"/>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D850EA"/>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4842</Characters>
  <Application>Microsoft Office Word</Application>
  <DocSecurity>4</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Janin, Patricia</cp:lastModifiedBy>
  <cp:revision>2</cp:revision>
  <dcterms:created xsi:type="dcterms:W3CDTF">2020-07-28T10:00:00Z</dcterms:created>
  <dcterms:modified xsi:type="dcterms:W3CDTF">2020-07-28T10:00:00Z</dcterms:modified>
</cp:coreProperties>
</file>