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Layout w:type="fixed"/>
        <w:tblLook w:val="0000" w:firstRow="0" w:lastRow="0" w:firstColumn="0" w:lastColumn="0" w:noHBand="0" w:noVBand="0"/>
      </w:tblPr>
      <w:tblGrid>
        <w:gridCol w:w="6237"/>
        <w:gridCol w:w="3600"/>
      </w:tblGrid>
      <w:tr w:rsidR="00D9023E" w:rsidTr="00231F74">
        <w:trPr>
          <w:cantSplit/>
          <w:trHeight w:val="851"/>
        </w:trPr>
        <w:tc>
          <w:tcPr>
            <w:tcW w:w="6237" w:type="dxa"/>
            <w:vAlign w:val="center"/>
          </w:tcPr>
          <w:p w:rsidR="00D9023E" w:rsidRPr="00D9023E" w:rsidRDefault="00D9023E" w:rsidP="00231F74">
            <w:pPr>
              <w:shd w:val="solid" w:color="FFFFFF" w:fill="FFFFFF"/>
              <w:spacing w:before="40" w:line="240" w:lineRule="auto"/>
              <w:rPr>
                <w:rFonts w:cstheme="minorHAnsi"/>
                <w:b/>
                <w:sz w:val="30"/>
                <w:szCs w:val="30"/>
                <w:lang w:val="en-GB"/>
              </w:rPr>
            </w:pPr>
            <w:r w:rsidRPr="00D9023E">
              <w:rPr>
                <w:rFonts w:cstheme="minorHAnsi"/>
                <w:b/>
                <w:sz w:val="30"/>
                <w:szCs w:val="30"/>
                <w:lang w:val="en-GB"/>
              </w:rPr>
              <w:t>Informal Experts Group on WTPF-21</w:t>
            </w:r>
            <w:r w:rsidRPr="00D9023E">
              <w:rPr>
                <w:rFonts w:cstheme="minorHAnsi"/>
                <w:b/>
                <w:sz w:val="30"/>
                <w:szCs w:val="30"/>
                <w:lang w:val="en-GB"/>
              </w:rPr>
              <w:br/>
            </w:r>
            <w:r w:rsidRPr="00D9023E">
              <w:rPr>
                <w:rFonts w:cstheme="minorHAnsi"/>
                <w:b/>
                <w:sz w:val="24"/>
                <w:szCs w:val="24"/>
                <w:lang w:val="en-GB"/>
              </w:rPr>
              <w:t>Second meeting - Geneva, 10-11 February 2020</w:t>
            </w:r>
          </w:p>
        </w:tc>
        <w:tc>
          <w:tcPr>
            <w:tcW w:w="3600" w:type="dxa"/>
            <w:vAlign w:val="center"/>
          </w:tcPr>
          <w:p w:rsidR="00D9023E" w:rsidRDefault="00D9023E" w:rsidP="00231F74">
            <w:pPr>
              <w:pStyle w:val="dnum"/>
              <w:framePr w:hSpace="0" w:wrap="auto" w:vAnchor="margin" w:hAnchor="text" w:yAlign="inline"/>
              <w:spacing w:after="120"/>
            </w:pPr>
            <w:r>
              <w:rPr>
                <w:noProof/>
              </w:rPr>
              <w:drawing>
                <wp:inline distT="0" distB="0" distL="0" distR="0" wp14:anchorId="1E9116DB" wp14:editId="3F269072">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D9023E" w:rsidRPr="00F5094D" w:rsidTr="00231F74">
        <w:trPr>
          <w:cantSplit/>
          <w:trHeight w:val="138"/>
        </w:trPr>
        <w:tc>
          <w:tcPr>
            <w:tcW w:w="6237" w:type="dxa"/>
            <w:tcBorders>
              <w:top w:val="single" w:sz="12" w:space="0" w:color="auto"/>
            </w:tcBorders>
          </w:tcPr>
          <w:p w:rsidR="00D9023E" w:rsidRDefault="00D9023E" w:rsidP="00231F74">
            <w:pPr>
              <w:shd w:val="solid" w:color="FFFFFF" w:fill="FFFFFF"/>
              <w:spacing w:after="0" w:line="240" w:lineRule="auto"/>
              <w:ind w:right="284"/>
            </w:pPr>
          </w:p>
        </w:tc>
        <w:tc>
          <w:tcPr>
            <w:tcW w:w="3600" w:type="dxa"/>
            <w:tcBorders>
              <w:top w:val="single" w:sz="12" w:space="0" w:color="auto"/>
            </w:tcBorders>
          </w:tcPr>
          <w:p w:rsidR="00D9023E" w:rsidRPr="00F5094D" w:rsidRDefault="00D9023E" w:rsidP="00231F74">
            <w:pPr>
              <w:tabs>
                <w:tab w:val="left" w:pos="851"/>
              </w:tabs>
              <w:spacing w:after="0" w:line="240" w:lineRule="auto"/>
              <w:ind w:right="284"/>
              <w:rPr>
                <w:rFonts w:ascii="Times New Roman Bold" w:hAnsi="Times New Roman Bold" w:cs="Times New Roman Bold"/>
                <w:b/>
              </w:rPr>
            </w:pPr>
          </w:p>
        </w:tc>
      </w:tr>
      <w:tr w:rsidR="00D9023E" w:rsidRPr="00F73F28" w:rsidTr="00231F74">
        <w:trPr>
          <w:cantSplit/>
          <w:trHeight w:val="138"/>
        </w:trPr>
        <w:tc>
          <w:tcPr>
            <w:tcW w:w="6237" w:type="dxa"/>
          </w:tcPr>
          <w:p w:rsidR="00D9023E" w:rsidRPr="002238C4" w:rsidRDefault="00D9023E" w:rsidP="00231F74">
            <w:pPr>
              <w:spacing w:after="0" w:line="240" w:lineRule="auto"/>
              <w:rPr>
                <w:b/>
                <w:bCs/>
                <w:sz w:val="24"/>
                <w:szCs w:val="24"/>
              </w:rPr>
            </w:pPr>
          </w:p>
        </w:tc>
        <w:tc>
          <w:tcPr>
            <w:tcW w:w="3600" w:type="dxa"/>
          </w:tcPr>
          <w:p w:rsidR="00D9023E" w:rsidRPr="00F73F28" w:rsidRDefault="00D9023E" w:rsidP="00D9023E">
            <w:pPr>
              <w:spacing w:after="0" w:line="240" w:lineRule="auto"/>
              <w:rPr>
                <w:rFonts w:cstheme="minorHAnsi"/>
                <w:b/>
                <w:bCs/>
                <w:sz w:val="24"/>
                <w:szCs w:val="24"/>
                <w:lang w:val="fr-CH"/>
              </w:rPr>
            </w:pPr>
            <w:r w:rsidRPr="00F73F28">
              <w:rPr>
                <w:rFonts w:cstheme="minorHAnsi"/>
                <w:b/>
                <w:sz w:val="24"/>
                <w:szCs w:val="24"/>
                <w:lang w:val="fr-CH"/>
              </w:rPr>
              <w:t>Document IEG-WTPF-21-2/</w:t>
            </w:r>
            <w:r>
              <w:rPr>
                <w:rFonts w:cstheme="minorHAnsi"/>
                <w:b/>
                <w:sz w:val="24"/>
                <w:szCs w:val="24"/>
                <w:lang w:val="fr-CH"/>
              </w:rPr>
              <w:t>8</w:t>
            </w:r>
            <w:r w:rsidRPr="00F73F28">
              <w:rPr>
                <w:rFonts w:cstheme="minorHAnsi"/>
                <w:b/>
                <w:sz w:val="24"/>
                <w:szCs w:val="24"/>
                <w:lang w:val="fr-CH"/>
              </w:rPr>
              <w:t>-E</w:t>
            </w:r>
          </w:p>
        </w:tc>
      </w:tr>
      <w:tr w:rsidR="00D9023E" w:rsidRPr="00F73F28" w:rsidTr="00231F74">
        <w:trPr>
          <w:cantSplit/>
          <w:trHeight w:val="138"/>
        </w:trPr>
        <w:tc>
          <w:tcPr>
            <w:tcW w:w="6237" w:type="dxa"/>
          </w:tcPr>
          <w:p w:rsidR="00D9023E" w:rsidRPr="00D30768" w:rsidRDefault="00D9023E" w:rsidP="00231F74">
            <w:pPr>
              <w:shd w:val="solid" w:color="FFFFFF" w:fill="FFFFFF"/>
              <w:spacing w:after="0" w:line="240" w:lineRule="auto"/>
              <w:ind w:right="284"/>
              <w:rPr>
                <w:lang w:val="fr-CH"/>
              </w:rPr>
            </w:pPr>
          </w:p>
        </w:tc>
        <w:tc>
          <w:tcPr>
            <w:tcW w:w="3600" w:type="dxa"/>
          </w:tcPr>
          <w:p w:rsidR="00D9023E" w:rsidRPr="00F73F28" w:rsidRDefault="00D9023E" w:rsidP="00231F74">
            <w:pPr>
              <w:tabs>
                <w:tab w:val="left" w:pos="851"/>
              </w:tabs>
              <w:spacing w:after="0" w:line="240" w:lineRule="auto"/>
              <w:ind w:right="284"/>
              <w:rPr>
                <w:rFonts w:cstheme="minorHAnsi"/>
                <w:b/>
                <w:sz w:val="24"/>
                <w:szCs w:val="24"/>
              </w:rPr>
            </w:pPr>
            <w:r>
              <w:rPr>
                <w:rFonts w:cstheme="minorHAnsi"/>
                <w:b/>
                <w:sz w:val="24"/>
                <w:szCs w:val="24"/>
              </w:rPr>
              <w:t>23</w:t>
            </w:r>
            <w:r w:rsidRPr="00F73F28">
              <w:rPr>
                <w:rFonts w:cstheme="minorHAnsi"/>
                <w:b/>
                <w:sz w:val="24"/>
                <w:szCs w:val="24"/>
              </w:rPr>
              <w:t xml:space="preserve"> </w:t>
            </w:r>
            <w:proofErr w:type="spellStart"/>
            <w:r w:rsidRPr="00F73F28">
              <w:rPr>
                <w:rFonts w:cstheme="minorHAnsi"/>
                <w:b/>
                <w:sz w:val="24"/>
                <w:szCs w:val="24"/>
              </w:rPr>
              <w:t>December</w:t>
            </w:r>
            <w:proofErr w:type="spellEnd"/>
            <w:r w:rsidRPr="00F73F28">
              <w:rPr>
                <w:rFonts w:cstheme="minorHAnsi"/>
                <w:b/>
                <w:sz w:val="24"/>
                <w:szCs w:val="24"/>
              </w:rPr>
              <w:t xml:space="preserve"> 2019</w:t>
            </w:r>
          </w:p>
        </w:tc>
      </w:tr>
      <w:tr w:rsidR="00D9023E" w:rsidRPr="00F73F28" w:rsidTr="00231F74">
        <w:trPr>
          <w:cantSplit/>
          <w:trHeight w:val="138"/>
        </w:trPr>
        <w:tc>
          <w:tcPr>
            <w:tcW w:w="6237" w:type="dxa"/>
          </w:tcPr>
          <w:p w:rsidR="00D9023E" w:rsidRDefault="00D9023E" w:rsidP="00231F74">
            <w:pPr>
              <w:shd w:val="solid" w:color="FFFFFF" w:fill="FFFFFF"/>
              <w:spacing w:after="0" w:line="240" w:lineRule="auto"/>
              <w:ind w:right="284"/>
            </w:pPr>
          </w:p>
        </w:tc>
        <w:tc>
          <w:tcPr>
            <w:tcW w:w="3600" w:type="dxa"/>
          </w:tcPr>
          <w:p w:rsidR="00D9023E" w:rsidRPr="00F73F28" w:rsidRDefault="00D9023E" w:rsidP="00231F74">
            <w:pPr>
              <w:tabs>
                <w:tab w:val="left" w:pos="851"/>
              </w:tabs>
              <w:spacing w:after="0" w:line="240" w:lineRule="auto"/>
              <w:ind w:right="284"/>
              <w:rPr>
                <w:rFonts w:cstheme="minorHAnsi"/>
                <w:b/>
                <w:sz w:val="24"/>
                <w:szCs w:val="24"/>
              </w:rPr>
            </w:pPr>
            <w:proofErr w:type="spellStart"/>
            <w:r>
              <w:rPr>
                <w:rFonts w:cstheme="minorHAnsi"/>
                <w:b/>
                <w:sz w:val="24"/>
                <w:szCs w:val="24"/>
              </w:rPr>
              <w:t>English</w:t>
            </w:r>
            <w:proofErr w:type="spellEnd"/>
            <w:r>
              <w:rPr>
                <w:rFonts w:cstheme="minorHAnsi"/>
                <w:b/>
                <w:sz w:val="24"/>
                <w:szCs w:val="24"/>
              </w:rPr>
              <w:t xml:space="preserve"> </w:t>
            </w:r>
            <w:proofErr w:type="spellStart"/>
            <w:r>
              <w:rPr>
                <w:rFonts w:cstheme="minorHAnsi"/>
                <w:b/>
                <w:sz w:val="24"/>
                <w:szCs w:val="24"/>
              </w:rPr>
              <w:t>only</w:t>
            </w:r>
            <w:proofErr w:type="spellEnd"/>
          </w:p>
        </w:tc>
      </w:tr>
      <w:tr w:rsidR="00D9023E" w:rsidRPr="00D9023E" w:rsidTr="00231F74">
        <w:trPr>
          <w:cantSplit/>
          <w:trHeight w:val="138"/>
        </w:trPr>
        <w:tc>
          <w:tcPr>
            <w:tcW w:w="9837" w:type="dxa"/>
            <w:gridSpan w:val="2"/>
          </w:tcPr>
          <w:p w:rsidR="00D9023E" w:rsidRPr="00D30768" w:rsidRDefault="00D9023E" w:rsidP="00D9023E">
            <w:pPr>
              <w:pStyle w:val="Source"/>
            </w:pPr>
            <w:r>
              <w:rPr>
                <w:rFonts w:cstheme="minorHAnsi"/>
                <w:b/>
                <w:sz w:val="32"/>
                <w:szCs w:val="32"/>
              </w:rPr>
              <w:t>Comments submitted by the Russian Federation</w:t>
            </w:r>
          </w:p>
        </w:tc>
      </w:tr>
      <w:tr w:rsidR="00D9023E" w:rsidRPr="00D9023E" w:rsidTr="00231F74">
        <w:trPr>
          <w:cantSplit/>
          <w:trHeight w:val="138"/>
        </w:trPr>
        <w:tc>
          <w:tcPr>
            <w:tcW w:w="9837" w:type="dxa"/>
            <w:gridSpan w:val="2"/>
          </w:tcPr>
          <w:p w:rsidR="00D9023E" w:rsidRPr="003D676B" w:rsidRDefault="00D9023E" w:rsidP="00231F74">
            <w:pPr>
              <w:pStyle w:val="Title1"/>
              <w:rPr>
                <w:b w:val="0"/>
                <w:bCs w:val="0"/>
              </w:rPr>
            </w:pPr>
            <w:r w:rsidRPr="00F73F28">
              <w:rPr>
                <w:rFonts w:cstheme="minorHAnsi"/>
                <w:b w:val="0"/>
                <w:bCs w:val="0"/>
              </w:rPr>
              <w:t>ON the second DRAFT of the Report of THE ITU SECRETARY-GENERAL</w:t>
            </w:r>
            <w:r w:rsidRPr="00F73F28">
              <w:rPr>
                <w:rFonts w:cstheme="minorHAnsi"/>
                <w:b w:val="0"/>
                <w:bCs w:val="0"/>
              </w:rPr>
              <w:br/>
              <w:t>for the Sixth World Telecommunication/Information and Communication Technology Policy Forum 2021</w:t>
            </w:r>
          </w:p>
        </w:tc>
      </w:tr>
    </w:tbl>
    <w:p w:rsidR="003E3259" w:rsidRPr="00D9023E" w:rsidRDefault="003E3259" w:rsidP="003E3259">
      <w:pPr>
        <w:spacing w:after="0" w:line="240" w:lineRule="auto"/>
        <w:jc w:val="center"/>
        <w:rPr>
          <w:rFonts w:ascii="Times New Roman" w:hAnsi="Times New Roman" w:cs="Arial"/>
          <w:sz w:val="24"/>
          <w:szCs w:val="24"/>
          <w:lang w:val="en-GB" w:eastAsia="zh-CN" w:bidi="hi-IN"/>
        </w:rPr>
      </w:pPr>
      <w:bookmarkStart w:id="0" w:name="_GoBack"/>
      <w:bookmarkEnd w:id="0"/>
    </w:p>
    <w:p w:rsidR="00B45858" w:rsidRPr="00D9023E" w:rsidRDefault="00B45858" w:rsidP="00D9023E">
      <w:pPr>
        <w:pStyle w:val="NormalWeb"/>
        <w:spacing w:after="0"/>
        <w:ind w:left="-709"/>
        <w:rPr>
          <w:rFonts w:ascii="Calibri" w:hAnsi="Calibri"/>
          <w:b/>
          <w:bCs/>
          <w:lang w:val="en-US"/>
        </w:rPr>
      </w:pPr>
      <w:r w:rsidRPr="00D9023E">
        <w:rPr>
          <w:rFonts w:ascii="Calibri" w:hAnsi="Calibri"/>
          <w:b/>
          <w:bCs/>
          <w:lang w:val="en-US"/>
        </w:rPr>
        <w:t>I</w:t>
      </w:r>
      <w:r w:rsidR="00D9023E" w:rsidRPr="00D9023E">
        <w:rPr>
          <w:rFonts w:ascii="Calibri" w:hAnsi="Calibri"/>
          <w:b/>
          <w:bCs/>
          <w:lang w:val="en-US"/>
        </w:rPr>
        <w:tab/>
      </w:r>
      <w:r w:rsidRPr="00D9023E">
        <w:rPr>
          <w:rFonts w:ascii="Calibri" w:hAnsi="Calibri"/>
          <w:b/>
          <w:bCs/>
          <w:lang w:val="en-US"/>
        </w:rPr>
        <w:t xml:space="preserve">Introduction </w:t>
      </w:r>
    </w:p>
    <w:p w:rsidR="00B45858" w:rsidRPr="004924AF" w:rsidRDefault="00B45858" w:rsidP="004924AF">
      <w:pPr>
        <w:pStyle w:val="NormalWeb"/>
        <w:spacing w:after="0"/>
        <w:ind w:left="-709"/>
        <w:jc w:val="both"/>
        <w:rPr>
          <w:rFonts w:ascii="Calibri" w:hAnsi="Calibri"/>
          <w:lang w:val="en-US"/>
        </w:rPr>
      </w:pPr>
      <w:r w:rsidRPr="004924AF">
        <w:rPr>
          <w:rFonts w:ascii="Calibri" w:hAnsi="Calibri"/>
          <w:lang w:val="en-US"/>
        </w:rPr>
        <w:t xml:space="preserve">Pursuant to the ITU Council Decision 611, the Secretary-General submitted the </w:t>
      </w:r>
      <w:r w:rsidR="004924AF" w:rsidRPr="004924AF">
        <w:rPr>
          <w:rFonts w:ascii="Calibri" w:hAnsi="Calibri"/>
          <w:lang w:val="en-US"/>
        </w:rPr>
        <w:t xml:space="preserve">Second Draft of the Report by the ITU Secretary-General for the Sixth World Telecommunication/Information and Communication Technology Policy Forum 2021 </w:t>
      </w:r>
      <w:r w:rsidRPr="004924AF">
        <w:rPr>
          <w:rFonts w:ascii="Calibri" w:hAnsi="Calibri"/>
          <w:lang w:val="en-US"/>
        </w:rPr>
        <w:t>(WTPF-21).</w:t>
      </w:r>
    </w:p>
    <w:p w:rsidR="00B45858" w:rsidRPr="004924AF" w:rsidRDefault="00B45858" w:rsidP="00E341DC">
      <w:pPr>
        <w:pStyle w:val="NormalWeb"/>
        <w:spacing w:after="0"/>
        <w:ind w:left="-709"/>
        <w:jc w:val="both"/>
        <w:rPr>
          <w:rFonts w:ascii="Calibri" w:hAnsi="Calibri"/>
          <w:lang w:val="en-US"/>
        </w:rPr>
      </w:pPr>
      <w:r w:rsidRPr="004924AF">
        <w:rPr>
          <w:rFonts w:ascii="Calibri" w:hAnsi="Calibri"/>
          <w:lang w:val="en-US"/>
        </w:rPr>
        <w:t>In accordance with the Schedule for Preparation of the WTPF-21 Report by the Secretary-General, the Ru</w:t>
      </w:r>
      <w:r w:rsidR="001F4249">
        <w:rPr>
          <w:rFonts w:ascii="Calibri" w:hAnsi="Calibri"/>
          <w:lang w:val="en-US"/>
        </w:rPr>
        <w:t xml:space="preserve">ssian Administration </w:t>
      </w:r>
      <w:r w:rsidR="00985837">
        <w:rPr>
          <w:rFonts w:ascii="Calibri" w:hAnsi="Calibri"/>
          <w:lang w:val="en-US"/>
        </w:rPr>
        <w:t>developed</w:t>
      </w:r>
      <w:r w:rsidR="001F4249">
        <w:rPr>
          <w:rFonts w:ascii="Calibri" w:hAnsi="Calibri"/>
          <w:lang w:val="en-US"/>
        </w:rPr>
        <w:t xml:space="preserve"> several proposals.</w:t>
      </w:r>
    </w:p>
    <w:p w:rsidR="00B45858" w:rsidRPr="00D9023E" w:rsidRDefault="00B45858" w:rsidP="00D9023E">
      <w:pPr>
        <w:pStyle w:val="NormalWeb"/>
        <w:spacing w:after="0"/>
        <w:ind w:left="-709"/>
        <w:rPr>
          <w:rFonts w:ascii="Calibri" w:hAnsi="Calibri"/>
          <w:b/>
          <w:bCs/>
          <w:lang w:val="en-US"/>
        </w:rPr>
      </w:pPr>
      <w:r w:rsidRPr="00D9023E">
        <w:rPr>
          <w:rFonts w:ascii="Calibri" w:hAnsi="Calibri"/>
          <w:b/>
          <w:bCs/>
          <w:lang w:val="en-US"/>
        </w:rPr>
        <w:t>II</w:t>
      </w:r>
      <w:r w:rsidR="00D9023E" w:rsidRPr="00D9023E">
        <w:rPr>
          <w:rFonts w:ascii="Calibri" w:hAnsi="Calibri"/>
          <w:b/>
          <w:bCs/>
          <w:lang w:val="en-US"/>
        </w:rPr>
        <w:tab/>
      </w:r>
      <w:r w:rsidRPr="00D9023E">
        <w:rPr>
          <w:rFonts w:ascii="Calibri" w:hAnsi="Calibri"/>
          <w:b/>
          <w:bCs/>
          <w:lang w:val="en-US"/>
        </w:rPr>
        <w:t>Proposals</w:t>
      </w:r>
      <w:r w:rsidR="0084151D" w:rsidRPr="00D9023E">
        <w:rPr>
          <w:rFonts w:ascii="Calibri" w:hAnsi="Calibri"/>
          <w:b/>
          <w:bCs/>
          <w:lang w:val="en-US"/>
        </w:rPr>
        <w:t>:</w:t>
      </w:r>
    </w:p>
    <w:p w:rsidR="004924AF" w:rsidRPr="004924AF" w:rsidRDefault="004924AF" w:rsidP="004924AF">
      <w:pPr>
        <w:pStyle w:val="NormalWeb"/>
        <w:spacing w:after="0"/>
        <w:ind w:left="-709"/>
        <w:jc w:val="both"/>
        <w:rPr>
          <w:rFonts w:ascii="Calibri" w:hAnsi="Calibri"/>
          <w:lang w:val="en-US"/>
        </w:rPr>
      </w:pPr>
      <w:r w:rsidRPr="004924AF">
        <w:rPr>
          <w:rFonts w:ascii="Calibri" w:hAnsi="Calibri"/>
          <w:lang w:val="en-US"/>
        </w:rPr>
        <w:t>Having considered the second draft report of the ITU Secretary-General for the Sixth World Telecommunication / ICT Policy Forum (WTPF-21), taking into account the discussion held at the first meeting of the Informal Expert Group on the preparation of WTPF-21 (IEG-WTPF-21), the Russian Administration offers the following offers the following comments:</w:t>
      </w:r>
    </w:p>
    <w:p w:rsidR="004924AF" w:rsidRPr="004924AF" w:rsidRDefault="004924AF" w:rsidP="004924AF">
      <w:pPr>
        <w:pStyle w:val="NormalWeb"/>
        <w:spacing w:after="0"/>
        <w:ind w:left="-709"/>
        <w:jc w:val="both"/>
        <w:rPr>
          <w:rFonts w:ascii="Calibri" w:hAnsi="Calibri"/>
          <w:lang w:val="en-US"/>
        </w:rPr>
      </w:pPr>
      <w:r w:rsidRPr="004924AF">
        <w:rPr>
          <w:rFonts w:ascii="Calibri" w:hAnsi="Calibri"/>
          <w:lang w:val="en-US"/>
        </w:rPr>
        <w:lastRenderedPageBreak/>
        <w:t>1.</w:t>
      </w:r>
      <w:r w:rsidR="002B6327" w:rsidRPr="00BE26C7">
        <w:rPr>
          <w:rFonts w:ascii="Calibri" w:hAnsi="Calibri"/>
          <w:lang w:val="en-US"/>
        </w:rPr>
        <w:tab/>
      </w:r>
      <w:r w:rsidRPr="004924AF">
        <w:rPr>
          <w:rFonts w:ascii="Calibri" w:hAnsi="Calibri"/>
          <w:lang w:val="en-US"/>
        </w:rPr>
        <w:t xml:space="preserve">We support the use of the terminology “new and emerging digital technologies and trends” in </w:t>
      </w:r>
      <w:proofErr w:type="gramStart"/>
      <w:r w:rsidRPr="004924AF">
        <w:rPr>
          <w:rFonts w:ascii="Calibri" w:hAnsi="Calibri"/>
          <w:lang w:val="en-US"/>
        </w:rPr>
        <w:t>the</w:t>
      </w:r>
      <w:proofErr w:type="gramEnd"/>
      <w:r w:rsidRPr="004924AF">
        <w:rPr>
          <w:rFonts w:ascii="Calibri" w:hAnsi="Calibri"/>
          <w:lang w:val="en-US"/>
        </w:rPr>
        <w:t xml:space="preserve"> report in accordance with Decision 611.</w:t>
      </w:r>
    </w:p>
    <w:p w:rsidR="004924AF" w:rsidRPr="004924AF" w:rsidRDefault="004924AF" w:rsidP="004924AF">
      <w:pPr>
        <w:pStyle w:val="NormalWeb"/>
        <w:spacing w:after="0"/>
        <w:ind w:left="-709"/>
        <w:jc w:val="both"/>
        <w:rPr>
          <w:rFonts w:ascii="Calibri" w:hAnsi="Calibri"/>
          <w:lang w:val="en-US"/>
        </w:rPr>
      </w:pPr>
      <w:r w:rsidRPr="004924AF">
        <w:rPr>
          <w:rFonts w:ascii="Calibri" w:hAnsi="Calibri"/>
          <w:lang w:val="en-US"/>
        </w:rPr>
        <w:t>2.</w:t>
      </w:r>
      <w:r w:rsidR="002B6327" w:rsidRPr="002B6327">
        <w:rPr>
          <w:rFonts w:ascii="Calibri" w:hAnsi="Calibri"/>
          <w:lang w:val="en-US"/>
        </w:rPr>
        <w:tab/>
      </w:r>
      <w:r w:rsidRPr="004924AF">
        <w:rPr>
          <w:rFonts w:ascii="Calibri" w:hAnsi="Calibri"/>
          <w:lang w:val="en-US"/>
        </w:rPr>
        <w:t xml:space="preserve">Decision 611 (Council 2019) clearly stated that WTPF-21 would address topics such as AI, </w:t>
      </w:r>
      <w:proofErr w:type="spellStart"/>
      <w:r w:rsidRPr="004924AF">
        <w:rPr>
          <w:rFonts w:ascii="Calibri" w:hAnsi="Calibri"/>
          <w:lang w:val="en-US"/>
        </w:rPr>
        <w:t>IoT</w:t>
      </w:r>
      <w:proofErr w:type="spellEnd"/>
      <w:r w:rsidRPr="004924AF">
        <w:rPr>
          <w:rFonts w:ascii="Calibri" w:hAnsi="Calibri"/>
          <w:lang w:val="en-US"/>
        </w:rPr>
        <w:t xml:space="preserve">, 5G, big data and OTT. It follows that each of these topics </w:t>
      </w:r>
      <w:proofErr w:type="gramStart"/>
      <w:r w:rsidRPr="004924AF">
        <w:rPr>
          <w:rFonts w:ascii="Calibri" w:hAnsi="Calibri"/>
          <w:lang w:val="en-US"/>
        </w:rPr>
        <w:t>should be discussed</w:t>
      </w:r>
      <w:proofErr w:type="gramEnd"/>
      <w:r w:rsidRPr="004924AF">
        <w:rPr>
          <w:rFonts w:ascii="Calibri" w:hAnsi="Calibri"/>
          <w:lang w:val="en-US"/>
        </w:rPr>
        <w:t xml:space="preserve"> separately in the corresponding separate section of the Report.</w:t>
      </w:r>
    </w:p>
    <w:p w:rsidR="004924AF" w:rsidRPr="004924AF" w:rsidRDefault="004924AF" w:rsidP="004924AF">
      <w:pPr>
        <w:pStyle w:val="NormalWeb"/>
        <w:spacing w:after="0"/>
        <w:ind w:left="-709"/>
        <w:jc w:val="both"/>
        <w:rPr>
          <w:rFonts w:ascii="Calibri" w:hAnsi="Calibri"/>
          <w:lang w:val="en-US"/>
        </w:rPr>
      </w:pPr>
      <w:r w:rsidRPr="004924AF">
        <w:rPr>
          <w:rFonts w:ascii="Calibri" w:hAnsi="Calibri"/>
          <w:lang w:val="en-US"/>
        </w:rPr>
        <w:t>3.</w:t>
      </w:r>
      <w:r w:rsidR="002B6327" w:rsidRPr="00BE26C7">
        <w:rPr>
          <w:rFonts w:ascii="Calibri" w:hAnsi="Calibri"/>
          <w:lang w:val="en-US"/>
        </w:rPr>
        <w:tab/>
      </w:r>
      <w:r w:rsidRPr="004924AF">
        <w:rPr>
          <w:rFonts w:ascii="Calibri" w:hAnsi="Calibri"/>
          <w:lang w:val="en-US"/>
        </w:rPr>
        <w:t xml:space="preserve">In paragraph 2.7, a new subparagraph </w:t>
      </w:r>
      <w:proofErr w:type="gramStart"/>
      <w:r w:rsidRPr="004924AF">
        <w:rPr>
          <w:rFonts w:ascii="Calibri" w:hAnsi="Calibri"/>
          <w:lang w:val="en-US"/>
        </w:rPr>
        <w:t>is proposed to be added</w:t>
      </w:r>
      <w:proofErr w:type="gramEnd"/>
      <w:r w:rsidRPr="004924AF">
        <w:rPr>
          <w:rFonts w:ascii="Calibri" w:hAnsi="Calibri"/>
          <w:lang w:val="en-US"/>
        </w:rPr>
        <w:t xml:space="preserve">: </w:t>
      </w:r>
    </w:p>
    <w:p w:rsidR="004924AF" w:rsidRPr="004924AF" w:rsidRDefault="004924AF" w:rsidP="00D9023E">
      <w:pPr>
        <w:pStyle w:val="NormalWeb"/>
        <w:spacing w:after="0"/>
        <w:ind w:left="-709"/>
        <w:jc w:val="both"/>
        <w:rPr>
          <w:rFonts w:ascii="Calibri" w:hAnsi="Calibri"/>
          <w:lang w:val="en-US"/>
        </w:rPr>
      </w:pPr>
      <w:r w:rsidRPr="004924AF">
        <w:rPr>
          <w:rFonts w:ascii="Calibri" w:hAnsi="Calibri"/>
          <w:lang w:val="en-US"/>
        </w:rPr>
        <w:t>2.7.3bis</w:t>
      </w:r>
      <w:r w:rsidR="00D9023E">
        <w:rPr>
          <w:rFonts w:ascii="Calibri" w:hAnsi="Calibri"/>
          <w:lang w:val="en-US"/>
        </w:rPr>
        <w:tab/>
      </w:r>
      <w:proofErr w:type="gramStart"/>
      <w:r w:rsidRPr="004924AF">
        <w:rPr>
          <w:rFonts w:ascii="Calibri" w:hAnsi="Calibri"/>
          <w:lang w:val="en-US"/>
        </w:rPr>
        <w:t>What</w:t>
      </w:r>
      <w:proofErr w:type="gramEnd"/>
      <w:r w:rsidRPr="004924AF">
        <w:rPr>
          <w:rFonts w:ascii="Calibri" w:hAnsi="Calibri"/>
          <w:lang w:val="en-US"/>
        </w:rPr>
        <w:t xml:space="preserve"> risks may arise from the introduction of new and emerging digital technologies and trends? What measures of a political, regulatory and technological nature </w:t>
      </w:r>
      <w:proofErr w:type="gramStart"/>
      <w:r w:rsidRPr="004924AF">
        <w:rPr>
          <w:rFonts w:ascii="Calibri" w:hAnsi="Calibri"/>
          <w:lang w:val="en-US"/>
        </w:rPr>
        <w:t>should be envisaged</w:t>
      </w:r>
      <w:proofErr w:type="gramEnd"/>
      <w:r w:rsidRPr="004924AF">
        <w:rPr>
          <w:rFonts w:ascii="Calibri" w:hAnsi="Calibri"/>
          <w:lang w:val="en-US"/>
        </w:rPr>
        <w:t xml:space="preserve"> in this regard by the world community to unconditionally ensure trust and security, human rights and freedoms, privacy, especially with regard to the most vulnerable groups of the population, as well as prevention of racial and gender discrimination? What role should ITU play in this process within its mandate?</w:t>
      </w:r>
    </w:p>
    <w:p w:rsidR="002B6327" w:rsidRPr="002B6327" w:rsidRDefault="002B6327" w:rsidP="002B6327">
      <w:pPr>
        <w:pStyle w:val="NormalWeb"/>
        <w:spacing w:after="0"/>
        <w:ind w:left="-709"/>
        <w:jc w:val="both"/>
        <w:rPr>
          <w:rFonts w:ascii="Calibri" w:hAnsi="Calibri"/>
          <w:lang w:val="en-US"/>
        </w:rPr>
      </w:pPr>
      <w:r w:rsidRPr="002B6327">
        <w:rPr>
          <w:rFonts w:ascii="Calibri" w:hAnsi="Calibri"/>
          <w:lang w:val="en-US"/>
        </w:rPr>
        <w:t>4.</w:t>
      </w:r>
      <w:r w:rsidRPr="00BE26C7">
        <w:rPr>
          <w:rFonts w:ascii="Calibri" w:hAnsi="Calibri"/>
          <w:lang w:val="en-US"/>
        </w:rPr>
        <w:tab/>
      </w:r>
      <w:r w:rsidRPr="002B6327">
        <w:rPr>
          <w:rFonts w:ascii="Calibri" w:hAnsi="Calibri"/>
          <w:lang w:val="en-US"/>
        </w:rPr>
        <w:t xml:space="preserve">In subparagraph 2.8.1.2, it </w:t>
      </w:r>
      <w:proofErr w:type="gramStart"/>
      <w:r w:rsidRPr="002B6327">
        <w:rPr>
          <w:rFonts w:ascii="Calibri" w:hAnsi="Calibri"/>
          <w:lang w:val="en-US"/>
        </w:rPr>
        <w:t>is proposed</w:t>
      </w:r>
      <w:proofErr w:type="gramEnd"/>
      <w:r w:rsidRPr="002B6327">
        <w:rPr>
          <w:rFonts w:ascii="Calibri" w:hAnsi="Calibri"/>
          <w:lang w:val="en-US"/>
        </w:rPr>
        <w:t xml:space="preserve"> to add new subparagraph</w:t>
      </w:r>
      <w:r w:rsidR="002C7337">
        <w:rPr>
          <w:rFonts w:ascii="Calibri" w:hAnsi="Calibri"/>
          <w:lang w:val="en-US"/>
        </w:rPr>
        <w:t>s</w:t>
      </w:r>
      <w:r w:rsidRPr="002B6327">
        <w:rPr>
          <w:rFonts w:ascii="Calibri" w:hAnsi="Calibri"/>
          <w:lang w:val="en-US"/>
        </w:rPr>
        <w:t>:</w:t>
      </w:r>
    </w:p>
    <w:p w:rsidR="00BE26C7" w:rsidRDefault="00BE26C7" w:rsidP="00BE26C7">
      <w:pPr>
        <w:pStyle w:val="NormalWeb"/>
        <w:spacing w:after="0"/>
        <w:ind w:left="-709"/>
        <w:jc w:val="both"/>
        <w:rPr>
          <w:rFonts w:ascii="Calibri" w:hAnsi="Calibri"/>
          <w:lang w:val="en-US"/>
        </w:rPr>
      </w:pPr>
      <w:r>
        <w:rPr>
          <w:rFonts w:ascii="Calibri" w:hAnsi="Calibri"/>
          <w:lang w:val="en-US"/>
        </w:rPr>
        <w:t>e</w:t>
      </w:r>
      <w:r w:rsidR="00D9023E">
        <w:rPr>
          <w:rFonts w:ascii="Calibri" w:hAnsi="Calibri"/>
          <w:lang w:val="en-US"/>
        </w:rPr>
        <w:t>)</w:t>
      </w:r>
      <w:r w:rsidR="00D9023E">
        <w:rPr>
          <w:rFonts w:ascii="Calibri" w:hAnsi="Calibri"/>
          <w:lang w:val="en-US"/>
        </w:rPr>
        <w:tab/>
      </w:r>
      <w:r w:rsidR="002B6327" w:rsidRPr="002B6327">
        <w:rPr>
          <w:rFonts w:ascii="Calibri" w:hAnsi="Calibri"/>
          <w:lang w:val="en-US"/>
        </w:rPr>
        <w:t xml:space="preserve">What measures </w:t>
      </w:r>
      <w:proofErr w:type="gramStart"/>
      <w:r w:rsidR="002B6327" w:rsidRPr="002B6327">
        <w:rPr>
          <w:rFonts w:ascii="Calibri" w:hAnsi="Calibri"/>
          <w:lang w:val="en-US"/>
        </w:rPr>
        <w:t>should be taken</w:t>
      </w:r>
      <w:proofErr w:type="gramEnd"/>
      <w:r w:rsidR="002B6327" w:rsidRPr="002B6327">
        <w:rPr>
          <w:rFonts w:ascii="Calibri" w:hAnsi="Calibri"/>
          <w:lang w:val="en-US"/>
        </w:rPr>
        <w:t xml:space="preserve"> at the national and international levels to ensure security in the use of AI technologies and systems?</w:t>
      </w:r>
    </w:p>
    <w:p w:rsidR="001C64DB" w:rsidRDefault="001C64DB" w:rsidP="00D9023E">
      <w:pPr>
        <w:pStyle w:val="NormalWeb"/>
        <w:spacing w:after="0"/>
        <w:ind w:left="-709"/>
        <w:jc w:val="both"/>
        <w:rPr>
          <w:rFonts w:ascii="Calibri" w:hAnsi="Calibri"/>
          <w:lang w:val="en-US"/>
        </w:rPr>
      </w:pPr>
      <w:r>
        <w:rPr>
          <w:rFonts w:ascii="Calibri" w:hAnsi="Calibri"/>
          <w:lang w:val="en-US"/>
        </w:rPr>
        <w:t>f)</w:t>
      </w:r>
      <w:r w:rsidR="00D9023E">
        <w:rPr>
          <w:rFonts w:ascii="Calibri" w:hAnsi="Calibri"/>
          <w:lang w:val="en-US"/>
        </w:rPr>
        <w:tab/>
      </w:r>
      <w:r w:rsidRPr="00BE26C7">
        <w:rPr>
          <w:rFonts w:ascii="Calibri" w:hAnsi="Calibri"/>
          <w:lang w:val="en-US"/>
        </w:rPr>
        <w:t xml:space="preserve">What initiatives in the field of </w:t>
      </w:r>
      <w:r w:rsidR="002C7337">
        <w:rPr>
          <w:rFonts w:ascii="Calibri" w:hAnsi="Calibri"/>
          <w:lang w:val="en-US"/>
        </w:rPr>
        <w:t xml:space="preserve">the </w:t>
      </w:r>
      <w:r w:rsidRPr="00BE26C7">
        <w:rPr>
          <w:rFonts w:ascii="Calibri" w:hAnsi="Calibri"/>
          <w:lang w:val="en-US"/>
        </w:rPr>
        <w:t xml:space="preserve">national and international </w:t>
      </w:r>
      <w:r>
        <w:rPr>
          <w:rFonts w:ascii="Calibri" w:hAnsi="Calibri"/>
          <w:lang w:val="en-US"/>
        </w:rPr>
        <w:t xml:space="preserve">levels of </w:t>
      </w:r>
      <w:r w:rsidRPr="00BE26C7">
        <w:rPr>
          <w:rFonts w:ascii="Calibri" w:hAnsi="Calibri"/>
          <w:lang w:val="en-US"/>
        </w:rPr>
        <w:t xml:space="preserve">legislation </w:t>
      </w:r>
      <w:r w:rsidRPr="002B6327">
        <w:rPr>
          <w:rFonts w:ascii="Calibri" w:hAnsi="Calibri"/>
          <w:lang w:val="en-US"/>
        </w:rPr>
        <w:t>should</w:t>
      </w:r>
      <w:r w:rsidRPr="00BE26C7">
        <w:rPr>
          <w:rFonts w:ascii="Calibri" w:hAnsi="Calibri"/>
          <w:lang w:val="en-US"/>
        </w:rPr>
        <w:t xml:space="preserve"> to </w:t>
      </w:r>
      <w:proofErr w:type="gramStart"/>
      <w:r w:rsidRPr="00BE26C7">
        <w:rPr>
          <w:rFonts w:ascii="Calibri" w:hAnsi="Calibri"/>
          <w:lang w:val="en-US"/>
        </w:rPr>
        <w:t>be taken</w:t>
      </w:r>
      <w:proofErr w:type="gramEnd"/>
      <w:r w:rsidRPr="00BE26C7">
        <w:rPr>
          <w:rFonts w:ascii="Calibri" w:hAnsi="Calibri"/>
          <w:lang w:val="en-US"/>
        </w:rPr>
        <w:t xml:space="preserve"> to ensure such principles of AI technology development as transparency, protection of human rights and freedoms, security, </w:t>
      </w:r>
      <w:r>
        <w:rPr>
          <w:rFonts w:ascii="Calibri" w:hAnsi="Calibri"/>
          <w:lang w:val="en-US"/>
        </w:rPr>
        <w:t xml:space="preserve">support for competition, etc.? </w:t>
      </w:r>
    </w:p>
    <w:p w:rsidR="002B6327" w:rsidRPr="002B6327" w:rsidRDefault="002B6327" w:rsidP="002B6327">
      <w:pPr>
        <w:pStyle w:val="NormalWeb"/>
        <w:spacing w:after="0"/>
        <w:ind w:left="-709"/>
        <w:jc w:val="both"/>
        <w:rPr>
          <w:rFonts w:ascii="Calibri" w:hAnsi="Calibri"/>
          <w:lang w:val="en-US"/>
        </w:rPr>
      </w:pPr>
      <w:r>
        <w:rPr>
          <w:rFonts w:ascii="Calibri" w:hAnsi="Calibri"/>
          <w:lang w:val="en-US"/>
        </w:rPr>
        <w:t>5.</w:t>
      </w:r>
      <w:r w:rsidRPr="002B6327">
        <w:rPr>
          <w:rFonts w:ascii="Calibri" w:hAnsi="Calibri"/>
          <w:lang w:val="en-US"/>
        </w:rPr>
        <w:tab/>
        <w:t xml:space="preserve">In paragraph 2.8.2, a new subparagraph </w:t>
      </w:r>
      <w:proofErr w:type="gramStart"/>
      <w:r w:rsidRPr="002B6327">
        <w:rPr>
          <w:rFonts w:ascii="Calibri" w:hAnsi="Calibri"/>
          <w:lang w:val="en-US"/>
        </w:rPr>
        <w:t>is proposed to be added</w:t>
      </w:r>
      <w:proofErr w:type="gramEnd"/>
      <w:r w:rsidRPr="002B6327">
        <w:rPr>
          <w:rFonts w:ascii="Calibri" w:hAnsi="Calibri"/>
          <w:lang w:val="en-US"/>
        </w:rPr>
        <w:t>:</w:t>
      </w:r>
    </w:p>
    <w:p w:rsidR="002B6327" w:rsidRPr="002B6327" w:rsidRDefault="00D9023E" w:rsidP="002B6327">
      <w:pPr>
        <w:pStyle w:val="NormalWeb"/>
        <w:spacing w:after="0"/>
        <w:ind w:left="-709"/>
        <w:jc w:val="both"/>
        <w:rPr>
          <w:rFonts w:ascii="Calibri" w:hAnsi="Calibri"/>
          <w:lang w:val="en-US"/>
        </w:rPr>
      </w:pPr>
      <w:r>
        <w:rPr>
          <w:rFonts w:ascii="Calibri" w:hAnsi="Calibri"/>
          <w:lang w:val="en-US"/>
        </w:rPr>
        <w:t>2.8.2.3</w:t>
      </w:r>
      <w:r>
        <w:rPr>
          <w:rFonts w:ascii="Calibri" w:hAnsi="Calibri"/>
          <w:lang w:val="en-US"/>
        </w:rPr>
        <w:tab/>
      </w:r>
      <w:r w:rsidR="002B6327" w:rsidRPr="002B6327">
        <w:rPr>
          <w:rFonts w:ascii="Calibri" w:hAnsi="Calibri"/>
          <w:lang w:val="en-US"/>
        </w:rPr>
        <w:t xml:space="preserve">What role and priority tasks </w:t>
      </w:r>
      <w:proofErr w:type="gramStart"/>
      <w:r w:rsidR="002B6327" w:rsidRPr="002B6327">
        <w:rPr>
          <w:rFonts w:ascii="Calibri" w:hAnsi="Calibri"/>
          <w:lang w:val="en-US"/>
        </w:rPr>
        <w:t>should be performed</w:t>
      </w:r>
      <w:proofErr w:type="gramEnd"/>
      <w:r w:rsidR="002B6327" w:rsidRPr="002B6327">
        <w:rPr>
          <w:rFonts w:ascii="Calibri" w:hAnsi="Calibri"/>
          <w:lang w:val="en-US"/>
        </w:rPr>
        <w:t xml:space="preserve"> within ITU to create opportunities for the development and implementation of </w:t>
      </w:r>
      <w:proofErr w:type="spellStart"/>
      <w:r w:rsidR="002B6327" w:rsidRPr="002B6327">
        <w:rPr>
          <w:rFonts w:ascii="Calibri" w:hAnsi="Calibri"/>
          <w:lang w:val="en-US"/>
        </w:rPr>
        <w:t>IoT</w:t>
      </w:r>
      <w:proofErr w:type="spellEnd"/>
      <w:r w:rsidR="002B6327" w:rsidRPr="002B6327">
        <w:rPr>
          <w:rFonts w:ascii="Calibri" w:hAnsi="Calibri"/>
          <w:lang w:val="en-US"/>
        </w:rPr>
        <w:t xml:space="preserve"> in Member States?</w:t>
      </w:r>
    </w:p>
    <w:p w:rsidR="002B6327" w:rsidRPr="002B6327" w:rsidRDefault="002B6327" w:rsidP="002B6327">
      <w:pPr>
        <w:pStyle w:val="NormalWeb"/>
        <w:spacing w:after="0"/>
        <w:ind w:left="-709"/>
        <w:jc w:val="both"/>
        <w:rPr>
          <w:rFonts w:ascii="Calibri" w:hAnsi="Calibri"/>
          <w:lang w:val="en-US"/>
        </w:rPr>
      </w:pPr>
      <w:r>
        <w:rPr>
          <w:rFonts w:ascii="Calibri" w:hAnsi="Calibri"/>
          <w:lang w:val="en-US"/>
        </w:rPr>
        <w:lastRenderedPageBreak/>
        <w:t>6.</w:t>
      </w:r>
      <w:r w:rsidRPr="002B6327">
        <w:rPr>
          <w:rFonts w:ascii="Calibri" w:hAnsi="Calibri"/>
          <w:lang w:val="en-US"/>
        </w:rPr>
        <w:tab/>
        <w:t xml:space="preserve">In paragraph 2.8.5, a new subparagraph </w:t>
      </w:r>
      <w:proofErr w:type="gramStart"/>
      <w:r w:rsidRPr="002B6327">
        <w:rPr>
          <w:rFonts w:ascii="Calibri" w:hAnsi="Calibri"/>
          <w:lang w:val="en-US"/>
        </w:rPr>
        <w:t>is proposed to be added</w:t>
      </w:r>
      <w:proofErr w:type="gramEnd"/>
      <w:r w:rsidRPr="002B6327">
        <w:rPr>
          <w:rFonts w:ascii="Calibri" w:hAnsi="Calibri"/>
          <w:lang w:val="en-US"/>
        </w:rPr>
        <w:t>:</w:t>
      </w:r>
    </w:p>
    <w:p w:rsidR="002B6327" w:rsidRPr="002B6327" w:rsidRDefault="00D9023E" w:rsidP="00D9023E">
      <w:pPr>
        <w:pStyle w:val="NormalWeb"/>
        <w:spacing w:after="0"/>
        <w:ind w:left="-709"/>
        <w:jc w:val="both"/>
        <w:rPr>
          <w:rFonts w:ascii="Calibri" w:hAnsi="Calibri"/>
          <w:lang w:val="en-US"/>
        </w:rPr>
      </w:pPr>
      <w:r>
        <w:rPr>
          <w:rFonts w:ascii="Calibri" w:hAnsi="Calibri"/>
          <w:lang w:val="en-US"/>
        </w:rPr>
        <w:t>2.8.5.4</w:t>
      </w:r>
      <w:r>
        <w:rPr>
          <w:rFonts w:ascii="Calibri" w:hAnsi="Calibri"/>
          <w:lang w:val="en-US"/>
        </w:rPr>
        <w:tab/>
        <w:t>H</w:t>
      </w:r>
      <w:r w:rsidR="002B6327" w:rsidRPr="002B6327">
        <w:rPr>
          <w:rFonts w:ascii="Calibri" w:hAnsi="Calibri"/>
          <w:lang w:val="en-US"/>
        </w:rPr>
        <w:t>ow should ITU promote cooperation and dialogue among ITU Members as well as other stakeholders on activities related to OTT, including the dissemination of best practices, technologies and applications, especially for developing countries?</w:t>
      </w:r>
    </w:p>
    <w:p w:rsidR="004924AF" w:rsidRPr="004924AF" w:rsidRDefault="002B6327" w:rsidP="004924AF">
      <w:pPr>
        <w:pStyle w:val="NormalWeb"/>
        <w:spacing w:after="0"/>
        <w:ind w:left="-709"/>
        <w:jc w:val="both"/>
        <w:rPr>
          <w:rFonts w:ascii="Calibri" w:hAnsi="Calibri"/>
          <w:lang w:val="en-US"/>
        </w:rPr>
      </w:pPr>
      <w:r w:rsidRPr="002B6327">
        <w:rPr>
          <w:rFonts w:ascii="Calibri" w:hAnsi="Calibri"/>
          <w:lang w:val="en-US"/>
        </w:rPr>
        <w:t>7</w:t>
      </w:r>
      <w:r>
        <w:rPr>
          <w:rFonts w:ascii="Calibri" w:hAnsi="Calibri"/>
          <w:lang w:val="en-US"/>
        </w:rPr>
        <w:t>.</w:t>
      </w:r>
      <w:r w:rsidRPr="002B6327">
        <w:rPr>
          <w:rFonts w:ascii="Calibri" w:hAnsi="Calibri"/>
          <w:lang w:val="en-US"/>
        </w:rPr>
        <w:tab/>
      </w:r>
      <w:r w:rsidR="004924AF" w:rsidRPr="004924AF">
        <w:rPr>
          <w:rFonts w:ascii="Calibri" w:hAnsi="Calibri"/>
          <w:lang w:val="en-US"/>
        </w:rPr>
        <w:t xml:space="preserve">Issues of possible risks and ensuring confidence and security in the development and implementation of new and emerging digital technologies, especially AI, </w:t>
      </w:r>
      <w:proofErr w:type="spellStart"/>
      <w:r w:rsidR="004924AF" w:rsidRPr="004924AF">
        <w:rPr>
          <w:rFonts w:ascii="Calibri" w:hAnsi="Calibri"/>
          <w:lang w:val="en-US"/>
        </w:rPr>
        <w:t>IoT</w:t>
      </w:r>
      <w:proofErr w:type="spellEnd"/>
      <w:r w:rsidR="004924AF" w:rsidRPr="004924AF">
        <w:rPr>
          <w:rFonts w:ascii="Calibri" w:hAnsi="Calibri"/>
          <w:lang w:val="en-US"/>
        </w:rPr>
        <w:t xml:space="preserve"> and OTT, ITU's tasks in the analysis and development of appropriate international measures should be reflected when formulating corresponding Opinions.</w:t>
      </w:r>
    </w:p>
    <w:p w:rsidR="004924AF" w:rsidRDefault="002B6327" w:rsidP="004924AF">
      <w:pPr>
        <w:pStyle w:val="NormalWeb"/>
        <w:spacing w:after="0"/>
        <w:ind w:left="-709"/>
        <w:jc w:val="both"/>
        <w:rPr>
          <w:rFonts w:ascii="Calibri" w:hAnsi="Calibri"/>
          <w:lang w:val="en-US"/>
        </w:rPr>
      </w:pPr>
      <w:r w:rsidRPr="002B6327">
        <w:rPr>
          <w:rFonts w:ascii="Calibri" w:hAnsi="Calibri"/>
          <w:lang w:val="en-US"/>
        </w:rPr>
        <w:t>8</w:t>
      </w:r>
      <w:r>
        <w:rPr>
          <w:rFonts w:ascii="Calibri" w:hAnsi="Calibri"/>
          <w:lang w:val="en-US"/>
        </w:rPr>
        <w:t>.</w:t>
      </w:r>
      <w:r w:rsidRPr="002B6327">
        <w:rPr>
          <w:rFonts w:ascii="Calibri" w:hAnsi="Calibri"/>
          <w:lang w:val="en-US"/>
        </w:rPr>
        <w:tab/>
      </w:r>
      <w:r w:rsidR="004924AF" w:rsidRPr="004924AF">
        <w:rPr>
          <w:rFonts w:ascii="Calibri" w:hAnsi="Calibri"/>
          <w:lang w:val="en-US"/>
        </w:rPr>
        <w:t xml:space="preserve">When </w:t>
      </w:r>
      <w:r w:rsidRPr="004924AF">
        <w:rPr>
          <w:rFonts w:ascii="Calibri" w:hAnsi="Calibri"/>
          <w:lang w:val="en-US"/>
        </w:rPr>
        <w:t xml:space="preserve">formulating </w:t>
      </w:r>
      <w:r w:rsidR="004924AF" w:rsidRPr="004924AF">
        <w:rPr>
          <w:rFonts w:ascii="Calibri" w:hAnsi="Calibri"/>
          <w:lang w:val="en-US"/>
        </w:rPr>
        <w:t xml:space="preserve">an Opinion on 5G, the </w:t>
      </w:r>
      <w:r w:rsidRPr="002B6327">
        <w:rPr>
          <w:rFonts w:ascii="Calibri" w:hAnsi="Calibri"/>
          <w:lang w:val="en-US"/>
        </w:rPr>
        <w:t>capabilities of the technology, the methods and approaches for using virtual an</w:t>
      </w:r>
      <w:r>
        <w:rPr>
          <w:rFonts w:ascii="Calibri" w:hAnsi="Calibri"/>
          <w:lang w:val="en-US"/>
        </w:rPr>
        <w:t>d augmented reality (VR and AR)</w:t>
      </w:r>
      <w:r w:rsidR="004924AF" w:rsidRPr="004924AF">
        <w:rPr>
          <w:rFonts w:ascii="Calibri" w:hAnsi="Calibri"/>
          <w:lang w:val="en-US"/>
        </w:rPr>
        <w:t xml:space="preserve"> </w:t>
      </w:r>
      <w:proofErr w:type="gramStart"/>
      <w:r w:rsidR="004924AF" w:rsidRPr="004924AF">
        <w:rPr>
          <w:rFonts w:ascii="Calibri" w:hAnsi="Calibri"/>
          <w:lang w:val="en-US"/>
        </w:rPr>
        <w:t>should be mentioned</w:t>
      </w:r>
      <w:proofErr w:type="gramEnd"/>
      <w:r w:rsidR="004924AF" w:rsidRPr="004924AF">
        <w:rPr>
          <w:rFonts w:ascii="Calibri" w:hAnsi="Calibri"/>
          <w:lang w:val="en-US"/>
        </w:rPr>
        <w:t xml:space="preserve"> in particular.</w:t>
      </w:r>
    </w:p>
    <w:p w:rsidR="00D9023E" w:rsidRDefault="00D9023E" w:rsidP="004924AF">
      <w:pPr>
        <w:pStyle w:val="NormalWeb"/>
        <w:spacing w:after="0"/>
        <w:ind w:left="-709"/>
        <w:jc w:val="both"/>
        <w:rPr>
          <w:rFonts w:ascii="Calibri" w:hAnsi="Calibri"/>
          <w:lang w:val="en-US"/>
        </w:rPr>
      </w:pPr>
    </w:p>
    <w:p w:rsidR="00D9023E" w:rsidRPr="00D9023E" w:rsidRDefault="00D9023E" w:rsidP="00D9023E">
      <w:pPr>
        <w:pStyle w:val="NormalWeb"/>
        <w:spacing w:after="0"/>
        <w:ind w:left="-709"/>
        <w:jc w:val="center"/>
        <w:rPr>
          <w:rFonts w:ascii="Calibri" w:hAnsi="Calibri"/>
          <w:u w:val="single"/>
          <w:lang w:val="en-US"/>
        </w:rPr>
      </w:pPr>
      <w:r>
        <w:rPr>
          <w:rFonts w:ascii="Calibri" w:hAnsi="Calibri"/>
          <w:u w:val="single"/>
          <w:lang w:val="en-US"/>
        </w:rPr>
        <w:t>                                </w:t>
      </w:r>
    </w:p>
    <w:sectPr w:rsidR="00D9023E" w:rsidRPr="00D9023E" w:rsidSect="00DA30E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0E7" w:rsidRDefault="00DA30E7" w:rsidP="00DA30E7">
      <w:pPr>
        <w:spacing w:after="0" w:line="240" w:lineRule="auto"/>
      </w:pPr>
      <w:r>
        <w:separator/>
      </w:r>
    </w:p>
  </w:endnote>
  <w:endnote w:type="continuationSeparator" w:id="0">
    <w:p w:rsidR="00DA30E7" w:rsidRDefault="00DA30E7" w:rsidP="00DA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0E7" w:rsidRDefault="00DA30E7" w:rsidP="00DA30E7">
      <w:pPr>
        <w:spacing w:after="0" w:line="240" w:lineRule="auto"/>
      </w:pPr>
      <w:r>
        <w:separator/>
      </w:r>
    </w:p>
  </w:footnote>
  <w:footnote w:type="continuationSeparator" w:id="0">
    <w:p w:rsidR="00DA30E7" w:rsidRDefault="00DA30E7" w:rsidP="00DA3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534949"/>
      <w:docPartObj>
        <w:docPartGallery w:val="Page Numbers (Top of Page)"/>
        <w:docPartUnique/>
      </w:docPartObj>
    </w:sdtPr>
    <w:sdtEndPr/>
    <w:sdtContent>
      <w:p w:rsidR="00DA30E7" w:rsidRDefault="00DA30E7" w:rsidP="00DA30E7">
        <w:pPr>
          <w:pStyle w:val="Header"/>
          <w:ind w:hanging="709"/>
          <w:jc w:val="center"/>
        </w:pPr>
        <w:r>
          <w:fldChar w:fldCharType="begin"/>
        </w:r>
        <w:r>
          <w:instrText>PAGE   \* MERGEFORMAT</w:instrText>
        </w:r>
        <w:r>
          <w:fldChar w:fldCharType="separate"/>
        </w:r>
        <w:r w:rsidR="00D9023E">
          <w:rPr>
            <w:noProof/>
          </w:rPr>
          <w:t>2</w:t>
        </w:r>
        <w:r>
          <w:fldChar w:fldCharType="end"/>
        </w:r>
      </w:p>
    </w:sdtContent>
  </w:sdt>
  <w:p w:rsidR="00DA30E7" w:rsidRDefault="00DA3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59"/>
    <w:rsid w:val="001C64DB"/>
    <w:rsid w:val="001F4249"/>
    <w:rsid w:val="002B6327"/>
    <w:rsid w:val="002C7337"/>
    <w:rsid w:val="00330010"/>
    <w:rsid w:val="003E3259"/>
    <w:rsid w:val="004924AF"/>
    <w:rsid w:val="007F13EB"/>
    <w:rsid w:val="0084151D"/>
    <w:rsid w:val="00876F33"/>
    <w:rsid w:val="008A21BC"/>
    <w:rsid w:val="00911BF6"/>
    <w:rsid w:val="00985837"/>
    <w:rsid w:val="00A83B3A"/>
    <w:rsid w:val="00B45858"/>
    <w:rsid w:val="00BE26C7"/>
    <w:rsid w:val="00CC0A57"/>
    <w:rsid w:val="00D9023E"/>
    <w:rsid w:val="00DA30E7"/>
    <w:rsid w:val="00E341DC"/>
    <w:rsid w:val="00F13428"/>
    <w:rsid w:val="00F25EA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06D91-F4A2-4AA5-81D8-196EF465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3259"/>
    <w:pPr>
      <w:widowControl w:val="0"/>
      <w:suppressAutoHyphens/>
      <w:autoSpaceDN w:val="0"/>
      <w:textAlignment w:val="baseline"/>
    </w:pPr>
    <w:rPr>
      <w:rFonts w:ascii="Calibri" w:eastAsia="SimSun" w:hAnsi="Calibri" w:cs="Tahoma"/>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E3259"/>
    <w:pPr>
      <w:suppressAutoHyphens/>
      <w:autoSpaceDN w:val="0"/>
      <w:textAlignment w:val="baseline"/>
    </w:pPr>
    <w:rPr>
      <w:rFonts w:ascii="Calibri" w:eastAsia="SimSun" w:hAnsi="Calibri" w:cs="Tahoma"/>
      <w:kern w:val="3"/>
    </w:rPr>
  </w:style>
  <w:style w:type="paragraph" w:styleId="NormalWeb">
    <w:name w:val="Normal (Web)"/>
    <w:basedOn w:val="Normal"/>
    <w:uiPriority w:val="99"/>
    <w:semiHidden/>
    <w:unhideWhenUsed/>
    <w:rsid w:val="00B45858"/>
    <w:pPr>
      <w:widowControl/>
      <w:suppressAutoHyphens w:val="0"/>
      <w:autoSpaceDN/>
      <w:spacing w:before="100" w:beforeAutospacing="1" w:after="119" w:line="240" w:lineRule="auto"/>
      <w:textAlignment w:val="auto"/>
    </w:pPr>
    <w:rPr>
      <w:rFonts w:ascii="Times New Roman" w:eastAsia="Times New Roman" w:hAnsi="Times New Roman" w:cs="Times New Roman"/>
      <w:kern w:val="0"/>
      <w:sz w:val="24"/>
      <w:szCs w:val="24"/>
      <w:lang w:eastAsia="ru-RU"/>
    </w:rPr>
  </w:style>
  <w:style w:type="paragraph" w:styleId="BalloonText">
    <w:name w:val="Balloon Text"/>
    <w:basedOn w:val="Normal"/>
    <w:link w:val="BalloonTextChar"/>
    <w:uiPriority w:val="99"/>
    <w:semiHidden/>
    <w:unhideWhenUsed/>
    <w:rsid w:val="00E341D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341DC"/>
    <w:rPr>
      <w:rFonts w:ascii="Tahoma" w:eastAsia="SimSun" w:hAnsi="Tahoma" w:cs="Tahoma"/>
      <w:kern w:val="3"/>
      <w:sz w:val="16"/>
      <w:szCs w:val="16"/>
    </w:rPr>
  </w:style>
  <w:style w:type="character" w:customStyle="1" w:styleId="tlid-translation">
    <w:name w:val="tlid-translation"/>
    <w:basedOn w:val="DefaultParagraphFont"/>
    <w:rsid w:val="00BE26C7"/>
  </w:style>
  <w:style w:type="paragraph" w:styleId="Header">
    <w:name w:val="header"/>
    <w:basedOn w:val="Normal"/>
    <w:link w:val="HeaderChar"/>
    <w:uiPriority w:val="99"/>
    <w:unhideWhenUsed/>
    <w:rsid w:val="00DA30E7"/>
    <w:pPr>
      <w:tabs>
        <w:tab w:val="center" w:pos="4677"/>
        <w:tab w:val="right" w:pos="9355"/>
      </w:tabs>
      <w:spacing w:after="0" w:line="240" w:lineRule="auto"/>
    </w:pPr>
  </w:style>
  <w:style w:type="character" w:customStyle="1" w:styleId="HeaderChar">
    <w:name w:val="Header Char"/>
    <w:basedOn w:val="DefaultParagraphFont"/>
    <w:link w:val="Header"/>
    <w:uiPriority w:val="99"/>
    <w:rsid w:val="00DA30E7"/>
    <w:rPr>
      <w:rFonts w:ascii="Calibri" w:eastAsia="SimSun" w:hAnsi="Calibri" w:cs="Tahoma"/>
      <w:kern w:val="3"/>
    </w:rPr>
  </w:style>
  <w:style w:type="paragraph" w:styleId="Footer">
    <w:name w:val="footer"/>
    <w:basedOn w:val="Normal"/>
    <w:link w:val="FooterChar"/>
    <w:uiPriority w:val="99"/>
    <w:unhideWhenUsed/>
    <w:rsid w:val="00DA30E7"/>
    <w:pPr>
      <w:tabs>
        <w:tab w:val="center" w:pos="4677"/>
        <w:tab w:val="right" w:pos="9355"/>
      </w:tabs>
      <w:spacing w:after="0" w:line="240" w:lineRule="auto"/>
    </w:pPr>
  </w:style>
  <w:style w:type="character" w:customStyle="1" w:styleId="FooterChar">
    <w:name w:val="Footer Char"/>
    <w:basedOn w:val="DefaultParagraphFont"/>
    <w:link w:val="Footer"/>
    <w:uiPriority w:val="99"/>
    <w:rsid w:val="00DA30E7"/>
    <w:rPr>
      <w:rFonts w:ascii="Calibri" w:eastAsia="SimSun" w:hAnsi="Calibri" w:cs="Tahoma"/>
      <w:kern w:val="3"/>
    </w:rPr>
  </w:style>
  <w:style w:type="paragraph" w:customStyle="1" w:styleId="Source">
    <w:name w:val="Source"/>
    <w:basedOn w:val="Normal"/>
    <w:next w:val="Title1"/>
    <w:autoRedefine/>
    <w:rsid w:val="00D9023E"/>
    <w:pPr>
      <w:widowControl/>
      <w:suppressAutoHyphens w:val="0"/>
      <w:autoSpaceDN/>
      <w:spacing w:before="480" w:after="0" w:line="259" w:lineRule="auto"/>
      <w:jc w:val="center"/>
      <w:textAlignment w:val="auto"/>
    </w:pPr>
    <w:rPr>
      <w:rFonts w:asciiTheme="minorHAnsi" w:eastAsiaTheme="minorEastAsia" w:hAnsiTheme="minorHAnsi" w:cstheme="minorBidi"/>
      <w:bCs/>
      <w:kern w:val="0"/>
      <w:sz w:val="28"/>
      <w:lang w:val="en-GB" w:eastAsia="zh-CN"/>
    </w:rPr>
  </w:style>
  <w:style w:type="paragraph" w:customStyle="1" w:styleId="Title1">
    <w:name w:val="Title 1"/>
    <w:basedOn w:val="Source"/>
    <w:next w:val="Normal"/>
    <w:rsid w:val="00D9023E"/>
    <w:pPr>
      <w:spacing w:before="240"/>
    </w:pPr>
    <w:rPr>
      <w:b/>
      <w:caps/>
    </w:rPr>
  </w:style>
  <w:style w:type="paragraph" w:customStyle="1" w:styleId="dnum">
    <w:name w:val="dnum"/>
    <w:basedOn w:val="Normal"/>
    <w:rsid w:val="00D9023E"/>
    <w:pPr>
      <w:framePr w:hSpace="181" w:wrap="around" w:vAnchor="page" w:hAnchor="margin" w:y="852"/>
      <w:widowControl/>
      <w:shd w:val="solid" w:color="FFFFFF" w:fill="FFFFFF"/>
      <w:tabs>
        <w:tab w:val="left" w:pos="1871"/>
      </w:tabs>
      <w:suppressAutoHyphens w:val="0"/>
      <w:autoSpaceDN/>
      <w:spacing w:after="160" w:line="259" w:lineRule="auto"/>
      <w:textAlignment w:val="auto"/>
    </w:pPr>
    <w:rPr>
      <w:rFonts w:asciiTheme="minorHAnsi" w:eastAsiaTheme="minorEastAsia" w:hAnsiTheme="minorHAnsi" w:cstheme="minorBidi"/>
      <w:b/>
      <w:bCs/>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498647">
      <w:bodyDiv w:val="1"/>
      <w:marLeft w:val="0"/>
      <w:marRight w:val="0"/>
      <w:marTop w:val="0"/>
      <w:marBottom w:val="0"/>
      <w:divBdr>
        <w:top w:val="none" w:sz="0" w:space="0" w:color="auto"/>
        <w:left w:val="none" w:sz="0" w:space="0" w:color="auto"/>
        <w:bottom w:val="none" w:sz="0" w:space="0" w:color="auto"/>
        <w:right w:val="none" w:sz="0" w:space="0" w:color="auto"/>
      </w:divBdr>
    </w:div>
    <w:div w:id="1637489298">
      <w:bodyDiv w:val="1"/>
      <w:marLeft w:val="0"/>
      <w:marRight w:val="0"/>
      <w:marTop w:val="0"/>
      <w:marBottom w:val="0"/>
      <w:divBdr>
        <w:top w:val="none" w:sz="0" w:space="0" w:color="auto"/>
        <w:left w:val="none" w:sz="0" w:space="0" w:color="auto"/>
        <w:bottom w:val="none" w:sz="0" w:space="0" w:color="auto"/>
        <w:right w:val="none" w:sz="0" w:space="0" w:color="auto"/>
      </w:divBdr>
      <w:divsChild>
        <w:div w:id="1253275132">
          <w:marLeft w:val="0"/>
          <w:marRight w:val="0"/>
          <w:marTop w:val="0"/>
          <w:marBottom w:val="0"/>
          <w:divBdr>
            <w:top w:val="none" w:sz="0" w:space="0" w:color="auto"/>
            <w:left w:val="none" w:sz="0" w:space="0" w:color="auto"/>
            <w:bottom w:val="none" w:sz="0" w:space="0" w:color="auto"/>
            <w:right w:val="none" w:sz="0" w:space="0" w:color="auto"/>
          </w:divBdr>
          <w:divsChild>
            <w:div w:id="305932479">
              <w:marLeft w:val="0"/>
              <w:marRight w:val="0"/>
              <w:marTop w:val="0"/>
              <w:marBottom w:val="0"/>
              <w:divBdr>
                <w:top w:val="none" w:sz="0" w:space="0" w:color="auto"/>
                <w:left w:val="none" w:sz="0" w:space="0" w:color="auto"/>
                <w:bottom w:val="none" w:sz="0" w:space="0" w:color="auto"/>
                <w:right w:val="none" w:sz="0" w:space="0" w:color="auto"/>
              </w:divBdr>
              <w:divsChild>
                <w:div w:id="1219390799">
                  <w:marLeft w:val="0"/>
                  <w:marRight w:val="0"/>
                  <w:marTop w:val="0"/>
                  <w:marBottom w:val="0"/>
                  <w:divBdr>
                    <w:top w:val="none" w:sz="0" w:space="0" w:color="auto"/>
                    <w:left w:val="none" w:sz="0" w:space="0" w:color="auto"/>
                    <w:bottom w:val="none" w:sz="0" w:space="0" w:color="auto"/>
                    <w:right w:val="none" w:sz="0" w:space="0" w:color="auto"/>
                  </w:divBdr>
                  <w:divsChild>
                    <w:div w:id="596328921">
                      <w:marLeft w:val="0"/>
                      <w:marRight w:val="0"/>
                      <w:marTop w:val="0"/>
                      <w:marBottom w:val="0"/>
                      <w:divBdr>
                        <w:top w:val="none" w:sz="0" w:space="0" w:color="auto"/>
                        <w:left w:val="none" w:sz="0" w:space="0" w:color="auto"/>
                        <w:bottom w:val="none" w:sz="0" w:space="0" w:color="auto"/>
                        <w:right w:val="none" w:sz="0" w:space="0" w:color="auto"/>
                      </w:divBdr>
                      <w:divsChild>
                        <w:div w:id="858935713">
                          <w:marLeft w:val="0"/>
                          <w:marRight w:val="0"/>
                          <w:marTop w:val="0"/>
                          <w:marBottom w:val="0"/>
                          <w:divBdr>
                            <w:top w:val="none" w:sz="0" w:space="0" w:color="auto"/>
                            <w:left w:val="none" w:sz="0" w:space="0" w:color="auto"/>
                            <w:bottom w:val="none" w:sz="0" w:space="0" w:color="auto"/>
                            <w:right w:val="none" w:sz="0" w:space="0" w:color="auto"/>
                          </w:divBdr>
                          <w:divsChild>
                            <w:div w:id="672727855">
                              <w:marLeft w:val="0"/>
                              <w:marRight w:val="0"/>
                              <w:marTop w:val="0"/>
                              <w:marBottom w:val="0"/>
                              <w:divBdr>
                                <w:top w:val="none" w:sz="0" w:space="0" w:color="auto"/>
                                <w:left w:val="none" w:sz="0" w:space="0" w:color="auto"/>
                                <w:bottom w:val="none" w:sz="0" w:space="0" w:color="auto"/>
                                <w:right w:val="none" w:sz="0" w:space="0" w:color="auto"/>
                              </w:divBdr>
                              <w:divsChild>
                                <w:div w:id="550069846">
                                  <w:marLeft w:val="0"/>
                                  <w:marRight w:val="0"/>
                                  <w:marTop w:val="0"/>
                                  <w:marBottom w:val="0"/>
                                  <w:divBdr>
                                    <w:top w:val="none" w:sz="0" w:space="0" w:color="auto"/>
                                    <w:left w:val="none" w:sz="0" w:space="0" w:color="auto"/>
                                    <w:bottom w:val="none" w:sz="0" w:space="0" w:color="auto"/>
                                    <w:right w:val="none" w:sz="0" w:space="0" w:color="auto"/>
                                  </w:divBdr>
                                  <w:divsChild>
                                    <w:div w:id="1652909761">
                                      <w:marLeft w:val="0"/>
                                      <w:marRight w:val="0"/>
                                      <w:marTop w:val="0"/>
                                      <w:marBottom w:val="0"/>
                                      <w:divBdr>
                                        <w:top w:val="none" w:sz="0" w:space="0" w:color="auto"/>
                                        <w:left w:val="none" w:sz="0" w:space="0" w:color="auto"/>
                                        <w:bottom w:val="none" w:sz="0" w:space="0" w:color="auto"/>
                                        <w:right w:val="none" w:sz="0" w:space="0" w:color="auto"/>
                                      </w:divBdr>
                                      <w:divsChild>
                                        <w:div w:id="1652250943">
                                          <w:marLeft w:val="0"/>
                                          <w:marRight w:val="0"/>
                                          <w:marTop w:val="0"/>
                                          <w:marBottom w:val="495"/>
                                          <w:divBdr>
                                            <w:top w:val="none" w:sz="0" w:space="0" w:color="auto"/>
                                            <w:left w:val="none" w:sz="0" w:space="0" w:color="auto"/>
                                            <w:bottom w:val="none" w:sz="0" w:space="0" w:color="auto"/>
                                            <w:right w:val="none" w:sz="0" w:space="0" w:color="auto"/>
                                          </w:divBdr>
                                          <w:divsChild>
                                            <w:div w:id="20265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3086</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ФГУП НИИР</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 России</dc:creator>
  <cp:lastModifiedBy>Janin, Patricia</cp:lastModifiedBy>
  <cp:revision>3</cp:revision>
  <dcterms:created xsi:type="dcterms:W3CDTF">2019-12-23T15:30:00Z</dcterms:created>
  <dcterms:modified xsi:type="dcterms:W3CDTF">2019-12-23T15:32:00Z</dcterms:modified>
</cp:coreProperties>
</file>