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543"/>
        <w:gridCol w:w="284"/>
        <w:gridCol w:w="4536"/>
      </w:tblGrid>
      <w:tr w:rsidR="003476DD" w:rsidRPr="00351626" w14:paraId="3B950A62" w14:textId="77777777" w:rsidTr="002E3985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0CB29F46" w14:textId="251316F2" w:rsidR="003476DD" w:rsidRPr="00351626" w:rsidRDefault="00A1478D" w:rsidP="00A94D03">
            <w:pPr>
              <w:pStyle w:val="enumlev1"/>
              <w:spacing w:line="240" w:lineRule="auto"/>
            </w:pPr>
            <w:bookmarkStart w:id="0" w:name="Origine"/>
            <w:bookmarkEnd w:id="0"/>
            <w:r w:rsidRPr="00351626">
              <w:rPr>
                <w:rFonts w:cs="Times New Roman Bold"/>
                <w:b/>
                <w:bCs/>
                <w:color w:val="808080"/>
                <w:sz w:val="28"/>
                <w:szCs w:val="28"/>
              </w:rPr>
              <w:t>Secrétariat général (SG)</w:t>
            </w:r>
          </w:p>
        </w:tc>
      </w:tr>
      <w:tr w:rsidR="003476DD" w:rsidRPr="00351626" w14:paraId="52766D3A" w14:textId="77777777" w:rsidTr="002E3985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5FBC3627" w14:textId="77777777" w:rsidR="003476DD" w:rsidRPr="00351626" w:rsidRDefault="003476DD" w:rsidP="00910046">
            <w:pPr>
              <w:spacing w:before="0" w:line="240" w:lineRule="auto"/>
              <w:jc w:val="left"/>
            </w:pPr>
          </w:p>
        </w:tc>
      </w:tr>
      <w:tr w:rsidR="003476DD" w:rsidRPr="00351626" w14:paraId="70E68AB7" w14:textId="77777777" w:rsidTr="002E3985">
        <w:trPr>
          <w:jc w:val="center"/>
        </w:trPr>
        <w:tc>
          <w:tcPr>
            <w:tcW w:w="5353" w:type="dxa"/>
            <w:gridSpan w:val="3"/>
            <w:shd w:val="clear" w:color="auto" w:fill="auto"/>
          </w:tcPr>
          <w:p w14:paraId="24493BF7" w14:textId="77777777" w:rsidR="003476DD" w:rsidRPr="00351626" w:rsidRDefault="003476DD" w:rsidP="00FC09E6">
            <w:pPr>
              <w:spacing w:before="120" w:line="240" w:lineRule="auto"/>
              <w:jc w:val="left"/>
            </w:pPr>
          </w:p>
        </w:tc>
        <w:tc>
          <w:tcPr>
            <w:tcW w:w="4536" w:type="dxa"/>
            <w:shd w:val="clear" w:color="auto" w:fill="auto"/>
          </w:tcPr>
          <w:p w14:paraId="288E29CE" w14:textId="744CF057" w:rsidR="003476DD" w:rsidRPr="00351626" w:rsidRDefault="000A249C" w:rsidP="00FC09E6">
            <w:pPr>
              <w:spacing w:before="120" w:line="240" w:lineRule="auto"/>
              <w:ind w:right="57"/>
              <w:jc w:val="left"/>
            </w:pPr>
            <w:r w:rsidRPr="00351626">
              <w:t xml:space="preserve">Genève, le </w:t>
            </w:r>
            <w:r w:rsidR="008710DC">
              <w:rPr>
                <w:rFonts w:cs="Arial"/>
              </w:rPr>
              <w:t>2</w:t>
            </w:r>
            <w:r w:rsidR="00B24026">
              <w:rPr>
                <w:rFonts w:cs="Arial"/>
              </w:rPr>
              <w:t>2</w:t>
            </w:r>
            <w:r w:rsidR="008710DC">
              <w:rPr>
                <w:rFonts w:cs="Arial"/>
              </w:rPr>
              <w:t xml:space="preserve"> décembre </w:t>
            </w:r>
            <w:r w:rsidR="00630C6D" w:rsidRPr="00351626">
              <w:rPr>
                <w:rFonts w:cs="Arial"/>
              </w:rPr>
              <w:t>2020</w:t>
            </w:r>
          </w:p>
        </w:tc>
      </w:tr>
      <w:tr w:rsidR="00630C6D" w:rsidRPr="00351626" w14:paraId="3B7D3579" w14:textId="77777777" w:rsidTr="002E3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4883D" w14:textId="77777777" w:rsidR="00630C6D" w:rsidRPr="00351626" w:rsidRDefault="00630C6D" w:rsidP="00A94D03">
            <w:pPr>
              <w:spacing w:before="0" w:line="240" w:lineRule="auto"/>
              <w:jc w:val="left"/>
            </w:pPr>
            <w:r w:rsidRPr="00351626">
              <w:t>Réf.: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B6C71" w14:textId="42609B69" w:rsidR="00630C6D" w:rsidRPr="00351626" w:rsidRDefault="008710DC" w:rsidP="00A94D03">
            <w:pPr>
              <w:spacing w:before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CL</w:t>
            </w:r>
            <w:r w:rsidR="00630C6D" w:rsidRPr="00351626">
              <w:rPr>
                <w:b/>
                <w:bCs/>
              </w:rPr>
              <w:t>-20/</w:t>
            </w:r>
            <w:r w:rsidR="00C411A7">
              <w:rPr>
                <w:b/>
                <w:bCs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C148E" w14:textId="77777777" w:rsidR="00630C6D" w:rsidRPr="00351626" w:rsidRDefault="00630C6D" w:rsidP="00A94D03">
            <w:pPr>
              <w:spacing w:before="0" w:line="240" w:lineRule="auto"/>
              <w:jc w:val="left"/>
            </w:pPr>
          </w:p>
        </w:tc>
      </w:tr>
      <w:tr w:rsidR="00630C6D" w:rsidRPr="00351626" w14:paraId="245DA2DF" w14:textId="77777777" w:rsidTr="002E3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92B0A" w14:textId="77777777" w:rsidR="00630C6D" w:rsidRPr="00351626" w:rsidRDefault="00630C6D" w:rsidP="00A94D03">
            <w:pPr>
              <w:spacing w:before="0" w:line="240" w:lineRule="auto"/>
              <w:jc w:val="left"/>
              <w:rPr>
                <w:iCs/>
                <w:color w:val="FFFFFF" w:themeColor="background1"/>
              </w:rPr>
            </w:pPr>
            <w:r w:rsidRPr="00351626">
              <w:rPr>
                <w:iCs/>
              </w:rPr>
              <w:t>Contact: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4EE6F" w14:textId="0245D8AC" w:rsidR="00630C6D" w:rsidRPr="00351626" w:rsidRDefault="00630C6D" w:rsidP="00A94D03">
            <w:pPr>
              <w:spacing w:before="0" w:line="240" w:lineRule="auto"/>
              <w:jc w:val="left"/>
            </w:pPr>
            <w:bookmarkStart w:id="1" w:name="Contact"/>
            <w:bookmarkEnd w:id="1"/>
            <w:r w:rsidRPr="00351626">
              <w:t>Mme Béatrice Pluchon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BDCF5" w14:textId="77777777" w:rsidR="00630C6D" w:rsidRPr="00351626" w:rsidRDefault="00630C6D" w:rsidP="00A94D03">
            <w:pPr>
              <w:spacing w:before="0" w:line="240" w:lineRule="auto"/>
            </w:pPr>
          </w:p>
        </w:tc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88B88" w14:textId="181F94D5" w:rsidR="00630C6D" w:rsidRPr="00351626" w:rsidRDefault="00630C6D" w:rsidP="00A94D03">
            <w:pPr>
              <w:spacing w:before="0" w:line="240" w:lineRule="auto"/>
              <w:jc w:val="left"/>
              <w:rPr>
                <w:color w:val="000000"/>
              </w:rPr>
            </w:pPr>
            <w:r w:rsidRPr="00351626">
              <w:t>Aux États Membres de l'UIT</w:t>
            </w:r>
          </w:p>
        </w:tc>
      </w:tr>
      <w:tr w:rsidR="00630C6D" w:rsidRPr="00351626" w14:paraId="36181A85" w14:textId="77777777" w:rsidTr="002E3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DFCE9" w14:textId="77777777" w:rsidR="00630C6D" w:rsidRPr="00351626" w:rsidRDefault="00630C6D" w:rsidP="00A94D03">
            <w:pPr>
              <w:spacing w:before="0" w:line="240" w:lineRule="auto"/>
              <w:jc w:val="left"/>
              <w:rPr>
                <w:iCs/>
                <w:color w:val="FFFFFF" w:themeColor="background1"/>
              </w:rPr>
            </w:pPr>
            <w:r w:rsidRPr="00351626">
              <w:rPr>
                <w:iCs/>
              </w:rPr>
              <w:t>Télécopie: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3D73" w14:textId="4C95F9FA" w:rsidR="00630C6D" w:rsidRPr="00351626" w:rsidRDefault="00630C6D" w:rsidP="00A94D03">
            <w:pPr>
              <w:spacing w:before="0" w:line="240" w:lineRule="auto"/>
              <w:jc w:val="left"/>
            </w:pPr>
            <w:r w:rsidRPr="00351626">
              <w:t>+41 22 730 6266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E5792" w14:textId="77777777" w:rsidR="00630C6D" w:rsidRPr="00351626" w:rsidRDefault="00630C6D" w:rsidP="00A94D03">
            <w:pPr>
              <w:spacing w:before="0" w:line="240" w:lineRule="auto"/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23A01" w14:textId="77777777" w:rsidR="00630C6D" w:rsidRPr="00351626" w:rsidRDefault="00630C6D" w:rsidP="00A94D03">
            <w:pPr>
              <w:spacing w:before="0" w:line="240" w:lineRule="auto"/>
            </w:pPr>
          </w:p>
        </w:tc>
      </w:tr>
      <w:tr w:rsidR="00630C6D" w:rsidRPr="00351626" w14:paraId="16B4E1A2" w14:textId="77777777" w:rsidTr="002E3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E3835" w14:textId="77777777" w:rsidR="00630C6D" w:rsidRPr="00351626" w:rsidRDefault="00630C6D" w:rsidP="00A94D03">
            <w:pPr>
              <w:spacing w:before="0" w:line="240" w:lineRule="auto"/>
              <w:jc w:val="left"/>
              <w:rPr>
                <w:iCs/>
                <w:color w:val="FFFFFF" w:themeColor="background1"/>
              </w:rPr>
            </w:pPr>
            <w:r w:rsidRPr="00351626">
              <w:t>Courriel</w:t>
            </w:r>
            <w:r w:rsidRPr="00351626">
              <w:rPr>
                <w:iCs/>
              </w:rPr>
              <w:t>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F2590" w14:textId="038B1E4B" w:rsidR="00630C6D" w:rsidRPr="00351626" w:rsidRDefault="0031423A" w:rsidP="00A94D03">
            <w:pPr>
              <w:spacing w:before="0" w:line="240" w:lineRule="auto"/>
              <w:jc w:val="left"/>
            </w:pPr>
            <w:hyperlink r:id="rId8" w:history="1">
              <w:r w:rsidR="008710DC" w:rsidRPr="00E02765">
                <w:rPr>
                  <w:rStyle w:val="Hyperlink"/>
                  <w:lang w:val="fr-CH"/>
                </w:rPr>
                <w:t>memberstates@itu.int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0FD20" w14:textId="77777777" w:rsidR="00630C6D" w:rsidRPr="00351626" w:rsidRDefault="00630C6D" w:rsidP="00A94D03">
            <w:pPr>
              <w:spacing w:before="0" w:line="240" w:lineRule="auto"/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B7930" w14:textId="77777777" w:rsidR="00630C6D" w:rsidRPr="00351626" w:rsidRDefault="00630C6D" w:rsidP="00A94D03">
            <w:pPr>
              <w:spacing w:before="0" w:line="240" w:lineRule="auto"/>
            </w:pPr>
          </w:p>
        </w:tc>
      </w:tr>
      <w:tr w:rsidR="003476DD" w:rsidRPr="00351626" w14:paraId="7986920D" w14:textId="77777777" w:rsidTr="002E3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0CA5C" w14:textId="77777777" w:rsidR="003476DD" w:rsidRPr="00351626" w:rsidRDefault="003476DD" w:rsidP="00A94D03">
            <w:pPr>
              <w:spacing w:before="0" w:line="240" w:lineRule="auto"/>
              <w:jc w:val="left"/>
              <w:rPr>
                <w:iCs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00257" w14:textId="77777777" w:rsidR="003476DD" w:rsidRPr="00351626" w:rsidRDefault="003476DD" w:rsidP="00A94D03">
            <w:pPr>
              <w:spacing w:before="0" w:line="240" w:lineRule="auto"/>
              <w:jc w:val="left"/>
              <w:rPr>
                <w:iCs/>
              </w:rPr>
            </w:pPr>
          </w:p>
        </w:tc>
      </w:tr>
      <w:tr w:rsidR="00757B2B" w:rsidRPr="00351626" w14:paraId="087B7FC0" w14:textId="77777777" w:rsidTr="002E3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E03BE" w14:textId="77777777" w:rsidR="00757B2B" w:rsidRPr="00351626" w:rsidRDefault="000A249C" w:rsidP="00A94D03">
            <w:pPr>
              <w:spacing w:before="120" w:line="240" w:lineRule="auto"/>
              <w:jc w:val="left"/>
              <w:rPr>
                <w:color w:val="000000"/>
              </w:rPr>
            </w:pPr>
            <w:r w:rsidRPr="00351626">
              <w:rPr>
                <w:color w:val="000000"/>
              </w:rPr>
              <w:t>Objet: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27626" w14:textId="31093883" w:rsidR="00757B2B" w:rsidRPr="00351626" w:rsidRDefault="008710DC" w:rsidP="00A94D03">
            <w:pPr>
              <w:spacing w:before="120" w:line="240" w:lineRule="auto"/>
              <w:jc w:val="left"/>
              <w:rPr>
                <w:b/>
                <w:bCs/>
                <w:color w:val="000000"/>
              </w:rPr>
            </w:pPr>
            <w:bookmarkStart w:id="2" w:name="Subject"/>
            <w:bookmarkEnd w:id="2"/>
            <w:r>
              <w:rPr>
                <w:b/>
                <w:bCs/>
              </w:rPr>
              <w:t>C</w:t>
            </w:r>
            <w:r w:rsidRPr="008710DC">
              <w:rPr>
                <w:b/>
                <w:bCs/>
              </w:rPr>
              <w:t>hangement des dates de l'AMNT-20</w:t>
            </w:r>
          </w:p>
        </w:tc>
      </w:tr>
    </w:tbl>
    <w:p w14:paraId="04E0AA77" w14:textId="77777777" w:rsidR="00AF3325" w:rsidRPr="00351626" w:rsidRDefault="000A249C" w:rsidP="00FC09E6">
      <w:pPr>
        <w:pStyle w:val="Normalaftertitle0"/>
        <w:spacing w:before="240"/>
        <w:ind w:right="-284"/>
        <w:rPr>
          <w:rFonts w:asciiTheme="minorHAnsi" w:hAnsiTheme="minorHAnsi"/>
          <w:sz w:val="22"/>
          <w:szCs w:val="22"/>
          <w:lang w:val="fr-FR"/>
        </w:rPr>
      </w:pPr>
      <w:bookmarkStart w:id="3" w:name="CurrentLocation"/>
      <w:bookmarkEnd w:id="3"/>
      <w:r w:rsidRPr="00351626">
        <w:rPr>
          <w:rFonts w:asciiTheme="minorHAnsi" w:hAnsiTheme="minorHAnsi"/>
          <w:sz w:val="22"/>
          <w:szCs w:val="22"/>
          <w:lang w:val="fr-FR"/>
        </w:rPr>
        <w:t>Madame, Monsieur,</w:t>
      </w:r>
    </w:p>
    <w:p w14:paraId="79867A1F" w14:textId="4A899B17" w:rsidR="00FA031D" w:rsidRDefault="00FA031D" w:rsidP="00E336DD">
      <w:pPr>
        <w:spacing w:before="120"/>
      </w:pPr>
      <w:bookmarkStart w:id="4" w:name="Formula"/>
      <w:bookmarkStart w:id="5" w:name="MainStory"/>
      <w:bookmarkEnd w:id="4"/>
      <w:bookmarkEnd w:id="5"/>
      <w:r w:rsidRPr="00FA031D">
        <w:t xml:space="preserve">Suite à la consultation des États Membres du Conseil menée aux termes de la Lettre </w:t>
      </w:r>
      <w:hyperlink r:id="rId9" w:history="1">
        <w:r w:rsidRPr="00C411A7">
          <w:rPr>
            <w:rStyle w:val="Hyperlink"/>
          </w:rPr>
          <w:t>DM-20/1021</w:t>
        </w:r>
      </w:hyperlink>
      <w:r w:rsidR="00E336DD">
        <w:t xml:space="preserve"> du 27 </w:t>
      </w:r>
      <w:r>
        <w:t xml:space="preserve">novembre </w:t>
      </w:r>
      <w:r w:rsidRPr="00FA031D">
        <w:t xml:space="preserve">2020 relative aux résultats des discussions de la </w:t>
      </w:r>
      <w:r>
        <w:t xml:space="preserve">seconde </w:t>
      </w:r>
      <w:r w:rsidRPr="00FA031D">
        <w:t xml:space="preserve">consultation virtuelle des Conseillers et aux résultats communiqués dans la Lettre </w:t>
      </w:r>
      <w:hyperlink r:id="rId10" w:history="1">
        <w:r w:rsidRPr="00C411A7">
          <w:rPr>
            <w:rStyle w:val="Hyperlink"/>
          </w:rPr>
          <w:t>DM-20/</w:t>
        </w:r>
        <w:r w:rsidR="00C411A7" w:rsidRPr="00C411A7">
          <w:rPr>
            <w:rStyle w:val="Hyperlink"/>
          </w:rPr>
          <w:t>1022</w:t>
        </w:r>
      </w:hyperlink>
      <w:r w:rsidRPr="00FA031D">
        <w:t>, j'ai l'honneur de vous informer que les États Membres du Conseil ont</w:t>
      </w:r>
      <w:r>
        <w:t xml:space="preserve"> </w:t>
      </w:r>
      <w:r w:rsidRPr="00FA031D">
        <w:t xml:space="preserve">souscrit au report de la prochaine </w:t>
      </w:r>
      <w:r w:rsidR="008D7779">
        <w:t>Assemblée mondiale de normalisation des télécommunications (</w:t>
      </w:r>
      <w:r w:rsidRPr="00FA031D">
        <w:t>AMNT</w:t>
      </w:r>
      <w:r w:rsidR="008D7779">
        <w:t>)</w:t>
      </w:r>
      <w:r w:rsidRPr="00FA031D">
        <w:t xml:space="preserve"> pour qu'elle se tienne du </w:t>
      </w:r>
      <w:r>
        <w:t>1er</w:t>
      </w:r>
      <w:r w:rsidRPr="00FA031D">
        <w:t xml:space="preserve"> au </w:t>
      </w:r>
      <w:r>
        <w:t>9</w:t>
      </w:r>
      <w:r w:rsidRPr="00FA031D">
        <w:t xml:space="preserve"> mars 202</w:t>
      </w:r>
      <w:r>
        <w:t>2</w:t>
      </w:r>
      <w:r w:rsidRPr="00FA031D">
        <w:t xml:space="preserve">, </w:t>
      </w:r>
      <w:r>
        <w:t xml:space="preserve">précédée du </w:t>
      </w:r>
      <w:r w:rsidRPr="00FA031D">
        <w:t xml:space="preserve">Colloque mondial sur la normalisation </w:t>
      </w:r>
      <w:r w:rsidR="008D7779">
        <w:t xml:space="preserve">(GSS) </w:t>
      </w:r>
      <w:r w:rsidRPr="00FA031D">
        <w:t>le 2</w:t>
      </w:r>
      <w:r>
        <w:t>8</w:t>
      </w:r>
      <w:r w:rsidRPr="00FA031D">
        <w:t xml:space="preserve"> février 202</w:t>
      </w:r>
      <w:r>
        <w:t>2</w:t>
      </w:r>
      <w:r w:rsidRPr="00FA031D">
        <w:t xml:space="preserve">, en adoptant la Décision </w:t>
      </w:r>
      <w:r>
        <w:t xml:space="preserve">608 révisée </w:t>
      </w:r>
      <w:r w:rsidRPr="00FA031D">
        <w:t>reproduite dans l'</w:t>
      </w:r>
      <w:hyperlink w:anchor="Annexe_2" w:history="1">
        <w:r w:rsidRPr="00E336DD">
          <w:rPr>
            <w:rStyle w:val="Hyperlink"/>
          </w:rPr>
          <w:t>Annexe</w:t>
        </w:r>
        <w:r w:rsidR="008D7779" w:rsidRPr="00E336DD">
          <w:rPr>
            <w:rStyle w:val="Hyperlink"/>
          </w:rPr>
          <w:t> </w:t>
        </w:r>
        <w:r w:rsidRPr="00E336DD">
          <w:rPr>
            <w:rStyle w:val="Hyperlink"/>
          </w:rPr>
          <w:t>2</w:t>
        </w:r>
      </w:hyperlink>
      <w:r w:rsidRPr="00FA031D">
        <w:t>.</w:t>
      </w:r>
    </w:p>
    <w:p w14:paraId="26C17916" w14:textId="69344508" w:rsidR="00461D85" w:rsidRDefault="00461D85" w:rsidP="00A94D03">
      <w:pPr>
        <w:spacing w:before="120" w:after="120" w:line="240" w:lineRule="auto"/>
        <w:jc w:val="left"/>
        <w:rPr>
          <w:spacing w:val="2"/>
        </w:rPr>
      </w:pPr>
      <w:r w:rsidRPr="00D65A47">
        <w:t xml:space="preserve">Conformément au numéro 46 de la Convention de l'UIT, tous les États Membres de l'UIT sont donc invités à informer le Secrétaire général de leur accord concernant le changement des dates de l'AMNT-20 comme indiqué ci-dessus, </w:t>
      </w:r>
      <w:r w:rsidR="00894C33" w:rsidRPr="00D65A47">
        <w:t xml:space="preserve">au moyen du </w:t>
      </w:r>
      <w:hyperlink r:id="rId11" w:history="1">
        <w:r w:rsidRPr="00CB1A81">
          <w:rPr>
            <w:rStyle w:val="Hyperlink"/>
            <w:rFonts w:cs="Arial"/>
            <w:b/>
            <w:bCs/>
            <w:i/>
            <w:iCs/>
            <w:color w:val="0070C0"/>
          </w:rPr>
          <w:t>nouvel outil en ligne</w:t>
        </w:r>
      </w:hyperlink>
      <w:r w:rsidR="00E336DD" w:rsidRPr="00E336DD">
        <w:rPr>
          <w:rStyle w:val="FootnoteReference"/>
          <w:rFonts w:cs="Arial"/>
          <w:b/>
          <w:bCs/>
          <w:i/>
          <w:iCs/>
        </w:rPr>
        <w:footnoteReference w:customMarkFollows="1" w:id="1"/>
        <w:t>*</w:t>
      </w:r>
      <w:r w:rsidRPr="00E336DD">
        <w:t xml:space="preserve"> </w:t>
      </w:r>
      <w:r w:rsidRPr="00D65A47">
        <w:t>ou</w:t>
      </w:r>
      <w:r w:rsidR="00894C33" w:rsidRPr="00D65A47">
        <w:t>,</w:t>
      </w:r>
      <w:r w:rsidRPr="00D65A47">
        <w:t xml:space="preserve"> </w:t>
      </w:r>
      <w:r w:rsidR="00894C33" w:rsidRPr="00D65A47">
        <w:t xml:space="preserve">en utilisant le </w:t>
      </w:r>
      <w:r w:rsidRPr="00D65A47">
        <w:t>modèle reproduit dans l'</w:t>
      </w:r>
      <w:r w:rsidRPr="00D65A47">
        <w:rPr>
          <w:b/>
          <w:bCs/>
        </w:rPr>
        <w:t>Annexe 1</w:t>
      </w:r>
      <w:r w:rsidRPr="00D65A47">
        <w:t xml:space="preserve">, </w:t>
      </w:r>
      <w:r w:rsidR="00894C33" w:rsidRPr="00D65A47">
        <w:t>par l'envoi d'</w:t>
      </w:r>
      <w:r w:rsidRPr="00D65A47">
        <w:t xml:space="preserve">un courrier électronique à l'adresse </w:t>
      </w:r>
      <w:hyperlink r:id="rId12" w:history="1">
        <w:r w:rsidRPr="00D65A47">
          <w:rPr>
            <w:rStyle w:val="Hyperlink"/>
          </w:rPr>
          <w:t>memberstates@itu.int</w:t>
        </w:r>
      </w:hyperlink>
      <w:r w:rsidR="008D7779" w:rsidRPr="00D65A47">
        <w:t>,</w:t>
      </w:r>
      <w:r w:rsidR="008D7779" w:rsidRPr="00D65A47">
        <w:rPr>
          <w:b/>
          <w:bCs/>
        </w:rPr>
        <w:t xml:space="preserve"> au plus tard le</w:t>
      </w:r>
      <w:r w:rsidR="008D7779" w:rsidRPr="00D65A47">
        <w:rPr>
          <w:b/>
        </w:rPr>
        <w:t xml:space="preserve"> </w:t>
      </w:r>
      <w:r w:rsidR="004711C1">
        <w:rPr>
          <w:b/>
        </w:rPr>
        <w:t xml:space="preserve">1er février </w:t>
      </w:r>
      <w:r w:rsidR="008D7779" w:rsidRPr="00D65A47">
        <w:rPr>
          <w:b/>
        </w:rPr>
        <w:t>2021</w:t>
      </w:r>
      <w:r w:rsidRPr="00D65A47">
        <w:t>. Le secrétariat reste à votre disposition en cas de besoin.</w:t>
      </w:r>
    </w:p>
    <w:p w14:paraId="75B16FE7" w14:textId="1A4AF36D" w:rsidR="00461D85" w:rsidRPr="00461D85" w:rsidRDefault="00461D85" w:rsidP="00A94D03">
      <w:pPr>
        <w:spacing w:before="120" w:after="120" w:line="240" w:lineRule="auto"/>
        <w:jc w:val="left"/>
        <w:rPr>
          <w:spacing w:val="2"/>
        </w:rPr>
      </w:pPr>
      <w:r w:rsidRPr="00461D85">
        <w:rPr>
          <w:spacing w:val="2"/>
        </w:rPr>
        <w:t xml:space="preserve">Si votre pays a déjà répondu à la première consultation </w:t>
      </w:r>
      <w:r>
        <w:rPr>
          <w:spacing w:val="2"/>
        </w:rPr>
        <w:t xml:space="preserve">menée </w:t>
      </w:r>
      <w:r w:rsidRPr="00461D85">
        <w:rPr>
          <w:spacing w:val="2"/>
        </w:rPr>
        <w:t>via l</w:t>
      </w:r>
      <w:r>
        <w:rPr>
          <w:spacing w:val="2"/>
        </w:rPr>
        <w:t xml:space="preserve">a Lettre </w:t>
      </w:r>
      <w:r w:rsidRPr="00461D85">
        <w:rPr>
          <w:spacing w:val="2"/>
        </w:rPr>
        <w:t xml:space="preserve">DM-20/2021 </w:t>
      </w:r>
      <w:r>
        <w:rPr>
          <w:spacing w:val="2"/>
        </w:rPr>
        <w:t xml:space="preserve">auprès des </w:t>
      </w:r>
      <w:r w:rsidRPr="00461D85">
        <w:rPr>
          <w:spacing w:val="2"/>
        </w:rPr>
        <w:t xml:space="preserve">États Membres du Conseil, </w:t>
      </w:r>
      <w:r w:rsidRPr="00461D85">
        <w:rPr>
          <w:b/>
          <w:bCs/>
          <w:spacing w:val="2"/>
        </w:rPr>
        <w:t>sa réponse sera également valable</w:t>
      </w:r>
      <w:r w:rsidRPr="00461D85">
        <w:rPr>
          <w:spacing w:val="2"/>
        </w:rPr>
        <w:t xml:space="preserve"> pour la présente consultation visant tous les États Membres, </w:t>
      </w:r>
      <w:r w:rsidRPr="00461D85">
        <w:rPr>
          <w:b/>
          <w:bCs/>
          <w:spacing w:val="2"/>
        </w:rPr>
        <w:t xml:space="preserve">sauf indication contraire communiquée par le Conseiller ou par le </w:t>
      </w:r>
      <w:r>
        <w:rPr>
          <w:b/>
          <w:bCs/>
          <w:spacing w:val="2"/>
        </w:rPr>
        <w:t>c</w:t>
      </w:r>
      <w:r w:rsidRPr="00461D85">
        <w:rPr>
          <w:b/>
          <w:bCs/>
          <w:spacing w:val="2"/>
        </w:rPr>
        <w:t xml:space="preserve">oordonnateur de votre </w:t>
      </w:r>
      <w:r w:rsidR="00894C33">
        <w:rPr>
          <w:b/>
          <w:bCs/>
          <w:spacing w:val="2"/>
        </w:rPr>
        <w:t>A</w:t>
      </w:r>
      <w:r w:rsidRPr="00461D85">
        <w:rPr>
          <w:b/>
          <w:bCs/>
          <w:spacing w:val="2"/>
        </w:rPr>
        <w:t>dministration par l'envoi d'un courrier électronique</w:t>
      </w:r>
      <w:r w:rsidRPr="00461D85">
        <w:rPr>
          <w:spacing w:val="2"/>
        </w:rPr>
        <w:t xml:space="preserve"> à l'adresse </w:t>
      </w:r>
      <w:hyperlink r:id="rId13" w:history="1">
        <w:r w:rsidRPr="00461D85">
          <w:rPr>
            <w:rStyle w:val="Hyperlink"/>
            <w:spacing w:val="-2"/>
          </w:rPr>
          <w:t>memberstates@itu.int</w:t>
        </w:r>
      </w:hyperlink>
      <w:r w:rsidRPr="00461D85">
        <w:rPr>
          <w:spacing w:val="-2"/>
        </w:rPr>
        <w:t xml:space="preserve"> </w:t>
      </w:r>
      <w:r w:rsidRPr="00461D85">
        <w:rPr>
          <w:b/>
          <w:bCs/>
          <w:spacing w:val="2"/>
        </w:rPr>
        <w:t xml:space="preserve">au plus tard le </w:t>
      </w:r>
      <w:r w:rsidR="004711C1">
        <w:rPr>
          <w:b/>
        </w:rPr>
        <w:t xml:space="preserve">1er février </w:t>
      </w:r>
      <w:r w:rsidRPr="00461D85">
        <w:rPr>
          <w:b/>
          <w:bCs/>
          <w:spacing w:val="2"/>
        </w:rPr>
        <w:t>202</w:t>
      </w:r>
      <w:r>
        <w:rPr>
          <w:b/>
          <w:bCs/>
          <w:spacing w:val="2"/>
        </w:rPr>
        <w:t>1</w:t>
      </w:r>
      <w:r w:rsidRPr="00461D85">
        <w:rPr>
          <w:spacing w:val="2"/>
        </w:rPr>
        <w:t>, également en utilisant le formulaire reproduit dans l'</w:t>
      </w:r>
      <w:hyperlink w:anchor="Annexe_1" w:history="1">
        <w:r w:rsidRPr="00E336DD">
          <w:rPr>
            <w:rStyle w:val="Hyperlink"/>
            <w:spacing w:val="2"/>
          </w:rPr>
          <w:t>Annexe 1</w:t>
        </w:r>
      </w:hyperlink>
      <w:r w:rsidRPr="00461D85">
        <w:rPr>
          <w:spacing w:val="2"/>
        </w:rPr>
        <w:t>.</w:t>
      </w:r>
    </w:p>
    <w:p w14:paraId="5202B691" w14:textId="3E5C4AE1" w:rsidR="00630C6D" w:rsidRPr="00351626" w:rsidRDefault="00630C6D" w:rsidP="00A94D03">
      <w:pPr>
        <w:spacing w:before="120" w:after="120" w:line="240" w:lineRule="auto"/>
        <w:jc w:val="left"/>
      </w:pPr>
      <w:r w:rsidRPr="00351626">
        <w:rPr>
          <w:color w:val="000000"/>
        </w:rPr>
        <w:t>J'attends avec intérêt votre réponse.</w:t>
      </w:r>
    </w:p>
    <w:p w14:paraId="4D22BDAE" w14:textId="77777777" w:rsidR="00630C6D" w:rsidRPr="00351626" w:rsidRDefault="00630C6D" w:rsidP="00A94D03">
      <w:pPr>
        <w:spacing w:before="120" w:after="120" w:line="240" w:lineRule="auto"/>
        <w:jc w:val="left"/>
        <w:rPr>
          <w:color w:val="000000"/>
        </w:rPr>
      </w:pPr>
      <w:r w:rsidRPr="00351626">
        <w:rPr>
          <w:color w:val="000000"/>
        </w:rPr>
        <w:t>Veuillez agréer, Madame, Monsieur, l'assurance de ma considération distinguée.</w:t>
      </w:r>
    </w:p>
    <w:p w14:paraId="48D3905B" w14:textId="77777777" w:rsidR="00630C6D" w:rsidRPr="00351626" w:rsidRDefault="00630C6D" w:rsidP="00FC09E6">
      <w:pPr>
        <w:spacing w:before="240" w:after="240" w:line="240" w:lineRule="auto"/>
        <w:rPr>
          <w:i/>
          <w:iCs/>
        </w:rPr>
      </w:pPr>
      <w:r w:rsidRPr="00351626">
        <w:rPr>
          <w:i/>
          <w:iCs/>
        </w:rPr>
        <w:t>(signé)</w:t>
      </w:r>
    </w:p>
    <w:p w14:paraId="7755CC38" w14:textId="498201A1" w:rsidR="00630C6D" w:rsidRPr="00351626" w:rsidRDefault="008710DC" w:rsidP="00A94D03">
      <w:pPr>
        <w:spacing w:before="120" w:after="120" w:line="240" w:lineRule="auto"/>
        <w:jc w:val="left"/>
      </w:pPr>
      <w:r>
        <w:t>Houlin Zhao</w:t>
      </w:r>
      <w:r w:rsidR="00630C6D" w:rsidRPr="00351626">
        <w:br/>
      </w:r>
      <w:r>
        <w:t>Secrétaire général</w:t>
      </w:r>
    </w:p>
    <w:p w14:paraId="31888664" w14:textId="7D3EC791" w:rsidR="00630C6D" w:rsidRPr="00061B61" w:rsidRDefault="00630C6D" w:rsidP="00910046">
      <w:pPr>
        <w:spacing w:before="560" w:after="80" w:line="240" w:lineRule="auto"/>
        <w:rPr>
          <w:b/>
          <w:bCs/>
          <w:i/>
          <w:iCs/>
        </w:rPr>
      </w:pPr>
      <w:r w:rsidRPr="00061B61">
        <w:rPr>
          <w:b/>
          <w:bCs/>
          <w:i/>
          <w:iCs/>
        </w:rPr>
        <w:t xml:space="preserve">Annexes: </w:t>
      </w:r>
      <w:r w:rsidR="00461D85" w:rsidRPr="00061B61">
        <w:rPr>
          <w:b/>
          <w:bCs/>
          <w:i/>
          <w:iCs/>
        </w:rPr>
        <w:t>2</w:t>
      </w:r>
    </w:p>
    <w:p w14:paraId="05BFF47C" w14:textId="18A4361F" w:rsidR="008710DC" w:rsidRPr="00061B61" w:rsidRDefault="0031423A" w:rsidP="00FC09E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0" w:line="240" w:lineRule="auto"/>
        <w:jc w:val="left"/>
        <w:textAlignment w:val="auto"/>
      </w:pPr>
      <w:hyperlink w:anchor="Annexe_1" w:history="1">
        <w:r w:rsidR="008710DC" w:rsidRPr="00061B61">
          <w:rPr>
            <w:rStyle w:val="Hyperlink"/>
          </w:rPr>
          <w:t>Annexe 1</w:t>
        </w:r>
      </w:hyperlink>
      <w:r w:rsidR="008710DC" w:rsidRPr="00061B61">
        <w:t xml:space="preserve"> – </w:t>
      </w:r>
      <w:r w:rsidR="008710DC" w:rsidRPr="00061B61">
        <w:tab/>
        <w:t>Consultation sur le changement des dates de l'AMNT-20</w:t>
      </w:r>
    </w:p>
    <w:p w14:paraId="781300AF" w14:textId="14CE35D8" w:rsidR="00630C6D" w:rsidRPr="00351626" w:rsidRDefault="0031423A" w:rsidP="00FC09E6">
      <w:pPr>
        <w:tabs>
          <w:tab w:val="clear" w:pos="794"/>
          <w:tab w:val="clear" w:pos="1191"/>
          <w:tab w:val="clear" w:pos="1588"/>
          <w:tab w:val="clear" w:pos="1985"/>
          <w:tab w:val="left" w:pos="1148"/>
        </w:tabs>
        <w:overflowPunct/>
        <w:autoSpaceDE/>
        <w:autoSpaceDN/>
        <w:adjustRightInd/>
        <w:spacing w:before="0" w:line="240" w:lineRule="auto"/>
        <w:ind w:left="1148" w:right="-567" w:hanging="1148"/>
        <w:jc w:val="left"/>
        <w:textAlignment w:val="auto"/>
        <w:rPr>
          <w:sz w:val="20"/>
          <w:szCs w:val="20"/>
        </w:rPr>
      </w:pPr>
      <w:hyperlink w:anchor="Annexe_2" w:history="1">
        <w:r w:rsidR="008710DC" w:rsidRPr="00061B61">
          <w:rPr>
            <w:rStyle w:val="Hyperlink"/>
          </w:rPr>
          <w:t>Annexe 2</w:t>
        </w:r>
      </w:hyperlink>
      <w:r w:rsidR="00FC09E6">
        <w:t xml:space="preserve"> – </w:t>
      </w:r>
      <w:r w:rsidR="00FC09E6">
        <w:tab/>
      </w:r>
      <w:r w:rsidR="008710DC" w:rsidRPr="00061B61">
        <w:t>Décision 608 (</w:t>
      </w:r>
      <w:r w:rsidR="00A2752C" w:rsidRPr="00061B61">
        <w:t xml:space="preserve">C19, </w:t>
      </w:r>
      <w:r w:rsidR="00A2752C" w:rsidRPr="00061B61">
        <w:rPr>
          <w:color w:val="000000"/>
        </w:rPr>
        <w:t xml:space="preserve">dernière mod. </w:t>
      </w:r>
      <w:r w:rsidR="00A2752C" w:rsidRPr="00061B61">
        <w:t>C20</w:t>
      </w:r>
      <w:r w:rsidR="008710DC" w:rsidRPr="00061B61">
        <w:t>): Convocation de la prochaine</w:t>
      </w:r>
      <w:r w:rsidR="008710DC" w:rsidRPr="00351626">
        <w:t xml:space="preserve"> Assemblée mondiale de normalisation d</w:t>
      </w:r>
      <w:r w:rsidR="00FC09E6">
        <w:t>es télécommunications (AMNT-20)</w:t>
      </w:r>
      <w:r w:rsidR="00630C6D" w:rsidRPr="00351626">
        <w:rPr>
          <w:sz w:val="20"/>
          <w:szCs w:val="20"/>
        </w:rPr>
        <w:br w:type="page"/>
      </w:r>
    </w:p>
    <w:p w14:paraId="583E995F" w14:textId="77777777" w:rsidR="00630C6D" w:rsidRPr="00351626" w:rsidRDefault="00630C6D" w:rsidP="00A94D03">
      <w:pPr>
        <w:pStyle w:val="AnnexNo"/>
        <w:spacing w:before="120"/>
        <w:rPr>
          <w:lang w:val="fr-FR"/>
        </w:rPr>
      </w:pPr>
      <w:bookmarkStart w:id="6" w:name="Annexe_1"/>
      <w:r w:rsidRPr="00351626">
        <w:rPr>
          <w:lang w:val="fr-FR"/>
        </w:rPr>
        <w:lastRenderedPageBreak/>
        <w:t>ANNEXE 1</w:t>
      </w:r>
      <w:bookmarkEnd w:id="6"/>
    </w:p>
    <w:p w14:paraId="67CC6513" w14:textId="29515779" w:rsidR="007603FB" w:rsidRDefault="00630C6D" w:rsidP="00A94D03">
      <w:pPr>
        <w:pStyle w:val="Annextitle"/>
        <w:spacing w:before="120" w:after="120"/>
      </w:pPr>
      <w:r w:rsidRPr="00351626">
        <w:t>Consultation sur</w:t>
      </w:r>
      <w:r w:rsidR="007603FB">
        <w:t xml:space="preserve"> le changement des dates de l'AMNT-20</w:t>
      </w:r>
    </w:p>
    <w:p w14:paraId="23A34717" w14:textId="7B59BA20" w:rsidR="00630C6D" w:rsidRPr="00351626" w:rsidRDefault="00630C6D" w:rsidP="00752EDA">
      <w:pPr>
        <w:pStyle w:val="Headingb"/>
        <w:spacing w:before="600" w:after="120" w:line="240" w:lineRule="auto"/>
        <w:jc w:val="left"/>
        <w:rPr>
          <w:sz w:val="24"/>
          <w:szCs w:val="24"/>
        </w:rPr>
      </w:pPr>
      <w:r w:rsidRPr="00351626">
        <w:rPr>
          <w:sz w:val="24"/>
          <w:szCs w:val="24"/>
        </w:rPr>
        <w:t xml:space="preserve">Nom de l'État Membre </w:t>
      </w:r>
      <w:r w:rsidR="007603FB">
        <w:rPr>
          <w:sz w:val="24"/>
          <w:szCs w:val="24"/>
        </w:rPr>
        <w:t>de l'UIT</w:t>
      </w:r>
      <w:r w:rsidRPr="00351626">
        <w:rPr>
          <w:sz w:val="24"/>
          <w:szCs w:val="24"/>
        </w:rPr>
        <w:t>:</w:t>
      </w:r>
    </w:p>
    <w:tbl>
      <w:tblPr>
        <w:tblStyle w:val="TableGrid"/>
        <w:tblW w:w="1007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071"/>
      </w:tblGrid>
      <w:tr w:rsidR="00630C6D" w:rsidRPr="00351626" w14:paraId="5645601E" w14:textId="77777777" w:rsidTr="00FC09E6">
        <w:trPr>
          <w:trHeight w:val="510"/>
          <w:jc w:val="center"/>
        </w:trPr>
        <w:tc>
          <w:tcPr>
            <w:tcW w:w="10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AF853" w14:textId="77777777" w:rsidR="00630C6D" w:rsidRPr="00351626" w:rsidRDefault="00630C6D" w:rsidP="00A94D03">
            <w:pPr>
              <w:spacing w:before="0"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0ED4720" w14:textId="77777777" w:rsidR="00630C6D" w:rsidRPr="00351626" w:rsidRDefault="00630C6D" w:rsidP="00A94D03">
      <w:pPr>
        <w:spacing w:line="240" w:lineRule="auto"/>
        <w:jc w:val="left"/>
        <w:rPr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W w:w="10060" w:type="dxa"/>
        <w:jc w:val="center"/>
        <w:tblBorders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4394"/>
        <w:gridCol w:w="567"/>
        <w:gridCol w:w="567"/>
        <w:gridCol w:w="1276"/>
      </w:tblGrid>
      <w:tr w:rsidR="00630C6D" w:rsidRPr="00351626" w14:paraId="50FDC3CC" w14:textId="77777777" w:rsidTr="00752EDA">
        <w:trPr>
          <w:tblHeader/>
          <w:jc w:val="center"/>
        </w:trPr>
        <w:tc>
          <w:tcPr>
            <w:tcW w:w="1838" w:type="dxa"/>
            <w:shd w:val="clear" w:color="auto" w:fill="C6D9F1" w:themeFill="text2" w:themeFillTint="33"/>
          </w:tcPr>
          <w:p w14:paraId="47E0B2CE" w14:textId="40C7BA7F" w:rsidR="00630C6D" w:rsidRPr="00351626" w:rsidRDefault="00630C6D" w:rsidP="00A94D03">
            <w:pPr>
              <w:pStyle w:val="Tablehead"/>
            </w:pPr>
            <w:r w:rsidRPr="00351626">
              <w:t>Sujet</w:t>
            </w:r>
          </w:p>
        </w:tc>
        <w:tc>
          <w:tcPr>
            <w:tcW w:w="1418" w:type="dxa"/>
            <w:shd w:val="clear" w:color="auto" w:fill="C6D9F1" w:themeFill="text2" w:themeFillTint="33"/>
            <w:tcMar>
              <w:left w:w="57" w:type="dxa"/>
              <w:right w:w="57" w:type="dxa"/>
            </w:tcMar>
          </w:tcPr>
          <w:p w14:paraId="12386560" w14:textId="221055D0" w:rsidR="00630C6D" w:rsidRPr="00351626" w:rsidRDefault="00630C6D" w:rsidP="00A94D03">
            <w:pPr>
              <w:pStyle w:val="Tablehead"/>
              <w:rPr>
                <w:spacing w:val="-4"/>
              </w:rPr>
            </w:pPr>
            <w:r w:rsidRPr="00351626">
              <w:rPr>
                <w:spacing w:val="-4"/>
              </w:rPr>
              <w:t>N° du document de référence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1895D3DE" w14:textId="58771F51" w:rsidR="00630C6D" w:rsidRPr="00351626" w:rsidRDefault="00630C6D" w:rsidP="00A94D03">
            <w:pPr>
              <w:pStyle w:val="Tablehead"/>
            </w:pPr>
            <w:r w:rsidRPr="00351626">
              <w:t>Proposition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46EDA3C5" w14:textId="47EEBB44" w:rsidR="00630C6D" w:rsidRPr="00351626" w:rsidRDefault="00630C6D" w:rsidP="00A94D03">
            <w:pPr>
              <w:pStyle w:val="Tablehead"/>
            </w:pPr>
            <w:r w:rsidRPr="00351626">
              <w:t>Oui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25B09848" w14:textId="5E6BF6BC" w:rsidR="00630C6D" w:rsidRPr="00351626" w:rsidRDefault="00630C6D" w:rsidP="00A94D03">
            <w:pPr>
              <w:pStyle w:val="Tablehead"/>
            </w:pPr>
            <w:r w:rsidRPr="00351626">
              <w:t>Non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2CEC239" w14:textId="77777777" w:rsidR="00630C6D" w:rsidRPr="00351626" w:rsidRDefault="00630C6D" w:rsidP="00A94D03">
            <w:pPr>
              <w:pStyle w:val="Tablehead"/>
            </w:pPr>
            <w:r w:rsidRPr="00351626">
              <w:t>Abstention</w:t>
            </w:r>
          </w:p>
        </w:tc>
      </w:tr>
      <w:tr w:rsidR="00630C6D" w:rsidRPr="007603FB" w14:paraId="2506894B" w14:textId="77777777" w:rsidTr="00752EDA">
        <w:trPr>
          <w:jc w:val="center"/>
        </w:trPr>
        <w:tc>
          <w:tcPr>
            <w:tcW w:w="1838" w:type="dxa"/>
          </w:tcPr>
          <w:p w14:paraId="2ACEE277" w14:textId="7065FFE6" w:rsidR="00630C6D" w:rsidRPr="00351626" w:rsidRDefault="007603FB" w:rsidP="00A94D03">
            <w:pPr>
              <w:pStyle w:val="Tabletext"/>
            </w:pPr>
            <w:r>
              <w:rPr>
                <w:iCs/>
              </w:rPr>
              <w:t>Changement des dates de l'AMNT-20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792B1836" w14:textId="74FD9B07" w:rsidR="00630C6D" w:rsidRPr="00351626" w:rsidRDefault="0031423A" w:rsidP="00A94D03">
            <w:pPr>
              <w:pStyle w:val="Tabletext"/>
              <w:jc w:val="center"/>
            </w:pPr>
            <w:hyperlink r:id="rId14" w:history="1">
              <w:r w:rsidR="007603FB" w:rsidRPr="00567BFE">
                <w:rPr>
                  <w:rStyle w:val="Hyperlink"/>
                </w:rPr>
                <w:t>C20/72(R</w:t>
              </w:r>
              <w:r w:rsidR="007603FB">
                <w:rPr>
                  <w:rStyle w:val="Hyperlink"/>
                </w:rPr>
                <w:t>é</w:t>
              </w:r>
              <w:r w:rsidR="007603FB" w:rsidRPr="00567BFE">
                <w:rPr>
                  <w:rStyle w:val="Hyperlink"/>
                </w:rPr>
                <w:t>v.1)</w:t>
              </w:r>
            </w:hyperlink>
          </w:p>
        </w:tc>
        <w:tc>
          <w:tcPr>
            <w:tcW w:w="4394" w:type="dxa"/>
            <w:tcBorders>
              <w:top w:val="single" w:sz="8" w:space="0" w:color="auto"/>
            </w:tcBorders>
          </w:tcPr>
          <w:p w14:paraId="054CBAB2" w14:textId="7E0DCA17" w:rsidR="00630C6D" w:rsidRPr="007603FB" w:rsidRDefault="007603FB" w:rsidP="007603FB">
            <w:pPr>
              <w:pStyle w:val="Tabletext"/>
              <w:rPr>
                <w:spacing w:val="4"/>
              </w:rPr>
            </w:pPr>
            <w:r w:rsidRPr="007603FB">
              <w:t xml:space="preserve">Approuver le changement des dates de l'AMNT-20 pour que cette Assemblée se tienne du </w:t>
            </w:r>
            <w:r>
              <w:t xml:space="preserve">1er </w:t>
            </w:r>
            <w:r w:rsidR="00752EDA">
              <w:t xml:space="preserve">au </w:t>
            </w:r>
            <w:r>
              <w:t>9</w:t>
            </w:r>
            <w:r w:rsidR="00752EDA">
              <w:t> </w:t>
            </w:r>
            <w:r w:rsidRPr="007603FB">
              <w:t>mars 202</w:t>
            </w:r>
            <w:r>
              <w:t>2, précédée du GSS le 28 février 2022,</w:t>
            </w:r>
            <w:r w:rsidRPr="007603FB">
              <w:t xml:space="preserve"> en faisant part de votr</w:t>
            </w:r>
            <w:r w:rsidR="00FC09E6">
              <w:t>e accord concernant la Décision </w:t>
            </w:r>
            <w:r w:rsidRPr="007603FB">
              <w:t>608 modifiée reproduite dans l'Annexe 2</w:t>
            </w:r>
            <w:r>
              <w:t>.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6BA2E181" w14:textId="77777777" w:rsidR="00630C6D" w:rsidRPr="007603FB" w:rsidRDefault="00630C6D" w:rsidP="00A94D03">
            <w:pPr>
              <w:pStyle w:val="Tabletext"/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62B1FD75" w14:textId="77777777" w:rsidR="00630C6D" w:rsidRPr="007603FB" w:rsidRDefault="00630C6D" w:rsidP="00A94D03">
            <w:pPr>
              <w:pStyle w:val="Tabletext"/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61556B69" w14:textId="77777777" w:rsidR="00630C6D" w:rsidRPr="007603FB" w:rsidRDefault="00630C6D" w:rsidP="00A94D03">
            <w:pPr>
              <w:pStyle w:val="Tabletext"/>
            </w:pPr>
          </w:p>
        </w:tc>
      </w:tr>
    </w:tbl>
    <w:p w14:paraId="247D8DE4" w14:textId="2ED30189" w:rsidR="00630C6D" w:rsidRPr="00351626" w:rsidRDefault="00630C6D" w:rsidP="00FC09E6">
      <w:pPr>
        <w:spacing w:before="360" w:line="240" w:lineRule="auto"/>
        <w:jc w:val="left"/>
        <w:rPr>
          <w:rFonts w:asciiTheme="minorHAnsi" w:hAnsiTheme="minorHAnsi" w:cstheme="minorHAnsi"/>
          <w:color w:val="000000" w:themeColor="text1"/>
        </w:rPr>
      </w:pPr>
      <w:r w:rsidRPr="00351626">
        <w:rPr>
          <w:rFonts w:asciiTheme="minorHAnsi" w:hAnsiTheme="minorHAnsi" w:cstheme="minorHAnsi"/>
          <w:color w:val="000000" w:themeColor="text1"/>
        </w:rPr>
        <w:t xml:space="preserve">Les </w:t>
      </w:r>
      <w:r w:rsidR="007603FB">
        <w:rPr>
          <w:rFonts w:asciiTheme="minorHAnsi" w:hAnsiTheme="minorHAnsi" w:cstheme="minorHAnsi"/>
          <w:color w:val="000000" w:themeColor="text1"/>
        </w:rPr>
        <w:t>coordonnateurs</w:t>
      </w:r>
      <w:r w:rsidR="00461D85">
        <w:rPr>
          <w:rFonts w:asciiTheme="minorHAnsi" w:hAnsiTheme="minorHAnsi" w:cstheme="minorHAnsi"/>
          <w:color w:val="000000" w:themeColor="text1"/>
        </w:rPr>
        <w:t xml:space="preserve"> </w:t>
      </w:r>
      <w:r w:rsidRPr="00351626">
        <w:rPr>
          <w:rFonts w:asciiTheme="minorHAnsi" w:hAnsiTheme="minorHAnsi" w:cstheme="minorHAnsi"/>
          <w:color w:val="000000" w:themeColor="text1"/>
        </w:rPr>
        <w:t xml:space="preserve">sont invités à envoyer leur réponse </w:t>
      </w:r>
      <w:r w:rsidR="00916C51" w:rsidRPr="00351626">
        <w:rPr>
          <w:rFonts w:asciiTheme="minorHAnsi" w:hAnsiTheme="minorHAnsi" w:cstheme="minorHAnsi"/>
          <w:color w:val="000000" w:themeColor="text1"/>
        </w:rPr>
        <w:t xml:space="preserve">au moyen du </w:t>
      </w:r>
      <w:hyperlink r:id="rId15" w:history="1">
        <w:r w:rsidR="00916C51" w:rsidRPr="00351626">
          <w:rPr>
            <w:rStyle w:val="Hyperlink"/>
            <w:rFonts w:asciiTheme="minorHAnsi" w:hAnsiTheme="minorHAnsi" w:cstheme="minorHAnsi"/>
            <w:b/>
            <w:bCs/>
          </w:rPr>
          <w:t>nouvel outil en ligne</w:t>
        </w:r>
      </w:hyperlink>
      <w:r w:rsidR="00916C51" w:rsidRPr="00351626">
        <w:rPr>
          <w:rFonts w:asciiTheme="minorHAnsi" w:hAnsiTheme="minorHAnsi" w:cstheme="minorHAnsi"/>
          <w:b/>
          <w:bCs/>
          <w:color w:val="000000" w:themeColor="text1"/>
        </w:rPr>
        <w:t>,</w:t>
      </w:r>
      <w:r w:rsidR="00916C51" w:rsidRPr="00351626">
        <w:rPr>
          <w:rFonts w:asciiTheme="minorHAnsi" w:hAnsiTheme="minorHAnsi" w:cstheme="minorHAnsi"/>
          <w:color w:val="000000" w:themeColor="text1"/>
        </w:rPr>
        <w:t xml:space="preserve"> ou </w:t>
      </w:r>
      <w:r w:rsidRPr="00351626">
        <w:rPr>
          <w:rFonts w:asciiTheme="minorHAnsi" w:hAnsiTheme="minorHAnsi" w:cstheme="minorHAnsi"/>
          <w:color w:val="000000" w:themeColor="text1"/>
        </w:rPr>
        <w:t xml:space="preserve">par courrier électronique à l'adresse </w:t>
      </w:r>
      <w:hyperlink r:id="rId16" w:history="1">
        <w:r w:rsidRPr="00351626">
          <w:rPr>
            <w:rStyle w:val="Hyperlink"/>
            <w:rFonts w:asciiTheme="minorHAnsi" w:hAnsiTheme="minorHAnsi" w:cstheme="minorHAnsi"/>
          </w:rPr>
          <w:t>memberstates@itu.int</w:t>
        </w:r>
      </w:hyperlink>
      <w:r w:rsidRPr="00351626">
        <w:rPr>
          <w:rStyle w:val="Hyperlink"/>
          <w:rFonts w:asciiTheme="minorHAnsi" w:hAnsiTheme="minorHAnsi" w:cstheme="minorHAnsi"/>
          <w:u w:val="none"/>
        </w:rPr>
        <w:t xml:space="preserve"> </w:t>
      </w:r>
      <w:r w:rsidRPr="00351626">
        <w:rPr>
          <w:rFonts w:asciiTheme="minorHAnsi" w:hAnsiTheme="minorHAnsi" w:cstheme="minorHAnsi"/>
          <w:b/>
          <w:bCs/>
          <w:color w:val="000000" w:themeColor="text1"/>
        </w:rPr>
        <w:t xml:space="preserve">au </w:t>
      </w:r>
      <w:r w:rsidRPr="00061B61">
        <w:rPr>
          <w:rFonts w:asciiTheme="minorHAnsi" w:hAnsiTheme="minorHAnsi" w:cstheme="minorHAnsi"/>
          <w:b/>
          <w:bCs/>
          <w:color w:val="000000" w:themeColor="text1"/>
        </w:rPr>
        <w:t>plus tard le</w:t>
      </w:r>
      <w:r w:rsidR="00916C51" w:rsidRPr="00061B6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7603FB" w:rsidRPr="00061B61">
        <w:rPr>
          <w:rFonts w:asciiTheme="minorHAnsi" w:hAnsiTheme="minorHAnsi" w:cstheme="minorHAnsi"/>
          <w:b/>
          <w:bCs/>
          <w:color w:val="000000" w:themeColor="text1"/>
        </w:rPr>
        <w:t xml:space="preserve">1er février </w:t>
      </w:r>
      <w:r w:rsidRPr="00061B61">
        <w:rPr>
          <w:rFonts w:asciiTheme="minorHAnsi" w:hAnsiTheme="minorHAnsi" w:cstheme="minorHAnsi"/>
          <w:b/>
          <w:bCs/>
          <w:color w:val="000000" w:themeColor="text1"/>
        </w:rPr>
        <w:t>202</w:t>
      </w:r>
      <w:r w:rsidR="007603FB" w:rsidRPr="00061B61">
        <w:rPr>
          <w:rFonts w:asciiTheme="minorHAnsi" w:hAnsiTheme="minorHAnsi" w:cstheme="minorHAnsi"/>
          <w:b/>
          <w:bCs/>
          <w:color w:val="000000" w:themeColor="text1"/>
        </w:rPr>
        <w:t>1</w:t>
      </w:r>
      <w:r w:rsidRPr="00061B61">
        <w:rPr>
          <w:rFonts w:asciiTheme="minorHAnsi" w:hAnsiTheme="minorHAnsi" w:cstheme="minorHAnsi"/>
          <w:color w:val="000000" w:themeColor="text1"/>
        </w:rPr>
        <w:t>.</w:t>
      </w:r>
    </w:p>
    <w:p w14:paraId="7FB92E61" w14:textId="77777777" w:rsidR="00630C6D" w:rsidRPr="00351626" w:rsidRDefault="00630C6D" w:rsidP="00A94D03">
      <w:pPr>
        <w:spacing w:line="240" w:lineRule="auto"/>
        <w:jc w:val="left"/>
        <w:rPr>
          <w:rFonts w:asciiTheme="minorHAnsi" w:hAnsiTheme="minorHAnsi" w:cstheme="minorHAnsi"/>
          <w:color w:val="000000" w:themeColor="text1"/>
        </w:rPr>
      </w:pPr>
      <w:r w:rsidRPr="00351626">
        <w:rPr>
          <w:rFonts w:asciiTheme="minorHAnsi" w:hAnsiTheme="minorHAnsi" w:cstheme="minorHAnsi"/>
          <w:color w:val="000000" w:themeColor="text1"/>
        </w:rPr>
        <w:br w:type="page"/>
      </w:r>
    </w:p>
    <w:p w14:paraId="0A25336E" w14:textId="77777777" w:rsidR="006A0E55" w:rsidRPr="00351626" w:rsidRDefault="006A0E55" w:rsidP="00A94D03">
      <w:pPr>
        <w:pStyle w:val="AnnexNo"/>
        <w:spacing w:before="120"/>
        <w:rPr>
          <w:rFonts w:eastAsia="SimSun"/>
          <w:lang w:val="fr-FR"/>
        </w:rPr>
      </w:pPr>
      <w:bookmarkStart w:id="7" w:name="Annexe_2"/>
      <w:bookmarkStart w:id="8" w:name="Annex"/>
      <w:r w:rsidRPr="00351626">
        <w:rPr>
          <w:rFonts w:eastAsia="SimSun"/>
          <w:lang w:val="fr-FR"/>
        </w:rPr>
        <w:lastRenderedPageBreak/>
        <w:t>ANNEXE 2</w:t>
      </w:r>
      <w:bookmarkEnd w:id="7"/>
    </w:p>
    <w:bookmarkEnd w:id="8"/>
    <w:p w14:paraId="7EB3673B" w14:textId="62660D37" w:rsidR="00244A95" w:rsidRPr="00351626" w:rsidRDefault="00244A95" w:rsidP="00752EDA">
      <w:pPr>
        <w:spacing w:before="360" w:line="240" w:lineRule="auto"/>
        <w:rPr>
          <w:i/>
          <w:iCs/>
          <w:szCs w:val="16"/>
        </w:rPr>
      </w:pPr>
      <w:r w:rsidRPr="00351626">
        <w:rPr>
          <w:i/>
          <w:iCs/>
          <w:szCs w:val="16"/>
        </w:rPr>
        <w:t xml:space="preserve">Référence: </w:t>
      </w:r>
      <w:hyperlink r:id="rId17" w:history="1">
        <w:r w:rsidR="00FA031D" w:rsidRPr="0000168D">
          <w:rPr>
            <w:rStyle w:val="Hyperlink"/>
            <w:i/>
            <w:iCs/>
          </w:rPr>
          <w:t>C20/72(R</w:t>
        </w:r>
        <w:r w:rsidR="00FA031D">
          <w:rPr>
            <w:rStyle w:val="Hyperlink"/>
            <w:i/>
            <w:iCs/>
          </w:rPr>
          <w:t>é</w:t>
        </w:r>
        <w:r w:rsidR="00FA031D" w:rsidRPr="0000168D">
          <w:rPr>
            <w:rStyle w:val="Hyperlink"/>
            <w:i/>
            <w:iCs/>
          </w:rPr>
          <w:t>v.1)</w:t>
        </w:r>
      </w:hyperlink>
    </w:p>
    <w:p w14:paraId="33224EB1" w14:textId="14645CF6" w:rsidR="00244A95" w:rsidRPr="00351626" w:rsidRDefault="00244A95" w:rsidP="00D063D1">
      <w:pPr>
        <w:pStyle w:val="ResNo"/>
        <w:spacing w:before="480" w:line="240" w:lineRule="auto"/>
      </w:pPr>
      <w:r w:rsidRPr="00351626">
        <w:t xml:space="preserve">DÉCISION </w:t>
      </w:r>
      <w:r w:rsidRPr="00061B61">
        <w:t>608 (</w:t>
      </w:r>
      <w:r w:rsidR="008B561E" w:rsidRPr="00061B61">
        <w:t>C19,</w:t>
      </w:r>
      <w:r w:rsidR="00FA031D" w:rsidRPr="00061B61">
        <w:t xml:space="preserve"> </w:t>
      </w:r>
      <w:r w:rsidR="008B561E" w:rsidRPr="00061B61">
        <w:rPr>
          <w:color w:val="000000"/>
        </w:rPr>
        <w:t>DERNIÈRE MOD</w:t>
      </w:r>
      <w:r w:rsidR="00A2752C" w:rsidRPr="00061B61">
        <w:rPr>
          <w:color w:val="000000"/>
        </w:rPr>
        <w:t>.</w:t>
      </w:r>
      <w:r w:rsidR="008B561E" w:rsidRPr="00061B61">
        <w:t xml:space="preserve"> C</w:t>
      </w:r>
      <w:r w:rsidRPr="00061B61">
        <w:t>20)</w:t>
      </w:r>
    </w:p>
    <w:p w14:paraId="4631B0BF" w14:textId="2D05F344" w:rsidR="00244A95" w:rsidRPr="00351626" w:rsidRDefault="00244A95" w:rsidP="00BE4AD3">
      <w:pPr>
        <w:pStyle w:val="Restitle"/>
        <w:spacing w:before="240"/>
      </w:pPr>
      <w:r w:rsidRPr="00351626">
        <w:t xml:space="preserve">Convocation de la prochaine Assemblée mondiale de normalisation </w:t>
      </w:r>
      <w:r w:rsidRPr="00351626">
        <w:br/>
        <w:t>des télécommunications (AMNT-20)</w:t>
      </w:r>
    </w:p>
    <w:p w14:paraId="7B565E0F" w14:textId="77777777" w:rsidR="00244A95" w:rsidRPr="00351626" w:rsidRDefault="00244A95" w:rsidP="00BE4AD3">
      <w:pPr>
        <w:pStyle w:val="Normalaftertitle0"/>
        <w:spacing w:before="240"/>
        <w:rPr>
          <w:rFonts w:asciiTheme="minorHAnsi" w:hAnsiTheme="minorHAnsi" w:cstheme="minorHAnsi"/>
          <w:sz w:val="22"/>
          <w:szCs w:val="22"/>
          <w:lang w:val="fr-FR"/>
        </w:rPr>
      </w:pPr>
      <w:r w:rsidRPr="00351626">
        <w:rPr>
          <w:rFonts w:asciiTheme="minorHAnsi" w:hAnsiTheme="minorHAnsi" w:cstheme="minorHAnsi"/>
          <w:sz w:val="22"/>
          <w:szCs w:val="22"/>
          <w:lang w:val="fr-FR"/>
        </w:rPr>
        <w:t>Le Conseil de l'UIT,</w:t>
      </w:r>
    </w:p>
    <w:p w14:paraId="3B635B03" w14:textId="77777777" w:rsidR="00244A95" w:rsidRPr="00351626" w:rsidRDefault="00244A95" w:rsidP="002D4200">
      <w:pPr>
        <w:pStyle w:val="Call"/>
        <w:spacing w:before="160" w:line="240" w:lineRule="auto"/>
      </w:pPr>
      <w:r w:rsidRPr="00351626">
        <w:t>notant</w:t>
      </w:r>
    </w:p>
    <w:p w14:paraId="6DA75BC7" w14:textId="77777777" w:rsidR="00244A95" w:rsidRPr="00351626" w:rsidRDefault="00244A95" w:rsidP="002D4200">
      <w:pPr>
        <w:spacing w:before="120" w:line="240" w:lineRule="auto"/>
        <w:jc w:val="left"/>
      </w:pPr>
      <w:r w:rsidRPr="00351626">
        <w:rPr>
          <w:i/>
          <w:iCs/>
        </w:rPr>
        <w:t>a)</w:t>
      </w:r>
      <w:r w:rsidRPr="00351626">
        <w:tab/>
        <w:t>que l'AMNT-20 devait avoir lieu le dernier trimestre de 2020, conformément à la Résolution 77 (Rév. Dubaï, 2018) de la Conférence de plénipotentiaires sur la planification et la durée des conférences, forums, assemblées et sessions du Conseil de l'Union (2019-2023);</w:t>
      </w:r>
    </w:p>
    <w:p w14:paraId="4878CB64" w14:textId="77777777" w:rsidR="00244A95" w:rsidRPr="00351626" w:rsidRDefault="00244A95" w:rsidP="002D4200">
      <w:pPr>
        <w:spacing w:before="120" w:line="240" w:lineRule="auto"/>
        <w:jc w:val="left"/>
      </w:pPr>
      <w:r w:rsidRPr="00351626">
        <w:rPr>
          <w:i/>
          <w:iCs/>
        </w:rPr>
        <w:t>b)</w:t>
      </w:r>
      <w:r w:rsidRPr="00351626">
        <w:tab/>
        <w:t xml:space="preserve">la </w:t>
      </w:r>
      <w:hyperlink r:id="rId18" w:history="1">
        <w:r w:rsidRPr="00351626">
          <w:rPr>
            <w:rStyle w:val="Hyperlink"/>
          </w:rPr>
          <w:t>Décision 608</w:t>
        </w:r>
      </w:hyperlink>
      <w:r w:rsidRPr="00351626">
        <w:t xml:space="preserve"> adoptée par le Conseil à sa session de 2019, aux termes de laquelle il avait été décidé en premier lieu d'organiser la prochaine AMNT à Hyderabad en Inde, du 16 au 27 novembre 2020;</w:t>
      </w:r>
    </w:p>
    <w:p w14:paraId="5D1F9CF5" w14:textId="5C0DC27B" w:rsidR="00244A95" w:rsidRPr="00351626" w:rsidRDefault="00244A95" w:rsidP="002D4200">
      <w:pPr>
        <w:spacing w:before="120"/>
        <w:jc w:val="left"/>
      </w:pPr>
      <w:r w:rsidRPr="00351626">
        <w:rPr>
          <w:i/>
          <w:iCs/>
        </w:rPr>
        <w:t>c)</w:t>
      </w:r>
      <w:r w:rsidRPr="00351626">
        <w:rPr>
          <w:i/>
          <w:iCs/>
        </w:rPr>
        <w:tab/>
      </w:r>
      <w:r w:rsidRPr="00351626">
        <w:t xml:space="preserve">que, à la suite de la première consultation virtuelle des Conseillers, la Décision 608 du Conseil a été modifiée, et approuvée par correspondance, en vue de reporter la prochaine AMNT pour qu'elle se tienne à Hyderabad en Inde du 23 février au 5 mars 2021, </w:t>
      </w:r>
      <w:r w:rsidRPr="00351626">
        <w:rPr>
          <w:color w:val="000000"/>
        </w:rPr>
        <w:t>sous réserve du rétablissement de conditions de travail et de voyage normales en Inde et dans les autres États Membres</w:t>
      </w:r>
      <w:r w:rsidRPr="00351626">
        <w:t>,</w:t>
      </w:r>
    </w:p>
    <w:p w14:paraId="20D556D8" w14:textId="77777777" w:rsidR="00244A95" w:rsidRPr="00351626" w:rsidRDefault="00244A95" w:rsidP="002D4200">
      <w:pPr>
        <w:pStyle w:val="Call"/>
        <w:spacing w:before="160" w:line="240" w:lineRule="auto"/>
      </w:pPr>
      <w:r w:rsidRPr="00351626">
        <w:t>notant en outre</w:t>
      </w:r>
    </w:p>
    <w:p w14:paraId="33716F44" w14:textId="77777777" w:rsidR="00244A95" w:rsidRPr="00351626" w:rsidRDefault="00244A95" w:rsidP="002D4200">
      <w:pPr>
        <w:spacing w:before="120" w:line="240" w:lineRule="auto"/>
        <w:jc w:val="left"/>
        <w:rPr>
          <w:bCs/>
        </w:rPr>
      </w:pPr>
      <w:r w:rsidRPr="00351626">
        <w:rPr>
          <w:i/>
          <w:iCs/>
        </w:rPr>
        <w:t>a)</w:t>
      </w:r>
      <w:r w:rsidRPr="00351626">
        <w:tab/>
        <w:t>qu'</w:t>
      </w:r>
      <w:r w:rsidRPr="00351626">
        <w:rPr>
          <w:bCs/>
        </w:rPr>
        <w:t>en raison des incertitudes suscitées par la pandémie de COVID-19, un certain nombre de réunions ont continué d'être reportées ou organisées de manière virtuelle compte tenu des restrictions concernant les voyages internationaux;</w:t>
      </w:r>
    </w:p>
    <w:p w14:paraId="21C65288" w14:textId="77777777" w:rsidR="00244A95" w:rsidRPr="00351626" w:rsidRDefault="00244A95" w:rsidP="002D4200">
      <w:pPr>
        <w:spacing w:before="120" w:line="240" w:lineRule="auto"/>
        <w:jc w:val="left"/>
        <w:rPr>
          <w:bCs/>
        </w:rPr>
      </w:pPr>
      <w:r w:rsidRPr="00351626">
        <w:rPr>
          <w:bCs/>
          <w:i/>
          <w:iCs/>
        </w:rPr>
        <w:t>b)</w:t>
      </w:r>
      <w:r w:rsidRPr="00351626">
        <w:rPr>
          <w:bCs/>
        </w:rPr>
        <w:tab/>
        <w:t>que, du fait de la pandémie de COVID-19 qui frappe un certain nombre de pays, il faudrait attendre plusieurs mois encore avant que la situation ne se stabilise et que la vie ne reprenne son cours normal;</w:t>
      </w:r>
    </w:p>
    <w:p w14:paraId="5058E22E" w14:textId="77777777" w:rsidR="00244A95" w:rsidRPr="00351626" w:rsidRDefault="00244A95" w:rsidP="002D4200">
      <w:pPr>
        <w:spacing w:before="120" w:line="240" w:lineRule="auto"/>
        <w:jc w:val="left"/>
        <w:rPr>
          <w:bCs/>
        </w:rPr>
      </w:pPr>
      <w:r w:rsidRPr="00351626">
        <w:rPr>
          <w:bCs/>
          <w:i/>
          <w:iCs/>
        </w:rPr>
        <w:t>c)</w:t>
      </w:r>
      <w:r w:rsidRPr="00351626">
        <w:rPr>
          <w:bCs/>
        </w:rPr>
        <w:tab/>
        <w:t xml:space="preserve">qu'un certain nombre de pays ont interdit les voyages internationaux, que </w:t>
      </w:r>
      <w:r w:rsidRPr="00351626">
        <w:rPr>
          <w:bCs/>
          <w:szCs w:val="24"/>
          <w:lang w:eastAsia="zh-CN"/>
        </w:rPr>
        <w:t>les déplacements de personnes d'un pays à un autre sont encore soumis à des restrictions et que seuls des déplacements limités sont autorisés;</w:t>
      </w:r>
    </w:p>
    <w:p w14:paraId="7CE9D014" w14:textId="23028697" w:rsidR="00244A95" w:rsidRPr="00351626" w:rsidRDefault="00244A95" w:rsidP="002D4200">
      <w:pPr>
        <w:spacing w:before="120" w:line="240" w:lineRule="auto"/>
        <w:jc w:val="left"/>
        <w:rPr>
          <w:bCs/>
        </w:rPr>
      </w:pPr>
      <w:r w:rsidRPr="00351626">
        <w:rPr>
          <w:bCs/>
          <w:i/>
          <w:iCs/>
        </w:rPr>
        <w:t>d)</w:t>
      </w:r>
      <w:r w:rsidRPr="00351626">
        <w:rPr>
          <w:bCs/>
        </w:rPr>
        <w:tab/>
        <w:t xml:space="preserve">que, </w:t>
      </w:r>
      <w:r w:rsidRPr="00351626">
        <w:rPr>
          <w:color w:val="000000"/>
        </w:rPr>
        <w:t>compte tenu des restrictions de travail et de voyage en vigu</w:t>
      </w:r>
      <w:r w:rsidR="002D4200">
        <w:rPr>
          <w:color w:val="000000"/>
        </w:rPr>
        <w:t>eur en raison de la pandémie de </w:t>
      </w:r>
      <w:r w:rsidRPr="00351626">
        <w:rPr>
          <w:color w:val="000000"/>
        </w:rPr>
        <w:t>COVID-19, l'Administration de l'Inde a proposé de reporter la prochaine</w:t>
      </w:r>
      <w:r w:rsidR="002D4200">
        <w:rPr>
          <w:color w:val="000000"/>
        </w:rPr>
        <w:t xml:space="preserve"> AMNT pour qu'elle se tienne du </w:t>
      </w:r>
      <w:r w:rsidRPr="00351626">
        <w:rPr>
          <w:color w:val="000000"/>
        </w:rPr>
        <w:t>1</w:t>
      </w:r>
      <w:r w:rsidRPr="00351626">
        <w:t>er</w:t>
      </w:r>
      <w:r w:rsidRPr="00351626">
        <w:rPr>
          <w:color w:val="000000"/>
        </w:rPr>
        <w:t> au 9 mars 2022, sous réserve du rétablissement de conditions de travail et de voyage normales en Inde et dans les autres États Membres,</w:t>
      </w:r>
    </w:p>
    <w:p w14:paraId="30E09982" w14:textId="77777777" w:rsidR="00244A95" w:rsidRPr="00351626" w:rsidRDefault="00244A95" w:rsidP="002D4200">
      <w:pPr>
        <w:pStyle w:val="Call"/>
        <w:spacing w:before="160" w:line="240" w:lineRule="auto"/>
      </w:pPr>
      <w:r w:rsidRPr="00351626">
        <w:t>décide</w:t>
      </w:r>
    </w:p>
    <w:p w14:paraId="336DEF03" w14:textId="2F8179EE" w:rsidR="00244A95" w:rsidRPr="00351626" w:rsidRDefault="00244A95" w:rsidP="002D4200">
      <w:pPr>
        <w:spacing w:before="120" w:line="240" w:lineRule="auto"/>
        <w:jc w:val="left"/>
      </w:pPr>
      <w:r w:rsidRPr="00351626">
        <w:t>que, sous réserve de l'accord de la majorité des États Membres de l'Union, la prochaine Assemblée mondiale de normalisation des télécommunications (AMNT-20) se tiendra</w:t>
      </w:r>
      <w:r w:rsidR="002D4200">
        <w:t xml:space="preserve"> à Hyderabad en Inde, du 1er au </w:t>
      </w:r>
      <w:r w:rsidRPr="00351626">
        <w:t xml:space="preserve">9 mars 2022, </w:t>
      </w:r>
      <w:r w:rsidR="00FA031D" w:rsidRPr="00F36F1F">
        <w:t xml:space="preserve">précédée du </w:t>
      </w:r>
      <w:r w:rsidRPr="00F36F1F">
        <w:t xml:space="preserve">Colloque mondial sur la normalisation le 28 février 2022, </w:t>
      </w:r>
      <w:r w:rsidRPr="00F36F1F">
        <w:rPr>
          <w:color w:val="000000"/>
        </w:rPr>
        <w:t>sous réserve du rétablissement de conditions de travail et de voyage normales en Inde et dans les autres États Membres</w:t>
      </w:r>
      <w:r w:rsidRPr="00F36F1F">
        <w:t>,</w:t>
      </w:r>
    </w:p>
    <w:p w14:paraId="1B771751" w14:textId="77777777" w:rsidR="00244A95" w:rsidRPr="00351626" w:rsidRDefault="00244A95" w:rsidP="002D4200">
      <w:pPr>
        <w:pStyle w:val="Call"/>
        <w:spacing w:before="160" w:line="240" w:lineRule="auto"/>
      </w:pPr>
      <w:r w:rsidRPr="00351626">
        <w:t>charge le Secrétaire général</w:t>
      </w:r>
    </w:p>
    <w:p w14:paraId="42C62E01" w14:textId="0992D41B" w:rsidR="00244A95" w:rsidRDefault="00244A95" w:rsidP="002D4200">
      <w:pPr>
        <w:spacing w:before="120" w:line="240" w:lineRule="auto"/>
        <w:jc w:val="left"/>
      </w:pPr>
      <w:r w:rsidRPr="00351626">
        <w:t>de procéder à une consultation de tous les États Membres au sujet des dates exactes de l'AMNT-20.</w:t>
      </w:r>
    </w:p>
    <w:p w14:paraId="60DFC42F" w14:textId="77777777" w:rsidR="00752EDA" w:rsidRPr="00351626" w:rsidRDefault="00752EDA" w:rsidP="002D4200">
      <w:pPr>
        <w:spacing w:before="120" w:line="240" w:lineRule="auto"/>
        <w:jc w:val="left"/>
      </w:pPr>
    </w:p>
    <w:p w14:paraId="5DD3706F" w14:textId="77777777" w:rsidR="00DB2135" w:rsidRPr="00351626" w:rsidRDefault="00DB2135" w:rsidP="00A94D03">
      <w:pPr>
        <w:spacing w:before="360" w:line="240" w:lineRule="auto"/>
        <w:jc w:val="center"/>
      </w:pPr>
      <w:r w:rsidRPr="00351626">
        <w:t>______________</w:t>
      </w:r>
    </w:p>
    <w:sectPr w:rsidR="00DB2135" w:rsidRPr="00351626" w:rsidSect="00FC09E6">
      <w:headerReference w:type="even" r:id="rId19"/>
      <w:headerReference w:type="default" r:id="rId20"/>
      <w:headerReference w:type="first" r:id="rId21"/>
      <w:footerReference w:type="first" r:id="rId22"/>
      <w:pgSz w:w="11907" w:h="16834" w:code="9"/>
      <w:pgMar w:top="1304" w:right="1134" w:bottom="1134" w:left="1134" w:header="45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25FFF" w14:textId="77777777" w:rsidR="0031423A" w:rsidRDefault="0031423A">
      <w:r>
        <w:separator/>
      </w:r>
    </w:p>
  </w:endnote>
  <w:endnote w:type="continuationSeparator" w:id="0">
    <w:p w14:paraId="62C15149" w14:textId="77777777" w:rsidR="0031423A" w:rsidRDefault="0031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8C7E6" w14:textId="611E054E" w:rsidR="008710DC" w:rsidRPr="00877C1B" w:rsidRDefault="008710DC" w:rsidP="00FC09E6">
    <w:pPr>
      <w:pStyle w:val="FirstFooter"/>
      <w:spacing w:before="0"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877C1B">
      <w:rPr>
        <w:color w:val="3E8EDE"/>
        <w:sz w:val="18"/>
        <w:szCs w:val="18"/>
        <w:lang w:val="fr-CH"/>
      </w:rPr>
      <w:t xml:space="preserve">Union internationale des télécommunications </w:t>
    </w:r>
    <w:r w:rsidRPr="00FB65BC">
      <w:rPr>
        <w:color w:val="3E8EDE"/>
        <w:sz w:val="18"/>
        <w:szCs w:val="18"/>
        <w:lang w:val="fr-CH"/>
      </w:rPr>
      <w:t>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 xml:space="preserve">1211 </w:t>
    </w:r>
    <w:r w:rsidRPr="00877C1B">
      <w:rPr>
        <w:color w:val="3E8EDE"/>
        <w:sz w:val="18"/>
        <w:szCs w:val="18"/>
        <w:lang w:val="fr-CH"/>
      </w:rPr>
      <w:t xml:space="preserve">Genève </w:t>
    </w:r>
    <w:r w:rsidRPr="00FB65BC">
      <w:rPr>
        <w:color w:val="3E8EDE"/>
        <w:sz w:val="18"/>
        <w:szCs w:val="18"/>
        <w:lang w:val="fr-CH"/>
      </w:rPr>
      <w:t>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r w:rsidRPr="00877C1B">
      <w:rPr>
        <w:color w:val="3E8EDE"/>
        <w:sz w:val="18"/>
        <w:szCs w:val="18"/>
        <w:lang w:val="fr-CH"/>
      </w:rPr>
      <w:t>Suisse</w:t>
    </w:r>
    <w:r w:rsidRPr="00FB65BC">
      <w:rPr>
        <w:color w:val="3E8EDE"/>
        <w:sz w:val="18"/>
        <w:szCs w:val="18"/>
        <w:lang w:val="fr-CH"/>
      </w:rPr>
      <w:br/>
      <w:t>T</w:t>
    </w:r>
    <w:r>
      <w:rPr>
        <w:color w:val="3E8EDE"/>
        <w:sz w:val="18"/>
        <w:szCs w:val="18"/>
        <w:lang w:val="fr-CH"/>
      </w:rPr>
      <w:t>é</w:t>
    </w:r>
    <w:r w:rsidRPr="00FB65BC">
      <w:rPr>
        <w:color w:val="3E8EDE"/>
        <w:sz w:val="18"/>
        <w:szCs w:val="18"/>
        <w:lang w:val="fr-CH"/>
      </w:rPr>
      <w:t>l</w:t>
    </w:r>
    <w:r>
      <w:rPr>
        <w:color w:val="3E8EDE"/>
        <w:sz w:val="18"/>
        <w:szCs w:val="18"/>
        <w:lang w:val="fr-CH"/>
      </w:rPr>
      <w:t>.</w:t>
    </w:r>
    <w:r w:rsidRPr="00FB65BC">
      <w:rPr>
        <w:color w:val="3E8EDE"/>
        <w:sz w:val="18"/>
        <w:szCs w:val="18"/>
        <w:lang w:val="fr-CH"/>
      </w:rPr>
      <w:t xml:space="preserve">: +41 22 730 5111 • Fax: +41 22 733 7256 • </w:t>
    </w:r>
    <w:r w:rsidRPr="00877C1B">
      <w:rPr>
        <w:color w:val="3E8EDE"/>
        <w:sz w:val="18"/>
        <w:szCs w:val="18"/>
        <w:lang w:val="fr-CH"/>
      </w:rPr>
      <w:t>Courriel</w:t>
    </w:r>
    <w:r w:rsidRPr="00FB65BC">
      <w:rPr>
        <w:color w:val="3E8EDE"/>
        <w:sz w:val="18"/>
        <w:szCs w:val="18"/>
        <w:lang w:val="fr-CH"/>
      </w:rPr>
      <w:t xml:space="preserve">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5227A" w14:textId="77777777" w:rsidR="0031423A" w:rsidRDefault="0031423A">
      <w:r>
        <w:t>____________________</w:t>
      </w:r>
    </w:p>
  </w:footnote>
  <w:footnote w:type="continuationSeparator" w:id="0">
    <w:p w14:paraId="51D6640B" w14:textId="77777777" w:rsidR="0031423A" w:rsidRDefault="0031423A">
      <w:r>
        <w:continuationSeparator/>
      </w:r>
    </w:p>
  </w:footnote>
  <w:footnote w:id="1">
    <w:p w14:paraId="6469F5C3" w14:textId="3A7E1BB2" w:rsidR="00E336DD" w:rsidRDefault="00E336DD" w:rsidP="00E336DD">
      <w:pPr>
        <w:pStyle w:val="FootnoteText"/>
        <w:ind w:left="0" w:firstLine="0"/>
      </w:pPr>
      <w:r>
        <w:rPr>
          <w:rStyle w:val="FootnoteReference"/>
        </w:rPr>
        <w:t>*</w:t>
      </w:r>
      <w:r>
        <w:tab/>
      </w:r>
      <w:r w:rsidRPr="008710DC">
        <w:rPr>
          <w:b/>
          <w:bCs/>
          <w:i/>
          <w:iCs/>
          <w:szCs w:val="20"/>
        </w:rPr>
        <w:t>Nouvel outil en ligne:</w:t>
      </w:r>
      <w:r w:rsidRPr="008710DC">
        <w:rPr>
          <w:szCs w:val="20"/>
        </w:rPr>
        <w:t xml:space="preserve"> Chaque État Membre souhaitant utiliser l'outil en ligne est invité à indiquer, en écrivant à l'adresse </w:t>
      </w:r>
      <w:hyperlink r:id="rId1" w:history="1">
        <w:r w:rsidRPr="008710DC">
          <w:rPr>
            <w:rStyle w:val="Hyperlink"/>
            <w:szCs w:val="20"/>
          </w:rPr>
          <w:t>memberstates@itu.int</w:t>
        </w:r>
      </w:hyperlink>
      <w:r w:rsidRPr="008710DC">
        <w:rPr>
          <w:szCs w:val="20"/>
        </w:rPr>
        <w:t xml:space="preserve">, le </w:t>
      </w:r>
      <w:r w:rsidRPr="008710DC">
        <w:rPr>
          <w:b/>
          <w:bCs/>
          <w:szCs w:val="20"/>
        </w:rPr>
        <w:t>nom et l'adresse électronique d'un (1) coordonnateur</w:t>
      </w:r>
      <w:r w:rsidRPr="008710DC">
        <w:rPr>
          <w:szCs w:val="20"/>
        </w:rPr>
        <w:t xml:space="preserve"> qui sera habilité à répondre. L'UIT enverra au coordonnateur</w:t>
      </w:r>
      <w:r>
        <w:rPr>
          <w:szCs w:val="20"/>
        </w:rPr>
        <w:t xml:space="preserve"> </w:t>
      </w:r>
      <w:r w:rsidRPr="008710DC">
        <w:rPr>
          <w:szCs w:val="20"/>
        </w:rPr>
        <w:t xml:space="preserve">désigné un courrier électronique contenant un identifiant unique et un mot de passe qui lui permettront de procéder à la consultation. </w:t>
      </w:r>
      <w:r w:rsidRPr="00461D85">
        <w:rPr>
          <w:szCs w:val="20"/>
        </w:rPr>
        <w:t>Veuillez noter que l'outil en ligne est disponible uniquement en anglais.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/>
        <w:sz w:val="18"/>
        <w:szCs w:val="18"/>
      </w:rPr>
      <w:id w:val="-1093086667"/>
      <w:docPartObj>
        <w:docPartGallery w:val="Page Numbers (Top of Page)"/>
        <w:docPartUnique/>
      </w:docPartObj>
    </w:sdtPr>
    <w:sdtEndPr/>
    <w:sdtContent>
      <w:p w14:paraId="26CE29AD" w14:textId="77777777" w:rsidR="008710DC" w:rsidRPr="004E4D57" w:rsidRDefault="008710DC" w:rsidP="000A249C">
        <w:pPr>
          <w:pStyle w:val="Header"/>
          <w:jc w:val="center"/>
          <w:rPr>
            <w:noProof/>
            <w:sz w:val="18"/>
            <w:szCs w:val="18"/>
          </w:rPr>
        </w:pPr>
        <w:r w:rsidRPr="004E4D57">
          <w:rPr>
            <w:noProof/>
            <w:sz w:val="18"/>
            <w:szCs w:val="18"/>
          </w:rPr>
          <w:fldChar w:fldCharType="begin"/>
        </w:r>
        <w:r w:rsidRPr="004E4D57">
          <w:rPr>
            <w:noProof/>
            <w:sz w:val="18"/>
            <w:szCs w:val="18"/>
          </w:rPr>
          <w:instrText xml:space="preserve"> PAGE   \* MERGEFORMAT </w:instrText>
        </w:r>
        <w:r w:rsidRPr="004E4D57">
          <w:rPr>
            <w:noProof/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4E4D57">
          <w:rPr>
            <w:noProof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F2E5A" w14:textId="17FC353E" w:rsidR="008710DC" w:rsidRPr="000A249C" w:rsidRDefault="008710DC" w:rsidP="000A249C">
    <w:pPr>
      <w:pStyle w:val="Header"/>
      <w:jc w:val="center"/>
      <w:rPr>
        <w:sz w:val="18"/>
        <w:szCs w:val="18"/>
      </w:rPr>
    </w:pPr>
    <w:r w:rsidRPr="000A249C">
      <w:rPr>
        <w:sz w:val="18"/>
        <w:szCs w:val="18"/>
      </w:rPr>
      <w:fldChar w:fldCharType="begin"/>
    </w:r>
    <w:r w:rsidRPr="000A249C">
      <w:rPr>
        <w:sz w:val="18"/>
        <w:szCs w:val="18"/>
      </w:rPr>
      <w:instrText xml:space="preserve"> PAGE  \* MERGEFORMAT </w:instrText>
    </w:r>
    <w:r w:rsidRPr="000A249C">
      <w:rPr>
        <w:sz w:val="18"/>
        <w:szCs w:val="18"/>
      </w:rPr>
      <w:fldChar w:fldCharType="separate"/>
    </w:r>
    <w:r w:rsidR="00910046">
      <w:rPr>
        <w:noProof/>
        <w:sz w:val="18"/>
        <w:szCs w:val="18"/>
      </w:rPr>
      <w:t>3</w:t>
    </w:r>
    <w:r w:rsidRPr="000A249C">
      <w:rPr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8710DC" w:rsidRPr="00940351" w14:paraId="6921332A" w14:textId="77777777" w:rsidTr="002E3985">
      <w:trPr>
        <w:jc w:val="center"/>
      </w:trPr>
      <w:tc>
        <w:tcPr>
          <w:tcW w:w="9889" w:type="dxa"/>
        </w:tcPr>
        <w:p w14:paraId="36CCC7FE" w14:textId="77777777" w:rsidR="008710DC" w:rsidRPr="00940351" w:rsidRDefault="008710DC" w:rsidP="00496F7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F2E4410" wp14:editId="4CF5EBC9">
                <wp:extent cx="682406" cy="720000"/>
                <wp:effectExtent l="0" t="0" r="381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ITU-RGB-croppe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06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B4AE92" w14:textId="77777777" w:rsidR="008710DC" w:rsidRPr="00940351" w:rsidRDefault="008710DC" w:rsidP="00D225E9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D9B2884"/>
    <w:multiLevelType w:val="hybridMultilevel"/>
    <w:tmpl w:val="BB16D54C"/>
    <w:lvl w:ilvl="0" w:tplc="80BC4D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  <w:docVar w:name="dgnword-docGUID" w:val="{77B63B27-6122-42E6-872F-20C4AA0C21B3}"/>
    <w:docVar w:name="dgnword-eventsink" w:val="2861814365104"/>
  </w:docVars>
  <w:rsids>
    <w:rsidRoot w:val="000A249C"/>
    <w:rsid w:val="000032FB"/>
    <w:rsid w:val="00005C6E"/>
    <w:rsid w:val="00010E30"/>
    <w:rsid w:val="00026CF8"/>
    <w:rsid w:val="00031445"/>
    <w:rsid w:val="0004123C"/>
    <w:rsid w:val="000479AD"/>
    <w:rsid w:val="00061B61"/>
    <w:rsid w:val="000657BC"/>
    <w:rsid w:val="00070258"/>
    <w:rsid w:val="00072C3E"/>
    <w:rsid w:val="0007323C"/>
    <w:rsid w:val="000758E8"/>
    <w:rsid w:val="0008311E"/>
    <w:rsid w:val="00086D03"/>
    <w:rsid w:val="000A249C"/>
    <w:rsid w:val="000A7051"/>
    <w:rsid w:val="000B131D"/>
    <w:rsid w:val="000B7CE2"/>
    <w:rsid w:val="000C03C7"/>
    <w:rsid w:val="000D6D11"/>
    <w:rsid w:val="000E3DEE"/>
    <w:rsid w:val="000E4B79"/>
    <w:rsid w:val="0010107B"/>
    <w:rsid w:val="00103C76"/>
    <w:rsid w:val="0011265F"/>
    <w:rsid w:val="00137237"/>
    <w:rsid w:val="00173FCD"/>
    <w:rsid w:val="00196710"/>
    <w:rsid w:val="00197324"/>
    <w:rsid w:val="00197DCF"/>
    <w:rsid w:val="001A1E20"/>
    <w:rsid w:val="001A37CA"/>
    <w:rsid w:val="001A696C"/>
    <w:rsid w:val="001B5841"/>
    <w:rsid w:val="001D7070"/>
    <w:rsid w:val="001D7163"/>
    <w:rsid w:val="001F5A49"/>
    <w:rsid w:val="00201097"/>
    <w:rsid w:val="00201B6E"/>
    <w:rsid w:val="00235A29"/>
    <w:rsid w:val="00244A95"/>
    <w:rsid w:val="0026128B"/>
    <w:rsid w:val="00276B8B"/>
    <w:rsid w:val="002861E6"/>
    <w:rsid w:val="002D4200"/>
    <w:rsid w:val="002E0007"/>
    <w:rsid w:val="002E3985"/>
    <w:rsid w:val="002F00B0"/>
    <w:rsid w:val="002F0890"/>
    <w:rsid w:val="0031423A"/>
    <w:rsid w:val="003169E3"/>
    <w:rsid w:val="003211CE"/>
    <w:rsid w:val="003370B8"/>
    <w:rsid w:val="003433BD"/>
    <w:rsid w:val="003476DD"/>
    <w:rsid w:val="00351626"/>
    <w:rsid w:val="003666FF"/>
    <w:rsid w:val="003830A5"/>
    <w:rsid w:val="00394448"/>
    <w:rsid w:val="003A07A4"/>
    <w:rsid w:val="003B2BDA"/>
    <w:rsid w:val="003B55EC"/>
    <w:rsid w:val="003C3E6E"/>
    <w:rsid w:val="003C4471"/>
    <w:rsid w:val="003E504F"/>
    <w:rsid w:val="00400F78"/>
    <w:rsid w:val="00402F34"/>
    <w:rsid w:val="004326DB"/>
    <w:rsid w:val="0043682E"/>
    <w:rsid w:val="00461D85"/>
    <w:rsid w:val="00462A6D"/>
    <w:rsid w:val="00467A97"/>
    <w:rsid w:val="004711C1"/>
    <w:rsid w:val="004815EB"/>
    <w:rsid w:val="00496920"/>
    <w:rsid w:val="00496F7D"/>
    <w:rsid w:val="004A5CE7"/>
    <w:rsid w:val="004B7001"/>
    <w:rsid w:val="004B7C9A"/>
    <w:rsid w:val="004D1579"/>
    <w:rsid w:val="004E0DC4"/>
    <w:rsid w:val="004E0FB5"/>
    <w:rsid w:val="004E43BB"/>
    <w:rsid w:val="004F178E"/>
    <w:rsid w:val="00505309"/>
    <w:rsid w:val="00505C93"/>
    <w:rsid w:val="0050789B"/>
    <w:rsid w:val="00516EA8"/>
    <w:rsid w:val="00543DF8"/>
    <w:rsid w:val="00546101"/>
    <w:rsid w:val="00553DD7"/>
    <w:rsid w:val="0057469A"/>
    <w:rsid w:val="00576912"/>
    <w:rsid w:val="00580814"/>
    <w:rsid w:val="005A03A3"/>
    <w:rsid w:val="005A344A"/>
    <w:rsid w:val="005B214C"/>
    <w:rsid w:val="005F5168"/>
    <w:rsid w:val="00602D53"/>
    <w:rsid w:val="0062116C"/>
    <w:rsid w:val="00630C6D"/>
    <w:rsid w:val="00632AD0"/>
    <w:rsid w:val="00651777"/>
    <w:rsid w:val="006740A6"/>
    <w:rsid w:val="006741C3"/>
    <w:rsid w:val="00675C2A"/>
    <w:rsid w:val="00691AA6"/>
    <w:rsid w:val="006950CF"/>
    <w:rsid w:val="006A0E55"/>
    <w:rsid w:val="006B0590"/>
    <w:rsid w:val="006B49DA"/>
    <w:rsid w:val="00700C3C"/>
    <w:rsid w:val="007234B1"/>
    <w:rsid w:val="00730B9A"/>
    <w:rsid w:val="00752A32"/>
    <w:rsid w:val="00752EDA"/>
    <w:rsid w:val="00757B2B"/>
    <w:rsid w:val="00757EEE"/>
    <w:rsid w:val="007603FB"/>
    <w:rsid w:val="007921A7"/>
    <w:rsid w:val="007B3DB1"/>
    <w:rsid w:val="007C7D7F"/>
    <w:rsid w:val="007D183E"/>
    <w:rsid w:val="007E0999"/>
    <w:rsid w:val="007E3F13"/>
    <w:rsid w:val="007E6AB2"/>
    <w:rsid w:val="00800012"/>
    <w:rsid w:val="0081513E"/>
    <w:rsid w:val="0083382E"/>
    <w:rsid w:val="00854131"/>
    <w:rsid w:val="0085652D"/>
    <w:rsid w:val="008710DC"/>
    <w:rsid w:val="0087694B"/>
    <w:rsid w:val="00877C1B"/>
    <w:rsid w:val="0088293A"/>
    <w:rsid w:val="00894C33"/>
    <w:rsid w:val="008B561E"/>
    <w:rsid w:val="008C2603"/>
    <w:rsid w:val="008D08FF"/>
    <w:rsid w:val="008D4685"/>
    <w:rsid w:val="008D7779"/>
    <w:rsid w:val="008F4F21"/>
    <w:rsid w:val="00904D4A"/>
    <w:rsid w:val="00910046"/>
    <w:rsid w:val="009151BA"/>
    <w:rsid w:val="00916C51"/>
    <w:rsid w:val="009277BC"/>
    <w:rsid w:val="00927D57"/>
    <w:rsid w:val="0093238D"/>
    <w:rsid w:val="00940351"/>
    <w:rsid w:val="00963D99"/>
    <w:rsid w:val="00963D9D"/>
    <w:rsid w:val="00967005"/>
    <w:rsid w:val="0097364B"/>
    <w:rsid w:val="00981B54"/>
    <w:rsid w:val="009842C3"/>
    <w:rsid w:val="009A6BB6"/>
    <w:rsid w:val="009C161F"/>
    <w:rsid w:val="009E2358"/>
    <w:rsid w:val="009E4AEC"/>
    <w:rsid w:val="009E5BD8"/>
    <w:rsid w:val="009E5F24"/>
    <w:rsid w:val="009E681E"/>
    <w:rsid w:val="009E7BCB"/>
    <w:rsid w:val="00A1478D"/>
    <w:rsid w:val="00A22F9F"/>
    <w:rsid w:val="00A2752C"/>
    <w:rsid w:val="00A34D6F"/>
    <w:rsid w:val="00A41F91"/>
    <w:rsid w:val="00A7494A"/>
    <w:rsid w:val="00A8287E"/>
    <w:rsid w:val="00A90AAF"/>
    <w:rsid w:val="00A94D03"/>
    <w:rsid w:val="00A963DF"/>
    <w:rsid w:val="00AA5B4D"/>
    <w:rsid w:val="00AC3896"/>
    <w:rsid w:val="00AC3F9B"/>
    <w:rsid w:val="00AF06E1"/>
    <w:rsid w:val="00AF3300"/>
    <w:rsid w:val="00AF3325"/>
    <w:rsid w:val="00B015B1"/>
    <w:rsid w:val="00B24026"/>
    <w:rsid w:val="00B34CF9"/>
    <w:rsid w:val="00B83793"/>
    <w:rsid w:val="00B90C45"/>
    <w:rsid w:val="00B933BE"/>
    <w:rsid w:val="00BA03DB"/>
    <w:rsid w:val="00BA6C35"/>
    <w:rsid w:val="00BD7E5E"/>
    <w:rsid w:val="00BE055F"/>
    <w:rsid w:val="00BE4AD3"/>
    <w:rsid w:val="00BE6574"/>
    <w:rsid w:val="00C250FA"/>
    <w:rsid w:val="00C411A7"/>
    <w:rsid w:val="00C43807"/>
    <w:rsid w:val="00C57E2C"/>
    <w:rsid w:val="00C608B7"/>
    <w:rsid w:val="00C66F24"/>
    <w:rsid w:val="00C709F0"/>
    <w:rsid w:val="00C856F0"/>
    <w:rsid w:val="00C9291E"/>
    <w:rsid w:val="00CA3F44"/>
    <w:rsid w:val="00CA4E58"/>
    <w:rsid w:val="00CB1A81"/>
    <w:rsid w:val="00CB3771"/>
    <w:rsid w:val="00CB5153"/>
    <w:rsid w:val="00CE2753"/>
    <w:rsid w:val="00CE685A"/>
    <w:rsid w:val="00D004D5"/>
    <w:rsid w:val="00D063D1"/>
    <w:rsid w:val="00D10BA0"/>
    <w:rsid w:val="00D156C6"/>
    <w:rsid w:val="00D20741"/>
    <w:rsid w:val="00D225E9"/>
    <w:rsid w:val="00D24EB5"/>
    <w:rsid w:val="00D26CFB"/>
    <w:rsid w:val="00D41571"/>
    <w:rsid w:val="00D416A0"/>
    <w:rsid w:val="00D47672"/>
    <w:rsid w:val="00D5123C"/>
    <w:rsid w:val="00D55560"/>
    <w:rsid w:val="00D55CE4"/>
    <w:rsid w:val="00D61C5A"/>
    <w:rsid w:val="00D6259A"/>
    <w:rsid w:val="00D65A47"/>
    <w:rsid w:val="00DB2135"/>
    <w:rsid w:val="00DE66A5"/>
    <w:rsid w:val="00DF2B50"/>
    <w:rsid w:val="00E04C86"/>
    <w:rsid w:val="00E14BA3"/>
    <w:rsid w:val="00E20F30"/>
    <w:rsid w:val="00E27BBA"/>
    <w:rsid w:val="00E336DD"/>
    <w:rsid w:val="00E35E8F"/>
    <w:rsid w:val="00E438E8"/>
    <w:rsid w:val="00E520E2"/>
    <w:rsid w:val="00E64254"/>
    <w:rsid w:val="00E744F0"/>
    <w:rsid w:val="00E823D3"/>
    <w:rsid w:val="00EA15B3"/>
    <w:rsid w:val="00EB2358"/>
    <w:rsid w:val="00EB3EB8"/>
    <w:rsid w:val="00EC16FD"/>
    <w:rsid w:val="00EC282E"/>
    <w:rsid w:val="00EC69FC"/>
    <w:rsid w:val="00ED0E4B"/>
    <w:rsid w:val="00ED73BA"/>
    <w:rsid w:val="00F36F1F"/>
    <w:rsid w:val="00F44D9E"/>
    <w:rsid w:val="00F468C5"/>
    <w:rsid w:val="00F52F39"/>
    <w:rsid w:val="00F53504"/>
    <w:rsid w:val="00F55EF6"/>
    <w:rsid w:val="00F60EDB"/>
    <w:rsid w:val="00F914DD"/>
    <w:rsid w:val="00FA031D"/>
    <w:rsid w:val="00FA2358"/>
    <w:rsid w:val="00FB2545"/>
    <w:rsid w:val="00FB2592"/>
    <w:rsid w:val="00FB2810"/>
    <w:rsid w:val="00FC09E6"/>
    <w:rsid w:val="00FC2947"/>
    <w:rsid w:val="00FE0818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98AB77A"/>
  <w15:docId w15:val="{DDFA12D4-8AE9-4E45-867C-2A6BFFBA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... + 11 pt,Footnote Reference/,Footnote symbol,Style 12,(NECG) Footnote Reference,Style 124,Appel note de bas de p + 11 pt,Italic,Appel note de bas de p1,Appel note de bas de p2,Footnote,o,fr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ACMA Footnote Text,ALTS FOOTNOTE,Footnote Text ... + 9 pt,Cust...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qFormat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超级链接,Style 58,超????,超?级链,하이퍼링크2,하이퍼링크21,CEO_Hyperlink"/>
    <w:basedOn w:val="DefaultParagraphFont"/>
    <w:qFormat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940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 after title"/>
    <w:basedOn w:val="Normal"/>
    <w:next w:val="Normal"/>
    <w:link w:val="NormalaftertitleChar"/>
    <w:rsid w:val="000A249C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link w:val="Normalaftertitle0"/>
    <w:locked/>
    <w:rsid w:val="000A249C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A249C"/>
    <w:rPr>
      <w:sz w:val="22"/>
      <w:szCs w:val="22"/>
      <w:lang w:val="fr-FR" w:eastAsia="en-US"/>
    </w:rPr>
  </w:style>
  <w:style w:type="character" w:customStyle="1" w:styleId="enumlev1Char">
    <w:name w:val="enumlev1 Char"/>
    <w:basedOn w:val="DefaultParagraphFont"/>
    <w:link w:val="enumlev1"/>
    <w:locked/>
    <w:rsid w:val="00630C6D"/>
    <w:rPr>
      <w:sz w:val="22"/>
      <w:szCs w:val="22"/>
      <w:lang w:val="fr-FR" w:eastAsia="en-US"/>
    </w:rPr>
  </w:style>
  <w:style w:type="paragraph" w:customStyle="1" w:styleId="AnnexNo">
    <w:name w:val="Annex_No"/>
    <w:basedOn w:val="Normal"/>
    <w:next w:val="Normal"/>
    <w:link w:val="AnnexNoChar"/>
    <w:rsid w:val="00630C6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 w:line="240" w:lineRule="auto"/>
      <w:jc w:val="center"/>
    </w:pPr>
    <w:rPr>
      <w:rFonts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link w:val="AnnextitleChar"/>
    <w:rsid w:val="00630C6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 w:line="240" w:lineRule="auto"/>
      <w:jc w:val="center"/>
      <w:textAlignment w:val="auto"/>
    </w:pPr>
    <w:rPr>
      <w:rFonts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30C6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720"/>
      <w:jc w:val="left"/>
    </w:pPr>
    <w:rPr>
      <w:rFonts w:cs="Times New Roman"/>
      <w:sz w:val="24"/>
      <w:szCs w:val="20"/>
      <w:lang w:val="en-GB"/>
    </w:rPr>
  </w:style>
  <w:style w:type="character" w:customStyle="1" w:styleId="RestitleChar">
    <w:name w:val="Res_title Char"/>
    <w:basedOn w:val="DefaultParagraphFont"/>
    <w:link w:val="Restitle"/>
    <w:rsid w:val="006A0E55"/>
    <w:rPr>
      <w:b/>
      <w:sz w:val="28"/>
      <w:szCs w:val="22"/>
      <w:lang w:val="fr-FR" w:eastAsia="en-US"/>
    </w:rPr>
  </w:style>
  <w:style w:type="character" w:customStyle="1" w:styleId="CallChar">
    <w:name w:val="Call Char"/>
    <w:basedOn w:val="DefaultParagraphFont"/>
    <w:link w:val="Call"/>
    <w:rsid w:val="006A0E55"/>
    <w:rPr>
      <w:i/>
      <w:sz w:val="22"/>
      <w:szCs w:val="22"/>
      <w:lang w:val="fr-FR" w:eastAsia="en-US"/>
    </w:rPr>
  </w:style>
  <w:style w:type="character" w:customStyle="1" w:styleId="ResNoChar">
    <w:name w:val="Res_No Char"/>
    <w:basedOn w:val="DefaultParagraphFont"/>
    <w:link w:val="ResNo"/>
    <w:locked/>
    <w:rsid w:val="006A0E55"/>
    <w:rPr>
      <w:caps/>
      <w:sz w:val="28"/>
      <w:szCs w:val="22"/>
      <w:lang w:val="fr-FR" w:eastAsia="en-US"/>
    </w:rPr>
  </w:style>
  <w:style w:type="table" w:customStyle="1" w:styleId="TableGrid6">
    <w:name w:val="Table Grid6"/>
    <w:basedOn w:val="TableNormal"/>
    <w:next w:val="TableGrid"/>
    <w:uiPriority w:val="59"/>
    <w:rsid w:val="005A344A"/>
    <w:rPr>
      <w:rFonts w:ascii="Times New Roman" w:eastAsia="SimSun" w:hAnsi="Times New Roman" w:cs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ACMA Footnote Text Char,ALTS FOOTNOTE Char,Footnote Text ... + 9 pt Char,Cust... Char"/>
    <w:basedOn w:val="DefaultParagraphFont"/>
    <w:link w:val="FootnoteText"/>
    <w:uiPriority w:val="99"/>
    <w:rsid w:val="005A344A"/>
    <w:rPr>
      <w:szCs w:val="22"/>
      <w:lang w:val="fr-FR" w:eastAsia="en-US"/>
    </w:rPr>
  </w:style>
  <w:style w:type="paragraph" w:customStyle="1" w:styleId="TableNo">
    <w:name w:val="Table_No"/>
    <w:basedOn w:val="Normal"/>
    <w:next w:val="Normal"/>
    <w:rsid w:val="005A344A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560" w:after="120" w:line="240" w:lineRule="auto"/>
      <w:jc w:val="center"/>
    </w:pPr>
    <w:rPr>
      <w:rFonts w:cs="Times New Roman"/>
      <w:caps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4A95"/>
    <w:rPr>
      <w:color w:val="605E5C"/>
      <w:shd w:val="clear" w:color="auto" w:fill="E1DFDD"/>
    </w:rPr>
  </w:style>
  <w:style w:type="character" w:customStyle="1" w:styleId="AnnextitleChar">
    <w:name w:val="Annex_title Char"/>
    <w:basedOn w:val="DefaultParagraphFont"/>
    <w:link w:val="Annextitle"/>
    <w:locked/>
    <w:rsid w:val="00244A95"/>
    <w:rPr>
      <w:rFonts w:cs="Times New Roman"/>
      <w:b/>
      <w:sz w:val="28"/>
      <w:lang w:val="fr-FR" w:eastAsia="en-US"/>
    </w:rPr>
  </w:style>
  <w:style w:type="character" w:customStyle="1" w:styleId="AnnexNoChar">
    <w:name w:val="Annex_No Char"/>
    <w:basedOn w:val="DefaultParagraphFont"/>
    <w:link w:val="AnnexNo"/>
    <w:rsid w:val="00244A95"/>
    <w:rPr>
      <w:rFonts w:cs="Times New Roman"/>
      <w:caps/>
      <w:sz w:val="28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244A95"/>
    <w:rPr>
      <w:szCs w:val="22"/>
      <w:lang w:val="fr-FR" w:eastAsia="en-US"/>
    </w:rPr>
  </w:style>
  <w:style w:type="paragraph" w:customStyle="1" w:styleId="Reasons">
    <w:name w:val="Reasons"/>
    <w:basedOn w:val="Normal"/>
    <w:qFormat/>
    <w:rsid w:val="00DB213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jc w:val="left"/>
    </w:pPr>
    <w:rPr>
      <w:rFonts w:cs="Times New Roman"/>
      <w:sz w:val="24"/>
      <w:szCs w:val="20"/>
    </w:rPr>
  </w:style>
  <w:style w:type="character" w:styleId="FollowedHyperlink">
    <w:name w:val="FollowedHyperlink"/>
    <w:basedOn w:val="DefaultParagraphFont"/>
    <w:semiHidden/>
    <w:unhideWhenUsed/>
    <w:rsid w:val="001A1E20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710D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1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tates@itu.int" TargetMode="External"/><Relationship Id="rId13" Type="http://schemas.openxmlformats.org/officeDocument/2006/relationships/hyperlink" Target="mailto:memberstates@itu.int" TargetMode="External"/><Relationship Id="rId18" Type="http://schemas.openxmlformats.org/officeDocument/2006/relationships/hyperlink" Target="https://www.itu.int/md/S19-CL-C-0125/en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memberstates@itu.int" TargetMode="External"/><Relationship Id="rId17" Type="http://schemas.openxmlformats.org/officeDocument/2006/relationships/hyperlink" Target="https://www.itu.int/md/S20-CL-C-0072/e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emberstates@itu.in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2020/Documents/Consultation-Online-tool-fr-v2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council/2020/Documents/Consultation-Online-tool-fr-v2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20-DM-CIR-01022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DM-CIR-01021/en" TargetMode="External"/><Relationship Id="rId14" Type="http://schemas.openxmlformats.org/officeDocument/2006/relationships/hyperlink" Target="https://www.itu.int/md/S20-CL-C-0072/en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emberstates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DD54F-31DC-489D-9686-0FAAEFDA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963</Words>
  <Characters>5300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(French)</vt:lpstr>
      <vt:lpstr>ITU-T Rec. Book 1 Resolutions ITU-T Series A Recommendations:</vt:lpstr>
    </vt:vector>
  </TitlesOfParts>
  <Company>ITU</Company>
  <LinksUpToDate>false</LinksUpToDate>
  <CharactersWithSpaces>6251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(French)</dc:title>
  <dc:creator>French</dc:creator>
  <cp:lastModifiedBy>Diallo, Maywenn</cp:lastModifiedBy>
  <cp:revision>2</cp:revision>
  <cp:lastPrinted>2010-01-19T09:33:00Z</cp:lastPrinted>
  <dcterms:created xsi:type="dcterms:W3CDTF">2020-12-22T11:34:00Z</dcterms:created>
  <dcterms:modified xsi:type="dcterms:W3CDTF">2020-12-22T11:34:00Z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