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89" w:type="dxa"/>
        <w:jc w:val="center"/>
        <w:tblLayout w:type="fixed"/>
        <w:tblLook w:val="04A0" w:firstRow="1" w:lastRow="0" w:firstColumn="1" w:lastColumn="0" w:noHBand="0" w:noVBand="1"/>
      </w:tblPr>
      <w:tblGrid>
        <w:gridCol w:w="1526"/>
        <w:gridCol w:w="3543"/>
        <w:gridCol w:w="284"/>
        <w:gridCol w:w="4536"/>
      </w:tblGrid>
      <w:tr w:rsidR="003476DD" w:rsidRPr="00B67D81" w14:paraId="436D76DF" w14:textId="77777777" w:rsidTr="005C76CF">
        <w:trPr>
          <w:jc w:val="center"/>
        </w:trPr>
        <w:tc>
          <w:tcPr>
            <w:tcW w:w="9889" w:type="dxa"/>
            <w:gridSpan w:val="4"/>
            <w:shd w:val="clear" w:color="auto" w:fill="auto"/>
          </w:tcPr>
          <w:p w14:paraId="459D6D0D" w14:textId="77777777" w:rsidR="003476DD" w:rsidRPr="00B67D81" w:rsidRDefault="000A249C" w:rsidP="00B67D81">
            <w:pPr>
              <w:spacing w:line="240" w:lineRule="auto"/>
              <w:jc w:val="left"/>
              <w:rPr>
                <w:rFonts w:cs="Times New Roman Bold"/>
                <w:b/>
                <w:bCs/>
                <w:color w:val="808080"/>
                <w:sz w:val="28"/>
                <w:szCs w:val="28"/>
              </w:rPr>
            </w:pPr>
            <w:bookmarkStart w:id="0" w:name="Origine"/>
            <w:bookmarkEnd w:id="0"/>
            <w:r w:rsidRPr="00B67D81">
              <w:rPr>
                <w:rFonts w:cs="Times New Roman Bold"/>
                <w:b/>
                <w:bCs/>
                <w:color w:val="808080"/>
                <w:sz w:val="28"/>
                <w:szCs w:val="28"/>
              </w:rPr>
              <w:t>Secrétariat général (SG)</w:t>
            </w:r>
          </w:p>
        </w:tc>
      </w:tr>
      <w:tr w:rsidR="003476DD" w:rsidRPr="00B67D81" w14:paraId="22AE27AE" w14:textId="77777777" w:rsidTr="005C76CF">
        <w:trPr>
          <w:jc w:val="center"/>
        </w:trPr>
        <w:tc>
          <w:tcPr>
            <w:tcW w:w="9889" w:type="dxa"/>
            <w:gridSpan w:val="4"/>
            <w:shd w:val="clear" w:color="auto" w:fill="auto"/>
          </w:tcPr>
          <w:p w14:paraId="5976191C" w14:textId="77777777" w:rsidR="003476DD" w:rsidRPr="00B67D81" w:rsidRDefault="003476DD" w:rsidP="00B67D81">
            <w:pPr>
              <w:spacing w:line="240" w:lineRule="auto"/>
              <w:jc w:val="left"/>
            </w:pPr>
          </w:p>
        </w:tc>
      </w:tr>
      <w:tr w:rsidR="003476DD" w:rsidRPr="00B67D81" w14:paraId="0C5F1AB5" w14:textId="77777777" w:rsidTr="005C76CF">
        <w:trPr>
          <w:jc w:val="center"/>
        </w:trPr>
        <w:tc>
          <w:tcPr>
            <w:tcW w:w="5353" w:type="dxa"/>
            <w:gridSpan w:val="3"/>
            <w:shd w:val="clear" w:color="auto" w:fill="auto"/>
          </w:tcPr>
          <w:p w14:paraId="0E351641" w14:textId="77777777" w:rsidR="003476DD" w:rsidRPr="00B67D81" w:rsidRDefault="003476DD" w:rsidP="00B67D81">
            <w:pPr>
              <w:spacing w:line="240" w:lineRule="auto"/>
              <w:jc w:val="left"/>
            </w:pPr>
          </w:p>
        </w:tc>
        <w:tc>
          <w:tcPr>
            <w:tcW w:w="4536" w:type="dxa"/>
            <w:shd w:val="clear" w:color="auto" w:fill="auto"/>
          </w:tcPr>
          <w:p w14:paraId="25A37F80" w14:textId="5B434B81" w:rsidR="003476DD" w:rsidRPr="00B67D81" w:rsidRDefault="000A249C" w:rsidP="00B67D81">
            <w:pPr>
              <w:spacing w:line="240" w:lineRule="auto"/>
              <w:ind w:right="57"/>
              <w:jc w:val="left"/>
            </w:pPr>
            <w:r w:rsidRPr="00B67D81">
              <w:t xml:space="preserve">Genève, le </w:t>
            </w:r>
            <w:r w:rsidR="003906C6" w:rsidRPr="00B67D81">
              <w:rPr>
                <w:rFonts w:cs="Arial"/>
              </w:rPr>
              <w:t>3 août 2020</w:t>
            </w:r>
          </w:p>
        </w:tc>
      </w:tr>
      <w:tr w:rsidR="00757B2B" w:rsidRPr="00B67D81" w14:paraId="035BEDD0" w14:textId="77777777" w:rsidTr="005C76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26" w:type="dxa"/>
            <w:tcBorders>
              <w:top w:val="nil"/>
              <w:left w:val="nil"/>
              <w:bottom w:val="nil"/>
              <w:right w:val="nil"/>
            </w:tcBorders>
            <w:shd w:val="clear" w:color="auto" w:fill="auto"/>
          </w:tcPr>
          <w:p w14:paraId="379056FD" w14:textId="77777777" w:rsidR="00757B2B" w:rsidRPr="00B67D81" w:rsidRDefault="000A249C" w:rsidP="00B67D81">
            <w:pPr>
              <w:spacing w:before="0" w:line="240" w:lineRule="auto"/>
              <w:jc w:val="left"/>
            </w:pPr>
            <w:r w:rsidRPr="00B67D81">
              <w:t>Réf.:</w:t>
            </w:r>
          </w:p>
        </w:tc>
        <w:tc>
          <w:tcPr>
            <w:tcW w:w="3827" w:type="dxa"/>
            <w:gridSpan w:val="2"/>
            <w:tcBorders>
              <w:top w:val="nil"/>
              <w:left w:val="nil"/>
              <w:bottom w:val="nil"/>
              <w:right w:val="nil"/>
            </w:tcBorders>
            <w:shd w:val="clear" w:color="auto" w:fill="auto"/>
          </w:tcPr>
          <w:p w14:paraId="3765FB75" w14:textId="3046BDFA" w:rsidR="00757B2B" w:rsidRPr="00B67D81" w:rsidRDefault="003906C6" w:rsidP="00B67D81">
            <w:pPr>
              <w:spacing w:before="0" w:line="240" w:lineRule="auto"/>
              <w:jc w:val="left"/>
              <w:rPr>
                <w:b/>
                <w:bCs/>
              </w:rPr>
            </w:pPr>
            <w:r w:rsidRPr="00B67D81">
              <w:rPr>
                <w:b/>
                <w:bCs/>
              </w:rPr>
              <w:t>CL-20/33</w:t>
            </w:r>
          </w:p>
        </w:tc>
        <w:tc>
          <w:tcPr>
            <w:tcW w:w="4536" w:type="dxa"/>
            <w:tcBorders>
              <w:top w:val="nil"/>
              <w:left w:val="nil"/>
              <w:bottom w:val="nil"/>
              <w:right w:val="nil"/>
            </w:tcBorders>
            <w:shd w:val="clear" w:color="auto" w:fill="auto"/>
          </w:tcPr>
          <w:p w14:paraId="5E6C7F49" w14:textId="77777777" w:rsidR="00757B2B" w:rsidRPr="00B67D81" w:rsidRDefault="00757B2B" w:rsidP="00B67D81">
            <w:pPr>
              <w:spacing w:before="0" w:line="240" w:lineRule="auto"/>
              <w:jc w:val="left"/>
            </w:pPr>
          </w:p>
        </w:tc>
      </w:tr>
      <w:tr w:rsidR="003476DD" w:rsidRPr="00B67D81" w14:paraId="4CFA3E81" w14:textId="77777777" w:rsidTr="005C76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26" w:type="dxa"/>
            <w:tcBorders>
              <w:top w:val="nil"/>
              <w:left w:val="nil"/>
              <w:bottom w:val="nil"/>
              <w:right w:val="nil"/>
            </w:tcBorders>
            <w:shd w:val="clear" w:color="auto" w:fill="auto"/>
          </w:tcPr>
          <w:p w14:paraId="78BEF351" w14:textId="77777777" w:rsidR="003476DD" w:rsidRPr="00B67D81" w:rsidRDefault="000A249C" w:rsidP="00B67D81">
            <w:pPr>
              <w:spacing w:before="0" w:line="240" w:lineRule="auto"/>
              <w:jc w:val="left"/>
              <w:rPr>
                <w:iCs/>
                <w:color w:val="FFFFFF" w:themeColor="background1"/>
              </w:rPr>
            </w:pPr>
            <w:r w:rsidRPr="00B67D81">
              <w:rPr>
                <w:iCs/>
              </w:rPr>
              <w:t>Contact:</w:t>
            </w:r>
          </w:p>
        </w:tc>
        <w:tc>
          <w:tcPr>
            <w:tcW w:w="3543" w:type="dxa"/>
            <w:tcBorders>
              <w:top w:val="nil"/>
              <w:left w:val="nil"/>
              <w:bottom w:val="nil"/>
              <w:right w:val="nil"/>
            </w:tcBorders>
            <w:shd w:val="clear" w:color="auto" w:fill="auto"/>
          </w:tcPr>
          <w:p w14:paraId="50895174" w14:textId="3D8BC68B" w:rsidR="003476DD" w:rsidRPr="00B67D81" w:rsidRDefault="003906C6" w:rsidP="00B67D81">
            <w:pPr>
              <w:spacing w:before="0" w:line="240" w:lineRule="auto"/>
              <w:jc w:val="left"/>
            </w:pPr>
            <w:bookmarkStart w:id="1" w:name="Contact"/>
            <w:bookmarkEnd w:id="1"/>
            <w:r w:rsidRPr="00B67D81">
              <w:t>Mme Béatrice Pluchon</w:t>
            </w:r>
          </w:p>
        </w:tc>
        <w:tc>
          <w:tcPr>
            <w:tcW w:w="284" w:type="dxa"/>
            <w:tcBorders>
              <w:top w:val="nil"/>
              <w:left w:val="nil"/>
              <w:bottom w:val="nil"/>
              <w:right w:val="nil"/>
            </w:tcBorders>
            <w:shd w:val="clear" w:color="auto" w:fill="auto"/>
          </w:tcPr>
          <w:p w14:paraId="3F069FB0" w14:textId="77777777" w:rsidR="003476DD" w:rsidRPr="00B67D81" w:rsidRDefault="003476DD" w:rsidP="00B67D81">
            <w:pPr>
              <w:spacing w:before="0" w:line="240" w:lineRule="auto"/>
            </w:pPr>
          </w:p>
        </w:tc>
        <w:tc>
          <w:tcPr>
            <w:tcW w:w="4536" w:type="dxa"/>
            <w:vMerge w:val="restart"/>
            <w:tcBorders>
              <w:top w:val="nil"/>
              <w:left w:val="nil"/>
              <w:bottom w:val="nil"/>
              <w:right w:val="nil"/>
            </w:tcBorders>
            <w:shd w:val="clear" w:color="auto" w:fill="auto"/>
            <w:vAlign w:val="center"/>
          </w:tcPr>
          <w:p w14:paraId="7C2906E3" w14:textId="492518D5" w:rsidR="000A249C" w:rsidRPr="00B67D81" w:rsidRDefault="003906C6" w:rsidP="00B67D81">
            <w:pPr>
              <w:spacing w:before="120" w:line="240" w:lineRule="auto"/>
              <w:jc w:val="left"/>
              <w:rPr>
                <w:color w:val="000000"/>
              </w:rPr>
            </w:pPr>
            <w:r w:rsidRPr="00B67D81">
              <w:rPr>
                <w:color w:val="000000"/>
              </w:rPr>
              <w:t>Aux États Membres de l'UIT</w:t>
            </w:r>
          </w:p>
        </w:tc>
      </w:tr>
      <w:tr w:rsidR="003906C6" w:rsidRPr="00B67D81" w14:paraId="6F2A93E6" w14:textId="77777777" w:rsidTr="005C76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26" w:type="dxa"/>
            <w:tcBorders>
              <w:top w:val="nil"/>
              <w:left w:val="nil"/>
              <w:bottom w:val="nil"/>
              <w:right w:val="nil"/>
            </w:tcBorders>
            <w:shd w:val="clear" w:color="auto" w:fill="auto"/>
          </w:tcPr>
          <w:p w14:paraId="373CC76F" w14:textId="77777777" w:rsidR="003906C6" w:rsidRPr="00B67D81" w:rsidRDefault="003906C6" w:rsidP="00B67D81">
            <w:pPr>
              <w:spacing w:before="0" w:line="240" w:lineRule="auto"/>
              <w:jc w:val="left"/>
              <w:rPr>
                <w:iCs/>
                <w:color w:val="FFFFFF" w:themeColor="background1"/>
              </w:rPr>
            </w:pPr>
            <w:r w:rsidRPr="00B67D81">
              <w:rPr>
                <w:iCs/>
              </w:rPr>
              <w:t>Télécopie:</w:t>
            </w:r>
          </w:p>
        </w:tc>
        <w:tc>
          <w:tcPr>
            <w:tcW w:w="3543" w:type="dxa"/>
            <w:tcBorders>
              <w:top w:val="nil"/>
              <w:left w:val="nil"/>
              <w:bottom w:val="nil"/>
              <w:right w:val="nil"/>
            </w:tcBorders>
            <w:shd w:val="clear" w:color="auto" w:fill="auto"/>
          </w:tcPr>
          <w:p w14:paraId="31BBCEBB" w14:textId="36D066C4" w:rsidR="003906C6" w:rsidRPr="00B67D81" w:rsidRDefault="003906C6" w:rsidP="00B67D81">
            <w:pPr>
              <w:spacing w:before="0" w:line="240" w:lineRule="auto"/>
              <w:jc w:val="left"/>
            </w:pPr>
            <w:r w:rsidRPr="00B67D81">
              <w:t>+41 22 730 6266</w:t>
            </w:r>
          </w:p>
        </w:tc>
        <w:tc>
          <w:tcPr>
            <w:tcW w:w="284" w:type="dxa"/>
            <w:tcBorders>
              <w:top w:val="nil"/>
              <w:left w:val="nil"/>
              <w:bottom w:val="nil"/>
              <w:right w:val="nil"/>
            </w:tcBorders>
            <w:shd w:val="clear" w:color="auto" w:fill="auto"/>
          </w:tcPr>
          <w:p w14:paraId="0CF6BADF" w14:textId="77777777" w:rsidR="003906C6" w:rsidRPr="00B67D81" w:rsidRDefault="003906C6" w:rsidP="00B67D81">
            <w:pPr>
              <w:spacing w:before="0" w:line="240" w:lineRule="auto"/>
            </w:pPr>
          </w:p>
        </w:tc>
        <w:tc>
          <w:tcPr>
            <w:tcW w:w="4536" w:type="dxa"/>
            <w:vMerge/>
            <w:tcBorders>
              <w:top w:val="nil"/>
              <w:left w:val="nil"/>
              <w:bottom w:val="nil"/>
              <w:right w:val="nil"/>
            </w:tcBorders>
            <w:shd w:val="clear" w:color="auto" w:fill="auto"/>
          </w:tcPr>
          <w:p w14:paraId="706BB5CE" w14:textId="77777777" w:rsidR="003906C6" w:rsidRPr="00B67D81" w:rsidRDefault="003906C6" w:rsidP="00B67D81">
            <w:pPr>
              <w:spacing w:before="0" w:line="240" w:lineRule="auto"/>
            </w:pPr>
          </w:p>
        </w:tc>
      </w:tr>
      <w:tr w:rsidR="003906C6" w:rsidRPr="00B67D81" w14:paraId="1F5C46FE" w14:textId="77777777" w:rsidTr="005C76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26" w:type="dxa"/>
            <w:tcBorders>
              <w:top w:val="nil"/>
              <w:left w:val="nil"/>
              <w:bottom w:val="nil"/>
              <w:right w:val="nil"/>
            </w:tcBorders>
            <w:shd w:val="clear" w:color="auto" w:fill="auto"/>
          </w:tcPr>
          <w:p w14:paraId="4F78C654" w14:textId="77777777" w:rsidR="003906C6" w:rsidRPr="00B67D81" w:rsidRDefault="003906C6" w:rsidP="00B67D81">
            <w:pPr>
              <w:spacing w:before="0" w:line="240" w:lineRule="auto"/>
              <w:jc w:val="left"/>
              <w:rPr>
                <w:iCs/>
                <w:color w:val="FFFFFF" w:themeColor="background1"/>
              </w:rPr>
            </w:pPr>
            <w:r w:rsidRPr="00B67D81">
              <w:t>Courriel</w:t>
            </w:r>
            <w:r w:rsidRPr="00B67D81">
              <w:rPr>
                <w:iCs/>
              </w:rPr>
              <w:t>:</w:t>
            </w:r>
          </w:p>
        </w:tc>
        <w:tc>
          <w:tcPr>
            <w:tcW w:w="3543" w:type="dxa"/>
            <w:tcBorders>
              <w:top w:val="nil"/>
              <w:left w:val="nil"/>
              <w:bottom w:val="nil"/>
              <w:right w:val="nil"/>
            </w:tcBorders>
            <w:shd w:val="clear" w:color="auto" w:fill="auto"/>
          </w:tcPr>
          <w:p w14:paraId="675D7462" w14:textId="34790818" w:rsidR="003906C6" w:rsidRPr="00B67D81" w:rsidRDefault="00BE3AF8" w:rsidP="00B67D81">
            <w:pPr>
              <w:spacing w:before="0" w:line="240" w:lineRule="auto"/>
              <w:jc w:val="left"/>
            </w:pPr>
            <w:hyperlink r:id="rId8" w:history="1">
              <w:r w:rsidR="00900339" w:rsidRPr="00E02765">
                <w:rPr>
                  <w:rStyle w:val="Hyperlink"/>
                  <w:lang w:val="fr-CH"/>
                </w:rPr>
                <w:t>memberstates@itu.int</w:t>
              </w:r>
            </w:hyperlink>
          </w:p>
        </w:tc>
        <w:tc>
          <w:tcPr>
            <w:tcW w:w="284" w:type="dxa"/>
            <w:tcBorders>
              <w:top w:val="nil"/>
              <w:left w:val="nil"/>
              <w:bottom w:val="nil"/>
              <w:right w:val="nil"/>
            </w:tcBorders>
            <w:shd w:val="clear" w:color="auto" w:fill="auto"/>
          </w:tcPr>
          <w:p w14:paraId="0746B4B6" w14:textId="77777777" w:rsidR="003906C6" w:rsidRPr="00B67D81" w:rsidRDefault="003906C6" w:rsidP="00B67D81">
            <w:pPr>
              <w:spacing w:before="0" w:line="240" w:lineRule="auto"/>
            </w:pPr>
          </w:p>
        </w:tc>
        <w:tc>
          <w:tcPr>
            <w:tcW w:w="4536" w:type="dxa"/>
            <w:vMerge/>
            <w:tcBorders>
              <w:top w:val="nil"/>
              <w:left w:val="nil"/>
              <w:bottom w:val="nil"/>
              <w:right w:val="nil"/>
            </w:tcBorders>
            <w:shd w:val="clear" w:color="auto" w:fill="auto"/>
          </w:tcPr>
          <w:p w14:paraId="3E8F6D2E" w14:textId="77777777" w:rsidR="003906C6" w:rsidRPr="00B67D81" w:rsidRDefault="003906C6" w:rsidP="00B67D81">
            <w:pPr>
              <w:spacing w:before="0" w:line="240" w:lineRule="auto"/>
            </w:pPr>
          </w:p>
        </w:tc>
      </w:tr>
      <w:tr w:rsidR="003476DD" w:rsidRPr="00B67D81" w14:paraId="03B6DC8C" w14:textId="77777777" w:rsidTr="005C76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26" w:type="dxa"/>
            <w:tcBorders>
              <w:top w:val="nil"/>
              <w:left w:val="nil"/>
              <w:bottom w:val="nil"/>
              <w:right w:val="nil"/>
            </w:tcBorders>
            <w:shd w:val="clear" w:color="auto" w:fill="auto"/>
          </w:tcPr>
          <w:p w14:paraId="321C4A7A" w14:textId="77777777" w:rsidR="003476DD" w:rsidRPr="00B67D81" w:rsidRDefault="003476DD" w:rsidP="00B67D81">
            <w:pPr>
              <w:spacing w:before="0" w:line="240" w:lineRule="auto"/>
              <w:jc w:val="left"/>
              <w:rPr>
                <w:iCs/>
              </w:rPr>
            </w:pPr>
          </w:p>
        </w:tc>
        <w:tc>
          <w:tcPr>
            <w:tcW w:w="8363" w:type="dxa"/>
            <w:gridSpan w:val="3"/>
            <w:tcBorders>
              <w:top w:val="nil"/>
              <w:left w:val="nil"/>
              <w:bottom w:val="nil"/>
              <w:right w:val="nil"/>
            </w:tcBorders>
            <w:shd w:val="clear" w:color="auto" w:fill="auto"/>
          </w:tcPr>
          <w:p w14:paraId="0261F9C0" w14:textId="77777777" w:rsidR="003476DD" w:rsidRPr="00B67D81" w:rsidRDefault="003476DD" w:rsidP="00B67D81">
            <w:pPr>
              <w:spacing w:before="0" w:line="240" w:lineRule="auto"/>
              <w:jc w:val="left"/>
              <w:rPr>
                <w:iCs/>
              </w:rPr>
            </w:pPr>
          </w:p>
        </w:tc>
      </w:tr>
      <w:tr w:rsidR="00757B2B" w:rsidRPr="00B67D81" w14:paraId="5DC35F33" w14:textId="77777777" w:rsidTr="005C76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26" w:type="dxa"/>
            <w:tcBorders>
              <w:top w:val="nil"/>
              <w:left w:val="nil"/>
              <w:bottom w:val="nil"/>
              <w:right w:val="nil"/>
            </w:tcBorders>
            <w:shd w:val="clear" w:color="auto" w:fill="auto"/>
          </w:tcPr>
          <w:p w14:paraId="19379745" w14:textId="77777777" w:rsidR="00757B2B" w:rsidRPr="00B67D81" w:rsidRDefault="000A249C" w:rsidP="00B67D81">
            <w:pPr>
              <w:spacing w:before="120" w:line="240" w:lineRule="auto"/>
              <w:jc w:val="left"/>
              <w:rPr>
                <w:color w:val="000000"/>
              </w:rPr>
            </w:pPr>
            <w:r w:rsidRPr="00B67D81">
              <w:rPr>
                <w:color w:val="000000"/>
              </w:rPr>
              <w:t>Objet:</w:t>
            </w:r>
          </w:p>
        </w:tc>
        <w:tc>
          <w:tcPr>
            <w:tcW w:w="8363" w:type="dxa"/>
            <w:gridSpan w:val="3"/>
            <w:tcBorders>
              <w:top w:val="nil"/>
              <w:left w:val="nil"/>
              <w:bottom w:val="nil"/>
              <w:right w:val="nil"/>
            </w:tcBorders>
            <w:shd w:val="clear" w:color="auto" w:fill="auto"/>
          </w:tcPr>
          <w:p w14:paraId="04B2E337" w14:textId="327AF568" w:rsidR="00757B2B" w:rsidRPr="00B67D81" w:rsidRDefault="00D60768" w:rsidP="00B67D81">
            <w:pPr>
              <w:spacing w:before="120" w:line="240" w:lineRule="auto"/>
              <w:jc w:val="left"/>
              <w:rPr>
                <w:b/>
                <w:bCs/>
                <w:color w:val="000000"/>
              </w:rPr>
            </w:pPr>
            <w:bookmarkStart w:id="2" w:name="Subject"/>
            <w:bookmarkEnd w:id="2"/>
            <w:r w:rsidRPr="00B67D81">
              <w:rPr>
                <w:b/>
                <w:bCs/>
                <w:color w:val="000000"/>
              </w:rPr>
              <w:t xml:space="preserve">Changement des dates de l'AMNT-20 et </w:t>
            </w:r>
            <w:r w:rsidR="0012369C" w:rsidRPr="00B67D81">
              <w:rPr>
                <w:b/>
                <w:bCs/>
                <w:color w:val="000000"/>
              </w:rPr>
              <w:t xml:space="preserve">ordre </w:t>
            </w:r>
            <w:r w:rsidRPr="00B67D81">
              <w:rPr>
                <w:b/>
                <w:bCs/>
                <w:color w:val="000000"/>
              </w:rPr>
              <w:t>du jour de la CMR-23</w:t>
            </w:r>
          </w:p>
        </w:tc>
      </w:tr>
    </w:tbl>
    <w:p w14:paraId="2B282226" w14:textId="77777777" w:rsidR="00AF3325" w:rsidRPr="00B67D81" w:rsidRDefault="000A249C" w:rsidP="00B67D81">
      <w:pPr>
        <w:pStyle w:val="Normalaftertitle0"/>
        <w:spacing w:before="240"/>
        <w:rPr>
          <w:rFonts w:asciiTheme="minorHAnsi" w:hAnsiTheme="minorHAnsi"/>
          <w:sz w:val="22"/>
          <w:szCs w:val="22"/>
          <w:lang w:val="fr-FR"/>
        </w:rPr>
      </w:pPr>
      <w:bookmarkStart w:id="3" w:name="CurrentLocation"/>
      <w:bookmarkEnd w:id="3"/>
      <w:r w:rsidRPr="00B67D81">
        <w:rPr>
          <w:rFonts w:asciiTheme="minorHAnsi" w:hAnsiTheme="minorHAnsi"/>
          <w:sz w:val="22"/>
          <w:szCs w:val="22"/>
          <w:lang w:val="fr-FR"/>
        </w:rPr>
        <w:t>Madame, Monsieur,</w:t>
      </w:r>
    </w:p>
    <w:p w14:paraId="67D4F1B6" w14:textId="1E265775" w:rsidR="007B2F1E" w:rsidRPr="00B67D81" w:rsidRDefault="007B2F1E" w:rsidP="005C76CF">
      <w:pPr>
        <w:spacing w:before="120" w:line="240" w:lineRule="auto"/>
        <w:jc w:val="left"/>
      </w:pPr>
      <w:bookmarkStart w:id="4" w:name="Formula"/>
      <w:bookmarkStart w:id="5" w:name="MainStory"/>
      <w:bookmarkStart w:id="6" w:name="lt_pId031"/>
      <w:bookmarkEnd w:id="4"/>
      <w:bookmarkEnd w:id="5"/>
      <w:r w:rsidRPr="00B67D81">
        <w:t xml:space="preserve">Suite à la consultation des États Membres du </w:t>
      </w:r>
      <w:r w:rsidR="005C76CF">
        <w:t>Conseil menée aux termes de la L</w:t>
      </w:r>
      <w:r w:rsidRPr="00B67D81">
        <w:t xml:space="preserve">ettre </w:t>
      </w:r>
      <w:hyperlink r:id="rId9" w:history="1">
        <w:r w:rsidRPr="00B67D81">
          <w:rPr>
            <w:rStyle w:val="Hyperlink"/>
          </w:rPr>
          <w:t>DM-20/1009</w:t>
        </w:r>
      </w:hyperlink>
      <w:r w:rsidR="005C76CF">
        <w:t xml:space="preserve"> du </w:t>
      </w:r>
      <w:r w:rsidRPr="00B67D81">
        <w:t>26</w:t>
      </w:r>
      <w:r w:rsidR="0082262A" w:rsidRPr="00B67D81">
        <w:t> </w:t>
      </w:r>
      <w:r w:rsidRPr="00B67D81">
        <w:t>juin</w:t>
      </w:r>
      <w:r w:rsidR="0082262A" w:rsidRPr="00B67D81">
        <w:t> </w:t>
      </w:r>
      <w:r w:rsidRPr="00B67D81">
        <w:t xml:space="preserve">2020 </w:t>
      </w:r>
      <w:r w:rsidR="00AC7238" w:rsidRPr="00B67D81">
        <w:t xml:space="preserve">relative aux </w:t>
      </w:r>
      <w:r w:rsidRPr="00B67D81">
        <w:t xml:space="preserve">résultats des discussions de la consultation virtuelle des Conseillers et </w:t>
      </w:r>
      <w:r w:rsidR="00AC7238" w:rsidRPr="00B67D81">
        <w:t xml:space="preserve">aux </w:t>
      </w:r>
      <w:r w:rsidR="005C76CF">
        <w:t>résultats communiqués dans la L</w:t>
      </w:r>
      <w:r w:rsidRPr="00B67D81">
        <w:t xml:space="preserve">ettre </w:t>
      </w:r>
      <w:hyperlink r:id="rId10" w:history="1">
        <w:r w:rsidRPr="00B67D81">
          <w:rPr>
            <w:rStyle w:val="Hyperlink"/>
          </w:rPr>
          <w:t>DM-20/1011</w:t>
        </w:r>
      </w:hyperlink>
      <w:r w:rsidRPr="00B67D81">
        <w:t xml:space="preserve">, j'ai </w:t>
      </w:r>
      <w:r w:rsidR="009711E4" w:rsidRPr="00B67D81">
        <w:t xml:space="preserve">l'honneur </w:t>
      </w:r>
      <w:r w:rsidRPr="00B67D81">
        <w:t xml:space="preserve">de vous informer que les États Membres du Conseil ont </w:t>
      </w:r>
      <w:r w:rsidR="00806AD1" w:rsidRPr="00B67D81">
        <w:t xml:space="preserve">pris </w:t>
      </w:r>
      <w:r w:rsidR="00B96108" w:rsidRPr="00B67D81">
        <w:t>l</w:t>
      </w:r>
      <w:r w:rsidRPr="00B67D81">
        <w:t xml:space="preserve">es décisions suivantes: </w:t>
      </w:r>
    </w:p>
    <w:bookmarkEnd w:id="6"/>
    <w:p w14:paraId="625EBACD" w14:textId="47842389" w:rsidR="003906C6" w:rsidRPr="00B67D81" w:rsidRDefault="003906C6" w:rsidP="005C76CF">
      <w:pPr>
        <w:spacing w:line="240" w:lineRule="auto"/>
        <w:jc w:val="left"/>
        <w:rPr>
          <w:u w:val="single"/>
        </w:rPr>
      </w:pPr>
      <w:r w:rsidRPr="00B67D81">
        <w:rPr>
          <w:u w:val="single"/>
        </w:rPr>
        <w:t>Changement des dates de l'AMNT-20</w:t>
      </w:r>
    </w:p>
    <w:p w14:paraId="1E8B90C5" w14:textId="63D7D592" w:rsidR="00B96108" w:rsidRPr="00B67D81" w:rsidRDefault="00B96108" w:rsidP="005C76CF">
      <w:pPr>
        <w:spacing w:before="120" w:line="240" w:lineRule="auto"/>
        <w:jc w:val="left"/>
      </w:pPr>
      <w:r w:rsidRPr="00B67D81">
        <w:t xml:space="preserve">Les États Membres du Conseil ont </w:t>
      </w:r>
      <w:r w:rsidR="009711E4" w:rsidRPr="00B67D81">
        <w:t xml:space="preserve">souscrit au </w:t>
      </w:r>
      <w:r w:rsidR="006F0EAD" w:rsidRPr="00B67D81">
        <w:t xml:space="preserve">report </w:t>
      </w:r>
      <w:r w:rsidRPr="00B67D81">
        <w:t>de la prochaine AMNT pour qu'elle se tienne</w:t>
      </w:r>
      <w:r w:rsidR="005C76CF">
        <w:t xml:space="preserve"> du </w:t>
      </w:r>
      <w:r w:rsidRPr="00B67D81">
        <w:t>23</w:t>
      </w:r>
      <w:r w:rsidR="0082262A" w:rsidRPr="00B67D81">
        <w:t> </w:t>
      </w:r>
      <w:r w:rsidRPr="00B67D81">
        <w:t xml:space="preserve">février au 5 mars 2021, après le Colloque mondial sur la normalisation qui aura lieu le 22 février 2021 et sous réserve du rétablissement de conditions de travail et de voyage normales en Inde et dans les autres États Membres, en adoptant la </w:t>
      </w:r>
      <w:r w:rsidR="00900339">
        <w:t xml:space="preserve">Décision </w:t>
      </w:r>
      <w:r w:rsidRPr="00B67D81">
        <w:t>reproduite dans l'</w:t>
      </w:r>
      <w:hyperlink w:anchor="An_2" w:history="1">
        <w:r w:rsidRPr="00B67D81">
          <w:rPr>
            <w:rStyle w:val="Hyperlink"/>
          </w:rPr>
          <w:t>Annexe 2</w:t>
        </w:r>
      </w:hyperlink>
      <w:r w:rsidRPr="00B67D81">
        <w:t xml:space="preserve">. </w:t>
      </w:r>
    </w:p>
    <w:p w14:paraId="53FD2C4C" w14:textId="77777777" w:rsidR="003906C6" w:rsidRPr="00B67D81" w:rsidRDefault="003906C6" w:rsidP="00361CF9">
      <w:pPr>
        <w:spacing w:after="120" w:line="240" w:lineRule="auto"/>
        <w:jc w:val="left"/>
        <w:rPr>
          <w:u w:val="single"/>
        </w:rPr>
      </w:pPr>
      <w:r w:rsidRPr="00B67D81">
        <w:rPr>
          <w:u w:val="single"/>
        </w:rPr>
        <w:t>Ordre du jour de la CMR-23</w:t>
      </w:r>
    </w:p>
    <w:p w14:paraId="5A963244" w14:textId="17F800E1" w:rsidR="003906C6" w:rsidRPr="00B67D81" w:rsidRDefault="003906C6" w:rsidP="005C76CF">
      <w:pPr>
        <w:spacing w:before="120" w:after="120" w:line="240" w:lineRule="auto"/>
        <w:jc w:val="left"/>
      </w:pPr>
      <w:r w:rsidRPr="00B67D81">
        <w:rPr>
          <w:color w:val="000000"/>
        </w:rPr>
        <w:t xml:space="preserve">Les États Membres du Conseil </w:t>
      </w:r>
      <w:r w:rsidR="00B96108" w:rsidRPr="00B67D81">
        <w:rPr>
          <w:color w:val="000000"/>
        </w:rPr>
        <w:t xml:space="preserve">ont </w:t>
      </w:r>
      <w:r w:rsidR="009711E4" w:rsidRPr="00B67D81">
        <w:rPr>
          <w:color w:val="000000"/>
        </w:rPr>
        <w:t xml:space="preserve">manifesté leur appui concernant </w:t>
      </w:r>
      <w:r w:rsidRPr="00B67D81">
        <w:rPr>
          <w:color w:val="000000"/>
        </w:rPr>
        <w:t xml:space="preserve">l'ordre du jour de la Conférence mondiale des radiocommunications </w:t>
      </w:r>
      <w:r w:rsidRPr="00B67D81">
        <w:t xml:space="preserve">(CMR-23) figurant dans </w:t>
      </w:r>
      <w:r w:rsidR="00B96108" w:rsidRPr="00B67D81">
        <w:t xml:space="preserve">la </w:t>
      </w:r>
      <w:r w:rsidRPr="00B67D81">
        <w:t>Résolution reproduit</w:t>
      </w:r>
      <w:r w:rsidR="00B96108" w:rsidRPr="00B67D81">
        <w:t>e</w:t>
      </w:r>
      <w:r w:rsidRPr="00B67D81">
        <w:t xml:space="preserve"> dans l'</w:t>
      </w:r>
      <w:hyperlink w:anchor="An_3" w:history="1">
        <w:r w:rsidRPr="00B67D81">
          <w:rPr>
            <w:rStyle w:val="Hyperlink"/>
          </w:rPr>
          <w:t>Annexe 3</w:t>
        </w:r>
      </w:hyperlink>
      <w:r w:rsidRPr="00B67D81">
        <w:t xml:space="preserve"> et </w:t>
      </w:r>
      <w:r w:rsidR="00B96108" w:rsidRPr="00B67D81">
        <w:t xml:space="preserve">ont </w:t>
      </w:r>
      <w:r w:rsidRPr="00B67D81">
        <w:t>adopt</w:t>
      </w:r>
      <w:r w:rsidR="00B96108" w:rsidRPr="00B67D81">
        <w:t>é</w:t>
      </w:r>
      <w:r w:rsidRPr="00B67D81">
        <w:t xml:space="preserve"> </w:t>
      </w:r>
      <w:r w:rsidR="009711E4" w:rsidRPr="00B67D81">
        <w:t xml:space="preserve">cette </w:t>
      </w:r>
      <w:r w:rsidRPr="00B67D81">
        <w:t>Résolution.</w:t>
      </w:r>
    </w:p>
    <w:p w14:paraId="719283BC" w14:textId="5A6CD332" w:rsidR="003906C6" w:rsidRPr="00B67D81" w:rsidRDefault="003906C6" w:rsidP="005C76CF">
      <w:pPr>
        <w:spacing w:before="120" w:line="240" w:lineRule="auto"/>
        <w:jc w:val="left"/>
      </w:pPr>
      <w:r w:rsidRPr="00B67D81">
        <w:t>Conformément au numéro 46 de la Convention de l'UIT</w:t>
      </w:r>
      <w:r w:rsidR="00B96108" w:rsidRPr="00B67D81">
        <w:t xml:space="preserve"> concernant les dates de l'AMNT-20</w:t>
      </w:r>
      <w:r w:rsidRPr="00B67D81">
        <w:t xml:space="preserve">, </w:t>
      </w:r>
      <w:r w:rsidR="006F0EAD" w:rsidRPr="00B67D81">
        <w:t>et aux numéros</w:t>
      </w:r>
      <w:r w:rsidR="0082262A" w:rsidRPr="00B67D81">
        <w:t> </w:t>
      </w:r>
      <w:r w:rsidR="006F0EAD" w:rsidRPr="00B67D81">
        <w:t>47 et 118 de la Convention de l'UIT concernant l'ordre du jour de la CMR</w:t>
      </w:r>
      <w:r w:rsidR="006F0EAD" w:rsidRPr="00B67D81">
        <w:noBreakHyphen/>
        <w:t xml:space="preserve">23, </w:t>
      </w:r>
      <w:r w:rsidRPr="00B67D81">
        <w:t xml:space="preserve">tous les États Membres de l'UIT sont donc invités à </w:t>
      </w:r>
      <w:r w:rsidR="001B645D" w:rsidRPr="00B67D81">
        <w:t xml:space="preserve">informer le </w:t>
      </w:r>
      <w:r w:rsidRPr="00B67D81">
        <w:t xml:space="preserve">Secrétaire général </w:t>
      </w:r>
      <w:r w:rsidR="001B645D" w:rsidRPr="00B67D81">
        <w:t xml:space="preserve">de leur accord concernant </w:t>
      </w:r>
      <w:r w:rsidR="006F0EAD" w:rsidRPr="00B67D81">
        <w:t>le changement des dates de l'AMNT-20 et l'ordre du jour de la CMR-23</w:t>
      </w:r>
      <w:r w:rsidRPr="00B67D81">
        <w:t xml:space="preserve">, </w:t>
      </w:r>
      <w:r w:rsidR="006F0EAD" w:rsidRPr="00B67D81">
        <w:t xml:space="preserve">comme </w:t>
      </w:r>
      <w:r w:rsidRPr="00B67D81">
        <w:t xml:space="preserve">indiqué ci-dessus, </w:t>
      </w:r>
      <w:r w:rsidR="006F0EAD" w:rsidRPr="00B67D81">
        <w:t xml:space="preserve">en envoyant un </w:t>
      </w:r>
      <w:r w:rsidRPr="00B67D81">
        <w:t xml:space="preserve">courrier électronique </w:t>
      </w:r>
      <w:r w:rsidR="006F0EAD" w:rsidRPr="00B67D81">
        <w:t xml:space="preserve">à l'adresse </w:t>
      </w:r>
      <w:hyperlink r:id="rId11" w:history="1">
        <w:r w:rsidRPr="00B67D81">
          <w:rPr>
            <w:rStyle w:val="Hyperlink"/>
          </w:rPr>
          <w:t>memberstates@itu.int</w:t>
        </w:r>
      </w:hyperlink>
      <w:r w:rsidR="00493064" w:rsidRPr="00B67D81">
        <w:rPr>
          <w:b/>
        </w:rPr>
        <w:t xml:space="preserve"> au plus tard </w:t>
      </w:r>
      <w:r w:rsidR="00493064" w:rsidRPr="00B67D81">
        <w:rPr>
          <w:b/>
          <w:bCs/>
        </w:rPr>
        <w:t>le 31 août 2020</w:t>
      </w:r>
      <w:r w:rsidRPr="00B67D81">
        <w:t>. Nous vous prions d'utiliser le formulaire reproduit dans l'</w:t>
      </w:r>
      <w:hyperlink w:anchor="An_1" w:history="1">
        <w:r w:rsidRPr="00B67D81">
          <w:rPr>
            <w:rStyle w:val="Hyperlink"/>
          </w:rPr>
          <w:t>Annexe 1</w:t>
        </w:r>
      </w:hyperlink>
      <w:r w:rsidRPr="00B67D81">
        <w:t xml:space="preserve"> pour faire connaître votre réponse.</w:t>
      </w:r>
    </w:p>
    <w:p w14:paraId="22145B78" w14:textId="0730FD2B" w:rsidR="003906C6" w:rsidRPr="00B67D81" w:rsidRDefault="003906C6" w:rsidP="005C76CF">
      <w:pPr>
        <w:spacing w:before="120" w:line="240" w:lineRule="auto"/>
        <w:jc w:val="left"/>
      </w:pPr>
      <w:r w:rsidRPr="00B67D81">
        <w:t xml:space="preserve">Si votre pays a déjà répondu à la première consultation visant les États Membres du Conseil, sa </w:t>
      </w:r>
      <w:r w:rsidRPr="00B67D81">
        <w:rPr>
          <w:b/>
          <w:bCs/>
        </w:rPr>
        <w:t xml:space="preserve">réponse sera également </w:t>
      </w:r>
      <w:r w:rsidR="00CA31C2" w:rsidRPr="00B67D81">
        <w:rPr>
          <w:b/>
          <w:bCs/>
        </w:rPr>
        <w:t xml:space="preserve">considérée comme </w:t>
      </w:r>
      <w:r w:rsidRPr="00B67D81">
        <w:rPr>
          <w:b/>
          <w:bCs/>
        </w:rPr>
        <w:t>valable</w:t>
      </w:r>
      <w:r w:rsidRPr="00B67D81">
        <w:t xml:space="preserve"> pour la présente consultation visant tous les États Membres, </w:t>
      </w:r>
      <w:r w:rsidRPr="00B67D81">
        <w:rPr>
          <w:b/>
          <w:bCs/>
        </w:rPr>
        <w:t xml:space="preserve">sauf indication contraire communiquée par le Conseiller ou par le Coordonnateur de votre administration par </w:t>
      </w:r>
      <w:r w:rsidR="006F0EAD" w:rsidRPr="00B67D81">
        <w:rPr>
          <w:b/>
          <w:bCs/>
        </w:rPr>
        <w:t xml:space="preserve">l'envoi d'un </w:t>
      </w:r>
      <w:r w:rsidRPr="00B67D81">
        <w:rPr>
          <w:b/>
          <w:bCs/>
        </w:rPr>
        <w:t xml:space="preserve">courrier électronique </w:t>
      </w:r>
      <w:r w:rsidR="006F0EAD" w:rsidRPr="00B67D81">
        <w:t xml:space="preserve">à l'adresse </w:t>
      </w:r>
      <w:hyperlink r:id="rId12" w:history="1">
        <w:r w:rsidR="001342A7" w:rsidRPr="00B67D81">
          <w:rPr>
            <w:rStyle w:val="Hyperlink"/>
          </w:rPr>
          <w:t>memberstates@itu.int</w:t>
        </w:r>
      </w:hyperlink>
      <w:r w:rsidR="001342A7" w:rsidRPr="001342A7">
        <w:rPr>
          <w:rStyle w:val="Hyperlink"/>
          <w:u w:val="none"/>
        </w:rPr>
        <w:t xml:space="preserve"> </w:t>
      </w:r>
      <w:r w:rsidR="00493064" w:rsidRPr="00B67D81">
        <w:rPr>
          <w:b/>
          <w:bCs/>
        </w:rPr>
        <w:t>au plus tard le 31 août 2020</w:t>
      </w:r>
      <w:r w:rsidR="00CA31C2" w:rsidRPr="00B67D81">
        <w:t>, également en utilisant le formulaire reproduit dans l'</w:t>
      </w:r>
      <w:hyperlink w:anchor="An_1" w:history="1">
        <w:r w:rsidR="00CA31C2" w:rsidRPr="00B67D81">
          <w:rPr>
            <w:rStyle w:val="Hyperlink"/>
          </w:rPr>
          <w:t>Annexe 1</w:t>
        </w:r>
      </w:hyperlink>
      <w:r w:rsidR="00CA31C2" w:rsidRPr="00B67D81">
        <w:t>.</w:t>
      </w:r>
      <w:r w:rsidRPr="00B67D81">
        <w:t xml:space="preserve"> </w:t>
      </w:r>
    </w:p>
    <w:p w14:paraId="617F0134" w14:textId="605E241F" w:rsidR="0082262A" w:rsidRPr="00B67D81" w:rsidRDefault="0082262A" w:rsidP="00B67D81">
      <w:pPr>
        <w:tabs>
          <w:tab w:val="clear" w:pos="794"/>
          <w:tab w:val="clear" w:pos="1191"/>
          <w:tab w:val="clear" w:pos="1588"/>
          <w:tab w:val="clear" w:pos="1985"/>
        </w:tabs>
        <w:overflowPunct/>
        <w:autoSpaceDE/>
        <w:autoSpaceDN/>
        <w:adjustRightInd/>
        <w:spacing w:before="0" w:line="240" w:lineRule="auto"/>
        <w:jc w:val="left"/>
        <w:textAlignment w:val="auto"/>
      </w:pPr>
      <w:r w:rsidRPr="00B67D81">
        <w:br w:type="page"/>
      </w:r>
    </w:p>
    <w:p w14:paraId="3B0CEF0E" w14:textId="77777777" w:rsidR="003906C6" w:rsidRPr="00B67D81" w:rsidRDefault="003906C6" w:rsidP="00B67D81">
      <w:pPr>
        <w:spacing w:line="240" w:lineRule="auto"/>
      </w:pPr>
      <w:r w:rsidRPr="00B67D81">
        <w:lastRenderedPageBreak/>
        <w:t>Dans l'attente de votre réponse, je vous prie d'agréer, Madame, Monsieur, l'assurance de ma considération distinguée.</w:t>
      </w:r>
    </w:p>
    <w:p w14:paraId="7A3BADDF" w14:textId="77777777" w:rsidR="003906C6" w:rsidRPr="00B67D81" w:rsidRDefault="003906C6" w:rsidP="002C6230">
      <w:pPr>
        <w:spacing w:before="480" w:line="240" w:lineRule="auto"/>
        <w:rPr>
          <w:i/>
          <w:iCs/>
        </w:rPr>
      </w:pPr>
      <w:r w:rsidRPr="00B67D81">
        <w:rPr>
          <w:i/>
          <w:iCs/>
        </w:rPr>
        <w:t>(signé)</w:t>
      </w:r>
    </w:p>
    <w:p w14:paraId="5E8A3048" w14:textId="25A6F626" w:rsidR="003906C6" w:rsidRPr="00B67D81" w:rsidRDefault="003906C6" w:rsidP="002C6230">
      <w:pPr>
        <w:spacing w:before="480" w:line="240" w:lineRule="auto"/>
        <w:jc w:val="left"/>
      </w:pPr>
      <w:r w:rsidRPr="00B67D81">
        <w:t>Houlin ZHAO</w:t>
      </w:r>
      <w:r w:rsidRPr="00B67D81">
        <w:br/>
        <w:t>Secrétaire général</w:t>
      </w:r>
    </w:p>
    <w:p w14:paraId="1C1DEB31" w14:textId="61D8468B" w:rsidR="003906C6" w:rsidRPr="005C76CF" w:rsidRDefault="003906C6" w:rsidP="00B67D81">
      <w:pPr>
        <w:spacing w:before="600" w:line="240" w:lineRule="auto"/>
        <w:jc w:val="left"/>
        <w:rPr>
          <w:b/>
          <w:bCs/>
          <w:iCs/>
        </w:rPr>
      </w:pPr>
      <w:r w:rsidRPr="005C76CF">
        <w:rPr>
          <w:b/>
          <w:bCs/>
          <w:iCs/>
        </w:rPr>
        <w:t>Annexes</w:t>
      </w:r>
      <w:r w:rsidR="0082262A" w:rsidRPr="005C76CF">
        <w:rPr>
          <w:bCs/>
          <w:iCs/>
        </w:rPr>
        <w:t>:</w:t>
      </w:r>
      <w:r w:rsidRPr="005C76CF">
        <w:rPr>
          <w:bCs/>
          <w:iCs/>
        </w:rPr>
        <w:t xml:space="preserve"> 3</w:t>
      </w:r>
    </w:p>
    <w:p w14:paraId="08F7F951" w14:textId="77777777" w:rsidR="005C76CF" w:rsidRDefault="00BE3AF8" w:rsidP="005C76CF">
      <w:pPr>
        <w:spacing w:before="120" w:line="240" w:lineRule="auto"/>
        <w:jc w:val="left"/>
      </w:pPr>
      <w:hyperlink w:anchor="An_1" w:history="1">
        <w:r w:rsidR="003906C6" w:rsidRPr="00B67D81">
          <w:rPr>
            <w:rStyle w:val="Hyperlink"/>
          </w:rPr>
          <w:t>Annexe 1</w:t>
        </w:r>
      </w:hyperlink>
      <w:r w:rsidR="003906C6" w:rsidRPr="00B67D81">
        <w:t xml:space="preserve"> − Consultation </w:t>
      </w:r>
      <w:r w:rsidR="00806AD1" w:rsidRPr="00B67D81">
        <w:t>sur</w:t>
      </w:r>
      <w:r w:rsidR="003906C6" w:rsidRPr="00B67D81">
        <w:t xml:space="preserve"> le changement des dates de l'AMNT-20 et l'</w:t>
      </w:r>
      <w:r w:rsidR="0012369C" w:rsidRPr="00B67D81">
        <w:t>o</w:t>
      </w:r>
      <w:r w:rsidR="003906C6" w:rsidRPr="00B67D81">
        <w:t>rdre du jour de la CMR</w:t>
      </w:r>
      <w:r w:rsidR="0012369C" w:rsidRPr="00B67D81">
        <w:noBreakHyphen/>
      </w:r>
      <w:r w:rsidR="003906C6" w:rsidRPr="00B67D81">
        <w:t>23</w:t>
      </w:r>
    </w:p>
    <w:p w14:paraId="7D3F7E27" w14:textId="77777777" w:rsidR="005C76CF" w:rsidRDefault="00BE3AF8" w:rsidP="005C76CF">
      <w:pPr>
        <w:spacing w:before="80" w:line="240" w:lineRule="auto"/>
        <w:jc w:val="left"/>
      </w:pPr>
      <w:hyperlink w:anchor="An_2" w:history="1">
        <w:r w:rsidR="003906C6" w:rsidRPr="00B67D81">
          <w:rPr>
            <w:rStyle w:val="Hyperlink"/>
          </w:rPr>
          <w:t>Annexe 2</w:t>
        </w:r>
      </w:hyperlink>
      <w:r w:rsidR="003906C6" w:rsidRPr="00B67D81">
        <w:t xml:space="preserve"> − Décision 608 (modifiée en 2020): </w:t>
      </w:r>
      <w:r w:rsidR="00897CA1" w:rsidRPr="00B67D81">
        <w:t>Convocation de la prochaine Assemblée mondiale de normalisation des télécommunications (AMNT-2</w:t>
      </w:r>
      <w:r w:rsidR="0012369C" w:rsidRPr="00B67D81">
        <w:t>1</w:t>
      </w:r>
      <w:r w:rsidR="00897CA1" w:rsidRPr="00B67D81">
        <w:t>)</w:t>
      </w:r>
    </w:p>
    <w:p w14:paraId="1D379EBB" w14:textId="06336893" w:rsidR="003906C6" w:rsidRPr="00B67D81" w:rsidRDefault="00BE3AF8" w:rsidP="005C76CF">
      <w:pPr>
        <w:spacing w:before="80" w:line="240" w:lineRule="auto"/>
        <w:jc w:val="left"/>
      </w:pPr>
      <w:hyperlink w:anchor="An_3" w:history="1">
        <w:r w:rsidR="003906C6" w:rsidRPr="00B67D81">
          <w:rPr>
            <w:rStyle w:val="Hyperlink"/>
          </w:rPr>
          <w:t>Annexe 3</w:t>
        </w:r>
      </w:hyperlink>
      <w:r w:rsidR="003906C6" w:rsidRPr="00B67D81">
        <w:t xml:space="preserve"> − </w:t>
      </w:r>
      <w:r w:rsidR="00897CA1" w:rsidRPr="00B67D81">
        <w:t>Résolution: Ordre du jour de la Conférence mondiale des radiocommunications de 2023 (CMR</w:t>
      </w:r>
      <w:r w:rsidR="00897CA1" w:rsidRPr="00B67D81">
        <w:noBreakHyphen/>
        <w:t>23)</w:t>
      </w:r>
    </w:p>
    <w:p w14:paraId="29DCA85B" w14:textId="77777777" w:rsidR="003906C6" w:rsidRPr="00B67D81" w:rsidRDefault="003906C6" w:rsidP="00B67D81">
      <w:pPr>
        <w:spacing w:line="240" w:lineRule="auto"/>
        <w:jc w:val="left"/>
      </w:pPr>
    </w:p>
    <w:p w14:paraId="118EF818" w14:textId="77777777" w:rsidR="000A249C" w:rsidRPr="00B67D81" w:rsidRDefault="000A249C" w:rsidP="00B67D81">
      <w:pPr>
        <w:tabs>
          <w:tab w:val="clear" w:pos="794"/>
          <w:tab w:val="clear" w:pos="1191"/>
          <w:tab w:val="clear" w:pos="1588"/>
          <w:tab w:val="clear" w:pos="1985"/>
        </w:tabs>
        <w:overflowPunct/>
        <w:autoSpaceDE/>
        <w:autoSpaceDN/>
        <w:adjustRightInd/>
        <w:spacing w:before="0" w:line="240" w:lineRule="auto"/>
        <w:jc w:val="left"/>
        <w:textAlignment w:val="auto"/>
        <w:rPr>
          <w:sz w:val="20"/>
          <w:szCs w:val="20"/>
        </w:rPr>
      </w:pPr>
      <w:r w:rsidRPr="00B67D81">
        <w:rPr>
          <w:sz w:val="20"/>
          <w:szCs w:val="20"/>
        </w:rPr>
        <w:br w:type="page"/>
      </w:r>
    </w:p>
    <w:p w14:paraId="34D0767A" w14:textId="3985BF20" w:rsidR="00EA15B3" w:rsidRPr="00361CF9" w:rsidRDefault="00897CA1" w:rsidP="00B67D81">
      <w:pPr>
        <w:pStyle w:val="AnnexNoTitle"/>
        <w:spacing w:line="240" w:lineRule="auto"/>
        <w:rPr>
          <w:b w:val="0"/>
          <w:sz w:val="28"/>
          <w:szCs w:val="28"/>
        </w:rPr>
      </w:pPr>
      <w:bookmarkStart w:id="7" w:name="Signature"/>
      <w:bookmarkStart w:id="8" w:name="An_1"/>
      <w:bookmarkEnd w:id="7"/>
      <w:r w:rsidRPr="00361CF9">
        <w:rPr>
          <w:b w:val="0"/>
          <w:sz w:val="28"/>
          <w:szCs w:val="28"/>
        </w:rPr>
        <w:lastRenderedPageBreak/>
        <w:t>ANNEXE 1</w:t>
      </w:r>
    </w:p>
    <w:bookmarkEnd w:id="8"/>
    <w:p w14:paraId="5B020038" w14:textId="168200C7" w:rsidR="00897CA1" w:rsidRPr="00361CF9" w:rsidRDefault="00897CA1" w:rsidP="00B67D81">
      <w:pPr>
        <w:pStyle w:val="AnnexNoTitle"/>
        <w:spacing w:before="240" w:line="240" w:lineRule="auto"/>
        <w:rPr>
          <w:sz w:val="28"/>
          <w:szCs w:val="28"/>
        </w:rPr>
      </w:pPr>
      <w:r w:rsidRPr="00361CF9">
        <w:rPr>
          <w:sz w:val="28"/>
          <w:szCs w:val="28"/>
        </w:rPr>
        <w:t xml:space="preserve">Consultation </w:t>
      </w:r>
      <w:r w:rsidR="001B645D" w:rsidRPr="00361CF9">
        <w:rPr>
          <w:sz w:val="28"/>
          <w:szCs w:val="28"/>
        </w:rPr>
        <w:t xml:space="preserve">sur </w:t>
      </w:r>
      <w:r w:rsidRPr="00361CF9">
        <w:rPr>
          <w:sz w:val="28"/>
          <w:szCs w:val="28"/>
        </w:rPr>
        <w:t xml:space="preserve">le changement des dates de l'AMNT-20 et </w:t>
      </w:r>
      <w:r w:rsidRPr="00361CF9">
        <w:rPr>
          <w:sz w:val="28"/>
          <w:szCs w:val="28"/>
        </w:rPr>
        <w:br/>
        <w:t>l'ordre du jour de la CMR-23</w:t>
      </w:r>
    </w:p>
    <w:p w14:paraId="6236F70C" w14:textId="69756A2F" w:rsidR="00897CA1" w:rsidRPr="00361CF9" w:rsidRDefault="00A42565" w:rsidP="005C76CF">
      <w:pPr>
        <w:pStyle w:val="Headingb"/>
        <w:spacing w:before="600" w:after="120" w:line="240" w:lineRule="auto"/>
        <w:rPr>
          <w:sz w:val="24"/>
          <w:szCs w:val="24"/>
        </w:rPr>
      </w:pPr>
      <w:r w:rsidRPr="00361CF9">
        <w:rPr>
          <w:sz w:val="24"/>
          <w:szCs w:val="24"/>
        </w:rPr>
        <w:t xml:space="preserve">Nom de l'État Membre </w:t>
      </w:r>
      <w:r w:rsidR="001B645D" w:rsidRPr="00361CF9">
        <w:rPr>
          <w:sz w:val="24"/>
          <w:szCs w:val="24"/>
        </w:rPr>
        <w:t>de l'UIT</w:t>
      </w:r>
      <w:r w:rsidRPr="00361CF9">
        <w:rPr>
          <w:sz w:val="24"/>
          <w:szCs w:val="24"/>
        </w:rPr>
        <w:t>:</w:t>
      </w:r>
    </w:p>
    <w:tbl>
      <w:tblPr>
        <w:tblStyle w:val="TableGrid"/>
        <w:tblW w:w="9781"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781"/>
      </w:tblGrid>
      <w:tr w:rsidR="00A42565" w:rsidRPr="00B67D81" w14:paraId="5EBAA674" w14:textId="77777777" w:rsidTr="005C76CF">
        <w:trPr>
          <w:trHeight w:val="510"/>
        </w:trPr>
        <w:tc>
          <w:tcPr>
            <w:tcW w:w="9781" w:type="dxa"/>
            <w:tcBorders>
              <w:top w:val="single" w:sz="2" w:space="0" w:color="auto"/>
              <w:left w:val="single" w:sz="2" w:space="0" w:color="auto"/>
              <w:bottom w:val="single" w:sz="2" w:space="0" w:color="auto"/>
              <w:right w:val="single" w:sz="2" w:space="0" w:color="auto"/>
            </w:tcBorders>
            <w:vAlign w:val="center"/>
          </w:tcPr>
          <w:p w14:paraId="6B6A0E7C" w14:textId="77777777" w:rsidR="00A42565" w:rsidRPr="00B67D81" w:rsidRDefault="00A42565" w:rsidP="00B67D81">
            <w:pPr>
              <w:spacing w:before="0" w:line="240" w:lineRule="auto"/>
              <w:jc w:val="left"/>
              <w:rPr>
                <w:b/>
                <w:bCs/>
                <w:color w:val="000000" w:themeColor="text1"/>
                <w:sz w:val="20"/>
                <w:szCs w:val="20"/>
              </w:rPr>
            </w:pPr>
          </w:p>
        </w:tc>
      </w:tr>
    </w:tbl>
    <w:p w14:paraId="39909046" w14:textId="77777777" w:rsidR="00A42565" w:rsidRPr="00B67D81" w:rsidRDefault="00A42565" w:rsidP="00B67D81">
      <w:pPr>
        <w:spacing w:before="0" w:line="240" w:lineRule="auto"/>
        <w:ind w:left="142" w:right="567"/>
        <w:rPr>
          <w:rFonts w:ascii="Calibri Light" w:hAnsi="Calibri Light" w:cs="Calibri Light"/>
          <w:color w:val="000000" w:themeColor="text1"/>
          <w:sz w:val="24"/>
          <w:szCs w:val="24"/>
        </w:rPr>
      </w:pPr>
    </w:p>
    <w:tbl>
      <w:tblPr>
        <w:tblStyle w:val="TableGrid"/>
        <w:tblW w:w="9781" w:type="dxa"/>
        <w:tblInd w:w="-5" w:type="dxa"/>
        <w:tblLook w:val="04A0" w:firstRow="1" w:lastRow="0" w:firstColumn="1" w:lastColumn="0" w:noHBand="0" w:noVBand="1"/>
      </w:tblPr>
      <w:tblGrid>
        <w:gridCol w:w="2410"/>
        <w:gridCol w:w="1276"/>
        <w:gridCol w:w="3402"/>
        <w:gridCol w:w="849"/>
        <w:gridCol w:w="709"/>
        <w:gridCol w:w="1135"/>
      </w:tblGrid>
      <w:tr w:rsidR="00900339" w:rsidRPr="005C76CF" w14:paraId="548ECEEF" w14:textId="2588FEED" w:rsidTr="00307988">
        <w:tc>
          <w:tcPr>
            <w:tcW w:w="2410" w:type="dxa"/>
            <w:tcBorders>
              <w:top w:val="single" w:sz="4" w:space="0" w:color="auto"/>
              <w:left w:val="single" w:sz="4" w:space="0" w:color="auto"/>
              <w:bottom w:val="single" w:sz="4" w:space="0" w:color="auto"/>
              <w:right w:val="single" w:sz="4" w:space="0" w:color="auto"/>
            </w:tcBorders>
            <w:vAlign w:val="center"/>
            <w:hideMark/>
          </w:tcPr>
          <w:p w14:paraId="79FBA8FD" w14:textId="77777777" w:rsidR="00900339" w:rsidRPr="005C76CF" w:rsidRDefault="00900339" w:rsidP="00307988">
            <w:pPr>
              <w:pStyle w:val="Tablehead"/>
            </w:pPr>
            <w:r w:rsidRPr="005C76CF">
              <w:t>Sujet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68EF0C4" w14:textId="344671F5" w:rsidR="00900339" w:rsidRPr="005C76CF" w:rsidRDefault="00900339" w:rsidP="00307988">
            <w:pPr>
              <w:pStyle w:val="Tablehead"/>
            </w:pPr>
            <w:r w:rsidRPr="005C76CF">
              <w:t>N° du document de référence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4B7569B" w14:textId="77777777" w:rsidR="00900339" w:rsidRPr="005C76CF" w:rsidRDefault="00900339" w:rsidP="00307988">
            <w:pPr>
              <w:pStyle w:val="Tablehead"/>
            </w:pPr>
            <w:r w:rsidRPr="005C76CF">
              <w:t>Proposition</w:t>
            </w:r>
          </w:p>
        </w:tc>
        <w:tc>
          <w:tcPr>
            <w:tcW w:w="849" w:type="dxa"/>
            <w:tcBorders>
              <w:top w:val="single" w:sz="4" w:space="0" w:color="auto"/>
              <w:left w:val="single" w:sz="4" w:space="0" w:color="auto"/>
              <w:bottom w:val="single" w:sz="4" w:space="0" w:color="auto"/>
              <w:right w:val="single" w:sz="4" w:space="0" w:color="auto"/>
            </w:tcBorders>
            <w:vAlign w:val="center"/>
            <w:hideMark/>
          </w:tcPr>
          <w:p w14:paraId="38827C7C" w14:textId="77777777" w:rsidR="00900339" w:rsidRPr="005C76CF" w:rsidRDefault="00900339" w:rsidP="00307988">
            <w:pPr>
              <w:pStyle w:val="Tablehead"/>
            </w:pPr>
            <w:r w:rsidRPr="005C76CF">
              <w:t>Oui</w:t>
            </w:r>
          </w:p>
        </w:tc>
        <w:tc>
          <w:tcPr>
            <w:tcW w:w="709" w:type="dxa"/>
            <w:tcBorders>
              <w:top w:val="single" w:sz="4" w:space="0" w:color="auto"/>
              <w:left w:val="single" w:sz="4" w:space="0" w:color="auto"/>
              <w:bottom w:val="single" w:sz="4" w:space="0" w:color="auto"/>
              <w:right w:val="single" w:sz="4" w:space="0" w:color="auto"/>
            </w:tcBorders>
            <w:vAlign w:val="center"/>
            <w:hideMark/>
          </w:tcPr>
          <w:p w14:paraId="00EE6469" w14:textId="77777777" w:rsidR="00900339" w:rsidRPr="005C76CF" w:rsidRDefault="00900339" w:rsidP="00307988">
            <w:pPr>
              <w:pStyle w:val="Tablehead"/>
            </w:pPr>
            <w:r w:rsidRPr="005C76CF">
              <w:t>Non</w:t>
            </w:r>
          </w:p>
        </w:tc>
        <w:tc>
          <w:tcPr>
            <w:tcW w:w="1135" w:type="dxa"/>
            <w:tcBorders>
              <w:top w:val="single" w:sz="4" w:space="0" w:color="auto"/>
              <w:left w:val="single" w:sz="4" w:space="0" w:color="auto"/>
              <w:bottom w:val="single" w:sz="4" w:space="0" w:color="auto"/>
              <w:right w:val="single" w:sz="4" w:space="0" w:color="auto"/>
            </w:tcBorders>
            <w:vAlign w:val="center"/>
          </w:tcPr>
          <w:p w14:paraId="13A88BAA" w14:textId="716F4710" w:rsidR="00900339" w:rsidRPr="005C76CF" w:rsidRDefault="00900339" w:rsidP="00307988">
            <w:pPr>
              <w:pStyle w:val="Tablehead"/>
            </w:pPr>
            <w:r>
              <w:t>Abstention</w:t>
            </w:r>
          </w:p>
        </w:tc>
      </w:tr>
      <w:tr w:rsidR="00900339" w:rsidRPr="00B67D81" w14:paraId="29E14699" w14:textId="4402A9C3" w:rsidTr="00900339">
        <w:tc>
          <w:tcPr>
            <w:tcW w:w="2410" w:type="dxa"/>
            <w:tcBorders>
              <w:top w:val="single" w:sz="4" w:space="0" w:color="auto"/>
              <w:left w:val="single" w:sz="4" w:space="0" w:color="auto"/>
              <w:bottom w:val="single" w:sz="4" w:space="0" w:color="auto"/>
              <w:right w:val="single" w:sz="4" w:space="0" w:color="auto"/>
            </w:tcBorders>
            <w:hideMark/>
          </w:tcPr>
          <w:p w14:paraId="05A588E9" w14:textId="458CB27D" w:rsidR="00900339" w:rsidRPr="00B67D81" w:rsidRDefault="00900339" w:rsidP="00B67D81">
            <w:pPr>
              <w:pStyle w:val="Tabletext"/>
            </w:pPr>
            <w:r>
              <w:t>Changements des dates de </w:t>
            </w:r>
            <w:r w:rsidRPr="00B67D81">
              <w:t>l'AMNT-20</w:t>
            </w:r>
          </w:p>
        </w:tc>
        <w:tc>
          <w:tcPr>
            <w:tcW w:w="1276" w:type="dxa"/>
            <w:tcBorders>
              <w:top w:val="single" w:sz="4" w:space="0" w:color="auto"/>
              <w:left w:val="single" w:sz="4" w:space="0" w:color="auto"/>
              <w:bottom w:val="single" w:sz="4" w:space="0" w:color="auto"/>
              <w:right w:val="single" w:sz="4" w:space="0" w:color="auto"/>
            </w:tcBorders>
          </w:tcPr>
          <w:p w14:paraId="2993608A" w14:textId="6C3DC24F" w:rsidR="00900339" w:rsidRPr="00B67D81" w:rsidRDefault="00BE3AF8" w:rsidP="00B67D81">
            <w:pPr>
              <w:pStyle w:val="Tabletext"/>
              <w:jc w:val="center"/>
            </w:pPr>
            <w:hyperlink r:id="rId13" w:history="1">
              <w:r w:rsidR="00900339" w:rsidRPr="00B67D81">
                <w:rPr>
                  <w:rStyle w:val="Hyperlink"/>
                </w:rPr>
                <w:t>C20/72</w:t>
              </w:r>
            </w:hyperlink>
          </w:p>
        </w:tc>
        <w:tc>
          <w:tcPr>
            <w:tcW w:w="3402" w:type="dxa"/>
            <w:tcBorders>
              <w:top w:val="single" w:sz="4" w:space="0" w:color="auto"/>
              <w:left w:val="single" w:sz="4" w:space="0" w:color="auto"/>
              <w:bottom w:val="single" w:sz="4" w:space="0" w:color="auto"/>
              <w:right w:val="single" w:sz="4" w:space="0" w:color="auto"/>
            </w:tcBorders>
            <w:hideMark/>
          </w:tcPr>
          <w:p w14:paraId="15EB4E80" w14:textId="0D3FA400" w:rsidR="00900339" w:rsidRPr="00B67D81" w:rsidRDefault="00900339" w:rsidP="00B67D81">
            <w:pPr>
              <w:pStyle w:val="Tabletext"/>
            </w:pPr>
            <w:r w:rsidRPr="00B67D81">
              <w:t>Approuver le changement des dates de l'AMNT-20 pour que cette Assemblée se tienne du 23 février au 5 mars 2021 en faisant part de votre accord concernant la Décision 608 modifiée reproduite dans l'Annexe 2</w:t>
            </w:r>
          </w:p>
        </w:tc>
        <w:tc>
          <w:tcPr>
            <w:tcW w:w="849" w:type="dxa"/>
            <w:tcBorders>
              <w:top w:val="single" w:sz="4" w:space="0" w:color="auto"/>
              <w:left w:val="single" w:sz="4" w:space="0" w:color="auto"/>
              <w:bottom w:val="single" w:sz="4" w:space="0" w:color="auto"/>
              <w:right w:val="single" w:sz="4" w:space="0" w:color="auto"/>
            </w:tcBorders>
          </w:tcPr>
          <w:p w14:paraId="7F2F3919" w14:textId="77777777" w:rsidR="00900339" w:rsidRPr="00B67D81" w:rsidRDefault="00900339" w:rsidP="00B67D81">
            <w:pPr>
              <w:pStyle w:val="Tabletext"/>
            </w:pPr>
          </w:p>
        </w:tc>
        <w:tc>
          <w:tcPr>
            <w:tcW w:w="709" w:type="dxa"/>
            <w:tcBorders>
              <w:top w:val="single" w:sz="4" w:space="0" w:color="auto"/>
              <w:left w:val="single" w:sz="4" w:space="0" w:color="auto"/>
              <w:bottom w:val="single" w:sz="4" w:space="0" w:color="auto"/>
              <w:right w:val="single" w:sz="4" w:space="0" w:color="auto"/>
            </w:tcBorders>
          </w:tcPr>
          <w:p w14:paraId="51AE618D" w14:textId="77777777" w:rsidR="00900339" w:rsidRPr="00B67D81" w:rsidRDefault="00900339" w:rsidP="00B67D81">
            <w:pPr>
              <w:pStyle w:val="Tabletext"/>
            </w:pPr>
          </w:p>
        </w:tc>
        <w:tc>
          <w:tcPr>
            <w:tcW w:w="1135" w:type="dxa"/>
            <w:tcBorders>
              <w:top w:val="single" w:sz="4" w:space="0" w:color="auto"/>
              <w:left w:val="single" w:sz="4" w:space="0" w:color="auto"/>
              <w:bottom w:val="single" w:sz="4" w:space="0" w:color="auto"/>
              <w:right w:val="single" w:sz="4" w:space="0" w:color="auto"/>
            </w:tcBorders>
          </w:tcPr>
          <w:p w14:paraId="35376FBD" w14:textId="77777777" w:rsidR="00900339" w:rsidRPr="00B67D81" w:rsidRDefault="00900339" w:rsidP="00B67D81">
            <w:pPr>
              <w:pStyle w:val="Tabletext"/>
            </w:pPr>
          </w:p>
        </w:tc>
      </w:tr>
      <w:tr w:rsidR="00900339" w:rsidRPr="00B67D81" w14:paraId="66681FC5" w14:textId="2AC66D98" w:rsidTr="00900339">
        <w:tc>
          <w:tcPr>
            <w:tcW w:w="2410" w:type="dxa"/>
            <w:tcBorders>
              <w:top w:val="single" w:sz="4" w:space="0" w:color="auto"/>
              <w:left w:val="single" w:sz="4" w:space="0" w:color="auto"/>
              <w:bottom w:val="single" w:sz="4" w:space="0" w:color="auto"/>
              <w:right w:val="single" w:sz="4" w:space="0" w:color="auto"/>
            </w:tcBorders>
            <w:hideMark/>
          </w:tcPr>
          <w:p w14:paraId="425E3665" w14:textId="77777777" w:rsidR="00900339" w:rsidRPr="00B67D81" w:rsidRDefault="00900339" w:rsidP="00B67D81">
            <w:pPr>
              <w:pStyle w:val="Tabletext"/>
            </w:pPr>
            <w:r w:rsidRPr="00B67D81">
              <w:t>Conférence mondiale des radiocommunications de 2023</w:t>
            </w:r>
          </w:p>
        </w:tc>
        <w:tc>
          <w:tcPr>
            <w:tcW w:w="1276" w:type="dxa"/>
            <w:tcBorders>
              <w:top w:val="single" w:sz="4" w:space="0" w:color="auto"/>
              <w:left w:val="single" w:sz="4" w:space="0" w:color="auto"/>
              <w:bottom w:val="single" w:sz="4" w:space="0" w:color="auto"/>
              <w:right w:val="single" w:sz="4" w:space="0" w:color="auto"/>
            </w:tcBorders>
          </w:tcPr>
          <w:p w14:paraId="3359A03A" w14:textId="35AA6552" w:rsidR="00900339" w:rsidRPr="00B67D81" w:rsidRDefault="00BE3AF8" w:rsidP="00B67D81">
            <w:pPr>
              <w:pStyle w:val="Tabletext"/>
              <w:jc w:val="center"/>
            </w:pPr>
            <w:hyperlink r:id="rId14" w:history="1">
              <w:r w:rsidR="00900339" w:rsidRPr="00B67D81">
                <w:rPr>
                  <w:rStyle w:val="Hyperlink"/>
                </w:rPr>
                <w:t>C20/69</w:t>
              </w:r>
            </w:hyperlink>
          </w:p>
        </w:tc>
        <w:tc>
          <w:tcPr>
            <w:tcW w:w="3402" w:type="dxa"/>
            <w:tcBorders>
              <w:top w:val="single" w:sz="4" w:space="0" w:color="auto"/>
              <w:left w:val="single" w:sz="4" w:space="0" w:color="auto"/>
              <w:bottom w:val="single" w:sz="4" w:space="0" w:color="auto"/>
              <w:right w:val="single" w:sz="4" w:space="0" w:color="auto"/>
            </w:tcBorders>
            <w:hideMark/>
          </w:tcPr>
          <w:p w14:paraId="10649B41" w14:textId="07F3EBF0" w:rsidR="00900339" w:rsidRPr="00B67D81" w:rsidRDefault="00900339" w:rsidP="00B67D81">
            <w:pPr>
              <w:pStyle w:val="Tabletext"/>
            </w:pPr>
            <w:r w:rsidRPr="00B67D81">
              <w:t>Approuver l'ordre du jour de la CMR-23 en faisant part de votre accord concernant la Résolution 1399 reproduite dans l'Annexe 3</w:t>
            </w:r>
          </w:p>
        </w:tc>
        <w:tc>
          <w:tcPr>
            <w:tcW w:w="849" w:type="dxa"/>
            <w:tcBorders>
              <w:top w:val="single" w:sz="4" w:space="0" w:color="auto"/>
              <w:left w:val="single" w:sz="4" w:space="0" w:color="auto"/>
              <w:bottom w:val="single" w:sz="4" w:space="0" w:color="auto"/>
              <w:right w:val="single" w:sz="4" w:space="0" w:color="auto"/>
            </w:tcBorders>
          </w:tcPr>
          <w:p w14:paraId="7EA4B958" w14:textId="77777777" w:rsidR="00900339" w:rsidRPr="00B67D81" w:rsidRDefault="00900339" w:rsidP="00B67D81">
            <w:pPr>
              <w:pStyle w:val="Tabletext"/>
            </w:pPr>
          </w:p>
        </w:tc>
        <w:tc>
          <w:tcPr>
            <w:tcW w:w="709" w:type="dxa"/>
            <w:tcBorders>
              <w:top w:val="single" w:sz="4" w:space="0" w:color="auto"/>
              <w:left w:val="single" w:sz="4" w:space="0" w:color="auto"/>
              <w:bottom w:val="single" w:sz="4" w:space="0" w:color="auto"/>
              <w:right w:val="single" w:sz="4" w:space="0" w:color="auto"/>
            </w:tcBorders>
          </w:tcPr>
          <w:p w14:paraId="10674FAB" w14:textId="77777777" w:rsidR="00900339" w:rsidRPr="00B67D81" w:rsidRDefault="00900339" w:rsidP="00B67D81">
            <w:pPr>
              <w:pStyle w:val="Tabletext"/>
            </w:pPr>
          </w:p>
        </w:tc>
        <w:tc>
          <w:tcPr>
            <w:tcW w:w="1135" w:type="dxa"/>
            <w:tcBorders>
              <w:top w:val="single" w:sz="4" w:space="0" w:color="auto"/>
              <w:left w:val="single" w:sz="4" w:space="0" w:color="auto"/>
              <w:bottom w:val="single" w:sz="4" w:space="0" w:color="auto"/>
              <w:right w:val="single" w:sz="4" w:space="0" w:color="auto"/>
            </w:tcBorders>
          </w:tcPr>
          <w:p w14:paraId="19672215" w14:textId="77777777" w:rsidR="00900339" w:rsidRPr="00B67D81" w:rsidRDefault="00900339" w:rsidP="00B67D81">
            <w:pPr>
              <w:pStyle w:val="Tabletext"/>
            </w:pPr>
          </w:p>
        </w:tc>
      </w:tr>
    </w:tbl>
    <w:p w14:paraId="099CD554" w14:textId="182F0ADC" w:rsidR="00A42565" w:rsidRPr="005C76CF" w:rsidRDefault="00A42565" w:rsidP="00B67D81">
      <w:pPr>
        <w:spacing w:line="240" w:lineRule="auto"/>
        <w:jc w:val="left"/>
        <w:rPr>
          <w:rFonts w:asciiTheme="minorHAnsi" w:hAnsiTheme="minorHAnsi" w:cstheme="minorHAnsi"/>
          <w:color w:val="000000" w:themeColor="text1"/>
          <w:sz w:val="24"/>
          <w:szCs w:val="24"/>
        </w:rPr>
      </w:pPr>
      <w:r w:rsidRPr="005C76CF">
        <w:rPr>
          <w:rFonts w:asciiTheme="minorHAnsi" w:hAnsiTheme="minorHAnsi" w:cstheme="minorHAnsi"/>
          <w:color w:val="000000" w:themeColor="text1"/>
          <w:sz w:val="24"/>
          <w:szCs w:val="24"/>
        </w:rPr>
        <w:t xml:space="preserve">Les </w:t>
      </w:r>
      <w:r w:rsidR="00CA31C2" w:rsidRPr="005C76CF">
        <w:rPr>
          <w:rFonts w:asciiTheme="minorHAnsi" w:hAnsiTheme="minorHAnsi" w:cstheme="minorHAnsi"/>
          <w:color w:val="000000" w:themeColor="text1"/>
          <w:sz w:val="24"/>
          <w:szCs w:val="24"/>
        </w:rPr>
        <w:t xml:space="preserve">coordonnateurs </w:t>
      </w:r>
      <w:r w:rsidRPr="005C76CF">
        <w:rPr>
          <w:rFonts w:asciiTheme="minorHAnsi" w:hAnsiTheme="minorHAnsi" w:cstheme="minorHAnsi"/>
          <w:color w:val="000000" w:themeColor="text1"/>
          <w:sz w:val="24"/>
          <w:szCs w:val="24"/>
        </w:rPr>
        <w:t xml:space="preserve">sont invités à envoyer leur réponse par courrier électronique à l'adresse </w:t>
      </w:r>
      <w:hyperlink r:id="rId15" w:history="1">
        <w:r w:rsidRPr="005C76CF">
          <w:rPr>
            <w:rStyle w:val="Hyperlink"/>
            <w:rFonts w:asciiTheme="minorHAnsi" w:hAnsiTheme="minorHAnsi" w:cstheme="minorHAnsi"/>
            <w:sz w:val="24"/>
            <w:szCs w:val="24"/>
          </w:rPr>
          <w:t>memberstates@itu.int</w:t>
        </w:r>
      </w:hyperlink>
      <w:r w:rsidRPr="005C76CF">
        <w:rPr>
          <w:rStyle w:val="Hyperlink"/>
          <w:rFonts w:asciiTheme="minorHAnsi" w:hAnsiTheme="minorHAnsi" w:cstheme="minorHAnsi"/>
          <w:color w:val="auto"/>
          <w:sz w:val="24"/>
          <w:szCs w:val="24"/>
          <w:u w:val="none"/>
        </w:rPr>
        <w:t xml:space="preserve"> </w:t>
      </w:r>
      <w:r w:rsidRPr="005C76CF">
        <w:rPr>
          <w:rFonts w:asciiTheme="minorHAnsi" w:hAnsiTheme="minorHAnsi" w:cstheme="minorHAnsi"/>
          <w:b/>
          <w:bCs/>
          <w:color w:val="000000" w:themeColor="text1"/>
          <w:sz w:val="24"/>
          <w:szCs w:val="24"/>
        </w:rPr>
        <w:t>au plus tard le 31 août 2020</w:t>
      </w:r>
      <w:r w:rsidRPr="005C76CF">
        <w:rPr>
          <w:rFonts w:asciiTheme="minorHAnsi" w:hAnsiTheme="minorHAnsi" w:cstheme="minorHAnsi"/>
          <w:color w:val="000000" w:themeColor="text1"/>
          <w:sz w:val="24"/>
          <w:szCs w:val="24"/>
        </w:rPr>
        <w:t>.</w:t>
      </w:r>
    </w:p>
    <w:p w14:paraId="1A95A4C6" w14:textId="79DF03BD" w:rsidR="00897CA1" w:rsidRPr="005C76CF" w:rsidRDefault="00897CA1" w:rsidP="00B67D81">
      <w:pPr>
        <w:spacing w:line="240" w:lineRule="auto"/>
        <w:rPr>
          <w:sz w:val="24"/>
          <w:szCs w:val="24"/>
        </w:rPr>
      </w:pPr>
    </w:p>
    <w:p w14:paraId="7B9F5242" w14:textId="5E12EC8E" w:rsidR="00897CA1" w:rsidRPr="00B67D81" w:rsidRDefault="00897CA1" w:rsidP="00B67D81">
      <w:pPr>
        <w:tabs>
          <w:tab w:val="clear" w:pos="794"/>
          <w:tab w:val="clear" w:pos="1191"/>
          <w:tab w:val="clear" w:pos="1588"/>
          <w:tab w:val="clear" w:pos="1985"/>
        </w:tabs>
        <w:overflowPunct/>
        <w:autoSpaceDE/>
        <w:autoSpaceDN/>
        <w:adjustRightInd/>
        <w:spacing w:before="0" w:line="240" w:lineRule="auto"/>
        <w:jc w:val="left"/>
        <w:textAlignment w:val="auto"/>
      </w:pPr>
      <w:r w:rsidRPr="00B67D81">
        <w:br w:type="page"/>
      </w:r>
    </w:p>
    <w:p w14:paraId="1709D975" w14:textId="44978471" w:rsidR="00897CA1" w:rsidRPr="00361CF9" w:rsidRDefault="00897CA1" w:rsidP="00B67D81">
      <w:pPr>
        <w:pStyle w:val="AnnexNoTitle"/>
        <w:spacing w:line="240" w:lineRule="auto"/>
        <w:rPr>
          <w:b w:val="0"/>
          <w:sz w:val="28"/>
          <w:szCs w:val="28"/>
        </w:rPr>
      </w:pPr>
      <w:bookmarkStart w:id="9" w:name="An_2"/>
      <w:r w:rsidRPr="00361CF9">
        <w:rPr>
          <w:b w:val="0"/>
          <w:sz w:val="28"/>
          <w:szCs w:val="28"/>
        </w:rPr>
        <w:lastRenderedPageBreak/>
        <w:t>ANNEXE 2</w:t>
      </w:r>
      <w:bookmarkEnd w:id="9"/>
    </w:p>
    <w:p w14:paraId="03C0AC09" w14:textId="34DE1422" w:rsidR="00897CA1" w:rsidRPr="002C6230" w:rsidRDefault="00897CA1" w:rsidP="00361CF9">
      <w:pPr>
        <w:spacing w:before="360" w:line="240" w:lineRule="auto"/>
        <w:rPr>
          <w:sz w:val="24"/>
          <w:szCs w:val="24"/>
        </w:rPr>
      </w:pPr>
      <w:bookmarkStart w:id="10" w:name="lt_pId070"/>
      <w:r w:rsidRPr="002C6230">
        <w:rPr>
          <w:i/>
          <w:iCs/>
          <w:sz w:val="24"/>
          <w:szCs w:val="24"/>
        </w:rPr>
        <w:t>Référence:</w:t>
      </w:r>
      <w:bookmarkEnd w:id="10"/>
      <w:r w:rsidRPr="002C6230">
        <w:rPr>
          <w:i/>
          <w:iCs/>
          <w:sz w:val="24"/>
          <w:szCs w:val="24"/>
        </w:rPr>
        <w:t xml:space="preserve"> </w:t>
      </w:r>
      <w:hyperlink r:id="rId16" w:history="1">
        <w:bookmarkStart w:id="11" w:name="lt_pId071"/>
        <w:r w:rsidRPr="002C6230">
          <w:rPr>
            <w:rStyle w:val="Hyperlink"/>
            <w:i/>
            <w:iCs/>
            <w:sz w:val="24"/>
            <w:szCs w:val="24"/>
          </w:rPr>
          <w:t>Document C20/72</w:t>
        </w:r>
        <w:bookmarkEnd w:id="11"/>
      </w:hyperlink>
    </w:p>
    <w:p w14:paraId="57744099" w14:textId="77777777" w:rsidR="00897CA1" w:rsidRPr="00B67D81" w:rsidRDefault="00897CA1" w:rsidP="005C76CF">
      <w:pPr>
        <w:pStyle w:val="ResNo"/>
        <w:spacing w:before="480" w:line="240" w:lineRule="auto"/>
      </w:pPr>
      <w:r w:rsidRPr="00B67D81">
        <w:t>Décision 608 (MODIFIée en 2020)</w:t>
      </w:r>
    </w:p>
    <w:p w14:paraId="21DF1523" w14:textId="77777777" w:rsidR="00897CA1" w:rsidRPr="00B67D81" w:rsidRDefault="00897CA1" w:rsidP="00B67D81">
      <w:pPr>
        <w:pStyle w:val="Restitle"/>
        <w:spacing w:before="120"/>
        <w:rPr>
          <w:b w:val="0"/>
          <w:bCs/>
        </w:rPr>
      </w:pPr>
      <w:r w:rsidRPr="00B67D81">
        <w:rPr>
          <w:b w:val="0"/>
          <w:bCs/>
        </w:rPr>
        <w:t>(modifiée par correspondance)</w:t>
      </w:r>
    </w:p>
    <w:p w14:paraId="063A943E" w14:textId="77777777" w:rsidR="00897CA1" w:rsidRPr="00B67D81" w:rsidRDefault="00897CA1" w:rsidP="00B67D81">
      <w:pPr>
        <w:pStyle w:val="Restitle"/>
      </w:pPr>
      <w:r w:rsidRPr="00B67D81">
        <w:t>Convocation de la prochaine Assemblée mondiale de normalisation des télécommunications (AMNT-21)</w:t>
      </w:r>
    </w:p>
    <w:p w14:paraId="1055CEAA" w14:textId="77777777" w:rsidR="00897CA1" w:rsidRPr="005C76CF" w:rsidRDefault="00897CA1" w:rsidP="00B67D81">
      <w:pPr>
        <w:pStyle w:val="Normalaftertitle0"/>
        <w:spacing w:before="480"/>
        <w:rPr>
          <w:rFonts w:asciiTheme="minorHAnsi" w:hAnsiTheme="minorHAnsi" w:cstheme="minorHAnsi"/>
          <w:szCs w:val="24"/>
          <w:lang w:val="fr-FR"/>
        </w:rPr>
      </w:pPr>
      <w:r w:rsidRPr="005C76CF">
        <w:rPr>
          <w:rFonts w:asciiTheme="minorHAnsi" w:hAnsiTheme="minorHAnsi" w:cstheme="minorHAnsi"/>
          <w:szCs w:val="24"/>
          <w:lang w:val="fr-FR"/>
        </w:rPr>
        <w:t>Le Conseil de l'UIT,</w:t>
      </w:r>
    </w:p>
    <w:p w14:paraId="46E615D1" w14:textId="77777777" w:rsidR="00897CA1" w:rsidRPr="005C76CF" w:rsidRDefault="00897CA1" w:rsidP="005C76CF">
      <w:pPr>
        <w:pStyle w:val="Call"/>
        <w:spacing w:before="160" w:line="240" w:lineRule="auto"/>
        <w:rPr>
          <w:sz w:val="24"/>
          <w:szCs w:val="24"/>
        </w:rPr>
      </w:pPr>
      <w:r w:rsidRPr="005C76CF">
        <w:rPr>
          <w:sz w:val="24"/>
          <w:szCs w:val="24"/>
        </w:rPr>
        <w:t>notant</w:t>
      </w:r>
    </w:p>
    <w:p w14:paraId="03DFC666" w14:textId="77777777" w:rsidR="00897CA1" w:rsidRPr="005C76CF" w:rsidRDefault="00897CA1" w:rsidP="005C76CF">
      <w:pPr>
        <w:spacing w:before="120" w:line="240" w:lineRule="auto"/>
        <w:jc w:val="left"/>
        <w:rPr>
          <w:sz w:val="24"/>
          <w:szCs w:val="24"/>
        </w:rPr>
      </w:pPr>
      <w:r w:rsidRPr="005C76CF">
        <w:rPr>
          <w:i/>
          <w:iCs/>
          <w:sz w:val="24"/>
          <w:szCs w:val="24"/>
        </w:rPr>
        <w:t>a)</w:t>
      </w:r>
      <w:r w:rsidRPr="005C76CF">
        <w:rPr>
          <w:i/>
          <w:iCs/>
          <w:sz w:val="24"/>
          <w:szCs w:val="24"/>
        </w:rPr>
        <w:tab/>
      </w:r>
      <w:r w:rsidRPr="005C76CF">
        <w:rPr>
          <w:sz w:val="24"/>
          <w:szCs w:val="24"/>
        </w:rPr>
        <w:t>que l'AMNT-20 devait avoir lieu le dernier trimestre de 2020, conformément à la Résolution 77 (Rév. Dubaï, 2018) de la Conférence de plénipotentiaires sur la planification et la durée des conférences, forums, assemblées et sessions du Conseil de l'Union (2019-2023);</w:t>
      </w:r>
    </w:p>
    <w:p w14:paraId="3ACAF7DE" w14:textId="77777777" w:rsidR="00897CA1" w:rsidRPr="005C76CF" w:rsidRDefault="00897CA1" w:rsidP="005C76CF">
      <w:pPr>
        <w:spacing w:before="120" w:line="240" w:lineRule="auto"/>
        <w:jc w:val="left"/>
        <w:rPr>
          <w:sz w:val="24"/>
          <w:szCs w:val="24"/>
        </w:rPr>
      </w:pPr>
      <w:r w:rsidRPr="005C76CF">
        <w:rPr>
          <w:i/>
          <w:iCs/>
          <w:sz w:val="24"/>
          <w:szCs w:val="24"/>
        </w:rPr>
        <w:t>b)</w:t>
      </w:r>
      <w:r w:rsidRPr="005C76CF">
        <w:rPr>
          <w:i/>
          <w:iCs/>
          <w:sz w:val="24"/>
          <w:szCs w:val="24"/>
        </w:rPr>
        <w:tab/>
      </w:r>
      <w:r w:rsidRPr="005C76CF">
        <w:rPr>
          <w:sz w:val="24"/>
          <w:szCs w:val="24"/>
        </w:rPr>
        <w:t xml:space="preserve">que, conformément à la </w:t>
      </w:r>
      <w:hyperlink r:id="rId17" w:history="1">
        <w:r w:rsidRPr="005C76CF">
          <w:rPr>
            <w:rStyle w:val="Hyperlink"/>
            <w:sz w:val="24"/>
            <w:szCs w:val="24"/>
          </w:rPr>
          <w:t>Décision 608</w:t>
        </w:r>
      </w:hyperlink>
      <w:r w:rsidRPr="005C76CF">
        <w:rPr>
          <w:sz w:val="24"/>
          <w:szCs w:val="24"/>
        </w:rPr>
        <w:t xml:space="preserve"> adoptée par le Conseil à sa session de 2019, il a été décidé d'organiser la prochaine AMNT à Hyderabad (Inde), du 16 au 27 novembre 2020,</w:t>
      </w:r>
    </w:p>
    <w:p w14:paraId="1793DE10" w14:textId="77777777" w:rsidR="00897CA1" w:rsidRPr="005C76CF" w:rsidRDefault="00897CA1" w:rsidP="005C76CF">
      <w:pPr>
        <w:pStyle w:val="Call"/>
        <w:spacing w:before="160" w:line="240" w:lineRule="auto"/>
        <w:rPr>
          <w:sz w:val="24"/>
          <w:szCs w:val="24"/>
        </w:rPr>
      </w:pPr>
      <w:r w:rsidRPr="005C76CF">
        <w:rPr>
          <w:sz w:val="24"/>
          <w:szCs w:val="24"/>
        </w:rPr>
        <w:t>notant en outre</w:t>
      </w:r>
    </w:p>
    <w:p w14:paraId="1EBABA32" w14:textId="77777777" w:rsidR="00897CA1" w:rsidRPr="005C76CF" w:rsidRDefault="00897CA1" w:rsidP="005C76CF">
      <w:pPr>
        <w:spacing w:before="120" w:line="240" w:lineRule="auto"/>
        <w:jc w:val="left"/>
        <w:rPr>
          <w:color w:val="000000"/>
          <w:sz w:val="24"/>
          <w:szCs w:val="24"/>
        </w:rPr>
      </w:pPr>
      <w:r w:rsidRPr="005C76CF">
        <w:rPr>
          <w:i/>
          <w:iCs/>
          <w:sz w:val="24"/>
          <w:szCs w:val="24"/>
        </w:rPr>
        <w:t>a)</w:t>
      </w:r>
      <w:r w:rsidRPr="005C76CF">
        <w:rPr>
          <w:i/>
          <w:iCs/>
          <w:sz w:val="24"/>
          <w:szCs w:val="24"/>
        </w:rPr>
        <w:tab/>
      </w:r>
      <w:r w:rsidRPr="005C76CF">
        <w:rPr>
          <w:color w:val="000000"/>
          <w:sz w:val="24"/>
          <w:szCs w:val="24"/>
        </w:rPr>
        <w:t xml:space="preserve">que la </w:t>
      </w:r>
      <w:hyperlink r:id="rId18" w:history="1">
        <w:r w:rsidRPr="005C76CF">
          <w:rPr>
            <w:rStyle w:val="Hyperlink"/>
            <w:sz w:val="24"/>
            <w:szCs w:val="24"/>
          </w:rPr>
          <w:t>consultation</w:t>
        </w:r>
      </w:hyperlink>
      <w:r w:rsidRPr="005C76CF">
        <w:rPr>
          <w:color w:val="000000"/>
          <w:sz w:val="24"/>
          <w:szCs w:val="24"/>
        </w:rPr>
        <w:t xml:space="preserve"> menée aux termes de la </w:t>
      </w:r>
      <w:hyperlink r:id="rId19" w:history="1">
        <w:r w:rsidRPr="005C76CF">
          <w:rPr>
            <w:rStyle w:val="Hyperlink"/>
            <w:sz w:val="24"/>
            <w:szCs w:val="24"/>
          </w:rPr>
          <w:t>Lettre circulaire N° 19/33</w:t>
        </w:r>
      </w:hyperlink>
      <w:r w:rsidRPr="005C76CF">
        <w:rPr>
          <w:color w:val="000000"/>
          <w:sz w:val="24"/>
          <w:szCs w:val="24"/>
        </w:rPr>
        <w:t xml:space="preserve"> relative au lieu précis et aux dates exactes de la prochaine AMNT a reçu l'accord de la majorité requise des États Membres de l'UIT, conformément au numéro 47 de la Convention de l'UIT;</w:t>
      </w:r>
    </w:p>
    <w:p w14:paraId="7C85D458" w14:textId="77777777" w:rsidR="00897CA1" w:rsidRPr="005C76CF" w:rsidRDefault="00897CA1" w:rsidP="005C76CF">
      <w:pPr>
        <w:spacing w:before="120" w:line="240" w:lineRule="auto"/>
        <w:jc w:val="left"/>
        <w:rPr>
          <w:sz w:val="24"/>
          <w:szCs w:val="24"/>
        </w:rPr>
      </w:pPr>
      <w:r w:rsidRPr="005C76CF">
        <w:rPr>
          <w:i/>
          <w:iCs/>
          <w:color w:val="000000"/>
          <w:sz w:val="24"/>
          <w:szCs w:val="24"/>
        </w:rPr>
        <w:t>b)</w:t>
      </w:r>
      <w:r w:rsidRPr="005C76CF">
        <w:rPr>
          <w:i/>
          <w:iCs/>
          <w:color w:val="000000"/>
          <w:sz w:val="24"/>
          <w:szCs w:val="24"/>
        </w:rPr>
        <w:tab/>
      </w:r>
      <w:r w:rsidRPr="005C76CF">
        <w:rPr>
          <w:color w:val="000000"/>
          <w:sz w:val="24"/>
          <w:szCs w:val="24"/>
        </w:rPr>
        <w:t>qu'en raison des restrictions de travail et de voyage liées à la pandémie de COVID-19, l'Administration indienne a proposé de reporter la prochaine AMNT pour qu'elle se tienne du 23 février au 5 mars 2021, après le Colloque mondial sur la normalisation qui aura lieu le 22 février 2021 et sous réserve du rétablissement de conditions de travail et de voyage normales en Inde et dans les autres États Membres,</w:t>
      </w:r>
    </w:p>
    <w:p w14:paraId="35303F69" w14:textId="77777777" w:rsidR="00897CA1" w:rsidRPr="005C76CF" w:rsidRDefault="00897CA1" w:rsidP="005C76CF">
      <w:pPr>
        <w:pStyle w:val="Call"/>
        <w:spacing w:before="160" w:line="240" w:lineRule="auto"/>
        <w:rPr>
          <w:sz w:val="24"/>
          <w:szCs w:val="24"/>
        </w:rPr>
      </w:pPr>
      <w:r w:rsidRPr="005C76CF">
        <w:rPr>
          <w:sz w:val="24"/>
          <w:szCs w:val="24"/>
        </w:rPr>
        <w:t>décide</w:t>
      </w:r>
    </w:p>
    <w:p w14:paraId="16FD7A56" w14:textId="77777777" w:rsidR="00897CA1" w:rsidRPr="005C76CF" w:rsidRDefault="00897CA1" w:rsidP="005C76CF">
      <w:pPr>
        <w:spacing w:before="120" w:line="240" w:lineRule="auto"/>
        <w:jc w:val="left"/>
        <w:rPr>
          <w:sz w:val="24"/>
          <w:szCs w:val="24"/>
        </w:rPr>
      </w:pPr>
      <w:r w:rsidRPr="005C76CF">
        <w:rPr>
          <w:sz w:val="24"/>
          <w:szCs w:val="24"/>
        </w:rPr>
        <w:t xml:space="preserve">que, sous réserve de l'accord de la majorité des États Membres de l'Union, la prochaine Assemblée mondiale de normalisation des télécommunications (AMNT-21) se tiendra à Hyderabad (Inde), du 23 </w:t>
      </w:r>
      <w:r w:rsidRPr="005C76CF">
        <w:rPr>
          <w:color w:val="000000"/>
          <w:sz w:val="24"/>
          <w:szCs w:val="24"/>
        </w:rPr>
        <w:t>février au 5 mars 2021, après le Colloque mondial sur la normalisation qui aura lieu le 22 février 2021 et sous réserve du rétablissement de conditions de travail et de voyage normales en Inde et dans les autres États Membres</w:t>
      </w:r>
      <w:r w:rsidRPr="005C76CF">
        <w:rPr>
          <w:sz w:val="24"/>
          <w:szCs w:val="24"/>
        </w:rPr>
        <w:t>,</w:t>
      </w:r>
    </w:p>
    <w:p w14:paraId="154AEAE5" w14:textId="77777777" w:rsidR="00897CA1" w:rsidRPr="005C76CF" w:rsidRDefault="00897CA1" w:rsidP="005C76CF">
      <w:pPr>
        <w:pStyle w:val="Call"/>
        <w:spacing w:before="160" w:line="240" w:lineRule="auto"/>
        <w:rPr>
          <w:sz w:val="24"/>
          <w:szCs w:val="24"/>
        </w:rPr>
      </w:pPr>
      <w:r w:rsidRPr="005C76CF">
        <w:rPr>
          <w:sz w:val="24"/>
          <w:szCs w:val="24"/>
        </w:rPr>
        <w:t>charge le Secrétaire général</w:t>
      </w:r>
    </w:p>
    <w:p w14:paraId="762208C3" w14:textId="01AB5B57" w:rsidR="00897CA1" w:rsidRPr="005C76CF" w:rsidRDefault="00897CA1" w:rsidP="005C76CF">
      <w:pPr>
        <w:spacing w:before="120" w:line="240" w:lineRule="auto"/>
        <w:jc w:val="left"/>
        <w:rPr>
          <w:sz w:val="24"/>
          <w:szCs w:val="24"/>
        </w:rPr>
      </w:pPr>
      <w:r w:rsidRPr="005C76CF">
        <w:rPr>
          <w:sz w:val="24"/>
          <w:szCs w:val="24"/>
        </w:rPr>
        <w:t>de procéder à une consultation de tous les États Membres au sujet des dates exactes de l'AMNT</w:t>
      </w:r>
      <w:r w:rsidRPr="005C76CF">
        <w:rPr>
          <w:sz w:val="24"/>
          <w:szCs w:val="24"/>
        </w:rPr>
        <w:noBreakHyphen/>
        <w:t>21.</w:t>
      </w:r>
    </w:p>
    <w:p w14:paraId="25DBC57D" w14:textId="77777777" w:rsidR="005C76CF" w:rsidRPr="00B67D81" w:rsidRDefault="005C76CF" w:rsidP="00B67D81">
      <w:pPr>
        <w:spacing w:line="240" w:lineRule="auto"/>
      </w:pPr>
    </w:p>
    <w:p w14:paraId="336588E9" w14:textId="6F73D554" w:rsidR="00897CA1" w:rsidRPr="00B67D81" w:rsidRDefault="00897CA1" w:rsidP="00B67D81">
      <w:pPr>
        <w:tabs>
          <w:tab w:val="clear" w:pos="794"/>
          <w:tab w:val="clear" w:pos="1191"/>
          <w:tab w:val="clear" w:pos="1588"/>
          <w:tab w:val="clear" w:pos="1985"/>
        </w:tabs>
        <w:overflowPunct/>
        <w:autoSpaceDE/>
        <w:autoSpaceDN/>
        <w:adjustRightInd/>
        <w:spacing w:before="0" w:line="240" w:lineRule="auto"/>
        <w:jc w:val="left"/>
        <w:textAlignment w:val="auto"/>
      </w:pPr>
      <w:r w:rsidRPr="00B67D81">
        <w:br w:type="page"/>
      </w:r>
    </w:p>
    <w:p w14:paraId="4CB09347" w14:textId="7A60CAAF" w:rsidR="00897CA1" w:rsidRPr="00361CF9" w:rsidRDefault="00897CA1" w:rsidP="00B67D81">
      <w:pPr>
        <w:pStyle w:val="AnnexNoTitle"/>
        <w:spacing w:line="240" w:lineRule="auto"/>
        <w:rPr>
          <w:b w:val="0"/>
          <w:sz w:val="28"/>
          <w:szCs w:val="28"/>
        </w:rPr>
      </w:pPr>
      <w:bookmarkStart w:id="12" w:name="An_3"/>
      <w:r w:rsidRPr="00361CF9">
        <w:rPr>
          <w:b w:val="0"/>
          <w:sz w:val="28"/>
          <w:szCs w:val="28"/>
        </w:rPr>
        <w:lastRenderedPageBreak/>
        <w:t>ANNEXE 3</w:t>
      </w:r>
    </w:p>
    <w:bookmarkEnd w:id="12"/>
    <w:p w14:paraId="2D0ED93F" w14:textId="6203DC96" w:rsidR="00897CA1" w:rsidRPr="002C6230" w:rsidRDefault="00897CA1" w:rsidP="00361CF9">
      <w:pPr>
        <w:spacing w:before="360" w:line="240" w:lineRule="auto"/>
        <w:rPr>
          <w:sz w:val="24"/>
          <w:szCs w:val="24"/>
        </w:rPr>
      </w:pPr>
      <w:r w:rsidRPr="002C6230">
        <w:rPr>
          <w:i/>
          <w:iCs/>
          <w:sz w:val="24"/>
          <w:szCs w:val="24"/>
        </w:rPr>
        <w:t xml:space="preserve">Référence: </w:t>
      </w:r>
      <w:hyperlink r:id="rId20" w:history="1">
        <w:r w:rsidRPr="002C6230">
          <w:rPr>
            <w:rStyle w:val="Hyperlink"/>
            <w:i/>
            <w:iCs/>
            <w:sz w:val="24"/>
            <w:szCs w:val="24"/>
          </w:rPr>
          <w:t>Document C20/</w:t>
        </w:r>
        <w:r w:rsidR="00A42565" w:rsidRPr="002C6230">
          <w:rPr>
            <w:rStyle w:val="Hyperlink"/>
            <w:sz w:val="24"/>
            <w:szCs w:val="24"/>
          </w:rPr>
          <w:t>69</w:t>
        </w:r>
      </w:hyperlink>
    </w:p>
    <w:p w14:paraId="173A7280" w14:textId="4D703DB8" w:rsidR="00A42565" w:rsidRPr="00B67D81" w:rsidRDefault="00A42565" w:rsidP="005C76CF">
      <w:pPr>
        <w:pStyle w:val="ResNo"/>
        <w:spacing w:before="480" w:line="240" w:lineRule="auto"/>
      </w:pPr>
      <w:r w:rsidRPr="00B67D81">
        <w:t>RÉSOLUTION 1399</w:t>
      </w:r>
    </w:p>
    <w:p w14:paraId="384744A2" w14:textId="2CEDF88E" w:rsidR="00A42565" w:rsidRPr="00B67D81" w:rsidRDefault="00A42565" w:rsidP="00B67D81">
      <w:pPr>
        <w:spacing w:line="240" w:lineRule="auto"/>
        <w:jc w:val="center"/>
        <w:rPr>
          <w:sz w:val="28"/>
          <w:szCs w:val="28"/>
        </w:rPr>
      </w:pPr>
      <w:r w:rsidRPr="00B67D81">
        <w:rPr>
          <w:sz w:val="28"/>
          <w:szCs w:val="28"/>
        </w:rPr>
        <w:t>(adoptée par correspondance)</w:t>
      </w:r>
    </w:p>
    <w:p w14:paraId="2120D42B" w14:textId="001B30E0" w:rsidR="00A42565" w:rsidRPr="00B67D81" w:rsidRDefault="00A42565" w:rsidP="00B67D81">
      <w:pPr>
        <w:pStyle w:val="Restitle"/>
      </w:pPr>
      <w:r w:rsidRPr="00B67D81">
        <w:t xml:space="preserve">Ordre du jour de la Conférence mondiale des radiocommunications </w:t>
      </w:r>
      <w:r w:rsidRPr="00B67D81">
        <w:br/>
        <w:t>de 2023 (CMR 23)</w:t>
      </w:r>
    </w:p>
    <w:p w14:paraId="03783CE2" w14:textId="775B6388" w:rsidR="00A42565" w:rsidRPr="005C76CF" w:rsidRDefault="00D60768" w:rsidP="00B67D81">
      <w:pPr>
        <w:spacing w:line="240" w:lineRule="auto"/>
        <w:rPr>
          <w:sz w:val="24"/>
          <w:szCs w:val="24"/>
        </w:rPr>
      </w:pPr>
      <w:r w:rsidRPr="005C76CF">
        <w:rPr>
          <w:sz w:val="24"/>
          <w:szCs w:val="24"/>
        </w:rPr>
        <w:t>Le Conseil de l'UIT</w:t>
      </w:r>
      <w:r w:rsidR="00A42565" w:rsidRPr="005C76CF">
        <w:rPr>
          <w:sz w:val="24"/>
          <w:szCs w:val="24"/>
        </w:rPr>
        <w:t>,</w:t>
      </w:r>
    </w:p>
    <w:p w14:paraId="36C4539D" w14:textId="02B963B3" w:rsidR="00A42565" w:rsidRPr="00630545" w:rsidRDefault="00A42565" w:rsidP="00630545">
      <w:pPr>
        <w:pStyle w:val="Call"/>
        <w:spacing w:before="160" w:line="240" w:lineRule="auto"/>
        <w:rPr>
          <w:sz w:val="24"/>
          <w:szCs w:val="24"/>
        </w:rPr>
      </w:pPr>
      <w:r w:rsidRPr="00630545">
        <w:rPr>
          <w:sz w:val="24"/>
          <w:szCs w:val="24"/>
        </w:rPr>
        <w:t>not</w:t>
      </w:r>
      <w:r w:rsidR="00D60768" w:rsidRPr="00630545">
        <w:rPr>
          <w:sz w:val="24"/>
          <w:szCs w:val="24"/>
        </w:rPr>
        <w:t>ant</w:t>
      </w:r>
    </w:p>
    <w:p w14:paraId="37287535" w14:textId="77777777" w:rsidR="00F3006A" w:rsidRPr="005C76CF" w:rsidRDefault="00F3006A" w:rsidP="00630545">
      <w:pPr>
        <w:spacing w:before="120" w:line="240" w:lineRule="auto"/>
        <w:jc w:val="left"/>
        <w:rPr>
          <w:i/>
          <w:sz w:val="24"/>
          <w:szCs w:val="24"/>
        </w:rPr>
      </w:pPr>
      <w:r w:rsidRPr="005C76CF">
        <w:rPr>
          <w:sz w:val="24"/>
          <w:szCs w:val="24"/>
        </w:rPr>
        <w:t>que, par sa Résolution 811, la Conférence mondiale des radiocommunications (</w:t>
      </w:r>
      <w:proofErr w:type="spellStart"/>
      <w:r w:rsidRPr="005C76CF">
        <w:rPr>
          <w:sz w:val="24"/>
          <w:szCs w:val="24"/>
        </w:rPr>
        <w:t>Charm</w:t>
      </w:r>
      <w:proofErr w:type="spellEnd"/>
      <w:r w:rsidRPr="005C76CF">
        <w:rPr>
          <w:sz w:val="24"/>
          <w:szCs w:val="24"/>
        </w:rPr>
        <w:t xml:space="preserve"> el-Cheikh, 2019):</w:t>
      </w:r>
    </w:p>
    <w:p w14:paraId="26255589" w14:textId="77777777" w:rsidR="00F3006A" w:rsidRPr="005C76CF" w:rsidRDefault="00F3006A" w:rsidP="00630545">
      <w:pPr>
        <w:spacing w:before="120" w:line="240" w:lineRule="auto"/>
        <w:jc w:val="left"/>
        <w:rPr>
          <w:iCs/>
          <w:sz w:val="24"/>
          <w:szCs w:val="24"/>
        </w:rPr>
      </w:pPr>
      <w:r w:rsidRPr="005C76CF">
        <w:rPr>
          <w:i/>
          <w:iCs/>
          <w:sz w:val="24"/>
          <w:szCs w:val="24"/>
        </w:rPr>
        <w:t>a)</w:t>
      </w:r>
      <w:r w:rsidRPr="005C76CF">
        <w:rPr>
          <w:sz w:val="24"/>
          <w:szCs w:val="24"/>
        </w:rPr>
        <w:tab/>
        <w:t>a décidé de recommander au Conseil de convoquer en 2023 une Conférence mondiale des radiocommunications (CMR-23) d'une durée maximale de quatre semaines;</w:t>
      </w:r>
    </w:p>
    <w:p w14:paraId="014F361A" w14:textId="40B8906A" w:rsidR="00F3006A" w:rsidRPr="005C76CF" w:rsidRDefault="00F3006A" w:rsidP="00630545">
      <w:pPr>
        <w:spacing w:before="120" w:line="240" w:lineRule="auto"/>
        <w:jc w:val="left"/>
        <w:rPr>
          <w:sz w:val="24"/>
          <w:szCs w:val="24"/>
        </w:rPr>
      </w:pPr>
      <w:r w:rsidRPr="005C76CF">
        <w:rPr>
          <w:i/>
          <w:iCs/>
          <w:sz w:val="24"/>
          <w:szCs w:val="24"/>
        </w:rPr>
        <w:t>b)</w:t>
      </w:r>
      <w:r w:rsidRPr="005C76CF">
        <w:rPr>
          <w:sz w:val="24"/>
          <w:szCs w:val="24"/>
        </w:rPr>
        <w:tab/>
        <w:t>a recommandé des points à inscrire à l'ordre du jour de cette conférence et a invité le Conseil à arrêter définitivement cet ordre du jour, à prendre les dispositions nécess</w:t>
      </w:r>
      <w:r w:rsidR="005C76CF" w:rsidRPr="005C76CF">
        <w:rPr>
          <w:sz w:val="24"/>
          <w:szCs w:val="24"/>
        </w:rPr>
        <w:t>aires pour la convocation de la </w:t>
      </w:r>
      <w:r w:rsidRPr="005C76CF">
        <w:rPr>
          <w:sz w:val="24"/>
          <w:szCs w:val="24"/>
        </w:rPr>
        <w:t>CMR-23 et à engager dès que possible les consultations nécessaires avec les États Membres,</w:t>
      </w:r>
    </w:p>
    <w:p w14:paraId="56DB21F1" w14:textId="77777777" w:rsidR="00F3006A" w:rsidRPr="005C76CF" w:rsidRDefault="00F3006A" w:rsidP="00630545">
      <w:pPr>
        <w:pStyle w:val="Call"/>
        <w:spacing w:before="160" w:line="240" w:lineRule="auto"/>
        <w:rPr>
          <w:sz w:val="24"/>
          <w:szCs w:val="24"/>
        </w:rPr>
      </w:pPr>
      <w:r w:rsidRPr="005C76CF">
        <w:rPr>
          <w:sz w:val="24"/>
          <w:szCs w:val="24"/>
        </w:rPr>
        <w:t>décide</w:t>
      </w:r>
    </w:p>
    <w:p w14:paraId="2FB1F19F" w14:textId="77777777" w:rsidR="00F3006A" w:rsidRPr="005C76CF" w:rsidRDefault="00F3006A" w:rsidP="00630545">
      <w:pPr>
        <w:spacing w:before="120" w:line="240" w:lineRule="auto"/>
        <w:jc w:val="left"/>
        <w:rPr>
          <w:sz w:val="24"/>
          <w:szCs w:val="24"/>
        </w:rPr>
      </w:pPr>
      <w:r w:rsidRPr="005C76CF">
        <w:rPr>
          <w:sz w:val="24"/>
          <w:szCs w:val="24"/>
        </w:rPr>
        <w:t>de convoquer en 2023 une Conférence mondiale des radiocommunications (CMR-23), précédée par une Assemblée des radiocommunications, dont l'ordre du jour sera le suivant:</w:t>
      </w:r>
    </w:p>
    <w:p w14:paraId="588F223F" w14:textId="77777777" w:rsidR="00F3006A" w:rsidRPr="005C76CF" w:rsidRDefault="00F3006A" w:rsidP="00630545">
      <w:pPr>
        <w:spacing w:before="120" w:line="240" w:lineRule="auto"/>
        <w:jc w:val="left"/>
        <w:rPr>
          <w:rFonts w:asciiTheme="minorHAnsi" w:hAnsiTheme="minorHAnsi" w:cstheme="minorHAnsi"/>
          <w:sz w:val="24"/>
          <w:szCs w:val="24"/>
        </w:rPr>
      </w:pPr>
      <w:r w:rsidRPr="005C76CF">
        <w:rPr>
          <w:rFonts w:asciiTheme="minorHAnsi" w:hAnsiTheme="minorHAnsi" w:cstheme="minorHAnsi"/>
          <w:sz w:val="24"/>
          <w:szCs w:val="24"/>
        </w:rPr>
        <w:t>1</w:t>
      </w:r>
      <w:r w:rsidRPr="005C76CF">
        <w:rPr>
          <w:rFonts w:asciiTheme="minorHAnsi" w:hAnsiTheme="minorHAnsi" w:cstheme="minorHAnsi"/>
          <w:sz w:val="24"/>
          <w:szCs w:val="24"/>
        </w:rPr>
        <w:tab/>
        <w:t>sur la base des propositions des administrations, compte tenu des résultats de la CMR</w:t>
      </w:r>
      <w:r w:rsidRPr="005C76CF">
        <w:rPr>
          <w:rFonts w:asciiTheme="minorHAnsi" w:hAnsiTheme="minorHAnsi" w:cstheme="minorHAnsi"/>
          <w:sz w:val="24"/>
          <w:szCs w:val="24"/>
        </w:rPr>
        <w:noBreakHyphen/>
        <w:t>19 ainsi que du rapport de la Réunion de préparation à la Conférence et compte dûment tenu des besoins des services existants ou futurs dans les bandes de fréquences considérées, examiner les points suivants et prendre les mesures appropriées:</w:t>
      </w:r>
    </w:p>
    <w:p w14:paraId="0621C1A7" w14:textId="77777777" w:rsidR="00F3006A" w:rsidRPr="005C76CF" w:rsidRDefault="00F3006A" w:rsidP="00630545">
      <w:pPr>
        <w:spacing w:before="120" w:line="240" w:lineRule="auto"/>
        <w:jc w:val="left"/>
        <w:rPr>
          <w:rFonts w:asciiTheme="minorHAnsi" w:hAnsiTheme="minorHAnsi" w:cstheme="minorHAnsi"/>
          <w:sz w:val="24"/>
          <w:szCs w:val="24"/>
        </w:rPr>
      </w:pPr>
      <w:r w:rsidRPr="005C76CF">
        <w:rPr>
          <w:rFonts w:asciiTheme="minorHAnsi" w:hAnsiTheme="minorHAnsi" w:cstheme="minorHAnsi"/>
          <w:sz w:val="24"/>
          <w:szCs w:val="24"/>
        </w:rPr>
        <w:t>1.1</w:t>
      </w:r>
      <w:r w:rsidRPr="005C76CF">
        <w:rPr>
          <w:rFonts w:asciiTheme="minorHAnsi" w:hAnsiTheme="minorHAnsi" w:cstheme="minorHAnsi"/>
          <w:sz w:val="24"/>
          <w:szCs w:val="24"/>
        </w:rPr>
        <w:tab/>
        <w:t xml:space="preserve">examiner, sur la base des résultats des études menées par l'UIT-R, les mesures qui pourraient être prises pour assurer, dans la bande de fréquences 4 800-4 990 MHz, la protection des stations du service mobile aéronautique et du service mobile maritime situées dans l'espace aérien international et dans les eaux internationales vis-à-vis d'autres stations situées sur le territoire des pays, et examiner le critère de puissance surfacique figurant dans le renvoi </w:t>
      </w:r>
      <w:r w:rsidRPr="005C76CF">
        <w:rPr>
          <w:rFonts w:asciiTheme="minorHAnsi" w:hAnsiTheme="minorHAnsi" w:cstheme="minorHAnsi"/>
          <w:b/>
          <w:bCs/>
          <w:sz w:val="24"/>
          <w:szCs w:val="24"/>
        </w:rPr>
        <w:t>5.441B</w:t>
      </w:r>
      <w:r w:rsidRPr="005C76CF">
        <w:rPr>
          <w:rFonts w:asciiTheme="minorHAnsi" w:hAnsiTheme="minorHAnsi" w:cstheme="minorHAnsi"/>
          <w:sz w:val="24"/>
          <w:szCs w:val="24"/>
        </w:rPr>
        <w:t xml:space="preserve"> conformément à la Résolution </w:t>
      </w:r>
      <w:r w:rsidRPr="005C76CF">
        <w:rPr>
          <w:rFonts w:asciiTheme="minorHAnsi" w:hAnsiTheme="minorHAnsi" w:cstheme="minorHAnsi"/>
          <w:b/>
          <w:bCs/>
          <w:sz w:val="24"/>
          <w:szCs w:val="24"/>
        </w:rPr>
        <w:t>223 (Rév.CMR-19)</w:t>
      </w:r>
      <w:r w:rsidRPr="005C76CF">
        <w:rPr>
          <w:rFonts w:asciiTheme="minorHAnsi" w:hAnsiTheme="minorHAnsi" w:cstheme="minorHAnsi"/>
          <w:sz w:val="24"/>
          <w:szCs w:val="24"/>
        </w:rPr>
        <w:t>;</w:t>
      </w:r>
    </w:p>
    <w:p w14:paraId="580ED352" w14:textId="77777777" w:rsidR="00F3006A" w:rsidRPr="005C76CF" w:rsidRDefault="00F3006A" w:rsidP="00630545">
      <w:pPr>
        <w:keepLines/>
        <w:spacing w:before="120" w:line="240" w:lineRule="auto"/>
        <w:jc w:val="left"/>
        <w:rPr>
          <w:rFonts w:asciiTheme="minorHAnsi" w:hAnsiTheme="minorHAnsi" w:cstheme="minorHAnsi"/>
          <w:sz w:val="24"/>
          <w:szCs w:val="24"/>
        </w:rPr>
      </w:pPr>
      <w:r w:rsidRPr="005C76CF">
        <w:rPr>
          <w:rFonts w:asciiTheme="minorHAnsi" w:hAnsiTheme="minorHAnsi" w:cstheme="minorHAnsi"/>
          <w:sz w:val="24"/>
          <w:szCs w:val="24"/>
        </w:rPr>
        <w:t>1.2</w:t>
      </w:r>
      <w:r w:rsidRPr="005C76CF">
        <w:rPr>
          <w:rFonts w:asciiTheme="minorHAnsi" w:hAnsiTheme="minorHAnsi" w:cstheme="minorHAnsi"/>
          <w:sz w:val="24"/>
          <w:szCs w:val="24"/>
        </w:rPr>
        <w:tab/>
        <w:t xml:space="preserve">envisager l'identification des bandes de fréquences </w:t>
      </w:r>
      <w:r w:rsidRPr="005C76CF">
        <w:rPr>
          <w:rFonts w:asciiTheme="minorHAnsi" w:eastAsia="MS Mincho" w:hAnsiTheme="minorHAnsi" w:cstheme="minorHAnsi"/>
          <w:sz w:val="24"/>
          <w:szCs w:val="24"/>
        </w:rPr>
        <w:t xml:space="preserve">3 300-3 400 MHz, 3 600-3 800 MHz, 6 425-7 025 MHz, 7 025-7 125 MHz et 10,0-10,5 GHz </w:t>
      </w:r>
      <w:r w:rsidRPr="005C76CF">
        <w:rPr>
          <w:rFonts w:asciiTheme="minorHAnsi" w:hAnsiTheme="minorHAnsi" w:cstheme="minorHAnsi"/>
          <w:sz w:val="24"/>
          <w:szCs w:val="24"/>
        </w:rPr>
        <w:t xml:space="preserve">pour les Télécommunications mobiles internationales (IMT), y compris des attributions additionnelles possibles au service mobile à titre primaire, conformément à la Résolution </w:t>
      </w:r>
      <w:r w:rsidRPr="005C76CF">
        <w:rPr>
          <w:rFonts w:asciiTheme="minorHAnsi" w:hAnsiTheme="minorHAnsi" w:cstheme="minorHAnsi"/>
          <w:b/>
          <w:sz w:val="24"/>
          <w:szCs w:val="24"/>
        </w:rPr>
        <w:t>245 (CMR-19)</w:t>
      </w:r>
      <w:r w:rsidRPr="005C76CF">
        <w:rPr>
          <w:rFonts w:asciiTheme="minorHAnsi" w:hAnsiTheme="minorHAnsi" w:cstheme="minorHAnsi"/>
          <w:bCs/>
          <w:sz w:val="24"/>
          <w:szCs w:val="24"/>
        </w:rPr>
        <w:t>;</w:t>
      </w:r>
    </w:p>
    <w:p w14:paraId="4BCDDEB5" w14:textId="77777777" w:rsidR="00F3006A" w:rsidRPr="005C76CF" w:rsidRDefault="00F3006A" w:rsidP="00630545">
      <w:pPr>
        <w:spacing w:before="120" w:line="240" w:lineRule="auto"/>
        <w:jc w:val="left"/>
        <w:rPr>
          <w:rFonts w:asciiTheme="minorHAnsi" w:hAnsiTheme="minorHAnsi" w:cstheme="minorHAnsi"/>
          <w:bCs/>
          <w:iCs/>
          <w:sz w:val="24"/>
          <w:szCs w:val="24"/>
        </w:rPr>
      </w:pPr>
      <w:r w:rsidRPr="005C76CF">
        <w:rPr>
          <w:rFonts w:asciiTheme="minorHAnsi" w:hAnsiTheme="minorHAnsi" w:cstheme="minorHAnsi"/>
          <w:bCs/>
          <w:iCs/>
          <w:sz w:val="24"/>
          <w:szCs w:val="24"/>
        </w:rPr>
        <w:t>1.3</w:t>
      </w:r>
      <w:r w:rsidRPr="005C76CF">
        <w:rPr>
          <w:rFonts w:asciiTheme="minorHAnsi" w:hAnsiTheme="minorHAnsi" w:cstheme="minorHAnsi"/>
          <w:bCs/>
          <w:iCs/>
          <w:sz w:val="24"/>
          <w:szCs w:val="24"/>
        </w:rPr>
        <w:tab/>
        <w:t xml:space="preserve">envisager l'attribution à titre primaire de la bande de fréquences 3 600-3 800 MHz au service mobile en Région 1 et prendre les mesures réglementaires appropriées, conformément à la Résolution </w:t>
      </w:r>
      <w:r w:rsidRPr="005C76CF">
        <w:rPr>
          <w:rFonts w:asciiTheme="minorHAnsi" w:hAnsiTheme="minorHAnsi" w:cstheme="minorHAnsi"/>
          <w:b/>
          <w:iCs/>
          <w:sz w:val="24"/>
          <w:szCs w:val="24"/>
        </w:rPr>
        <w:t>246 (CMR-19)</w:t>
      </w:r>
      <w:r w:rsidRPr="005C76CF">
        <w:rPr>
          <w:rFonts w:asciiTheme="minorHAnsi" w:hAnsiTheme="minorHAnsi" w:cstheme="minorHAnsi"/>
          <w:bCs/>
          <w:iCs/>
          <w:sz w:val="24"/>
          <w:szCs w:val="24"/>
        </w:rPr>
        <w:t>;</w:t>
      </w:r>
    </w:p>
    <w:p w14:paraId="33E5B180" w14:textId="77777777" w:rsidR="00F3006A" w:rsidRPr="005C76CF" w:rsidRDefault="00F3006A" w:rsidP="00630545">
      <w:pPr>
        <w:spacing w:before="120" w:line="240" w:lineRule="auto"/>
        <w:jc w:val="left"/>
        <w:rPr>
          <w:rFonts w:asciiTheme="minorHAnsi" w:hAnsiTheme="minorHAnsi" w:cstheme="minorHAnsi"/>
          <w:bCs/>
          <w:iCs/>
          <w:sz w:val="24"/>
          <w:szCs w:val="24"/>
        </w:rPr>
      </w:pPr>
      <w:r w:rsidRPr="005C76CF">
        <w:rPr>
          <w:rFonts w:asciiTheme="minorHAnsi" w:hAnsiTheme="minorHAnsi" w:cstheme="minorHAnsi"/>
          <w:bCs/>
          <w:iCs/>
          <w:sz w:val="24"/>
          <w:szCs w:val="24"/>
        </w:rPr>
        <w:lastRenderedPageBreak/>
        <w:t>1.4</w:t>
      </w:r>
      <w:r w:rsidRPr="005C76CF">
        <w:rPr>
          <w:rFonts w:asciiTheme="minorHAnsi" w:hAnsiTheme="minorHAnsi" w:cstheme="minorHAnsi"/>
          <w:bCs/>
          <w:iCs/>
          <w:sz w:val="24"/>
          <w:szCs w:val="24"/>
        </w:rPr>
        <w:tab/>
        <w:t xml:space="preserve">examiner, conformément à la Résolution </w:t>
      </w:r>
      <w:r w:rsidRPr="005C76CF">
        <w:rPr>
          <w:rFonts w:asciiTheme="minorHAnsi" w:hAnsiTheme="minorHAnsi" w:cstheme="minorHAnsi"/>
          <w:b/>
          <w:iCs/>
          <w:sz w:val="24"/>
          <w:szCs w:val="24"/>
        </w:rPr>
        <w:t>247 (CMR-19)</w:t>
      </w:r>
      <w:r w:rsidRPr="005C76CF">
        <w:rPr>
          <w:rFonts w:asciiTheme="minorHAnsi" w:hAnsiTheme="minorHAnsi" w:cstheme="minorHAnsi"/>
          <w:bCs/>
          <w:iCs/>
          <w:sz w:val="24"/>
          <w:szCs w:val="24"/>
        </w:rPr>
        <w:t>, l'utilisation de stations placées sur des plates-formes à haute altitude en tant que stations de base IMT (HIBS) dans le service mobile dans certaines bandes de fréquences au-dessous de 2,7 GHz qui sont déjà identifiées pour les IMT à l'échelle mondiale ou régionale;</w:t>
      </w:r>
    </w:p>
    <w:p w14:paraId="0DD75CFC" w14:textId="77777777" w:rsidR="00F3006A" w:rsidRPr="005C76CF" w:rsidRDefault="00F3006A" w:rsidP="00630545">
      <w:pPr>
        <w:keepNext/>
        <w:keepLines/>
        <w:spacing w:before="120" w:line="240" w:lineRule="auto"/>
        <w:jc w:val="left"/>
        <w:rPr>
          <w:rFonts w:asciiTheme="minorHAnsi" w:hAnsiTheme="minorHAnsi" w:cstheme="minorHAnsi"/>
          <w:bCs/>
          <w:iCs/>
          <w:sz w:val="24"/>
          <w:szCs w:val="24"/>
        </w:rPr>
      </w:pPr>
      <w:r w:rsidRPr="005C76CF">
        <w:rPr>
          <w:rFonts w:asciiTheme="minorHAnsi" w:hAnsiTheme="minorHAnsi" w:cstheme="minorHAnsi"/>
          <w:bCs/>
          <w:iCs/>
          <w:sz w:val="24"/>
          <w:szCs w:val="24"/>
        </w:rPr>
        <w:t>1.5</w:t>
      </w:r>
      <w:r w:rsidRPr="005C76CF">
        <w:rPr>
          <w:rFonts w:asciiTheme="minorHAnsi" w:hAnsiTheme="minorHAnsi" w:cstheme="minorHAnsi"/>
          <w:bCs/>
          <w:iCs/>
          <w:sz w:val="24"/>
          <w:szCs w:val="24"/>
        </w:rPr>
        <w:tab/>
        <w:t xml:space="preserve">examiner l'utilisation du spectre et les besoins de spectre des services existants dans la bande de fréquences 470-960 MHz en Région 1 et envisager les mesures réglementaires qui pourraient être prises dans la bande de fréquences 470-694 MHz en Région 1 compte tenu de l'examen effectué conformément à la Résolution </w:t>
      </w:r>
      <w:r w:rsidRPr="005C76CF">
        <w:rPr>
          <w:rFonts w:asciiTheme="minorHAnsi" w:hAnsiTheme="minorHAnsi" w:cstheme="minorHAnsi"/>
          <w:b/>
          <w:bCs/>
          <w:iCs/>
          <w:sz w:val="24"/>
          <w:szCs w:val="24"/>
        </w:rPr>
        <w:t>235 (CMR-15)</w:t>
      </w:r>
      <w:r w:rsidRPr="005C76CF">
        <w:rPr>
          <w:rFonts w:asciiTheme="minorHAnsi" w:hAnsiTheme="minorHAnsi" w:cstheme="minorHAnsi"/>
          <w:bCs/>
          <w:iCs/>
          <w:sz w:val="24"/>
          <w:szCs w:val="24"/>
        </w:rPr>
        <w:t>;</w:t>
      </w:r>
    </w:p>
    <w:p w14:paraId="1A16EF17" w14:textId="77777777" w:rsidR="00F3006A" w:rsidRPr="005C76CF" w:rsidRDefault="00F3006A" w:rsidP="00630545">
      <w:pPr>
        <w:spacing w:before="120" w:line="240" w:lineRule="auto"/>
        <w:jc w:val="left"/>
        <w:rPr>
          <w:rFonts w:asciiTheme="minorHAnsi" w:hAnsiTheme="minorHAnsi" w:cstheme="minorHAnsi"/>
          <w:bCs/>
          <w:iCs/>
          <w:sz w:val="24"/>
          <w:szCs w:val="24"/>
        </w:rPr>
      </w:pPr>
      <w:r w:rsidRPr="005C76CF">
        <w:rPr>
          <w:rFonts w:asciiTheme="minorHAnsi" w:hAnsiTheme="minorHAnsi" w:cstheme="minorHAnsi"/>
          <w:bCs/>
          <w:iCs/>
          <w:sz w:val="24"/>
          <w:szCs w:val="24"/>
        </w:rPr>
        <w:t>1.6</w:t>
      </w:r>
      <w:r w:rsidRPr="005C76CF">
        <w:rPr>
          <w:rFonts w:asciiTheme="minorHAnsi" w:hAnsiTheme="minorHAnsi" w:cstheme="minorHAnsi"/>
          <w:bCs/>
          <w:iCs/>
          <w:sz w:val="24"/>
          <w:szCs w:val="24"/>
        </w:rPr>
        <w:tab/>
        <w:t xml:space="preserve">étudier, conformément à la Résolution </w:t>
      </w:r>
      <w:r w:rsidRPr="005C76CF">
        <w:rPr>
          <w:rFonts w:asciiTheme="minorHAnsi" w:hAnsiTheme="minorHAnsi" w:cstheme="minorHAnsi"/>
          <w:b/>
          <w:bCs/>
          <w:iCs/>
          <w:sz w:val="24"/>
          <w:szCs w:val="24"/>
        </w:rPr>
        <w:t>772 (CMR</w:t>
      </w:r>
      <w:r w:rsidRPr="005C76CF">
        <w:rPr>
          <w:rFonts w:asciiTheme="minorHAnsi" w:hAnsiTheme="minorHAnsi" w:cstheme="minorHAnsi"/>
          <w:b/>
          <w:bCs/>
          <w:iCs/>
          <w:sz w:val="24"/>
          <w:szCs w:val="24"/>
        </w:rPr>
        <w:noBreakHyphen/>
        <w:t>19)</w:t>
      </w:r>
      <w:r w:rsidRPr="005C76CF">
        <w:rPr>
          <w:rFonts w:asciiTheme="minorHAnsi" w:hAnsiTheme="minorHAnsi" w:cstheme="minorHAnsi"/>
          <w:bCs/>
          <w:iCs/>
          <w:sz w:val="24"/>
          <w:szCs w:val="24"/>
        </w:rPr>
        <w:t>, les dispositions réglementaires propres à faciliter les radiocommunications pour les véhicules suborbitaux;</w:t>
      </w:r>
    </w:p>
    <w:p w14:paraId="7CDEFA07" w14:textId="77777777" w:rsidR="00F3006A" w:rsidRPr="005C76CF" w:rsidRDefault="00F3006A" w:rsidP="00630545">
      <w:pPr>
        <w:spacing w:before="120" w:line="240" w:lineRule="auto"/>
        <w:jc w:val="left"/>
        <w:rPr>
          <w:rFonts w:asciiTheme="minorHAnsi" w:hAnsiTheme="minorHAnsi" w:cstheme="minorHAnsi"/>
          <w:bCs/>
          <w:iCs/>
          <w:sz w:val="24"/>
          <w:szCs w:val="24"/>
        </w:rPr>
      </w:pPr>
      <w:r w:rsidRPr="005C76CF">
        <w:rPr>
          <w:rFonts w:asciiTheme="minorHAnsi" w:hAnsiTheme="minorHAnsi" w:cstheme="minorHAnsi"/>
          <w:bCs/>
          <w:iCs/>
          <w:sz w:val="24"/>
          <w:szCs w:val="24"/>
        </w:rPr>
        <w:t>1.7</w:t>
      </w:r>
      <w:r w:rsidRPr="005C76CF">
        <w:rPr>
          <w:rFonts w:asciiTheme="minorHAnsi" w:hAnsiTheme="minorHAnsi" w:cstheme="minorHAnsi"/>
          <w:bCs/>
          <w:iCs/>
          <w:sz w:val="24"/>
          <w:szCs w:val="24"/>
        </w:rPr>
        <w:tab/>
        <w:t xml:space="preserve">envisager une nouvelle attribution au service mobile aéronautique (R) par satellite (SMA(R)S), conformément à la Résolution </w:t>
      </w:r>
      <w:r w:rsidRPr="005C76CF">
        <w:rPr>
          <w:rFonts w:asciiTheme="minorHAnsi" w:hAnsiTheme="minorHAnsi" w:cstheme="minorHAnsi"/>
          <w:b/>
          <w:iCs/>
          <w:sz w:val="24"/>
          <w:szCs w:val="24"/>
        </w:rPr>
        <w:t>428</w:t>
      </w:r>
      <w:r w:rsidRPr="005C76CF">
        <w:rPr>
          <w:rFonts w:asciiTheme="minorHAnsi" w:hAnsiTheme="minorHAnsi" w:cstheme="minorHAnsi"/>
          <w:bCs/>
          <w:iCs/>
          <w:sz w:val="24"/>
          <w:szCs w:val="24"/>
        </w:rPr>
        <w:t xml:space="preserve"> </w:t>
      </w:r>
      <w:r w:rsidRPr="005C76CF">
        <w:rPr>
          <w:rFonts w:asciiTheme="minorHAnsi" w:hAnsiTheme="minorHAnsi" w:cstheme="minorHAnsi"/>
          <w:b/>
          <w:iCs/>
          <w:sz w:val="24"/>
          <w:szCs w:val="24"/>
        </w:rPr>
        <w:t>(CMR-19)</w:t>
      </w:r>
      <w:r w:rsidRPr="005C76CF">
        <w:rPr>
          <w:rFonts w:asciiTheme="minorHAnsi" w:hAnsiTheme="minorHAnsi" w:cstheme="minorHAnsi"/>
          <w:bCs/>
          <w:iCs/>
          <w:sz w:val="24"/>
          <w:szCs w:val="24"/>
        </w:rPr>
        <w:t>, dans les sens Terre vers espace et espace vers Terre des communications aéronautiques en ondes métriques dans tout ou partie de la bande de fréquences 117,975-137 MHz, tout en évitant d'imposer des contraintes excessives aux systèmes existants en ondes métriques fonctionnant dans le SMA(R), le SRNA et dans les bandes de fréquences adjacentes;</w:t>
      </w:r>
    </w:p>
    <w:p w14:paraId="112AD2FC" w14:textId="77777777" w:rsidR="00F3006A" w:rsidRPr="005C76CF" w:rsidRDefault="00F3006A" w:rsidP="00630545">
      <w:pPr>
        <w:spacing w:before="120" w:line="240" w:lineRule="auto"/>
        <w:jc w:val="left"/>
        <w:rPr>
          <w:rFonts w:asciiTheme="minorHAnsi" w:hAnsiTheme="minorHAnsi" w:cstheme="minorHAnsi"/>
          <w:bCs/>
          <w:iCs/>
          <w:sz w:val="24"/>
          <w:szCs w:val="24"/>
        </w:rPr>
      </w:pPr>
      <w:r w:rsidRPr="005C76CF">
        <w:rPr>
          <w:rFonts w:asciiTheme="minorHAnsi" w:hAnsiTheme="minorHAnsi" w:cstheme="minorHAnsi"/>
          <w:bCs/>
          <w:iCs/>
          <w:sz w:val="24"/>
          <w:szCs w:val="24"/>
        </w:rPr>
        <w:t>1.8</w:t>
      </w:r>
      <w:r w:rsidRPr="005C76CF">
        <w:rPr>
          <w:rFonts w:asciiTheme="minorHAnsi" w:hAnsiTheme="minorHAnsi" w:cstheme="minorHAnsi"/>
          <w:bCs/>
          <w:iCs/>
          <w:sz w:val="24"/>
          <w:szCs w:val="24"/>
        </w:rPr>
        <w:tab/>
        <w:t>envisager, sur la base des études menées par l'UIT-R conformément à la Résolution </w:t>
      </w:r>
      <w:r w:rsidRPr="005C76CF">
        <w:rPr>
          <w:rFonts w:asciiTheme="minorHAnsi" w:hAnsiTheme="minorHAnsi" w:cstheme="minorHAnsi"/>
          <w:b/>
          <w:bCs/>
          <w:iCs/>
          <w:sz w:val="24"/>
          <w:szCs w:val="24"/>
        </w:rPr>
        <w:t>171 (CMR-19)</w:t>
      </w:r>
      <w:r w:rsidRPr="005C76CF">
        <w:rPr>
          <w:rFonts w:asciiTheme="minorHAnsi" w:hAnsiTheme="minorHAnsi" w:cstheme="minorHAnsi"/>
          <w:bCs/>
          <w:iCs/>
          <w:sz w:val="24"/>
          <w:szCs w:val="24"/>
        </w:rPr>
        <w:t xml:space="preserve">, des mesures réglementaires appropriées, en vue d'examiner et, au besoin, de réviser la Résolution </w:t>
      </w:r>
      <w:r w:rsidRPr="005C76CF">
        <w:rPr>
          <w:rFonts w:asciiTheme="minorHAnsi" w:hAnsiTheme="minorHAnsi" w:cstheme="minorHAnsi"/>
          <w:b/>
          <w:bCs/>
          <w:iCs/>
          <w:sz w:val="24"/>
          <w:szCs w:val="24"/>
        </w:rPr>
        <w:t>155 (Rév.CMR-19)</w:t>
      </w:r>
      <w:r w:rsidRPr="005C76CF">
        <w:rPr>
          <w:rFonts w:asciiTheme="minorHAnsi" w:hAnsiTheme="minorHAnsi" w:cstheme="minorHAnsi"/>
          <w:bCs/>
          <w:iCs/>
          <w:sz w:val="24"/>
          <w:szCs w:val="24"/>
        </w:rPr>
        <w:t xml:space="preserve"> et le numéro </w:t>
      </w:r>
      <w:r w:rsidRPr="005C76CF">
        <w:rPr>
          <w:rFonts w:asciiTheme="minorHAnsi" w:hAnsiTheme="minorHAnsi" w:cstheme="minorHAnsi"/>
          <w:b/>
          <w:bCs/>
          <w:iCs/>
          <w:sz w:val="24"/>
          <w:szCs w:val="24"/>
        </w:rPr>
        <w:t>5.484B</w:t>
      </w:r>
      <w:r w:rsidRPr="005C76CF">
        <w:rPr>
          <w:rFonts w:asciiTheme="minorHAnsi" w:hAnsiTheme="minorHAnsi" w:cstheme="minorHAnsi"/>
          <w:bCs/>
          <w:iCs/>
          <w:sz w:val="24"/>
          <w:szCs w:val="24"/>
        </w:rPr>
        <w:t xml:space="preserve"> du RR, pour permettre l'utilisation des réseaux du service fixe par satellite (SFS) pour les communications de contrôle et non associées à la charge utile des systèmes d'aéronef sans pilote;</w:t>
      </w:r>
    </w:p>
    <w:p w14:paraId="32ECCB84" w14:textId="77777777" w:rsidR="00F3006A" w:rsidRPr="005C76CF" w:rsidRDefault="00F3006A" w:rsidP="00630545">
      <w:pPr>
        <w:spacing w:before="120" w:line="240" w:lineRule="auto"/>
        <w:jc w:val="left"/>
        <w:rPr>
          <w:rFonts w:asciiTheme="minorHAnsi" w:hAnsiTheme="minorHAnsi" w:cstheme="minorHAnsi"/>
          <w:bCs/>
          <w:iCs/>
          <w:sz w:val="24"/>
          <w:szCs w:val="24"/>
        </w:rPr>
      </w:pPr>
      <w:r w:rsidRPr="005C76CF">
        <w:rPr>
          <w:rFonts w:asciiTheme="minorHAnsi" w:hAnsiTheme="minorHAnsi" w:cstheme="minorHAnsi"/>
          <w:bCs/>
          <w:iCs/>
          <w:sz w:val="24"/>
          <w:szCs w:val="24"/>
        </w:rPr>
        <w:t>1.9</w:t>
      </w:r>
      <w:r w:rsidRPr="005C76CF">
        <w:rPr>
          <w:rFonts w:asciiTheme="minorHAnsi" w:hAnsiTheme="minorHAnsi" w:cstheme="minorHAnsi"/>
          <w:bCs/>
          <w:iCs/>
          <w:sz w:val="24"/>
          <w:szCs w:val="24"/>
        </w:rPr>
        <w:tab/>
        <w:t xml:space="preserve">examiner l'Appendice </w:t>
      </w:r>
      <w:r w:rsidRPr="005C76CF">
        <w:rPr>
          <w:rFonts w:asciiTheme="minorHAnsi" w:hAnsiTheme="minorHAnsi" w:cstheme="minorHAnsi"/>
          <w:b/>
          <w:bCs/>
          <w:iCs/>
          <w:sz w:val="24"/>
          <w:szCs w:val="24"/>
        </w:rPr>
        <w:t>27</w:t>
      </w:r>
      <w:r w:rsidRPr="005C76CF">
        <w:rPr>
          <w:rFonts w:asciiTheme="minorHAnsi" w:hAnsiTheme="minorHAnsi" w:cstheme="minorHAnsi"/>
          <w:bCs/>
          <w:iCs/>
          <w:sz w:val="24"/>
          <w:szCs w:val="24"/>
        </w:rPr>
        <w:t xml:space="preserve"> du Règlement des radiocommunications et envisager des mesures et mises à jour réglementaires appropriées sur la base des études de l'UIT-R, afin de tenir compte des techniques numériques pour les applications liées à la sécurité de la vie humaine dans le domaine de l'aviation commerciale dans les bandes d'ondes décamétriques existantes attribuées au service mobile aéronautique (le long des routes) et d'assurer la coexistence entre les systèmes actuels en ondes décamétriques et les systèmes modernisés en ondes décamétriques, conformément à la Résolution </w:t>
      </w:r>
      <w:r w:rsidRPr="005C76CF">
        <w:rPr>
          <w:rFonts w:asciiTheme="minorHAnsi" w:hAnsiTheme="minorHAnsi" w:cstheme="minorHAnsi"/>
          <w:b/>
          <w:iCs/>
          <w:sz w:val="24"/>
          <w:szCs w:val="24"/>
        </w:rPr>
        <w:t>429</w:t>
      </w:r>
      <w:r w:rsidRPr="005C76CF">
        <w:rPr>
          <w:rFonts w:asciiTheme="minorHAnsi" w:hAnsiTheme="minorHAnsi" w:cstheme="minorHAnsi"/>
          <w:b/>
          <w:bCs/>
          <w:iCs/>
          <w:sz w:val="24"/>
          <w:szCs w:val="24"/>
        </w:rPr>
        <w:t xml:space="preserve"> (CMR-19)</w:t>
      </w:r>
      <w:r w:rsidRPr="005C76CF">
        <w:rPr>
          <w:rFonts w:asciiTheme="minorHAnsi" w:hAnsiTheme="minorHAnsi" w:cstheme="minorHAnsi"/>
          <w:bCs/>
          <w:iCs/>
          <w:sz w:val="24"/>
          <w:szCs w:val="24"/>
        </w:rPr>
        <w:t>;</w:t>
      </w:r>
    </w:p>
    <w:p w14:paraId="414842BF" w14:textId="77777777" w:rsidR="00F3006A" w:rsidRPr="005C76CF" w:rsidRDefault="00F3006A" w:rsidP="00630545">
      <w:pPr>
        <w:spacing w:before="120" w:line="240" w:lineRule="auto"/>
        <w:jc w:val="left"/>
        <w:rPr>
          <w:rFonts w:asciiTheme="minorHAnsi" w:hAnsiTheme="minorHAnsi" w:cstheme="minorHAnsi"/>
          <w:b/>
          <w:bCs/>
          <w:iCs/>
          <w:sz w:val="24"/>
          <w:szCs w:val="24"/>
        </w:rPr>
      </w:pPr>
      <w:r w:rsidRPr="005C76CF">
        <w:rPr>
          <w:rFonts w:asciiTheme="minorHAnsi" w:hAnsiTheme="minorHAnsi" w:cstheme="minorHAnsi"/>
          <w:bCs/>
          <w:iCs/>
          <w:sz w:val="24"/>
          <w:szCs w:val="24"/>
        </w:rPr>
        <w:t>1.10</w:t>
      </w:r>
      <w:r w:rsidRPr="005C76CF">
        <w:rPr>
          <w:rFonts w:asciiTheme="minorHAnsi" w:hAnsiTheme="minorHAnsi" w:cstheme="minorHAnsi"/>
          <w:bCs/>
          <w:iCs/>
          <w:sz w:val="24"/>
          <w:szCs w:val="24"/>
        </w:rPr>
        <w:tab/>
        <w:t xml:space="preserve">procéder à des études sur les besoins de spectre, la coexistence avec les services de radiocommunication et les mesures réglementaires à prendre en vue de faire de nouvelles attributions éventuelles au service mobile aéronautique pour l'utilisation des applications du service mobile aéronautique non liées à la sécurité, conformément à la Résolution </w:t>
      </w:r>
      <w:r w:rsidRPr="005C76CF">
        <w:rPr>
          <w:rFonts w:asciiTheme="minorHAnsi" w:hAnsiTheme="minorHAnsi" w:cstheme="minorHAnsi"/>
          <w:b/>
          <w:bCs/>
          <w:iCs/>
          <w:sz w:val="24"/>
          <w:szCs w:val="24"/>
        </w:rPr>
        <w:t>430 (CMR-19)</w:t>
      </w:r>
      <w:r w:rsidRPr="005C76CF">
        <w:rPr>
          <w:rFonts w:asciiTheme="minorHAnsi" w:hAnsiTheme="minorHAnsi" w:cstheme="minorHAnsi"/>
          <w:bCs/>
          <w:iCs/>
          <w:sz w:val="24"/>
          <w:szCs w:val="24"/>
        </w:rPr>
        <w:t>;</w:t>
      </w:r>
    </w:p>
    <w:p w14:paraId="0C357148" w14:textId="77777777" w:rsidR="00F3006A" w:rsidRPr="005C76CF" w:rsidRDefault="00F3006A" w:rsidP="00630545">
      <w:pPr>
        <w:spacing w:before="120" w:line="240" w:lineRule="auto"/>
        <w:jc w:val="left"/>
        <w:rPr>
          <w:rFonts w:asciiTheme="minorHAnsi" w:hAnsiTheme="minorHAnsi" w:cstheme="minorHAnsi"/>
          <w:bCs/>
          <w:iCs/>
          <w:sz w:val="24"/>
          <w:szCs w:val="24"/>
        </w:rPr>
      </w:pPr>
      <w:r w:rsidRPr="005C76CF">
        <w:rPr>
          <w:rFonts w:asciiTheme="minorHAnsi" w:hAnsiTheme="minorHAnsi" w:cstheme="minorHAnsi"/>
          <w:bCs/>
          <w:iCs/>
          <w:sz w:val="24"/>
          <w:szCs w:val="24"/>
        </w:rPr>
        <w:t>1.11</w:t>
      </w:r>
      <w:r w:rsidRPr="005C76CF">
        <w:rPr>
          <w:rFonts w:asciiTheme="minorHAnsi" w:hAnsiTheme="minorHAnsi" w:cstheme="minorHAnsi"/>
          <w:bCs/>
          <w:iCs/>
          <w:sz w:val="24"/>
          <w:szCs w:val="24"/>
        </w:rPr>
        <w:tab/>
        <w:t xml:space="preserve">examiner les mesures réglementaires qui pourraient être prises, en vue de permettre la modernisation du Système mondial de détresse et de sécurité en mer et la mise en œuvre de la navigation électronique, conformément à la Résolution </w:t>
      </w:r>
      <w:r w:rsidRPr="005C76CF">
        <w:rPr>
          <w:rFonts w:asciiTheme="minorHAnsi" w:hAnsiTheme="minorHAnsi" w:cstheme="minorHAnsi"/>
          <w:b/>
          <w:iCs/>
          <w:sz w:val="24"/>
          <w:szCs w:val="24"/>
        </w:rPr>
        <w:t>361 (Rév.CMR-19)</w:t>
      </w:r>
      <w:r w:rsidRPr="005C76CF">
        <w:rPr>
          <w:rFonts w:asciiTheme="minorHAnsi" w:hAnsiTheme="minorHAnsi" w:cstheme="minorHAnsi"/>
          <w:bCs/>
          <w:iCs/>
          <w:sz w:val="24"/>
          <w:szCs w:val="24"/>
        </w:rPr>
        <w:t>;</w:t>
      </w:r>
    </w:p>
    <w:p w14:paraId="79478D1A" w14:textId="77777777" w:rsidR="00F3006A" w:rsidRPr="005C76CF" w:rsidRDefault="00F3006A" w:rsidP="00630545">
      <w:pPr>
        <w:keepLines/>
        <w:spacing w:before="120" w:line="240" w:lineRule="auto"/>
        <w:jc w:val="left"/>
        <w:rPr>
          <w:rFonts w:asciiTheme="minorHAnsi" w:hAnsiTheme="minorHAnsi" w:cstheme="minorHAnsi"/>
          <w:bCs/>
          <w:iCs/>
          <w:sz w:val="24"/>
          <w:szCs w:val="24"/>
        </w:rPr>
      </w:pPr>
      <w:r w:rsidRPr="005C76CF">
        <w:rPr>
          <w:rFonts w:asciiTheme="minorHAnsi" w:hAnsiTheme="minorHAnsi" w:cstheme="minorHAnsi"/>
          <w:bCs/>
          <w:iCs/>
          <w:sz w:val="24"/>
          <w:szCs w:val="24"/>
        </w:rPr>
        <w:t>1.12</w:t>
      </w:r>
      <w:r w:rsidRPr="005C76CF">
        <w:rPr>
          <w:rFonts w:asciiTheme="minorHAnsi" w:hAnsiTheme="minorHAnsi" w:cstheme="minorHAnsi"/>
          <w:bCs/>
          <w:iCs/>
          <w:sz w:val="24"/>
          <w:szCs w:val="24"/>
        </w:rPr>
        <w:tab/>
        <w:t xml:space="preserve">mener, et achever à temps pour la CMR-23, des études concernant la possibilité de faire une nouvelle attribution à titre secondaire au service d'exploration de la Terre par satellite (active) pour les sondeurs radar </w:t>
      </w:r>
      <w:proofErr w:type="spellStart"/>
      <w:r w:rsidRPr="005C76CF">
        <w:rPr>
          <w:rFonts w:asciiTheme="minorHAnsi" w:hAnsiTheme="minorHAnsi" w:cstheme="minorHAnsi"/>
          <w:bCs/>
          <w:iCs/>
          <w:sz w:val="24"/>
          <w:szCs w:val="24"/>
        </w:rPr>
        <w:t>spatioportés</w:t>
      </w:r>
      <w:proofErr w:type="spellEnd"/>
      <w:r w:rsidRPr="005C76CF">
        <w:rPr>
          <w:rFonts w:asciiTheme="minorHAnsi" w:hAnsiTheme="minorHAnsi" w:cstheme="minorHAnsi"/>
          <w:bCs/>
          <w:iCs/>
          <w:sz w:val="24"/>
          <w:szCs w:val="24"/>
        </w:rPr>
        <w:t xml:space="preserve"> dans la gamme de fréquences au voisinage de 45 MHz, compte tenu de la protection des services existants, y compris dans les bandes de fréquences adjacentes, conformément à la Résolution </w:t>
      </w:r>
      <w:r w:rsidRPr="005C76CF">
        <w:rPr>
          <w:rFonts w:asciiTheme="minorHAnsi" w:hAnsiTheme="minorHAnsi" w:cstheme="minorHAnsi"/>
          <w:b/>
          <w:bCs/>
          <w:iCs/>
          <w:sz w:val="24"/>
          <w:szCs w:val="24"/>
        </w:rPr>
        <w:t>656 (Rév.CMR-19)</w:t>
      </w:r>
      <w:r w:rsidRPr="005C76CF">
        <w:rPr>
          <w:rFonts w:asciiTheme="minorHAnsi" w:hAnsiTheme="minorHAnsi" w:cstheme="minorHAnsi"/>
          <w:bCs/>
          <w:iCs/>
          <w:sz w:val="24"/>
          <w:szCs w:val="24"/>
        </w:rPr>
        <w:t>;</w:t>
      </w:r>
    </w:p>
    <w:p w14:paraId="48FD1641" w14:textId="77777777" w:rsidR="00F3006A" w:rsidRPr="005C76CF" w:rsidRDefault="00F3006A" w:rsidP="00630545">
      <w:pPr>
        <w:spacing w:before="120" w:line="240" w:lineRule="auto"/>
        <w:jc w:val="left"/>
        <w:rPr>
          <w:rFonts w:asciiTheme="minorHAnsi" w:hAnsiTheme="minorHAnsi" w:cstheme="minorHAnsi"/>
          <w:bCs/>
          <w:iCs/>
          <w:sz w:val="24"/>
          <w:szCs w:val="24"/>
        </w:rPr>
      </w:pPr>
      <w:r w:rsidRPr="005C76CF">
        <w:rPr>
          <w:rFonts w:asciiTheme="minorHAnsi" w:hAnsiTheme="minorHAnsi" w:cstheme="minorHAnsi"/>
          <w:bCs/>
          <w:iCs/>
          <w:sz w:val="24"/>
          <w:szCs w:val="24"/>
        </w:rPr>
        <w:t>1.13</w:t>
      </w:r>
      <w:r w:rsidRPr="005C76CF">
        <w:rPr>
          <w:rFonts w:asciiTheme="minorHAnsi" w:hAnsiTheme="minorHAnsi" w:cstheme="minorHAnsi"/>
          <w:bCs/>
          <w:iCs/>
          <w:sz w:val="24"/>
          <w:szCs w:val="24"/>
        </w:rPr>
        <w:tab/>
        <w:t>examiner le relèvement possible du statut de l'attribution de la bande de fréquences 14,8</w:t>
      </w:r>
      <w:r w:rsidRPr="005C76CF">
        <w:rPr>
          <w:rFonts w:asciiTheme="minorHAnsi" w:hAnsiTheme="minorHAnsi" w:cstheme="minorHAnsi"/>
          <w:bCs/>
          <w:iCs/>
          <w:sz w:val="24"/>
          <w:szCs w:val="24"/>
        </w:rPr>
        <w:noBreakHyphen/>
        <w:t xml:space="preserve">15,35 GHz au service de recherche spatiale conformément à la Résolution </w:t>
      </w:r>
      <w:r w:rsidRPr="005C76CF">
        <w:rPr>
          <w:rFonts w:asciiTheme="minorHAnsi" w:hAnsiTheme="minorHAnsi" w:cstheme="minorHAnsi"/>
          <w:b/>
          <w:bCs/>
          <w:iCs/>
          <w:sz w:val="24"/>
          <w:szCs w:val="24"/>
        </w:rPr>
        <w:t>661 (CMR</w:t>
      </w:r>
      <w:r w:rsidRPr="005C76CF">
        <w:rPr>
          <w:rFonts w:asciiTheme="minorHAnsi" w:hAnsiTheme="minorHAnsi" w:cstheme="minorHAnsi"/>
          <w:b/>
          <w:bCs/>
          <w:iCs/>
          <w:sz w:val="24"/>
          <w:szCs w:val="24"/>
        </w:rPr>
        <w:noBreakHyphen/>
        <w:t>19)</w:t>
      </w:r>
      <w:r w:rsidRPr="005C76CF">
        <w:rPr>
          <w:rFonts w:asciiTheme="minorHAnsi" w:hAnsiTheme="minorHAnsi" w:cstheme="minorHAnsi"/>
          <w:bCs/>
          <w:iCs/>
          <w:sz w:val="24"/>
          <w:szCs w:val="24"/>
        </w:rPr>
        <w:t>;</w:t>
      </w:r>
    </w:p>
    <w:p w14:paraId="304BA68A" w14:textId="77777777" w:rsidR="00F3006A" w:rsidRPr="005C76CF" w:rsidRDefault="00F3006A" w:rsidP="00630545">
      <w:pPr>
        <w:spacing w:before="120" w:line="240" w:lineRule="auto"/>
        <w:jc w:val="left"/>
        <w:rPr>
          <w:rFonts w:asciiTheme="minorHAnsi" w:hAnsiTheme="minorHAnsi" w:cstheme="minorHAnsi"/>
          <w:bCs/>
          <w:iCs/>
          <w:sz w:val="24"/>
          <w:szCs w:val="24"/>
        </w:rPr>
      </w:pPr>
      <w:r w:rsidRPr="005C76CF">
        <w:rPr>
          <w:rFonts w:asciiTheme="minorHAnsi" w:hAnsiTheme="minorHAnsi" w:cstheme="minorHAnsi"/>
          <w:bCs/>
          <w:iCs/>
          <w:sz w:val="24"/>
          <w:szCs w:val="24"/>
        </w:rPr>
        <w:lastRenderedPageBreak/>
        <w:t>1.14</w:t>
      </w:r>
      <w:r w:rsidRPr="005C76CF">
        <w:rPr>
          <w:rFonts w:asciiTheme="minorHAnsi" w:hAnsiTheme="minorHAnsi" w:cstheme="minorHAnsi"/>
          <w:bCs/>
          <w:iCs/>
          <w:sz w:val="24"/>
          <w:szCs w:val="24"/>
        </w:rPr>
        <w:tab/>
        <w:t>examiner et envisager la possibilité d'apporter des ajustements aux attributions de fréquences existantes ou de faire de nouvelles attributions à titre primaire au SETS (passive) dans la gamme de fréquences 231,5-252 GHz, pour s'assurer qu'elles correspondent aux exigences récentes en matière d'observation des systèmes de télédétection, conformément à la Résolution </w:t>
      </w:r>
      <w:r w:rsidRPr="005C76CF">
        <w:rPr>
          <w:rFonts w:asciiTheme="minorHAnsi" w:hAnsiTheme="minorHAnsi" w:cstheme="minorHAnsi"/>
          <w:b/>
          <w:bCs/>
          <w:iCs/>
          <w:sz w:val="24"/>
          <w:szCs w:val="24"/>
        </w:rPr>
        <w:t>662 (CMR-19)</w:t>
      </w:r>
      <w:r w:rsidRPr="005C76CF">
        <w:rPr>
          <w:rFonts w:asciiTheme="minorHAnsi" w:hAnsiTheme="minorHAnsi" w:cstheme="minorHAnsi"/>
          <w:bCs/>
          <w:iCs/>
          <w:sz w:val="24"/>
          <w:szCs w:val="24"/>
        </w:rPr>
        <w:t>;</w:t>
      </w:r>
    </w:p>
    <w:p w14:paraId="6140B753" w14:textId="77777777" w:rsidR="00F3006A" w:rsidRPr="005C76CF" w:rsidRDefault="00F3006A" w:rsidP="00630545">
      <w:pPr>
        <w:spacing w:before="120" w:line="240" w:lineRule="auto"/>
        <w:jc w:val="left"/>
        <w:rPr>
          <w:rFonts w:asciiTheme="minorHAnsi" w:hAnsiTheme="minorHAnsi" w:cstheme="minorHAnsi"/>
          <w:bCs/>
          <w:iCs/>
          <w:sz w:val="24"/>
          <w:szCs w:val="24"/>
        </w:rPr>
      </w:pPr>
      <w:r w:rsidRPr="005C76CF">
        <w:rPr>
          <w:rFonts w:asciiTheme="minorHAnsi" w:hAnsiTheme="minorHAnsi" w:cstheme="minorHAnsi"/>
          <w:bCs/>
          <w:iCs/>
          <w:sz w:val="24"/>
          <w:szCs w:val="24"/>
        </w:rPr>
        <w:t>1.15</w:t>
      </w:r>
      <w:r w:rsidRPr="005C76CF">
        <w:rPr>
          <w:rFonts w:asciiTheme="minorHAnsi" w:hAnsiTheme="minorHAnsi" w:cstheme="minorHAnsi"/>
          <w:bCs/>
          <w:iCs/>
          <w:sz w:val="24"/>
          <w:szCs w:val="24"/>
        </w:rPr>
        <w:tab/>
        <w:t>harmoniser l'utilisation de la bande de fréquences 12,75-13,25 GHz (Terre vers espace) par les stations terriennes à bord d'aéronefs et de navires communiquant avec des stations spatiales géostationnaires du service fixe par satellite partout dans le monde, conformément à la Résolution </w:t>
      </w:r>
      <w:r w:rsidRPr="005C76CF">
        <w:rPr>
          <w:rFonts w:asciiTheme="minorHAnsi" w:hAnsiTheme="minorHAnsi" w:cstheme="minorHAnsi"/>
          <w:b/>
          <w:iCs/>
          <w:sz w:val="24"/>
          <w:szCs w:val="24"/>
        </w:rPr>
        <w:t>172 (CMR-19)</w:t>
      </w:r>
      <w:r w:rsidRPr="005C76CF">
        <w:rPr>
          <w:rFonts w:asciiTheme="minorHAnsi" w:hAnsiTheme="minorHAnsi" w:cstheme="minorHAnsi"/>
          <w:bCs/>
          <w:iCs/>
          <w:sz w:val="24"/>
          <w:szCs w:val="24"/>
        </w:rPr>
        <w:t>;</w:t>
      </w:r>
    </w:p>
    <w:p w14:paraId="0AC5D807" w14:textId="77777777" w:rsidR="00F3006A" w:rsidRPr="005C76CF" w:rsidRDefault="00F3006A" w:rsidP="00630545">
      <w:pPr>
        <w:spacing w:before="120" w:line="240" w:lineRule="auto"/>
        <w:jc w:val="left"/>
        <w:rPr>
          <w:rFonts w:asciiTheme="minorHAnsi" w:hAnsiTheme="minorHAnsi" w:cstheme="minorHAnsi"/>
          <w:bCs/>
          <w:iCs/>
          <w:sz w:val="24"/>
          <w:szCs w:val="24"/>
        </w:rPr>
      </w:pPr>
      <w:r w:rsidRPr="005C76CF">
        <w:rPr>
          <w:rFonts w:asciiTheme="minorHAnsi" w:hAnsiTheme="minorHAnsi" w:cstheme="minorHAnsi"/>
          <w:bCs/>
          <w:iCs/>
          <w:sz w:val="24"/>
          <w:szCs w:val="24"/>
        </w:rPr>
        <w:t>1.16</w:t>
      </w:r>
      <w:r w:rsidRPr="005C76CF">
        <w:rPr>
          <w:rFonts w:asciiTheme="minorHAnsi" w:hAnsiTheme="minorHAnsi" w:cstheme="minorHAnsi"/>
          <w:bCs/>
          <w:iCs/>
          <w:sz w:val="24"/>
          <w:szCs w:val="24"/>
        </w:rPr>
        <w:tab/>
        <w:t>étudier et définir les mesures techniques, opérationnelles et réglementaires, selon le cas, propres à faciliter l'utilisation des bandes de fréquences 17,7-18,6 GHz, 18,8-19,3 GHz et 19,7</w:t>
      </w:r>
      <w:r w:rsidRPr="005C76CF">
        <w:rPr>
          <w:rFonts w:asciiTheme="minorHAnsi" w:hAnsiTheme="minorHAnsi" w:cstheme="minorHAnsi"/>
          <w:bCs/>
          <w:iCs/>
          <w:sz w:val="24"/>
          <w:szCs w:val="24"/>
        </w:rPr>
        <w:noBreakHyphen/>
        <w:t xml:space="preserve">20,2 GHz (espace vers Terre), ainsi que 27,5-29,1 GHz et 29,5-30 GHz (Terre vers espace) par les stations ESIM du SFS non OSG, tout en assurant la protection voulue des services existants dans ces bandes de fréquences conformément à la Résolution </w:t>
      </w:r>
      <w:r w:rsidRPr="005C76CF">
        <w:rPr>
          <w:rFonts w:asciiTheme="minorHAnsi" w:hAnsiTheme="minorHAnsi" w:cstheme="minorHAnsi"/>
          <w:b/>
          <w:iCs/>
          <w:sz w:val="24"/>
          <w:szCs w:val="24"/>
        </w:rPr>
        <w:t>173 (CMR-19)</w:t>
      </w:r>
      <w:r w:rsidRPr="005C76CF">
        <w:rPr>
          <w:rFonts w:asciiTheme="minorHAnsi" w:hAnsiTheme="minorHAnsi" w:cstheme="minorHAnsi"/>
          <w:bCs/>
          <w:iCs/>
          <w:sz w:val="24"/>
          <w:szCs w:val="24"/>
        </w:rPr>
        <w:t xml:space="preserve">; </w:t>
      </w:r>
    </w:p>
    <w:p w14:paraId="62FD3518" w14:textId="77777777" w:rsidR="00F3006A" w:rsidRPr="005C76CF" w:rsidRDefault="00F3006A" w:rsidP="00630545">
      <w:pPr>
        <w:spacing w:before="120" w:line="240" w:lineRule="auto"/>
        <w:jc w:val="left"/>
        <w:rPr>
          <w:rFonts w:asciiTheme="minorHAnsi" w:hAnsiTheme="minorHAnsi" w:cstheme="minorHAnsi"/>
          <w:bCs/>
          <w:iCs/>
          <w:sz w:val="24"/>
          <w:szCs w:val="24"/>
        </w:rPr>
      </w:pPr>
      <w:r w:rsidRPr="005C76CF">
        <w:rPr>
          <w:rFonts w:asciiTheme="minorHAnsi" w:hAnsiTheme="minorHAnsi" w:cstheme="minorHAnsi"/>
          <w:bCs/>
          <w:iCs/>
          <w:sz w:val="24"/>
          <w:szCs w:val="24"/>
        </w:rPr>
        <w:t>1.17</w:t>
      </w:r>
      <w:r w:rsidRPr="005C76CF">
        <w:rPr>
          <w:rFonts w:asciiTheme="minorHAnsi" w:hAnsiTheme="minorHAnsi" w:cstheme="minorHAnsi"/>
          <w:bCs/>
          <w:iCs/>
          <w:sz w:val="24"/>
          <w:szCs w:val="24"/>
        </w:rPr>
        <w:tab/>
        <w:t xml:space="preserve">déterminer et prendre, sur la base des études menées par l'UIT-R conformément à la Résolution </w:t>
      </w:r>
      <w:r w:rsidRPr="005C76CF">
        <w:rPr>
          <w:rFonts w:asciiTheme="minorHAnsi" w:hAnsiTheme="minorHAnsi" w:cstheme="minorHAnsi"/>
          <w:b/>
          <w:bCs/>
          <w:iCs/>
          <w:sz w:val="24"/>
          <w:szCs w:val="24"/>
        </w:rPr>
        <w:t>773 (CMR-19)</w:t>
      </w:r>
      <w:r w:rsidRPr="005C76CF">
        <w:rPr>
          <w:rFonts w:asciiTheme="minorHAnsi" w:hAnsiTheme="minorHAnsi" w:cstheme="minorHAnsi"/>
          <w:bCs/>
          <w:iCs/>
          <w:sz w:val="24"/>
          <w:szCs w:val="24"/>
        </w:rPr>
        <w:t>, les mesures réglementaires appropriées concernant l'établissement de liaisons inter-satellites dans certaines bandes de fréquences, ou dans des parties de ces bandes, en ajoutant une attribution au service inter-satellites, s'il y a lieu;</w:t>
      </w:r>
    </w:p>
    <w:p w14:paraId="26EACE89" w14:textId="77777777" w:rsidR="00F3006A" w:rsidRPr="005C76CF" w:rsidRDefault="00F3006A" w:rsidP="00630545">
      <w:pPr>
        <w:spacing w:before="120" w:line="240" w:lineRule="auto"/>
        <w:jc w:val="left"/>
        <w:rPr>
          <w:rFonts w:asciiTheme="minorHAnsi" w:hAnsiTheme="minorHAnsi" w:cstheme="minorHAnsi"/>
          <w:bCs/>
          <w:iCs/>
          <w:sz w:val="24"/>
          <w:szCs w:val="24"/>
        </w:rPr>
      </w:pPr>
      <w:r w:rsidRPr="005C76CF">
        <w:rPr>
          <w:rFonts w:asciiTheme="minorHAnsi" w:hAnsiTheme="minorHAnsi" w:cstheme="minorHAnsi"/>
          <w:bCs/>
          <w:iCs/>
          <w:sz w:val="24"/>
          <w:szCs w:val="24"/>
        </w:rPr>
        <w:t>1.18</w:t>
      </w:r>
      <w:r w:rsidRPr="005C76CF">
        <w:rPr>
          <w:rFonts w:asciiTheme="minorHAnsi" w:hAnsiTheme="minorHAnsi" w:cstheme="minorHAnsi"/>
          <w:bCs/>
          <w:iCs/>
          <w:sz w:val="24"/>
          <w:szCs w:val="24"/>
        </w:rPr>
        <w:tab/>
        <w:t xml:space="preserve">examiner les études portant sur les besoins de spectre et envisager d'éventuelles nouvelles attributions au service mobile par satellite pour le développement futur des systèmes mobiles à satellites à bande étroite, conformément à la Résolution </w:t>
      </w:r>
      <w:r w:rsidRPr="005C76CF">
        <w:rPr>
          <w:rFonts w:asciiTheme="minorHAnsi" w:hAnsiTheme="minorHAnsi" w:cstheme="minorHAnsi"/>
          <w:b/>
          <w:iCs/>
          <w:sz w:val="24"/>
          <w:szCs w:val="24"/>
        </w:rPr>
        <w:t>248</w:t>
      </w:r>
      <w:r w:rsidRPr="005C76CF">
        <w:rPr>
          <w:rFonts w:asciiTheme="minorHAnsi" w:hAnsiTheme="minorHAnsi" w:cstheme="minorHAnsi"/>
          <w:b/>
          <w:bCs/>
          <w:iCs/>
          <w:sz w:val="24"/>
          <w:szCs w:val="24"/>
        </w:rPr>
        <w:t xml:space="preserve"> (CMR-19)</w:t>
      </w:r>
      <w:r w:rsidRPr="005C76CF">
        <w:rPr>
          <w:rFonts w:asciiTheme="minorHAnsi" w:hAnsiTheme="minorHAnsi" w:cstheme="minorHAnsi"/>
          <w:bCs/>
          <w:iCs/>
          <w:sz w:val="24"/>
          <w:szCs w:val="24"/>
        </w:rPr>
        <w:t>;</w:t>
      </w:r>
    </w:p>
    <w:p w14:paraId="19021811" w14:textId="77777777" w:rsidR="00F3006A" w:rsidRPr="005C76CF" w:rsidRDefault="00F3006A" w:rsidP="00630545">
      <w:pPr>
        <w:spacing w:before="120" w:line="240" w:lineRule="auto"/>
        <w:jc w:val="left"/>
        <w:rPr>
          <w:rFonts w:asciiTheme="minorHAnsi" w:hAnsiTheme="minorHAnsi" w:cstheme="minorHAnsi"/>
          <w:bCs/>
          <w:iCs/>
          <w:sz w:val="24"/>
          <w:szCs w:val="24"/>
        </w:rPr>
      </w:pPr>
      <w:r w:rsidRPr="005C76CF">
        <w:rPr>
          <w:rFonts w:asciiTheme="minorHAnsi" w:hAnsiTheme="minorHAnsi" w:cstheme="minorHAnsi"/>
          <w:bCs/>
          <w:iCs/>
          <w:sz w:val="24"/>
          <w:szCs w:val="24"/>
        </w:rPr>
        <w:t>1.19</w:t>
      </w:r>
      <w:r w:rsidRPr="005C76CF">
        <w:rPr>
          <w:rFonts w:asciiTheme="minorHAnsi" w:hAnsiTheme="minorHAnsi" w:cstheme="minorHAnsi"/>
          <w:b/>
          <w:bCs/>
          <w:iCs/>
          <w:sz w:val="24"/>
          <w:szCs w:val="24"/>
        </w:rPr>
        <w:tab/>
      </w:r>
      <w:r w:rsidRPr="005C76CF">
        <w:rPr>
          <w:rFonts w:asciiTheme="minorHAnsi" w:hAnsiTheme="minorHAnsi" w:cstheme="minorHAnsi"/>
          <w:bCs/>
          <w:iCs/>
          <w:sz w:val="24"/>
          <w:szCs w:val="24"/>
        </w:rPr>
        <w:t>envisager une nouvelle attribution à titre primaire au service fixe par satellite dans le sens espace vers Terre dans la bande de fréquences 17,3-17,7 GHz en Région 2, tout en assurant la protection des services primaires existants dans la bande de fréquences, conformément à la Résolution </w:t>
      </w:r>
      <w:r w:rsidRPr="005C76CF">
        <w:rPr>
          <w:rFonts w:asciiTheme="minorHAnsi" w:hAnsiTheme="minorHAnsi" w:cstheme="minorHAnsi"/>
          <w:b/>
          <w:iCs/>
          <w:sz w:val="24"/>
          <w:szCs w:val="24"/>
        </w:rPr>
        <w:t>174</w:t>
      </w:r>
      <w:r w:rsidRPr="005C76CF">
        <w:rPr>
          <w:rFonts w:asciiTheme="minorHAnsi" w:hAnsiTheme="minorHAnsi" w:cstheme="minorHAnsi"/>
          <w:bCs/>
          <w:iCs/>
          <w:sz w:val="24"/>
          <w:szCs w:val="24"/>
        </w:rPr>
        <w:t xml:space="preserve"> </w:t>
      </w:r>
      <w:r w:rsidRPr="005C76CF">
        <w:rPr>
          <w:rFonts w:asciiTheme="minorHAnsi" w:hAnsiTheme="minorHAnsi" w:cstheme="minorHAnsi"/>
          <w:b/>
          <w:bCs/>
          <w:iCs/>
          <w:sz w:val="24"/>
          <w:szCs w:val="24"/>
        </w:rPr>
        <w:t>(CMR-19)</w:t>
      </w:r>
      <w:r w:rsidRPr="005C76CF">
        <w:rPr>
          <w:rFonts w:asciiTheme="minorHAnsi" w:hAnsiTheme="minorHAnsi" w:cstheme="minorHAnsi"/>
          <w:bCs/>
          <w:iCs/>
          <w:sz w:val="24"/>
          <w:szCs w:val="24"/>
        </w:rPr>
        <w:t>;</w:t>
      </w:r>
    </w:p>
    <w:p w14:paraId="006203CB" w14:textId="77777777" w:rsidR="00F3006A" w:rsidRPr="005C76CF" w:rsidRDefault="00F3006A" w:rsidP="00630545">
      <w:pPr>
        <w:spacing w:before="120" w:line="240" w:lineRule="auto"/>
        <w:jc w:val="left"/>
        <w:rPr>
          <w:rFonts w:asciiTheme="minorHAnsi" w:hAnsiTheme="minorHAnsi" w:cstheme="minorHAnsi"/>
          <w:sz w:val="24"/>
          <w:szCs w:val="24"/>
        </w:rPr>
      </w:pPr>
      <w:r w:rsidRPr="005C76CF">
        <w:rPr>
          <w:rFonts w:asciiTheme="minorHAnsi" w:hAnsiTheme="minorHAnsi" w:cstheme="minorHAnsi"/>
          <w:sz w:val="24"/>
          <w:szCs w:val="24"/>
        </w:rPr>
        <w:t>2</w:t>
      </w:r>
      <w:r w:rsidRPr="005C76CF">
        <w:rPr>
          <w:rFonts w:asciiTheme="minorHAnsi" w:hAnsiTheme="minorHAnsi" w:cstheme="minorHAnsi"/>
          <w:sz w:val="24"/>
          <w:szCs w:val="24"/>
        </w:rPr>
        <w:tab/>
        <w:t xml:space="preserve">examiner les Recommandations UIT-R révisées et incorporées par référence dans le Règlement des radiocommunications, communiquées par l'Assemblée des radiocommunications conformément au </w:t>
      </w:r>
      <w:r w:rsidRPr="005C76CF">
        <w:rPr>
          <w:rFonts w:asciiTheme="minorHAnsi" w:hAnsiTheme="minorHAnsi" w:cstheme="minorHAnsi"/>
          <w:i/>
          <w:sz w:val="24"/>
          <w:szCs w:val="24"/>
        </w:rPr>
        <w:t>décide en outre</w:t>
      </w:r>
      <w:r w:rsidRPr="005C76CF">
        <w:rPr>
          <w:rFonts w:asciiTheme="minorHAnsi" w:hAnsiTheme="minorHAnsi" w:cstheme="minorHAnsi"/>
          <w:sz w:val="24"/>
          <w:szCs w:val="24"/>
        </w:rPr>
        <w:t xml:space="preserve"> de la Résolution </w:t>
      </w:r>
      <w:r w:rsidRPr="005C76CF">
        <w:rPr>
          <w:rFonts w:asciiTheme="minorHAnsi" w:hAnsiTheme="minorHAnsi" w:cstheme="minorHAnsi"/>
          <w:b/>
          <w:bCs/>
          <w:sz w:val="24"/>
          <w:szCs w:val="24"/>
        </w:rPr>
        <w:t>27</w:t>
      </w:r>
      <w:r w:rsidRPr="005C76CF">
        <w:rPr>
          <w:rFonts w:asciiTheme="minorHAnsi" w:hAnsiTheme="minorHAnsi" w:cstheme="minorHAnsi"/>
          <w:sz w:val="24"/>
          <w:szCs w:val="24"/>
        </w:rPr>
        <w:t xml:space="preserve"> </w:t>
      </w:r>
      <w:r w:rsidRPr="005C76CF">
        <w:rPr>
          <w:rFonts w:asciiTheme="minorHAnsi" w:hAnsiTheme="minorHAnsi" w:cstheme="minorHAnsi"/>
          <w:b/>
          <w:bCs/>
          <w:sz w:val="24"/>
          <w:szCs w:val="24"/>
        </w:rPr>
        <w:t>(Rév.CMR-19)</w:t>
      </w:r>
      <w:r w:rsidRPr="005C76CF">
        <w:rPr>
          <w:rFonts w:asciiTheme="minorHAnsi" w:hAnsiTheme="minorHAnsi" w:cstheme="minorHAnsi"/>
          <w:sz w:val="24"/>
          <w:szCs w:val="24"/>
        </w:rPr>
        <w:t>,</w:t>
      </w:r>
      <w:r w:rsidRPr="005C76CF">
        <w:rPr>
          <w:rFonts w:asciiTheme="minorHAnsi" w:hAnsiTheme="minorHAnsi" w:cstheme="minorHAnsi"/>
          <w:b/>
          <w:bCs/>
          <w:sz w:val="24"/>
          <w:szCs w:val="24"/>
        </w:rPr>
        <w:t xml:space="preserve"> </w:t>
      </w:r>
      <w:r w:rsidRPr="005C76CF">
        <w:rPr>
          <w:rFonts w:asciiTheme="minorHAnsi" w:hAnsiTheme="minorHAnsi" w:cstheme="minorHAnsi"/>
          <w:sz w:val="24"/>
          <w:szCs w:val="24"/>
        </w:rPr>
        <w:t xml:space="preserve">et décider s'il convient ou non de mettre à jour les références correspondantes dans le Règlement des radiocommunications, conformément aux principes énoncés au </w:t>
      </w:r>
      <w:r w:rsidRPr="005C76CF">
        <w:rPr>
          <w:rFonts w:asciiTheme="minorHAnsi" w:hAnsiTheme="minorHAnsi" w:cstheme="minorHAnsi"/>
          <w:i/>
          <w:sz w:val="24"/>
          <w:szCs w:val="24"/>
        </w:rPr>
        <w:t>décide</w:t>
      </w:r>
      <w:r w:rsidRPr="005C76CF">
        <w:rPr>
          <w:rFonts w:asciiTheme="minorHAnsi" w:hAnsiTheme="minorHAnsi" w:cstheme="minorHAnsi"/>
          <w:sz w:val="24"/>
          <w:szCs w:val="24"/>
        </w:rPr>
        <w:t xml:space="preserve"> de cette Résolution;</w:t>
      </w:r>
    </w:p>
    <w:p w14:paraId="4B383E63" w14:textId="77777777" w:rsidR="00F3006A" w:rsidRPr="005C76CF" w:rsidRDefault="00F3006A" w:rsidP="00630545">
      <w:pPr>
        <w:spacing w:before="120" w:line="240" w:lineRule="auto"/>
        <w:jc w:val="left"/>
        <w:rPr>
          <w:rFonts w:asciiTheme="minorHAnsi" w:hAnsiTheme="minorHAnsi" w:cstheme="minorHAnsi"/>
          <w:sz w:val="24"/>
          <w:szCs w:val="24"/>
        </w:rPr>
      </w:pPr>
      <w:r w:rsidRPr="005C76CF">
        <w:rPr>
          <w:rFonts w:asciiTheme="minorHAnsi" w:hAnsiTheme="minorHAnsi" w:cstheme="minorHAnsi"/>
          <w:sz w:val="24"/>
          <w:szCs w:val="24"/>
        </w:rPr>
        <w:t>3</w:t>
      </w:r>
      <w:r w:rsidRPr="005C76CF">
        <w:rPr>
          <w:rFonts w:asciiTheme="minorHAnsi" w:hAnsiTheme="minorHAnsi" w:cstheme="minorHAnsi"/>
          <w:sz w:val="24"/>
          <w:szCs w:val="24"/>
        </w:rPr>
        <w:tab/>
        <w:t>examiner les modifications et amendements à apporter éventuellement au Règlement des radiocommunications à la suite des décisions prises par la Conférence;</w:t>
      </w:r>
    </w:p>
    <w:p w14:paraId="47BE4C49" w14:textId="77777777" w:rsidR="00F3006A" w:rsidRPr="005C76CF" w:rsidRDefault="00F3006A" w:rsidP="00630545">
      <w:pPr>
        <w:spacing w:before="120" w:line="240" w:lineRule="auto"/>
        <w:jc w:val="left"/>
        <w:rPr>
          <w:rFonts w:asciiTheme="minorHAnsi" w:hAnsiTheme="minorHAnsi" w:cstheme="minorHAnsi"/>
          <w:sz w:val="24"/>
          <w:szCs w:val="24"/>
        </w:rPr>
      </w:pPr>
      <w:r w:rsidRPr="005C76CF">
        <w:rPr>
          <w:rFonts w:asciiTheme="minorHAnsi" w:hAnsiTheme="minorHAnsi" w:cstheme="minorHAnsi"/>
          <w:sz w:val="24"/>
          <w:szCs w:val="24"/>
        </w:rPr>
        <w:t>4</w:t>
      </w:r>
      <w:r w:rsidRPr="005C76CF">
        <w:rPr>
          <w:rFonts w:asciiTheme="minorHAnsi" w:hAnsiTheme="minorHAnsi" w:cstheme="minorHAnsi"/>
          <w:sz w:val="24"/>
          <w:szCs w:val="24"/>
        </w:rPr>
        <w:tab/>
        <w:t xml:space="preserve">conformément à la Résolution </w:t>
      </w:r>
      <w:r w:rsidRPr="005C76CF">
        <w:rPr>
          <w:rFonts w:asciiTheme="minorHAnsi" w:hAnsiTheme="minorHAnsi" w:cstheme="minorHAnsi"/>
          <w:b/>
          <w:bCs/>
          <w:sz w:val="24"/>
          <w:szCs w:val="24"/>
        </w:rPr>
        <w:t>95 (Rév.CMR-19)</w:t>
      </w:r>
      <w:r w:rsidRPr="005C76CF">
        <w:rPr>
          <w:rFonts w:asciiTheme="minorHAnsi" w:hAnsiTheme="minorHAnsi" w:cstheme="minorHAnsi"/>
          <w:sz w:val="24"/>
          <w:szCs w:val="24"/>
        </w:rPr>
        <w:t>, examiner les résolutions et recommandations des conférences précédentes en vue, le cas échéant, de les réviser, de les remplacer ou de les supprimer;</w:t>
      </w:r>
    </w:p>
    <w:p w14:paraId="6A815918" w14:textId="77777777" w:rsidR="00F3006A" w:rsidRPr="005C76CF" w:rsidRDefault="00F3006A" w:rsidP="00630545">
      <w:pPr>
        <w:spacing w:before="120" w:line="240" w:lineRule="auto"/>
        <w:jc w:val="left"/>
        <w:rPr>
          <w:rFonts w:asciiTheme="minorHAnsi" w:hAnsiTheme="minorHAnsi" w:cstheme="minorHAnsi"/>
          <w:sz w:val="24"/>
          <w:szCs w:val="24"/>
        </w:rPr>
      </w:pPr>
      <w:r w:rsidRPr="005C76CF">
        <w:rPr>
          <w:rFonts w:asciiTheme="minorHAnsi" w:hAnsiTheme="minorHAnsi" w:cstheme="minorHAnsi"/>
          <w:sz w:val="24"/>
          <w:szCs w:val="24"/>
        </w:rPr>
        <w:t>5</w:t>
      </w:r>
      <w:r w:rsidRPr="005C76CF">
        <w:rPr>
          <w:rFonts w:asciiTheme="minorHAnsi" w:hAnsiTheme="minorHAnsi" w:cstheme="minorHAnsi"/>
          <w:sz w:val="24"/>
          <w:szCs w:val="24"/>
        </w:rPr>
        <w:tab/>
        <w:t>examiner le Rapport de l'Assemblée des radiocommunications soumis conformément aux numéros 135 et 136 de la Convention et lui donner la suite voulue;</w:t>
      </w:r>
    </w:p>
    <w:p w14:paraId="7F43DFFB" w14:textId="77777777" w:rsidR="00F3006A" w:rsidRPr="005C76CF" w:rsidRDefault="00F3006A" w:rsidP="00630545">
      <w:pPr>
        <w:spacing w:before="120" w:line="240" w:lineRule="auto"/>
        <w:jc w:val="left"/>
        <w:rPr>
          <w:rFonts w:asciiTheme="minorHAnsi" w:hAnsiTheme="minorHAnsi" w:cstheme="minorHAnsi"/>
          <w:sz w:val="24"/>
          <w:szCs w:val="24"/>
        </w:rPr>
      </w:pPr>
      <w:r w:rsidRPr="005C76CF">
        <w:rPr>
          <w:rFonts w:asciiTheme="minorHAnsi" w:hAnsiTheme="minorHAnsi" w:cstheme="minorHAnsi"/>
          <w:sz w:val="24"/>
          <w:szCs w:val="24"/>
        </w:rPr>
        <w:t>6</w:t>
      </w:r>
      <w:r w:rsidRPr="005C76CF">
        <w:rPr>
          <w:rFonts w:asciiTheme="minorHAnsi" w:hAnsiTheme="minorHAnsi" w:cstheme="minorHAnsi"/>
          <w:sz w:val="24"/>
          <w:szCs w:val="24"/>
        </w:rPr>
        <w:tab/>
        <w:t>identifier les points auxquels les commissions d'études des radiocommunications doivent d'urgence donner suite, en vue de la conférence mondiale des radiocommunications suivante;</w:t>
      </w:r>
    </w:p>
    <w:p w14:paraId="69F4A075" w14:textId="77777777" w:rsidR="00F3006A" w:rsidRPr="005C76CF" w:rsidRDefault="00F3006A" w:rsidP="00630545">
      <w:pPr>
        <w:keepLines/>
        <w:spacing w:before="120" w:line="240" w:lineRule="auto"/>
        <w:jc w:val="left"/>
        <w:rPr>
          <w:rFonts w:asciiTheme="minorHAnsi" w:hAnsiTheme="minorHAnsi" w:cstheme="minorHAnsi"/>
          <w:sz w:val="24"/>
          <w:szCs w:val="24"/>
        </w:rPr>
      </w:pPr>
      <w:r w:rsidRPr="005C76CF">
        <w:rPr>
          <w:rFonts w:asciiTheme="minorHAnsi" w:hAnsiTheme="minorHAnsi" w:cstheme="minorHAnsi"/>
          <w:sz w:val="24"/>
          <w:szCs w:val="24"/>
        </w:rPr>
        <w:lastRenderedPageBreak/>
        <w:t>7</w:t>
      </w:r>
      <w:r w:rsidRPr="005C76CF">
        <w:rPr>
          <w:rFonts w:asciiTheme="minorHAnsi" w:hAnsiTheme="minorHAnsi" w:cstheme="minorHAnsi"/>
          <w:sz w:val="24"/>
          <w:szCs w:val="24"/>
        </w:rPr>
        <w:tab/>
        <w:t>examiner d'éventuels changements à apporter 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 </w:t>
      </w:r>
      <w:r w:rsidRPr="005C76CF">
        <w:rPr>
          <w:rFonts w:asciiTheme="minorHAnsi" w:hAnsiTheme="minorHAnsi" w:cstheme="minorHAnsi"/>
          <w:b/>
          <w:bCs/>
          <w:sz w:val="24"/>
          <w:szCs w:val="24"/>
        </w:rPr>
        <w:t>86 (Rév.CMR-07)</w:t>
      </w:r>
      <w:r w:rsidRPr="005C76CF">
        <w:rPr>
          <w:rFonts w:asciiTheme="minorHAnsi" w:hAnsiTheme="minorHAnsi" w:cstheme="minorHAnsi"/>
          <w:sz w:val="24"/>
          <w:szCs w:val="24"/>
        </w:rPr>
        <w:t>, afin de faciliter l'utilisation rationnelle, efficace et économique des fréquences radioélectriques et des orbites associées, y compris de l'orbite des satellites géostationnaires;</w:t>
      </w:r>
    </w:p>
    <w:p w14:paraId="68BCA781" w14:textId="010230E3" w:rsidR="00F3006A" w:rsidRPr="005C76CF" w:rsidRDefault="00F3006A" w:rsidP="00630545">
      <w:pPr>
        <w:spacing w:before="120" w:line="240" w:lineRule="auto"/>
        <w:jc w:val="left"/>
        <w:rPr>
          <w:rFonts w:asciiTheme="minorHAnsi" w:hAnsiTheme="minorHAnsi" w:cstheme="minorHAnsi"/>
          <w:sz w:val="24"/>
          <w:szCs w:val="24"/>
        </w:rPr>
      </w:pPr>
      <w:r w:rsidRPr="005C76CF">
        <w:rPr>
          <w:rFonts w:asciiTheme="minorHAnsi" w:hAnsiTheme="minorHAnsi" w:cstheme="minorHAnsi"/>
          <w:sz w:val="24"/>
          <w:szCs w:val="24"/>
        </w:rPr>
        <w:t>8</w:t>
      </w:r>
      <w:r w:rsidRPr="005C76CF">
        <w:rPr>
          <w:rFonts w:asciiTheme="minorHAnsi" w:hAnsiTheme="minorHAnsi" w:cstheme="minorHAnsi"/>
          <w:sz w:val="24"/>
          <w:szCs w:val="24"/>
        </w:rPr>
        <w:tab/>
        <w:t xml:space="preserve">examiner les demandes des administrations qui souhaitent supprimer des renvois relatifs à leur pays ou le nom de leur pays de certains renvois, s'ils ne sont plus nécessaires, compte tenu de la Résolution </w:t>
      </w:r>
      <w:r w:rsidRPr="005C76CF">
        <w:rPr>
          <w:rFonts w:asciiTheme="minorHAnsi" w:hAnsiTheme="minorHAnsi" w:cstheme="minorHAnsi"/>
          <w:b/>
          <w:bCs/>
          <w:sz w:val="24"/>
          <w:szCs w:val="24"/>
        </w:rPr>
        <w:t>26 (Rév.CMR-19)</w:t>
      </w:r>
      <w:r w:rsidRPr="005C76CF">
        <w:rPr>
          <w:rFonts w:asciiTheme="minorHAnsi" w:hAnsiTheme="minorHAnsi" w:cstheme="minorHAnsi"/>
          <w:sz w:val="24"/>
          <w:szCs w:val="24"/>
        </w:rPr>
        <w:t>, et prendre les mesures voulues à ce sujet;</w:t>
      </w:r>
    </w:p>
    <w:p w14:paraId="2872FB7F" w14:textId="77777777" w:rsidR="00F3006A" w:rsidRPr="005C76CF" w:rsidRDefault="00F3006A" w:rsidP="00630545">
      <w:pPr>
        <w:spacing w:before="120" w:line="240" w:lineRule="auto"/>
        <w:jc w:val="left"/>
        <w:rPr>
          <w:rFonts w:asciiTheme="minorHAnsi" w:hAnsiTheme="minorHAnsi" w:cstheme="minorHAnsi"/>
          <w:sz w:val="24"/>
          <w:szCs w:val="24"/>
        </w:rPr>
      </w:pPr>
      <w:r w:rsidRPr="005C76CF">
        <w:rPr>
          <w:rFonts w:asciiTheme="minorHAnsi" w:hAnsiTheme="minorHAnsi" w:cstheme="minorHAnsi"/>
          <w:sz w:val="24"/>
          <w:szCs w:val="24"/>
        </w:rPr>
        <w:t>9</w:t>
      </w:r>
      <w:r w:rsidRPr="005C76CF">
        <w:rPr>
          <w:rFonts w:asciiTheme="minorHAnsi" w:hAnsiTheme="minorHAnsi" w:cstheme="minorHAnsi"/>
          <w:sz w:val="24"/>
          <w:szCs w:val="24"/>
        </w:rPr>
        <w:tab/>
        <w:t>examiner et approuver le rapport du Directeur du Bureau des radiocommunications, conformément à l'article 7 de la Convention:</w:t>
      </w:r>
    </w:p>
    <w:p w14:paraId="5E2705BC" w14:textId="77777777" w:rsidR="00F3006A" w:rsidRPr="005C76CF" w:rsidRDefault="00F3006A" w:rsidP="00630545">
      <w:pPr>
        <w:spacing w:before="120" w:line="240" w:lineRule="auto"/>
        <w:jc w:val="left"/>
        <w:rPr>
          <w:rFonts w:asciiTheme="minorHAnsi" w:hAnsiTheme="minorHAnsi" w:cstheme="minorHAnsi"/>
          <w:sz w:val="24"/>
          <w:szCs w:val="24"/>
        </w:rPr>
      </w:pPr>
      <w:r w:rsidRPr="005C76CF">
        <w:rPr>
          <w:rFonts w:asciiTheme="minorHAnsi" w:hAnsiTheme="minorHAnsi" w:cstheme="minorHAnsi"/>
          <w:sz w:val="24"/>
          <w:szCs w:val="24"/>
        </w:rPr>
        <w:t>9.1</w:t>
      </w:r>
      <w:r w:rsidRPr="005C76CF">
        <w:rPr>
          <w:rFonts w:asciiTheme="minorHAnsi" w:hAnsiTheme="minorHAnsi" w:cstheme="minorHAnsi"/>
          <w:sz w:val="24"/>
          <w:szCs w:val="24"/>
        </w:rPr>
        <w:tab/>
        <w:t>sur les activités du Secteur des radiocommunications depuis la CMR</w:t>
      </w:r>
      <w:r w:rsidRPr="005C76CF">
        <w:rPr>
          <w:rFonts w:asciiTheme="minorHAnsi" w:hAnsiTheme="minorHAnsi" w:cstheme="minorHAnsi"/>
          <w:sz w:val="24"/>
          <w:szCs w:val="24"/>
        </w:rPr>
        <w:noBreakHyphen/>
        <w:t>19;</w:t>
      </w:r>
    </w:p>
    <w:p w14:paraId="1A13EBE5" w14:textId="77777777" w:rsidR="00F3006A" w:rsidRPr="005C76CF" w:rsidRDefault="00F3006A" w:rsidP="00B67D81">
      <w:pPr>
        <w:pStyle w:val="enumlev1"/>
        <w:spacing w:line="240" w:lineRule="auto"/>
        <w:jc w:val="left"/>
        <w:rPr>
          <w:rFonts w:asciiTheme="minorHAnsi" w:hAnsiTheme="minorHAnsi" w:cstheme="minorHAnsi"/>
          <w:sz w:val="24"/>
          <w:szCs w:val="24"/>
        </w:rPr>
      </w:pPr>
      <w:r w:rsidRPr="005C76CF">
        <w:rPr>
          <w:rFonts w:asciiTheme="minorHAnsi" w:hAnsiTheme="minorHAnsi" w:cstheme="minorHAnsi"/>
          <w:sz w:val="24"/>
          <w:szCs w:val="24"/>
        </w:rPr>
        <w:t>–</w:t>
      </w:r>
      <w:r w:rsidRPr="005C76CF">
        <w:rPr>
          <w:rFonts w:asciiTheme="minorHAnsi" w:hAnsiTheme="minorHAnsi" w:cstheme="minorHAnsi"/>
          <w:sz w:val="24"/>
          <w:szCs w:val="24"/>
        </w:rPr>
        <w:tab/>
        <w:t xml:space="preserve">Conformément à la Résolution </w:t>
      </w:r>
      <w:r w:rsidRPr="005C76CF">
        <w:rPr>
          <w:rFonts w:asciiTheme="minorHAnsi" w:hAnsiTheme="minorHAnsi" w:cstheme="minorHAnsi"/>
          <w:b/>
          <w:bCs/>
          <w:sz w:val="24"/>
          <w:szCs w:val="24"/>
        </w:rPr>
        <w:t>657 (Rév.CMR-19)</w:t>
      </w:r>
      <w:r w:rsidRPr="005C76CF">
        <w:rPr>
          <w:rFonts w:asciiTheme="minorHAnsi" w:hAnsiTheme="minorHAnsi" w:cstheme="minorHAnsi"/>
          <w:sz w:val="24"/>
          <w:szCs w:val="24"/>
        </w:rPr>
        <w:t>, examiner les résultats des études relatives aux caractéristiques techniques et opérationnelles et aux besoins de spectre des capteurs de météorologie spatiale, ainsi qu'aux désignations de service de radiocommunication qui conviennent pour ces capteurs, afin qu'ils bénéficient d'une reconnaissance et d'une protection appropriées dans le Règlement des radiocommunications, sans imposer de contraintes supplémentaires aux services existants;</w:t>
      </w:r>
    </w:p>
    <w:p w14:paraId="094D6791" w14:textId="77777777" w:rsidR="00F3006A" w:rsidRPr="005C76CF" w:rsidRDefault="00F3006A" w:rsidP="00B67D81">
      <w:pPr>
        <w:pStyle w:val="enumlev1"/>
        <w:spacing w:line="240" w:lineRule="auto"/>
        <w:jc w:val="left"/>
        <w:rPr>
          <w:rFonts w:asciiTheme="minorHAnsi" w:hAnsiTheme="minorHAnsi" w:cstheme="minorHAnsi"/>
          <w:sz w:val="24"/>
          <w:szCs w:val="24"/>
        </w:rPr>
      </w:pPr>
      <w:r w:rsidRPr="005C76CF">
        <w:rPr>
          <w:rFonts w:asciiTheme="minorHAnsi" w:hAnsiTheme="minorHAnsi" w:cstheme="minorHAnsi"/>
          <w:sz w:val="24"/>
          <w:szCs w:val="24"/>
        </w:rPr>
        <w:t>–</w:t>
      </w:r>
      <w:r w:rsidRPr="005C76CF">
        <w:rPr>
          <w:rFonts w:asciiTheme="minorHAnsi" w:hAnsiTheme="minorHAnsi" w:cstheme="minorHAnsi"/>
          <w:sz w:val="24"/>
          <w:szCs w:val="24"/>
        </w:rPr>
        <w:tab/>
        <w:t xml:space="preserve">Examiner les attributions au service d'amateur et au service d'amateur par satellite dans la bande de fréquences 1 240-1 300 MHz, afin de déterminer si des mesures additionnelles doivent être prises pour garantir la protection du service de radionavigation par satellite (espace vers Terre) fonctionnant dans la même bande de fréquences, conformément à la Résolution </w:t>
      </w:r>
      <w:r w:rsidRPr="005C76CF">
        <w:rPr>
          <w:rFonts w:asciiTheme="minorHAnsi" w:hAnsiTheme="minorHAnsi" w:cstheme="minorHAnsi"/>
          <w:b/>
          <w:bCs/>
          <w:sz w:val="24"/>
          <w:szCs w:val="24"/>
        </w:rPr>
        <w:t>774 (CMR-19)</w:t>
      </w:r>
      <w:r w:rsidRPr="005C76CF">
        <w:rPr>
          <w:rFonts w:asciiTheme="minorHAnsi" w:hAnsiTheme="minorHAnsi" w:cstheme="minorHAnsi"/>
          <w:sz w:val="24"/>
          <w:szCs w:val="24"/>
        </w:rPr>
        <w:t>;</w:t>
      </w:r>
    </w:p>
    <w:p w14:paraId="798AE211" w14:textId="77777777" w:rsidR="00F3006A" w:rsidRPr="005C76CF" w:rsidRDefault="00F3006A" w:rsidP="00B67D81">
      <w:pPr>
        <w:pStyle w:val="enumlev1"/>
        <w:spacing w:line="240" w:lineRule="auto"/>
        <w:jc w:val="left"/>
        <w:rPr>
          <w:rFonts w:asciiTheme="minorHAnsi" w:hAnsiTheme="minorHAnsi" w:cstheme="minorHAnsi"/>
          <w:sz w:val="24"/>
          <w:szCs w:val="24"/>
        </w:rPr>
      </w:pPr>
      <w:r w:rsidRPr="005C76CF">
        <w:rPr>
          <w:rFonts w:asciiTheme="minorHAnsi" w:hAnsiTheme="minorHAnsi" w:cstheme="minorHAnsi"/>
          <w:sz w:val="24"/>
          <w:szCs w:val="24"/>
        </w:rPr>
        <w:t>–</w:t>
      </w:r>
      <w:r w:rsidRPr="005C76CF">
        <w:rPr>
          <w:rFonts w:asciiTheme="minorHAnsi" w:hAnsiTheme="minorHAnsi" w:cstheme="minorHAnsi"/>
          <w:sz w:val="24"/>
          <w:szCs w:val="24"/>
        </w:rPr>
        <w:tab/>
        <w:t xml:space="preserve">Étudier l'utilisation des systèmes de Télécommunications mobiles internationales pour le large bande hertzien fixe dans les bandes de fréquences attribuées au service fixe à titre primaire, conformément à la Résolution </w:t>
      </w:r>
      <w:r w:rsidRPr="005C76CF">
        <w:rPr>
          <w:rFonts w:asciiTheme="minorHAnsi" w:hAnsiTheme="minorHAnsi" w:cstheme="minorHAnsi"/>
          <w:b/>
          <w:bCs/>
          <w:sz w:val="24"/>
          <w:szCs w:val="24"/>
        </w:rPr>
        <w:t>175 (CMR</w:t>
      </w:r>
      <w:r w:rsidRPr="005C76CF">
        <w:rPr>
          <w:rFonts w:asciiTheme="minorHAnsi" w:hAnsiTheme="minorHAnsi" w:cstheme="minorHAnsi"/>
          <w:b/>
          <w:bCs/>
          <w:sz w:val="24"/>
          <w:szCs w:val="24"/>
        </w:rPr>
        <w:noBreakHyphen/>
        <w:t>19)</w:t>
      </w:r>
      <w:r w:rsidRPr="005C76CF">
        <w:rPr>
          <w:rFonts w:asciiTheme="minorHAnsi" w:hAnsiTheme="minorHAnsi" w:cstheme="minorHAnsi"/>
          <w:sz w:val="24"/>
          <w:szCs w:val="24"/>
        </w:rPr>
        <w:t>;</w:t>
      </w:r>
    </w:p>
    <w:p w14:paraId="600F8F73" w14:textId="5FEA145D" w:rsidR="00F3006A" w:rsidRPr="005C76CF" w:rsidRDefault="00F3006A" w:rsidP="00630545">
      <w:pPr>
        <w:spacing w:before="120" w:line="240" w:lineRule="auto"/>
        <w:jc w:val="left"/>
        <w:rPr>
          <w:rFonts w:asciiTheme="minorHAnsi" w:hAnsiTheme="minorHAnsi" w:cstheme="minorHAnsi"/>
          <w:sz w:val="24"/>
          <w:szCs w:val="24"/>
        </w:rPr>
      </w:pPr>
      <w:r w:rsidRPr="005C76CF">
        <w:rPr>
          <w:rFonts w:asciiTheme="minorHAnsi" w:hAnsiTheme="minorHAnsi" w:cstheme="minorHAnsi"/>
          <w:sz w:val="24"/>
          <w:szCs w:val="24"/>
        </w:rPr>
        <w:t>9.2</w:t>
      </w:r>
      <w:r w:rsidRPr="005C76CF">
        <w:rPr>
          <w:rFonts w:asciiTheme="minorHAnsi" w:hAnsiTheme="minorHAnsi" w:cstheme="minorHAnsi"/>
          <w:sz w:val="24"/>
          <w:szCs w:val="24"/>
        </w:rPr>
        <w:tab/>
        <w:t>sur les difficultés rencontrées ou les incohérences constatées dans l'application du Règlement des radiocommunications; et</w:t>
      </w:r>
      <w:r w:rsidR="00630545">
        <w:rPr>
          <w:rStyle w:val="FootnoteReference"/>
          <w:rFonts w:asciiTheme="minorHAnsi" w:hAnsiTheme="minorHAnsi" w:cstheme="minorHAnsi"/>
          <w:szCs w:val="24"/>
        </w:rPr>
        <w:footnoteReference w:id="1"/>
      </w:r>
    </w:p>
    <w:p w14:paraId="4FFF108F" w14:textId="77777777" w:rsidR="00F3006A" w:rsidRPr="005C76CF" w:rsidRDefault="00F3006A" w:rsidP="00630545">
      <w:pPr>
        <w:spacing w:before="120" w:line="240" w:lineRule="auto"/>
        <w:jc w:val="left"/>
        <w:rPr>
          <w:rFonts w:asciiTheme="minorHAnsi" w:hAnsiTheme="minorHAnsi" w:cstheme="minorHAnsi"/>
          <w:i/>
          <w:iCs/>
          <w:sz w:val="24"/>
          <w:szCs w:val="24"/>
        </w:rPr>
      </w:pPr>
      <w:r w:rsidRPr="005C76CF">
        <w:rPr>
          <w:rFonts w:asciiTheme="minorHAnsi" w:hAnsiTheme="minorHAnsi" w:cstheme="minorHAnsi"/>
          <w:sz w:val="24"/>
          <w:szCs w:val="24"/>
        </w:rPr>
        <w:t>9.3</w:t>
      </w:r>
      <w:r w:rsidRPr="005C76CF">
        <w:rPr>
          <w:rFonts w:asciiTheme="minorHAnsi" w:hAnsiTheme="minorHAnsi" w:cstheme="minorHAnsi"/>
          <w:sz w:val="24"/>
          <w:szCs w:val="24"/>
        </w:rPr>
        <w:tab/>
        <w:t>sur la suite donnée à la Résolution </w:t>
      </w:r>
      <w:r w:rsidRPr="005C76CF">
        <w:rPr>
          <w:rFonts w:asciiTheme="minorHAnsi" w:hAnsiTheme="minorHAnsi" w:cstheme="minorHAnsi"/>
          <w:b/>
          <w:bCs/>
          <w:sz w:val="24"/>
          <w:szCs w:val="24"/>
        </w:rPr>
        <w:t>80 (Rév.CMR-07)</w:t>
      </w:r>
      <w:r w:rsidRPr="005C76CF">
        <w:rPr>
          <w:rFonts w:asciiTheme="minorHAnsi" w:hAnsiTheme="minorHAnsi" w:cstheme="minorHAnsi"/>
          <w:sz w:val="24"/>
          <w:szCs w:val="24"/>
        </w:rPr>
        <w:t>;</w:t>
      </w:r>
    </w:p>
    <w:p w14:paraId="072B195E" w14:textId="32BFDFFA" w:rsidR="00F3006A" w:rsidRDefault="00F3006A" w:rsidP="00630545">
      <w:pPr>
        <w:spacing w:before="120" w:line="240" w:lineRule="auto"/>
        <w:jc w:val="left"/>
        <w:rPr>
          <w:rFonts w:asciiTheme="minorHAnsi" w:hAnsiTheme="minorHAnsi" w:cstheme="minorHAnsi"/>
          <w:sz w:val="24"/>
          <w:szCs w:val="24"/>
        </w:rPr>
      </w:pPr>
      <w:r w:rsidRPr="005C76CF">
        <w:rPr>
          <w:rFonts w:asciiTheme="minorHAnsi" w:hAnsiTheme="minorHAnsi" w:cstheme="minorHAnsi"/>
          <w:sz w:val="24"/>
          <w:szCs w:val="24"/>
        </w:rPr>
        <w:t>10</w:t>
      </w:r>
      <w:r w:rsidRPr="005C76CF">
        <w:rPr>
          <w:rFonts w:asciiTheme="minorHAnsi" w:hAnsiTheme="minorHAnsi" w:cstheme="minorHAnsi"/>
          <w:sz w:val="24"/>
          <w:szCs w:val="24"/>
        </w:rPr>
        <w:tab/>
        <w:t xml:space="preserve">recommander au Conseil des points à inscrire à l'ordre du jour de la CMR suivante et des points de l'ordre du jour préliminaire de conférences futures, conformément à l'article 7 de la Convention et à la Résolution </w:t>
      </w:r>
      <w:r w:rsidRPr="005C76CF">
        <w:rPr>
          <w:rFonts w:asciiTheme="minorHAnsi" w:hAnsiTheme="minorHAnsi" w:cstheme="minorHAnsi"/>
          <w:b/>
          <w:sz w:val="24"/>
          <w:szCs w:val="24"/>
        </w:rPr>
        <w:t>804 (Rév.CMR-19)</w:t>
      </w:r>
      <w:r w:rsidRPr="005C76CF">
        <w:rPr>
          <w:rFonts w:asciiTheme="minorHAnsi" w:hAnsiTheme="minorHAnsi" w:cstheme="minorHAnsi"/>
          <w:sz w:val="24"/>
          <w:szCs w:val="24"/>
        </w:rPr>
        <w:t>.</w:t>
      </w:r>
    </w:p>
    <w:p w14:paraId="06004D12" w14:textId="77777777" w:rsidR="00630545" w:rsidRPr="005C76CF" w:rsidRDefault="00630545" w:rsidP="00630545">
      <w:pPr>
        <w:spacing w:before="120" w:line="240" w:lineRule="auto"/>
        <w:jc w:val="left"/>
        <w:rPr>
          <w:rFonts w:asciiTheme="minorHAnsi" w:hAnsiTheme="minorHAnsi" w:cstheme="minorHAnsi"/>
          <w:sz w:val="24"/>
          <w:szCs w:val="24"/>
        </w:rPr>
      </w:pPr>
    </w:p>
    <w:p w14:paraId="49CBDFBE" w14:textId="54ABF950" w:rsidR="00897CA1" w:rsidRPr="00B67D81" w:rsidRDefault="00A42565" w:rsidP="00630545">
      <w:pPr>
        <w:spacing w:line="240" w:lineRule="auto"/>
        <w:jc w:val="center"/>
      </w:pPr>
      <w:r w:rsidRPr="00B67D81">
        <w:t>______________</w:t>
      </w:r>
    </w:p>
    <w:sectPr w:rsidR="00897CA1" w:rsidRPr="00B67D81" w:rsidSect="000A249C">
      <w:headerReference w:type="even" r:id="rId21"/>
      <w:headerReference w:type="default" r:id="rId22"/>
      <w:headerReference w:type="first" r:id="rId23"/>
      <w:footerReference w:type="first" r:id="rId24"/>
      <w:pgSz w:w="11907" w:h="16834" w:code="9"/>
      <w:pgMar w:top="1418" w:right="1134" w:bottom="1418" w:left="1134"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75C90A" w14:textId="77777777" w:rsidR="00BE3AF8" w:rsidRDefault="00BE3AF8">
      <w:r>
        <w:separator/>
      </w:r>
    </w:p>
  </w:endnote>
  <w:endnote w:type="continuationSeparator" w:id="0">
    <w:p w14:paraId="074201E5" w14:textId="77777777" w:rsidR="00BE3AF8" w:rsidRDefault="00BE3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7D99EE" w14:textId="3ECE1731" w:rsidR="00877C1B" w:rsidRPr="00877C1B" w:rsidRDefault="00877C1B" w:rsidP="00F914DD">
    <w:pPr>
      <w:pStyle w:val="FirstFooter"/>
      <w:spacing w:line="240" w:lineRule="auto"/>
      <w:ind w:left="-397" w:right="-397"/>
      <w:jc w:val="center"/>
      <w:rPr>
        <w:color w:val="3E8EDE"/>
        <w:sz w:val="18"/>
        <w:szCs w:val="18"/>
        <w:lang w:val="fr-CH"/>
      </w:rPr>
    </w:pPr>
    <w:r w:rsidRPr="00877C1B">
      <w:rPr>
        <w:color w:val="3E8EDE"/>
        <w:sz w:val="18"/>
        <w:szCs w:val="18"/>
        <w:lang w:val="fr-CH"/>
      </w:rPr>
      <w:t xml:space="preserve">Union internationale des télécommunications </w:t>
    </w:r>
    <w:r w:rsidRPr="00FB65BC">
      <w:rPr>
        <w:color w:val="3E8EDE"/>
        <w:sz w:val="18"/>
        <w:szCs w:val="18"/>
        <w:lang w:val="fr-CH"/>
      </w:rPr>
      <w:t>• Place des Nations</w:t>
    </w:r>
    <w:r>
      <w:rPr>
        <w:color w:val="3E8EDE"/>
        <w:sz w:val="18"/>
        <w:szCs w:val="18"/>
        <w:lang w:val="fr-CH"/>
      </w:rPr>
      <w:t>,</w:t>
    </w:r>
    <w:r w:rsidRPr="00FB65BC">
      <w:rPr>
        <w:color w:val="3E8EDE"/>
        <w:sz w:val="18"/>
        <w:szCs w:val="18"/>
        <w:lang w:val="fr-CH"/>
      </w:rPr>
      <w:t xml:space="preserve"> CH</w:t>
    </w:r>
    <w:r w:rsidRPr="00FB65BC">
      <w:rPr>
        <w:color w:val="3E8EDE"/>
        <w:sz w:val="18"/>
        <w:szCs w:val="18"/>
        <w:lang w:val="fr-CH"/>
      </w:rPr>
      <w:noBreakHyphen/>
      <w:t xml:space="preserve">1211 </w:t>
    </w:r>
    <w:r w:rsidRPr="00877C1B">
      <w:rPr>
        <w:color w:val="3E8EDE"/>
        <w:sz w:val="18"/>
        <w:szCs w:val="18"/>
        <w:lang w:val="fr-CH"/>
      </w:rPr>
      <w:t xml:space="preserve">Genève </w:t>
    </w:r>
    <w:r w:rsidRPr="00FB65BC">
      <w:rPr>
        <w:color w:val="3E8EDE"/>
        <w:sz w:val="18"/>
        <w:szCs w:val="18"/>
        <w:lang w:val="fr-CH"/>
      </w:rPr>
      <w:t>20</w:t>
    </w:r>
    <w:r>
      <w:rPr>
        <w:color w:val="3E8EDE"/>
        <w:sz w:val="18"/>
        <w:szCs w:val="18"/>
        <w:lang w:val="fr-CH"/>
      </w:rPr>
      <w:t>,</w:t>
    </w:r>
    <w:r w:rsidRPr="00FB65BC">
      <w:rPr>
        <w:color w:val="3E8EDE"/>
        <w:sz w:val="18"/>
        <w:szCs w:val="18"/>
        <w:lang w:val="fr-CH"/>
      </w:rPr>
      <w:t xml:space="preserve"> </w:t>
    </w:r>
    <w:r w:rsidRPr="00877C1B">
      <w:rPr>
        <w:color w:val="3E8EDE"/>
        <w:sz w:val="18"/>
        <w:szCs w:val="18"/>
        <w:lang w:val="fr-CH"/>
      </w:rPr>
      <w:t>Suisse</w:t>
    </w:r>
    <w:r w:rsidRPr="00FB65BC">
      <w:rPr>
        <w:color w:val="3E8EDE"/>
        <w:sz w:val="18"/>
        <w:szCs w:val="18"/>
        <w:lang w:val="fr-CH"/>
      </w:rPr>
      <w:br/>
      <w:t>T</w:t>
    </w:r>
    <w:r>
      <w:rPr>
        <w:color w:val="3E8EDE"/>
        <w:sz w:val="18"/>
        <w:szCs w:val="18"/>
        <w:lang w:val="fr-CH"/>
      </w:rPr>
      <w:t>é</w:t>
    </w:r>
    <w:r w:rsidRPr="00FB65BC">
      <w:rPr>
        <w:color w:val="3E8EDE"/>
        <w:sz w:val="18"/>
        <w:szCs w:val="18"/>
        <w:lang w:val="fr-CH"/>
      </w:rPr>
      <w:t>l</w:t>
    </w:r>
    <w:r w:rsidR="00D60768">
      <w:rPr>
        <w:color w:val="3E8EDE"/>
        <w:sz w:val="18"/>
        <w:szCs w:val="18"/>
        <w:lang w:val="fr-CH"/>
      </w:rPr>
      <w:t>.</w:t>
    </w:r>
    <w:r w:rsidRPr="00FB65BC">
      <w:rPr>
        <w:color w:val="3E8EDE"/>
        <w:sz w:val="18"/>
        <w:szCs w:val="18"/>
        <w:lang w:val="fr-CH"/>
      </w:rPr>
      <w:t xml:space="preserve">: +41 22 730 5111 • Fax: +41 22 733 7256 • </w:t>
    </w:r>
    <w:r w:rsidRPr="00877C1B">
      <w:rPr>
        <w:color w:val="3E8EDE"/>
        <w:sz w:val="18"/>
        <w:szCs w:val="18"/>
        <w:lang w:val="fr-CH"/>
      </w:rPr>
      <w:t>Courriel</w:t>
    </w:r>
    <w:r w:rsidRPr="00FB65BC">
      <w:rPr>
        <w:color w:val="3E8EDE"/>
        <w:sz w:val="18"/>
        <w:szCs w:val="18"/>
        <w:lang w:val="fr-CH"/>
      </w:rPr>
      <w:t xml:space="preserve">: </w:t>
    </w:r>
    <w:hyperlink r:id="rId1" w:history="1">
      <w:r w:rsidRPr="00A86808">
        <w:rPr>
          <w:color w:val="3E8EDE"/>
          <w:sz w:val="18"/>
          <w:szCs w:val="18"/>
          <w:lang w:val="fr-CH"/>
        </w:rPr>
        <w:t>itumail@itu.int</w:t>
      </w:r>
    </w:hyperlink>
    <w:r w:rsidRPr="00FB65BC">
      <w:rPr>
        <w:color w:val="3E8EDE"/>
        <w:sz w:val="18"/>
        <w:szCs w:val="18"/>
        <w:lang w:val="fr-CH"/>
      </w:rPr>
      <w:t xml:space="preserve"> • </w:t>
    </w:r>
    <w:hyperlink r:id="rId2" w:history="1">
      <w:r w:rsidRPr="00A86808">
        <w:rPr>
          <w:color w:val="3E8EDE"/>
          <w:sz w:val="18"/>
          <w:szCs w:val="18"/>
          <w:lang w:val="fr-CH"/>
        </w:rPr>
        <w:t>www.itu.int</w:t>
      </w:r>
    </w:hyperlink>
    <w:r>
      <w:rPr>
        <w:color w:val="3E8EDE"/>
        <w:sz w:val="18"/>
        <w:szCs w:val="18"/>
        <w:lang w:val="fr-CH"/>
      </w:rPr>
      <w:t xml:space="preserve"> </w:t>
    </w:r>
    <w:r w:rsidRPr="00FB65BC">
      <w:rPr>
        <w:color w:val="3E8EDE"/>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7EAD90" w14:textId="77777777" w:rsidR="00BE3AF8" w:rsidRDefault="00BE3AF8">
      <w:r>
        <w:t>____________________</w:t>
      </w:r>
    </w:p>
  </w:footnote>
  <w:footnote w:type="continuationSeparator" w:id="0">
    <w:p w14:paraId="727E16A2" w14:textId="77777777" w:rsidR="00BE3AF8" w:rsidRDefault="00BE3AF8">
      <w:r>
        <w:continuationSeparator/>
      </w:r>
    </w:p>
  </w:footnote>
  <w:footnote w:id="1">
    <w:p w14:paraId="6A376110" w14:textId="724399BC" w:rsidR="00630545" w:rsidRDefault="00630545" w:rsidP="00630545">
      <w:pPr>
        <w:pStyle w:val="FootnoteText"/>
        <w:jc w:val="left"/>
      </w:pPr>
      <w:r>
        <w:rPr>
          <w:rStyle w:val="FootnoteReference"/>
        </w:rPr>
        <w:footnoteRef/>
      </w:r>
      <w:r>
        <w:t xml:space="preserve"> </w:t>
      </w:r>
      <w:r>
        <w:tab/>
      </w:r>
      <w:r>
        <w:rPr>
          <w:rFonts w:asciiTheme="minorHAnsi" w:hAnsiTheme="minorHAnsi" w:cstheme="minorHAnsi"/>
          <w:lang w:val="fr-CH"/>
        </w:rPr>
        <w:t>Ce sous-point de l'ordre du jour ne concerne que le rapport du Directeur sur les difficultés rencontrées ou les incohérences constatées dans l'application du Règlement des radiocommunications et les observations formulées par les administrations. Les administrations sont invitées à informer le Directeur du Bureau des radiocommunications de toute difficulté rencontrée ou de toute incohérence constatée dans l'application du Règlement des radiocommunications.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sz w:val="18"/>
        <w:szCs w:val="18"/>
      </w:rPr>
      <w:id w:val="-1093086667"/>
      <w:docPartObj>
        <w:docPartGallery w:val="Page Numbers (Top of Page)"/>
        <w:docPartUnique/>
      </w:docPartObj>
    </w:sdtPr>
    <w:sdtEndPr/>
    <w:sdtContent>
      <w:p w14:paraId="7681D516" w14:textId="77777777" w:rsidR="000A249C" w:rsidRPr="004E4D57" w:rsidRDefault="000A249C" w:rsidP="000A249C">
        <w:pPr>
          <w:pStyle w:val="Header"/>
          <w:jc w:val="center"/>
          <w:rPr>
            <w:noProof/>
            <w:sz w:val="18"/>
            <w:szCs w:val="18"/>
          </w:rPr>
        </w:pPr>
        <w:r w:rsidRPr="004E4D57">
          <w:rPr>
            <w:noProof/>
            <w:sz w:val="18"/>
            <w:szCs w:val="18"/>
          </w:rPr>
          <w:fldChar w:fldCharType="begin"/>
        </w:r>
        <w:r w:rsidRPr="004E4D57">
          <w:rPr>
            <w:noProof/>
            <w:sz w:val="18"/>
            <w:szCs w:val="18"/>
          </w:rPr>
          <w:instrText xml:space="preserve"> PAGE   \* MERGEFORMAT </w:instrText>
        </w:r>
        <w:r w:rsidRPr="004E4D57">
          <w:rPr>
            <w:noProof/>
            <w:sz w:val="18"/>
            <w:szCs w:val="18"/>
          </w:rPr>
          <w:fldChar w:fldCharType="separate"/>
        </w:r>
        <w:r>
          <w:rPr>
            <w:noProof/>
            <w:sz w:val="18"/>
            <w:szCs w:val="18"/>
          </w:rPr>
          <w:t>2</w:t>
        </w:r>
        <w:r w:rsidRPr="004E4D57">
          <w:rPr>
            <w:noProof/>
            <w:sz w:val="18"/>
            <w:szCs w:val="1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86611" w14:textId="0BDA73CA" w:rsidR="008D08FF" w:rsidRPr="000A249C" w:rsidRDefault="008D08FF" w:rsidP="000A249C">
    <w:pPr>
      <w:pStyle w:val="Header"/>
      <w:jc w:val="center"/>
      <w:rPr>
        <w:sz w:val="18"/>
        <w:szCs w:val="18"/>
      </w:rPr>
    </w:pPr>
    <w:r w:rsidRPr="000A249C">
      <w:rPr>
        <w:sz w:val="18"/>
        <w:szCs w:val="18"/>
      </w:rPr>
      <w:fldChar w:fldCharType="begin"/>
    </w:r>
    <w:r w:rsidRPr="000A249C">
      <w:rPr>
        <w:sz w:val="18"/>
        <w:szCs w:val="18"/>
      </w:rPr>
      <w:instrText xml:space="preserve"> PAGE  \* MERGEFORMAT </w:instrText>
    </w:r>
    <w:r w:rsidRPr="000A249C">
      <w:rPr>
        <w:sz w:val="18"/>
        <w:szCs w:val="18"/>
      </w:rPr>
      <w:fldChar w:fldCharType="separate"/>
    </w:r>
    <w:r w:rsidR="002C6230">
      <w:rPr>
        <w:noProof/>
        <w:sz w:val="18"/>
        <w:szCs w:val="18"/>
      </w:rPr>
      <w:t>6</w:t>
    </w:r>
    <w:r w:rsidRPr="000A249C">
      <w:rPr>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496F7D" w:rsidRPr="00940351" w14:paraId="5480E148" w14:textId="77777777" w:rsidTr="005C76CF">
      <w:trPr>
        <w:jc w:val="center"/>
      </w:trPr>
      <w:tc>
        <w:tcPr>
          <w:tcW w:w="9889" w:type="dxa"/>
        </w:tcPr>
        <w:p w14:paraId="0C026F9F" w14:textId="77777777" w:rsidR="00496F7D" w:rsidRPr="00940351" w:rsidRDefault="00FE5A18" w:rsidP="00496F7D">
          <w:pPr>
            <w:pStyle w:val="Header"/>
            <w:tabs>
              <w:tab w:val="clear" w:pos="794"/>
              <w:tab w:val="clear" w:pos="4820"/>
            </w:tabs>
            <w:spacing w:line="360" w:lineRule="auto"/>
            <w:jc w:val="center"/>
          </w:pPr>
          <w:r>
            <w:rPr>
              <w:noProof/>
              <w:lang w:val="en-US"/>
            </w:rPr>
            <w:drawing>
              <wp:inline distT="0" distB="0" distL="0" distR="0" wp14:anchorId="5055C6ED" wp14:editId="05BD548F">
                <wp:extent cx="682406"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cropp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2406" cy="720000"/>
                        </a:xfrm>
                        <a:prstGeom prst="rect">
                          <a:avLst/>
                        </a:prstGeom>
                      </pic:spPr>
                    </pic:pic>
                  </a:graphicData>
                </a:graphic>
              </wp:inline>
            </w:drawing>
          </w:r>
        </w:p>
      </w:tc>
    </w:tr>
  </w:tbl>
  <w:p w14:paraId="6F4F5BAC" w14:textId="77777777" w:rsidR="008D08FF" w:rsidRPr="00940351" w:rsidRDefault="008D08FF" w:rsidP="00D225E9">
    <w:pPr>
      <w:pStyle w:val="Header"/>
      <w:spacing w:line="36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0A249C"/>
    <w:rsid w:val="000032FB"/>
    <w:rsid w:val="00010E30"/>
    <w:rsid w:val="00026CF8"/>
    <w:rsid w:val="000479AD"/>
    <w:rsid w:val="00070258"/>
    <w:rsid w:val="00072C3E"/>
    <w:rsid w:val="0007323C"/>
    <w:rsid w:val="0008311E"/>
    <w:rsid w:val="00086D03"/>
    <w:rsid w:val="000A249C"/>
    <w:rsid w:val="000A7051"/>
    <w:rsid w:val="000B7CE2"/>
    <w:rsid w:val="000C03C7"/>
    <w:rsid w:val="000E3DEE"/>
    <w:rsid w:val="000E4B79"/>
    <w:rsid w:val="0010107B"/>
    <w:rsid w:val="00101E89"/>
    <w:rsid w:val="00103C76"/>
    <w:rsid w:val="0011265F"/>
    <w:rsid w:val="0012369C"/>
    <w:rsid w:val="001342A7"/>
    <w:rsid w:val="00173FCD"/>
    <w:rsid w:val="00196710"/>
    <w:rsid w:val="00197324"/>
    <w:rsid w:val="00197DCF"/>
    <w:rsid w:val="001A37CA"/>
    <w:rsid w:val="001A696C"/>
    <w:rsid w:val="001B5841"/>
    <w:rsid w:val="001B645D"/>
    <w:rsid w:val="001D7070"/>
    <w:rsid w:val="001D7163"/>
    <w:rsid w:val="001F5A49"/>
    <w:rsid w:val="001F7FEA"/>
    <w:rsid w:val="00201097"/>
    <w:rsid w:val="00201B6E"/>
    <w:rsid w:val="00235A29"/>
    <w:rsid w:val="0026128B"/>
    <w:rsid w:val="00276B8B"/>
    <w:rsid w:val="002861E6"/>
    <w:rsid w:val="002C6230"/>
    <w:rsid w:val="002E0007"/>
    <w:rsid w:val="002F00B0"/>
    <w:rsid w:val="002F0890"/>
    <w:rsid w:val="00307988"/>
    <w:rsid w:val="003169E3"/>
    <w:rsid w:val="003211CE"/>
    <w:rsid w:val="003370B8"/>
    <w:rsid w:val="003476DD"/>
    <w:rsid w:val="00361CF9"/>
    <w:rsid w:val="003666FF"/>
    <w:rsid w:val="003906C6"/>
    <w:rsid w:val="00394448"/>
    <w:rsid w:val="003B2BDA"/>
    <w:rsid w:val="003B55EC"/>
    <w:rsid w:val="003C3E6E"/>
    <w:rsid w:val="003C4471"/>
    <w:rsid w:val="003E504F"/>
    <w:rsid w:val="00400F78"/>
    <w:rsid w:val="004326DB"/>
    <w:rsid w:val="0043682E"/>
    <w:rsid w:val="00467A97"/>
    <w:rsid w:val="004815EB"/>
    <w:rsid w:val="00493064"/>
    <w:rsid w:val="00496920"/>
    <w:rsid w:val="00496F7D"/>
    <w:rsid w:val="004A5CE7"/>
    <w:rsid w:val="004B7001"/>
    <w:rsid w:val="004B7C9A"/>
    <w:rsid w:val="004D1579"/>
    <w:rsid w:val="004E0DC4"/>
    <w:rsid w:val="004E0FB5"/>
    <w:rsid w:val="004E43BB"/>
    <w:rsid w:val="004F178E"/>
    <w:rsid w:val="00505309"/>
    <w:rsid w:val="00505C93"/>
    <w:rsid w:val="0050789B"/>
    <w:rsid w:val="00543DF8"/>
    <w:rsid w:val="00545227"/>
    <w:rsid w:val="00546101"/>
    <w:rsid w:val="00553DD7"/>
    <w:rsid w:val="0057469A"/>
    <w:rsid w:val="00580814"/>
    <w:rsid w:val="005A03A3"/>
    <w:rsid w:val="005B214C"/>
    <w:rsid w:val="005C76CF"/>
    <w:rsid w:val="005F5168"/>
    <w:rsid w:val="005F5B09"/>
    <w:rsid w:val="00602D53"/>
    <w:rsid w:val="0062116C"/>
    <w:rsid w:val="00630545"/>
    <w:rsid w:val="00651777"/>
    <w:rsid w:val="006741C3"/>
    <w:rsid w:val="00675C2A"/>
    <w:rsid w:val="00691AA6"/>
    <w:rsid w:val="006950CF"/>
    <w:rsid w:val="006B0590"/>
    <w:rsid w:val="006B49DA"/>
    <w:rsid w:val="006F0EAD"/>
    <w:rsid w:val="00700C3C"/>
    <w:rsid w:val="007234B1"/>
    <w:rsid w:val="00730B9A"/>
    <w:rsid w:val="00757B2B"/>
    <w:rsid w:val="00757EEE"/>
    <w:rsid w:val="00765EFE"/>
    <w:rsid w:val="007921A7"/>
    <w:rsid w:val="007B2F1E"/>
    <w:rsid w:val="007B3DB1"/>
    <w:rsid w:val="007D183E"/>
    <w:rsid w:val="007E3F13"/>
    <w:rsid w:val="007E6AB2"/>
    <w:rsid w:val="00800012"/>
    <w:rsid w:val="00806AD1"/>
    <w:rsid w:val="0081513E"/>
    <w:rsid w:val="0082262A"/>
    <w:rsid w:val="0083382E"/>
    <w:rsid w:val="00854131"/>
    <w:rsid w:val="0085652D"/>
    <w:rsid w:val="0087694B"/>
    <w:rsid w:val="00877C1B"/>
    <w:rsid w:val="0088293A"/>
    <w:rsid w:val="00897CA1"/>
    <w:rsid w:val="008D08FF"/>
    <w:rsid w:val="008D4685"/>
    <w:rsid w:val="008F4F21"/>
    <w:rsid w:val="00900339"/>
    <w:rsid w:val="00904D4A"/>
    <w:rsid w:val="009151BA"/>
    <w:rsid w:val="009209D1"/>
    <w:rsid w:val="009277BC"/>
    <w:rsid w:val="00927D57"/>
    <w:rsid w:val="00940351"/>
    <w:rsid w:val="00953C2A"/>
    <w:rsid w:val="00963D9D"/>
    <w:rsid w:val="009711E4"/>
    <w:rsid w:val="00981B54"/>
    <w:rsid w:val="009842C3"/>
    <w:rsid w:val="009A6BB6"/>
    <w:rsid w:val="009C161F"/>
    <w:rsid w:val="009E2358"/>
    <w:rsid w:val="009E4AEC"/>
    <w:rsid w:val="009E5BD8"/>
    <w:rsid w:val="009E5F24"/>
    <w:rsid w:val="009E681E"/>
    <w:rsid w:val="00A22F9F"/>
    <w:rsid w:val="00A34D6F"/>
    <w:rsid w:val="00A41F91"/>
    <w:rsid w:val="00A42565"/>
    <w:rsid w:val="00A63AFC"/>
    <w:rsid w:val="00A7494A"/>
    <w:rsid w:val="00A963DF"/>
    <w:rsid w:val="00AC3896"/>
    <w:rsid w:val="00AC3F9B"/>
    <w:rsid w:val="00AC7238"/>
    <w:rsid w:val="00AD09A2"/>
    <w:rsid w:val="00AF06E1"/>
    <w:rsid w:val="00AF3325"/>
    <w:rsid w:val="00B015B1"/>
    <w:rsid w:val="00B34CF9"/>
    <w:rsid w:val="00B67D81"/>
    <w:rsid w:val="00B83793"/>
    <w:rsid w:val="00B90C45"/>
    <w:rsid w:val="00B933BE"/>
    <w:rsid w:val="00B96108"/>
    <w:rsid w:val="00BA03DB"/>
    <w:rsid w:val="00BA6C35"/>
    <w:rsid w:val="00BD7E5E"/>
    <w:rsid w:val="00BE055F"/>
    <w:rsid w:val="00BE3AF8"/>
    <w:rsid w:val="00BE6574"/>
    <w:rsid w:val="00C43807"/>
    <w:rsid w:val="00C57E2C"/>
    <w:rsid w:val="00C608B7"/>
    <w:rsid w:val="00C66F24"/>
    <w:rsid w:val="00C9291E"/>
    <w:rsid w:val="00CA31C2"/>
    <w:rsid w:val="00CA3F44"/>
    <w:rsid w:val="00CA4E58"/>
    <w:rsid w:val="00CB3771"/>
    <w:rsid w:val="00CB5153"/>
    <w:rsid w:val="00CE2753"/>
    <w:rsid w:val="00CE685A"/>
    <w:rsid w:val="00CF3756"/>
    <w:rsid w:val="00D10BA0"/>
    <w:rsid w:val="00D20741"/>
    <w:rsid w:val="00D225E9"/>
    <w:rsid w:val="00D24EB5"/>
    <w:rsid w:val="00D26CFB"/>
    <w:rsid w:val="00D41571"/>
    <w:rsid w:val="00D416A0"/>
    <w:rsid w:val="00D47672"/>
    <w:rsid w:val="00D5123C"/>
    <w:rsid w:val="00D55560"/>
    <w:rsid w:val="00D55CE4"/>
    <w:rsid w:val="00D60768"/>
    <w:rsid w:val="00D61C5A"/>
    <w:rsid w:val="00DE66A5"/>
    <w:rsid w:val="00DF2B50"/>
    <w:rsid w:val="00E04C86"/>
    <w:rsid w:val="00E14BA3"/>
    <w:rsid w:val="00E20F30"/>
    <w:rsid w:val="00E27BBA"/>
    <w:rsid w:val="00E35E8F"/>
    <w:rsid w:val="00E438E8"/>
    <w:rsid w:val="00E520E2"/>
    <w:rsid w:val="00E64254"/>
    <w:rsid w:val="00EA15B3"/>
    <w:rsid w:val="00EB2358"/>
    <w:rsid w:val="00EB3EB8"/>
    <w:rsid w:val="00EC16FD"/>
    <w:rsid w:val="00EC282E"/>
    <w:rsid w:val="00EC69FC"/>
    <w:rsid w:val="00ED73BA"/>
    <w:rsid w:val="00F3006A"/>
    <w:rsid w:val="00F468C5"/>
    <w:rsid w:val="00F52F39"/>
    <w:rsid w:val="00F55EF6"/>
    <w:rsid w:val="00F60EDB"/>
    <w:rsid w:val="00F914DD"/>
    <w:rsid w:val="00FA2358"/>
    <w:rsid w:val="00FB2592"/>
    <w:rsid w:val="00FB2810"/>
    <w:rsid w:val="00FC2947"/>
    <w:rsid w:val="00FE0818"/>
    <w:rsid w:val="00FE5A18"/>
    <w:rsid w:val="00FF731D"/>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36EDBC"/>
  <w15:docId w15:val="{522B1946-1176-4B75-BC7A-855862B52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F9B"/>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fr-FR"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uiPriority w:val="99"/>
    <w:semiHidden/>
    <w:rsid w:val="004326DB"/>
    <w:rPr>
      <w:position w:val="6"/>
      <w:sz w:val="18"/>
    </w:rPr>
  </w:style>
  <w:style w:type="paragraph" w:styleId="FootnoteText">
    <w:name w:val="footnote text"/>
    <w:aliases w:val="ACMA Footnote Text,footnote text,ALTS FOOTNOTE,Footnote Text Char Char1,Footnote Text Char4 Char Char,Footnote Text Char1 Char1 Char1 Char,Footnote Text Char Char1 Char1 Char Char,DNV,Char,DNV-FT,DNV-"/>
    <w:basedOn w:val="Note"/>
    <w:link w:val="FootnoteTextChar"/>
    <w:uiPriority w:val="99"/>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qFormat/>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table" w:styleId="TableGrid">
    <w:name w:val="Table Grid"/>
    <w:basedOn w:val="TableNormal"/>
    <w:uiPriority w:val="39"/>
    <w:rsid w:val="00940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title0">
    <w:name w:val="Normal after title"/>
    <w:basedOn w:val="Normal"/>
    <w:next w:val="Normal"/>
    <w:link w:val="NormalaftertitleChar"/>
    <w:rsid w:val="000A249C"/>
    <w:pPr>
      <w:overflowPunct/>
      <w:autoSpaceDE/>
      <w:autoSpaceDN/>
      <w:adjustRightInd/>
      <w:spacing w:before="320" w:line="240" w:lineRule="auto"/>
      <w:jc w:val="left"/>
      <w:textAlignment w:val="auto"/>
    </w:pPr>
    <w:rPr>
      <w:rFonts w:ascii="Times New Roman" w:hAnsi="Times New Roman" w:cs="Times New Roman"/>
      <w:sz w:val="24"/>
      <w:szCs w:val="20"/>
      <w:lang w:val="en-GB"/>
    </w:rPr>
  </w:style>
  <w:style w:type="character" w:customStyle="1" w:styleId="NormalaftertitleChar">
    <w:name w:val="Normal after title Char"/>
    <w:link w:val="Normalaftertitle0"/>
    <w:locked/>
    <w:rsid w:val="000A249C"/>
    <w:rPr>
      <w:rFonts w:ascii="Times New Roman" w:hAnsi="Times New Roman" w:cs="Times New Roman"/>
      <w:sz w:val="24"/>
      <w:lang w:val="en-GB" w:eastAsia="en-US"/>
    </w:rPr>
  </w:style>
  <w:style w:type="character" w:customStyle="1" w:styleId="HeaderChar">
    <w:name w:val="Header Char"/>
    <w:basedOn w:val="DefaultParagraphFont"/>
    <w:link w:val="Header"/>
    <w:uiPriority w:val="99"/>
    <w:rsid w:val="000A249C"/>
    <w:rPr>
      <w:sz w:val="22"/>
      <w:szCs w:val="22"/>
      <w:lang w:val="fr-FR" w:eastAsia="en-US"/>
    </w:rPr>
  </w:style>
  <w:style w:type="character" w:customStyle="1" w:styleId="UnresolvedMention1">
    <w:name w:val="Unresolved Mention1"/>
    <w:basedOn w:val="DefaultParagraphFont"/>
    <w:uiPriority w:val="99"/>
    <w:semiHidden/>
    <w:unhideWhenUsed/>
    <w:rsid w:val="003906C6"/>
    <w:rPr>
      <w:color w:val="605E5C"/>
      <w:shd w:val="clear" w:color="auto" w:fill="E1DFDD"/>
    </w:rPr>
  </w:style>
  <w:style w:type="character" w:customStyle="1" w:styleId="CallChar">
    <w:name w:val="Call Char"/>
    <w:basedOn w:val="DefaultParagraphFont"/>
    <w:link w:val="Call"/>
    <w:locked/>
    <w:rsid w:val="00897CA1"/>
    <w:rPr>
      <w:i/>
      <w:sz w:val="22"/>
      <w:szCs w:val="22"/>
      <w:lang w:val="fr-FR" w:eastAsia="en-US"/>
    </w:rPr>
  </w:style>
  <w:style w:type="character" w:customStyle="1" w:styleId="AnnexNoChar">
    <w:name w:val="Annex_No Char"/>
    <w:basedOn w:val="DefaultParagraphFont"/>
    <w:link w:val="AnnexNo"/>
    <w:locked/>
    <w:rsid w:val="00897CA1"/>
    <w:rPr>
      <w:caps/>
      <w:sz w:val="28"/>
      <w:lang w:val="fr-FR" w:eastAsia="en-US"/>
    </w:rPr>
  </w:style>
  <w:style w:type="paragraph" w:customStyle="1" w:styleId="AnnexNo">
    <w:name w:val="Annex_No"/>
    <w:basedOn w:val="Normal"/>
    <w:next w:val="Normal"/>
    <w:link w:val="AnnexNoChar"/>
    <w:rsid w:val="00897CA1"/>
    <w:pPr>
      <w:tabs>
        <w:tab w:val="clear" w:pos="794"/>
        <w:tab w:val="clear" w:pos="1191"/>
        <w:tab w:val="clear" w:pos="1588"/>
        <w:tab w:val="clear" w:pos="1985"/>
        <w:tab w:val="left" w:pos="567"/>
        <w:tab w:val="left" w:pos="1134"/>
        <w:tab w:val="left" w:pos="1701"/>
        <w:tab w:val="left" w:pos="2268"/>
        <w:tab w:val="left" w:pos="2835"/>
      </w:tabs>
      <w:spacing w:before="720" w:line="240" w:lineRule="auto"/>
      <w:jc w:val="center"/>
      <w:textAlignment w:val="auto"/>
    </w:pPr>
    <w:rPr>
      <w:caps/>
      <w:sz w:val="28"/>
      <w:szCs w:val="20"/>
    </w:rPr>
  </w:style>
  <w:style w:type="character" w:customStyle="1" w:styleId="AnnextitleChar">
    <w:name w:val="Annex_title Char"/>
    <w:basedOn w:val="DefaultParagraphFont"/>
    <w:link w:val="Annextitle"/>
    <w:locked/>
    <w:rsid w:val="00897CA1"/>
    <w:rPr>
      <w:b/>
      <w:sz w:val="28"/>
      <w:lang w:val="fr-FR" w:eastAsia="en-US"/>
    </w:rPr>
  </w:style>
  <w:style w:type="paragraph" w:customStyle="1" w:styleId="Annextitle">
    <w:name w:val="Annex_title"/>
    <w:basedOn w:val="Normal"/>
    <w:next w:val="Normal"/>
    <w:link w:val="AnnextitleChar"/>
    <w:rsid w:val="00897CA1"/>
    <w:pPr>
      <w:tabs>
        <w:tab w:val="clear" w:pos="794"/>
        <w:tab w:val="clear" w:pos="1191"/>
        <w:tab w:val="clear" w:pos="1588"/>
        <w:tab w:val="clear" w:pos="1985"/>
        <w:tab w:val="left" w:pos="567"/>
        <w:tab w:val="left" w:pos="1134"/>
        <w:tab w:val="left" w:pos="1701"/>
        <w:tab w:val="left" w:pos="2268"/>
        <w:tab w:val="left" w:pos="2835"/>
      </w:tabs>
      <w:spacing w:before="240" w:after="240" w:line="240" w:lineRule="auto"/>
      <w:jc w:val="center"/>
      <w:textAlignment w:val="auto"/>
    </w:pPr>
    <w:rPr>
      <w:b/>
      <w:sz w:val="28"/>
      <w:szCs w:val="20"/>
    </w:rPr>
  </w:style>
  <w:style w:type="character" w:customStyle="1" w:styleId="RestitleChar">
    <w:name w:val="Res_title Char"/>
    <w:basedOn w:val="DefaultParagraphFont"/>
    <w:link w:val="Restitle"/>
    <w:locked/>
    <w:rsid w:val="00897CA1"/>
    <w:rPr>
      <w:b/>
      <w:sz w:val="28"/>
      <w:szCs w:val="22"/>
      <w:lang w:val="fr-FR" w:eastAsia="en-US"/>
    </w:rPr>
  </w:style>
  <w:style w:type="character" w:customStyle="1" w:styleId="FootnoteTextChar">
    <w:name w:val="Footnote Text Char"/>
    <w:aliases w:val="ACMA Footnote Text Char,footnote text Char,ALTS FOOTNOTE Char,Footnote Text Char Char1 Char,Footnote Text Char4 Char Char Char,Footnote Text Char1 Char1 Char1 Char Char,Footnote Text Char Char1 Char1 Char Char Char,DNV Char,Char Char"/>
    <w:basedOn w:val="DefaultParagraphFont"/>
    <w:link w:val="FootnoteText"/>
    <w:uiPriority w:val="99"/>
    <w:semiHidden/>
    <w:qFormat/>
    <w:locked/>
    <w:rsid w:val="00A42565"/>
    <w:rPr>
      <w:szCs w:val="22"/>
      <w:lang w:val="fr-FR" w:eastAsia="en-US"/>
    </w:rPr>
  </w:style>
  <w:style w:type="character" w:customStyle="1" w:styleId="enumlev1Char">
    <w:name w:val="enumlev1 Char"/>
    <w:basedOn w:val="DefaultParagraphFont"/>
    <w:link w:val="enumlev1"/>
    <w:locked/>
    <w:rsid w:val="00A42565"/>
    <w:rPr>
      <w:sz w:val="22"/>
      <w:szCs w:val="22"/>
      <w:lang w:val="fr-FR" w:eastAsia="en-US"/>
    </w:rPr>
  </w:style>
  <w:style w:type="paragraph" w:customStyle="1" w:styleId="Reasons">
    <w:name w:val="Reasons"/>
    <w:basedOn w:val="Normal"/>
    <w:qFormat/>
    <w:rsid w:val="00A42565"/>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lang w:val="en-US"/>
    </w:rPr>
  </w:style>
  <w:style w:type="character" w:styleId="FollowedHyperlink">
    <w:name w:val="FollowedHyperlink"/>
    <w:basedOn w:val="DefaultParagraphFont"/>
    <w:semiHidden/>
    <w:unhideWhenUsed/>
    <w:rsid w:val="007B2F1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093065">
      <w:bodyDiv w:val="1"/>
      <w:marLeft w:val="0"/>
      <w:marRight w:val="0"/>
      <w:marTop w:val="0"/>
      <w:marBottom w:val="0"/>
      <w:divBdr>
        <w:top w:val="none" w:sz="0" w:space="0" w:color="auto"/>
        <w:left w:val="none" w:sz="0" w:space="0" w:color="auto"/>
        <w:bottom w:val="none" w:sz="0" w:space="0" w:color="auto"/>
        <w:right w:val="none" w:sz="0" w:space="0" w:color="auto"/>
      </w:divBdr>
    </w:div>
    <w:div w:id="135150503">
      <w:bodyDiv w:val="1"/>
      <w:marLeft w:val="0"/>
      <w:marRight w:val="0"/>
      <w:marTop w:val="0"/>
      <w:marBottom w:val="0"/>
      <w:divBdr>
        <w:top w:val="none" w:sz="0" w:space="0" w:color="auto"/>
        <w:left w:val="none" w:sz="0" w:space="0" w:color="auto"/>
        <w:bottom w:val="none" w:sz="0" w:space="0" w:color="auto"/>
        <w:right w:val="none" w:sz="0" w:space="0" w:color="auto"/>
      </w:divBdr>
    </w:div>
    <w:div w:id="228465811">
      <w:bodyDiv w:val="1"/>
      <w:marLeft w:val="0"/>
      <w:marRight w:val="0"/>
      <w:marTop w:val="0"/>
      <w:marBottom w:val="0"/>
      <w:divBdr>
        <w:top w:val="none" w:sz="0" w:space="0" w:color="auto"/>
        <w:left w:val="none" w:sz="0" w:space="0" w:color="auto"/>
        <w:bottom w:val="none" w:sz="0" w:space="0" w:color="auto"/>
        <w:right w:val="none" w:sz="0" w:space="0" w:color="auto"/>
      </w:divBdr>
    </w:div>
    <w:div w:id="296034272">
      <w:bodyDiv w:val="1"/>
      <w:marLeft w:val="0"/>
      <w:marRight w:val="0"/>
      <w:marTop w:val="0"/>
      <w:marBottom w:val="0"/>
      <w:divBdr>
        <w:top w:val="none" w:sz="0" w:space="0" w:color="auto"/>
        <w:left w:val="none" w:sz="0" w:space="0" w:color="auto"/>
        <w:bottom w:val="none" w:sz="0" w:space="0" w:color="auto"/>
        <w:right w:val="none" w:sz="0" w:space="0" w:color="auto"/>
      </w:divBdr>
    </w:div>
    <w:div w:id="320276482">
      <w:bodyDiv w:val="1"/>
      <w:marLeft w:val="0"/>
      <w:marRight w:val="0"/>
      <w:marTop w:val="0"/>
      <w:marBottom w:val="0"/>
      <w:divBdr>
        <w:top w:val="none" w:sz="0" w:space="0" w:color="auto"/>
        <w:left w:val="none" w:sz="0" w:space="0" w:color="auto"/>
        <w:bottom w:val="none" w:sz="0" w:space="0" w:color="auto"/>
        <w:right w:val="none" w:sz="0" w:space="0" w:color="auto"/>
      </w:divBdr>
    </w:div>
    <w:div w:id="475415371">
      <w:bodyDiv w:val="1"/>
      <w:marLeft w:val="0"/>
      <w:marRight w:val="0"/>
      <w:marTop w:val="0"/>
      <w:marBottom w:val="0"/>
      <w:divBdr>
        <w:top w:val="none" w:sz="0" w:space="0" w:color="auto"/>
        <w:left w:val="none" w:sz="0" w:space="0" w:color="auto"/>
        <w:bottom w:val="none" w:sz="0" w:space="0" w:color="auto"/>
        <w:right w:val="none" w:sz="0" w:space="0" w:color="auto"/>
      </w:divBdr>
    </w:div>
    <w:div w:id="486290704">
      <w:bodyDiv w:val="1"/>
      <w:marLeft w:val="0"/>
      <w:marRight w:val="0"/>
      <w:marTop w:val="0"/>
      <w:marBottom w:val="0"/>
      <w:divBdr>
        <w:top w:val="none" w:sz="0" w:space="0" w:color="auto"/>
        <w:left w:val="none" w:sz="0" w:space="0" w:color="auto"/>
        <w:bottom w:val="none" w:sz="0" w:space="0" w:color="auto"/>
        <w:right w:val="none" w:sz="0" w:space="0" w:color="auto"/>
      </w:divBdr>
    </w:div>
    <w:div w:id="782725012">
      <w:bodyDiv w:val="1"/>
      <w:marLeft w:val="0"/>
      <w:marRight w:val="0"/>
      <w:marTop w:val="0"/>
      <w:marBottom w:val="0"/>
      <w:divBdr>
        <w:top w:val="none" w:sz="0" w:space="0" w:color="auto"/>
        <w:left w:val="none" w:sz="0" w:space="0" w:color="auto"/>
        <w:bottom w:val="none" w:sz="0" w:space="0" w:color="auto"/>
        <w:right w:val="none" w:sz="0" w:space="0" w:color="auto"/>
      </w:divBdr>
    </w:div>
    <w:div w:id="1278953775">
      <w:bodyDiv w:val="1"/>
      <w:marLeft w:val="0"/>
      <w:marRight w:val="0"/>
      <w:marTop w:val="0"/>
      <w:marBottom w:val="0"/>
      <w:divBdr>
        <w:top w:val="none" w:sz="0" w:space="0" w:color="auto"/>
        <w:left w:val="none" w:sz="0" w:space="0" w:color="auto"/>
        <w:bottom w:val="none" w:sz="0" w:space="0" w:color="auto"/>
        <w:right w:val="none" w:sz="0" w:space="0" w:color="auto"/>
      </w:divBdr>
    </w:div>
    <w:div w:id="1514346353">
      <w:bodyDiv w:val="1"/>
      <w:marLeft w:val="0"/>
      <w:marRight w:val="0"/>
      <w:marTop w:val="0"/>
      <w:marBottom w:val="0"/>
      <w:divBdr>
        <w:top w:val="none" w:sz="0" w:space="0" w:color="auto"/>
        <w:left w:val="none" w:sz="0" w:space="0" w:color="auto"/>
        <w:bottom w:val="none" w:sz="0" w:space="0" w:color="auto"/>
        <w:right w:val="none" w:sz="0" w:space="0" w:color="auto"/>
      </w:divBdr>
    </w:div>
    <w:div w:id="185480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mberstates@itu.int" TargetMode="External"/><Relationship Id="rId13" Type="http://schemas.openxmlformats.org/officeDocument/2006/relationships/hyperlink" Target="https://www.itu.int/md/S20-CL-C-0072/en" TargetMode="External"/><Relationship Id="rId18" Type="http://schemas.openxmlformats.org/officeDocument/2006/relationships/hyperlink" Target="https://www.itu.int/md/S19-SG-CIR-0045/e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memberstates@itu.int" TargetMode="External"/><Relationship Id="rId17" Type="http://schemas.openxmlformats.org/officeDocument/2006/relationships/hyperlink" Target="https://www.itu.int/md/S19-CL-C-0125/e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md/S20-CL-C-0072/en" TargetMode="External"/><Relationship Id="rId20" Type="http://schemas.openxmlformats.org/officeDocument/2006/relationships/hyperlink" Target="https://www.itu.int/md/S20-CL-C-0069/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mberstates@itu.int"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memberstates@itu.int" TargetMode="External"/><Relationship Id="rId23" Type="http://schemas.openxmlformats.org/officeDocument/2006/relationships/header" Target="header3.xml"/><Relationship Id="rId10" Type="http://schemas.openxmlformats.org/officeDocument/2006/relationships/hyperlink" Target="https://www.itu.int/md/S20-DM-CIR-01011/en" TargetMode="External"/><Relationship Id="rId19" Type="http://schemas.openxmlformats.org/officeDocument/2006/relationships/hyperlink" Target="https://www.itu.int/md/S19-SG-CIR-0033/en" TargetMode="External"/><Relationship Id="rId4" Type="http://schemas.openxmlformats.org/officeDocument/2006/relationships/settings" Target="settings.xml"/><Relationship Id="rId9" Type="http://schemas.openxmlformats.org/officeDocument/2006/relationships/hyperlink" Target="https://www.itu.int/md/S20-DM-CIR-01009/en" TargetMode="External"/><Relationship Id="rId14" Type="http://schemas.openxmlformats.org/officeDocument/2006/relationships/hyperlink" Target="http://www.itu.int/md/S20-CL-C-0069/en"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A4A3D-1EB8-4D51-8A3E-4DB8A2E39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2781</Words>
  <Characters>15300</Characters>
  <Application>Microsoft Office Word</Application>
  <DocSecurity>0</DocSecurity>
  <Lines>127</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(French)</vt:lpstr>
      <vt:lpstr>ITU-T Rec. Book 1 Resolutions ITU-T Series A Recommendations:</vt:lpstr>
    </vt:vector>
  </TitlesOfParts>
  <Company>ITU</Company>
  <LinksUpToDate>false</LinksUpToDate>
  <CharactersWithSpaces>18045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(French)</dc:title>
  <dc:subject/>
  <dc:creator>French</dc:creator>
  <cp:keywords/>
  <dc:description/>
  <cp:lastModifiedBy>Diallo, Maywenn</cp:lastModifiedBy>
  <cp:revision>2</cp:revision>
  <cp:lastPrinted>2010-01-19T09:33:00Z</cp:lastPrinted>
  <dcterms:created xsi:type="dcterms:W3CDTF">2020-08-04T09:30:00Z</dcterms:created>
  <dcterms:modified xsi:type="dcterms:W3CDTF">2020-08-04T09:30:00Z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