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276"/>
        <w:gridCol w:w="3793"/>
        <w:gridCol w:w="284"/>
        <w:gridCol w:w="4536"/>
      </w:tblGrid>
      <w:tr w:rsidR="00EA15B3" w:rsidRPr="007B3DB1" w14:paraId="53E01D2D" w14:textId="77777777" w:rsidTr="00D62BDC">
        <w:tc>
          <w:tcPr>
            <w:tcW w:w="9889" w:type="dxa"/>
            <w:gridSpan w:val="4"/>
            <w:shd w:val="clear" w:color="auto" w:fill="auto"/>
            <w:vAlign w:val="center"/>
          </w:tcPr>
          <w:p w14:paraId="2F4A63B7" w14:textId="77777777" w:rsidR="00EA15B3" w:rsidRPr="007B3DB1" w:rsidRDefault="00D62BDC" w:rsidP="009C4CAA">
            <w:pPr>
              <w:spacing w:before="120"/>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8B581C" w:rsidRPr="007B3DB1" w14:paraId="67163C4D" w14:textId="77777777" w:rsidTr="000D5CB1">
        <w:tc>
          <w:tcPr>
            <w:tcW w:w="9889" w:type="dxa"/>
            <w:gridSpan w:val="4"/>
            <w:shd w:val="clear" w:color="auto" w:fill="auto"/>
          </w:tcPr>
          <w:p w14:paraId="66CD2520" w14:textId="77777777" w:rsidR="008B581C" w:rsidRPr="007B3DB1" w:rsidRDefault="008B581C" w:rsidP="000D5CB1">
            <w:pPr>
              <w:spacing w:before="0"/>
              <w:jc w:val="left"/>
              <w:rPr>
                <w:lang w:val="en-GB"/>
              </w:rPr>
            </w:pPr>
          </w:p>
        </w:tc>
      </w:tr>
      <w:tr w:rsidR="00651777" w:rsidRPr="007B3DB1" w14:paraId="5D5AD30E" w14:textId="77777777" w:rsidTr="00651777">
        <w:tc>
          <w:tcPr>
            <w:tcW w:w="5353" w:type="dxa"/>
            <w:gridSpan w:val="3"/>
            <w:shd w:val="clear" w:color="auto" w:fill="auto"/>
          </w:tcPr>
          <w:p w14:paraId="052A1738" w14:textId="77777777" w:rsidR="00651777" w:rsidRPr="007B3DB1" w:rsidRDefault="00651777" w:rsidP="00651777">
            <w:pPr>
              <w:jc w:val="left"/>
              <w:rPr>
                <w:lang w:val="en-GB"/>
              </w:rPr>
            </w:pPr>
          </w:p>
        </w:tc>
        <w:tc>
          <w:tcPr>
            <w:tcW w:w="4536" w:type="dxa"/>
            <w:shd w:val="clear" w:color="auto" w:fill="auto"/>
          </w:tcPr>
          <w:p w14:paraId="3AC97358" w14:textId="2FC32828" w:rsidR="00651777" w:rsidRPr="007B3DB1" w:rsidRDefault="00651777" w:rsidP="004C4BC0">
            <w:pPr>
              <w:rPr>
                <w:lang w:val="en-GB"/>
              </w:rPr>
            </w:pPr>
            <w:r w:rsidRPr="007B3DB1">
              <w:rPr>
                <w:lang w:val="en-GB"/>
              </w:rPr>
              <w:t>Geneva,</w:t>
            </w:r>
            <w:r w:rsidR="00DE6A53">
              <w:rPr>
                <w:lang w:val="en-GB"/>
              </w:rPr>
              <w:t xml:space="preserve"> </w:t>
            </w:r>
            <w:sdt>
              <w:sdtPr>
                <w:rPr>
                  <w:rFonts w:cs="Arial"/>
                  <w:lang w:val="en-GB"/>
                </w:rPr>
                <w:alias w:val="Date"/>
                <w:tag w:val="Date"/>
                <w:id w:val="20922293"/>
                <w:lock w:val="sdtLocked"/>
                <w:placeholder>
                  <w:docPart w:val="831705CDD49044E0AE2C9D9CB691DEEA"/>
                </w:placeholder>
                <w:date w:fullDate="2020-08-03T00:00:00Z">
                  <w:dateFormat w:val="d MMMM yyyy"/>
                  <w:lid w:val="en-US"/>
                  <w:storeMappedDataAs w:val="date"/>
                  <w:calendar w:val="gregorian"/>
                </w:date>
              </w:sdtPr>
              <w:sdtEndPr/>
              <w:sdtContent>
                <w:r w:rsidR="0000301E" w:rsidRPr="0000301E">
                  <w:rPr>
                    <w:rFonts w:cs="Arial"/>
                  </w:rPr>
                  <w:t>3</w:t>
                </w:r>
                <w:r w:rsidR="009C4CAA" w:rsidRPr="0000301E">
                  <w:rPr>
                    <w:rFonts w:cs="Arial"/>
                  </w:rPr>
                  <w:t xml:space="preserve"> </w:t>
                </w:r>
                <w:r w:rsidR="00A60B06" w:rsidRPr="0000301E">
                  <w:rPr>
                    <w:rFonts w:cs="Arial"/>
                  </w:rPr>
                  <w:t>August</w:t>
                </w:r>
                <w:r w:rsidR="009C4CAA" w:rsidRPr="0000301E">
                  <w:rPr>
                    <w:rFonts w:cs="Arial"/>
                  </w:rPr>
                  <w:t xml:space="preserve"> 2020</w:t>
                </w:r>
              </w:sdtContent>
            </w:sdt>
          </w:p>
        </w:tc>
      </w:tr>
      <w:tr w:rsidR="00155CA8" w:rsidRPr="006075DA" w14:paraId="40D51343" w14:textId="77777777" w:rsidTr="00D62BDC">
        <w:tc>
          <w:tcPr>
            <w:tcW w:w="1276" w:type="dxa"/>
            <w:shd w:val="clear" w:color="auto" w:fill="auto"/>
          </w:tcPr>
          <w:p w14:paraId="11B55C27" w14:textId="77777777" w:rsidR="00155CA8" w:rsidRPr="007B3DB1" w:rsidRDefault="00155CA8" w:rsidP="00651777">
            <w:pPr>
              <w:spacing w:before="0"/>
              <w:jc w:val="left"/>
              <w:rPr>
                <w:lang w:val="en-GB"/>
              </w:rPr>
            </w:pPr>
            <w:r>
              <w:rPr>
                <w:lang w:val="en-GB"/>
              </w:rPr>
              <w:t xml:space="preserve">Ref: </w:t>
            </w:r>
          </w:p>
        </w:tc>
        <w:tc>
          <w:tcPr>
            <w:tcW w:w="3793" w:type="dxa"/>
            <w:shd w:val="clear" w:color="auto" w:fill="auto"/>
          </w:tcPr>
          <w:p w14:paraId="759D0700" w14:textId="3F7EAAB9" w:rsidR="00155CA8" w:rsidRPr="00AA7C6B" w:rsidRDefault="00FD4B75" w:rsidP="004C4BC0">
            <w:pPr>
              <w:spacing w:before="0"/>
              <w:jc w:val="left"/>
              <w:rPr>
                <w:b/>
                <w:bCs/>
                <w:lang w:val="en-GB"/>
              </w:rPr>
            </w:pPr>
            <w:bookmarkStart w:id="3" w:name="Contact"/>
            <w:bookmarkEnd w:id="3"/>
            <w:r>
              <w:rPr>
                <w:b/>
                <w:bCs/>
                <w:lang w:val="en-GB"/>
              </w:rPr>
              <w:t>CL</w:t>
            </w:r>
            <w:r w:rsidR="00EE74BC">
              <w:rPr>
                <w:b/>
                <w:bCs/>
                <w:lang w:val="en-GB"/>
              </w:rPr>
              <w:t>-</w:t>
            </w:r>
            <w:r w:rsidR="004C4BC0">
              <w:rPr>
                <w:b/>
                <w:bCs/>
                <w:lang w:val="en-GB"/>
              </w:rPr>
              <w:t>20</w:t>
            </w:r>
            <w:r w:rsidR="00B257A9">
              <w:rPr>
                <w:b/>
                <w:bCs/>
                <w:lang w:val="en-GB"/>
              </w:rPr>
              <w:t>/</w:t>
            </w:r>
            <w:r w:rsidR="00BA1169">
              <w:rPr>
                <w:b/>
                <w:bCs/>
                <w:lang w:val="en-GB"/>
              </w:rPr>
              <w:t>33</w:t>
            </w:r>
          </w:p>
        </w:tc>
        <w:tc>
          <w:tcPr>
            <w:tcW w:w="284" w:type="dxa"/>
            <w:shd w:val="clear" w:color="auto" w:fill="auto"/>
          </w:tcPr>
          <w:p w14:paraId="24228C1A" w14:textId="77777777" w:rsidR="00155CA8" w:rsidRPr="007B3DB1" w:rsidRDefault="00155CA8" w:rsidP="00651777">
            <w:pPr>
              <w:spacing w:before="0"/>
              <w:rPr>
                <w:lang w:val="en-GB"/>
              </w:rPr>
            </w:pPr>
          </w:p>
        </w:tc>
        <w:tc>
          <w:tcPr>
            <w:tcW w:w="4536" w:type="dxa"/>
            <w:vMerge w:val="restart"/>
            <w:shd w:val="clear" w:color="auto" w:fill="auto"/>
            <w:vAlign w:val="center"/>
          </w:tcPr>
          <w:p w14:paraId="5C659A16" w14:textId="643449BE" w:rsidR="00155CA8" w:rsidRPr="006075DA" w:rsidRDefault="00155CA8" w:rsidP="00D62BDC">
            <w:pPr>
              <w:spacing w:before="0"/>
              <w:jc w:val="left"/>
            </w:pPr>
            <w:r w:rsidRPr="006075DA">
              <w:t>To Member States of ITU</w:t>
            </w:r>
          </w:p>
        </w:tc>
      </w:tr>
      <w:tr w:rsidR="00594C0C" w:rsidRPr="006075DA" w14:paraId="678B800D" w14:textId="77777777" w:rsidTr="00651777">
        <w:tc>
          <w:tcPr>
            <w:tcW w:w="1276" w:type="dxa"/>
            <w:shd w:val="clear" w:color="auto" w:fill="auto"/>
          </w:tcPr>
          <w:p w14:paraId="4950BFF0" w14:textId="77777777" w:rsidR="00594C0C" w:rsidRPr="007B3DB1" w:rsidRDefault="00594C0C" w:rsidP="00594C0C">
            <w:pPr>
              <w:spacing w:before="0"/>
              <w:jc w:val="left"/>
              <w:rPr>
                <w:lang w:val="en-GB"/>
              </w:rPr>
            </w:pPr>
            <w:r w:rsidRPr="007B3DB1">
              <w:rPr>
                <w:lang w:val="en-GB"/>
              </w:rPr>
              <w:t>Contact:</w:t>
            </w:r>
          </w:p>
        </w:tc>
        <w:tc>
          <w:tcPr>
            <w:tcW w:w="3793" w:type="dxa"/>
            <w:shd w:val="clear" w:color="auto" w:fill="auto"/>
          </w:tcPr>
          <w:p w14:paraId="39E048C8" w14:textId="04813B08" w:rsidR="00594C0C" w:rsidRPr="007B3DB1" w:rsidRDefault="00594C0C" w:rsidP="00594C0C">
            <w:pPr>
              <w:spacing w:before="0"/>
              <w:jc w:val="left"/>
              <w:rPr>
                <w:lang w:val="en-GB"/>
              </w:rPr>
            </w:pPr>
            <w:r>
              <w:rPr>
                <w:lang w:val="en-GB"/>
              </w:rPr>
              <w:t>Ms Béatrice Pluchon</w:t>
            </w:r>
          </w:p>
        </w:tc>
        <w:tc>
          <w:tcPr>
            <w:tcW w:w="284" w:type="dxa"/>
            <w:shd w:val="clear" w:color="auto" w:fill="auto"/>
          </w:tcPr>
          <w:p w14:paraId="6C54FE64" w14:textId="77777777" w:rsidR="00594C0C" w:rsidRPr="007B3DB1" w:rsidRDefault="00594C0C" w:rsidP="00594C0C">
            <w:pPr>
              <w:spacing w:before="0"/>
              <w:rPr>
                <w:lang w:val="en-GB"/>
              </w:rPr>
            </w:pPr>
          </w:p>
        </w:tc>
        <w:tc>
          <w:tcPr>
            <w:tcW w:w="4536" w:type="dxa"/>
            <w:vMerge/>
            <w:shd w:val="clear" w:color="auto" w:fill="auto"/>
          </w:tcPr>
          <w:p w14:paraId="13B02516" w14:textId="77777777" w:rsidR="00594C0C" w:rsidRPr="006075DA" w:rsidRDefault="00594C0C" w:rsidP="00594C0C">
            <w:pPr>
              <w:spacing w:before="0"/>
              <w:jc w:val="left"/>
            </w:pPr>
          </w:p>
        </w:tc>
      </w:tr>
      <w:tr w:rsidR="00594C0C" w:rsidRPr="00F56CAF" w14:paraId="5BDA912D" w14:textId="77777777" w:rsidTr="00197324">
        <w:tc>
          <w:tcPr>
            <w:tcW w:w="1276" w:type="dxa"/>
            <w:shd w:val="clear" w:color="auto" w:fill="auto"/>
          </w:tcPr>
          <w:p w14:paraId="36615109" w14:textId="025D254C" w:rsidR="00594C0C" w:rsidRPr="00155CA8" w:rsidRDefault="00594C0C" w:rsidP="00594C0C">
            <w:pPr>
              <w:spacing w:before="0"/>
              <w:jc w:val="left"/>
            </w:pPr>
            <w:r>
              <w:t>Telephone:</w:t>
            </w:r>
          </w:p>
        </w:tc>
        <w:tc>
          <w:tcPr>
            <w:tcW w:w="3793" w:type="dxa"/>
            <w:shd w:val="clear" w:color="auto" w:fill="auto"/>
          </w:tcPr>
          <w:p w14:paraId="4E6E9624" w14:textId="6CC247AB" w:rsidR="00594C0C" w:rsidRDefault="00594C0C" w:rsidP="00594C0C">
            <w:pPr>
              <w:spacing w:before="0"/>
              <w:jc w:val="left"/>
            </w:pPr>
            <w:r w:rsidRPr="00155CA8">
              <w:t xml:space="preserve">+41 22 730 </w:t>
            </w:r>
            <w:r>
              <w:t>6266</w:t>
            </w:r>
          </w:p>
        </w:tc>
        <w:tc>
          <w:tcPr>
            <w:tcW w:w="284" w:type="dxa"/>
            <w:shd w:val="clear" w:color="auto" w:fill="auto"/>
          </w:tcPr>
          <w:p w14:paraId="0382D50C" w14:textId="77777777" w:rsidR="00594C0C" w:rsidRPr="00155CA8" w:rsidRDefault="00594C0C" w:rsidP="00594C0C">
            <w:pPr>
              <w:spacing w:before="0"/>
            </w:pPr>
          </w:p>
        </w:tc>
        <w:tc>
          <w:tcPr>
            <w:tcW w:w="4536" w:type="dxa"/>
            <w:vMerge/>
            <w:shd w:val="clear" w:color="auto" w:fill="auto"/>
          </w:tcPr>
          <w:p w14:paraId="4D33EB66" w14:textId="77777777" w:rsidR="00594C0C" w:rsidRPr="00155CA8" w:rsidRDefault="00594C0C" w:rsidP="00594C0C">
            <w:pPr>
              <w:spacing w:before="0"/>
            </w:pPr>
          </w:p>
        </w:tc>
      </w:tr>
      <w:tr w:rsidR="00594C0C" w:rsidRPr="00F56CAF" w14:paraId="5FB31269" w14:textId="77777777" w:rsidTr="00197324">
        <w:tc>
          <w:tcPr>
            <w:tcW w:w="1276" w:type="dxa"/>
            <w:shd w:val="clear" w:color="auto" w:fill="auto"/>
          </w:tcPr>
          <w:p w14:paraId="14995E30" w14:textId="77777777" w:rsidR="00594C0C" w:rsidRPr="00F56CAF" w:rsidRDefault="00594C0C" w:rsidP="00594C0C">
            <w:pPr>
              <w:spacing w:before="0"/>
              <w:jc w:val="left"/>
              <w:rPr>
                <w:lang w:val="fr-CH"/>
              </w:rPr>
            </w:pPr>
            <w:r w:rsidRPr="00155CA8">
              <w:t>E-mail</w:t>
            </w:r>
            <w:r w:rsidRPr="00F56CAF">
              <w:rPr>
                <w:lang w:val="fr-CH"/>
              </w:rPr>
              <w:t>:</w:t>
            </w:r>
          </w:p>
        </w:tc>
        <w:tc>
          <w:tcPr>
            <w:tcW w:w="3793" w:type="dxa"/>
            <w:shd w:val="clear" w:color="auto" w:fill="auto"/>
          </w:tcPr>
          <w:p w14:paraId="5ABF16D3" w14:textId="4CE50E56" w:rsidR="00594C0C" w:rsidRPr="007B3DB1" w:rsidRDefault="00CE0C9A" w:rsidP="00594C0C">
            <w:pPr>
              <w:spacing w:before="0"/>
              <w:jc w:val="left"/>
              <w:rPr>
                <w:lang w:val="en-GB"/>
              </w:rPr>
            </w:pPr>
            <w:hyperlink r:id="rId11" w:history="1">
              <w:r w:rsidR="00594C0C" w:rsidRPr="00E02765">
                <w:rPr>
                  <w:rStyle w:val="Hyperlink"/>
                  <w:lang w:val="fr-CH"/>
                </w:rPr>
                <w:t>memberstates@itu.int</w:t>
              </w:r>
            </w:hyperlink>
          </w:p>
        </w:tc>
        <w:tc>
          <w:tcPr>
            <w:tcW w:w="284" w:type="dxa"/>
            <w:shd w:val="clear" w:color="auto" w:fill="auto"/>
          </w:tcPr>
          <w:p w14:paraId="6FDB901D" w14:textId="77777777" w:rsidR="00594C0C" w:rsidRPr="00155CA8" w:rsidRDefault="00594C0C" w:rsidP="00594C0C">
            <w:pPr>
              <w:spacing w:before="0"/>
            </w:pPr>
          </w:p>
        </w:tc>
        <w:tc>
          <w:tcPr>
            <w:tcW w:w="4536" w:type="dxa"/>
            <w:vMerge/>
            <w:shd w:val="clear" w:color="auto" w:fill="auto"/>
          </w:tcPr>
          <w:p w14:paraId="5534A537" w14:textId="77777777" w:rsidR="00594C0C" w:rsidRPr="00155CA8" w:rsidRDefault="00594C0C" w:rsidP="00594C0C">
            <w:pPr>
              <w:spacing w:before="0"/>
            </w:pPr>
          </w:p>
        </w:tc>
      </w:tr>
      <w:tr w:rsidR="00594C0C" w:rsidRPr="00F56CAF" w14:paraId="1F066DFA" w14:textId="77777777" w:rsidTr="00197324">
        <w:tc>
          <w:tcPr>
            <w:tcW w:w="1276" w:type="dxa"/>
            <w:shd w:val="clear" w:color="auto" w:fill="auto"/>
          </w:tcPr>
          <w:p w14:paraId="7C1DBC34" w14:textId="77777777" w:rsidR="00594C0C" w:rsidRPr="00155CA8" w:rsidRDefault="00594C0C" w:rsidP="00594C0C">
            <w:pPr>
              <w:spacing w:before="0"/>
              <w:jc w:val="left"/>
            </w:pPr>
          </w:p>
        </w:tc>
        <w:tc>
          <w:tcPr>
            <w:tcW w:w="3793" w:type="dxa"/>
            <w:shd w:val="clear" w:color="auto" w:fill="auto"/>
          </w:tcPr>
          <w:p w14:paraId="1BCA0736" w14:textId="77777777" w:rsidR="00594C0C" w:rsidRDefault="00594C0C" w:rsidP="00594C0C">
            <w:pPr>
              <w:spacing w:before="0"/>
              <w:jc w:val="left"/>
            </w:pPr>
          </w:p>
        </w:tc>
        <w:tc>
          <w:tcPr>
            <w:tcW w:w="284" w:type="dxa"/>
            <w:shd w:val="clear" w:color="auto" w:fill="auto"/>
          </w:tcPr>
          <w:p w14:paraId="308360E2" w14:textId="77777777" w:rsidR="00594C0C" w:rsidRPr="00155CA8" w:rsidRDefault="00594C0C" w:rsidP="00594C0C">
            <w:pPr>
              <w:spacing w:before="0"/>
            </w:pPr>
          </w:p>
        </w:tc>
        <w:tc>
          <w:tcPr>
            <w:tcW w:w="4536" w:type="dxa"/>
            <w:shd w:val="clear" w:color="auto" w:fill="auto"/>
          </w:tcPr>
          <w:p w14:paraId="3B2895C5" w14:textId="77777777" w:rsidR="00594C0C" w:rsidRPr="00155CA8" w:rsidRDefault="00594C0C" w:rsidP="00594C0C">
            <w:pPr>
              <w:spacing w:before="0"/>
            </w:pPr>
          </w:p>
        </w:tc>
      </w:tr>
      <w:tr w:rsidR="00594C0C" w:rsidRPr="007B3DB1" w14:paraId="299080E5" w14:textId="77777777" w:rsidTr="0042318E">
        <w:trPr>
          <w:trHeight w:val="271"/>
        </w:trPr>
        <w:tc>
          <w:tcPr>
            <w:tcW w:w="1276" w:type="dxa"/>
            <w:shd w:val="clear" w:color="auto" w:fill="auto"/>
          </w:tcPr>
          <w:p w14:paraId="6486529E" w14:textId="77777777" w:rsidR="00594C0C" w:rsidRPr="007B3DB1" w:rsidRDefault="00594C0C" w:rsidP="00594C0C">
            <w:pPr>
              <w:spacing w:before="240"/>
              <w:jc w:val="left"/>
              <w:rPr>
                <w:lang w:val="en-GB"/>
              </w:rPr>
            </w:pPr>
            <w:r w:rsidRPr="007B3DB1">
              <w:rPr>
                <w:lang w:val="en-GB"/>
              </w:rPr>
              <w:t>Subject:</w:t>
            </w:r>
          </w:p>
        </w:tc>
        <w:tc>
          <w:tcPr>
            <w:tcW w:w="8613" w:type="dxa"/>
            <w:gridSpan w:val="3"/>
            <w:shd w:val="clear" w:color="auto" w:fill="auto"/>
          </w:tcPr>
          <w:p w14:paraId="101C525D" w14:textId="7BE3A742" w:rsidR="00594C0C" w:rsidRPr="00D256E0" w:rsidRDefault="00594C0C" w:rsidP="00594C0C">
            <w:pPr>
              <w:spacing w:before="240"/>
              <w:rPr>
                <w:b/>
                <w:bCs/>
                <w:lang w:val="en-GB"/>
              </w:rPr>
            </w:pPr>
            <w:r>
              <w:rPr>
                <w:b/>
                <w:bCs/>
              </w:rPr>
              <w:t xml:space="preserve">Change of dates of WTSA-20 and Agenda of WRC-23 </w:t>
            </w:r>
          </w:p>
        </w:tc>
      </w:tr>
    </w:tbl>
    <w:p w14:paraId="02D98BF8" w14:textId="3E12626F" w:rsidR="00D256E0" w:rsidRDefault="00D256E0" w:rsidP="008B581C">
      <w:pPr>
        <w:spacing w:before="360"/>
      </w:pPr>
      <w:r w:rsidRPr="00F439A9">
        <w:t xml:space="preserve">Dear </w:t>
      </w:r>
      <w:r>
        <w:t>Madam</w:t>
      </w:r>
      <w:r w:rsidR="00AB3DA0">
        <w:t>/</w:t>
      </w:r>
      <w:r>
        <w:t>Sir</w:t>
      </w:r>
      <w:r w:rsidRPr="00F439A9">
        <w:t xml:space="preserve">, </w:t>
      </w:r>
    </w:p>
    <w:p w14:paraId="29C70FD9" w14:textId="5097702D" w:rsidR="00A60B06" w:rsidRDefault="00D10E3E" w:rsidP="00EE307A">
      <w:r>
        <w:t xml:space="preserve">Further to the consultation of Council Member States carried out </w:t>
      </w:r>
      <w:r w:rsidR="00A60B06" w:rsidRPr="00A60B06">
        <w:t xml:space="preserve">by </w:t>
      </w:r>
      <w:r w:rsidR="00A60B06">
        <w:t xml:space="preserve">letter </w:t>
      </w:r>
      <w:hyperlink r:id="rId12" w:history="1">
        <w:r w:rsidR="00A60B06" w:rsidRPr="00B4455D">
          <w:rPr>
            <w:rStyle w:val="Hyperlink"/>
          </w:rPr>
          <w:t>DM-20/1009</w:t>
        </w:r>
      </w:hyperlink>
      <w:r w:rsidR="00A60B06">
        <w:t xml:space="preserve"> of 26 June 2020 relating to the outcomes of discussions of the Virtual consultation of councillors</w:t>
      </w:r>
      <w:r w:rsidR="00C266B1">
        <w:t xml:space="preserve"> </w:t>
      </w:r>
      <w:r w:rsidR="00C266B1" w:rsidRPr="00320F5B">
        <w:t xml:space="preserve">and the </w:t>
      </w:r>
      <w:r w:rsidR="00663A88">
        <w:t>results</w:t>
      </w:r>
      <w:r w:rsidR="00C266B1" w:rsidRPr="00320F5B">
        <w:t xml:space="preserve"> as conveyed in </w:t>
      </w:r>
      <w:hyperlink r:id="rId13" w:history="1">
        <w:r w:rsidR="00C266B1" w:rsidRPr="00AE639D">
          <w:rPr>
            <w:rStyle w:val="Hyperlink"/>
          </w:rPr>
          <w:t>DM-20/</w:t>
        </w:r>
        <w:r w:rsidR="00BA1169" w:rsidRPr="00AE639D">
          <w:rPr>
            <w:rStyle w:val="Hyperlink"/>
          </w:rPr>
          <w:t>1011</w:t>
        </w:r>
      </w:hyperlink>
      <w:r w:rsidR="00320F5B">
        <w:t>,</w:t>
      </w:r>
      <w:r>
        <w:t xml:space="preserve"> I am pleased to inform you that the Council Member States have agreed on the following decisions: </w:t>
      </w:r>
    </w:p>
    <w:p w14:paraId="1EAB8403" w14:textId="5D22F4B6" w:rsidR="0081035D" w:rsidRPr="004C345B" w:rsidRDefault="00EE307A" w:rsidP="00BB59FE">
      <w:pPr>
        <w:spacing w:before="300"/>
        <w:rPr>
          <w:u w:val="single"/>
          <w:lang w:val="en-GB"/>
        </w:rPr>
      </w:pPr>
      <w:r>
        <w:rPr>
          <w:u w:val="single"/>
        </w:rPr>
        <w:t>C</w:t>
      </w:r>
      <w:r w:rsidR="000E2A48">
        <w:rPr>
          <w:u w:val="single"/>
        </w:rPr>
        <w:t xml:space="preserve">hange of dates of </w:t>
      </w:r>
      <w:r w:rsidR="00D00B69" w:rsidRPr="004C345B">
        <w:rPr>
          <w:u w:val="single"/>
        </w:rPr>
        <w:t>WTSA</w:t>
      </w:r>
      <w:r w:rsidR="005A5E05">
        <w:rPr>
          <w:u w:val="single"/>
        </w:rPr>
        <w:t>-2</w:t>
      </w:r>
      <w:r w:rsidR="00F45AD0">
        <w:rPr>
          <w:u w:val="single"/>
        </w:rPr>
        <w:t>0</w:t>
      </w:r>
    </w:p>
    <w:p w14:paraId="4940986D" w14:textId="2BCA4087" w:rsidR="00937AE0" w:rsidRDefault="00FE3EF5" w:rsidP="00BB59FE">
      <w:pPr>
        <w:tabs>
          <w:tab w:val="clear" w:pos="794"/>
          <w:tab w:val="clear" w:pos="1191"/>
          <w:tab w:val="clear" w:pos="1588"/>
          <w:tab w:val="clear" w:pos="1985"/>
        </w:tabs>
        <w:overflowPunct/>
        <w:autoSpaceDE/>
        <w:autoSpaceDN/>
        <w:adjustRightInd/>
        <w:spacing w:line="240" w:lineRule="auto"/>
        <w:textAlignment w:val="auto"/>
      </w:pPr>
      <w:r>
        <w:rPr>
          <w:lang w:val="en-GB"/>
        </w:rPr>
        <w:t xml:space="preserve">Council </w:t>
      </w:r>
      <w:r w:rsidR="00A60B06">
        <w:rPr>
          <w:lang w:val="en-GB"/>
        </w:rPr>
        <w:t xml:space="preserve">Member States have supported rescheduling </w:t>
      </w:r>
      <w:r w:rsidR="00937AE0">
        <w:t xml:space="preserve">the next WTSA </w:t>
      </w:r>
      <w:r w:rsidR="00EE307A">
        <w:t>from</w:t>
      </w:r>
      <w:r w:rsidR="00937AE0">
        <w:t xml:space="preserve"> 23 February to 5 March 2021 after the Global Standards Symposium on 22 February 2021 and subject to the restoration of normal work and travel conditions in India and in other Member States</w:t>
      </w:r>
      <w:r w:rsidR="00126EA3">
        <w:t xml:space="preserve"> by adopting the </w:t>
      </w:r>
      <w:r w:rsidR="00F242DD">
        <w:t>decision</w:t>
      </w:r>
      <w:r w:rsidR="00126EA3">
        <w:t xml:space="preserve"> in </w:t>
      </w:r>
      <w:hyperlink w:anchor="annex2" w:history="1">
        <w:r w:rsidR="008B581C" w:rsidRPr="00AA3BBA">
          <w:rPr>
            <w:rStyle w:val="Hyperlink"/>
          </w:rPr>
          <w:t>Annex 2</w:t>
        </w:r>
      </w:hyperlink>
      <w:r w:rsidR="00937AE0">
        <w:t xml:space="preserve">. </w:t>
      </w:r>
    </w:p>
    <w:p w14:paraId="2E9DDFD1" w14:textId="516D0670" w:rsidR="002318E0" w:rsidRPr="004C345B" w:rsidRDefault="00ED14EC" w:rsidP="00BB59FE">
      <w:pPr>
        <w:tabs>
          <w:tab w:val="clear" w:pos="794"/>
          <w:tab w:val="clear" w:pos="1191"/>
          <w:tab w:val="clear" w:pos="1588"/>
          <w:tab w:val="clear" w:pos="1985"/>
        </w:tabs>
        <w:overflowPunct/>
        <w:autoSpaceDE/>
        <w:autoSpaceDN/>
        <w:adjustRightInd/>
        <w:spacing w:before="300" w:line="240" w:lineRule="auto"/>
        <w:textAlignment w:val="auto"/>
        <w:rPr>
          <w:u w:val="single"/>
        </w:rPr>
      </w:pPr>
      <w:r>
        <w:rPr>
          <w:u w:val="single"/>
        </w:rPr>
        <w:t xml:space="preserve">Agenda for </w:t>
      </w:r>
      <w:r w:rsidR="00D00B69" w:rsidRPr="004C345B">
        <w:rPr>
          <w:u w:val="single"/>
        </w:rPr>
        <w:t>WRC-23</w:t>
      </w:r>
    </w:p>
    <w:p w14:paraId="392B646F" w14:textId="6C4E158A" w:rsidR="005A5E05" w:rsidRPr="00AA3BBA" w:rsidRDefault="00FE3EF5" w:rsidP="00E23693">
      <w:r>
        <w:t xml:space="preserve">Council Member States have supported the </w:t>
      </w:r>
      <w:r w:rsidR="00D00B69">
        <w:t>agenda of the World Radiocommunication Conference (WRC</w:t>
      </w:r>
      <w:r w:rsidR="00EE307A">
        <w:t>-2</w:t>
      </w:r>
      <w:r w:rsidR="0002696A">
        <w:t>3)</w:t>
      </w:r>
      <w:r w:rsidR="00D00B69">
        <w:t xml:space="preserve"> </w:t>
      </w:r>
      <w:r w:rsidR="005A5E05">
        <w:t xml:space="preserve">included in </w:t>
      </w:r>
      <w:r w:rsidR="00EE307A">
        <w:t xml:space="preserve">the </w:t>
      </w:r>
      <w:r w:rsidR="005A5E05">
        <w:t xml:space="preserve">resolution </w:t>
      </w:r>
      <w:r w:rsidR="008F6BC3">
        <w:t xml:space="preserve">in </w:t>
      </w:r>
      <w:hyperlink w:anchor="annex3" w:history="1">
        <w:r w:rsidR="008F6BC3" w:rsidRPr="0051215C">
          <w:rPr>
            <w:rStyle w:val="Hyperlink"/>
          </w:rPr>
          <w:t xml:space="preserve">Annex </w:t>
        </w:r>
        <w:r w:rsidR="008B581C" w:rsidRPr="0051215C">
          <w:rPr>
            <w:rStyle w:val="Hyperlink"/>
          </w:rPr>
          <w:t>3</w:t>
        </w:r>
      </w:hyperlink>
      <w:r w:rsidR="00F45AD0" w:rsidRPr="00AA3BBA">
        <w:t xml:space="preserve"> and adopt</w:t>
      </w:r>
      <w:r>
        <w:t>ed</w:t>
      </w:r>
      <w:r w:rsidR="00F45AD0" w:rsidRPr="00AA3BBA">
        <w:t xml:space="preserve"> the resolution</w:t>
      </w:r>
      <w:r w:rsidR="005A5E05" w:rsidRPr="00AA3BBA">
        <w:t xml:space="preserve">. </w:t>
      </w:r>
    </w:p>
    <w:p w14:paraId="7281C116" w14:textId="5FA04F59" w:rsidR="00A762F8" w:rsidRDefault="00D10E3E" w:rsidP="00E23693">
      <w:pPr>
        <w:spacing w:before="300"/>
        <w:rPr>
          <w:spacing w:val="2"/>
          <w:lang w:val="en-GB"/>
        </w:rPr>
      </w:pPr>
      <w:r w:rsidRPr="00E23693">
        <w:t>Pursuant</w:t>
      </w:r>
      <w:r w:rsidRPr="00E23693">
        <w:rPr>
          <w:spacing w:val="2"/>
        </w:rPr>
        <w:t xml:space="preserve"> </w:t>
      </w:r>
      <w:r w:rsidRPr="00320F5B">
        <w:rPr>
          <w:spacing w:val="2"/>
        </w:rPr>
        <w:t>to No</w:t>
      </w:r>
      <w:r w:rsidR="00BB26DE">
        <w:rPr>
          <w:spacing w:val="2"/>
        </w:rPr>
        <w:t>.</w:t>
      </w:r>
      <w:r w:rsidRPr="00320F5B">
        <w:rPr>
          <w:spacing w:val="2"/>
        </w:rPr>
        <w:t xml:space="preserve"> 46</w:t>
      </w:r>
      <w:r w:rsidR="00BB26DE">
        <w:rPr>
          <w:spacing w:val="2"/>
        </w:rPr>
        <w:t xml:space="preserve"> of the ITU Convention regarding the dates of WTSA-20, and Nos 47 and 118</w:t>
      </w:r>
      <w:r w:rsidR="00B4455D" w:rsidRPr="00320F5B">
        <w:rPr>
          <w:spacing w:val="2"/>
        </w:rPr>
        <w:t xml:space="preserve"> </w:t>
      </w:r>
      <w:r w:rsidRPr="00320F5B">
        <w:rPr>
          <w:spacing w:val="2"/>
        </w:rPr>
        <w:t>of the</w:t>
      </w:r>
      <w:r>
        <w:rPr>
          <w:spacing w:val="2"/>
        </w:rPr>
        <w:t xml:space="preserve"> ITU Convention</w:t>
      </w:r>
      <w:r w:rsidR="00BB26DE">
        <w:rPr>
          <w:spacing w:val="2"/>
        </w:rPr>
        <w:t xml:space="preserve"> regarding the agenda of the WR</w:t>
      </w:r>
      <w:r w:rsidR="001777BA">
        <w:rPr>
          <w:spacing w:val="2"/>
        </w:rPr>
        <w:t>C</w:t>
      </w:r>
      <w:r w:rsidR="00BB26DE">
        <w:rPr>
          <w:spacing w:val="2"/>
        </w:rPr>
        <w:t>-23</w:t>
      </w:r>
      <w:r>
        <w:rPr>
          <w:spacing w:val="2"/>
        </w:rPr>
        <w:t xml:space="preserve">, all Member States of ITU are thus invited to inform the Secretary-General of their concurrence with the </w:t>
      </w:r>
      <w:r w:rsidR="00E23693">
        <w:rPr>
          <w:spacing w:val="2"/>
        </w:rPr>
        <w:t xml:space="preserve">changes of dates of WTSA-20 and the agenda of WRC-23 as described above by e-mail to </w:t>
      </w:r>
      <w:hyperlink r:id="rId14" w:history="1">
        <w:r w:rsidR="00E23693" w:rsidRPr="00C77B6A">
          <w:rPr>
            <w:rStyle w:val="Hyperlink"/>
            <w:spacing w:val="2"/>
          </w:rPr>
          <w:t>memberstates@itu.int</w:t>
        </w:r>
      </w:hyperlink>
      <w:r w:rsidR="00E23693">
        <w:rPr>
          <w:spacing w:val="2"/>
        </w:rPr>
        <w:t xml:space="preserve"> </w:t>
      </w:r>
      <w:r w:rsidR="00E23693" w:rsidRPr="00BB26DE">
        <w:rPr>
          <w:b/>
          <w:bCs/>
          <w:spacing w:val="2"/>
        </w:rPr>
        <w:t xml:space="preserve">not later than </w:t>
      </w:r>
      <w:r w:rsidR="00BB26DE" w:rsidRPr="00BB26DE">
        <w:rPr>
          <w:b/>
          <w:bCs/>
          <w:spacing w:val="2"/>
        </w:rPr>
        <w:t>31 August 2020</w:t>
      </w:r>
      <w:r w:rsidR="00E23693">
        <w:rPr>
          <w:spacing w:val="2"/>
        </w:rPr>
        <w:t xml:space="preserve">. </w:t>
      </w:r>
      <w:r w:rsidR="00320F5B" w:rsidRPr="00E23693">
        <w:rPr>
          <w:spacing w:val="2"/>
          <w:lang w:val="en-GB"/>
        </w:rPr>
        <w:t xml:space="preserve">Please use the format in </w:t>
      </w:r>
      <w:hyperlink w:anchor="annex1" w:history="1">
        <w:r w:rsidR="00320F5B" w:rsidRPr="00DD593F">
          <w:rPr>
            <w:rStyle w:val="Hyperlink"/>
            <w:lang w:val="en-GB"/>
          </w:rPr>
          <w:t>Annex 1</w:t>
        </w:r>
      </w:hyperlink>
      <w:r w:rsidR="00320F5B" w:rsidRPr="00E23693">
        <w:rPr>
          <w:spacing w:val="2"/>
          <w:lang w:val="en-GB"/>
        </w:rPr>
        <w:t xml:space="preserve"> to reply.</w:t>
      </w:r>
    </w:p>
    <w:p w14:paraId="5A6EF894" w14:textId="2ECBE403" w:rsidR="00E23693" w:rsidRPr="00E23693" w:rsidRDefault="0089491B" w:rsidP="008B581C">
      <w:pPr>
        <w:spacing w:before="300"/>
        <w:rPr>
          <w:spacing w:val="2"/>
          <w:lang w:val="en-GB"/>
        </w:rPr>
      </w:pPr>
      <w:r w:rsidRPr="0089491B">
        <w:rPr>
          <w:spacing w:val="2"/>
        </w:rPr>
        <w:t xml:space="preserve">If your country has already responded to the first consultation of Council Member States, </w:t>
      </w:r>
      <w:r w:rsidRPr="00BB26DE">
        <w:rPr>
          <w:b/>
          <w:bCs/>
          <w:spacing w:val="2"/>
        </w:rPr>
        <w:t>your reply to the first consultation will also be considered as valid</w:t>
      </w:r>
      <w:r w:rsidRPr="0089491B">
        <w:rPr>
          <w:spacing w:val="2"/>
        </w:rPr>
        <w:t xml:space="preserve"> with regard to this consultation of all Member States, </w:t>
      </w:r>
      <w:r w:rsidRPr="00BB26DE">
        <w:rPr>
          <w:b/>
          <w:bCs/>
          <w:spacing w:val="2"/>
        </w:rPr>
        <w:t>unless otherwise notified by the Councilo</w:t>
      </w:r>
      <w:r w:rsidRPr="00BB26DE">
        <w:rPr>
          <w:rFonts w:hint="eastAsia"/>
          <w:b/>
          <w:bCs/>
          <w:spacing w:val="2"/>
        </w:rPr>
        <w:t>r or the Administration Focal Point in writing by e</w:t>
      </w:r>
      <w:r w:rsidRPr="00BB26DE">
        <w:rPr>
          <w:b/>
          <w:bCs/>
          <w:spacing w:val="2"/>
        </w:rPr>
        <w:t>-</w:t>
      </w:r>
      <w:r w:rsidRPr="00BB26DE">
        <w:rPr>
          <w:rFonts w:hint="eastAsia"/>
          <w:b/>
          <w:bCs/>
          <w:spacing w:val="2"/>
        </w:rPr>
        <w:t>mail</w:t>
      </w:r>
      <w:r>
        <w:rPr>
          <w:spacing w:val="2"/>
        </w:rPr>
        <w:t xml:space="preserve"> to </w:t>
      </w:r>
      <w:hyperlink r:id="rId15" w:history="1">
        <w:r w:rsidRPr="005F5DC9">
          <w:rPr>
            <w:rStyle w:val="Hyperlink"/>
            <w:spacing w:val="2"/>
          </w:rPr>
          <w:t>memberstates@itu.int</w:t>
        </w:r>
      </w:hyperlink>
      <w:r>
        <w:rPr>
          <w:spacing w:val="2"/>
        </w:rPr>
        <w:t xml:space="preserve"> </w:t>
      </w:r>
      <w:r w:rsidRPr="00BB26DE">
        <w:rPr>
          <w:b/>
          <w:bCs/>
          <w:spacing w:val="2"/>
        </w:rPr>
        <w:t>not later than</w:t>
      </w:r>
      <w:r w:rsidR="00320F5B" w:rsidRPr="00BB26DE">
        <w:rPr>
          <w:b/>
          <w:bCs/>
          <w:spacing w:val="2"/>
        </w:rPr>
        <w:t xml:space="preserve"> </w:t>
      </w:r>
      <w:r w:rsidR="00BB26DE" w:rsidRPr="00BB26DE">
        <w:rPr>
          <w:b/>
          <w:bCs/>
          <w:spacing w:val="2"/>
        </w:rPr>
        <w:t>31 August 2020</w:t>
      </w:r>
      <w:r w:rsidR="00320F5B">
        <w:rPr>
          <w:spacing w:val="2"/>
        </w:rPr>
        <w:t xml:space="preserve">, also using the format in </w:t>
      </w:r>
      <w:hyperlink w:anchor="annex1" w:history="1">
        <w:r w:rsidR="00320F5B" w:rsidRPr="00DD593F">
          <w:rPr>
            <w:rStyle w:val="Hyperlink"/>
            <w:lang w:val="en-GB"/>
          </w:rPr>
          <w:t>Annex 1</w:t>
        </w:r>
      </w:hyperlink>
      <w:r w:rsidR="00320F5B">
        <w:rPr>
          <w:spacing w:val="2"/>
        </w:rPr>
        <w:t>.</w:t>
      </w:r>
      <w:r w:rsidRPr="0089491B">
        <w:rPr>
          <w:rFonts w:hint="eastAsia"/>
          <w:spacing w:val="2"/>
        </w:rPr>
        <w:t xml:space="preserve"> </w:t>
      </w:r>
    </w:p>
    <w:p w14:paraId="29B728AF" w14:textId="77777777" w:rsidR="00E23693" w:rsidRDefault="00E23693" w:rsidP="00E23693">
      <w:pPr>
        <w:rPr>
          <w:spacing w:val="2"/>
          <w:lang w:val="en-GB"/>
        </w:rPr>
      </w:pPr>
      <w:r w:rsidRPr="00E23693">
        <w:rPr>
          <w:spacing w:val="2"/>
          <w:lang w:val="en-GB"/>
        </w:rPr>
        <w:t xml:space="preserve">Looking forward to receiving your reply. </w:t>
      </w:r>
    </w:p>
    <w:p w14:paraId="42F60631" w14:textId="77777777" w:rsidR="000D6CD4" w:rsidRDefault="008F6BC3" w:rsidP="000D6CD4">
      <w:pPr>
        <w:rPr>
          <w:rFonts w:cs="Arial"/>
          <w:color w:val="000000" w:themeColor="text1"/>
        </w:rPr>
      </w:pPr>
      <w:r w:rsidRPr="00C37978">
        <w:rPr>
          <w:lang w:val="en-GB"/>
        </w:rPr>
        <w:t>You</w:t>
      </w:r>
      <w:r w:rsidRPr="00DA66AD">
        <w:rPr>
          <w:rFonts w:cs="Arial"/>
          <w:color w:val="000000" w:themeColor="text1"/>
        </w:rPr>
        <w:t>rs faithfully,</w:t>
      </w:r>
    </w:p>
    <w:p w14:paraId="7E4E978C" w14:textId="77777777" w:rsidR="00774B97" w:rsidRDefault="00B257A9" w:rsidP="00774B97">
      <w:pPr>
        <w:spacing w:before="200"/>
        <w:rPr>
          <w:i/>
          <w:iCs/>
        </w:rPr>
      </w:pPr>
      <w:r w:rsidRPr="00B257A9">
        <w:rPr>
          <w:i/>
          <w:iCs/>
        </w:rPr>
        <w:t>(signed)</w:t>
      </w:r>
    </w:p>
    <w:p w14:paraId="7346B453" w14:textId="77777777" w:rsidR="00774B97" w:rsidRDefault="00FE3EF5" w:rsidP="00771C87">
      <w:pPr>
        <w:spacing w:before="240"/>
      </w:pPr>
      <w:r>
        <w:t>Houlin Zhao</w:t>
      </w:r>
    </w:p>
    <w:p w14:paraId="778F1350" w14:textId="28417C35" w:rsidR="00D256E0" w:rsidRPr="009D60E4" w:rsidRDefault="00FE3EF5" w:rsidP="00774B97">
      <w:pPr>
        <w:contextualSpacing/>
      </w:pPr>
      <w:r>
        <w:t>Secretary-General</w:t>
      </w:r>
    </w:p>
    <w:p w14:paraId="5671D24F" w14:textId="2AF8E15E" w:rsidR="00D256E0" w:rsidRPr="009C4CAA" w:rsidRDefault="00D256E0" w:rsidP="00771C87">
      <w:pPr>
        <w:spacing w:before="240"/>
        <w:rPr>
          <w:b/>
          <w:bCs/>
          <w:i/>
          <w:iCs/>
          <w:lang w:val="en-GB"/>
        </w:rPr>
      </w:pPr>
      <w:r w:rsidRPr="009C4CAA">
        <w:rPr>
          <w:b/>
          <w:bCs/>
          <w:i/>
          <w:iCs/>
          <w:lang w:val="en-GB"/>
        </w:rPr>
        <w:lastRenderedPageBreak/>
        <w:t>Annex</w:t>
      </w:r>
      <w:r w:rsidR="0049244B" w:rsidRPr="009C4CAA">
        <w:rPr>
          <w:b/>
          <w:bCs/>
          <w:i/>
          <w:iCs/>
          <w:lang w:val="en-GB"/>
        </w:rPr>
        <w:t>es</w:t>
      </w:r>
      <w:r w:rsidRPr="009C4CAA">
        <w:rPr>
          <w:b/>
          <w:bCs/>
          <w:i/>
          <w:iCs/>
          <w:lang w:val="en-GB"/>
        </w:rPr>
        <w:t xml:space="preserve">: </w:t>
      </w:r>
      <w:r w:rsidR="008B581C">
        <w:rPr>
          <w:b/>
          <w:bCs/>
          <w:i/>
          <w:iCs/>
          <w:lang w:val="en-GB"/>
        </w:rPr>
        <w:t>3</w:t>
      </w:r>
    </w:p>
    <w:p w14:paraId="68725F5B" w14:textId="5EF92FF2" w:rsidR="00F34DAB" w:rsidRPr="00DD593F" w:rsidRDefault="00CE0C9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hyperlink w:anchor="annex1" w:history="1">
        <w:r w:rsidR="00D10E3E" w:rsidRPr="00DD593F">
          <w:rPr>
            <w:rStyle w:val="Hyperlink"/>
            <w:lang w:val="en-GB"/>
          </w:rPr>
          <w:t>Annex 1</w:t>
        </w:r>
      </w:hyperlink>
      <w:r w:rsidR="00D10E3E" w:rsidRPr="00DD593F">
        <w:rPr>
          <w:lang w:val="en-GB"/>
        </w:rPr>
        <w:t xml:space="preserve"> – Consultation on </w:t>
      </w:r>
      <w:r w:rsidR="00E23693">
        <w:rPr>
          <w:lang w:val="en-GB"/>
        </w:rPr>
        <w:t>Change of date</w:t>
      </w:r>
      <w:r w:rsidR="00B4455D">
        <w:rPr>
          <w:lang w:val="en-GB"/>
        </w:rPr>
        <w:t>s</w:t>
      </w:r>
      <w:r w:rsidR="00E23693">
        <w:rPr>
          <w:lang w:val="en-GB"/>
        </w:rPr>
        <w:t xml:space="preserve"> of WTSA-20 and Agenda of WRC-23</w:t>
      </w:r>
    </w:p>
    <w:p w14:paraId="49CDE7B1" w14:textId="3E85B96B" w:rsidR="008B581C" w:rsidRDefault="00CE0C9A" w:rsidP="007D68A3">
      <w:pPr>
        <w:tabs>
          <w:tab w:val="clear" w:pos="794"/>
          <w:tab w:val="clear" w:pos="1191"/>
          <w:tab w:val="clear" w:pos="1588"/>
          <w:tab w:val="clear" w:pos="1985"/>
        </w:tabs>
        <w:overflowPunct/>
        <w:autoSpaceDE/>
        <w:autoSpaceDN/>
        <w:adjustRightInd/>
        <w:spacing w:before="0" w:line="240" w:lineRule="auto"/>
        <w:ind w:right="-567"/>
        <w:jc w:val="left"/>
        <w:textAlignment w:val="auto"/>
        <w:rPr>
          <w:lang w:val="en-GB"/>
        </w:rPr>
      </w:pPr>
      <w:hyperlink w:anchor="annex2" w:history="1">
        <w:r w:rsidR="0018621C" w:rsidRPr="00DD593F">
          <w:rPr>
            <w:rStyle w:val="Hyperlink"/>
            <w:lang w:val="en-GB"/>
          </w:rPr>
          <w:t>Annex</w:t>
        </w:r>
        <w:r w:rsidR="002D5267" w:rsidRPr="00DD593F">
          <w:rPr>
            <w:rStyle w:val="Hyperlink"/>
            <w:lang w:val="en-GB"/>
          </w:rPr>
          <w:t xml:space="preserve"> 2</w:t>
        </w:r>
      </w:hyperlink>
      <w:r w:rsidR="0018621C" w:rsidRPr="00DD593F">
        <w:rPr>
          <w:lang w:val="en-GB"/>
        </w:rPr>
        <w:t xml:space="preserve"> –</w:t>
      </w:r>
      <w:r w:rsidR="00A762F8">
        <w:rPr>
          <w:lang w:val="en-GB"/>
        </w:rPr>
        <w:t xml:space="preserve"> </w:t>
      </w:r>
      <w:r w:rsidR="008B581C">
        <w:rPr>
          <w:lang w:val="en-GB"/>
        </w:rPr>
        <w:t>Decision 608 (Modified 2020): Convening of the next World Telecommunication Standardization Assembly (WTSA-21)</w:t>
      </w:r>
    </w:p>
    <w:p w14:paraId="178F37DC" w14:textId="045EB8D0" w:rsidR="0018621C" w:rsidRPr="00DD593F" w:rsidRDefault="00CE0C9A" w:rsidP="007D68A3">
      <w:pPr>
        <w:tabs>
          <w:tab w:val="clear" w:pos="794"/>
          <w:tab w:val="clear" w:pos="1191"/>
          <w:tab w:val="clear" w:pos="1588"/>
          <w:tab w:val="clear" w:pos="1985"/>
        </w:tabs>
        <w:overflowPunct/>
        <w:autoSpaceDE/>
        <w:autoSpaceDN/>
        <w:adjustRightInd/>
        <w:spacing w:before="0" w:line="240" w:lineRule="auto"/>
        <w:ind w:right="-567"/>
        <w:jc w:val="left"/>
        <w:textAlignment w:val="auto"/>
        <w:rPr>
          <w:lang w:val="en-GB"/>
        </w:rPr>
      </w:pPr>
      <w:hyperlink w:anchor="annex3" w:history="1">
        <w:r w:rsidR="008B581C" w:rsidRPr="008B581C">
          <w:rPr>
            <w:rStyle w:val="Hyperlink"/>
            <w:lang w:val="en-GB"/>
          </w:rPr>
          <w:t>Annex 3</w:t>
        </w:r>
      </w:hyperlink>
      <w:r w:rsidR="008B581C">
        <w:rPr>
          <w:lang w:val="en-GB"/>
        </w:rPr>
        <w:t xml:space="preserve"> – Resol</w:t>
      </w:r>
      <w:r w:rsidR="007D68A3" w:rsidRPr="00DD593F">
        <w:rPr>
          <w:lang w:val="en-GB"/>
        </w:rPr>
        <w:t>ution: Agenda of the World Radiocommunication Conference (WRC-23)</w:t>
      </w:r>
    </w:p>
    <w:p w14:paraId="00C6A205" w14:textId="77777777" w:rsidR="001C1439" w:rsidRPr="00DD593F" w:rsidRDefault="001C1439" w:rsidP="006177D3">
      <w:pPr>
        <w:pStyle w:val="AnnexNo"/>
        <w:rPr>
          <w:b/>
          <w:bCs/>
          <w:sz w:val="24"/>
          <w:szCs w:val="24"/>
        </w:rPr>
        <w:sectPr w:rsidR="001C1439" w:rsidRPr="00DD593F" w:rsidSect="00126EA3">
          <w:headerReference w:type="even" r:id="rId16"/>
          <w:headerReference w:type="default" r:id="rId17"/>
          <w:headerReference w:type="first" r:id="rId18"/>
          <w:footerReference w:type="first" r:id="rId19"/>
          <w:pgSz w:w="11907" w:h="16834" w:code="9"/>
          <w:pgMar w:top="1134" w:right="1134" w:bottom="1134" w:left="1134" w:header="567" w:footer="567" w:gutter="0"/>
          <w:paperSrc w:first="4" w:other="4"/>
          <w:cols w:space="720"/>
          <w:titlePg/>
          <w:docGrid w:linePitch="299"/>
        </w:sectPr>
      </w:pPr>
    </w:p>
    <w:p w14:paraId="3E6431EF" w14:textId="029D5BFD" w:rsidR="00A44165" w:rsidRPr="002B71DE" w:rsidRDefault="00196BDD" w:rsidP="00204C2B">
      <w:pPr>
        <w:spacing w:before="0" w:line="240" w:lineRule="auto"/>
        <w:ind w:left="142"/>
        <w:jc w:val="center"/>
        <w:rPr>
          <w:b/>
          <w:bCs/>
          <w:color w:val="000000" w:themeColor="text1"/>
          <w:sz w:val="28"/>
          <w:szCs w:val="28"/>
        </w:rPr>
      </w:pPr>
      <w:bookmarkStart w:id="4" w:name="annex1"/>
      <w:bookmarkEnd w:id="4"/>
      <w:r w:rsidRPr="002B71DE">
        <w:rPr>
          <w:b/>
          <w:bCs/>
          <w:color w:val="000000" w:themeColor="text1"/>
          <w:sz w:val="28"/>
          <w:szCs w:val="28"/>
        </w:rPr>
        <w:lastRenderedPageBreak/>
        <w:t>A</w:t>
      </w:r>
      <w:r w:rsidR="00204C2B">
        <w:rPr>
          <w:b/>
          <w:bCs/>
          <w:color w:val="000000" w:themeColor="text1"/>
          <w:sz w:val="28"/>
          <w:szCs w:val="28"/>
        </w:rPr>
        <w:t>NNEX</w:t>
      </w:r>
      <w:r w:rsidR="00A44165" w:rsidRPr="002B71DE">
        <w:rPr>
          <w:b/>
          <w:bCs/>
          <w:color w:val="000000" w:themeColor="text1"/>
          <w:sz w:val="28"/>
          <w:szCs w:val="28"/>
        </w:rPr>
        <w:t xml:space="preserve"> 1</w:t>
      </w:r>
    </w:p>
    <w:p w14:paraId="24DC7F16" w14:textId="34977313" w:rsidR="00A44165" w:rsidRPr="00D10E3E" w:rsidRDefault="00A44165" w:rsidP="00D10E3E">
      <w:pPr>
        <w:spacing w:before="240" w:line="240" w:lineRule="auto"/>
        <w:ind w:left="142"/>
        <w:jc w:val="center"/>
        <w:rPr>
          <w:rFonts w:cs="Arial"/>
          <w:b/>
          <w:bCs/>
          <w:color w:val="000000" w:themeColor="text1"/>
          <w:sz w:val="28"/>
          <w:szCs w:val="28"/>
        </w:rPr>
      </w:pPr>
      <w:r w:rsidRPr="007D68A3">
        <w:rPr>
          <w:rFonts w:cs="Arial"/>
          <w:b/>
          <w:bCs/>
          <w:color w:val="000000" w:themeColor="text1"/>
          <w:sz w:val="28"/>
          <w:szCs w:val="28"/>
        </w:rPr>
        <w:t>Consultation on</w:t>
      </w:r>
      <w:r w:rsidR="00D10E3E">
        <w:rPr>
          <w:rFonts w:cs="Arial"/>
          <w:b/>
          <w:bCs/>
          <w:color w:val="000000" w:themeColor="text1"/>
          <w:sz w:val="28"/>
          <w:szCs w:val="28"/>
        </w:rPr>
        <w:t>:</w:t>
      </w:r>
      <w:r w:rsidRPr="007D68A3">
        <w:rPr>
          <w:rFonts w:cs="Arial"/>
          <w:b/>
          <w:bCs/>
          <w:color w:val="000000" w:themeColor="text1"/>
          <w:sz w:val="28"/>
          <w:szCs w:val="28"/>
        </w:rPr>
        <w:t xml:space="preserve"> </w:t>
      </w:r>
      <w:r w:rsidR="00D10E3E">
        <w:rPr>
          <w:rFonts w:cs="Arial"/>
          <w:b/>
          <w:bCs/>
          <w:color w:val="000000" w:themeColor="text1"/>
          <w:sz w:val="28"/>
          <w:szCs w:val="28"/>
        </w:rPr>
        <w:br/>
        <w:t>Change of dates of WTSA</w:t>
      </w:r>
      <w:r w:rsidR="00E23693">
        <w:rPr>
          <w:rFonts w:cs="Arial"/>
          <w:b/>
          <w:bCs/>
          <w:color w:val="000000" w:themeColor="text1"/>
          <w:sz w:val="28"/>
          <w:szCs w:val="28"/>
        </w:rPr>
        <w:t>-20</w:t>
      </w:r>
      <w:r w:rsidR="00D10E3E">
        <w:rPr>
          <w:rFonts w:cs="Arial"/>
          <w:b/>
          <w:bCs/>
          <w:color w:val="000000" w:themeColor="text1"/>
          <w:sz w:val="28"/>
          <w:szCs w:val="28"/>
        </w:rPr>
        <w:t xml:space="preserve"> and </w:t>
      </w:r>
      <w:r w:rsidR="00E23693">
        <w:rPr>
          <w:rFonts w:cs="Arial"/>
          <w:b/>
          <w:bCs/>
          <w:color w:val="000000" w:themeColor="text1"/>
          <w:sz w:val="28"/>
          <w:szCs w:val="28"/>
        </w:rPr>
        <w:t>A</w:t>
      </w:r>
      <w:r w:rsidR="00D10E3E">
        <w:rPr>
          <w:rFonts w:cs="Arial"/>
          <w:b/>
          <w:bCs/>
          <w:color w:val="000000" w:themeColor="text1"/>
          <w:sz w:val="28"/>
          <w:szCs w:val="28"/>
        </w:rPr>
        <w:t>genda for WRC-23</w:t>
      </w:r>
    </w:p>
    <w:p w14:paraId="3A042517" w14:textId="6AACAC09" w:rsidR="00A44165" w:rsidRPr="0086733F" w:rsidRDefault="00A44165" w:rsidP="00802150">
      <w:pPr>
        <w:tabs>
          <w:tab w:val="clear" w:pos="794"/>
          <w:tab w:val="clear" w:pos="1191"/>
          <w:tab w:val="clear" w:pos="1588"/>
          <w:tab w:val="clear" w:pos="1985"/>
          <w:tab w:val="right" w:leader="dot" w:pos="9072"/>
        </w:tabs>
        <w:spacing w:before="360" w:after="120" w:line="240" w:lineRule="auto"/>
        <w:ind w:left="-454"/>
        <w:jc w:val="left"/>
        <w:rPr>
          <w:b/>
          <w:bCs/>
          <w:color w:val="000000" w:themeColor="text1"/>
          <w:sz w:val="26"/>
          <w:szCs w:val="26"/>
        </w:rPr>
      </w:pPr>
      <w:r w:rsidRPr="0086733F">
        <w:rPr>
          <w:b/>
          <w:bCs/>
          <w:color w:val="000000" w:themeColor="text1"/>
          <w:sz w:val="26"/>
          <w:szCs w:val="26"/>
        </w:rPr>
        <w:t xml:space="preserve">Name of </w:t>
      </w:r>
      <w:r w:rsidR="00E951F7">
        <w:rPr>
          <w:b/>
          <w:bCs/>
          <w:color w:val="000000" w:themeColor="text1"/>
          <w:sz w:val="26"/>
          <w:szCs w:val="26"/>
        </w:rPr>
        <w:t xml:space="preserve">the </w:t>
      </w:r>
      <w:r w:rsidR="00D10E3E">
        <w:rPr>
          <w:b/>
          <w:bCs/>
          <w:color w:val="000000" w:themeColor="text1"/>
          <w:sz w:val="26"/>
          <w:szCs w:val="26"/>
        </w:rPr>
        <w:t xml:space="preserve">ITU </w:t>
      </w:r>
      <w:r w:rsidRPr="0086733F">
        <w:rPr>
          <w:b/>
          <w:bCs/>
          <w:color w:val="000000" w:themeColor="text1"/>
          <w:sz w:val="26"/>
          <w:szCs w:val="26"/>
        </w:rPr>
        <w:t xml:space="preserve">Member State: </w:t>
      </w:r>
    </w:p>
    <w:tbl>
      <w:tblPr>
        <w:tblStyle w:val="TableGrid"/>
        <w:tblW w:w="11058"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58"/>
      </w:tblGrid>
      <w:tr w:rsidR="00A44165" w14:paraId="13AEAF45" w14:textId="77777777" w:rsidTr="008E7BA1">
        <w:trPr>
          <w:trHeight w:val="510"/>
        </w:trPr>
        <w:tc>
          <w:tcPr>
            <w:tcW w:w="11058" w:type="dxa"/>
            <w:vAlign w:val="center"/>
          </w:tcPr>
          <w:p w14:paraId="4C0FC2BD" w14:textId="77777777" w:rsidR="00A44165" w:rsidRDefault="00A44165" w:rsidP="007276E7">
            <w:pPr>
              <w:spacing w:before="0" w:line="240" w:lineRule="auto"/>
              <w:jc w:val="left"/>
              <w:rPr>
                <w:b/>
                <w:bCs/>
                <w:color w:val="000000" w:themeColor="text1"/>
                <w:sz w:val="20"/>
                <w:szCs w:val="20"/>
              </w:rPr>
            </w:pPr>
          </w:p>
        </w:tc>
      </w:tr>
    </w:tbl>
    <w:p w14:paraId="0B4E8E14" w14:textId="77777777" w:rsidR="00D00B69" w:rsidRPr="00DE2DB7" w:rsidRDefault="00D00B69" w:rsidP="00204C2B">
      <w:pPr>
        <w:spacing w:before="0" w:line="240" w:lineRule="auto"/>
        <w:ind w:left="142" w:right="567"/>
        <w:rPr>
          <w:rFonts w:ascii="Calibri Light" w:hAnsi="Calibri Light" w:cs="Calibri Light"/>
          <w:color w:val="000000" w:themeColor="text1"/>
          <w:sz w:val="24"/>
          <w:szCs w:val="24"/>
        </w:rPr>
      </w:pPr>
    </w:p>
    <w:tbl>
      <w:tblPr>
        <w:tblStyle w:val="TableGrid"/>
        <w:tblW w:w="11058" w:type="dxa"/>
        <w:tblInd w:w="-431" w:type="dxa"/>
        <w:tblLook w:val="04A0" w:firstRow="1" w:lastRow="0" w:firstColumn="1" w:lastColumn="0" w:noHBand="0" w:noVBand="1"/>
      </w:tblPr>
      <w:tblGrid>
        <w:gridCol w:w="2875"/>
        <w:gridCol w:w="1217"/>
        <w:gridCol w:w="3847"/>
        <w:gridCol w:w="992"/>
        <w:gridCol w:w="900"/>
        <w:gridCol w:w="1227"/>
      </w:tblGrid>
      <w:tr w:rsidR="008E7BA1" w14:paraId="50438054" w14:textId="2FF7F51C" w:rsidTr="008E7BA1">
        <w:tc>
          <w:tcPr>
            <w:tcW w:w="2875" w:type="dxa"/>
            <w:vAlign w:val="center"/>
          </w:tcPr>
          <w:p w14:paraId="5FAD478A" w14:textId="77777777" w:rsidR="008E7BA1" w:rsidRPr="0095403A" w:rsidRDefault="008E7BA1" w:rsidP="00802150">
            <w:pPr>
              <w:spacing w:before="0"/>
              <w:jc w:val="center"/>
              <w:rPr>
                <w:b/>
                <w:bCs/>
              </w:rPr>
            </w:pPr>
            <w:r w:rsidRPr="0095403A">
              <w:rPr>
                <w:b/>
                <w:bCs/>
              </w:rPr>
              <w:t>Subject</w:t>
            </w:r>
          </w:p>
        </w:tc>
        <w:tc>
          <w:tcPr>
            <w:tcW w:w="1217" w:type="dxa"/>
            <w:vAlign w:val="center"/>
          </w:tcPr>
          <w:p w14:paraId="159E74C4" w14:textId="04176920" w:rsidR="008E7BA1" w:rsidRPr="00802150" w:rsidRDefault="008E7BA1" w:rsidP="00802150">
            <w:pPr>
              <w:spacing w:before="0"/>
              <w:jc w:val="center"/>
              <w:rPr>
                <w:b/>
                <w:bCs/>
                <w:sz w:val="20"/>
                <w:szCs w:val="20"/>
              </w:rPr>
            </w:pPr>
            <w:r w:rsidRPr="00802150">
              <w:rPr>
                <w:b/>
                <w:bCs/>
                <w:sz w:val="20"/>
                <w:szCs w:val="20"/>
              </w:rPr>
              <w:t>Reference document No.</w:t>
            </w:r>
          </w:p>
        </w:tc>
        <w:tc>
          <w:tcPr>
            <w:tcW w:w="3847" w:type="dxa"/>
            <w:vAlign w:val="center"/>
          </w:tcPr>
          <w:p w14:paraId="7AF251CD" w14:textId="77777777" w:rsidR="008E7BA1" w:rsidRPr="0095403A" w:rsidRDefault="008E7BA1" w:rsidP="00802150">
            <w:pPr>
              <w:spacing w:before="0"/>
              <w:jc w:val="center"/>
              <w:rPr>
                <w:b/>
                <w:bCs/>
              </w:rPr>
            </w:pPr>
            <w:r w:rsidRPr="0095403A">
              <w:rPr>
                <w:b/>
                <w:bCs/>
              </w:rPr>
              <w:t>Proposal</w:t>
            </w:r>
          </w:p>
        </w:tc>
        <w:tc>
          <w:tcPr>
            <w:tcW w:w="992" w:type="dxa"/>
            <w:vAlign w:val="center"/>
          </w:tcPr>
          <w:p w14:paraId="3D391411" w14:textId="77777777" w:rsidR="008E7BA1" w:rsidRPr="0095403A" w:rsidRDefault="008E7BA1" w:rsidP="00802150">
            <w:pPr>
              <w:spacing w:before="0"/>
              <w:jc w:val="center"/>
              <w:rPr>
                <w:b/>
                <w:bCs/>
              </w:rPr>
            </w:pPr>
            <w:r w:rsidRPr="0095403A">
              <w:rPr>
                <w:b/>
                <w:bCs/>
              </w:rPr>
              <w:t>Yes</w:t>
            </w:r>
          </w:p>
        </w:tc>
        <w:tc>
          <w:tcPr>
            <w:tcW w:w="900" w:type="dxa"/>
            <w:vAlign w:val="center"/>
          </w:tcPr>
          <w:p w14:paraId="51C3ADE9" w14:textId="77777777" w:rsidR="008E7BA1" w:rsidRPr="0095403A" w:rsidRDefault="008E7BA1" w:rsidP="00802150">
            <w:pPr>
              <w:spacing w:before="0"/>
              <w:jc w:val="center"/>
              <w:rPr>
                <w:b/>
                <w:bCs/>
              </w:rPr>
            </w:pPr>
            <w:r w:rsidRPr="0095403A">
              <w:rPr>
                <w:b/>
                <w:bCs/>
              </w:rPr>
              <w:t>No</w:t>
            </w:r>
          </w:p>
        </w:tc>
        <w:tc>
          <w:tcPr>
            <w:tcW w:w="1227" w:type="dxa"/>
            <w:vAlign w:val="center"/>
          </w:tcPr>
          <w:p w14:paraId="5682EF6A" w14:textId="50FB673A" w:rsidR="008E7BA1" w:rsidRPr="0095403A" w:rsidRDefault="008E7BA1" w:rsidP="008E7BA1">
            <w:pPr>
              <w:spacing w:before="0"/>
              <w:jc w:val="center"/>
              <w:rPr>
                <w:b/>
                <w:bCs/>
              </w:rPr>
            </w:pPr>
            <w:r>
              <w:rPr>
                <w:b/>
                <w:bCs/>
              </w:rPr>
              <w:t>Abstention</w:t>
            </w:r>
          </w:p>
        </w:tc>
      </w:tr>
      <w:tr w:rsidR="008E7BA1" w:rsidRPr="00204C2B" w14:paraId="6513E6F2" w14:textId="782790D8" w:rsidTr="008E7BA1">
        <w:tc>
          <w:tcPr>
            <w:tcW w:w="2875" w:type="dxa"/>
            <w:vAlign w:val="center"/>
          </w:tcPr>
          <w:p w14:paraId="489EF839" w14:textId="725E42B9" w:rsidR="008E7BA1" w:rsidRPr="00204C2B" w:rsidRDefault="008E7BA1" w:rsidP="00802150">
            <w:pPr>
              <w:spacing w:before="0"/>
              <w:contextualSpacing/>
              <w:jc w:val="left"/>
              <w:rPr>
                <w:bCs/>
              </w:rPr>
            </w:pPr>
            <w:r>
              <w:rPr>
                <w:bCs/>
              </w:rPr>
              <w:t>Change of dates of</w:t>
            </w:r>
            <w:r w:rsidRPr="00204C2B">
              <w:rPr>
                <w:bCs/>
              </w:rPr>
              <w:t xml:space="preserve"> WTSA-20</w:t>
            </w:r>
          </w:p>
        </w:tc>
        <w:tc>
          <w:tcPr>
            <w:tcW w:w="1217" w:type="dxa"/>
            <w:vAlign w:val="center"/>
          </w:tcPr>
          <w:p w14:paraId="07D8E1D9" w14:textId="7E855F40" w:rsidR="008E7BA1" w:rsidRPr="00204C2B" w:rsidRDefault="00CE0C9A" w:rsidP="00126EA3">
            <w:pPr>
              <w:spacing w:before="0"/>
              <w:contextualSpacing/>
              <w:jc w:val="center"/>
            </w:pPr>
            <w:hyperlink r:id="rId20" w:history="1">
              <w:r w:rsidR="008E7BA1">
                <w:rPr>
                  <w:rStyle w:val="Hyperlink"/>
                </w:rPr>
                <w:t>C20/72</w:t>
              </w:r>
            </w:hyperlink>
          </w:p>
        </w:tc>
        <w:tc>
          <w:tcPr>
            <w:tcW w:w="3847" w:type="dxa"/>
          </w:tcPr>
          <w:p w14:paraId="265CEAAB" w14:textId="6CE86011" w:rsidR="008E7BA1" w:rsidRPr="00204C2B" w:rsidRDefault="008E7BA1" w:rsidP="00802150">
            <w:pPr>
              <w:spacing w:before="40" w:after="40"/>
            </w:pPr>
            <w:r w:rsidRPr="00204C2B">
              <w:t>Approve the change of date</w:t>
            </w:r>
            <w:r w:rsidR="0000301E">
              <w:t>s</w:t>
            </w:r>
            <w:r w:rsidRPr="00204C2B">
              <w:t xml:space="preserve"> of WTSA-20 to 23 February-5 March 2021</w:t>
            </w:r>
            <w:r>
              <w:t xml:space="preserve"> by indicating agreement with the modified Decision 608 in Annex 2.</w:t>
            </w:r>
          </w:p>
        </w:tc>
        <w:tc>
          <w:tcPr>
            <w:tcW w:w="992" w:type="dxa"/>
            <w:vAlign w:val="center"/>
          </w:tcPr>
          <w:p w14:paraId="55A37BBC" w14:textId="77777777" w:rsidR="008E7BA1" w:rsidRPr="00204C2B" w:rsidRDefault="008E7BA1" w:rsidP="002B71DE">
            <w:pPr>
              <w:spacing w:before="0"/>
              <w:contextualSpacing/>
              <w:jc w:val="center"/>
            </w:pPr>
          </w:p>
        </w:tc>
        <w:tc>
          <w:tcPr>
            <w:tcW w:w="900" w:type="dxa"/>
            <w:vAlign w:val="center"/>
          </w:tcPr>
          <w:p w14:paraId="7BCEBE6C" w14:textId="77777777" w:rsidR="008E7BA1" w:rsidRPr="00204C2B" w:rsidRDefault="008E7BA1" w:rsidP="002B71DE">
            <w:pPr>
              <w:spacing w:before="0"/>
              <w:contextualSpacing/>
              <w:jc w:val="center"/>
            </w:pPr>
          </w:p>
        </w:tc>
        <w:tc>
          <w:tcPr>
            <w:tcW w:w="1227" w:type="dxa"/>
          </w:tcPr>
          <w:p w14:paraId="20EC986B" w14:textId="77777777" w:rsidR="008E7BA1" w:rsidRPr="00204C2B" w:rsidRDefault="008E7BA1" w:rsidP="002B71DE">
            <w:pPr>
              <w:spacing w:before="0"/>
              <w:contextualSpacing/>
              <w:jc w:val="center"/>
            </w:pPr>
          </w:p>
        </w:tc>
      </w:tr>
      <w:tr w:rsidR="008E7BA1" w:rsidRPr="00204C2B" w14:paraId="6AA21183" w14:textId="2FA014B8" w:rsidTr="008E7BA1">
        <w:tc>
          <w:tcPr>
            <w:tcW w:w="2875" w:type="dxa"/>
            <w:vAlign w:val="center"/>
          </w:tcPr>
          <w:p w14:paraId="3A80CD5A" w14:textId="77777777" w:rsidR="008E7BA1" w:rsidRPr="00204C2B" w:rsidRDefault="008E7BA1" w:rsidP="00802150">
            <w:pPr>
              <w:spacing w:before="0"/>
              <w:contextualSpacing/>
              <w:jc w:val="left"/>
            </w:pPr>
            <w:r w:rsidRPr="00204C2B">
              <w:rPr>
                <w:bCs/>
              </w:rPr>
              <w:t>World Radiocommunication Conference 2023</w:t>
            </w:r>
          </w:p>
        </w:tc>
        <w:tc>
          <w:tcPr>
            <w:tcW w:w="1217" w:type="dxa"/>
          </w:tcPr>
          <w:p w14:paraId="7A52D18E" w14:textId="21536F45" w:rsidR="008E7BA1" w:rsidRPr="00204C2B" w:rsidRDefault="00CE0C9A" w:rsidP="00802150">
            <w:pPr>
              <w:jc w:val="center"/>
            </w:pPr>
            <w:hyperlink r:id="rId21" w:history="1">
              <w:r w:rsidR="008E7BA1">
                <w:rPr>
                  <w:rStyle w:val="Hyperlink"/>
                  <w:bCs/>
                </w:rPr>
                <w:t>C20/69</w:t>
              </w:r>
            </w:hyperlink>
          </w:p>
        </w:tc>
        <w:tc>
          <w:tcPr>
            <w:tcW w:w="3847" w:type="dxa"/>
          </w:tcPr>
          <w:p w14:paraId="563E28F3" w14:textId="1EBAEB0B" w:rsidR="008E7BA1" w:rsidRPr="00204C2B" w:rsidRDefault="008E7BA1" w:rsidP="00802150">
            <w:pPr>
              <w:spacing w:before="40" w:after="40"/>
            </w:pPr>
            <w:r w:rsidRPr="00204C2B">
              <w:t xml:space="preserve">Approve the agenda for WRC-23 by </w:t>
            </w:r>
            <w:r>
              <w:t>indicating agreement with</w:t>
            </w:r>
            <w:r w:rsidRPr="00204C2B">
              <w:t xml:space="preserve"> Resolution </w:t>
            </w:r>
            <w:r>
              <w:t xml:space="preserve">1399 </w:t>
            </w:r>
            <w:r w:rsidRPr="00204C2B">
              <w:t xml:space="preserve">in Annex </w:t>
            </w:r>
            <w:r>
              <w:t>3</w:t>
            </w:r>
            <w:r w:rsidRPr="00204C2B">
              <w:t>.</w:t>
            </w:r>
          </w:p>
        </w:tc>
        <w:tc>
          <w:tcPr>
            <w:tcW w:w="992" w:type="dxa"/>
            <w:vAlign w:val="center"/>
          </w:tcPr>
          <w:p w14:paraId="29B5CF91" w14:textId="77777777" w:rsidR="008E7BA1" w:rsidRPr="00204C2B" w:rsidRDefault="008E7BA1" w:rsidP="002B71DE">
            <w:pPr>
              <w:spacing w:before="0"/>
              <w:contextualSpacing/>
              <w:jc w:val="center"/>
            </w:pPr>
          </w:p>
        </w:tc>
        <w:tc>
          <w:tcPr>
            <w:tcW w:w="900" w:type="dxa"/>
            <w:vAlign w:val="center"/>
          </w:tcPr>
          <w:p w14:paraId="3EE8A69F" w14:textId="77777777" w:rsidR="008E7BA1" w:rsidRPr="00204C2B" w:rsidRDefault="008E7BA1" w:rsidP="002B71DE">
            <w:pPr>
              <w:spacing w:before="0"/>
              <w:contextualSpacing/>
              <w:jc w:val="center"/>
            </w:pPr>
          </w:p>
        </w:tc>
        <w:tc>
          <w:tcPr>
            <w:tcW w:w="1227" w:type="dxa"/>
          </w:tcPr>
          <w:p w14:paraId="2B479423" w14:textId="77777777" w:rsidR="008E7BA1" w:rsidRPr="00204C2B" w:rsidRDefault="008E7BA1" w:rsidP="002B71DE">
            <w:pPr>
              <w:spacing w:before="0"/>
              <w:contextualSpacing/>
              <w:jc w:val="center"/>
            </w:pPr>
          </w:p>
        </w:tc>
      </w:tr>
    </w:tbl>
    <w:p w14:paraId="64034A12" w14:textId="77777777" w:rsidR="00126EA3" w:rsidRDefault="00E23693" w:rsidP="00E131F4">
      <w:pPr>
        <w:rPr>
          <w:rFonts w:asciiTheme="minorHAnsi" w:hAnsiTheme="minorHAnsi" w:cstheme="minorHAnsi"/>
          <w:color w:val="000000" w:themeColor="text1"/>
        </w:rPr>
      </w:pPr>
      <w:r w:rsidRPr="00774B97">
        <w:rPr>
          <w:rFonts w:asciiTheme="minorHAnsi" w:hAnsiTheme="minorHAnsi" w:cstheme="minorHAnsi"/>
          <w:color w:val="000000" w:themeColor="text1"/>
        </w:rPr>
        <w:t>Focal points</w:t>
      </w:r>
      <w:r w:rsidR="0083274A" w:rsidRPr="00774B97">
        <w:rPr>
          <w:rFonts w:asciiTheme="minorHAnsi" w:hAnsiTheme="minorHAnsi" w:cstheme="minorHAnsi"/>
          <w:color w:val="000000" w:themeColor="text1"/>
        </w:rPr>
        <w:t xml:space="preserve"> </w:t>
      </w:r>
      <w:r w:rsidR="0095403A" w:rsidRPr="00774B97">
        <w:rPr>
          <w:rFonts w:asciiTheme="minorHAnsi" w:hAnsiTheme="minorHAnsi" w:cstheme="minorHAnsi"/>
          <w:color w:val="000000" w:themeColor="text1"/>
        </w:rPr>
        <w:t>are</w:t>
      </w:r>
      <w:r w:rsidR="0095403A" w:rsidRPr="00DD593F">
        <w:rPr>
          <w:rFonts w:asciiTheme="minorHAnsi" w:hAnsiTheme="minorHAnsi" w:cstheme="minorHAnsi"/>
          <w:color w:val="000000" w:themeColor="text1"/>
        </w:rPr>
        <w:t xml:space="preserve"> kindly</w:t>
      </w:r>
      <w:r w:rsidR="0095403A" w:rsidRPr="00204C2B">
        <w:rPr>
          <w:rFonts w:asciiTheme="minorHAnsi" w:hAnsiTheme="minorHAnsi" w:cstheme="minorHAnsi"/>
          <w:color w:val="000000" w:themeColor="text1"/>
        </w:rPr>
        <w:t xml:space="preserve"> invited to </w:t>
      </w:r>
      <w:r w:rsidR="00E131F4" w:rsidRPr="00204C2B">
        <w:rPr>
          <w:rFonts w:asciiTheme="minorHAnsi" w:hAnsiTheme="minorHAnsi" w:cstheme="minorHAnsi"/>
          <w:color w:val="000000" w:themeColor="text1"/>
        </w:rPr>
        <w:t xml:space="preserve">send </w:t>
      </w:r>
      <w:r w:rsidR="0083274A" w:rsidRPr="00204C2B">
        <w:rPr>
          <w:rFonts w:asciiTheme="minorHAnsi" w:hAnsiTheme="minorHAnsi" w:cstheme="minorHAnsi"/>
          <w:color w:val="000000" w:themeColor="text1"/>
        </w:rPr>
        <w:t>the</w:t>
      </w:r>
      <w:r w:rsidR="00E131F4" w:rsidRPr="00204C2B">
        <w:rPr>
          <w:rFonts w:asciiTheme="minorHAnsi" w:hAnsiTheme="minorHAnsi" w:cstheme="minorHAnsi"/>
          <w:color w:val="000000" w:themeColor="text1"/>
        </w:rPr>
        <w:t xml:space="preserve"> reply </w:t>
      </w:r>
      <w:r w:rsidR="0095403A" w:rsidRPr="00204C2B">
        <w:rPr>
          <w:rFonts w:asciiTheme="minorHAnsi" w:hAnsiTheme="minorHAnsi" w:cstheme="minorHAnsi"/>
          <w:color w:val="000000" w:themeColor="text1"/>
          <w:spacing w:val="4"/>
        </w:rPr>
        <w:t>by</w:t>
      </w:r>
      <w:r w:rsidR="0095403A" w:rsidRPr="00204C2B">
        <w:rPr>
          <w:rFonts w:asciiTheme="minorHAnsi" w:hAnsiTheme="minorHAnsi" w:cstheme="minorHAnsi"/>
          <w:color w:val="000000" w:themeColor="text1"/>
        </w:rPr>
        <w:t xml:space="preserve"> e-mail to </w:t>
      </w:r>
      <w:hyperlink r:id="rId22" w:history="1">
        <w:r w:rsidR="0095403A" w:rsidRPr="00204C2B">
          <w:rPr>
            <w:rStyle w:val="Hyperlink"/>
            <w:rFonts w:asciiTheme="minorHAnsi" w:hAnsiTheme="minorHAnsi" w:cstheme="minorHAnsi"/>
          </w:rPr>
          <w:t>memberstates@itu.int</w:t>
        </w:r>
      </w:hyperlink>
      <w:r w:rsidR="0095403A" w:rsidRPr="00204C2B">
        <w:rPr>
          <w:rFonts w:asciiTheme="minorHAnsi" w:hAnsiTheme="minorHAnsi" w:cstheme="minorHAnsi"/>
          <w:color w:val="000000" w:themeColor="text1"/>
        </w:rPr>
        <w:t xml:space="preserve"> </w:t>
      </w:r>
      <w:r w:rsidR="0095403A" w:rsidRPr="00204C2B">
        <w:rPr>
          <w:rFonts w:asciiTheme="minorHAnsi" w:hAnsiTheme="minorHAnsi" w:cstheme="minorHAnsi"/>
          <w:b/>
          <w:bCs/>
          <w:color w:val="000000" w:themeColor="text1"/>
        </w:rPr>
        <w:t xml:space="preserve">not later </w:t>
      </w:r>
      <w:r w:rsidR="0095403A" w:rsidRPr="00AA3BBA">
        <w:rPr>
          <w:rFonts w:asciiTheme="minorHAnsi" w:hAnsiTheme="minorHAnsi" w:cstheme="minorHAnsi"/>
          <w:b/>
          <w:bCs/>
          <w:color w:val="000000" w:themeColor="text1"/>
        </w:rPr>
        <w:t xml:space="preserve">than </w:t>
      </w:r>
      <w:r w:rsidR="00771C87">
        <w:rPr>
          <w:rFonts w:asciiTheme="minorHAnsi" w:hAnsiTheme="minorHAnsi" w:cstheme="minorHAnsi"/>
          <w:b/>
          <w:bCs/>
          <w:color w:val="000000" w:themeColor="text1"/>
        </w:rPr>
        <w:t>31</w:t>
      </w:r>
      <w:r w:rsidR="00D10E3E">
        <w:rPr>
          <w:rFonts w:asciiTheme="minorHAnsi" w:hAnsiTheme="minorHAnsi" w:cstheme="minorHAnsi"/>
          <w:b/>
          <w:bCs/>
          <w:color w:val="000000" w:themeColor="text1"/>
        </w:rPr>
        <w:t xml:space="preserve"> August</w:t>
      </w:r>
      <w:r w:rsidR="00E131F4" w:rsidRPr="00AA3BBA">
        <w:rPr>
          <w:rFonts w:asciiTheme="minorHAnsi" w:hAnsiTheme="minorHAnsi" w:cstheme="minorHAnsi"/>
          <w:b/>
          <w:bCs/>
          <w:color w:val="000000" w:themeColor="text1"/>
        </w:rPr>
        <w:t xml:space="preserve"> </w:t>
      </w:r>
      <w:r w:rsidR="0095403A" w:rsidRPr="00AA3BBA">
        <w:rPr>
          <w:rFonts w:asciiTheme="minorHAnsi" w:hAnsiTheme="minorHAnsi" w:cstheme="minorHAnsi"/>
          <w:b/>
          <w:bCs/>
          <w:color w:val="000000" w:themeColor="text1"/>
        </w:rPr>
        <w:t>20</w:t>
      </w:r>
      <w:r w:rsidR="00E131F4" w:rsidRPr="00AA3BBA">
        <w:rPr>
          <w:rFonts w:asciiTheme="minorHAnsi" w:hAnsiTheme="minorHAnsi" w:cstheme="minorHAnsi"/>
          <w:b/>
          <w:bCs/>
          <w:color w:val="000000" w:themeColor="text1"/>
        </w:rPr>
        <w:t>20</w:t>
      </w:r>
      <w:r w:rsidR="0095403A" w:rsidRPr="00AA3BBA">
        <w:rPr>
          <w:rFonts w:asciiTheme="minorHAnsi" w:hAnsiTheme="minorHAnsi" w:cstheme="minorHAnsi"/>
          <w:color w:val="000000" w:themeColor="text1"/>
        </w:rPr>
        <w:t>.</w:t>
      </w:r>
    </w:p>
    <w:p w14:paraId="62EC13D9" w14:textId="77777777" w:rsidR="001A1856" w:rsidRDefault="001A1856" w:rsidP="00E131F4">
      <w:pPr>
        <w:rPr>
          <w:rFonts w:asciiTheme="minorHAnsi" w:hAnsiTheme="minorHAnsi" w:cstheme="minorHAnsi"/>
          <w:b/>
          <w:bCs/>
        </w:rPr>
        <w:sectPr w:rsidR="001A1856" w:rsidSect="001A1856">
          <w:headerReference w:type="even" r:id="rId23"/>
          <w:pgSz w:w="11906" w:h="16838"/>
          <w:pgMar w:top="1440" w:right="851" w:bottom="1440" w:left="851" w:header="709" w:footer="709" w:gutter="0"/>
          <w:cols w:space="708"/>
          <w:docGrid w:linePitch="360"/>
        </w:sectPr>
      </w:pPr>
    </w:p>
    <w:p w14:paraId="629C0A3C" w14:textId="77777777" w:rsidR="001A1856" w:rsidRDefault="001A1856" w:rsidP="001A1856">
      <w:pPr>
        <w:jc w:val="center"/>
        <w:rPr>
          <w:rFonts w:asciiTheme="minorHAnsi" w:hAnsiTheme="minorHAnsi" w:cstheme="minorHAnsi"/>
          <w:b/>
          <w:bCs/>
          <w:sz w:val="28"/>
          <w:szCs w:val="28"/>
        </w:rPr>
      </w:pPr>
      <w:bookmarkStart w:id="5" w:name="annex2"/>
      <w:bookmarkEnd w:id="5"/>
      <w:r>
        <w:rPr>
          <w:rFonts w:asciiTheme="minorHAnsi" w:hAnsiTheme="minorHAnsi" w:cstheme="minorHAnsi"/>
          <w:b/>
          <w:bCs/>
          <w:sz w:val="28"/>
          <w:szCs w:val="28"/>
        </w:rPr>
        <w:lastRenderedPageBreak/>
        <w:t>ANNEX 2</w:t>
      </w:r>
    </w:p>
    <w:p w14:paraId="17417B83" w14:textId="77777777" w:rsidR="001A1856" w:rsidRPr="00A03504" w:rsidRDefault="001A1856" w:rsidP="001A1856">
      <w:pPr>
        <w:pStyle w:val="AnnexNo"/>
        <w:spacing w:before="240"/>
        <w:jc w:val="left"/>
        <w:rPr>
          <w:i/>
          <w:iCs/>
          <w:sz w:val="22"/>
          <w:szCs w:val="16"/>
        </w:rPr>
      </w:pPr>
      <w:r w:rsidRPr="00A03504">
        <w:rPr>
          <w:i/>
          <w:iCs/>
          <w:caps w:val="0"/>
          <w:sz w:val="22"/>
          <w:szCs w:val="16"/>
        </w:rPr>
        <w:t xml:space="preserve">Reference: </w:t>
      </w:r>
      <w:hyperlink r:id="rId24" w:history="1">
        <w:r>
          <w:rPr>
            <w:rStyle w:val="Hyperlink"/>
            <w:i/>
            <w:iCs/>
            <w:caps w:val="0"/>
            <w:sz w:val="22"/>
            <w:szCs w:val="16"/>
          </w:rPr>
          <w:t>Document C20/72</w:t>
        </w:r>
      </w:hyperlink>
    </w:p>
    <w:p w14:paraId="462C10A7" w14:textId="77777777" w:rsidR="001A1856" w:rsidRDefault="001A1856" w:rsidP="001A1856">
      <w:pPr>
        <w:pStyle w:val="AnnexNo"/>
      </w:pPr>
      <w:r>
        <w:t>DECISION 608 (modified 2020)</w:t>
      </w:r>
    </w:p>
    <w:p w14:paraId="2387BC1F" w14:textId="77777777" w:rsidR="001A1856" w:rsidRPr="00D86B6E" w:rsidRDefault="001A1856" w:rsidP="001A1856">
      <w:pPr>
        <w:jc w:val="center"/>
      </w:pPr>
      <w:r>
        <w:rPr>
          <w:caps/>
          <w:sz w:val="28"/>
        </w:rPr>
        <w:t>(</w:t>
      </w:r>
      <w:r>
        <w:rPr>
          <w:sz w:val="28"/>
        </w:rPr>
        <w:t>modified by correspondence)</w:t>
      </w:r>
    </w:p>
    <w:p w14:paraId="2948C8DB" w14:textId="77777777" w:rsidR="001A1856" w:rsidRPr="00D76F51" w:rsidRDefault="001A1856" w:rsidP="001A1856">
      <w:pPr>
        <w:pStyle w:val="Annextitle"/>
        <w:rPr>
          <w:rFonts w:asciiTheme="minorHAnsi" w:hAnsiTheme="minorHAnsi"/>
          <w:sz w:val="24"/>
          <w:szCs w:val="24"/>
        </w:rPr>
      </w:pPr>
      <w:r w:rsidRPr="00D76F51">
        <w:rPr>
          <w:rFonts w:asciiTheme="minorHAnsi" w:hAnsiTheme="minorHAnsi"/>
        </w:rPr>
        <w:t>Convening of the next World Telecommunication Standardization Assembly (WTSA-21)</w:t>
      </w:r>
    </w:p>
    <w:p w14:paraId="684E39FF" w14:textId="77777777" w:rsidR="001A1856" w:rsidRPr="00D76F51" w:rsidRDefault="001A1856" w:rsidP="001A1856">
      <w:pPr>
        <w:pStyle w:val="Normalaftertitle0"/>
        <w:rPr>
          <w:rFonts w:asciiTheme="minorHAnsi" w:hAnsiTheme="minorHAnsi"/>
        </w:rPr>
      </w:pPr>
      <w:r w:rsidRPr="00D76F51">
        <w:rPr>
          <w:rFonts w:asciiTheme="minorHAnsi" w:hAnsiTheme="minorHAnsi"/>
        </w:rPr>
        <w:t>The ITU Council,</w:t>
      </w:r>
    </w:p>
    <w:p w14:paraId="1C13CD92" w14:textId="77777777" w:rsidR="001A1856" w:rsidRPr="00D76F51" w:rsidRDefault="001A1856" w:rsidP="001A1856">
      <w:pPr>
        <w:pStyle w:val="Call"/>
        <w:jc w:val="both"/>
        <w:rPr>
          <w:rFonts w:asciiTheme="minorHAnsi" w:hAnsiTheme="minorHAnsi"/>
        </w:rPr>
      </w:pPr>
      <w:r w:rsidRPr="00D76F51">
        <w:rPr>
          <w:rFonts w:asciiTheme="minorHAnsi" w:hAnsiTheme="minorHAnsi"/>
        </w:rPr>
        <w:t>noting</w:t>
      </w:r>
    </w:p>
    <w:p w14:paraId="3EC21D06" w14:textId="77777777" w:rsidR="001A1856" w:rsidRPr="00D76F51" w:rsidRDefault="001A1856" w:rsidP="001A1856">
      <w:pPr>
        <w:rPr>
          <w:rFonts w:asciiTheme="minorHAnsi" w:hAnsiTheme="minorHAnsi"/>
        </w:rPr>
      </w:pPr>
      <w:r w:rsidRPr="00D76F51">
        <w:rPr>
          <w:rFonts w:asciiTheme="minorHAnsi" w:hAnsiTheme="minorHAnsi"/>
          <w:i/>
          <w:iCs/>
        </w:rPr>
        <w:t>a)</w:t>
      </w:r>
      <w:r w:rsidRPr="00D76F51">
        <w:rPr>
          <w:rFonts w:asciiTheme="minorHAnsi" w:hAnsiTheme="minorHAnsi"/>
        </w:rPr>
        <w:tab/>
        <w:t>that WTSA-20 was scheduled to be held in the last quarter of 2020 in accordance with Resolution 77 (Rev. Dubai, 2018) (Scheduling and Duration of future conferences, forums, assemblies and Council sessions of the Union (2019-2023));</w:t>
      </w:r>
    </w:p>
    <w:p w14:paraId="37E057DB" w14:textId="77777777" w:rsidR="001A1856" w:rsidRPr="00D76F51" w:rsidRDefault="001A1856" w:rsidP="001A1856">
      <w:pPr>
        <w:rPr>
          <w:rFonts w:asciiTheme="minorHAnsi" w:hAnsiTheme="minorHAnsi"/>
        </w:rPr>
      </w:pPr>
      <w:r w:rsidRPr="00D76F51">
        <w:rPr>
          <w:rFonts w:asciiTheme="minorHAnsi" w:hAnsiTheme="minorHAnsi"/>
          <w:i/>
          <w:iCs/>
        </w:rPr>
        <w:t>b)</w:t>
      </w:r>
      <w:r w:rsidRPr="00D76F51">
        <w:rPr>
          <w:rFonts w:asciiTheme="minorHAnsi" w:hAnsiTheme="minorHAnsi"/>
        </w:rPr>
        <w:tab/>
        <w:t xml:space="preserve">Council </w:t>
      </w:r>
      <w:hyperlink r:id="rId25" w:history="1">
        <w:r w:rsidRPr="00D76F51">
          <w:rPr>
            <w:rStyle w:val="Hyperlink"/>
            <w:rFonts w:asciiTheme="minorHAnsi" w:hAnsiTheme="minorHAnsi"/>
          </w:rPr>
          <w:t>Decision 608</w:t>
        </w:r>
      </w:hyperlink>
      <w:r w:rsidRPr="00D76F51">
        <w:rPr>
          <w:rFonts w:asciiTheme="minorHAnsi" w:hAnsiTheme="minorHAnsi"/>
        </w:rPr>
        <w:t xml:space="preserve"> adopted at the 2019 Session of Council which decided on the convening of the next WTSA in Hyderabad, India, from 16 to 27 November 2020,</w:t>
      </w:r>
    </w:p>
    <w:p w14:paraId="34973CE2" w14:textId="77777777" w:rsidR="001A1856" w:rsidRPr="00D76F51" w:rsidRDefault="001A1856" w:rsidP="001A1856">
      <w:pPr>
        <w:pStyle w:val="Call"/>
        <w:jc w:val="both"/>
        <w:rPr>
          <w:rFonts w:asciiTheme="minorHAnsi" w:hAnsiTheme="minorHAnsi"/>
        </w:rPr>
      </w:pPr>
      <w:r w:rsidRPr="00D76F51">
        <w:rPr>
          <w:rFonts w:asciiTheme="minorHAnsi" w:hAnsiTheme="minorHAnsi"/>
        </w:rPr>
        <w:t>noting further</w:t>
      </w:r>
    </w:p>
    <w:p w14:paraId="29077927" w14:textId="77777777" w:rsidR="001A1856" w:rsidRPr="00D76F51" w:rsidRDefault="001A1856" w:rsidP="001A1856">
      <w:pPr>
        <w:rPr>
          <w:rFonts w:asciiTheme="minorHAnsi" w:hAnsiTheme="minorHAnsi"/>
        </w:rPr>
      </w:pPr>
      <w:r w:rsidRPr="00D76F51">
        <w:rPr>
          <w:rFonts w:asciiTheme="minorHAnsi" w:hAnsiTheme="minorHAnsi"/>
          <w:i/>
          <w:iCs/>
        </w:rPr>
        <w:t>a)</w:t>
      </w:r>
      <w:r w:rsidRPr="00D76F51">
        <w:rPr>
          <w:rFonts w:asciiTheme="minorHAnsi" w:hAnsiTheme="minorHAnsi"/>
        </w:rPr>
        <w:tab/>
        <w:t xml:space="preserve">that </w:t>
      </w:r>
      <w:hyperlink r:id="rId26" w:history="1">
        <w:r w:rsidRPr="00D76F51">
          <w:rPr>
            <w:rStyle w:val="Hyperlink"/>
            <w:rFonts w:asciiTheme="minorHAnsi" w:hAnsiTheme="minorHAnsi"/>
          </w:rPr>
          <w:t>consultation</w:t>
        </w:r>
      </w:hyperlink>
      <w:r w:rsidRPr="00D76F51">
        <w:rPr>
          <w:rFonts w:asciiTheme="minorHAnsi" w:hAnsiTheme="minorHAnsi"/>
        </w:rPr>
        <w:t xml:space="preserve"> carried out by </w:t>
      </w:r>
      <w:hyperlink r:id="rId27" w:history="1">
        <w:r w:rsidRPr="00D76F51">
          <w:rPr>
            <w:rStyle w:val="Hyperlink"/>
            <w:rFonts w:asciiTheme="minorHAnsi" w:hAnsiTheme="minorHAnsi"/>
          </w:rPr>
          <w:t>Circular Letter No. 19/33</w:t>
        </w:r>
      </w:hyperlink>
      <w:r w:rsidRPr="00D76F51">
        <w:rPr>
          <w:rFonts w:asciiTheme="minorHAnsi" w:hAnsiTheme="minorHAnsi"/>
        </w:rPr>
        <w:t xml:space="preserve"> relating to the precise place and exact dates of the next WTSA received the agreement of the required majority of the Member States of ITU, in accordance with No. 47 of the ITU Convention;</w:t>
      </w:r>
    </w:p>
    <w:p w14:paraId="1EBF98D9" w14:textId="77777777" w:rsidR="001A1856" w:rsidRPr="00D76F51" w:rsidRDefault="001A1856" w:rsidP="001A1856">
      <w:pPr>
        <w:rPr>
          <w:rFonts w:asciiTheme="minorHAnsi" w:hAnsiTheme="minorHAnsi"/>
        </w:rPr>
      </w:pPr>
      <w:r w:rsidRPr="00D76F51">
        <w:rPr>
          <w:rFonts w:asciiTheme="minorHAnsi" w:hAnsiTheme="minorHAnsi"/>
          <w:i/>
          <w:iCs/>
        </w:rPr>
        <w:t>b)</w:t>
      </w:r>
      <w:r w:rsidRPr="00D76F51">
        <w:rPr>
          <w:rFonts w:asciiTheme="minorHAnsi" w:hAnsiTheme="minorHAnsi"/>
        </w:rPr>
        <w:tab/>
        <w:t>that in view of the COVID-19 pandemic resulting on restrictions on work and travel, the administration of India proposed to reschedule the next WTSA from 23 February to 5 March 2021 after the Global Standards Symposium on 22 February 2021 subject to the restoration of normal work and travel conditions in India and in other Member States,</w:t>
      </w:r>
    </w:p>
    <w:p w14:paraId="375781D8" w14:textId="77777777" w:rsidR="001A1856" w:rsidRPr="00D76F51" w:rsidRDefault="001A1856" w:rsidP="001A1856">
      <w:pPr>
        <w:pStyle w:val="Call"/>
        <w:jc w:val="both"/>
        <w:rPr>
          <w:rFonts w:asciiTheme="minorHAnsi" w:hAnsiTheme="minorHAnsi"/>
        </w:rPr>
      </w:pPr>
      <w:r w:rsidRPr="00D76F51">
        <w:rPr>
          <w:rFonts w:asciiTheme="minorHAnsi" w:hAnsiTheme="minorHAnsi"/>
        </w:rPr>
        <w:t>decides</w:t>
      </w:r>
    </w:p>
    <w:p w14:paraId="331CFA1C" w14:textId="77777777" w:rsidR="001A1856" w:rsidRPr="00D76F51" w:rsidRDefault="001A1856" w:rsidP="001A1856">
      <w:pPr>
        <w:rPr>
          <w:rFonts w:asciiTheme="minorHAnsi" w:hAnsiTheme="minorHAnsi"/>
        </w:rPr>
      </w:pPr>
      <w:r w:rsidRPr="00D76F51">
        <w:rPr>
          <w:rFonts w:asciiTheme="minorHAnsi" w:hAnsiTheme="minorHAnsi"/>
        </w:rPr>
        <w:t>that, subject to the concurrence of the majority of the Member States of the Union, the next World Telecommunication Standardization Assembly (WTSA-21) will take place in Hyderabad, India, from  23 February to 5 March 2021 after the Global Standards Symposium on 22 February 2021 and subject to the restoration of normal work and travel conditions in India and in other Member States,</w:t>
      </w:r>
    </w:p>
    <w:p w14:paraId="79B3D850" w14:textId="77777777" w:rsidR="001A1856" w:rsidRPr="00D76F51" w:rsidRDefault="001A1856" w:rsidP="001A1856">
      <w:pPr>
        <w:pStyle w:val="Call"/>
        <w:jc w:val="both"/>
        <w:rPr>
          <w:rFonts w:asciiTheme="minorHAnsi" w:hAnsiTheme="minorHAnsi"/>
        </w:rPr>
      </w:pPr>
      <w:r w:rsidRPr="00D76F51">
        <w:rPr>
          <w:rFonts w:asciiTheme="minorHAnsi" w:hAnsiTheme="minorHAnsi"/>
        </w:rPr>
        <w:t>instructs the Secretary-General</w:t>
      </w:r>
    </w:p>
    <w:p w14:paraId="037E7498" w14:textId="77777777" w:rsidR="001A1856" w:rsidRPr="00D76F51" w:rsidRDefault="001A1856" w:rsidP="001A1856">
      <w:pPr>
        <w:rPr>
          <w:rFonts w:asciiTheme="minorHAnsi" w:hAnsiTheme="minorHAnsi"/>
          <w:spacing w:val="-2"/>
        </w:rPr>
      </w:pPr>
      <w:r w:rsidRPr="00D76F51">
        <w:rPr>
          <w:rFonts w:asciiTheme="minorHAnsi" w:hAnsiTheme="minorHAnsi"/>
          <w:spacing w:val="-2"/>
        </w:rPr>
        <w:t>to carry out a consultation with all Member States on the exact dates of WTSA-21.</w:t>
      </w:r>
    </w:p>
    <w:p w14:paraId="254BA4B1" w14:textId="77777777" w:rsidR="001A1856" w:rsidRPr="00300C42" w:rsidRDefault="001A1856" w:rsidP="001A1856">
      <w:pPr>
        <w:spacing w:before="0"/>
        <w:jc w:val="center"/>
        <w:rPr>
          <w:szCs w:val="24"/>
        </w:rPr>
      </w:pPr>
      <w:r w:rsidRPr="00D76F51">
        <w:rPr>
          <w:rFonts w:asciiTheme="minorHAnsi" w:hAnsiTheme="minorHAnsi"/>
          <w:szCs w:val="24"/>
        </w:rPr>
        <w:t>______________</w:t>
      </w:r>
    </w:p>
    <w:p w14:paraId="021C3424" w14:textId="77777777" w:rsidR="001A1856" w:rsidRDefault="001A1856" w:rsidP="00E131F4">
      <w:pPr>
        <w:rPr>
          <w:rFonts w:asciiTheme="minorHAnsi" w:hAnsiTheme="minorHAnsi" w:cstheme="minorHAnsi"/>
          <w:b/>
          <w:bCs/>
        </w:rPr>
        <w:sectPr w:rsidR="001A1856" w:rsidSect="001A1856">
          <w:pgSz w:w="11906" w:h="16838"/>
          <w:pgMar w:top="1440" w:right="851" w:bottom="1440" w:left="851" w:header="709" w:footer="709" w:gutter="0"/>
          <w:cols w:space="708"/>
          <w:docGrid w:linePitch="360"/>
        </w:sectPr>
      </w:pPr>
    </w:p>
    <w:p w14:paraId="33A81513" w14:textId="1B4FB3A1" w:rsidR="008B581C" w:rsidRPr="00A03504" w:rsidRDefault="008B581C" w:rsidP="008B581C">
      <w:pPr>
        <w:jc w:val="center"/>
        <w:rPr>
          <w:rFonts w:asciiTheme="minorHAnsi" w:hAnsiTheme="minorHAnsi" w:cstheme="minorHAnsi"/>
          <w:b/>
          <w:bCs/>
          <w:sz w:val="28"/>
          <w:szCs w:val="28"/>
        </w:rPr>
      </w:pPr>
      <w:bookmarkStart w:id="6" w:name="annex3"/>
      <w:bookmarkEnd w:id="6"/>
      <w:r w:rsidRPr="00A03504">
        <w:rPr>
          <w:rFonts w:asciiTheme="minorHAnsi" w:hAnsiTheme="minorHAnsi" w:cstheme="minorHAnsi"/>
          <w:b/>
          <w:bCs/>
          <w:sz w:val="28"/>
          <w:szCs w:val="28"/>
        </w:rPr>
        <w:lastRenderedPageBreak/>
        <w:t xml:space="preserve">ANNEX </w:t>
      </w:r>
      <w:r>
        <w:rPr>
          <w:rFonts w:asciiTheme="minorHAnsi" w:hAnsiTheme="minorHAnsi" w:cstheme="minorHAnsi"/>
          <w:b/>
          <w:bCs/>
          <w:sz w:val="28"/>
          <w:szCs w:val="28"/>
        </w:rPr>
        <w:t>3</w:t>
      </w:r>
    </w:p>
    <w:p w14:paraId="523D3851" w14:textId="77777777" w:rsidR="008B581C" w:rsidRPr="00A03504" w:rsidRDefault="008B581C" w:rsidP="008B581C">
      <w:pPr>
        <w:pStyle w:val="AnnexNo"/>
        <w:spacing w:before="240"/>
        <w:jc w:val="left"/>
        <w:rPr>
          <w:i/>
          <w:iCs/>
          <w:sz w:val="22"/>
          <w:szCs w:val="16"/>
        </w:rPr>
      </w:pPr>
      <w:r w:rsidRPr="00A03504">
        <w:rPr>
          <w:i/>
          <w:iCs/>
          <w:caps w:val="0"/>
          <w:sz w:val="22"/>
          <w:szCs w:val="16"/>
        </w:rPr>
        <w:t xml:space="preserve">Reference: </w:t>
      </w:r>
      <w:hyperlink r:id="rId28" w:history="1">
        <w:r>
          <w:rPr>
            <w:rStyle w:val="Hyperlink"/>
            <w:i/>
            <w:iCs/>
            <w:caps w:val="0"/>
            <w:sz w:val="22"/>
            <w:szCs w:val="16"/>
          </w:rPr>
          <w:t>Document C20/69</w:t>
        </w:r>
      </w:hyperlink>
    </w:p>
    <w:p w14:paraId="11A66108" w14:textId="77777777" w:rsidR="008B581C" w:rsidRDefault="008B581C" w:rsidP="008B581C">
      <w:pPr>
        <w:jc w:val="center"/>
        <w:rPr>
          <w:sz w:val="28"/>
          <w:szCs w:val="28"/>
        </w:rPr>
      </w:pPr>
      <w:r w:rsidRPr="00F30F7A">
        <w:rPr>
          <w:sz w:val="28"/>
          <w:szCs w:val="28"/>
        </w:rPr>
        <w:t>RESOLUTION</w:t>
      </w:r>
      <w:r>
        <w:rPr>
          <w:sz w:val="28"/>
          <w:szCs w:val="28"/>
        </w:rPr>
        <w:t xml:space="preserve"> 1399</w:t>
      </w:r>
    </w:p>
    <w:p w14:paraId="36E52F12" w14:textId="77777777" w:rsidR="008B581C" w:rsidRPr="00F30F7A" w:rsidRDefault="008B581C" w:rsidP="008B581C">
      <w:pPr>
        <w:jc w:val="center"/>
        <w:rPr>
          <w:sz w:val="28"/>
          <w:szCs w:val="28"/>
        </w:rPr>
      </w:pPr>
      <w:r>
        <w:rPr>
          <w:sz w:val="28"/>
          <w:szCs w:val="28"/>
        </w:rPr>
        <w:t>(adopted by correspondence)</w:t>
      </w:r>
    </w:p>
    <w:p w14:paraId="114BA41A" w14:textId="77777777" w:rsidR="008B581C" w:rsidRDefault="008B581C" w:rsidP="008B581C">
      <w:pPr>
        <w:spacing w:before="240" w:after="360"/>
        <w:jc w:val="center"/>
        <w:rPr>
          <w:b/>
          <w:sz w:val="28"/>
          <w:szCs w:val="28"/>
        </w:rPr>
      </w:pPr>
      <w:r>
        <w:rPr>
          <w:b/>
          <w:sz w:val="28"/>
          <w:szCs w:val="28"/>
        </w:rPr>
        <w:t>Agenda</w:t>
      </w:r>
      <w:r w:rsidRPr="00F30F7A">
        <w:rPr>
          <w:b/>
          <w:sz w:val="28"/>
          <w:szCs w:val="28"/>
        </w:rPr>
        <w:t xml:space="preserve"> of the World Radiocommunication Conference</w:t>
      </w:r>
      <w:r w:rsidRPr="00F30F7A">
        <w:rPr>
          <w:b/>
          <w:sz w:val="28"/>
          <w:szCs w:val="28"/>
        </w:rPr>
        <w:br/>
        <w:t>(WRC-</w:t>
      </w:r>
      <w:r>
        <w:rPr>
          <w:b/>
          <w:sz w:val="28"/>
          <w:szCs w:val="28"/>
        </w:rPr>
        <w:t>23</w:t>
      </w:r>
      <w:r w:rsidRPr="00F30F7A">
        <w:rPr>
          <w:b/>
          <w:sz w:val="28"/>
          <w:szCs w:val="28"/>
        </w:rPr>
        <w:t>)</w:t>
      </w:r>
    </w:p>
    <w:p w14:paraId="1DE335C4" w14:textId="77777777" w:rsidR="008B581C" w:rsidRPr="009A2B70" w:rsidRDefault="008B581C" w:rsidP="008B581C">
      <w:r w:rsidRPr="009A2B70">
        <w:t xml:space="preserve">The </w:t>
      </w:r>
      <w:r>
        <w:t xml:space="preserve">ITU </w:t>
      </w:r>
      <w:r w:rsidRPr="009A2B70">
        <w:t>Council,</w:t>
      </w:r>
    </w:p>
    <w:p w14:paraId="30925C26" w14:textId="77777777" w:rsidR="008B581C" w:rsidRPr="009A2B70" w:rsidRDefault="008B581C" w:rsidP="008B581C">
      <w:pPr>
        <w:ind w:left="709"/>
        <w:rPr>
          <w:i/>
        </w:rPr>
      </w:pPr>
      <w:r w:rsidRPr="009A2B70">
        <w:rPr>
          <w:i/>
        </w:rPr>
        <w:t>noting</w:t>
      </w:r>
    </w:p>
    <w:p w14:paraId="79E5DD44" w14:textId="77777777" w:rsidR="008B581C" w:rsidRPr="009A2B70" w:rsidRDefault="008B581C" w:rsidP="008B581C">
      <w:r w:rsidRPr="009A2B70">
        <w:t>that Resolution</w:t>
      </w:r>
      <w:r>
        <w:t xml:space="preserve"> 811</w:t>
      </w:r>
      <w:r w:rsidRPr="009A2B70">
        <w:t xml:space="preserve"> of the World Radiocommunication Conference (</w:t>
      </w:r>
      <w:r>
        <w:t>Sharm el Sheikh</w:t>
      </w:r>
      <w:r w:rsidRPr="009A2B70">
        <w:t>, 20</w:t>
      </w:r>
      <w:r>
        <w:t>19</w:t>
      </w:r>
      <w:r w:rsidRPr="009A2B70">
        <w:t>):</w:t>
      </w:r>
    </w:p>
    <w:p w14:paraId="02667424" w14:textId="77777777" w:rsidR="008B581C" w:rsidRPr="009A2B70" w:rsidRDefault="008B581C" w:rsidP="008B581C">
      <w:r w:rsidRPr="001B52ED">
        <w:rPr>
          <w:i/>
          <w:iCs/>
        </w:rPr>
        <w:t>a)</w:t>
      </w:r>
      <w:r w:rsidRPr="009A2B70">
        <w:tab/>
        <w:t>resolved to recommend to the Council that a world radiocommunication conference be held in 20</w:t>
      </w:r>
      <w:r>
        <w:t>23</w:t>
      </w:r>
      <w:r w:rsidRPr="009A2B70">
        <w:t xml:space="preserve"> for a </w:t>
      </w:r>
      <w:r>
        <w:t xml:space="preserve">maximum </w:t>
      </w:r>
      <w:r w:rsidRPr="009A2B70">
        <w:t>period of four weeks;</w:t>
      </w:r>
    </w:p>
    <w:p w14:paraId="2F823510" w14:textId="77777777" w:rsidR="008B581C" w:rsidRPr="009A2B70" w:rsidRDefault="008B581C" w:rsidP="008B581C">
      <w:r w:rsidRPr="001B52ED">
        <w:rPr>
          <w:i/>
          <w:iCs/>
        </w:rPr>
        <w:t>b)</w:t>
      </w:r>
      <w:r w:rsidRPr="009A2B70">
        <w:tab/>
        <w:t>recommended its agenda, and invited the Council to finalize the agenda and arr</w:t>
      </w:r>
      <w:r>
        <w:t>ange for the convening of WRC</w:t>
      </w:r>
      <w:r>
        <w:noBreakHyphen/>
        <w:t>23</w:t>
      </w:r>
      <w:r w:rsidRPr="009A2B70">
        <w:t xml:space="preserve"> and to initiate as soon as possible the necessary consultation with Member States,</w:t>
      </w:r>
    </w:p>
    <w:p w14:paraId="313A7232" w14:textId="77777777" w:rsidR="008B581C" w:rsidRPr="009A2B70" w:rsidRDefault="008B581C" w:rsidP="008B581C">
      <w:pPr>
        <w:ind w:left="709"/>
        <w:rPr>
          <w:i/>
        </w:rPr>
      </w:pPr>
      <w:r w:rsidRPr="009A2B70">
        <w:rPr>
          <w:i/>
        </w:rPr>
        <w:t>resolves</w:t>
      </w:r>
    </w:p>
    <w:p w14:paraId="2A3BA84E" w14:textId="77777777" w:rsidR="008B581C" w:rsidRDefault="008B581C" w:rsidP="008B581C">
      <w:r w:rsidRPr="00BB7BDD">
        <w:t>to convene a World Radiocommunication Conference (WRC</w:t>
      </w:r>
      <w:r w:rsidRPr="00BB7BDD">
        <w:noBreakHyphen/>
        <w:t>23)</w:t>
      </w:r>
      <w:r w:rsidRPr="00D25BC7">
        <w:t xml:space="preserve"> in </w:t>
      </w:r>
      <w:r w:rsidRPr="00BB7BDD">
        <w:t>2023, preceded by the Radiocommunication Assembly, with the following agenda:</w:t>
      </w:r>
    </w:p>
    <w:p w14:paraId="4DB47E65" w14:textId="77777777" w:rsidR="008B581C" w:rsidRPr="00426B80" w:rsidRDefault="008B581C" w:rsidP="008B581C">
      <w:pPr>
        <w:rPr>
          <w:rFonts w:cstheme="minorHAnsi"/>
          <w:szCs w:val="24"/>
        </w:rPr>
      </w:pPr>
      <w:r w:rsidRPr="00426B80">
        <w:rPr>
          <w:rFonts w:cstheme="minorHAnsi"/>
          <w:szCs w:val="24"/>
        </w:rPr>
        <w:t>1</w:t>
      </w:r>
      <w:r w:rsidRPr="00426B80">
        <w:rPr>
          <w:rFonts w:cstheme="minorHAnsi"/>
          <w:szCs w:val="24"/>
        </w:rPr>
        <w:tab/>
        <w:t>on the basis of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2061BC2A" w14:textId="77777777" w:rsidR="008B581C" w:rsidRPr="00426B80" w:rsidRDefault="008B581C" w:rsidP="008B581C">
      <w:pPr>
        <w:rPr>
          <w:rFonts w:cstheme="minorHAnsi"/>
          <w:szCs w:val="24"/>
        </w:rPr>
      </w:pPr>
      <w:r w:rsidRPr="00426B80">
        <w:rPr>
          <w:rFonts w:cstheme="minorHAnsi"/>
          <w:szCs w:val="24"/>
        </w:rPr>
        <w:t>1.1</w:t>
      </w:r>
      <w:r w:rsidRPr="00426B80">
        <w:rPr>
          <w:rFonts w:cstheme="minorHAnsi"/>
          <w:szCs w:val="24"/>
        </w:rPr>
        <w:tab/>
        <w:t>to consider, based on the results of the ITU</w:t>
      </w:r>
      <w:r w:rsidRPr="00426B80">
        <w:rPr>
          <w:rFonts w:cstheme="minorHAnsi"/>
          <w:szCs w:val="24"/>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426B80">
        <w:rPr>
          <w:rFonts w:cstheme="minorHAnsi"/>
          <w:b/>
          <w:szCs w:val="24"/>
        </w:rPr>
        <w:t>5.441B</w:t>
      </w:r>
      <w:r w:rsidRPr="00426B80">
        <w:rPr>
          <w:rFonts w:cstheme="minorHAnsi"/>
          <w:szCs w:val="24"/>
        </w:rPr>
        <w:t xml:space="preserve"> in accordance with Resolution </w:t>
      </w:r>
      <w:r w:rsidRPr="00426B80">
        <w:rPr>
          <w:rFonts w:cstheme="minorHAnsi"/>
          <w:b/>
          <w:szCs w:val="24"/>
        </w:rPr>
        <w:t>223 (Rev.WRC</w:t>
      </w:r>
      <w:r w:rsidRPr="00426B80">
        <w:rPr>
          <w:rFonts w:cstheme="minorHAnsi"/>
          <w:b/>
          <w:szCs w:val="24"/>
        </w:rPr>
        <w:noBreakHyphen/>
        <w:t>19)</w:t>
      </w:r>
      <w:r w:rsidRPr="00426B80">
        <w:rPr>
          <w:rFonts w:cstheme="minorHAnsi"/>
          <w:szCs w:val="24"/>
        </w:rPr>
        <w:t>;</w:t>
      </w:r>
    </w:p>
    <w:p w14:paraId="607C5812" w14:textId="77777777" w:rsidR="008B581C" w:rsidRPr="00426B80" w:rsidRDefault="008B581C" w:rsidP="008B581C">
      <w:pPr>
        <w:rPr>
          <w:rFonts w:cstheme="minorHAnsi"/>
          <w:b/>
          <w:szCs w:val="24"/>
        </w:rPr>
      </w:pPr>
      <w:r w:rsidRPr="00426B80">
        <w:rPr>
          <w:rFonts w:cstheme="minorHAnsi"/>
          <w:szCs w:val="24"/>
        </w:rPr>
        <w:t>1.2</w:t>
      </w:r>
      <w:r w:rsidRPr="00426B80">
        <w:rPr>
          <w:rFonts w:cstheme="minorHAnsi"/>
          <w:szCs w:val="24"/>
        </w:rPr>
        <w:tab/>
        <w:t>to consider identification of the frequency bands 3 300-3 400 MHz, 3 600</w:t>
      </w:r>
      <w:r w:rsidRPr="00426B80">
        <w:rPr>
          <w:rFonts w:cstheme="minorHAnsi"/>
          <w:szCs w:val="24"/>
        </w:rPr>
        <w:noBreakHyphen/>
        <w:t xml:space="preserve">3 800 MHz, 6 425-7 025 MHz, 7 025-7 125 MHz and 10.0-10.5 GHz for International Mobile Telecommunications (IMT), including possible additional allocations to the mobile service on a primary basis, in accordance with Resolution </w:t>
      </w:r>
      <w:r w:rsidRPr="00426B80">
        <w:rPr>
          <w:rFonts w:cstheme="minorHAnsi"/>
          <w:b/>
          <w:bCs/>
          <w:szCs w:val="24"/>
        </w:rPr>
        <w:t>245</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bCs/>
          <w:szCs w:val="24"/>
        </w:rPr>
        <w:t>;</w:t>
      </w:r>
    </w:p>
    <w:p w14:paraId="1D4B88F3" w14:textId="77777777" w:rsidR="008B581C" w:rsidRPr="00426B80" w:rsidRDefault="008B581C" w:rsidP="008B581C">
      <w:pPr>
        <w:rPr>
          <w:rFonts w:cstheme="minorHAnsi"/>
          <w:szCs w:val="24"/>
        </w:rPr>
      </w:pPr>
      <w:r w:rsidRPr="00426B80">
        <w:rPr>
          <w:rFonts w:cstheme="minorHAnsi"/>
          <w:szCs w:val="24"/>
        </w:rPr>
        <w:t>1.3</w:t>
      </w:r>
      <w:r w:rsidRPr="00426B80">
        <w:rPr>
          <w:rFonts w:cstheme="minorHAnsi"/>
          <w:b/>
          <w:szCs w:val="24"/>
        </w:rPr>
        <w:tab/>
      </w:r>
      <w:r w:rsidRPr="00426B80">
        <w:rPr>
          <w:rFonts w:cstheme="minorHAnsi"/>
          <w:szCs w:val="24"/>
        </w:rPr>
        <w:t>to consider primary allocation of the band 3 600</w:t>
      </w:r>
      <w:r w:rsidRPr="00426B80">
        <w:rPr>
          <w:rFonts w:cstheme="minorHAnsi"/>
          <w:szCs w:val="24"/>
        </w:rPr>
        <w:noBreakHyphen/>
        <w:t>3 800 MHz to mobile service within Region 1 and take appropriate regulatory actions, in accordance with Resolution</w:t>
      </w:r>
      <w:r w:rsidRPr="00426B80">
        <w:rPr>
          <w:rFonts w:cstheme="minorHAnsi"/>
          <w:b/>
          <w:szCs w:val="24"/>
        </w:rPr>
        <w:t xml:space="preserve"> 246 (WRC</w:t>
      </w:r>
      <w:r w:rsidRPr="00426B80">
        <w:rPr>
          <w:rFonts w:cstheme="minorHAnsi"/>
          <w:b/>
          <w:szCs w:val="24"/>
        </w:rPr>
        <w:noBreakHyphen/>
        <w:t>19)</w:t>
      </w:r>
      <w:r w:rsidRPr="00426B80">
        <w:rPr>
          <w:rFonts w:cstheme="minorHAnsi"/>
          <w:szCs w:val="24"/>
        </w:rPr>
        <w:t>;</w:t>
      </w:r>
    </w:p>
    <w:p w14:paraId="75D1A705" w14:textId="77777777" w:rsidR="008B581C" w:rsidRPr="00426B80" w:rsidRDefault="008B581C" w:rsidP="008B581C">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use of high-altitude platform stations as IMT base stations (HIBS) in the mobile service in certain frequency bands below 2.7 GHz already identified for IMT, on a global or regional level;</w:t>
      </w:r>
    </w:p>
    <w:p w14:paraId="0701555E" w14:textId="77777777" w:rsidR="008B581C" w:rsidRPr="00426B80" w:rsidRDefault="008B581C" w:rsidP="008B581C">
      <w:pPr>
        <w:rPr>
          <w:rFonts w:cstheme="minorHAnsi"/>
          <w:szCs w:val="24"/>
        </w:rPr>
      </w:pPr>
      <w:r w:rsidRPr="00426B80">
        <w:rPr>
          <w:rFonts w:cstheme="minorHAnsi"/>
          <w:szCs w:val="24"/>
        </w:rPr>
        <w:t>1.5</w:t>
      </w:r>
      <w:r w:rsidRPr="00426B80">
        <w:rPr>
          <w:rFonts w:cstheme="minorHAnsi"/>
          <w:szCs w:val="24"/>
        </w:rPr>
        <w:tab/>
        <w:t>to review the spectrum use and spectrum needs of existing services in the frequency band 470-960 MHz in Region 1 and consider possible regulatory actions in the frequency band 470</w:t>
      </w:r>
      <w:r w:rsidRPr="00426B80">
        <w:rPr>
          <w:rFonts w:cstheme="minorHAnsi"/>
          <w:szCs w:val="24"/>
        </w:rPr>
        <w:noBreakHyphen/>
        <w:t xml:space="preserve">694 MHz in Region 1 on the basis of the review in accordance with Resolution </w:t>
      </w:r>
      <w:r w:rsidRPr="00426B80">
        <w:rPr>
          <w:rFonts w:cstheme="minorHAnsi"/>
          <w:b/>
          <w:bCs/>
          <w:szCs w:val="24"/>
        </w:rPr>
        <w:t>235 (WRC</w:t>
      </w:r>
      <w:r w:rsidRPr="00426B80">
        <w:rPr>
          <w:rFonts w:cstheme="minorHAnsi"/>
          <w:b/>
          <w:bCs/>
          <w:szCs w:val="24"/>
        </w:rPr>
        <w:noBreakHyphen/>
        <w:t>15)</w:t>
      </w:r>
      <w:r w:rsidRPr="00426B80">
        <w:rPr>
          <w:rFonts w:cstheme="minorHAnsi"/>
          <w:szCs w:val="24"/>
        </w:rPr>
        <w:t>;</w:t>
      </w:r>
    </w:p>
    <w:p w14:paraId="5934B603" w14:textId="77777777" w:rsidR="008B581C" w:rsidRPr="00426B80" w:rsidRDefault="008B581C" w:rsidP="008B581C">
      <w:pPr>
        <w:rPr>
          <w:rFonts w:cstheme="minorHAnsi"/>
          <w:szCs w:val="24"/>
        </w:rPr>
      </w:pPr>
      <w:r w:rsidRPr="00426B80">
        <w:rPr>
          <w:rFonts w:cstheme="minorHAnsi"/>
          <w:szCs w:val="24"/>
        </w:rPr>
        <w:lastRenderedPageBreak/>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regulatory provisions to facilitate radiocommunications for sub-orbital vehicles;</w:t>
      </w:r>
    </w:p>
    <w:p w14:paraId="56377A23" w14:textId="77777777" w:rsidR="008B581C" w:rsidRPr="00426B80" w:rsidRDefault="008B581C" w:rsidP="008B581C">
      <w:pPr>
        <w:rPr>
          <w:rFonts w:cstheme="minorHAnsi"/>
          <w:szCs w:val="24"/>
        </w:rPr>
      </w:pPr>
      <w:r w:rsidRPr="00426B80">
        <w:rPr>
          <w:rFonts w:cstheme="minorHAnsi"/>
          <w:szCs w:val="24"/>
        </w:rPr>
        <w:t>1.7</w:t>
      </w:r>
      <w:r w:rsidRPr="00426B80">
        <w:rPr>
          <w:rFonts w:cstheme="minorHAnsi"/>
          <w:szCs w:val="24"/>
        </w:rPr>
        <w:tab/>
        <w:t>to consider a new</w:t>
      </w:r>
      <w:r w:rsidRPr="00426B80">
        <w:rPr>
          <w:rFonts w:cstheme="minorHAnsi"/>
        </w:rPr>
        <w:t xml:space="preserve"> </w:t>
      </w:r>
      <w:r w:rsidRPr="00426B80">
        <w:rPr>
          <w:rFonts w:cstheme="minorHAnsi"/>
          <w:szCs w:val="24"/>
        </w:rPr>
        <w:t xml:space="preserve">aeronautical mobile-satellite (R) service (AMS(R)S) allocation in accordance with Resolution </w:t>
      </w:r>
      <w:r w:rsidRPr="00426B80">
        <w:rPr>
          <w:rFonts w:cstheme="minorHAnsi"/>
          <w:b/>
          <w:bCs/>
          <w:szCs w:val="24"/>
        </w:rPr>
        <w:t>428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 xml:space="preserve">19) </w:t>
      </w:r>
      <w:r w:rsidRPr="00426B80">
        <w:rPr>
          <w:rFonts w:cstheme="minorHAnsi"/>
          <w:szCs w:val="24"/>
        </w:rPr>
        <w:t>for both the Earth-to-space</w:t>
      </w:r>
      <w:r w:rsidRPr="00426B80">
        <w:rPr>
          <w:rFonts w:cstheme="minorHAnsi"/>
        </w:rPr>
        <w:t xml:space="preserve"> </w:t>
      </w:r>
      <w:r w:rsidRPr="00426B80">
        <w:rPr>
          <w:rFonts w:cstheme="minorHAnsi"/>
          <w:szCs w:val="24"/>
        </w:rPr>
        <w:t>and space-to-Earth directions of aeronautical VHF communications</w:t>
      </w:r>
      <w:r w:rsidRPr="00426B80">
        <w:rPr>
          <w:rFonts w:cstheme="minorHAnsi"/>
        </w:rPr>
        <w:t xml:space="preserve"> </w:t>
      </w:r>
      <w:r w:rsidRPr="00426B80">
        <w:rPr>
          <w:rFonts w:cstheme="minorHAnsi"/>
          <w:szCs w:val="24"/>
        </w:rPr>
        <w:t>in all or part of the frequency band 117.975-137 MHz, while preventing any undue constraints on existing VHF systems operating in the AM(R)S, the ARNS, and in adjacent frequency bands;</w:t>
      </w:r>
    </w:p>
    <w:p w14:paraId="295583E2" w14:textId="77777777" w:rsidR="008B581C" w:rsidRPr="00426B80" w:rsidRDefault="008B581C" w:rsidP="008B581C">
      <w:pPr>
        <w:rPr>
          <w:rFonts w:cstheme="minorHAnsi"/>
          <w:szCs w:val="24"/>
        </w:rPr>
      </w:pPr>
      <w:r w:rsidRPr="00426B80">
        <w:rPr>
          <w:rFonts w:cstheme="minorHAnsi"/>
          <w:bCs/>
          <w:szCs w:val="24"/>
        </w:rPr>
        <w:t>1.8</w:t>
      </w:r>
      <w:r w:rsidRPr="00426B80">
        <w:rPr>
          <w:rFonts w:cstheme="minorHAnsi"/>
          <w:bCs/>
          <w:szCs w:val="24"/>
        </w:rPr>
        <w:tab/>
      </w:r>
      <w:r w:rsidRPr="00426B80">
        <w:rPr>
          <w:rFonts w:cstheme="minorHAnsi"/>
          <w:szCs w:val="24"/>
        </w:rPr>
        <w:t>to consider, on the basis of ITU</w:t>
      </w:r>
      <w:r w:rsidRPr="00426B80">
        <w:rPr>
          <w:rFonts w:cstheme="minorHAnsi"/>
          <w:szCs w:val="24"/>
        </w:rPr>
        <w:noBreakHyphen/>
        <w:t xml:space="preserve">R studies in accordance with Resolution </w:t>
      </w:r>
      <w:r w:rsidRPr="00426B80">
        <w:rPr>
          <w:rFonts w:cstheme="minorHAnsi"/>
          <w:b/>
          <w:bCs/>
          <w:szCs w:val="24"/>
        </w:rPr>
        <w:t>171</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appropriate regulatory actions, with a view to reviewing and, if necessary, revising Resolution </w:t>
      </w:r>
      <w:r w:rsidRPr="00426B80">
        <w:rPr>
          <w:rFonts w:cstheme="minorHAnsi"/>
          <w:b/>
          <w:szCs w:val="24"/>
        </w:rPr>
        <w:t>155 (Rev.WRC</w:t>
      </w:r>
      <w:r w:rsidRPr="00426B80">
        <w:rPr>
          <w:rFonts w:cstheme="minorHAnsi"/>
          <w:b/>
          <w:szCs w:val="24"/>
        </w:rPr>
        <w:noBreakHyphen/>
        <w:t>19)</w:t>
      </w:r>
      <w:r w:rsidRPr="00426B80">
        <w:rPr>
          <w:rFonts w:cstheme="minorHAnsi"/>
          <w:szCs w:val="24"/>
        </w:rPr>
        <w:t xml:space="preserve"> and No. </w:t>
      </w:r>
      <w:r w:rsidRPr="00426B80">
        <w:rPr>
          <w:rFonts w:cstheme="minorHAnsi"/>
          <w:b/>
          <w:szCs w:val="24"/>
        </w:rPr>
        <w:t>5.484B</w:t>
      </w:r>
      <w:r w:rsidRPr="00426B80">
        <w:rPr>
          <w:rFonts w:cstheme="minorHAnsi"/>
          <w:szCs w:val="24"/>
        </w:rPr>
        <w:t xml:space="preserve"> to accommodate the use of fixed-satellite service (FSS) networks by control and non-payload communications of unmanned aircraft systems;</w:t>
      </w:r>
    </w:p>
    <w:p w14:paraId="50B12F8C" w14:textId="77777777" w:rsidR="008B581C" w:rsidRPr="00426B80" w:rsidRDefault="008B581C" w:rsidP="008B581C">
      <w:pPr>
        <w:rPr>
          <w:rFonts w:cstheme="minorHAnsi"/>
          <w:szCs w:val="24"/>
        </w:rPr>
      </w:pPr>
      <w:r w:rsidRPr="00426B80">
        <w:rPr>
          <w:rFonts w:cstheme="minorHAnsi"/>
          <w:szCs w:val="24"/>
        </w:rPr>
        <w:t>1.9</w:t>
      </w:r>
      <w:r w:rsidRPr="00426B80">
        <w:rPr>
          <w:rFonts w:cstheme="minorHAnsi"/>
          <w:szCs w:val="24"/>
        </w:rPr>
        <w:tab/>
        <w:t>to review Appendix </w:t>
      </w:r>
      <w:r w:rsidRPr="00426B80">
        <w:rPr>
          <w:rFonts w:cstheme="minorHAnsi"/>
          <w:b/>
          <w:szCs w:val="24"/>
        </w:rPr>
        <w:t>27</w:t>
      </w:r>
      <w:r w:rsidRPr="00426B80">
        <w:rPr>
          <w:rFonts w:cstheme="minorHAnsi"/>
          <w:szCs w:val="24"/>
        </w:rPr>
        <w:t xml:space="preserve"> of the Radio Regulations and consider appropriate regulatory actions and updates based on ITU</w:t>
      </w:r>
      <w:r w:rsidRPr="00426B80">
        <w:rPr>
          <w:rFonts w:cstheme="minorHAnsi"/>
          <w:szCs w:val="24"/>
        </w:rPr>
        <w:noBreakHyphen/>
        <w:t xml:space="preserve">R studies, in order to </w:t>
      </w:r>
      <w:r w:rsidRPr="00426B80">
        <w:rPr>
          <w:rFonts w:cstheme="minorHAnsi"/>
          <w:bCs/>
          <w:szCs w:val="24"/>
        </w:rPr>
        <w:t>accommodate</w:t>
      </w:r>
      <w:r w:rsidRPr="00426B80">
        <w:rPr>
          <w:rFonts w:cstheme="minorHAnsi"/>
          <w:szCs w:val="24"/>
        </w:rPr>
        <w:t xml:space="preserve"> </w:t>
      </w:r>
      <w:r w:rsidRPr="00426B80">
        <w:rPr>
          <w:rFonts w:cstheme="minorHAnsi"/>
          <w:bCs/>
          <w:szCs w:val="24"/>
        </w:rPr>
        <w:t>digital technologies</w:t>
      </w:r>
      <w:r w:rsidRPr="00426B80" w:rsidDel="00AA4CCE">
        <w:rPr>
          <w:rFonts w:cstheme="minorHAnsi"/>
          <w:szCs w:val="24"/>
        </w:rPr>
        <w:t xml:space="preserve"> </w:t>
      </w:r>
      <w:r w:rsidRPr="00426B80">
        <w:rPr>
          <w:rFonts w:cstheme="minorHAnsi"/>
          <w:szCs w:val="24"/>
        </w:rPr>
        <w:t xml:space="preserve">for commercial aviation safety-of-life applications in existing HF bands allocated to the aeronautical mobile (route) service and ensure coexistence of current HF systems alongside modernized HF systems, in accordance with Resolution </w:t>
      </w:r>
      <w:r w:rsidRPr="00426B80">
        <w:rPr>
          <w:rFonts w:cstheme="minorHAnsi"/>
          <w:b/>
          <w:bCs/>
          <w:szCs w:val="24"/>
        </w:rPr>
        <w:t>429</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3879DB69" w14:textId="77777777" w:rsidR="008B581C" w:rsidRPr="00426B80" w:rsidRDefault="008B581C" w:rsidP="008B581C">
      <w:pPr>
        <w:rPr>
          <w:rFonts w:cstheme="minorHAnsi"/>
          <w:b/>
          <w:szCs w:val="24"/>
        </w:rPr>
      </w:pPr>
      <w:r w:rsidRPr="00426B80">
        <w:rPr>
          <w:rFonts w:cstheme="minorHAnsi"/>
          <w:szCs w:val="24"/>
        </w:rPr>
        <w:t>1.10</w:t>
      </w:r>
      <w:r w:rsidRPr="00426B80">
        <w:rPr>
          <w:rFonts w:cstheme="minorHAnsi"/>
          <w:szCs w:val="24"/>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6B80">
        <w:rPr>
          <w:rFonts w:cstheme="minorHAnsi"/>
          <w:b/>
          <w:bCs/>
          <w:szCs w:val="24"/>
        </w:rPr>
        <w:t>430</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bCs/>
          <w:szCs w:val="24"/>
        </w:rPr>
        <w:t>;</w:t>
      </w:r>
    </w:p>
    <w:p w14:paraId="35E324E9" w14:textId="77777777" w:rsidR="008B581C" w:rsidRPr="00426B80" w:rsidRDefault="008B581C" w:rsidP="008B581C">
      <w:pPr>
        <w:rPr>
          <w:rFonts w:cstheme="minorHAnsi"/>
          <w:szCs w:val="24"/>
        </w:rPr>
      </w:pPr>
      <w:r w:rsidRPr="00426B80">
        <w:rPr>
          <w:rFonts w:cstheme="minorHAnsi"/>
          <w:bCs/>
          <w:szCs w:val="24"/>
        </w:rPr>
        <w:t>1.11</w:t>
      </w:r>
      <w:r w:rsidRPr="00426B80">
        <w:rPr>
          <w:rFonts w:cstheme="minorHAnsi"/>
          <w:b/>
          <w:szCs w:val="24"/>
        </w:rPr>
        <w:tab/>
      </w:r>
      <w:r w:rsidRPr="00426B80">
        <w:rPr>
          <w:rFonts w:cstheme="minorHAnsi"/>
          <w:szCs w:val="24"/>
        </w:rPr>
        <w:t>to consider possible regulatory actions to support the modernization of the Global Maritime Distress and Safety System and the implementation of e</w:t>
      </w:r>
      <w:r w:rsidRPr="00426B80">
        <w:rPr>
          <w:rFonts w:cstheme="minorHAnsi"/>
          <w:szCs w:val="24"/>
        </w:rPr>
        <w:noBreakHyphen/>
        <w:t xml:space="preserve">navigation, in accordance with Resolution </w:t>
      </w:r>
      <w:r w:rsidRPr="00426B80">
        <w:rPr>
          <w:rFonts w:cstheme="minorHAnsi"/>
          <w:b/>
          <w:szCs w:val="24"/>
        </w:rPr>
        <w:t>361 (Rev.WRC</w:t>
      </w:r>
      <w:r w:rsidRPr="00426B80">
        <w:rPr>
          <w:rFonts w:cstheme="minorHAnsi"/>
          <w:b/>
          <w:szCs w:val="24"/>
        </w:rPr>
        <w:noBreakHyphen/>
        <w:t>19)</w:t>
      </w:r>
      <w:r w:rsidRPr="00426B80">
        <w:rPr>
          <w:rFonts w:cstheme="minorHAnsi"/>
          <w:szCs w:val="24"/>
        </w:rPr>
        <w:t>;</w:t>
      </w:r>
    </w:p>
    <w:p w14:paraId="660BC959" w14:textId="77777777" w:rsidR="008B581C" w:rsidRPr="00426B80" w:rsidRDefault="008B581C" w:rsidP="008B581C">
      <w:pPr>
        <w:rPr>
          <w:rFonts w:cstheme="minorHAnsi"/>
          <w:szCs w:val="24"/>
        </w:rPr>
      </w:pPr>
      <w:r w:rsidRPr="00426B80">
        <w:rPr>
          <w:rFonts w:cstheme="minorHAnsi"/>
          <w:szCs w:val="24"/>
        </w:rPr>
        <w:t>1.12</w:t>
      </w:r>
      <w:r w:rsidRPr="00426B80">
        <w:rPr>
          <w:rFonts w:cstheme="minorHAnsi"/>
          <w:szCs w:val="24"/>
        </w:rPr>
        <w:tab/>
      </w:r>
      <w:r w:rsidRPr="00426B80">
        <w:rPr>
          <w:rFonts w:eastAsia="Calibri" w:cstheme="minorHAnsi"/>
          <w:szCs w:val="24"/>
        </w:rPr>
        <w:t>to conduct, and complete in time for WRC</w:t>
      </w:r>
      <w:r w:rsidRPr="00426B80">
        <w:rPr>
          <w:rFonts w:eastAsia="Calibri" w:cstheme="minorHAnsi"/>
          <w:szCs w:val="24"/>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6B80">
        <w:rPr>
          <w:rFonts w:eastAsia="Calibri" w:cstheme="minorHAnsi"/>
          <w:b/>
          <w:szCs w:val="24"/>
        </w:rPr>
        <w:t>656 (Rev.WRC</w:t>
      </w:r>
      <w:r w:rsidRPr="00426B80">
        <w:rPr>
          <w:rFonts w:eastAsia="Calibri" w:cstheme="minorHAnsi"/>
          <w:b/>
          <w:szCs w:val="24"/>
        </w:rPr>
        <w:noBreakHyphen/>
        <w:t>19)</w:t>
      </w:r>
      <w:r w:rsidRPr="00426B80">
        <w:rPr>
          <w:rFonts w:eastAsia="Calibri" w:cstheme="minorHAnsi"/>
          <w:szCs w:val="24"/>
        </w:rPr>
        <w:t>;</w:t>
      </w:r>
    </w:p>
    <w:p w14:paraId="6D3838D7" w14:textId="77777777" w:rsidR="008B581C" w:rsidRPr="00426B80" w:rsidRDefault="008B581C" w:rsidP="008B581C">
      <w:pPr>
        <w:rPr>
          <w:rFonts w:cstheme="minorHAnsi"/>
          <w:szCs w:val="24"/>
        </w:rPr>
      </w:pPr>
      <w:r w:rsidRPr="00426B80">
        <w:rPr>
          <w:rFonts w:cstheme="minorHAnsi"/>
          <w:szCs w:val="24"/>
        </w:rPr>
        <w:t>1.13</w:t>
      </w:r>
      <w:r w:rsidRPr="00426B80">
        <w:rPr>
          <w:rFonts w:cstheme="minorHAnsi"/>
          <w:szCs w:val="24"/>
        </w:rPr>
        <w:tab/>
        <w:t xml:space="preserve">to consider a possible upgrade of the allocation of the frequency band 14.8-15.35 GHz to the space research service, in accordance with Resolution </w:t>
      </w:r>
      <w:r w:rsidRPr="00426B80">
        <w:rPr>
          <w:rFonts w:cstheme="minorHAnsi"/>
          <w:b/>
          <w:bCs/>
          <w:szCs w:val="24"/>
        </w:rPr>
        <w:t>661</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r w:rsidRPr="00426B80">
        <w:rPr>
          <w:rFonts w:cstheme="minorHAnsi"/>
          <w:szCs w:val="24"/>
        </w:rPr>
        <w:t>;</w:t>
      </w:r>
    </w:p>
    <w:p w14:paraId="20E98452" w14:textId="77777777" w:rsidR="008B581C" w:rsidRPr="00426B80" w:rsidRDefault="008B581C" w:rsidP="008B581C">
      <w:pPr>
        <w:rPr>
          <w:rFonts w:cstheme="minorHAnsi"/>
          <w:szCs w:val="24"/>
        </w:rPr>
      </w:pPr>
      <w:r w:rsidRPr="00426B80">
        <w:rPr>
          <w:rFonts w:cstheme="minorHAnsi"/>
          <w:szCs w:val="24"/>
        </w:rPr>
        <w:t>1.14</w:t>
      </w:r>
      <w:r w:rsidRPr="00426B80">
        <w:rPr>
          <w:rFonts w:cstheme="minorHAnsi"/>
          <w:szCs w:val="24"/>
        </w:rPr>
        <w:tab/>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426B80">
        <w:rPr>
          <w:rFonts w:cstheme="minorHAnsi"/>
          <w:b/>
          <w:bCs/>
          <w:szCs w:val="24"/>
        </w:rPr>
        <w:t>662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39860D24" w14:textId="77777777" w:rsidR="008B581C" w:rsidRPr="00426B80" w:rsidRDefault="008B581C" w:rsidP="008B581C">
      <w:pPr>
        <w:rPr>
          <w:rFonts w:cstheme="minorHAnsi"/>
          <w:szCs w:val="24"/>
        </w:rPr>
      </w:pPr>
      <w:r w:rsidRPr="00426B80">
        <w:rPr>
          <w:rFonts w:cstheme="minorHAnsi"/>
          <w:szCs w:val="24"/>
        </w:rPr>
        <w:t>1.15</w:t>
      </w:r>
      <w:r w:rsidRPr="00426B80">
        <w:rPr>
          <w:rFonts w:cstheme="minorHAnsi"/>
          <w:szCs w:val="24"/>
        </w:rPr>
        <w:tab/>
        <w:t xml:space="preserve">to harmonize the use of the frequency band 12.75-13.25 GHz (Earth-to-space) by earth stations on aircraft and vessels communicating with geostationary space stations in the fixed-satellite service globally, in accordance with Resolution </w:t>
      </w:r>
      <w:r w:rsidRPr="00426B80">
        <w:rPr>
          <w:rFonts w:cstheme="minorHAnsi"/>
          <w:b/>
          <w:bCs/>
          <w:szCs w:val="24"/>
        </w:rPr>
        <w:t>172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66B2DF44" w14:textId="77777777" w:rsidR="008B581C" w:rsidRPr="00426B80" w:rsidRDefault="008B581C" w:rsidP="008B581C">
      <w:pPr>
        <w:rPr>
          <w:rFonts w:cstheme="minorHAnsi"/>
          <w:szCs w:val="24"/>
        </w:rPr>
      </w:pPr>
      <w:r w:rsidRPr="00426B80">
        <w:rPr>
          <w:rFonts w:cstheme="minorHAnsi"/>
          <w:kern w:val="2"/>
          <w:szCs w:val="24"/>
          <w:lang w:eastAsia="ja-JP"/>
        </w:rPr>
        <w:t>1.16</w:t>
      </w:r>
      <w:r w:rsidRPr="00426B80">
        <w:rPr>
          <w:rFonts w:eastAsia="SimSun" w:cstheme="minorHAnsi"/>
          <w:szCs w:val="24"/>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26B80">
        <w:rPr>
          <w:rFonts w:eastAsia="SimSun" w:cstheme="minorHAnsi"/>
          <w:b/>
          <w:bCs/>
          <w:szCs w:val="24"/>
        </w:rPr>
        <w:t>173</w:t>
      </w:r>
      <w:r w:rsidRPr="00426B80">
        <w:rPr>
          <w:rFonts w:eastAsia="SimSun" w:cstheme="minorHAnsi"/>
          <w:szCs w:val="24"/>
        </w:rPr>
        <w:t xml:space="preserve"> </w:t>
      </w:r>
      <w:r w:rsidRPr="00426B80">
        <w:rPr>
          <w:rFonts w:eastAsia="SimSun" w:cstheme="minorHAnsi"/>
          <w:b/>
          <w:bCs/>
          <w:szCs w:val="24"/>
        </w:rPr>
        <w:t>(WRC</w:t>
      </w:r>
      <w:r w:rsidRPr="00426B80">
        <w:rPr>
          <w:rFonts w:eastAsia="SimSun" w:cstheme="minorHAnsi"/>
          <w:b/>
          <w:bCs/>
          <w:szCs w:val="24"/>
        </w:rPr>
        <w:noBreakHyphen/>
        <w:t>19)</w:t>
      </w:r>
      <w:r w:rsidRPr="00426B80">
        <w:rPr>
          <w:rFonts w:eastAsia="SimSun" w:cstheme="minorHAnsi"/>
          <w:szCs w:val="24"/>
        </w:rPr>
        <w:t>;</w:t>
      </w:r>
    </w:p>
    <w:p w14:paraId="772C0E97" w14:textId="77777777" w:rsidR="008B581C" w:rsidRPr="00426B80" w:rsidRDefault="008B581C" w:rsidP="008B581C">
      <w:pPr>
        <w:rPr>
          <w:rFonts w:cstheme="minorHAnsi"/>
          <w:szCs w:val="24"/>
        </w:rPr>
      </w:pPr>
      <w:r w:rsidRPr="00426B80">
        <w:rPr>
          <w:rFonts w:cstheme="minorHAnsi"/>
          <w:szCs w:val="24"/>
        </w:rPr>
        <w:t>1.17</w:t>
      </w:r>
      <w:r w:rsidRPr="00426B80">
        <w:rPr>
          <w:rFonts w:cstheme="minorHAnsi"/>
          <w:szCs w:val="24"/>
        </w:rPr>
        <w:tab/>
        <w:t>to determine and carry out, on the basis of the ITU</w:t>
      </w:r>
      <w:r w:rsidRPr="00426B80">
        <w:rPr>
          <w:rFonts w:cstheme="minorHAnsi"/>
          <w:szCs w:val="24"/>
        </w:rPr>
        <w:noBreakHyphen/>
        <w:t>R studies in</w:t>
      </w:r>
      <w:r w:rsidRPr="00426B80">
        <w:rPr>
          <w:rFonts w:cstheme="minorHAnsi"/>
          <w:spacing w:val="-8"/>
          <w:szCs w:val="24"/>
        </w:rPr>
        <w:t xml:space="preserve"> </w:t>
      </w:r>
      <w:r w:rsidRPr="00426B80">
        <w:rPr>
          <w:rFonts w:cstheme="minorHAnsi"/>
          <w:szCs w:val="24"/>
        </w:rPr>
        <w:t>accordance</w:t>
      </w:r>
      <w:r w:rsidRPr="00426B80">
        <w:rPr>
          <w:rFonts w:cstheme="minorHAnsi"/>
          <w:spacing w:val="-2"/>
          <w:szCs w:val="24"/>
        </w:rPr>
        <w:t xml:space="preserve"> </w:t>
      </w:r>
      <w:r w:rsidRPr="00426B80">
        <w:rPr>
          <w:rFonts w:cstheme="minorHAnsi"/>
          <w:szCs w:val="24"/>
        </w:rPr>
        <w:t xml:space="preserve">with Resolution </w:t>
      </w:r>
      <w:r w:rsidRPr="00426B80">
        <w:rPr>
          <w:rFonts w:cstheme="minorHAnsi"/>
          <w:b/>
          <w:bCs/>
          <w:szCs w:val="24"/>
        </w:rPr>
        <w:t>773</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appropriate regulatory actions for the provision of inter-satellite links in specific frequency bands, or portions thereof, by adding an inter-satellite service allocation where appropriate;</w:t>
      </w:r>
    </w:p>
    <w:p w14:paraId="70389D5B" w14:textId="77777777" w:rsidR="008B581C" w:rsidRPr="00426B80" w:rsidRDefault="008B581C" w:rsidP="008B581C">
      <w:pPr>
        <w:rPr>
          <w:rFonts w:cstheme="minorHAnsi"/>
          <w:szCs w:val="24"/>
        </w:rPr>
      </w:pPr>
      <w:r w:rsidRPr="00426B80">
        <w:rPr>
          <w:rFonts w:cstheme="minorHAnsi"/>
          <w:szCs w:val="24"/>
        </w:rPr>
        <w:t>1.18</w:t>
      </w:r>
      <w:r w:rsidRPr="00426B80">
        <w:rPr>
          <w:rFonts w:cstheme="minorHAnsi"/>
          <w:szCs w:val="24"/>
        </w:rPr>
        <w:tab/>
        <w:t xml:space="preserve">to consider studies relating to spectrum needs and potential new allocations to the mobile-satellite service for future development of narrowband mobile-satellite systems, in accordance with Resolution </w:t>
      </w:r>
      <w:r w:rsidRPr="00426B80">
        <w:rPr>
          <w:rFonts w:cstheme="minorHAnsi"/>
          <w:b/>
          <w:bCs/>
          <w:szCs w:val="24"/>
        </w:rPr>
        <w:t>248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r w:rsidRPr="00426B80">
        <w:rPr>
          <w:rFonts w:cstheme="minorHAnsi"/>
          <w:szCs w:val="24"/>
        </w:rPr>
        <w:t>;</w:t>
      </w:r>
    </w:p>
    <w:p w14:paraId="46F9987B" w14:textId="77777777" w:rsidR="008B581C" w:rsidRPr="00426B80" w:rsidRDefault="008B581C" w:rsidP="008B581C">
      <w:pPr>
        <w:rPr>
          <w:rFonts w:cstheme="minorHAnsi"/>
          <w:szCs w:val="24"/>
        </w:rPr>
      </w:pPr>
      <w:r w:rsidRPr="00426B80">
        <w:rPr>
          <w:rFonts w:cstheme="minorHAnsi"/>
          <w:szCs w:val="24"/>
        </w:rPr>
        <w:lastRenderedPageBreak/>
        <w:t>1.19</w:t>
      </w:r>
      <w:r w:rsidRPr="00426B80">
        <w:rPr>
          <w:rFonts w:cstheme="minorHAnsi"/>
          <w:b/>
          <w:szCs w:val="24"/>
        </w:rPr>
        <w:tab/>
      </w:r>
      <w:r w:rsidRPr="00426B80">
        <w:rPr>
          <w:rFonts w:cstheme="minorHAnsi"/>
          <w:szCs w:val="24"/>
        </w:rPr>
        <w:t xml:space="preserve">to consider a new primary allocation to the fixed-satellite service in the space-to-Earth direction in the frequency band 17.3-17.7 GHz in Region 2, while protecting existing primary services in the band, in accordance with Resolution </w:t>
      </w:r>
      <w:r w:rsidRPr="00426B80">
        <w:rPr>
          <w:rFonts w:cstheme="minorHAnsi"/>
          <w:b/>
          <w:bCs/>
          <w:szCs w:val="24"/>
        </w:rPr>
        <w:t>174</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bCs/>
          <w:szCs w:val="24"/>
        </w:rPr>
        <w:t>;</w:t>
      </w:r>
    </w:p>
    <w:p w14:paraId="705B7A3A" w14:textId="77777777" w:rsidR="008B581C" w:rsidRPr="00426B80" w:rsidRDefault="008B581C" w:rsidP="008B581C">
      <w:pPr>
        <w:rPr>
          <w:rFonts w:cstheme="minorHAnsi"/>
          <w:szCs w:val="24"/>
        </w:rPr>
      </w:pPr>
      <w:r w:rsidRPr="00426B80">
        <w:rPr>
          <w:rFonts w:cstheme="minorHAnsi"/>
          <w:szCs w:val="24"/>
        </w:rPr>
        <w:t>2</w:t>
      </w:r>
      <w:r w:rsidRPr="00426B80">
        <w:rPr>
          <w:rFonts w:cstheme="minorHAnsi"/>
          <w:szCs w:val="24"/>
        </w:rPr>
        <w:tab/>
        <w:t>to examine the revised ITU</w:t>
      </w:r>
      <w:r w:rsidRPr="00426B80">
        <w:rPr>
          <w:rFonts w:cstheme="minorHAnsi"/>
          <w:szCs w:val="24"/>
        </w:rPr>
        <w:noBreakHyphen/>
        <w:t xml:space="preserve">R Recommendations incorporated by reference in the Radio Regulations communicated by the Radiocommunication Assembly, in accordance with </w:t>
      </w:r>
      <w:r w:rsidRPr="00426B80">
        <w:rPr>
          <w:rFonts w:cstheme="minorHAnsi"/>
          <w:i/>
          <w:iCs/>
          <w:szCs w:val="24"/>
        </w:rPr>
        <w:t>further</w:t>
      </w:r>
      <w:r w:rsidRPr="00426B80">
        <w:rPr>
          <w:rFonts w:cstheme="minorHAnsi"/>
          <w:szCs w:val="24"/>
        </w:rPr>
        <w:t xml:space="preserve"> </w:t>
      </w:r>
      <w:r w:rsidRPr="00426B80">
        <w:rPr>
          <w:rFonts w:cstheme="minorHAnsi"/>
          <w:i/>
          <w:iCs/>
          <w:szCs w:val="24"/>
        </w:rPr>
        <w:t xml:space="preserve">resolves </w:t>
      </w:r>
      <w:r w:rsidRPr="00426B80">
        <w:rPr>
          <w:rFonts w:cstheme="minorHAnsi"/>
          <w:szCs w:val="24"/>
        </w:rPr>
        <w:t>of Resolution </w:t>
      </w:r>
      <w:r w:rsidRPr="00426B80">
        <w:rPr>
          <w:rFonts w:cstheme="minorHAnsi"/>
          <w:b/>
          <w:bCs/>
          <w:szCs w:val="24"/>
        </w:rPr>
        <w:t>27</w:t>
      </w:r>
      <w:r w:rsidRPr="00426B80">
        <w:rPr>
          <w:rFonts w:cstheme="minorHAnsi"/>
          <w:b/>
          <w:szCs w:val="24"/>
        </w:rPr>
        <w:t xml:space="preserve"> (Rev.WRC</w:t>
      </w:r>
      <w:r w:rsidRPr="00426B80">
        <w:rPr>
          <w:rFonts w:cstheme="minorHAnsi"/>
          <w:b/>
          <w:szCs w:val="24"/>
        </w:rPr>
        <w:noBreakHyphen/>
        <w:t>19)</w:t>
      </w:r>
      <w:r w:rsidRPr="00426B80">
        <w:rPr>
          <w:rFonts w:cstheme="minorHAnsi"/>
          <w:szCs w:val="24"/>
        </w:rPr>
        <w:t xml:space="preserve">, and to decide whether or not to update the corresponding references in the Radio Regulations, in accordance with the principles contained in </w:t>
      </w:r>
      <w:r w:rsidRPr="00426B80">
        <w:rPr>
          <w:rFonts w:cstheme="minorHAnsi"/>
          <w:i/>
          <w:iCs/>
          <w:szCs w:val="24"/>
        </w:rPr>
        <w:t>resolves</w:t>
      </w:r>
      <w:r w:rsidRPr="00426B80">
        <w:rPr>
          <w:rFonts w:cstheme="minorHAnsi"/>
          <w:szCs w:val="24"/>
        </w:rPr>
        <w:t xml:space="preserve"> of that Resolution;</w:t>
      </w:r>
    </w:p>
    <w:p w14:paraId="006CF138" w14:textId="77777777" w:rsidR="008B581C" w:rsidRPr="00426B80" w:rsidRDefault="008B581C" w:rsidP="008B581C">
      <w:pPr>
        <w:rPr>
          <w:rFonts w:cstheme="minorHAnsi"/>
          <w:szCs w:val="24"/>
        </w:rPr>
      </w:pPr>
      <w:r w:rsidRPr="00426B80">
        <w:rPr>
          <w:rFonts w:cstheme="minorHAnsi"/>
          <w:szCs w:val="24"/>
        </w:rPr>
        <w:t>3</w:t>
      </w:r>
      <w:r w:rsidRPr="00426B80">
        <w:rPr>
          <w:rFonts w:cstheme="minorHAnsi"/>
          <w:szCs w:val="24"/>
        </w:rPr>
        <w:tab/>
        <w:t>to consider such consequential changes and amendments to the Radio Regulations as may be necessitated by the decisions of the conference;</w:t>
      </w:r>
    </w:p>
    <w:p w14:paraId="6E6EA56B" w14:textId="77777777" w:rsidR="008B581C" w:rsidRPr="00426B80" w:rsidRDefault="008B581C" w:rsidP="008B581C">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to review the Resolutions and Recommendations of previous conferences with a view to their possible revision, replacement or abrogation;</w:t>
      </w:r>
    </w:p>
    <w:p w14:paraId="25CCDCEE" w14:textId="77777777" w:rsidR="008B581C" w:rsidRPr="00426B80" w:rsidRDefault="008B581C" w:rsidP="008B581C">
      <w:pPr>
        <w:rPr>
          <w:rFonts w:cstheme="minorHAnsi"/>
          <w:szCs w:val="24"/>
        </w:rPr>
      </w:pPr>
      <w:r w:rsidRPr="00426B80">
        <w:rPr>
          <w:rFonts w:cstheme="minorHAnsi"/>
          <w:szCs w:val="24"/>
        </w:rPr>
        <w:t>5</w:t>
      </w:r>
      <w:r w:rsidRPr="00426B80">
        <w:rPr>
          <w:rFonts w:cstheme="minorHAnsi"/>
          <w:szCs w:val="24"/>
        </w:rPr>
        <w:tab/>
        <w:t>to review, and take appropriate action on, the Report from the Radiocommunication Assembly submitted in accordance with Nos. 135 and 136 of the Convention;</w:t>
      </w:r>
    </w:p>
    <w:p w14:paraId="3F445A6C" w14:textId="77777777" w:rsidR="008B581C" w:rsidRPr="00426B80" w:rsidRDefault="008B581C" w:rsidP="008B581C">
      <w:pPr>
        <w:rPr>
          <w:rFonts w:cstheme="minorHAnsi"/>
          <w:szCs w:val="24"/>
        </w:rPr>
      </w:pPr>
      <w:r w:rsidRPr="00426B80">
        <w:rPr>
          <w:rFonts w:cstheme="minorHAnsi"/>
          <w:szCs w:val="24"/>
        </w:rPr>
        <w:t>6</w:t>
      </w:r>
      <w:r w:rsidRPr="00426B80">
        <w:rPr>
          <w:rFonts w:cstheme="minorHAnsi"/>
          <w:szCs w:val="24"/>
        </w:rPr>
        <w:tab/>
        <w:t>to identify those items requiring urgent action by the radiocommunication study groups in preparation for the next world radiocommunication conference;</w:t>
      </w:r>
    </w:p>
    <w:p w14:paraId="3C4DB168" w14:textId="77777777" w:rsidR="008B581C" w:rsidRPr="00426B80" w:rsidRDefault="008B581C" w:rsidP="008B581C">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in order to facilitate the rational, efficient and economical use of radio frequencies and any associated orbits, including the geostationary-satellite orbit;</w:t>
      </w:r>
    </w:p>
    <w:p w14:paraId="0B9BCA43" w14:textId="77777777" w:rsidR="008B581C" w:rsidRPr="00426B80" w:rsidRDefault="008B581C" w:rsidP="008B581C">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r w:rsidRPr="00426B80">
        <w:rPr>
          <w:rFonts w:cstheme="minorHAnsi"/>
          <w:bCs/>
          <w:szCs w:val="24"/>
        </w:rPr>
        <w:t>;</w:t>
      </w:r>
    </w:p>
    <w:p w14:paraId="72AB19E5" w14:textId="77777777" w:rsidR="008B581C" w:rsidRPr="00426B80" w:rsidRDefault="008B581C" w:rsidP="008B581C">
      <w:pPr>
        <w:rPr>
          <w:rFonts w:cstheme="minorHAnsi"/>
          <w:szCs w:val="24"/>
        </w:rPr>
      </w:pPr>
      <w:r w:rsidRPr="00426B80">
        <w:rPr>
          <w:rFonts w:cstheme="minorHAnsi"/>
          <w:szCs w:val="24"/>
        </w:rPr>
        <w:t>9</w:t>
      </w:r>
      <w:r w:rsidRPr="00426B80">
        <w:rPr>
          <w:rFonts w:cstheme="minorHAnsi"/>
          <w:szCs w:val="24"/>
        </w:rPr>
        <w:tab/>
        <w:t>to consider and approve the Report of the Director of the Radiocommunication Bureau, in accordance with Article 7 of the Convention</w:t>
      </w:r>
      <w:r w:rsidRPr="00426B80">
        <w:rPr>
          <w:rFonts w:cstheme="minorHAnsi"/>
          <w:bCs/>
          <w:szCs w:val="24"/>
        </w:rPr>
        <w:t>;</w:t>
      </w:r>
    </w:p>
    <w:p w14:paraId="290D50D1" w14:textId="77777777" w:rsidR="008B581C" w:rsidRPr="00426B80" w:rsidRDefault="008B581C" w:rsidP="008B581C">
      <w:pPr>
        <w:keepNext/>
        <w:rPr>
          <w:rFonts w:cstheme="minorHAnsi"/>
          <w:szCs w:val="24"/>
        </w:rPr>
      </w:pPr>
      <w:r w:rsidRPr="00426B80">
        <w:rPr>
          <w:rFonts w:cstheme="minorHAnsi"/>
          <w:szCs w:val="24"/>
        </w:rPr>
        <w:t>9.1</w:t>
      </w:r>
      <w:r w:rsidRPr="00426B80">
        <w:rPr>
          <w:rFonts w:cstheme="minorHAnsi"/>
          <w:szCs w:val="24"/>
        </w:rPr>
        <w:tab/>
        <w:t>on the activities of the Radiocommunication Sector since WRC</w:t>
      </w:r>
      <w:r w:rsidRPr="00426B80">
        <w:rPr>
          <w:rFonts w:cstheme="minorHAnsi"/>
          <w:szCs w:val="24"/>
        </w:rPr>
        <w:noBreakHyphen/>
        <w:t>19:</w:t>
      </w:r>
    </w:p>
    <w:p w14:paraId="7EE227AE" w14:textId="77777777" w:rsidR="008B581C" w:rsidRPr="00426B80" w:rsidRDefault="008B581C" w:rsidP="008B581C">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45194289" w14:textId="77777777" w:rsidR="008B581C" w:rsidRPr="00426B80" w:rsidRDefault="008B581C" w:rsidP="008B581C">
      <w:pPr>
        <w:pStyle w:val="enumlev1"/>
        <w:rPr>
          <w:rFonts w:cstheme="minorHAnsi"/>
          <w:bCs/>
          <w:szCs w:val="24"/>
          <w:lang w:eastAsia="nl-NL"/>
        </w:rPr>
      </w:pPr>
      <w:r w:rsidRPr="00426B80">
        <w:rPr>
          <w:rFonts w:cstheme="minorHAnsi"/>
          <w:szCs w:val="24"/>
        </w:rPr>
        <w:t>–</w:t>
      </w:r>
      <w:r w:rsidRPr="00426B80">
        <w:rPr>
          <w:rFonts w:cstheme="minorHAnsi"/>
          <w:szCs w:val="24"/>
        </w:rPr>
        <w:tab/>
        <w:t>Review of the amateur service and the amateur-satellite service allocations in the frequency band 1 240</w:t>
      </w:r>
      <w:r w:rsidRPr="00426B80">
        <w:rPr>
          <w:rFonts w:cstheme="minorHAnsi"/>
          <w:szCs w:val="24"/>
        </w:rPr>
        <w:noBreakHyphen/>
        <w:t xml:space="preserve">1 300 MHz to determine if additional measures are required to ensure protection of the radionavigation-satellite (space-to-Earth) service operating in the same band </w:t>
      </w:r>
      <w:r w:rsidRPr="00426B80">
        <w:rPr>
          <w:rFonts w:cstheme="minorHAnsi"/>
          <w:szCs w:val="24"/>
          <w:lang w:eastAsia="nl-NL"/>
        </w:rPr>
        <w:t xml:space="preserve">in accordance with Resolution </w:t>
      </w:r>
      <w:r w:rsidRPr="00426B80">
        <w:rPr>
          <w:rFonts w:cstheme="minorHAnsi"/>
          <w:b/>
          <w:bCs/>
          <w:szCs w:val="24"/>
          <w:lang w:eastAsia="nl-NL"/>
        </w:rPr>
        <w:t xml:space="preserve">774 </w:t>
      </w:r>
      <w:r w:rsidRPr="00426B80">
        <w:rPr>
          <w:rFonts w:cstheme="minorHAnsi"/>
          <w:b/>
          <w:szCs w:val="24"/>
          <w:lang w:eastAsia="nl-NL"/>
        </w:rPr>
        <w:t>(WRC</w:t>
      </w:r>
      <w:r w:rsidRPr="00426B80">
        <w:rPr>
          <w:rFonts w:cstheme="minorHAnsi"/>
          <w:b/>
          <w:szCs w:val="24"/>
          <w:lang w:eastAsia="nl-NL"/>
        </w:rPr>
        <w:noBreakHyphen/>
        <w:t>19)</w:t>
      </w:r>
      <w:r w:rsidRPr="00426B80">
        <w:rPr>
          <w:rFonts w:cstheme="minorHAnsi"/>
          <w:bCs/>
          <w:szCs w:val="24"/>
          <w:lang w:eastAsia="nl-NL"/>
        </w:rPr>
        <w:t>;</w:t>
      </w:r>
    </w:p>
    <w:p w14:paraId="751A5337" w14:textId="77777777" w:rsidR="008B581C" w:rsidRPr="00426B80" w:rsidRDefault="008B581C" w:rsidP="008B581C">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t>S</w:t>
      </w:r>
      <w:r w:rsidRPr="00426B80">
        <w:rPr>
          <w:rFonts w:cstheme="minorHAnsi"/>
          <w:szCs w:val="24"/>
        </w:rPr>
        <w:t xml:space="preserve">tudy the use of International Mobile Telecommunication system for fixed wireless broadband in the frequency bands allocated to the fixed services on primary basis, in accordance with Resolution </w:t>
      </w:r>
      <w:r w:rsidRPr="00426B80">
        <w:rPr>
          <w:rFonts w:cstheme="minorHAnsi"/>
          <w:b/>
          <w:bCs/>
          <w:szCs w:val="24"/>
        </w:rPr>
        <w:t>175</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r w:rsidRPr="00426B80">
        <w:rPr>
          <w:rFonts w:cstheme="minorHAnsi"/>
          <w:szCs w:val="24"/>
        </w:rPr>
        <w:t>;</w:t>
      </w:r>
    </w:p>
    <w:p w14:paraId="0DF74FD5" w14:textId="77777777" w:rsidR="008B581C" w:rsidRPr="00426B80" w:rsidRDefault="008B581C" w:rsidP="008B581C">
      <w:pPr>
        <w:rPr>
          <w:rFonts w:cstheme="minorHAnsi"/>
          <w:szCs w:val="24"/>
        </w:rPr>
      </w:pPr>
      <w:r w:rsidRPr="00426B80">
        <w:rPr>
          <w:rFonts w:cstheme="minorHAnsi"/>
          <w:szCs w:val="24"/>
        </w:rPr>
        <w:t>9.2</w:t>
      </w:r>
      <w:r w:rsidRPr="00426B80">
        <w:rPr>
          <w:rFonts w:cstheme="minorHAnsi"/>
          <w:szCs w:val="24"/>
        </w:rPr>
        <w:tab/>
        <w:t>on any difficulties or inconsistencies encountered in the application of the Radio Regulations; and</w:t>
      </w:r>
      <w:r w:rsidRPr="00426B80">
        <w:rPr>
          <w:rStyle w:val="FootnoteReference"/>
          <w:rFonts w:asciiTheme="minorHAnsi" w:hAnsiTheme="minorHAnsi" w:cstheme="minorHAnsi"/>
        </w:rPr>
        <w:footnoteReference w:customMarkFollows="1" w:id="1"/>
        <w:t>1</w:t>
      </w:r>
    </w:p>
    <w:p w14:paraId="63BE52C0" w14:textId="77777777" w:rsidR="008B581C" w:rsidRPr="00426B80" w:rsidRDefault="008B581C" w:rsidP="008B581C">
      <w:pPr>
        <w:rPr>
          <w:rFonts w:cstheme="minorHAnsi"/>
          <w:szCs w:val="24"/>
        </w:rPr>
      </w:pPr>
      <w:r w:rsidRPr="00426B80">
        <w:rPr>
          <w:rFonts w:cstheme="minorHAnsi"/>
          <w:szCs w:val="24"/>
        </w:rPr>
        <w:lastRenderedPageBreak/>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r w:rsidRPr="00426B80">
        <w:rPr>
          <w:rFonts w:cstheme="minorHAnsi"/>
          <w:b/>
          <w:bCs/>
          <w:szCs w:val="24"/>
        </w:rPr>
        <w:t>)</w:t>
      </w:r>
      <w:r w:rsidRPr="00426B80">
        <w:rPr>
          <w:rFonts w:cstheme="minorHAnsi"/>
          <w:szCs w:val="24"/>
        </w:rPr>
        <w:t>;</w:t>
      </w:r>
    </w:p>
    <w:p w14:paraId="17798EAE" w14:textId="77777777" w:rsidR="008B581C" w:rsidRPr="00426B80" w:rsidRDefault="008B581C" w:rsidP="008B581C">
      <w:pPr>
        <w:rPr>
          <w:rFonts w:cstheme="minorHAnsi"/>
          <w:szCs w:val="24"/>
        </w:rPr>
      </w:pPr>
      <w:r w:rsidRPr="00426B80">
        <w:rPr>
          <w:rFonts w:cstheme="minorHAnsi"/>
          <w:szCs w:val="24"/>
        </w:rPr>
        <w:t>10</w:t>
      </w:r>
      <w:r w:rsidRPr="00426B80">
        <w:rPr>
          <w:rFonts w:cstheme="minorHAnsi"/>
          <w:b/>
          <w:bCs/>
          <w:szCs w:val="24"/>
        </w:rPr>
        <w:tab/>
      </w:r>
      <w:r w:rsidRPr="00426B80">
        <w:rPr>
          <w:rFonts w:cstheme="minorHAnsi"/>
          <w:szCs w:val="24"/>
        </w:rPr>
        <w:t xml:space="preserve">to recommend to the Council items for inclusion in the agenda for the next WRC, </w:t>
      </w:r>
      <w:r w:rsidRPr="00426B80">
        <w:rPr>
          <w:rFonts w:cstheme="minorHAnsi"/>
          <w:iCs/>
          <w:szCs w:val="24"/>
        </w:rPr>
        <w:t xml:space="preserve">and items for the preliminary agenda of future conferences, </w:t>
      </w:r>
      <w:r w:rsidRPr="00426B80">
        <w:rPr>
          <w:rFonts w:cstheme="minorHAnsi"/>
          <w:szCs w:val="24"/>
        </w:rPr>
        <w:t xml:space="preserve">in accordance with Article 7 of the Convention </w:t>
      </w:r>
      <w:r w:rsidRPr="00426B80">
        <w:rPr>
          <w:rFonts w:cstheme="minorHAnsi"/>
          <w:iCs/>
          <w:szCs w:val="24"/>
        </w:rPr>
        <w:t xml:space="preserve">and Resolution </w:t>
      </w:r>
      <w:r w:rsidRPr="00426B80">
        <w:rPr>
          <w:rFonts w:cstheme="minorHAnsi"/>
          <w:b/>
          <w:bCs/>
          <w:iCs/>
          <w:szCs w:val="24"/>
        </w:rPr>
        <w:t>804 (Rev.WRC</w:t>
      </w:r>
      <w:r w:rsidRPr="00426B80">
        <w:rPr>
          <w:rFonts w:cstheme="minorHAnsi"/>
          <w:b/>
          <w:bCs/>
          <w:iCs/>
          <w:szCs w:val="24"/>
        </w:rPr>
        <w:noBreakHyphen/>
        <w:t>19)</w:t>
      </w:r>
      <w:r>
        <w:rPr>
          <w:rFonts w:cstheme="minorHAnsi"/>
          <w:iCs/>
          <w:szCs w:val="24"/>
        </w:rPr>
        <w:t>.</w:t>
      </w:r>
    </w:p>
    <w:p w14:paraId="75CB018A" w14:textId="60F229B5" w:rsidR="00A03504" w:rsidRPr="00AE639D" w:rsidRDefault="008B581C" w:rsidP="00AE639D">
      <w:pPr>
        <w:jc w:val="center"/>
        <w:rPr>
          <w:rFonts w:asciiTheme="minorHAnsi" w:hAnsiTheme="minorHAnsi" w:cstheme="minorHAnsi"/>
          <w:b/>
          <w:bCs/>
        </w:rPr>
      </w:pPr>
      <w:r w:rsidRPr="00D10E3E">
        <w:t>_______________</w:t>
      </w:r>
    </w:p>
    <w:sectPr w:rsidR="00A03504" w:rsidRPr="00AE639D" w:rsidSect="00204C2B">
      <w:headerReference w:type="even" r:id="rId29"/>
      <w:headerReference w:type="default" r:id="rId30"/>
      <w:headerReference w:type="first" r:id="rId31"/>
      <w:footerReference w:type="first" r:id="rId32"/>
      <w:footnotePr>
        <w:numFmt w:val="chicago"/>
      </w:footnotePr>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D987D" w14:textId="77777777" w:rsidR="00CE0C9A" w:rsidRDefault="00CE0C9A">
      <w:r>
        <w:separator/>
      </w:r>
    </w:p>
  </w:endnote>
  <w:endnote w:type="continuationSeparator" w:id="0">
    <w:p w14:paraId="0A685A1C" w14:textId="77777777" w:rsidR="00CE0C9A" w:rsidRDefault="00CE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441B" w14:textId="77777777" w:rsidR="0072624D" w:rsidRPr="00FB65BC" w:rsidRDefault="0072624D" w:rsidP="00895CEB">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EB73" w14:textId="77777777" w:rsidR="0072624D" w:rsidRPr="0063727D" w:rsidRDefault="0072624D" w:rsidP="0063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D0659" w14:textId="77777777" w:rsidR="00CE0C9A" w:rsidRDefault="00CE0C9A">
      <w:r>
        <w:t>____________________</w:t>
      </w:r>
    </w:p>
  </w:footnote>
  <w:footnote w:type="continuationSeparator" w:id="0">
    <w:p w14:paraId="201B8A6E" w14:textId="77777777" w:rsidR="00CE0C9A" w:rsidRDefault="00CE0C9A">
      <w:r>
        <w:continuationSeparator/>
      </w:r>
    </w:p>
  </w:footnote>
  <w:footnote w:id="1">
    <w:p w14:paraId="5BECAF4F" w14:textId="77777777" w:rsidR="008B581C" w:rsidRPr="001B52ED" w:rsidRDefault="008B581C" w:rsidP="008B581C">
      <w:pPr>
        <w:pStyle w:val="FootnoteText"/>
        <w:rPr>
          <w:rFonts w:ascii="Times New Roman" w:hAnsi="Times New Roman" w:cs="Times New Roman"/>
          <w:szCs w:val="18"/>
        </w:rPr>
      </w:pPr>
      <w:r w:rsidRPr="007237BE">
        <w:rPr>
          <w:rStyle w:val="FootnoteReference"/>
          <w:szCs w:val="20"/>
        </w:rPr>
        <w:t>1</w:t>
      </w:r>
      <w:r w:rsidRPr="007237BE">
        <w:rPr>
          <w:rFonts w:ascii="Times New Roman" w:hAnsi="Times New Roman" w:cs="Times New Roman"/>
          <w:szCs w:val="20"/>
        </w:rPr>
        <w:t xml:space="preserve"> </w:t>
      </w:r>
      <w:r w:rsidRPr="007237BE">
        <w:rPr>
          <w:rFonts w:ascii="Times New Roman" w:hAnsi="Times New Roman" w:cs="Times New Roman"/>
          <w:szCs w:val="20"/>
        </w:rPr>
        <w:tab/>
      </w:r>
      <w:r w:rsidRPr="001B52ED">
        <w:rPr>
          <w:rFonts w:cstheme="minorHAnsi"/>
          <w:szCs w:val="18"/>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EC2C" w14:textId="434303A9" w:rsidR="0072624D" w:rsidRPr="00155CA8" w:rsidRDefault="0072624D"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F777A" w14:textId="1BF34CA2" w:rsidR="0072624D" w:rsidRPr="00AF3325" w:rsidRDefault="0072624D"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2624D" w14:paraId="5695B5E1" w14:textId="77777777" w:rsidTr="00895CEB">
      <w:tc>
        <w:tcPr>
          <w:tcW w:w="9923" w:type="dxa"/>
        </w:tcPr>
        <w:p w14:paraId="21FF34B5" w14:textId="264D6A77" w:rsidR="0072624D" w:rsidRDefault="0072624D" w:rsidP="00895CEB">
          <w:pPr>
            <w:pStyle w:val="Header"/>
            <w:tabs>
              <w:tab w:val="clear" w:pos="794"/>
              <w:tab w:val="clear" w:pos="4820"/>
            </w:tabs>
            <w:spacing w:before="120" w:line="360" w:lineRule="auto"/>
            <w:jc w:val="center"/>
          </w:pPr>
          <w:r>
            <w:rPr>
              <w:noProof/>
              <w:lang w:val="en-GB" w:eastAsia="zh-CN"/>
            </w:rPr>
            <w:drawing>
              <wp:inline distT="0" distB="0" distL="0" distR="0" wp14:anchorId="2990911B" wp14:editId="2A1B8BE8">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1C75D5A7" w14:textId="6F922EFF" w:rsidR="00126EA3" w:rsidRDefault="00126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E8201" w14:textId="41949CD6" w:rsidR="0072624D" w:rsidRPr="00155CA8" w:rsidRDefault="0072624D"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B34B" w14:textId="77777777" w:rsidR="00514821" w:rsidRPr="00155CA8" w:rsidRDefault="00514821"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4F49" w14:textId="49FEF489" w:rsidR="0072624D" w:rsidRDefault="0072624D" w:rsidP="0063727D">
    <w:pPr>
      <w:pStyle w:val="Header"/>
      <w:jc w:val="center"/>
    </w:pPr>
    <w:r>
      <w:t xml:space="preserve">- </w:t>
    </w:r>
    <w:r>
      <w:fldChar w:fldCharType="begin"/>
    </w:r>
    <w:r>
      <w:instrText>PAGE</w:instrText>
    </w:r>
    <w:r>
      <w:fldChar w:fldCharType="separate"/>
    </w:r>
    <w:r>
      <w:t>1</w:t>
    </w:r>
    <w:r>
      <w:rPr>
        <w:noProof/>
      </w:rPr>
      <w:fldChar w:fldCharType="end"/>
    </w:r>
    <w:r>
      <w:rPr>
        <w:noProo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F900" w14:textId="77777777" w:rsidR="00514821" w:rsidRPr="00155CA8" w:rsidRDefault="00514821" w:rsidP="00514821">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6</w:t>
    </w:r>
    <w:r w:rsidRPr="00155CA8">
      <w:rPr>
        <w:rStyle w:val="PageNumber"/>
        <w:sz w:val="20"/>
        <w:szCs w:val="20"/>
      </w:rPr>
      <w:fldChar w:fldCharType="end"/>
    </w:r>
    <w:r w:rsidRPr="00155CA8">
      <w:rPr>
        <w:rStyle w:val="PageNumber"/>
        <w:sz w:val="20"/>
        <w:szCs w:val="20"/>
      </w:rPr>
      <w:t xml:space="preserve"> –</w:t>
    </w:r>
  </w:p>
  <w:p w14:paraId="597FF996" w14:textId="77777777" w:rsidR="008B581C" w:rsidRPr="00514821" w:rsidRDefault="008B581C" w:rsidP="0051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20"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1"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5"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7"/>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47"/>
  </w:num>
  <w:num w:numId="17">
    <w:abstractNumId w:val="29"/>
  </w:num>
  <w:num w:numId="18">
    <w:abstractNumId w:val="15"/>
  </w:num>
  <w:num w:numId="19">
    <w:abstractNumId w:val="23"/>
  </w:num>
  <w:num w:numId="20">
    <w:abstractNumId w:val="20"/>
  </w:num>
  <w:num w:numId="21">
    <w:abstractNumId w:val="43"/>
  </w:num>
  <w:num w:numId="22">
    <w:abstractNumId w:val="33"/>
  </w:num>
  <w:num w:numId="23">
    <w:abstractNumId w:val="39"/>
  </w:num>
  <w:num w:numId="24">
    <w:abstractNumId w:val="46"/>
  </w:num>
  <w:num w:numId="25">
    <w:abstractNumId w:val="31"/>
  </w:num>
  <w:num w:numId="26">
    <w:abstractNumId w:val="22"/>
  </w:num>
  <w:num w:numId="27">
    <w:abstractNumId w:val="45"/>
  </w:num>
  <w:num w:numId="28">
    <w:abstractNumId w:val="26"/>
  </w:num>
  <w:num w:numId="29">
    <w:abstractNumId w:val="40"/>
  </w:num>
  <w:num w:numId="30">
    <w:abstractNumId w:val="32"/>
  </w:num>
  <w:num w:numId="31">
    <w:abstractNumId w:val="21"/>
  </w:num>
  <w:num w:numId="32">
    <w:abstractNumId w:val="37"/>
  </w:num>
  <w:num w:numId="33">
    <w:abstractNumId w:val="41"/>
  </w:num>
  <w:num w:numId="34">
    <w:abstractNumId w:val="16"/>
  </w:num>
  <w:num w:numId="35">
    <w:abstractNumId w:val="44"/>
  </w:num>
  <w:num w:numId="36">
    <w:abstractNumId w:val="25"/>
  </w:num>
  <w:num w:numId="37">
    <w:abstractNumId w:val="34"/>
  </w:num>
  <w:num w:numId="38">
    <w:abstractNumId w:val="19"/>
  </w:num>
  <w:num w:numId="39">
    <w:abstractNumId w:val="38"/>
  </w:num>
  <w:num w:numId="40">
    <w:abstractNumId w:val="30"/>
  </w:num>
  <w:num w:numId="41">
    <w:abstractNumId w:val="18"/>
  </w:num>
  <w:num w:numId="42">
    <w:abstractNumId w:val="14"/>
  </w:num>
  <w:num w:numId="43">
    <w:abstractNumId w:val="4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301E"/>
    <w:rsid w:val="00003B1C"/>
    <w:rsid w:val="00003BB2"/>
    <w:rsid w:val="00006C82"/>
    <w:rsid w:val="00010E30"/>
    <w:rsid w:val="00017CF0"/>
    <w:rsid w:val="00017FB2"/>
    <w:rsid w:val="000254C3"/>
    <w:rsid w:val="00026640"/>
    <w:rsid w:val="0002696A"/>
    <w:rsid w:val="00026CF8"/>
    <w:rsid w:val="00037DC0"/>
    <w:rsid w:val="00041670"/>
    <w:rsid w:val="00044C9E"/>
    <w:rsid w:val="0004590F"/>
    <w:rsid w:val="00051047"/>
    <w:rsid w:val="00054391"/>
    <w:rsid w:val="0005792C"/>
    <w:rsid w:val="000618B1"/>
    <w:rsid w:val="00070258"/>
    <w:rsid w:val="0007323C"/>
    <w:rsid w:val="00076A88"/>
    <w:rsid w:val="00083585"/>
    <w:rsid w:val="00084936"/>
    <w:rsid w:val="00086D03"/>
    <w:rsid w:val="000965DC"/>
    <w:rsid w:val="00097327"/>
    <w:rsid w:val="000A3B39"/>
    <w:rsid w:val="000A45D4"/>
    <w:rsid w:val="000A7051"/>
    <w:rsid w:val="000B0196"/>
    <w:rsid w:val="000B304F"/>
    <w:rsid w:val="000B3BAC"/>
    <w:rsid w:val="000B52E1"/>
    <w:rsid w:val="000B6FA6"/>
    <w:rsid w:val="000B7A66"/>
    <w:rsid w:val="000C03C7"/>
    <w:rsid w:val="000C7608"/>
    <w:rsid w:val="000D6CD4"/>
    <w:rsid w:val="000D7A3B"/>
    <w:rsid w:val="000E0B83"/>
    <w:rsid w:val="000E1545"/>
    <w:rsid w:val="000E2A48"/>
    <w:rsid w:val="000E3DEE"/>
    <w:rsid w:val="000E6901"/>
    <w:rsid w:val="000E74E8"/>
    <w:rsid w:val="000F1F92"/>
    <w:rsid w:val="000F6A8C"/>
    <w:rsid w:val="00100B72"/>
    <w:rsid w:val="0010161F"/>
    <w:rsid w:val="00103433"/>
    <w:rsid w:val="00103C76"/>
    <w:rsid w:val="0010648E"/>
    <w:rsid w:val="00107FC0"/>
    <w:rsid w:val="001105B9"/>
    <w:rsid w:val="0011265F"/>
    <w:rsid w:val="001130CD"/>
    <w:rsid w:val="00113E8A"/>
    <w:rsid w:val="001167ED"/>
    <w:rsid w:val="00120DCB"/>
    <w:rsid w:val="00123973"/>
    <w:rsid w:val="00125E49"/>
    <w:rsid w:val="00126355"/>
    <w:rsid w:val="00126EA3"/>
    <w:rsid w:val="001339B1"/>
    <w:rsid w:val="00134404"/>
    <w:rsid w:val="00136853"/>
    <w:rsid w:val="00141630"/>
    <w:rsid w:val="0014389F"/>
    <w:rsid w:val="00144DFB"/>
    <w:rsid w:val="00152016"/>
    <w:rsid w:val="00154F20"/>
    <w:rsid w:val="00155CA8"/>
    <w:rsid w:val="00156205"/>
    <w:rsid w:val="001567EF"/>
    <w:rsid w:val="001572DF"/>
    <w:rsid w:val="00162375"/>
    <w:rsid w:val="00167A36"/>
    <w:rsid w:val="001702A3"/>
    <w:rsid w:val="001761BA"/>
    <w:rsid w:val="001777BA"/>
    <w:rsid w:val="00183012"/>
    <w:rsid w:val="0018621C"/>
    <w:rsid w:val="0018639E"/>
    <w:rsid w:val="00187CA3"/>
    <w:rsid w:val="00193716"/>
    <w:rsid w:val="00196710"/>
    <w:rsid w:val="00196BDD"/>
    <w:rsid w:val="00197324"/>
    <w:rsid w:val="00197CCB"/>
    <w:rsid w:val="001A1856"/>
    <w:rsid w:val="001A608F"/>
    <w:rsid w:val="001A79CA"/>
    <w:rsid w:val="001B2531"/>
    <w:rsid w:val="001B2E12"/>
    <w:rsid w:val="001B67FC"/>
    <w:rsid w:val="001B729B"/>
    <w:rsid w:val="001C06DB"/>
    <w:rsid w:val="001C1439"/>
    <w:rsid w:val="001C2559"/>
    <w:rsid w:val="001C76C3"/>
    <w:rsid w:val="001C78C7"/>
    <w:rsid w:val="001D0158"/>
    <w:rsid w:val="001D31D3"/>
    <w:rsid w:val="001D7070"/>
    <w:rsid w:val="001E5D86"/>
    <w:rsid w:val="001F5A49"/>
    <w:rsid w:val="00201097"/>
    <w:rsid w:val="002019AD"/>
    <w:rsid w:val="00201B6E"/>
    <w:rsid w:val="00204C2B"/>
    <w:rsid w:val="00212ECA"/>
    <w:rsid w:val="002166D1"/>
    <w:rsid w:val="00217298"/>
    <w:rsid w:val="002302B3"/>
    <w:rsid w:val="0023030E"/>
    <w:rsid w:val="00231835"/>
    <w:rsid w:val="002318E0"/>
    <w:rsid w:val="00235A29"/>
    <w:rsid w:val="00242795"/>
    <w:rsid w:val="002443A2"/>
    <w:rsid w:val="002478D2"/>
    <w:rsid w:val="0025256E"/>
    <w:rsid w:val="00252CD0"/>
    <w:rsid w:val="00265457"/>
    <w:rsid w:val="002753C1"/>
    <w:rsid w:val="00276E99"/>
    <w:rsid w:val="00277AED"/>
    <w:rsid w:val="0028409C"/>
    <w:rsid w:val="002861E6"/>
    <w:rsid w:val="00287D18"/>
    <w:rsid w:val="00292A3B"/>
    <w:rsid w:val="0029572C"/>
    <w:rsid w:val="002A0B8D"/>
    <w:rsid w:val="002B5DEA"/>
    <w:rsid w:val="002B63E1"/>
    <w:rsid w:val="002B71DE"/>
    <w:rsid w:val="002C0AB3"/>
    <w:rsid w:val="002D170B"/>
    <w:rsid w:val="002D3484"/>
    <w:rsid w:val="002D5267"/>
    <w:rsid w:val="002D58A8"/>
    <w:rsid w:val="002D5A15"/>
    <w:rsid w:val="002D5BDD"/>
    <w:rsid w:val="002D627D"/>
    <w:rsid w:val="002E1838"/>
    <w:rsid w:val="002E3E26"/>
    <w:rsid w:val="002E49EF"/>
    <w:rsid w:val="002E55E7"/>
    <w:rsid w:val="002F0108"/>
    <w:rsid w:val="002F0890"/>
    <w:rsid w:val="002F2531"/>
    <w:rsid w:val="002F4967"/>
    <w:rsid w:val="00300F12"/>
    <w:rsid w:val="00305702"/>
    <w:rsid w:val="00314C9A"/>
    <w:rsid w:val="00316935"/>
    <w:rsid w:val="003173E3"/>
    <w:rsid w:val="00320F5B"/>
    <w:rsid w:val="00321CED"/>
    <w:rsid w:val="003223B7"/>
    <w:rsid w:val="00326D76"/>
    <w:rsid w:val="003300BB"/>
    <w:rsid w:val="003370B8"/>
    <w:rsid w:val="003415F4"/>
    <w:rsid w:val="00341CCB"/>
    <w:rsid w:val="003442B0"/>
    <w:rsid w:val="00350F9A"/>
    <w:rsid w:val="00351414"/>
    <w:rsid w:val="00364015"/>
    <w:rsid w:val="003666FF"/>
    <w:rsid w:val="003733A1"/>
    <w:rsid w:val="00377E6C"/>
    <w:rsid w:val="00377FC0"/>
    <w:rsid w:val="00383819"/>
    <w:rsid w:val="00391755"/>
    <w:rsid w:val="003B2BDA"/>
    <w:rsid w:val="003B48BB"/>
    <w:rsid w:val="003B55EC"/>
    <w:rsid w:val="003B620B"/>
    <w:rsid w:val="003B7CBB"/>
    <w:rsid w:val="003C1493"/>
    <w:rsid w:val="003C423C"/>
    <w:rsid w:val="003C4471"/>
    <w:rsid w:val="003D7EAD"/>
    <w:rsid w:val="003E504F"/>
    <w:rsid w:val="003E6C90"/>
    <w:rsid w:val="003E78D6"/>
    <w:rsid w:val="003F26D2"/>
    <w:rsid w:val="003F6B9C"/>
    <w:rsid w:val="00400A02"/>
    <w:rsid w:val="0040153A"/>
    <w:rsid w:val="004103CE"/>
    <w:rsid w:val="004156BB"/>
    <w:rsid w:val="0042318E"/>
    <w:rsid w:val="00424122"/>
    <w:rsid w:val="00426AB5"/>
    <w:rsid w:val="0043031B"/>
    <w:rsid w:val="004326DB"/>
    <w:rsid w:val="00432F35"/>
    <w:rsid w:val="00433884"/>
    <w:rsid w:val="0043682E"/>
    <w:rsid w:val="0044018B"/>
    <w:rsid w:val="00441DCF"/>
    <w:rsid w:val="00447D24"/>
    <w:rsid w:val="00447ECB"/>
    <w:rsid w:val="00452F5E"/>
    <w:rsid w:val="0045301D"/>
    <w:rsid w:val="00454496"/>
    <w:rsid w:val="00455451"/>
    <w:rsid w:val="004623F7"/>
    <w:rsid w:val="00470C8D"/>
    <w:rsid w:val="00471F37"/>
    <w:rsid w:val="004767D5"/>
    <w:rsid w:val="00480F51"/>
    <w:rsid w:val="00481124"/>
    <w:rsid w:val="004815EB"/>
    <w:rsid w:val="004818D4"/>
    <w:rsid w:val="00487569"/>
    <w:rsid w:val="00491F6B"/>
    <w:rsid w:val="0049244B"/>
    <w:rsid w:val="00496864"/>
    <w:rsid w:val="00496920"/>
    <w:rsid w:val="004A2025"/>
    <w:rsid w:val="004A5302"/>
    <w:rsid w:val="004A7C64"/>
    <w:rsid w:val="004B050E"/>
    <w:rsid w:val="004B6F59"/>
    <w:rsid w:val="004B7C9A"/>
    <w:rsid w:val="004C045F"/>
    <w:rsid w:val="004C26D5"/>
    <w:rsid w:val="004C345B"/>
    <w:rsid w:val="004C46AC"/>
    <w:rsid w:val="004C4BC0"/>
    <w:rsid w:val="004C4CC6"/>
    <w:rsid w:val="004C6779"/>
    <w:rsid w:val="004D0F37"/>
    <w:rsid w:val="004E0DC4"/>
    <w:rsid w:val="004E0FB5"/>
    <w:rsid w:val="004E3041"/>
    <w:rsid w:val="004E43BB"/>
    <w:rsid w:val="004E720B"/>
    <w:rsid w:val="004F178E"/>
    <w:rsid w:val="004F2B6D"/>
    <w:rsid w:val="004F71A9"/>
    <w:rsid w:val="00501654"/>
    <w:rsid w:val="00505309"/>
    <w:rsid w:val="00506C78"/>
    <w:rsid w:val="00506E9E"/>
    <w:rsid w:val="0050789B"/>
    <w:rsid w:val="0051215C"/>
    <w:rsid w:val="005139C7"/>
    <w:rsid w:val="00514821"/>
    <w:rsid w:val="005151B6"/>
    <w:rsid w:val="0052207C"/>
    <w:rsid w:val="005239E4"/>
    <w:rsid w:val="005244CA"/>
    <w:rsid w:val="00525340"/>
    <w:rsid w:val="00525672"/>
    <w:rsid w:val="00526D1D"/>
    <w:rsid w:val="005312B5"/>
    <w:rsid w:val="00534372"/>
    <w:rsid w:val="0053670A"/>
    <w:rsid w:val="00541858"/>
    <w:rsid w:val="00543DF8"/>
    <w:rsid w:val="00546101"/>
    <w:rsid w:val="005521A9"/>
    <w:rsid w:val="00552DF8"/>
    <w:rsid w:val="00553DD7"/>
    <w:rsid w:val="00554108"/>
    <w:rsid w:val="005544D1"/>
    <w:rsid w:val="005614C3"/>
    <w:rsid w:val="005638CF"/>
    <w:rsid w:val="005659F4"/>
    <w:rsid w:val="0056741E"/>
    <w:rsid w:val="00567C40"/>
    <w:rsid w:val="0057325A"/>
    <w:rsid w:val="0057469A"/>
    <w:rsid w:val="005804D4"/>
    <w:rsid w:val="00580814"/>
    <w:rsid w:val="005829EF"/>
    <w:rsid w:val="00583C12"/>
    <w:rsid w:val="005862E4"/>
    <w:rsid w:val="00591B5A"/>
    <w:rsid w:val="00592F85"/>
    <w:rsid w:val="00594C0C"/>
    <w:rsid w:val="005A03A3"/>
    <w:rsid w:val="005A3B21"/>
    <w:rsid w:val="005A5E05"/>
    <w:rsid w:val="005A7264"/>
    <w:rsid w:val="005A79E9"/>
    <w:rsid w:val="005A7E16"/>
    <w:rsid w:val="005B214C"/>
    <w:rsid w:val="005B6E52"/>
    <w:rsid w:val="005B73DD"/>
    <w:rsid w:val="005C75FD"/>
    <w:rsid w:val="005C7751"/>
    <w:rsid w:val="005D092C"/>
    <w:rsid w:val="005D119B"/>
    <w:rsid w:val="005D3669"/>
    <w:rsid w:val="006010C2"/>
    <w:rsid w:val="00602D53"/>
    <w:rsid w:val="00605947"/>
    <w:rsid w:val="006075DA"/>
    <w:rsid w:val="0061271D"/>
    <w:rsid w:val="0061330B"/>
    <w:rsid w:val="00614963"/>
    <w:rsid w:val="006177D3"/>
    <w:rsid w:val="00623261"/>
    <w:rsid w:val="00623CFB"/>
    <w:rsid w:val="0062624D"/>
    <w:rsid w:val="00626A9C"/>
    <w:rsid w:val="00627334"/>
    <w:rsid w:val="0063727D"/>
    <w:rsid w:val="0064226E"/>
    <w:rsid w:val="00643E00"/>
    <w:rsid w:val="00643E81"/>
    <w:rsid w:val="0064766B"/>
    <w:rsid w:val="00647755"/>
    <w:rsid w:val="00650B2A"/>
    <w:rsid w:val="00651777"/>
    <w:rsid w:val="00652732"/>
    <w:rsid w:val="00660ACC"/>
    <w:rsid w:val="00660D08"/>
    <w:rsid w:val="00663689"/>
    <w:rsid w:val="00663A88"/>
    <w:rsid w:val="00670529"/>
    <w:rsid w:val="00672566"/>
    <w:rsid w:val="0067395C"/>
    <w:rsid w:val="00677529"/>
    <w:rsid w:val="006812DA"/>
    <w:rsid w:val="00682FBD"/>
    <w:rsid w:val="00686F50"/>
    <w:rsid w:val="00691B31"/>
    <w:rsid w:val="00694C71"/>
    <w:rsid w:val="00695757"/>
    <w:rsid w:val="006A0289"/>
    <w:rsid w:val="006A0E96"/>
    <w:rsid w:val="006A21EE"/>
    <w:rsid w:val="006A247F"/>
    <w:rsid w:val="006A518B"/>
    <w:rsid w:val="006A78A1"/>
    <w:rsid w:val="006B0590"/>
    <w:rsid w:val="006B327F"/>
    <w:rsid w:val="006B49DA"/>
    <w:rsid w:val="006C3796"/>
    <w:rsid w:val="006C7CDE"/>
    <w:rsid w:val="006E36F5"/>
    <w:rsid w:val="006F0FCB"/>
    <w:rsid w:val="006F4873"/>
    <w:rsid w:val="006F4961"/>
    <w:rsid w:val="006F6C87"/>
    <w:rsid w:val="0070152A"/>
    <w:rsid w:val="007078F0"/>
    <w:rsid w:val="00711C98"/>
    <w:rsid w:val="00713A54"/>
    <w:rsid w:val="00715E79"/>
    <w:rsid w:val="007178FB"/>
    <w:rsid w:val="00717F2C"/>
    <w:rsid w:val="00722334"/>
    <w:rsid w:val="007234B1"/>
    <w:rsid w:val="007254CC"/>
    <w:rsid w:val="0072624D"/>
    <w:rsid w:val="00726CC6"/>
    <w:rsid w:val="007276E7"/>
    <w:rsid w:val="00727816"/>
    <w:rsid w:val="00730B9A"/>
    <w:rsid w:val="00735926"/>
    <w:rsid w:val="0074000B"/>
    <w:rsid w:val="00741B8B"/>
    <w:rsid w:val="00742E3B"/>
    <w:rsid w:val="00750CFA"/>
    <w:rsid w:val="00755235"/>
    <w:rsid w:val="007553DA"/>
    <w:rsid w:val="00757675"/>
    <w:rsid w:val="00771C87"/>
    <w:rsid w:val="007730D0"/>
    <w:rsid w:val="00774AB5"/>
    <w:rsid w:val="00774B97"/>
    <w:rsid w:val="00775193"/>
    <w:rsid w:val="0077753F"/>
    <w:rsid w:val="007813BD"/>
    <w:rsid w:val="007838E3"/>
    <w:rsid w:val="007921A7"/>
    <w:rsid w:val="00792797"/>
    <w:rsid w:val="007A2F78"/>
    <w:rsid w:val="007A35B8"/>
    <w:rsid w:val="007A558F"/>
    <w:rsid w:val="007B124D"/>
    <w:rsid w:val="007B3DB1"/>
    <w:rsid w:val="007B5EE6"/>
    <w:rsid w:val="007B6779"/>
    <w:rsid w:val="007C0978"/>
    <w:rsid w:val="007C4F84"/>
    <w:rsid w:val="007D183E"/>
    <w:rsid w:val="007D5E87"/>
    <w:rsid w:val="007D5FB5"/>
    <w:rsid w:val="007D68A3"/>
    <w:rsid w:val="007E1781"/>
    <w:rsid w:val="007E1833"/>
    <w:rsid w:val="007E3D0D"/>
    <w:rsid w:val="007E3F13"/>
    <w:rsid w:val="007E4A80"/>
    <w:rsid w:val="007E64B3"/>
    <w:rsid w:val="007E6FAB"/>
    <w:rsid w:val="007F02DB"/>
    <w:rsid w:val="007F4AC8"/>
    <w:rsid w:val="007F535A"/>
    <w:rsid w:val="007F686B"/>
    <w:rsid w:val="007F751A"/>
    <w:rsid w:val="00800012"/>
    <w:rsid w:val="00801E03"/>
    <w:rsid w:val="00802150"/>
    <w:rsid w:val="008038F9"/>
    <w:rsid w:val="00805CFD"/>
    <w:rsid w:val="008062B1"/>
    <w:rsid w:val="0081035D"/>
    <w:rsid w:val="00814980"/>
    <w:rsid w:val="0081513E"/>
    <w:rsid w:val="00827CDD"/>
    <w:rsid w:val="0083274A"/>
    <w:rsid w:val="00833DF3"/>
    <w:rsid w:val="008408D1"/>
    <w:rsid w:val="008508BE"/>
    <w:rsid w:val="008514E1"/>
    <w:rsid w:val="0085302D"/>
    <w:rsid w:val="00853839"/>
    <w:rsid w:val="00854131"/>
    <w:rsid w:val="0085652D"/>
    <w:rsid w:val="00863401"/>
    <w:rsid w:val="0086344C"/>
    <w:rsid w:val="0087694B"/>
    <w:rsid w:val="0088563D"/>
    <w:rsid w:val="0089491B"/>
    <w:rsid w:val="00895CEB"/>
    <w:rsid w:val="008A1BA1"/>
    <w:rsid w:val="008A661E"/>
    <w:rsid w:val="008B1D97"/>
    <w:rsid w:val="008B581C"/>
    <w:rsid w:val="008B6D64"/>
    <w:rsid w:val="008C2E74"/>
    <w:rsid w:val="008C2F69"/>
    <w:rsid w:val="008D2882"/>
    <w:rsid w:val="008D465C"/>
    <w:rsid w:val="008E2AB3"/>
    <w:rsid w:val="008E542A"/>
    <w:rsid w:val="008E55E0"/>
    <w:rsid w:val="008E7BA1"/>
    <w:rsid w:val="008F0B0A"/>
    <w:rsid w:val="008F2C51"/>
    <w:rsid w:val="008F3B0E"/>
    <w:rsid w:val="008F4F21"/>
    <w:rsid w:val="008F6BC3"/>
    <w:rsid w:val="008F749C"/>
    <w:rsid w:val="00904D4A"/>
    <w:rsid w:val="00906F02"/>
    <w:rsid w:val="00907878"/>
    <w:rsid w:val="009078AE"/>
    <w:rsid w:val="009128DE"/>
    <w:rsid w:val="009151BA"/>
    <w:rsid w:val="00915575"/>
    <w:rsid w:val="00921A33"/>
    <w:rsid w:val="0092249F"/>
    <w:rsid w:val="00925023"/>
    <w:rsid w:val="009277BC"/>
    <w:rsid w:val="00927D57"/>
    <w:rsid w:val="00931A51"/>
    <w:rsid w:val="00932A80"/>
    <w:rsid w:val="00933190"/>
    <w:rsid w:val="0093628D"/>
    <w:rsid w:val="00937AE0"/>
    <w:rsid w:val="00937FCE"/>
    <w:rsid w:val="0094068E"/>
    <w:rsid w:val="00944222"/>
    <w:rsid w:val="00947185"/>
    <w:rsid w:val="00947353"/>
    <w:rsid w:val="00947903"/>
    <w:rsid w:val="0095403A"/>
    <w:rsid w:val="009566F7"/>
    <w:rsid w:val="00957FC3"/>
    <w:rsid w:val="00960FDA"/>
    <w:rsid w:val="0096211F"/>
    <w:rsid w:val="00963CF4"/>
    <w:rsid w:val="00963D9D"/>
    <w:rsid w:val="00964B02"/>
    <w:rsid w:val="009716CC"/>
    <w:rsid w:val="0097220D"/>
    <w:rsid w:val="0098013E"/>
    <w:rsid w:val="00981B54"/>
    <w:rsid w:val="009842C3"/>
    <w:rsid w:val="00991C86"/>
    <w:rsid w:val="00993353"/>
    <w:rsid w:val="009A009A"/>
    <w:rsid w:val="009A0E59"/>
    <w:rsid w:val="009A5B07"/>
    <w:rsid w:val="009A6BB6"/>
    <w:rsid w:val="009B0AEB"/>
    <w:rsid w:val="009B2AD5"/>
    <w:rsid w:val="009B2E8B"/>
    <w:rsid w:val="009B3472"/>
    <w:rsid w:val="009B4F6D"/>
    <w:rsid w:val="009C0D9E"/>
    <w:rsid w:val="009C161F"/>
    <w:rsid w:val="009C4CAA"/>
    <w:rsid w:val="009C56B4"/>
    <w:rsid w:val="009C7AC5"/>
    <w:rsid w:val="009C7F3F"/>
    <w:rsid w:val="009D50E4"/>
    <w:rsid w:val="009D60E4"/>
    <w:rsid w:val="009D69C1"/>
    <w:rsid w:val="009E1556"/>
    <w:rsid w:val="009E3EE8"/>
    <w:rsid w:val="009E4AEC"/>
    <w:rsid w:val="009E5BD8"/>
    <w:rsid w:val="009E681E"/>
    <w:rsid w:val="009E7784"/>
    <w:rsid w:val="009F78E3"/>
    <w:rsid w:val="00A025B0"/>
    <w:rsid w:val="00A030EF"/>
    <w:rsid w:val="00A03504"/>
    <w:rsid w:val="00A03942"/>
    <w:rsid w:val="00A051CB"/>
    <w:rsid w:val="00A07778"/>
    <w:rsid w:val="00A12D36"/>
    <w:rsid w:val="00A1361D"/>
    <w:rsid w:val="00A13C6F"/>
    <w:rsid w:val="00A211F1"/>
    <w:rsid w:val="00A231E5"/>
    <w:rsid w:val="00A23730"/>
    <w:rsid w:val="00A24C20"/>
    <w:rsid w:val="00A2547E"/>
    <w:rsid w:val="00A32C52"/>
    <w:rsid w:val="00A33E5F"/>
    <w:rsid w:val="00A34D6F"/>
    <w:rsid w:val="00A41632"/>
    <w:rsid w:val="00A41F91"/>
    <w:rsid w:val="00A44165"/>
    <w:rsid w:val="00A44E4C"/>
    <w:rsid w:val="00A50AC9"/>
    <w:rsid w:val="00A51129"/>
    <w:rsid w:val="00A56D83"/>
    <w:rsid w:val="00A60B06"/>
    <w:rsid w:val="00A63626"/>
    <w:rsid w:val="00A637C7"/>
    <w:rsid w:val="00A641B8"/>
    <w:rsid w:val="00A64274"/>
    <w:rsid w:val="00A64F3B"/>
    <w:rsid w:val="00A760D3"/>
    <w:rsid w:val="00A762F8"/>
    <w:rsid w:val="00A80198"/>
    <w:rsid w:val="00A83B90"/>
    <w:rsid w:val="00A84D25"/>
    <w:rsid w:val="00A93D2F"/>
    <w:rsid w:val="00A942FD"/>
    <w:rsid w:val="00A963DF"/>
    <w:rsid w:val="00AA3BBA"/>
    <w:rsid w:val="00AA7C6B"/>
    <w:rsid w:val="00AB04EE"/>
    <w:rsid w:val="00AB0EAA"/>
    <w:rsid w:val="00AB3DA0"/>
    <w:rsid w:val="00AB79CE"/>
    <w:rsid w:val="00AC0CEA"/>
    <w:rsid w:val="00AC3896"/>
    <w:rsid w:val="00AC4D0A"/>
    <w:rsid w:val="00AC4E02"/>
    <w:rsid w:val="00AD1022"/>
    <w:rsid w:val="00AD4EC3"/>
    <w:rsid w:val="00AD7E90"/>
    <w:rsid w:val="00AE4EA0"/>
    <w:rsid w:val="00AE639D"/>
    <w:rsid w:val="00AF073B"/>
    <w:rsid w:val="00AF1FE2"/>
    <w:rsid w:val="00AF3325"/>
    <w:rsid w:val="00AF4270"/>
    <w:rsid w:val="00AF4E58"/>
    <w:rsid w:val="00AF6D8B"/>
    <w:rsid w:val="00B019D3"/>
    <w:rsid w:val="00B13EEF"/>
    <w:rsid w:val="00B22625"/>
    <w:rsid w:val="00B23E85"/>
    <w:rsid w:val="00B257A9"/>
    <w:rsid w:val="00B32C59"/>
    <w:rsid w:val="00B34CF9"/>
    <w:rsid w:val="00B34D0D"/>
    <w:rsid w:val="00B4455D"/>
    <w:rsid w:val="00B50D8C"/>
    <w:rsid w:val="00B614D6"/>
    <w:rsid w:val="00B63C0E"/>
    <w:rsid w:val="00B7603E"/>
    <w:rsid w:val="00B806C6"/>
    <w:rsid w:val="00B820AD"/>
    <w:rsid w:val="00B82CD7"/>
    <w:rsid w:val="00B82FDA"/>
    <w:rsid w:val="00B85D96"/>
    <w:rsid w:val="00B90C45"/>
    <w:rsid w:val="00B9211C"/>
    <w:rsid w:val="00B933BE"/>
    <w:rsid w:val="00B95485"/>
    <w:rsid w:val="00BA1169"/>
    <w:rsid w:val="00BB1A9C"/>
    <w:rsid w:val="00BB26DE"/>
    <w:rsid w:val="00BB4970"/>
    <w:rsid w:val="00BB59FE"/>
    <w:rsid w:val="00BC0785"/>
    <w:rsid w:val="00BC342B"/>
    <w:rsid w:val="00BC3C6D"/>
    <w:rsid w:val="00BC47B3"/>
    <w:rsid w:val="00BD558A"/>
    <w:rsid w:val="00BD55C7"/>
    <w:rsid w:val="00BD6738"/>
    <w:rsid w:val="00BD6ADA"/>
    <w:rsid w:val="00BD7E5E"/>
    <w:rsid w:val="00BE0AF9"/>
    <w:rsid w:val="00BE1516"/>
    <w:rsid w:val="00BE4101"/>
    <w:rsid w:val="00BE6574"/>
    <w:rsid w:val="00BF708A"/>
    <w:rsid w:val="00C076B0"/>
    <w:rsid w:val="00C1099B"/>
    <w:rsid w:val="00C1349A"/>
    <w:rsid w:val="00C14004"/>
    <w:rsid w:val="00C14D98"/>
    <w:rsid w:val="00C16FD2"/>
    <w:rsid w:val="00C2005B"/>
    <w:rsid w:val="00C20E14"/>
    <w:rsid w:val="00C21807"/>
    <w:rsid w:val="00C237DD"/>
    <w:rsid w:val="00C24BF8"/>
    <w:rsid w:val="00C266B1"/>
    <w:rsid w:val="00C318DE"/>
    <w:rsid w:val="00C31C7A"/>
    <w:rsid w:val="00C35807"/>
    <w:rsid w:val="00C37978"/>
    <w:rsid w:val="00C40D33"/>
    <w:rsid w:val="00C420E1"/>
    <w:rsid w:val="00C4213A"/>
    <w:rsid w:val="00C42B24"/>
    <w:rsid w:val="00C43517"/>
    <w:rsid w:val="00C47120"/>
    <w:rsid w:val="00C5404A"/>
    <w:rsid w:val="00C546AD"/>
    <w:rsid w:val="00C57E2C"/>
    <w:rsid w:val="00C608B7"/>
    <w:rsid w:val="00C6254B"/>
    <w:rsid w:val="00C6338E"/>
    <w:rsid w:val="00C66F24"/>
    <w:rsid w:val="00C74965"/>
    <w:rsid w:val="00C7779D"/>
    <w:rsid w:val="00C813AA"/>
    <w:rsid w:val="00C85CE5"/>
    <w:rsid w:val="00C87954"/>
    <w:rsid w:val="00C87CBA"/>
    <w:rsid w:val="00C907B0"/>
    <w:rsid w:val="00C9084B"/>
    <w:rsid w:val="00C915E1"/>
    <w:rsid w:val="00C9291E"/>
    <w:rsid w:val="00CA1BF5"/>
    <w:rsid w:val="00CA3F03"/>
    <w:rsid w:val="00CA3F44"/>
    <w:rsid w:val="00CA422D"/>
    <w:rsid w:val="00CA4E58"/>
    <w:rsid w:val="00CB29DE"/>
    <w:rsid w:val="00CB3771"/>
    <w:rsid w:val="00CB5153"/>
    <w:rsid w:val="00CC42A8"/>
    <w:rsid w:val="00CC4D52"/>
    <w:rsid w:val="00CC52CA"/>
    <w:rsid w:val="00CC64B5"/>
    <w:rsid w:val="00CD6B95"/>
    <w:rsid w:val="00CE076A"/>
    <w:rsid w:val="00CE0C9A"/>
    <w:rsid w:val="00CF25C6"/>
    <w:rsid w:val="00CF7C07"/>
    <w:rsid w:val="00D00B69"/>
    <w:rsid w:val="00D0250A"/>
    <w:rsid w:val="00D1032C"/>
    <w:rsid w:val="00D10BA0"/>
    <w:rsid w:val="00D10E3E"/>
    <w:rsid w:val="00D11D7C"/>
    <w:rsid w:val="00D16C57"/>
    <w:rsid w:val="00D2493A"/>
    <w:rsid w:val="00D24EB5"/>
    <w:rsid w:val="00D256E0"/>
    <w:rsid w:val="00D311FD"/>
    <w:rsid w:val="00D31B70"/>
    <w:rsid w:val="00D32FC7"/>
    <w:rsid w:val="00D3353B"/>
    <w:rsid w:val="00D33E65"/>
    <w:rsid w:val="00D35710"/>
    <w:rsid w:val="00D3617E"/>
    <w:rsid w:val="00D37D05"/>
    <w:rsid w:val="00D41571"/>
    <w:rsid w:val="00D416A0"/>
    <w:rsid w:val="00D418CA"/>
    <w:rsid w:val="00D47672"/>
    <w:rsid w:val="00D5123C"/>
    <w:rsid w:val="00D55560"/>
    <w:rsid w:val="00D5714F"/>
    <w:rsid w:val="00D61C5A"/>
    <w:rsid w:val="00D62BDC"/>
    <w:rsid w:val="00D63CF3"/>
    <w:rsid w:val="00D662E0"/>
    <w:rsid w:val="00D76689"/>
    <w:rsid w:val="00D82BA7"/>
    <w:rsid w:val="00D835BF"/>
    <w:rsid w:val="00D86B62"/>
    <w:rsid w:val="00D87E20"/>
    <w:rsid w:val="00D9004A"/>
    <w:rsid w:val="00D91B45"/>
    <w:rsid w:val="00D9216F"/>
    <w:rsid w:val="00D9542E"/>
    <w:rsid w:val="00D96C8B"/>
    <w:rsid w:val="00DA6FE4"/>
    <w:rsid w:val="00DA783D"/>
    <w:rsid w:val="00DB02AB"/>
    <w:rsid w:val="00DC2B8C"/>
    <w:rsid w:val="00DC38F7"/>
    <w:rsid w:val="00DC7B0B"/>
    <w:rsid w:val="00DD48C6"/>
    <w:rsid w:val="00DD593F"/>
    <w:rsid w:val="00DE075A"/>
    <w:rsid w:val="00DE10A3"/>
    <w:rsid w:val="00DE66A5"/>
    <w:rsid w:val="00DE6A53"/>
    <w:rsid w:val="00DE6D7D"/>
    <w:rsid w:val="00DF2B50"/>
    <w:rsid w:val="00DF3EF7"/>
    <w:rsid w:val="00E00540"/>
    <w:rsid w:val="00E01B84"/>
    <w:rsid w:val="00E04C86"/>
    <w:rsid w:val="00E04CAF"/>
    <w:rsid w:val="00E126B4"/>
    <w:rsid w:val="00E131F4"/>
    <w:rsid w:val="00E132E8"/>
    <w:rsid w:val="00E133FC"/>
    <w:rsid w:val="00E15493"/>
    <w:rsid w:val="00E15ED5"/>
    <w:rsid w:val="00E20F30"/>
    <w:rsid w:val="00E2189C"/>
    <w:rsid w:val="00E21D93"/>
    <w:rsid w:val="00E23693"/>
    <w:rsid w:val="00E252C7"/>
    <w:rsid w:val="00E25BB1"/>
    <w:rsid w:val="00E27BBA"/>
    <w:rsid w:val="00E35E8F"/>
    <w:rsid w:val="00E37AB7"/>
    <w:rsid w:val="00E37DDD"/>
    <w:rsid w:val="00E428AB"/>
    <w:rsid w:val="00E430D7"/>
    <w:rsid w:val="00E438E8"/>
    <w:rsid w:val="00E46626"/>
    <w:rsid w:val="00E46AB3"/>
    <w:rsid w:val="00E520E2"/>
    <w:rsid w:val="00E5320B"/>
    <w:rsid w:val="00E56227"/>
    <w:rsid w:val="00E61A12"/>
    <w:rsid w:val="00E64254"/>
    <w:rsid w:val="00E713F8"/>
    <w:rsid w:val="00E821E7"/>
    <w:rsid w:val="00E844A5"/>
    <w:rsid w:val="00E92C14"/>
    <w:rsid w:val="00E94C18"/>
    <w:rsid w:val="00E951F7"/>
    <w:rsid w:val="00EA0E7A"/>
    <w:rsid w:val="00EA15B3"/>
    <w:rsid w:val="00EA42E0"/>
    <w:rsid w:val="00EA4B6E"/>
    <w:rsid w:val="00EB2358"/>
    <w:rsid w:val="00EB3EB8"/>
    <w:rsid w:val="00EB7F0C"/>
    <w:rsid w:val="00EC0081"/>
    <w:rsid w:val="00EC12CD"/>
    <w:rsid w:val="00ED14EC"/>
    <w:rsid w:val="00ED5A66"/>
    <w:rsid w:val="00EE1A7A"/>
    <w:rsid w:val="00EE1E54"/>
    <w:rsid w:val="00EE307A"/>
    <w:rsid w:val="00EE41CD"/>
    <w:rsid w:val="00EE74BC"/>
    <w:rsid w:val="00EE7F13"/>
    <w:rsid w:val="00EF4162"/>
    <w:rsid w:val="00EF500E"/>
    <w:rsid w:val="00F04521"/>
    <w:rsid w:val="00F23C01"/>
    <w:rsid w:val="00F242DD"/>
    <w:rsid w:val="00F254FE"/>
    <w:rsid w:val="00F2626D"/>
    <w:rsid w:val="00F2682C"/>
    <w:rsid w:val="00F26E4B"/>
    <w:rsid w:val="00F34DAB"/>
    <w:rsid w:val="00F45AD0"/>
    <w:rsid w:val="00F468C5"/>
    <w:rsid w:val="00F51F3F"/>
    <w:rsid w:val="00F525E2"/>
    <w:rsid w:val="00F52F39"/>
    <w:rsid w:val="00F56CAF"/>
    <w:rsid w:val="00F6078C"/>
    <w:rsid w:val="00F60A90"/>
    <w:rsid w:val="00F640A6"/>
    <w:rsid w:val="00F641F5"/>
    <w:rsid w:val="00F75C0C"/>
    <w:rsid w:val="00F82F07"/>
    <w:rsid w:val="00F9081E"/>
    <w:rsid w:val="00F914DD"/>
    <w:rsid w:val="00F94441"/>
    <w:rsid w:val="00FA2358"/>
    <w:rsid w:val="00FA2381"/>
    <w:rsid w:val="00FA238F"/>
    <w:rsid w:val="00FA3A3C"/>
    <w:rsid w:val="00FA3E42"/>
    <w:rsid w:val="00FA621E"/>
    <w:rsid w:val="00FB1BB8"/>
    <w:rsid w:val="00FB2592"/>
    <w:rsid w:val="00FB2810"/>
    <w:rsid w:val="00FB3828"/>
    <w:rsid w:val="00FB5A51"/>
    <w:rsid w:val="00FC1E3D"/>
    <w:rsid w:val="00FC1F2D"/>
    <w:rsid w:val="00FC2947"/>
    <w:rsid w:val="00FC2E7A"/>
    <w:rsid w:val="00FD1AE9"/>
    <w:rsid w:val="00FD4B75"/>
    <w:rsid w:val="00FE0818"/>
    <w:rsid w:val="00FE3EF5"/>
    <w:rsid w:val="00FE4F3C"/>
    <w:rsid w:val="00FE5528"/>
    <w:rsid w:val="00FE7A18"/>
    <w:rsid w:val="00FF0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050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aliases w:val="footer odd Char,fo Char,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styleId="UnresolvedMention">
    <w:name w:val="Unresolved Mention"/>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 w:type="paragraph" w:customStyle="1" w:styleId="Message">
    <w:name w:val="Message"/>
    <w:rsid w:val="008F6BC3"/>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enumlev1Char">
    <w:name w:val="enumlev1 Char"/>
    <w:basedOn w:val="DefaultParagraphFont"/>
    <w:link w:val="enumlev1"/>
    <w:rsid w:val="00A03504"/>
    <w:rPr>
      <w:sz w:val="22"/>
      <w:szCs w:val="22"/>
      <w:lang w:val="en-US" w:eastAsia="en-US"/>
    </w:rPr>
  </w:style>
  <w:style w:type="character" w:customStyle="1" w:styleId="HeaderChar">
    <w:name w:val="Header Char"/>
    <w:aliases w:val="encabezado Char,he Char,encabezad Char"/>
    <w:basedOn w:val="DefaultParagraphFont"/>
    <w:link w:val="Header"/>
    <w:uiPriority w:val="99"/>
    <w:rsid w:val="00E126B4"/>
    <w:rPr>
      <w:sz w:val="22"/>
      <w:szCs w:val="22"/>
      <w:lang w:val="en-US" w:eastAsia="en-US"/>
    </w:rPr>
  </w:style>
  <w:style w:type="paragraph" w:customStyle="1" w:styleId="TextA">
    <w:name w:val="Text A"/>
    <w:rsid w:val="00E126B4"/>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E126B4"/>
    <w:rPr>
      <w:color w:val="0000FF"/>
      <w:u w:val="single" w:color="0000FF"/>
    </w:rPr>
  </w:style>
  <w:style w:type="paragraph" w:customStyle="1" w:styleId="call0">
    <w:name w:val="call"/>
    <w:basedOn w:val="Normal"/>
    <w:next w:val="Normal"/>
    <w:rsid w:val="008E542A"/>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635438">
      <w:bodyDiv w:val="1"/>
      <w:marLeft w:val="0"/>
      <w:marRight w:val="0"/>
      <w:marTop w:val="0"/>
      <w:marBottom w:val="0"/>
      <w:divBdr>
        <w:top w:val="none" w:sz="0" w:space="0" w:color="auto"/>
        <w:left w:val="none" w:sz="0" w:space="0" w:color="auto"/>
        <w:bottom w:val="none" w:sz="0" w:space="0" w:color="auto"/>
        <w:right w:val="none" w:sz="0" w:space="0" w:color="auto"/>
      </w:divBdr>
      <w:divsChild>
        <w:div w:id="2019309087">
          <w:marLeft w:val="0"/>
          <w:marRight w:val="0"/>
          <w:marTop w:val="0"/>
          <w:marBottom w:val="0"/>
          <w:divBdr>
            <w:top w:val="none" w:sz="0" w:space="0" w:color="auto"/>
            <w:left w:val="none" w:sz="0" w:space="0" w:color="auto"/>
            <w:bottom w:val="none" w:sz="0" w:space="0" w:color="auto"/>
            <w:right w:val="none" w:sz="0" w:space="0" w:color="auto"/>
          </w:divBdr>
        </w:div>
        <w:div w:id="1304314712">
          <w:marLeft w:val="0"/>
          <w:marRight w:val="0"/>
          <w:marTop w:val="0"/>
          <w:marBottom w:val="0"/>
          <w:divBdr>
            <w:top w:val="none" w:sz="0" w:space="0" w:color="auto"/>
            <w:left w:val="none" w:sz="0" w:space="0" w:color="auto"/>
            <w:bottom w:val="none" w:sz="0" w:space="0" w:color="auto"/>
            <w:right w:val="none" w:sz="0" w:space="0" w:color="auto"/>
          </w:divBdr>
        </w:div>
        <w:div w:id="791675321">
          <w:marLeft w:val="0"/>
          <w:marRight w:val="0"/>
          <w:marTop w:val="0"/>
          <w:marBottom w:val="0"/>
          <w:divBdr>
            <w:top w:val="none" w:sz="0" w:space="0" w:color="auto"/>
            <w:left w:val="none" w:sz="0" w:space="0" w:color="auto"/>
            <w:bottom w:val="none" w:sz="0" w:space="0" w:color="auto"/>
            <w:right w:val="none" w:sz="0" w:space="0" w:color="auto"/>
          </w:divBdr>
        </w:div>
        <w:div w:id="821506167">
          <w:marLeft w:val="0"/>
          <w:marRight w:val="0"/>
          <w:marTop w:val="0"/>
          <w:marBottom w:val="0"/>
          <w:divBdr>
            <w:top w:val="none" w:sz="0" w:space="0" w:color="auto"/>
            <w:left w:val="none" w:sz="0" w:space="0" w:color="auto"/>
            <w:bottom w:val="none" w:sz="0" w:space="0" w:color="auto"/>
            <w:right w:val="none" w:sz="0" w:space="0" w:color="auto"/>
          </w:divBdr>
        </w:div>
        <w:div w:id="1323849218">
          <w:marLeft w:val="0"/>
          <w:marRight w:val="0"/>
          <w:marTop w:val="0"/>
          <w:marBottom w:val="0"/>
          <w:divBdr>
            <w:top w:val="none" w:sz="0" w:space="0" w:color="auto"/>
            <w:left w:val="none" w:sz="0" w:space="0" w:color="auto"/>
            <w:bottom w:val="none" w:sz="0" w:space="0" w:color="auto"/>
            <w:right w:val="none" w:sz="0" w:space="0" w:color="auto"/>
          </w:divBdr>
        </w:div>
      </w:divsChild>
    </w:div>
    <w:div w:id="570505232">
      <w:bodyDiv w:val="1"/>
      <w:marLeft w:val="0"/>
      <w:marRight w:val="0"/>
      <w:marTop w:val="0"/>
      <w:marBottom w:val="0"/>
      <w:divBdr>
        <w:top w:val="none" w:sz="0" w:space="0" w:color="auto"/>
        <w:left w:val="none" w:sz="0" w:space="0" w:color="auto"/>
        <w:bottom w:val="none" w:sz="0" w:space="0" w:color="auto"/>
        <w:right w:val="none" w:sz="0" w:space="0" w:color="auto"/>
      </w:divBdr>
    </w:div>
    <w:div w:id="953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DM-CIR-01011/en" TargetMode="External"/><Relationship Id="rId18" Type="http://schemas.openxmlformats.org/officeDocument/2006/relationships/header" Target="header3.xml"/><Relationship Id="rId26" Type="http://schemas.openxmlformats.org/officeDocument/2006/relationships/hyperlink" Target="https://www.itu.int/md/S19-SG-CIR-0045/en" TargetMode="External"/><Relationship Id="rId3" Type="http://schemas.openxmlformats.org/officeDocument/2006/relationships/customXml" Target="../customXml/item3.xml"/><Relationship Id="rId21" Type="http://schemas.openxmlformats.org/officeDocument/2006/relationships/hyperlink" Target="http://www.itu.int/md/S20-CL-C-0069/en"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tu.int/md/S20-DM-CIR-01009/en" TargetMode="External"/><Relationship Id="rId17" Type="http://schemas.openxmlformats.org/officeDocument/2006/relationships/header" Target="header2.xml"/><Relationship Id="rId25" Type="http://schemas.openxmlformats.org/officeDocument/2006/relationships/hyperlink" Target="https://www.itu.int/md/S19-CL-C-0125/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tu.int/md/S20-CL-C-0072/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tates@itu.int" TargetMode="External"/><Relationship Id="rId24" Type="http://schemas.openxmlformats.org/officeDocument/2006/relationships/hyperlink" Target="https://www.itu.int/md/S20-CL-C-0072/e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emberstates@itu.int" TargetMode="External"/><Relationship Id="rId23" Type="http://schemas.openxmlformats.org/officeDocument/2006/relationships/header" Target="header4.xml"/><Relationship Id="rId28" Type="http://schemas.openxmlformats.org/officeDocument/2006/relationships/hyperlink" Target="https://www.itu.int/md/S20-CL-C-0069/e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tates@itu.int" TargetMode="External"/><Relationship Id="rId22" Type="http://schemas.openxmlformats.org/officeDocument/2006/relationships/hyperlink" Target="mailto:memberstates@itu.int" TargetMode="External"/><Relationship Id="rId27" Type="http://schemas.openxmlformats.org/officeDocument/2006/relationships/hyperlink" Target="https://www.itu.int/md/S19-SG-CIR-0033/en"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36E5D"/>
    <w:rsid w:val="000868DC"/>
    <w:rsid w:val="000F2201"/>
    <w:rsid w:val="0012328E"/>
    <w:rsid w:val="00132F58"/>
    <w:rsid w:val="00175991"/>
    <w:rsid w:val="00187B85"/>
    <w:rsid w:val="002942A2"/>
    <w:rsid w:val="002C5470"/>
    <w:rsid w:val="0042202C"/>
    <w:rsid w:val="00457FC9"/>
    <w:rsid w:val="004656EC"/>
    <w:rsid w:val="00467446"/>
    <w:rsid w:val="00481B6A"/>
    <w:rsid w:val="00582CD3"/>
    <w:rsid w:val="006E61A6"/>
    <w:rsid w:val="007B5392"/>
    <w:rsid w:val="007F7FF0"/>
    <w:rsid w:val="008A00EE"/>
    <w:rsid w:val="008B7B72"/>
    <w:rsid w:val="008F306C"/>
    <w:rsid w:val="00964949"/>
    <w:rsid w:val="00993DC8"/>
    <w:rsid w:val="009A684D"/>
    <w:rsid w:val="009A6B72"/>
    <w:rsid w:val="009B1C38"/>
    <w:rsid w:val="00A7690B"/>
    <w:rsid w:val="00AA79D3"/>
    <w:rsid w:val="00AB3FD5"/>
    <w:rsid w:val="00B05BBD"/>
    <w:rsid w:val="00B2488F"/>
    <w:rsid w:val="00BF73EF"/>
    <w:rsid w:val="00C505D5"/>
    <w:rsid w:val="00C57DB7"/>
    <w:rsid w:val="00C71A4A"/>
    <w:rsid w:val="00C86BAA"/>
    <w:rsid w:val="00CB3892"/>
    <w:rsid w:val="00DF3EB1"/>
    <w:rsid w:val="00E64C1C"/>
    <w:rsid w:val="00E80459"/>
    <w:rsid w:val="00E90B47"/>
    <w:rsid w:val="00EB17B0"/>
    <w:rsid w:val="00EB4B12"/>
    <w:rsid w:val="00EC2AF5"/>
    <w:rsid w:val="00F26907"/>
    <w:rsid w:val="00F405A5"/>
    <w:rsid w:val="00F478A8"/>
    <w:rsid w:val="00F74802"/>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1FE0-E905-41A6-BD22-7E73314AC712}">
  <ds:schemaRefs>
    <ds:schemaRef ds:uri="http://schemas.openxmlformats.org/officeDocument/2006/bibliography"/>
  </ds:schemaRefs>
</ds:datastoreItem>
</file>

<file path=customXml/itemProps2.xml><?xml version="1.0" encoding="utf-8"?>
<ds:datastoreItem xmlns:ds="http://schemas.openxmlformats.org/officeDocument/2006/customXml" ds:itemID="{08E10606-4D5C-482B-AF49-105ADD361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7277C-C62B-4838-A365-6338ADB5EB8A}">
  <ds:schemaRefs>
    <ds:schemaRef ds:uri="http://schemas.microsoft.com/sharepoint/v3/contenttype/forms"/>
  </ds:schemaRefs>
</ds:datastoreItem>
</file>

<file path=customXml/itemProps4.xml><?xml version="1.0" encoding="utf-8"?>
<ds:datastoreItem xmlns:ds="http://schemas.openxmlformats.org/officeDocument/2006/customXml" ds:itemID="{44F2E575-E07A-4601-A80A-03ACE09D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8</Pages>
  <Words>2359</Words>
  <Characters>12978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2020 Session of the Council</vt:lpstr>
      <vt:lpstr>ITU-T Rec. Book 1 Resolutions ITU-T Series A Recommendations:</vt:lpstr>
    </vt:vector>
  </TitlesOfParts>
  <Company>ITU</Company>
  <LinksUpToDate>false</LinksUpToDate>
  <CharactersWithSpaces>15307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Session of the Council</dc:title>
  <dc:subject/>
  <dc:creator>Janin</dc:creator>
  <cp:keywords>C20</cp:keywords>
  <dc:description/>
  <cp:lastModifiedBy>Diallo, Maywenn</cp:lastModifiedBy>
  <cp:revision>2</cp:revision>
  <cp:lastPrinted>2020-06-19T09:08:00Z</cp:lastPrinted>
  <dcterms:created xsi:type="dcterms:W3CDTF">2020-08-03T15:23:00Z</dcterms:created>
  <dcterms:modified xsi:type="dcterms:W3CDTF">2020-08-03T15:23:00Z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0x010100B638F4433E584047A097BE66491F0F20</vt:lpwstr>
  </property>
</Properties>
</file>