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490" w:type="dxa"/>
        <w:tblLayout w:type="fixed"/>
        <w:tblLook w:val="0000" w:firstRow="0" w:lastRow="0" w:firstColumn="0" w:lastColumn="0" w:noHBand="0" w:noVBand="0"/>
      </w:tblPr>
      <w:tblGrid>
        <w:gridCol w:w="6629"/>
        <w:gridCol w:w="3861"/>
      </w:tblGrid>
      <w:tr w:rsidR="00CE0C9F" w:rsidRPr="0055736D" w14:paraId="19126186" w14:textId="77777777" w:rsidTr="00471BAA">
        <w:trPr>
          <w:cantSplit/>
        </w:trPr>
        <w:tc>
          <w:tcPr>
            <w:tcW w:w="6629" w:type="dxa"/>
            <w:vAlign w:val="center"/>
          </w:tcPr>
          <w:p w14:paraId="392D34A5" w14:textId="2ADDF286" w:rsidR="00CE0C9F" w:rsidRPr="0055736D" w:rsidRDefault="00471BAA" w:rsidP="00471BAA">
            <w:pPr>
              <w:spacing w:before="0"/>
              <w:rPr>
                <w:rFonts w:asciiTheme="minorHAnsi" w:hAnsiTheme="minorHAnsi"/>
                <w:b/>
                <w:position w:val="6"/>
                <w:sz w:val="26"/>
                <w:szCs w:val="26"/>
              </w:rPr>
            </w:pPr>
            <w:bookmarkStart w:id="0" w:name="dc06"/>
            <w:bookmarkEnd w:id="0"/>
            <w:r w:rsidRPr="00311ED1">
              <w:rPr>
                <w:rFonts w:asciiTheme="minorHAnsi" w:hAnsiTheme="minorHAnsi" w:cstheme="minorHAnsi"/>
                <w:b/>
                <w:position w:val="6"/>
                <w:sz w:val="30"/>
                <w:szCs w:val="30"/>
                <w:lang w:val="en-US"/>
              </w:rPr>
              <w:t>Council Working Group on the Use of</w:t>
            </w:r>
            <w:r w:rsidRPr="00311ED1">
              <w:rPr>
                <w:rFonts w:asciiTheme="minorHAnsi" w:hAnsiTheme="minorHAnsi" w:cstheme="minorHAnsi"/>
                <w:b/>
                <w:position w:val="6"/>
                <w:sz w:val="30"/>
                <w:szCs w:val="30"/>
                <w:lang w:val="en-US"/>
              </w:rPr>
              <w:br/>
              <w:t>the six official languages of the Union</w:t>
            </w:r>
          </w:p>
        </w:tc>
        <w:tc>
          <w:tcPr>
            <w:tcW w:w="3861" w:type="dxa"/>
          </w:tcPr>
          <w:p w14:paraId="16496773" w14:textId="40B816EE" w:rsidR="00CE0C9F" w:rsidRPr="0055736D" w:rsidRDefault="00471BAA" w:rsidP="00CE0C9F">
            <w:pPr>
              <w:spacing w:before="0" w:line="240" w:lineRule="atLeast"/>
            </w:pPr>
            <w:bookmarkStart w:id="1" w:name="ditulogo"/>
            <w:bookmarkEnd w:id="1"/>
            <w:r>
              <w:rPr>
                <w:noProof/>
                <w:lang w:eastAsia="zh-CN"/>
              </w:rPr>
              <w:drawing>
                <wp:inline distT="0" distB="0" distL="0" distR="0" wp14:anchorId="71547662" wp14:editId="65D71D43">
                  <wp:extent cx="682371"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71" cy="720000"/>
                          </a:xfrm>
                          <a:prstGeom prst="rect">
                            <a:avLst/>
                          </a:prstGeom>
                        </pic:spPr>
                      </pic:pic>
                    </a:graphicData>
                  </a:graphic>
                </wp:inline>
              </w:drawing>
            </w:r>
          </w:p>
        </w:tc>
      </w:tr>
      <w:tr w:rsidR="00CE0C9F" w:rsidRPr="0055736D" w14:paraId="59892AB0" w14:textId="77777777" w:rsidTr="00824F12">
        <w:trPr>
          <w:cantSplit/>
        </w:trPr>
        <w:tc>
          <w:tcPr>
            <w:tcW w:w="6629" w:type="dxa"/>
            <w:tcBorders>
              <w:bottom w:val="single" w:sz="12" w:space="0" w:color="auto"/>
            </w:tcBorders>
          </w:tcPr>
          <w:p w14:paraId="713414BD" w14:textId="4C4CD637" w:rsidR="00CE0C9F" w:rsidRPr="0055736D" w:rsidRDefault="00471BAA" w:rsidP="00CE0C9F">
            <w:pPr>
              <w:spacing w:before="0" w:line="240" w:lineRule="atLeast"/>
              <w:rPr>
                <w:rFonts w:asciiTheme="minorHAnsi" w:hAnsiTheme="minorHAnsi"/>
                <w:b/>
                <w:smallCaps/>
                <w:szCs w:val="24"/>
              </w:rPr>
            </w:pPr>
            <w:r>
              <w:rPr>
                <w:rFonts w:asciiTheme="minorHAnsi" w:hAnsiTheme="minorHAnsi" w:cstheme="minorHAnsi"/>
                <w:b/>
                <w:szCs w:val="24"/>
              </w:rPr>
              <w:t>10th meeting, Geneva, 14 Februa</w:t>
            </w:r>
            <w:r w:rsidRPr="005D26B6">
              <w:rPr>
                <w:rFonts w:asciiTheme="minorHAnsi" w:hAnsiTheme="minorHAnsi" w:cstheme="minorHAnsi"/>
                <w:b/>
                <w:szCs w:val="24"/>
              </w:rPr>
              <w:t>ry 20</w:t>
            </w:r>
            <w:r>
              <w:rPr>
                <w:rFonts w:asciiTheme="minorHAnsi" w:hAnsiTheme="minorHAnsi" w:cstheme="minorHAnsi"/>
                <w:b/>
                <w:szCs w:val="24"/>
              </w:rPr>
              <w:t>20</w:t>
            </w:r>
          </w:p>
        </w:tc>
        <w:tc>
          <w:tcPr>
            <w:tcW w:w="3861" w:type="dxa"/>
            <w:tcBorders>
              <w:bottom w:val="single" w:sz="12" w:space="0" w:color="auto"/>
            </w:tcBorders>
          </w:tcPr>
          <w:p w14:paraId="760C864D" w14:textId="77777777" w:rsidR="00CE0C9F" w:rsidRPr="0055736D" w:rsidRDefault="00CE0C9F" w:rsidP="00CE0C9F">
            <w:pPr>
              <w:spacing w:before="0" w:line="240" w:lineRule="atLeast"/>
              <w:rPr>
                <w:rFonts w:ascii="Verdana" w:hAnsi="Verdana"/>
                <w:szCs w:val="24"/>
              </w:rPr>
            </w:pPr>
          </w:p>
        </w:tc>
      </w:tr>
      <w:tr w:rsidR="00CE0C9F" w:rsidRPr="0055736D" w14:paraId="4F738205" w14:textId="77777777" w:rsidTr="00824F12">
        <w:trPr>
          <w:cantSplit/>
        </w:trPr>
        <w:tc>
          <w:tcPr>
            <w:tcW w:w="6629" w:type="dxa"/>
            <w:tcBorders>
              <w:top w:val="single" w:sz="12" w:space="0" w:color="auto"/>
            </w:tcBorders>
          </w:tcPr>
          <w:p w14:paraId="7E377F5F" w14:textId="77777777" w:rsidR="00CE0C9F" w:rsidRPr="0055736D" w:rsidRDefault="00CE0C9F" w:rsidP="00CE0C9F">
            <w:pPr>
              <w:spacing w:before="0" w:line="240" w:lineRule="atLeast"/>
              <w:rPr>
                <w:b/>
                <w:smallCaps/>
                <w:szCs w:val="24"/>
              </w:rPr>
            </w:pPr>
          </w:p>
        </w:tc>
        <w:tc>
          <w:tcPr>
            <w:tcW w:w="3861" w:type="dxa"/>
            <w:tcBorders>
              <w:top w:val="single" w:sz="12" w:space="0" w:color="auto"/>
            </w:tcBorders>
          </w:tcPr>
          <w:p w14:paraId="321E4CC2" w14:textId="77777777" w:rsidR="00CE0C9F" w:rsidRPr="0055736D" w:rsidRDefault="00CE0C9F" w:rsidP="00CE0C9F">
            <w:pPr>
              <w:spacing w:before="0" w:line="240" w:lineRule="atLeast"/>
              <w:rPr>
                <w:rFonts w:ascii="Verdana" w:hAnsi="Verdana"/>
                <w:szCs w:val="24"/>
              </w:rPr>
            </w:pPr>
          </w:p>
        </w:tc>
      </w:tr>
      <w:tr w:rsidR="00CE0C9F" w:rsidRPr="0055736D" w14:paraId="37A6DC27" w14:textId="77777777" w:rsidTr="00824F12">
        <w:trPr>
          <w:cantSplit/>
          <w:trHeight w:val="23"/>
        </w:trPr>
        <w:tc>
          <w:tcPr>
            <w:tcW w:w="6629" w:type="dxa"/>
            <w:vMerge w:val="restart"/>
          </w:tcPr>
          <w:p w14:paraId="1D4FE7F7" w14:textId="763FF5E8" w:rsidR="00CE0C9F" w:rsidRPr="0055736D" w:rsidRDefault="00CE0C9F" w:rsidP="00CE0C9F">
            <w:pPr>
              <w:tabs>
                <w:tab w:val="left" w:pos="851"/>
              </w:tabs>
              <w:spacing w:before="0" w:line="240" w:lineRule="atLeast"/>
              <w:rPr>
                <w:rFonts w:asciiTheme="minorHAnsi" w:hAnsiTheme="minorHAnsi"/>
                <w:b/>
                <w:szCs w:val="24"/>
              </w:rPr>
            </w:pPr>
            <w:bookmarkStart w:id="2" w:name="dmeeting" w:colFirst="0" w:colLast="0"/>
            <w:bookmarkStart w:id="3" w:name="dnum" w:colFirst="1" w:colLast="1"/>
          </w:p>
        </w:tc>
        <w:tc>
          <w:tcPr>
            <w:tcW w:w="3861" w:type="dxa"/>
          </w:tcPr>
          <w:p w14:paraId="1D82A2A9" w14:textId="7C8F44C5" w:rsidR="00CE0C9F" w:rsidRPr="0055736D" w:rsidRDefault="00CE0C9F" w:rsidP="009D50F6">
            <w:pPr>
              <w:tabs>
                <w:tab w:val="left" w:pos="851"/>
              </w:tabs>
              <w:spacing w:before="0" w:line="240" w:lineRule="atLeast"/>
              <w:rPr>
                <w:rFonts w:asciiTheme="minorHAnsi" w:hAnsiTheme="minorHAnsi"/>
                <w:b/>
                <w:szCs w:val="24"/>
                <w:lang w:val="de-CH"/>
              </w:rPr>
            </w:pPr>
            <w:r w:rsidRPr="0055736D">
              <w:rPr>
                <w:rFonts w:asciiTheme="minorHAnsi" w:hAnsiTheme="minorHAnsi"/>
                <w:b/>
                <w:szCs w:val="24"/>
                <w:lang w:val="de-CH"/>
              </w:rPr>
              <w:t>Document CWG-LANG/</w:t>
            </w:r>
            <w:r w:rsidR="002870F1" w:rsidRPr="0055736D">
              <w:rPr>
                <w:rFonts w:asciiTheme="minorHAnsi" w:hAnsiTheme="minorHAnsi"/>
                <w:b/>
                <w:szCs w:val="24"/>
                <w:lang w:val="de-CH"/>
              </w:rPr>
              <w:t>10</w:t>
            </w:r>
            <w:r w:rsidRPr="0055736D">
              <w:rPr>
                <w:rFonts w:asciiTheme="minorHAnsi" w:hAnsiTheme="minorHAnsi"/>
                <w:b/>
                <w:szCs w:val="24"/>
                <w:lang w:val="de-CH"/>
              </w:rPr>
              <w:t>/</w:t>
            </w:r>
            <w:r w:rsidR="0055736D">
              <w:rPr>
                <w:rFonts w:asciiTheme="minorHAnsi" w:hAnsiTheme="minorHAnsi"/>
                <w:b/>
                <w:szCs w:val="24"/>
                <w:lang w:val="de-CH"/>
              </w:rPr>
              <w:t>2</w:t>
            </w:r>
            <w:r w:rsidRPr="0055736D">
              <w:rPr>
                <w:rFonts w:asciiTheme="minorHAnsi" w:hAnsiTheme="minorHAnsi"/>
                <w:b/>
                <w:szCs w:val="24"/>
                <w:lang w:val="de-CH"/>
              </w:rPr>
              <w:t>-E</w:t>
            </w:r>
          </w:p>
        </w:tc>
      </w:tr>
      <w:tr w:rsidR="00CE0C9F" w:rsidRPr="0055736D" w14:paraId="48231B2E" w14:textId="77777777" w:rsidTr="00824F12">
        <w:trPr>
          <w:cantSplit/>
          <w:trHeight w:val="23"/>
        </w:trPr>
        <w:tc>
          <w:tcPr>
            <w:tcW w:w="6629" w:type="dxa"/>
            <w:vMerge/>
          </w:tcPr>
          <w:p w14:paraId="175884D5" w14:textId="77777777" w:rsidR="00CE0C9F" w:rsidRPr="0055736D" w:rsidRDefault="00CE0C9F" w:rsidP="00CE0C9F">
            <w:pPr>
              <w:tabs>
                <w:tab w:val="left" w:pos="851"/>
              </w:tabs>
              <w:spacing w:line="240" w:lineRule="atLeast"/>
              <w:rPr>
                <w:rFonts w:asciiTheme="minorHAnsi" w:hAnsiTheme="minorHAnsi"/>
                <w:b/>
                <w:szCs w:val="24"/>
                <w:lang w:val="de-CH"/>
              </w:rPr>
            </w:pPr>
            <w:bookmarkStart w:id="4" w:name="ddate" w:colFirst="1" w:colLast="1"/>
            <w:bookmarkEnd w:id="2"/>
            <w:bookmarkEnd w:id="3"/>
          </w:p>
        </w:tc>
        <w:tc>
          <w:tcPr>
            <w:tcW w:w="3861" w:type="dxa"/>
          </w:tcPr>
          <w:p w14:paraId="39ECAFDA" w14:textId="16170918" w:rsidR="00CE0C9F" w:rsidRPr="0055736D" w:rsidRDefault="0055736D" w:rsidP="00471BAA">
            <w:pPr>
              <w:tabs>
                <w:tab w:val="left" w:pos="993"/>
              </w:tabs>
              <w:spacing w:before="0"/>
              <w:rPr>
                <w:rFonts w:asciiTheme="minorHAnsi" w:hAnsiTheme="minorHAnsi"/>
                <w:b/>
                <w:szCs w:val="24"/>
              </w:rPr>
            </w:pPr>
            <w:r>
              <w:rPr>
                <w:rFonts w:asciiTheme="minorHAnsi" w:hAnsiTheme="minorHAnsi"/>
                <w:b/>
                <w:szCs w:val="24"/>
              </w:rPr>
              <w:t>1</w:t>
            </w:r>
            <w:r w:rsidR="00471BAA">
              <w:rPr>
                <w:rFonts w:asciiTheme="minorHAnsi" w:hAnsiTheme="minorHAnsi"/>
                <w:b/>
                <w:szCs w:val="24"/>
              </w:rPr>
              <w:t>1</w:t>
            </w:r>
            <w:r w:rsidR="00CE0C9F" w:rsidRPr="0055736D">
              <w:rPr>
                <w:rFonts w:asciiTheme="minorHAnsi" w:hAnsiTheme="minorHAnsi"/>
                <w:b/>
                <w:szCs w:val="24"/>
              </w:rPr>
              <w:t xml:space="preserve"> </w:t>
            </w:r>
            <w:r w:rsidR="009030F6" w:rsidRPr="0055736D">
              <w:rPr>
                <w:rFonts w:asciiTheme="minorHAnsi" w:hAnsiTheme="minorHAnsi"/>
                <w:b/>
                <w:szCs w:val="24"/>
              </w:rPr>
              <w:t>December</w:t>
            </w:r>
            <w:r w:rsidR="00CE0C9F" w:rsidRPr="0055736D">
              <w:rPr>
                <w:rFonts w:asciiTheme="minorHAnsi" w:hAnsiTheme="minorHAnsi"/>
                <w:b/>
                <w:szCs w:val="24"/>
              </w:rPr>
              <w:t xml:space="preserve"> 201</w:t>
            </w:r>
            <w:r w:rsidR="002870F1" w:rsidRPr="0055736D">
              <w:rPr>
                <w:rFonts w:asciiTheme="minorHAnsi" w:hAnsiTheme="minorHAnsi"/>
                <w:b/>
                <w:szCs w:val="24"/>
              </w:rPr>
              <w:t>9</w:t>
            </w:r>
          </w:p>
        </w:tc>
      </w:tr>
      <w:tr w:rsidR="00CE0C9F" w:rsidRPr="0055736D" w14:paraId="6F93E44A" w14:textId="77777777" w:rsidTr="00824F12">
        <w:trPr>
          <w:cantSplit/>
          <w:trHeight w:val="80"/>
        </w:trPr>
        <w:tc>
          <w:tcPr>
            <w:tcW w:w="6629" w:type="dxa"/>
            <w:vMerge/>
          </w:tcPr>
          <w:p w14:paraId="05D69D83" w14:textId="77777777" w:rsidR="00CE0C9F" w:rsidRPr="0055736D" w:rsidRDefault="00CE0C9F" w:rsidP="00CE0C9F">
            <w:pPr>
              <w:tabs>
                <w:tab w:val="left" w:pos="851"/>
              </w:tabs>
              <w:spacing w:line="240" w:lineRule="atLeast"/>
              <w:rPr>
                <w:rFonts w:asciiTheme="minorHAnsi" w:hAnsiTheme="minorHAnsi"/>
                <w:b/>
                <w:szCs w:val="24"/>
              </w:rPr>
            </w:pPr>
            <w:bookmarkStart w:id="5" w:name="dorlang" w:colFirst="1" w:colLast="1"/>
            <w:bookmarkEnd w:id="4"/>
          </w:p>
        </w:tc>
        <w:tc>
          <w:tcPr>
            <w:tcW w:w="3861" w:type="dxa"/>
          </w:tcPr>
          <w:p w14:paraId="1565705A" w14:textId="77777777" w:rsidR="00CE0C9F" w:rsidRPr="0055736D" w:rsidRDefault="00CE0C9F" w:rsidP="00CE0C9F">
            <w:pPr>
              <w:tabs>
                <w:tab w:val="left" w:pos="993"/>
              </w:tabs>
              <w:spacing w:before="0"/>
              <w:rPr>
                <w:rFonts w:asciiTheme="minorHAnsi" w:hAnsiTheme="minorHAnsi"/>
                <w:b/>
                <w:szCs w:val="24"/>
              </w:rPr>
            </w:pPr>
            <w:r w:rsidRPr="0055736D">
              <w:rPr>
                <w:rFonts w:asciiTheme="minorHAnsi" w:hAnsiTheme="minorHAnsi"/>
                <w:b/>
                <w:szCs w:val="24"/>
              </w:rPr>
              <w:t>English only</w:t>
            </w:r>
          </w:p>
        </w:tc>
      </w:tr>
    </w:tbl>
    <w:bookmarkEnd w:id="5"/>
    <w:p w14:paraId="17A9E28C" w14:textId="49C9F11C" w:rsidR="007F0840" w:rsidRPr="0055736D" w:rsidRDefault="00224D2B" w:rsidP="008B0EB9">
      <w:pPr>
        <w:spacing w:before="840"/>
        <w:jc w:val="center"/>
        <w:rPr>
          <w:rFonts w:asciiTheme="minorHAnsi" w:hAnsiTheme="minorHAnsi"/>
          <w:b/>
          <w:sz w:val="28"/>
          <w:szCs w:val="28"/>
        </w:rPr>
      </w:pPr>
      <w:r w:rsidRPr="0055736D">
        <w:rPr>
          <w:rFonts w:asciiTheme="minorHAnsi" w:hAnsiTheme="minorHAnsi"/>
          <w:b/>
          <w:sz w:val="28"/>
          <w:szCs w:val="28"/>
        </w:rPr>
        <w:t>Report by the Secretary-General</w:t>
      </w:r>
    </w:p>
    <w:p w14:paraId="6B64CB7B" w14:textId="3FAD846A" w:rsidR="00224D2B" w:rsidRPr="0055736D" w:rsidRDefault="00ED4F5F" w:rsidP="003216FF">
      <w:pPr>
        <w:spacing w:before="240"/>
        <w:jc w:val="center"/>
        <w:rPr>
          <w:rFonts w:asciiTheme="minorHAnsi" w:hAnsiTheme="minorHAnsi"/>
          <w:sz w:val="28"/>
          <w:szCs w:val="28"/>
        </w:rPr>
      </w:pPr>
      <w:r w:rsidRPr="0055736D">
        <w:rPr>
          <w:rFonts w:asciiTheme="minorHAnsi" w:hAnsiTheme="minorHAnsi"/>
          <w:bCs/>
          <w:sz w:val="28"/>
          <w:szCs w:val="28"/>
        </w:rPr>
        <w:t xml:space="preserve">PURSUANT TO </w:t>
      </w:r>
      <w:r w:rsidR="00224D2B" w:rsidRPr="0055736D">
        <w:rPr>
          <w:rFonts w:asciiTheme="minorHAnsi" w:hAnsiTheme="minorHAnsi"/>
          <w:bCs/>
          <w:sz w:val="28"/>
          <w:szCs w:val="28"/>
        </w:rPr>
        <w:t xml:space="preserve">RESOLUTION 154 (REV. </w:t>
      </w:r>
      <w:r w:rsidR="002870F1" w:rsidRPr="0055736D">
        <w:rPr>
          <w:rFonts w:asciiTheme="minorHAnsi" w:hAnsiTheme="minorHAnsi"/>
          <w:bCs/>
          <w:sz w:val="28"/>
          <w:szCs w:val="28"/>
        </w:rPr>
        <w:t>DUBAI</w:t>
      </w:r>
      <w:r w:rsidR="00224D2B" w:rsidRPr="0055736D">
        <w:rPr>
          <w:rFonts w:asciiTheme="minorHAnsi" w:hAnsiTheme="minorHAnsi"/>
          <w:bCs/>
          <w:sz w:val="28"/>
          <w:szCs w:val="28"/>
        </w:rPr>
        <w:t>, 201</w:t>
      </w:r>
      <w:r w:rsidR="002870F1" w:rsidRPr="0055736D">
        <w:rPr>
          <w:rFonts w:asciiTheme="minorHAnsi" w:hAnsiTheme="minorHAnsi"/>
          <w:bCs/>
          <w:sz w:val="28"/>
          <w:szCs w:val="28"/>
        </w:rPr>
        <w:t>8</w:t>
      </w:r>
      <w:r w:rsidR="00224D2B" w:rsidRPr="0055736D">
        <w:rPr>
          <w:rFonts w:asciiTheme="minorHAnsi" w:hAnsiTheme="minorHAnsi"/>
          <w:bCs/>
          <w:sz w:val="28"/>
          <w:szCs w:val="28"/>
        </w:rPr>
        <w:t>)</w:t>
      </w:r>
      <w:r w:rsidR="00CC1EB2" w:rsidRPr="0055736D">
        <w:rPr>
          <w:rFonts w:asciiTheme="minorHAnsi" w:hAnsiTheme="minorHAnsi"/>
          <w:bCs/>
          <w:sz w:val="28"/>
          <w:szCs w:val="28"/>
        </w:rPr>
        <w:br/>
      </w:r>
      <w:r w:rsidR="00CE0C9F" w:rsidRPr="0055736D">
        <w:rPr>
          <w:rFonts w:asciiTheme="minorHAnsi" w:hAnsiTheme="minorHAnsi"/>
          <w:bCs/>
          <w:sz w:val="28"/>
          <w:szCs w:val="28"/>
        </w:rPr>
        <w:t xml:space="preserve">AND </w:t>
      </w:r>
      <w:r w:rsidRPr="0055736D">
        <w:rPr>
          <w:rFonts w:asciiTheme="minorHAnsi" w:hAnsiTheme="minorHAnsi"/>
          <w:bCs/>
          <w:sz w:val="28"/>
          <w:szCs w:val="28"/>
        </w:rPr>
        <w:t>RESOLUTION 1372</w:t>
      </w:r>
      <w:r w:rsidR="00504F70" w:rsidRPr="0055736D">
        <w:rPr>
          <w:rFonts w:asciiTheme="minorHAnsi" w:hAnsiTheme="minorHAnsi"/>
          <w:bCs/>
          <w:sz w:val="28"/>
          <w:szCs w:val="28"/>
        </w:rPr>
        <w:t xml:space="preserve"> (C15, LAST AMENDED C19)</w:t>
      </w:r>
    </w:p>
    <w:p w14:paraId="3EF2AF29" w14:textId="3F7883CC" w:rsidR="00BA7589" w:rsidRPr="0055736D" w:rsidRDefault="00BA7589" w:rsidP="00BA7589">
      <w:pPr>
        <w:spacing w:before="240"/>
        <w:jc w:val="both"/>
        <w:rPr>
          <w:rFonts w:asciiTheme="minorHAnsi" w:hAnsiTheme="minorHAnsi"/>
          <w:szCs w:val="24"/>
          <w:lang w:val="en-US"/>
        </w:rPr>
      </w:pPr>
      <w:r w:rsidRPr="0055736D">
        <w:rPr>
          <w:rFonts w:asciiTheme="minorHAnsi" w:hAnsiTheme="minorHAnsi"/>
          <w:spacing w:val="-2"/>
          <w:szCs w:val="24"/>
          <w:lang w:val="en-US"/>
        </w:rPr>
        <w:t>This report provides an</w:t>
      </w:r>
      <w:r w:rsidRPr="0055736D">
        <w:rPr>
          <w:rFonts w:asciiTheme="minorHAnsi" w:hAnsiTheme="minorHAnsi"/>
          <w:spacing w:val="4"/>
          <w:szCs w:val="24"/>
          <w:lang w:val="en-US"/>
        </w:rPr>
        <w:t xml:space="preserve"> update to the Council on the implementation of Resolution 154 (Rev.</w:t>
      </w:r>
      <w:r w:rsidR="000B6864">
        <w:rPr>
          <w:rFonts w:asciiTheme="minorHAnsi" w:hAnsiTheme="minorHAnsi"/>
          <w:spacing w:val="4"/>
          <w:szCs w:val="24"/>
          <w:lang w:val="en-US"/>
        </w:rPr>
        <w:t> </w:t>
      </w:r>
      <w:r w:rsidRPr="0055736D">
        <w:rPr>
          <w:rFonts w:asciiTheme="minorHAnsi" w:hAnsiTheme="minorHAnsi"/>
          <w:spacing w:val="4"/>
          <w:szCs w:val="24"/>
          <w:lang w:val="en-US"/>
        </w:rPr>
        <w:t>Dubai, 2018) regarding the use of ITU</w:t>
      </w:r>
      <w:r w:rsidR="00620017">
        <w:rPr>
          <w:rFonts w:asciiTheme="minorHAnsi" w:hAnsiTheme="minorHAnsi"/>
          <w:spacing w:val="4"/>
          <w:szCs w:val="24"/>
          <w:lang w:val="en-US"/>
        </w:rPr>
        <w:t>’</w:t>
      </w:r>
      <w:r w:rsidRPr="0055736D">
        <w:rPr>
          <w:rFonts w:asciiTheme="minorHAnsi" w:hAnsiTheme="minorHAnsi"/>
          <w:spacing w:val="4"/>
          <w:szCs w:val="24"/>
          <w:lang w:val="en-US"/>
        </w:rPr>
        <w:t xml:space="preserve">s six official languages on an equal footing </w:t>
      </w:r>
      <w:r w:rsidRPr="0055736D">
        <w:rPr>
          <w:rFonts w:asciiTheme="minorHAnsi" w:hAnsiTheme="minorHAnsi"/>
          <w:szCs w:val="24"/>
          <w:lang w:val="en-US"/>
        </w:rPr>
        <w:t>in accordance with Council Resolution 1372, as revised in 2019.</w:t>
      </w:r>
    </w:p>
    <w:p w14:paraId="7F369C85" w14:textId="77777777" w:rsidR="00BA7589" w:rsidRPr="0055736D" w:rsidRDefault="00BA7589" w:rsidP="00BA7589">
      <w:pPr>
        <w:rPr>
          <w:rFonts w:asciiTheme="minorHAnsi" w:hAnsiTheme="minorHAnsi"/>
          <w:szCs w:val="24"/>
          <w:lang w:val="en-US"/>
        </w:rPr>
      </w:pPr>
      <w:r w:rsidRPr="0055736D">
        <w:rPr>
          <w:rFonts w:asciiTheme="minorHAnsi" w:hAnsiTheme="minorHAnsi"/>
          <w:szCs w:val="24"/>
          <w:lang w:val="en-US"/>
        </w:rPr>
        <w:t>The Council Working Group is invited to take note of the information provided in Annex I on the areas of interest defined by the Council in 2019.</w:t>
      </w:r>
    </w:p>
    <w:p w14:paraId="6D1F9858" w14:textId="7715171C" w:rsidR="00BA7589" w:rsidRPr="0055736D" w:rsidRDefault="00BA7589" w:rsidP="00BA7589">
      <w:pPr>
        <w:rPr>
          <w:rFonts w:asciiTheme="minorHAnsi" w:hAnsiTheme="minorHAnsi"/>
          <w:szCs w:val="24"/>
        </w:rPr>
      </w:pPr>
      <w:r w:rsidRPr="0055736D">
        <w:rPr>
          <w:rFonts w:asciiTheme="minorHAnsi" w:hAnsiTheme="minorHAnsi"/>
          <w:szCs w:val="24"/>
          <w:lang w:val="en-US"/>
        </w:rPr>
        <w:t xml:space="preserve">The </w:t>
      </w:r>
      <w:r w:rsidR="000B6864">
        <w:rPr>
          <w:rFonts w:asciiTheme="minorHAnsi" w:hAnsiTheme="minorHAnsi"/>
          <w:szCs w:val="24"/>
          <w:lang w:val="en-US"/>
        </w:rPr>
        <w:t>s</w:t>
      </w:r>
      <w:r w:rsidRPr="0055736D">
        <w:rPr>
          <w:rFonts w:asciiTheme="minorHAnsi" w:hAnsiTheme="minorHAnsi"/>
          <w:szCs w:val="24"/>
          <w:lang w:val="en-US"/>
        </w:rPr>
        <w:t>ecretariat is pleased to note that steady progress continues to be made on all fronts leading to full, equitable use of ITU</w:t>
      </w:r>
      <w:r w:rsidR="00620017">
        <w:rPr>
          <w:rFonts w:asciiTheme="minorHAnsi" w:hAnsiTheme="minorHAnsi"/>
          <w:szCs w:val="24"/>
          <w:lang w:val="en-US"/>
        </w:rPr>
        <w:t>’</w:t>
      </w:r>
      <w:r w:rsidRPr="0055736D">
        <w:rPr>
          <w:rFonts w:asciiTheme="minorHAnsi" w:hAnsiTheme="minorHAnsi"/>
          <w:szCs w:val="24"/>
          <w:lang w:val="en-US"/>
        </w:rPr>
        <w:t>s six official languages, as evidenced below:</w:t>
      </w:r>
    </w:p>
    <w:p w14:paraId="3659CC68" w14:textId="6BACC25A" w:rsidR="008B4F08" w:rsidRPr="0055736D" w:rsidRDefault="000431D8" w:rsidP="00811B1F">
      <w:pPr>
        <w:pStyle w:val="ListParagraph"/>
        <w:numPr>
          <w:ilvl w:val="0"/>
          <w:numId w:val="12"/>
        </w:numPr>
        <w:snapToGrid w:val="0"/>
        <w:spacing w:before="360" w:after="120"/>
        <w:rPr>
          <w:rFonts w:asciiTheme="minorHAnsi" w:hAnsiTheme="minorHAnsi"/>
          <w:b/>
          <w:bCs/>
          <w:sz w:val="28"/>
          <w:szCs w:val="28"/>
        </w:rPr>
      </w:pPr>
      <w:r w:rsidRPr="0055736D">
        <w:rPr>
          <w:rFonts w:asciiTheme="minorHAnsi" w:hAnsiTheme="minorHAnsi"/>
          <w:b/>
          <w:bCs/>
          <w:sz w:val="28"/>
          <w:szCs w:val="28"/>
          <w:lang w:val="en-US"/>
        </w:rPr>
        <w:t>Evolution</w:t>
      </w:r>
      <w:r w:rsidR="00421A21" w:rsidRPr="0055736D">
        <w:rPr>
          <w:rFonts w:asciiTheme="minorHAnsi" w:hAnsiTheme="minorHAnsi"/>
          <w:b/>
          <w:bCs/>
          <w:sz w:val="28"/>
          <w:szCs w:val="28"/>
          <w:lang w:val="en-US"/>
        </w:rPr>
        <w:t xml:space="preserve"> of the budget for translation of documents to the six official languages of the Union since 2010</w:t>
      </w:r>
      <w:r w:rsidR="009030F6" w:rsidRPr="0055736D">
        <w:rPr>
          <w:rFonts w:asciiTheme="minorHAnsi" w:hAnsiTheme="minorHAnsi"/>
          <w:b/>
          <w:bCs/>
          <w:sz w:val="28"/>
          <w:szCs w:val="28"/>
          <w:lang w:val="en-US"/>
        </w:rPr>
        <w:t xml:space="preserve"> </w:t>
      </w:r>
    </w:p>
    <w:p w14:paraId="5A62B4CB" w14:textId="079ABA66" w:rsidR="002F395B" w:rsidRPr="0055736D" w:rsidRDefault="0054057D" w:rsidP="002F395B">
      <w:pPr>
        <w:snapToGrid w:val="0"/>
        <w:spacing w:after="240"/>
        <w:rPr>
          <w:rFonts w:asciiTheme="minorHAnsi" w:hAnsiTheme="minorHAnsi"/>
          <w:szCs w:val="24"/>
        </w:rPr>
      </w:pPr>
      <w:r w:rsidRPr="0055736D">
        <w:rPr>
          <w:rFonts w:asciiTheme="minorHAnsi" w:hAnsiTheme="minorHAnsi"/>
          <w:szCs w:val="24"/>
        </w:rPr>
        <w:t xml:space="preserve">As requested by CWG-LANG, budgetary figures for translation services </w:t>
      </w:r>
      <w:bookmarkStart w:id="6" w:name="_GoBack"/>
      <w:r w:rsidR="000B6864">
        <w:rPr>
          <w:rFonts w:asciiTheme="minorHAnsi" w:hAnsiTheme="minorHAnsi"/>
          <w:szCs w:val="24"/>
        </w:rPr>
        <w:t>have been divided into</w:t>
      </w:r>
      <w:bookmarkEnd w:id="6"/>
      <w:r w:rsidRPr="0055736D">
        <w:rPr>
          <w:rFonts w:asciiTheme="minorHAnsi" w:hAnsiTheme="minorHAnsi"/>
          <w:szCs w:val="24"/>
        </w:rPr>
        <w:t xml:space="preserve"> three </w:t>
      </w:r>
      <w:r w:rsidR="000B6864">
        <w:rPr>
          <w:rFonts w:asciiTheme="minorHAnsi" w:hAnsiTheme="minorHAnsi"/>
          <w:szCs w:val="24"/>
        </w:rPr>
        <w:t>categories</w:t>
      </w:r>
      <w:r w:rsidR="00CA426F" w:rsidRPr="0055736D">
        <w:rPr>
          <w:rFonts w:asciiTheme="minorHAnsi" w:hAnsiTheme="minorHAnsi"/>
          <w:szCs w:val="24"/>
        </w:rPr>
        <w:t>:</w:t>
      </w:r>
      <w:r w:rsidRPr="0055736D">
        <w:rPr>
          <w:rFonts w:asciiTheme="minorHAnsi" w:hAnsiTheme="minorHAnsi"/>
          <w:szCs w:val="24"/>
        </w:rPr>
        <w:t xml:space="preserve"> cost of translation, cost of associated services</w:t>
      </w:r>
      <w:r w:rsidR="000B6864">
        <w:rPr>
          <w:rFonts w:asciiTheme="minorHAnsi" w:hAnsiTheme="minorHAnsi"/>
          <w:szCs w:val="24"/>
        </w:rPr>
        <w:t>,</w:t>
      </w:r>
      <w:r w:rsidRPr="0055736D">
        <w:rPr>
          <w:rFonts w:asciiTheme="minorHAnsi" w:hAnsiTheme="minorHAnsi"/>
          <w:szCs w:val="24"/>
        </w:rPr>
        <w:t xml:space="preserve"> and total cost</w:t>
      </w:r>
      <w:r w:rsidR="00CA426F" w:rsidRPr="0055736D">
        <w:rPr>
          <w:rFonts w:asciiTheme="minorHAnsi" w:hAnsiTheme="minorHAnsi"/>
          <w:szCs w:val="24"/>
        </w:rPr>
        <w:t>.</w:t>
      </w:r>
    </w:p>
    <w:p w14:paraId="0C200744" w14:textId="0CDD4F13" w:rsidR="002F395B" w:rsidRPr="0055736D" w:rsidRDefault="005056DC" w:rsidP="00765E7A">
      <w:pPr>
        <w:spacing w:before="360" w:after="120"/>
        <w:rPr>
          <w:rFonts w:asciiTheme="minorHAnsi" w:hAnsiTheme="minorHAnsi"/>
          <w:szCs w:val="24"/>
        </w:rPr>
      </w:pPr>
      <w:r w:rsidRPr="0055736D">
        <w:rPr>
          <w:noProof/>
          <w:lang w:eastAsia="zh-CN"/>
        </w:rPr>
        <w:drawing>
          <wp:inline distT="0" distB="0" distL="0" distR="0" wp14:anchorId="212F52C9" wp14:editId="62113EBD">
            <wp:extent cx="6000750" cy="260985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7AE0584-5A35-4D0E-B32F-3BD19C01AB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E9B448" w14:textId="77777777" w:rsidR="002F395B" w:rsidRPr="0055736D" w:rsidRDefault="002F395B" w:rsidP="002F395B">
      <w:pPr>
        <w:spacing w:before="360" w:after="120"/>
        <w:jc w:val="center"/>
        <w:rPr>
          <w:rFonts w:asciiTheme="minorHAnsi" w:hAnsiTheme="minorHAnsi"/>
          <w:szCs w:val="24"/>
        </w:rPr>
      </w:pPr>
      <w:r w:rsidRPr="00471BAA">
        <w:rPr>
          <w:noProof/>
          <w:lang w:eastAsia="zh-CN"/>
        </w:rPr>
        <w:lastRenderedPageBreak/>
        <w:drawing>
          <wp:inline distT="0" distB="0" distL="0" distR="0" wp14:anchorId="2845B722" wp14:editId="703959EC">
            <wp:extent cx="5219700" cy="2505075"/>
            <wp:effectExtent l="0" t="0" r="0" b="9525"/>
            <wp:docPr id="4" name="Chart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B59ECA-8152-4AFC-A913-1A5353B3CD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9FB25E" w14:textId="15C1063C" w:rsidR="00E60E60" w:rsidRPr="0055736D" w:rsidRDefault="006016CC" w:rsidP="002F395B">
      <w:pPr>
        <w:spacing w:before="360" w:after="120"/>
        <w:jc w:val="both"/>
        <w:rPr>
          <w:rFonts w:asciiTheme="minorHAnsi" w:hAnsiTheme="minorHAnsi"/>
          <w:szCs w:val="24"/>
        </w:rPr>
      </w:pPr>
      <w:r w:rsidRPr="0055736D">
        <w:rPr>
          <w:rFonts w:asciiTheme="minorHAnsi" w:hAnsiTheme="minorHAnsi"/>
          <w:szCs w:val="24"/>
        </w:rPr>
        <w:t xml:space="preserve">Translation volumes continue to reflect full equality of treatment of all </w:t>
      </w:r>
      <w:r w:rsidR="000B6864">
        <w:rPr>
          <w:rFonts w:asciiTheme="minorHAnsi" w:hAnsiTheme="minorHAnsi"/>
          <w:szCs w:val="24"/>
        </w:rPr>
        <w:t>six</w:t>
      </w:r>
      <w:r w:rsidRPr="0055736D">
        <w:rPr>
          <w:rFonts w:asciiTheme="minorHAnsi" w:hAnsiTheme="minorHAnsi"/>
          <w:szCs w:val="24"/>
        </w:rPr>
        <w:t xml:space="preserve"> ITU official languages. Translation output figures between 1 January and 3</w:t>
      </w:r>
      <w:r w:rsidR="00DC0A83" w:rsidRPr="0055736D">
        <w:rPr>
          <w:rFonts w:asciiTheme="minorHAnsi" w:hAnsiTheme="minorHAnsi"/>
          <w:szCs w:val="24"/>
        </w:rPr>
        <w:t>1 October</w:t>
      </w:r>
      <w:r w:rsidRPr="0055736D">
        <w:rPr>
          <w:rFonts w:asciiTheme="minorHAnsi" w:hAnsiTheme="minorHAnsi"/>
          <w:szCs w:val="24"/>
        </w:rPr>
        <w:t xml:space="preserve"> 201</w:t>
      </w:r>
      <w:r w:rsidR="00DC0A83" w:rsidRPr="0055736D">
        <w:rPr>
          <w:rFonts w:asciiTheme="minorHAnsi" w:hAnsiTheme="minorHAnsi"/>
          <w:szCs w:val="24"/>
        </w:rPr>
        <w:t>9</w:t>
      </w:r>
      <w:r w:rsidRPr="0055736D">
        <w:rPr>
          <w:rFonts w:asciiTheme="minorHAnsi" w:hAnsiTheme="minorHAnsi"/>
          <w:szCs w:val="24"/>
        </w:rPr>
        <w:t xml:space="preserve"> are as follows</w:t>
      </w:r>
      <w:r w:rsidR="000B6864">
        <w:rPr>
          <w:rFonts w:asciiTheme="minorHAnsi" w:hAnsiTheme="minorHAnsi"/>
          <w:szCs w:val="24"/>
        </w:rPr>
        <w:t>:</w:t>
      </w:r>
      <w:r w:rsidR="00C3310D" w:rsidRPr="0055736D">
        <w:rPr>
          <w:rFonts w:asciiTheme="minorHAnsi" w:hAnsiTheme="minorHAnsi"/>
          <w:szCs w:val="24"/>
        </w:rPr>
        <w:t xml:space="preserve"> </w:t>
      </w:r>
    </w:p>
    <w:tbl>
      <w:tblPr>
        <w:tblpPr w:leftFromText="180" w:rightFromText="180" w:vertAnchor="text" w:horzAnchor="margin" w:tblpY="-21"/>
        <w:tblW w:w="9892" w:type="dxa"/>
        <w:tblCellMar>
          <w:left w:w="0" w:type="dxa"/>
          <w:right w:w="0" w:type="dxa"/>
        </w:tblCellMar>
        <w:tblLook w:val="04A0" w:firstRow="1" w:lastRow="0" w:firstColumn="1" w:lastColumn="0" w:noHBand="0" w:noVBand="1"/>
      </w:tblPr>
      <w:tblGrid>
        <w:gridCol w:w="2526"/>
        <w:gridCol w:w="837"/>
        <w:gridCol w:w="984"/>
        <w:gridCol w:w="903"/>
        <w:gridCol w:w="884"/>
        <w:gridCol w:w="957"/>
        <w:gridCol w:w="236"/>
        <w:gridCol w:w="969"/>
        <w:gridCol w:w="1596"/>
      </w:tblGrid>
      <w:tr w:rsidR="00DC0A83" w:rsidRPr="0055736D" w14:paraId="6111C588" w14:textId="77777777" w:rsidTr="00DC0A83">
        <w:trPr>
          <w:trHeight w:val="282"/>
        </w:trPr>
        <w:tc>
          <w:tcPr>
            <w:tcW w:w="2526" w:type="dxa"/>
            <w:noWrap/>
            <w:tcMar>
              <w:top w:w="0" w:type="dxa"/>
              <w:left w:w="108" w:type="dxa"/>
              <w:bottom w:w="0" w:type="dxa"/>
              <w:right w:w="108" w:type="dxa"/>
            </w:tcMar>
            <w:vAlign w:val="bottom"/>
            <w:hideMark/>
          </w:tcPr>
          <w:p w14:paraId="7F8AA11A" w14:textId="77777777" w:rsidR="00DC0A83" w:rsidRPr="0055736D" w:rsidRDefault="00DC0A83" w:rsidP="008A3702">
            <w:pPr>
              <w:keepNext/>
              <w:jc w:val="center"/>
              <w:rPr>
                <w:rFonts w:asciiTheme="minorHAnsi" w:hAnsiTheme="minorHAnsi"/>
                <w:szCs w:val="24"/>
              </w:rPr>
            </w:pPr>
          </w:p>
        </w:tc>
        <w:tc>
          <w:tcPr>
            <w:tcW w:w="837" w:type="dxa"/>
            <w:tcBorders>
              <w:top w:val="nil"/>
              <w:left w:val="nil"/>
              <w:bottom w:val="single" w:sz="8" w:space="0" w:color="auto"/>
              <w:right w:val="nil"/>
            </w:tcBorders>
            <w:noWrap/>
            <w:tcMar>
              <w:top w:w="0" w:type="dxa"/>
              <w:left w:w="108" w:type="dxa"/>
              <w:bottom w:w="0" w:type="dxa"/>
              <w:right w:w="108" w:type="dxa"/>
            </w:tcMar>
            <w:vAlign w:val="bottom"/>
            <w:hideMark/>
          </w:tcPr>
          <w:p w14:paraId="04536473" w14:textId="77777777" w:rsidR="00DC0A83" w:rsidRPr="0055736D" w:rsidRDefault="00DC0A83" w:rsidP="008A3702">
            <w:pPr>
              <w:keepNext/>
              <w:overflowPunct/>
              <w:autoSpaceDE/>
              <w:autoSpaceDN/>
              <w:spacing w:before="0"/>
              <w:jc w:val="center"/>
              <w:rPr>
                <w:rFonts w:asciiTheme="minorHAnsi" w:hAnsiTheme="minorHAnsi"/>
                <w:szCs w:val="24"/>
                <w:lang w:eastAsia="zh-CN"/>
              </w:rPr>
            </w:pPr>
          </w:p>
        </w:tc>
        <w:tc>
          <w:tcPr>
            <w:tcW w:w="984" w:type="dxa"/>
            <w:tcBorders>
              <w:top w:val="nil"/>
              <w:left w:val="nil"/>
              <w:bottom w:val="single" w:sz="8" w:space="0" w:color="auto"/>
              <w:right w:val="nil"/>
            </w:tcBorders>
            <w:noWrap/>
            <w:tcMar>
              <w:top w:w="0" w:type="dxa"/>
              <w:left w:w="108" w:type="dxa"/>
              <w:bottom w:w="0" w:type="dxa"/>
              <w:right w:w="108" w:type="dxa"/>
            </w:tcMar>
            <w:vAlign w:val="bottom"/>
            <w:hideMark/>
          </w:tcPr>
          <w:p w14:paraId="0E4148F3" w14:textId="77777777" w:rsidR="00DC0A83" w:rsidRPr="0055736D" w:rsidRDefault="00DC0A83" w:rsidP="008A3702">
            <w:pPr>
              <w:keepNext/>
              <w:overflowPunct/>
              <w:autoSpaceDE/>
              <w:autoSpaceDN/>
              <w:spacing w:before="0"/>
              <w:jc w:val="center"/>
              <w:rPr>
                <w:rFonts w:asciiTheme="minorHAnsi" w:hAnsiTheme="minorHAnsi"/>
                <w:szCs w:val="24"/>
                <w:lang w:eastAsia="zh-CN"/>
              </w:rPr>
            </w:pPr>
          </w:p>
        </w:tc>
        <w:tc>
          <w:tcPr>
            <w:tcW w:w="903" w:type="dxa"/>
            <w:tcBorders>
              <w:top w:val="nil"/>
              <w:left w:val="nil"/>
              <w:bottom w:val="single" w:sz="8" w:space="0" w:color="auto"/>
              <w:right w:val="nil"/>
            </w:tcBorders>
            <w:noWrap/>
            <w:tcMar>
              <w:top w:w="0" w:type="dxa"/>
              <w:left w:w="108" w:type="dxa"/>
              <w:bottom w:w="0" w:type="dxa"/>
              <w:right w:w="108" w:type="dxa"/>
            </w:tcMar>
            <w:vAlign w:val="bottom"/>
            <w:hideMark/>
          </w:tcPr>
          <w:p w14:paraId="79985C74" w14:textId="77777777" w:rsidR="00DC0A83" w:rsidRPr="0055736D" w:rsidRDefault="00DC0A83" w:rsidP="008A3702">
            <w:pPr>
              <w:keepNext/>
              <w:overflowPunct/>
              <w:autoSpaceDE/>
              <w:autoSpaceDN/>
              <w:spacing w:before="0"/>
              <w:jc w:val="center"/>
              <w:rPr>
                <w:rFonts w:asciiTheme="minorHAnsi" w:hAnsiTheme="minorHAnsi"/>
                <w:szCs w:val="24"/>
                <w:lang w:eastAsia="zh-CN"/>
              </w:rPr>
            </w:pPr>
          </w:p>
        </w:tc>
        <w:tc>
          <w:tcPr>
            <w:tcW w:w="884" w:type="dxa"/>
            <w:tcBorders>
              <w:top w:val="nil"/>
              <w:left w:val="nil"/>
              <w:bottom w:val="single" w:sz="8" w:space="0" w:color="auto"/>
              <w:right w:val="nil"/>
            </w:tcBorders>
            <w:noWrap/>
            <w:tcMar>
              <w:top w:w="0" w:type="dxa"/>
              <w:left w:w="108" w:type="dxa"/>
              <w:bottom w:w="0" w:type="dxa"/>
              <w:right w:w="108" w:type="dxa"/>
            </w:tcMar>
            <w:vAlign w:val="bottom"/>
            <w:hideMark/>
          </w:tcPr>
          <w:p w14:paraId="651FC799" w14:textId="77777777" w:rsidR="00DC0A83" w:rsidRPr="0055736D" w:rsidRDefault="00DC0A83" w:rsidP="008A3702">
            <w:pPr>
              <w:keepNext/>
              <w:overflowPunct/>
              <w:autoSpaceDE/>
              <w:autoSpaceDN/>
              <w:spacing w:before="0"/>
              <w:jc w:val="center"/>
              <w:rPr>
                <w:rFonts w:asciiTheme="minorHAnsi" w:hAnsiTheme="minorHAnsi"/>
                <w:szCs w:val="24"/>
                <w:lang w:eastAsia="zh-CN"/>
              </w:rPr>
            </w:pPr>
          </w:p>
        </w:tc>
        <w:tc>
          <w:tcPr>
            <w:tcW w:w="957" w:type="dxa"/>
            <w:tcBorders>
              <w:top w:val="nil"/>
              <w:left w:val="nil"/>
              <w:bottom w:val="single" w:sz="8" w:space="0" w:color="auto"/>
              <w:right w:val="nil"/>
            </w:tcBorders>
            <w:noWrap/>
            <w:tcMar>
              <w:top w:w="0" w:type="dxa"/>
              <w:left w:w="108" w:type="dxa"/>
              <w:bottom w:w="0" w:type="dxa"/>
              <w:right w:w="108" w:type="dxa"/>
            </w:tcMar>
            <w:vAlign w:val="bottom"/>
            <w:hideMark/>
          </w:tcPr>
          <w:p w14:paraId="0F39235C" w14:textId="77777777" w:rsidR="00DC0A83" w:rsidRPr="0055736D" w:rsidRDefault="00DC0A83" w:rsidP="008A3702">
            <w:pPr>
              <w:keepNext/>
              <w:overflowPunct/>
              <w:autoSpaceDE/>
              <w:autoSpaceDN/>
              <w:spacing w:before="0"/>
              <w:jc w:val="center"/>
              <w:rPr>
                <w:rFonts w:asciiTheme="minorHAnsi" w:hAnsiTheme="minorHAnsi"/>
                <w:szCs w:val="24"/>
                <w:lang w:eastAsia="zh-CN"/>
              </w:rPr>
            </w:pPr>
          </w:p>
        </w:tc>
        <w:tc>
          <w:tcPr>
            <w:tcW w:w="969" w:type="dxa"/>
            <w:tcBorders>
              <w:top w:val="nil"/>
              <w:left w:val="nil"/>
              <w:bottom w:val="single" w:sz="8" w:space="0" w:color="auto"/>
              <w:right w:val="nil"/>
            </w:tcBorders>
          </w:tcPr>
          <w:p w14:paraId="78FA08DC" w14:textId="77777777" w:rsidR="00DC0A83" w:rsidRPr="0055736D" w:rsidRDefault="00DC0A83" w:rsidP="008A3702">
            <w:pPr>
              <w:keepNext/>
              <w:overflowPunct/>
              <w:autoSpaceDE/>
              <w:autoSpaceDN/>
              <w:spacing w:before="0"/>
              <w:jc w:val="center"/>
              <w:rPr>
                <w:rFonts w:asciiTheme="minorHAnsi" w:hAnsiTheme="minorHAnsi"/>
                <w:szCs w:val="24"/>
                <w:lang w:eastAsia="zh-CN"/>
              </w:rPr>
            </w:pPr>
          </w:p>
        </w:tc>
        <w:tc>
          <w:tcPr>
            <w:tcW w:w="236" w:type="dxa"/>
            <w:tcBorders>
              <w:top w:val="nil"/>
              <w:left w:val="nil"/>
              <w:bottom w:val="single" w:sz="8" w:space="0" w:color="auto"/>
              <w:right w:val="nil"/>
            </w:tcBorders>
            <w:noWrap/>
            <w:tcMar>
              <w:top w:w="0" w:type="dxa"/>
              <w:left w:w="108" w:type="dxa"/>
              <w:bottom w:w="0" w:type="dxa"/>
              <w:right w:w="108" w:type="dxa"/>
            </w:tcMar>
            <w:vAlign w:val="bottom"/>
            <w:hideMark/>
          </w:tcPr>
          <w:p w14:paraId="1E0E2DAE" w14:textId="36872097" w:rsidR="00DC0A83" w:rsidRPr="0055736D" w:rsidRDefault="00DC0A83" w:rsidP="008A3702">
            <w:pPr>
              <w:keepNext/>
              <w:overflowPunct/>
              <w:autoSpaceDE/>
              <w:autoSpaceDN/>
              <w:spacing w:before="0"/>
              <w:jc w:val="center"/>
              <w:rPr>
                <w:rFonts w:asciiTheme="minorHAnsi" w:hAnsiTheme="minorHAnsi"/>
                <w:szCs w:val="24"/>
                <w:lang w:eastAsia="zh-CN"/>
              </w:rPr>
            </w:pPr>
          </w:p>
        </w:tc>
        <w:tc>
          <w:tcPr>
            <w:tcW w:w="1596" w:type="dxa"/>
            <w:tcBorders>
              <w:top w:val="nil"/>
              <w:left w:val="nil"/>
              <w:bottom w:val="single" w:sz="8" w:space="0" w:color="auto"/>
              <w:right w:val="nil"/>
            </w:tcBorders>
            <w:noWrap/>
            <w:tcMar>
              <w:top w:w="0" w:type="dxa"/>
              <w:left w:w="108" w:type="dxa"/>
              <w:bottom w:w="0" w:type="dxa"/>
              <w:right w:w="108" w:type="dxa"/>
            </w:tcMar>
            <w:vAlign w:val="bottom"/>
            <w:hideMark/>
          </w:tcPr>
          <w:p w14:paraId="20FB3AF6" w14:textId="77777777" w:rsidR="00DC0A83" w:rsidRPr="0055736D" w:rsidRDefault="00DC0A83" w:rsidP="008A3702">
            <w:pPr>
              <w:keepNext/>
              <w:overflowPunct/>
              <w:autoSpaceDE/>
              <w:autoSpaceDN/>
              <w:spacing w:before="0"/>
              <w:jc w:val="center"/>
              <w:rPr>
                <w:rFonts w:asciiTheme="minorHAnsi" w:hAnsiTheme="minorHAnsi"/>
                <w:szCs w:val="24"/>
                <w:lang w:eastAsia="zh-CN"/>
              </w:rPr>
            </w:pPr>
          </w:p>
        </w:tc>
      </w:tr>
      <w:tr w:rsidR="00DC0A83" w:rsidRPr="0055736D" w14:paraId="72DC249C" w14:textId="77777777" w:rsidTr="00DC0A83">
        <w:trPr>
          <w:trHeight w:val="210"/>
        </w:trPr>
        <w:tc>
          <w:tcPr>
            <w:tcW w:w="25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D3EE44" w14:textId="32ACADF9" w:rsidR="00DC0A83" w:rsidRPr="0055736D" w:rsidRDefault="00DC0A83" w:rsidP="008A3702">
            <w:pPr>
              <w:keepNext/>
              <w:overflowPunct/>
              <w:autoSpaceDE/>
              <w:spacing w:before="0"/>
              <w:jc w:val="center"/>
              <w:rPr>
                <w:rFonts w:asciiTheme="minorHAnsi" w:eastAsiaTheme="minorEastAsia" w:hAnsiTheme="minorHAnsi"/>
                <w:b/>
                <w:bCs/>
                <w:szCs w:val="24"/>
                <w:lang w:eastAsia="zh-CN"/>
              </w:rPr>
            </w:pPr>
          </w:p>
        </w:tc>
        <w:tc>
          <w:tcPr>
            <w:tcW w:w="837"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3A6863D8" w14:textId="77777777" w:rsidR="00DC0A83" w:rsidRPr="0055736D" w:rsidRDefault="00DC0A83" w:rsidP="008A3702">
            <w:pPr>
              <w:keepNext/>
              <w:overflowPunct/>
              <w:autoSpaceDE/>
              <w:spacing w:before="0"/>
              <w:jc w:val="center"/>
              <w:rPr>
                <w:rFonts w:asciiTheme="minorHAnsi" w:hAnsiTheme="minorHAnsi"/>
                <w:szCs w:val="24"/>
                <w:lang w:eastAsia="zh-CN"/>
              </w:rPr>
            </w:pPr>
            <w:r w:rsidRPr="0055736D">
              <w:rPr>
                <w:rFonts w:asciiTheme="minorHAnsi" w:hAnsiTheme="minorHAnsi"/>
                <w:szCs w:val="24"/>
                <w:lang w:eastAsia="zh-CN"/>
              </w:rPr>
              <w:t>Arabic</w:t>
            </w:r>
          </w:p>
        </w:tc>
        <w:tc>
          <w:tcPr>
            <w:tcW w:w="984"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51CB37B4" w14:textId="77777777" w:rsidR="00DC0A83" w:rsidRPr="0055736D" w:rsidRDefault="00DC0A83" w:rsidP="008A3702">
            <w:pPr>
              <w:keepNext/>
              <w:overflowPunct/>
              <w:autoSpaceDE/>
              <w:spacing w:before="0"/>
              <w:jc w:val="center"/>
              <w:rPr>
                <w:rFonts w:asciiTheme="minorHAnsi" w:hAnsiTheme="minorHAnsi"/>
                <w:szCs w:val="24"/>
                <w:lang w:eastAsia="zh-CN"/>
              </w:rPr>
            </w:pPr>
            <w:r w:rsidRPr="0055736D">
              <w:rPr>
                <w:rFonts w:asciiTheme="minorHAnsi" w:hAnsiTheme="minorHAnsi"/>
                <w:szCs w:val="24"/>
                <w:lang w:eastAsia="zh-CN"/>
              </w:rPr>
              <w:t>Chinese</w:t>
            </w:r>
          </w:p>
        </w:tc>
        <w:tc>
          <w:tcPr>
            <w:tcW w:w="903"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7C24C3E3" w14:textId="77777777" w:rsidR="00DC0A83" w:rsidRPr="0055736D" w:rsidRDefault="00DC0A83" w:rsidP="008A3702">
            <w:pPr>
              <w:keepNext/>
              <w:overflowPunct/>
              <w:autoSpaceDE/>
              <w:spacing w:before="0"/>
              <w:jc w:val="center"/>
              <w:rPr>
                <w:rFonts w:asciiTheme="minorHAnsi" w:hAnsiTheme="minorHAnsi"/>
                <w:szCs w:val="24"/>
                <w:lang w:eastAsia="zh-CN"/>
              </w:rPr>
            </w:pPr>
            <w:r w:rsidRPr="0055736D">
              <w:rPr>
                <w:rFonts w:asciiTheme="minorHAnsi" w:hAnsiTheme="minorHAnsi"/>
                <w:szCs w:val="24"/>
                <w:lang w:eastAsia="zh-CN"/>
              </w:rPr>
              <w:t>English</w:t>
            </w:r>
          </w:p>
        </w:tc>
        <w:tc>
          <w:tcPr>
            <w:tcW w:w="884"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297BD0F4" w14:textId="77777777" w:rsidR="00DC0A83" w:rsidRPr="0055736D" w:rsidRDefault="00DC0A83" w:rsidP="008A3702">
            <w:pPr>
              <w:keepNext/>
              <w:overflowPunct/>
              <w:autoSpaceDE/>
              <w:spacing w:before="0"/>
              <w:jc w:val="center"/>
              <w:rPr>
                <w:rFonts w:asciiTheme="minorHAnsi" w:hAnsiTheme="minorHAnsi"/>
                <w:szCs w:val="24"/>
                <w:lang w:eastAsia="zh-CN"/>
              </w:rPr>
            </w:pPr>
            <w:r w:rsidRPr="0055736D">
              <w:rPr>
                <w:rFonts w:asciiTheme="minorHAnsi" w:hAnsiTheme="minorHAnsi"/>
                <w:szCs w:val="24"/>
                <w:lang w:eastAsia="zh-CN"/>
              </w:rPr>
              <w:t>French</w:t>
            </w:r>
          </w:p>
        </w:tc>
        <w:tc>
          <w:tcPr>
            <w:tcW w:w="957"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0E0BF34A" w14:textId="77777777" w:rsidR="00DC0A83" w:rsidRPr="0055736D" w:rsidRDefault="00DC0A83" w:rsidP="008A3702">
            <w:pPr>
              <w:keepNext/>
              <w:overflowPunct/>
              <w:autoSpaceDE/>
              <w:spacing w:before="0"/>
              <w:jc w:val="center"/>
              <w:rPr>
                <w:rFonts w:asciiTheme="minorHAnsi" w:hAnsiTheme="minorHAnsi"/>
                <w:szCs w:val="24"/>
                <w:lang w:eastAsia="zh-CN"/>
              </w:rPr>
            </w:pPr>
            <w:r w:rsidRPr="0055736D">
              <w:rPr>
                <w:rFonts w:asciiTheme="minorHAnsi" w:hAnsiTheme="minorHAnsi"/>
                <w:szCs w:val="24"/>
                <w:lang w:eastAsia="zh-CN"/>
              </w:rPr>
              <w:t>Russian</w:t>
            </w:r>
          </w:p>
        </w:tc>
        <w:tc>
          <w:tcPr>
            <w:tcW w:w="969" w:type="dxa"/>
            <w:tcBorders>
              <w:top w:val="nil"/>
              <w:left w:val="nil"/>
              <w:bottom w:val="single" w:sz="8" w:space="0" w:color="auto"/>
              <w:right w:val="nil"/>
            </w:tcBorders>
            <w:shd w:val="clear" w:color="auto" w:fill="DFDFDF"/>
          </w:tcPr>
          <w:p w14:paraId="57407AA7" w14:textId="77777777" w:rsidR="00DC0A83" w:rsidRPr="0055736D" w:rsidRDefault="00DC0A83" w:rsidP="008A3702">
            <w:pPr>
              <w:keepNext/>
              <w:overflowPunct/>
              <w:autoSpaceDE/>
              <w:spacing w:before="0"/>
              <w:jc w:val="center"/>
              <w:rPr>
                <w:rFonts w:asciiTheme="minorHAnsi" w:hAnsiTheme="minorHAnsi"/>
                <w:szCs w:val="24"/>
                <w:lang w:eastAsia="zh-CN"/>
              </w:rPr>
            </w:pPr>
          </w:p>
        </w:tc>
        <w:tc>
          <w:tcPr>
            <w:tcW w:w="236"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7B811EC4" w14:textId="2B32CF1E" w:rsidR="00DC0A83" w:rsidRPr="0055736D" w:rsidRDefault="00DC0A83" w:rsidP="008A3702">
            <w:pPr>
              <w:keepNext/>
              <w:overflowPunct/>
              <w:autoSpaceDE/>
              <w:spacing w:before="0"/>
              <w:jc w:val="center"/>
              <w:rPr>
                <w:rFonts w:asciiTheme="minorHAnsi" w:hAnsiTheme="minorHAnsi"/>
                <w:szCs w:val="24"/>
                <w:lang w:eastAsia="zh-CN"/>
              </w:rPr>
            </w:pPr>
            <w:r w:rsidRPr="0055736D">
              <w:rPr>
                <w:rFonts w:asciiTheme="minorHAnsi" w:hAnsiTheme="minorHAnsi"/>
                <w:szCs w:val="24"/>
                <w:lang w:eastAsia="zh-CN"/>
              </w:rPr>
              <w:t>Spanish</w:t>
            </w:r>
          </w:p>
        </w:tc>
        <w:tc>
          <w:tcPr>
            <w:tcW w:w="1596"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238650F2" w14:textId="77777777" w:rsidR="00DC0A83" w:rsidRPr="0055736D" w:rsidRDefault="00DC0A83" w:rsidP="008A3702">
            <w:pPr>
              <w:keepNext/>
              <w:overflowPunct/>
              <w:autoSpaceDE/>
              <w:spacing w:before="0"/>
              <w:jc w:val="center"/>
              <w:rPr>
                <w:rFonts w:asciiTheme="minorHAnsi" w:hAnsiTheme="minorHAnsi"/>
                <w:b/>
                <w:bCs/>
                <w:szCs w:val="24"/>
                <w:lang w:eastAsia="zh-CN"/>
              </w:rPr>
            </w:pPr>
            <w:r w:rsidRPr="0055736D">
              <w:rPr>
                <w:rFonts w:asciiTheme="minorHAnsi" w:hAnsiTheme="minorHAnsi"/>
                <w:b/>
                <w:bCs/>
                <w:szCs w:val="24"/>
                <w:lang w:eastAsia="zh-CN"/>
              </w:rPr>
              <w:t>TOTAL</w:t>
            </w:r>
          </w:p>
        </w:tc>
      </w:tr>
      <w:tr w:rsidR="00DC0A83" w:rsidRPr="0055736D" w14:paraId="4791C965" w14:textId="77777777" w:rsidTr="00DC0A83">
        <w:trPr>
          <w:trHeight w:val="240"/>
        </w:trPr>
        <w:tc>
          <w:tcPr>
            <w:tcW w:w="252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2756691" w14:textId="79F701D4" w:rsidR="00DC0A83" w:rsidRPr="0055736D" w:rsidRDefault="00DC0A83" w:rsidP="008A3702">
            <w:pPr>
              <w:keepNext/>
              <w:overflowPunct/>
              <w:autoSpaceDE/>
              <w:spacing w:before="0"/>
              <w:jc w:val="center"/>
              <w:rPr>
                <w:rFonts w:asciiTheme="minorHAnsi" w:hAnsiTheme="minorHAnsi"/>
                <w:szCs w:val="24"/>
                <w:lang w:eastAsia="zh-CN"/>
              </w:rPr>
            </w:pPr>
            <w:r w:rsidRPr="0055736D">
              <w:rPr>
                <w:rFonts w:asciiTheme="minorHAnsi" w:hAnsiTheme="minorHAnsi"/>
                <w:szCs w:val="24"/>
                <w:lang w:eastAsia="zh-CN"/>
              </w:rPr>
              <w:t>Output translation</w:t>
            </w:r>
          </w:p>
        </w:tc>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CEC7FBF" w14:textId="275D34B7" w:rsidR="00DC0A83" w:rsidRPr="0055736D" w:rsidRDefault="00A4594E" w:rsidP="008A3702">
            <w:pPr>
              <w:keepNext/>
              <w:overflowPunct/>
              <w:autoSpaceDE/>
              <w:spacing w:before="0"/>
              <w:jc w:val="center"/>
              <w:rPr>
                <w:rFonts w:asciiTheme="minorHAnsi" w:hAnsiTheme="minorHAnsi" w:cstheme="minorHAnsi"/>
                <w:szCs w:val="24"/>
                <w:lang w:eastAsia="zh-CN"/>
              </w:rPr>
            </w:pPr>
            <w:r w:rsidRPr="0055736D">
              <w:rPr>
                <w:rFonts w:asciiTheme="minorHAnsi" w:hAnsiTheme="minorHAnsi" w:cstheme="minorHAnsi"/>
                <w:szCs w:val="24"/>
                <w:lang w:eastAsia="zh-CN"/>
              </w:rPr>
              <w:t>7271</w:t>
            </w:r>
          </w:p>
        </w:tc>
        <w:tc>
          <w:tcPr>
            <w:tcW w:w="984" w:type="dxa"/>
            <w:tcBorders>
              <w:top w:val="nil"/>
              <w:left w:val="nil"/>
              <w:bottom w:val="single" w:sz="8" w:space="0" w:color="auto"/>
              <w:right w:val="single" w:sz="8" w:space="0" w:color="auto"/>
            </w:tcBorders>
            <w:noWrap/>
            <w:tcMar>
              <w:top w:w="0" w:type="dxa"/>
              <w:left w:w="108" w:type="dxa"/>
              <w:bottom w:w="0" w:type="dxa"/>
              <w:right w:w="108" w:type="dxa"/>
            </w:tcMar>
          </w:tcPr>
          <w:p w14:paraId="47EDAFA2" w14:textId="421497A1" w:rsidR="00DC0A83" w:rsidRPr="0055736D" w:rsidRDefault="00A4594E" w:rsidP="008A3702">
            <w:pPr>
              <w:keepNext/>
              <w:overflowPunct/>
              <w:autoSpaceDE/>
              <w:spacing w:before="0"/>
              <w:jc w:val="center"/>
              <w:rPr>
                <w:rFonts w:asciiTheme="minorHAnsi" w:hAnsiTheme="minorHAnsi" w:cstheme="minorHAnsi"/>
                <w:szCs w:val="24"/>
                <w:lang w:eastAsia="zh-CN"/>
              </w:rPr>
            </w:pPr>
            <w:r w:rsidRPr="0055736D">
              <w:rPr>
                <w:rFonts w:asciiTheme="minorHAnsi" w:hAnsiTheme="minorHAnsi" w:cstheme="minorHAnsi"/>
                <w:szCs w:val="24"/>
                <w:lang w:eastAsia="zh-CN"/>
              </w:rPr>
              <w:t>7541</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tcPr>
          <w:p w14:paraId="0477C454" w14:textId="0A014787" w:rsidR="00DC0A83" w:rsidRPr="0055736D" w:rsidRDefault="00A4594E" w:rsidP="008A3702">
            <w:pPr>
              <w:keepNext/>
              <w:overflowPunct/>
              <w:autoSpaceDE/>
              <w:spacing w:before="0"/>
              <w:jc w:val="center"/>
              <w:rPr>
                <w:rFonts w:asciiTheme="minorHAnsi" w:hAnsiTheme="minorHAnsi" w:cstheme="minorHAnsi"/>
                <w:szCs w:val="24"/>
                <w:lang w:eastAsia="zh-CN"/>
              </w:rPr>
            </w:pPr>
            <w:r w:rsidRPr="0055736D">
              <w:rPr>
                <w:rFonts w:asciiTheme="minorHAnsi" w:hAnsiTheme="minorHAnsi" w:cstheme="minorHAnsi"/>
                <w:szCs w:val="24"/>
                <w:lang w:eastAsia="zh-CN"/>
              </w:rPr>
              <w:t>1793</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tcPr>
          <w:p w14:paraId="01B38244" w14:textId="26C8E71C" w:rsidR="00DC0A83" w:rsidRPr="0055736D" w:rsidRDefault="00A4594E" w:rsidP="008A3702">
            <w:pPr>
              <w:keepNext/>
              <w:overflowPunct/>
              <w:autoSpaceDE/>
              <w:spacing w:before="0"/>
              <w:jc w:val="center"/>
              <w:rPr>
                <w:rFonts w:asciiTheme="minorHAnsi" w:hAnsiTheme="minorHAnsi" w:cstheme="minorHAnsi"/>
                <w:szCs w:val="24"/>
                <w:lang w:eastAsia="zh-CN"/>
              </w:rPr>
            </w:pPr>
            <w:r w:rsidRPr="0055736D">
              <w:rPr>
                <w:rFonts w:asciiTheme="minorHAnsi" w:hAnsiTheme="minorHAnsi" w:cstheme="minorHAnsi"/>
                <w:szCs w:val="24"/>
                <w:lang w:eastAsia="zh-CN"/>
              </w:rPr>
              <w:t>8170</w:t>
            </w:r>
          </w:p>
        </w:tc>
        <w:tc>
          <w:tcPr>
            <w:tcW w:w="957" w:type="dxa"/>
            <w:tcBorders>
              <w:top w:val="nil"/>
              <w:left w:val="nil"/>
              <w:bottom w:val="single" w:sz="8" w:space="0" w:color="auto"/>
              <w:right w:val="single" w:sz="8" w:space="0" w:color="auto"/>
            </w:tcBorders>
            <w:noWrap/>
            <w:tcMar>
              <w:top w:w="0" w:type="dxa"/>
              <w:left w:w="108" w:type="dxa"/>
              <w:bottom w:w="0" w:type="dxa"/>
              <w:right w:w="108" w:type="dxa"/>
            </w:tcMar>
          </w:tcPr>
          <w:p w14:paraId="5E992392" w14:textId="211AB9C1" w:rsidR="00DC0A83" w:rsidRPr="0055736D" w:rsidRDefault="00A4594E" w:rsidP="008A3702">
            <w:pPr>
              <w:keepNext/>
              <w:overflowPunct/>
              <w:autoSpaceDE/>
              <w:spacing w:before="0"/>
              <w:jc w:val="center"/>
              <w:rPr>
                <w:rFonts w:asciiTheme="minorHAnsi" w:hAnsiTheme="minorHAnsi" w:cstheme="minorHAnsi"/>
                <w:szCs w:val="24"/>
                <w:lang w:eastAsia="zh-CN"/>
              </w:rPr>
            </w:pPr>
            <w:r w:rsidRPr="0055736D">
              <w:rPr>
                <w:rFonts w:asciiTheme="minorHAnsi" w:hAnsiTheme="minorHAnsi" w:cstheme="minorHAnsi"/>
                <w:szCs w:val="24"/>
                <w:lang w:eastAsia="zh-CN"/>
              </w:rPr>
              <w:t>6691</w:t>
            </w:r>
          </w:p>
        </w:tc>
        <w:tc>
          <w:tcPr>
            <w:tcW w:w="969" w:type="dxa"/>
            <w:tcBorders>
              <w:top w:val="nil"/>
              <w:left w:val="nil"/>
              <w:bottom w:val="single" w:sz="8" w:space="0" w:color="auto"/>
              <w:right w:val="nil"/>
            </w:tcBorders>
          </w:tcPr>
          <w:p w14:paraId="3AF97E33" w14:textId="77777777" w:rsidR="00DC0A83" w:rsidRPr="0055736D" w:rsidRDefault="00DC0A83" w:rsidP="008A3702">
            <w:pPr>
              <w:keepNext/>
              <w:overflowPunct/>
              <w:autoSpaceDE/>
              <w:spacing w:before="0"/>
              <w:jc w:val="center"/>
              <w:rPr>
                <w:rFonts w:asciiTheme="minorHAnsi" w:hAnsiTheme="minorHAnsi" w:cstheme="minorHAnsi"/>
                <w:szCs w:val="24"/>
                <w:lang w:eastAsia="zh-CN"/>
              </w:rPr>
            </w:pPr>
          </w:p>
        </w:tc>
        <w:tc>
          <w:tcPr>
            <w:tcW w:w="236" w:type="dxa"/>
            <w:tcBorders>
              <w:top w:val="nil"/>
              <w:left w:val="nil"/>
              <w:bottom w:val="single" w:sz="8" w:space="0" w:color="auto"/>
              <w:right w:val="single" w:sz="8" w:space="0" w:color="auto"/>
            </w:tcBorders>
            <w:noWrap/>
            <w:tcMar>
              <w:top w:w="0" w:type="dxa"/>
              <w:left w:w="108" w:type="dxa"/>
              <w:bottom w:w="0" w:type="dxa"/>
              <w:right w:w="108" w:type="dxa"/>
            </w:tcMar>
          </w:tcPr>
          <w:p w14:paraId="33F69313" w14:textId="2006D8F3" w:rsidR="00DC0A83" w:rsidRPr="0055736D" w:rsidRDefault="00A4594E" w:rsidP="008A3702">
            <w:pPr>
              <w:keepNext/>
              <w:overflowPunct/>
              <w:autoSpaceDE/>
              <w:spacing w:before="0"/>
              <w:jc w:val="center"/>
              <w:rPr>
                <w:rFonts w:asciiTheme="minorHAnsi" w:hAnsiTheme="minorHAnsi" w:cstheme="minorHAnsi"/>
                <w:szCs w:val="24"/>
                <w:lang w:eastAsia="zh-CN"/>
              </w:rPr>
            </w:pPr>
            <w:r w:rsidRPr="0055736D">
              <w:rPr>
                <w:rFonts w:asciiTheme="minorHAnsi" w:hAnsiTheme="minorHAnsi" w:cstheme="minorHAnsi"/>
                <w:szCs w:val="24"/>
                <w:lang w:eastAsia="zh-CN"/>
              </w:rPr>
              <w:t>7192</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tcPr>
          <w:p w14:paraId="15751420" w14:textId="212E5473" w:rsidR="00DC0A83" w:rsidRPr="0055736D" w:rsidRDefault="00A4594E" w:rsidP="008A3702">
            <w:pPr>
              <w:keepNext/>
              <w:overflowPunct/>
              <w:autoSpaceDE/>
              <w:spacing w:before="0"/>
              <w:jc w:val="center"/>
              <w:rPr>
                <w:rFonts w:asciiTheme="minorHAnsi" w:hAnsiTheme="minorHAnsi" w:cstheme="minorHAnsi"/>
                <w:b/>
                <w:bCs/>
                <w:szCs w:val="24"/>
                <w:lang w:eastAsia="zh-CN"/>
              </w:rPr>
            </w:pPr>
            <w:r w:rsidRPr="0055736D">
              <w:rPr>
                <w:rFonts w:asciiTheme="minorHAnsi" w:hAnsiTheme="minorHAnsi" w:cstheme="minorHAnsi"/>
                <w:b/>
                <w:bCs/>
                <w:szCs w:val="24"/>
                <w:lang w:eastAsia="zh-CN"/>
              </w:rPr>
              <w:t>38658</w:t>
            </w:r>
          </w:p>
        </w:tc>
      </w:tr>
    </w:tbl>
    <w:p w14:paraId="0EE542C3" w14:textId="6E953F38" w:rsidR="00421A21" w:rsidRPr="0055736D" w:rsidRDefault="00EA18E3" w:rsidP="00471BAA">
      <w:pPr>
        <w:snapToGrid w:val="0"/>
        <w:spacing w:before="360" w:after="120"/>
        <w:ind w:left="794" w:hanging="794"/>
        <w:rPr>
          <w:rFonts w:asciiTheme="minorHAnsi" w:hAnsiTheme="minorHAnsi"/>
          <w:b/>
          <w:bCs/>
          <w:i/>
          <w:iCs/>
          <w:szCs w:val="24"/>
          <w:lang w:val="en-US"/>
        </w:rPr>
      </w:pPr>
      <w:r w:rsidRPr="0055736D">
        <w:rPr>
          <w:rFonts w:asciiTheme="minorHAnsi" w:hAnsiTheme="minorHAnsi"/>
          <w:b/>
          <w:bCs/>
          <w:sz w:val="28"/>
          <w:szCs w:val="28"/>
        </w:rPr>
        <w:t>2.</w:t>
      </w:r>
      <w:r w:rsidRPr="0055736D">
        <w:rPr>
          <w:rFonts w:asciiTheme="minorHAnsi" w:hAnsiTheme="minorHAnsi"/>
          <w:b/>
          <w:bCs/>
          <w:sz w:val="28"/>
          <w:szCs w:val="28"/>
        </w:rPr>
        <w:tab/>
      </w:r>
      <w:r w:rsidR="00421A21" w:rsidRPr="0055736D">
        <w:rPr>
          <w:rFonts w:asciiTheme="minorHAnsi" w:hAnsiTheme="minorHAnsi"/>
          <w:b/>
          <w:bCs/>
          <w:sz w:val="28"/>
          <w:szCs w:val="28"/>
          <w:lang w:val="en-US"/>
        </w:rPr>
        <w:t>Procedures adopted by other international organizations inside and outside of the United</w:t>
      </w:r>
      <w:r w:rsidR="00421A21" w:rsidRPr="0055736D">
        <w:rPr>
          <w:rFonts w:asciiTheme="minorHAnsi" w:hAnsiTheme="minorHAnsi"/>
          <w:b/>
          <w:bCs/>
          <w:i/>
          <w:iCs/>
          <w:szCs w:val="24"/>
          <w:lang w:val="en-US"/>
        </w:rPr>
        <w:t xml:space="preserve"> </w:t>
      </w:r>
      <w:r w:rsidR="00421A21" w:rsidRPr="0055736D">
        <w:rPr>
          <w:rFonts w:asciiTheme="minorHAnsi" w:hAnsiTheme="minorHAnsi"/>
          <w:b/>
          <w:bCs/>
          <w:sz w:val="28"/>
          <w:szCs w:val="28"/>
          <w:lang w:val="en-US"/>
        </w:rPr>
        <w:t>Nations system and benchmark studies on their costs of translation</w:t>
      </w:r>
      <w:r w:rsidR="00987F7A" w:rsidRPr="0055736D">
        <w:rPr>
          <w:rFonts w:asciiTheme="minorHAnsi" w:hAnsiTheme="minorHAnsi"/>
          <w:b/>
          <w:bCs/>
          <w:i/>
          <w:iCs/>
          <w:szCs w:val="24"/>
          <w:lang w:val="en-US"/>
        </w:rPr>
        <w:t xml:space="preserve"> </w:t>
      </w:r>
    </w:p>
    <w:p w14:paraId="0C3EF215" w14:textId="2918F740" w:rsidR="00A22278" w:rsidRPr="0055736D" w:rsidRDefault="00871F1B" w:rsidP="008B0EB9">
      <w:pPr>
        <w:snapToGrid w:val="0"/>
        <w:spacing w:after="120"/>
        <w:jc w:val="both"/>
        <w:rPr>
          <w:rFonts w:asciiTheme="minorHAnsi" w:hAnsiTheme="minorHAnsi"/>
          <w:szCs w:val="24"/>
          <w:lang w:val="en-US" w:eastAsia="zh-CN"/>
        </w:rPr>
      </w:pPr>
      <w:r w:rsidRPr="0055736D">
        <w:rPr>
          <w:rFonts w:asciiTheme="minorHAnsi" w:hAnsiTheme="minorHAnsi"/>
          <w:szCs w:val="24"/>
        </w:rPr>
        <w:t>Through its</w:t>
      </w:r>
      <w:r w:rsidR="003160B2" w:rsidRPr="0055736D">
        <w:rPr>
          <w:rFonts w:asciiTheme="minorHAnsi" w:hAnsiTheme="minorHAnsi"/>
          <w:szCs w:val="24"/>
        </w:rPr>
        <w:t xml:space="preserve"> active</w:t>
      </w:r>
      <w:r w:rsidRPr="0055736D">
        <w:rPr>
          <w:rFonts w:asciiTheme="minorHAnsi" w:hAnsiTheme="minorHAnsi"/>
          <w:szCs w:val="24"/>
        </w:rPr>
        <w:t xml:space="preserve"> participation in the International Annual Meeting on Language Arrangements, Documentation and Publications (IAMLADP) and </w:t>
      </w:r>
      <w:r w:rsidR="003242DF" w:rsidRPr="0055736D">
        <w:rPr>
          <w:rFonts w:asciiTheme="minorHAnsi" w:hAnsiTheme="minorHAnsi"/>
          <w:szCs w:val="24"/>
        </w:rPr>
        <w:t>its working groups and task-forces, plus the</w:t>
      </w:r>
      <w:r w:rsidRPr="0055736D">
        <w:rPr>
          <w:rFonts w:asciiTheme="minorHAnsi" w:hAnsiTheme="minorHAnsi"/>
          <w:szCs w:val="24"/>
        </w:rPr>
        <w:t xml:space="preserve"> </w:t>
      </w:r>
      <w:r w:rsidR="00144EB6" w:rsidRPr="0055736D">
        <w:rPr>
          <w:rFonts w:asciiTheme="minorHAnsi" w:hAnsiTheme="minorHAnsi"/>
          <w:szCs w:val="24"/>
        </w:rPr>
        <w:t xml:space="preserve">Joint Inter-Agency Meeting on Computer-Aided Translation and Terminology (JIAMCATT), ITU keeps abreast of procedures and IT tools adopted by other </w:t>
      </w:r>
      <w:r w:rsidR="000B6864">
        <w:rPr>
          <w:rFonts w:asciiTheme="minorHAnsi" w:hAnsiTheme="minorHAnsi"/>
          <w:szCs w:val="24"/>
        </w:rPr>
        <w:t>international organization</w:t>
      </w:r>
      <w:r w:rsidR="00144EB6" w:rsidRPr="0055736D">
        <w:rPr>
          <w:rFonts w:asciiTheme="minorHAnsi" w:hAnsiTheme="minorHAnsi"/>
          <w:szCs w:val="24"/>
        </w:rPr>
        <w:t>s</w:t>
      </w:r>
      <w:r w:rsidR="006D2FDD" w:rsidRPr="0055736D">
        <w:rPr>
          <w:rFonts w:asciiTheme="minorHAnsi" w:hAnsiTheme="minorHAnsi"/>
          <w:szCs w:val="24"/>
        </w:rPr>
        <w:t xml:space="preserve"> and</w:t>
      </w:r>
      <w:r w:rsidR="00144EB6" w:rsidRPr="0055736D">
        <w:rPr>
          <w:rFonts w:asciiTheme="minorHAnsi" w:hAnsiTheme="minorHAnsi"/>
          <w:szCs w:val="24"/>
        </w:rPr>
        <w:t xml:space="preserve"> adapt</w:t>
      </w:r>
      <w:r w:rsidR="00770E42" w:rsidRPr="0055736D">
        <w:rPr>
          <w:rFonts w:asciiTheme="minorHAnsi" w:hAnsiTheme="minorHAnsi"/>
          <w:szCs w:val="24"/>
        </w:rPr>
        <w:t>s</w:t>
      </w:r>
      <w:r w:rsidR="00144EB6" w:rsidRPr="0055736D">
        <w:rPr>
          <w:rFonts w:asciiTheme="minorHAnsi" w:hAnsiTheme="minorHAnsi"/>
          <w:szCs w:val="24"/>
        </w:rPr>
        <w:t xml:space="preserve"> its business model and procedures to the best practices resulting from such interaction</w:t>
      </w:r>
      <w:r w:rsidR="000B6864">
        <w:rPr>
          <w:rFonts w:asciiTheme="minorHAnsi" w:hAnsiTheme="minorHAnsi"/>
          <w:szCs w:val="24"/>
        </w:rPr>
        <w:t>s</w:t>
      </w:r>
      <w:r w:rsidR="00144EB6" w:rsidRPr="0055736D">
        <w:rPr>
          <w:rFonts w:asciiTheme="minorHAnsi" w:hAnsiTheme="minorHAnsi"/>
          <w:szCs w:val="24"/>
        </w:rPr>
        <w:t>.</w:t>
      </w:r>
    </w:p>
    <w:p w14:paraId="3A3465FB" w14:textId="3DD228B8" w:rsidR="001F4A16" w:rsidRPr="0055736D" w:rsidRDefault="004F0527" w:rsidP="001D150E">
      <w:pPr>
        <w:snapToGrid w:val="0"/>
        <w:spacing w:after="120"/>
        <w:jc w:val="both"/>
        <w:rPr>
          <w:rFonts w:asciiTheme="minorHAnsi" w:hAnsiTheme="minorHAnsi"/>
          <w:szCs w:val="24"/>
        </w:rPr>
      </w:pPr>
      <w:r w:rsidRPr="0055736D">
        <w:rPr>
          <w:rFonts w:asciiTheme="minorHAnsi" w:hAnsiTheme="minorHAnsi"/>
          <w:szCs w:val="24"/>
        </w:rPr>
        <w:t xml:space="preserve">The </w:t>
      </w:r>
      <w:r w:rsidR="00280530" w:rsidRPr="0055736D">
        <w:rPr>
          <w:rFonts w:asciiTheme="minorHAnsi" w:hAnsiTheme="minorHAnsi"/>
          <w:szCs w:val="24"/>
        </w:rPr>
        <w:t>201</w:t>
      </w:r>
      <w:r w:rsidR="00DC0A83" w:rsidRPr="0055736D">
        <w:rPr>
          <w:rFonts w:asciiTheme="minorHAnsi" w:hAnsiTheme="minorHAnsi"/>
          <w:szCs w:val="24"/>
        </w:rPr>
        <w:t>9</w:t>
      </w:r>
      <w:r w:rsidR="00280530" w:rsidRPr="0055736D">
        <w:rPr>
          <w:rFonts w:asciiTheme="minorHAnsi" w:hAnsiTheme="minorHAnsi"/>
          <w:szCs w:val="24"/>
        </w:rPr>
        <w:t xml:space="preserve"> </w:t>
      </w:r>
      <w:r w:rsidRPr="0055736D">
        <w:rPr>
          <w:rFonts w:asciiTheme="minorHAnsi" w:hAnsiTheme="minorHAnsi"/>
          <w:szCs w:val="24"/>
        </w:rPr>
        <w:t xml:space="preserve">International Annual Meeting on Language Arrangements, Documentation and Publications (IAMLADP) took place in </w:t>
      </w:r>
      <w:r w:rsidR="00DC0A83" w:rsidRPr="0055736D">
        <w:rPr>
          <w:rFonts w:asciiTheme="minorHAnsi" w:hAnsiTheme="minorHAnsi"/>
          <w:szCs w:val="24"/>
        </w:rPr>
        <w:t>Brussels</w:t>
      </w:r>
      <w:r w:rsidRPr="0055736D">
        <w:rPr>
          <w:rFonts w:asciiTheme="minorHAnsi" w:hAnsiTheme="minorHAnsi"/>
          <w:szCs w:val="24"/>
        </w:rPr>
        <w:t xml:space="preserve">, </w:t>
      </w:r>
      <w:r w:rsidR="00DC0A83" w:rsidRPr="0055736D">
        <w:rPr>
          <w:rFonts w:asciiTheme="minorHAnsi" w:hAnsiTheme="minorHAnsi"/>
          <w:szCs w:val="24"/>
        </w:rPr>
        <w:t>Belgium</w:t>
      </w:r>
      <w:r w:rsidRPr="0055736D">
        <w:rPr>
          <w:rFonts w:asciiTheme="minorHAnsi" w:hAnsiTheme="minorHAnsi"/>
          <w:szCs w:val="24"/>
        </w:rPr>
        <w:t xml:space="preserve">, </w:t>
      </w:r>
      <w:r w:rsidR="00DC0A83" w:rsidRPr="0055736D">
        <w:rPr>
          <w:rFonts w:asciiTheme="minorHAnsi" w:hAnsiTheme="minorHAnsi"/>
          <w:szCs w:val="24"/>
        </w:rPr>
        <w:t>from 27 to 29 May 2019</w:t>
      </w:r>
      <w:r w:rsidR="001D150E" w:rsidRPr="0055736D">
        <w:rPr>
          <w:rFonts w:asciiTheme="minorHAnsi" w:hAnsiTheme="minorHAnsi"/>
          <w:szCs w:val="24"/>
        </w:rPr>
        <w:t xml:space="preserve">, to </w:t>
      </w:r>
      <w:r w:rsidR="00E22205" w:rsidRPr="0055736D">
        <w:rPr>
          <w:rFonts w:asciiTheme="minorHAnsi" w:hAnsiTheme="minorHAnsi"/>
          <w:szCs w:val="24"/>
        </w:rPr>
        <w:t xml:space="preserve">discuss the impact of new technologies on language and conference services. </w:t>
      </w:r>
      <w:r w:rsidRPr="0055736D">
        <w:rPr>
          <w:rFonts w:asciiTheme="minorHAnsi" w:hAnsiTheme="minorHAnsi"/>
          <w:szCs w:val="24"/>
        </w:rPr>
        <w:t xml:space="preserve">IAMLADP members noted that </w:t>
      </w:r>
      <w:r w:rsidR="001C4F8B" w:rsidRPr="0055736D">
        <w:rPr>
          <w:rFonts w:asciiTheme="minorHAnsi" w:hAnsiTheme="minorHAnsi"/>
          <w:szCs w:val="24"/>
        </w:rPr>
        <w:t>Language Technologies (LTs) and Artificial Intelligence (AI) provide significant potential benefits for language and conference services and are therefore already an integral part – albeit to varying degrees – of the everyday work of IAMLADP members. The challenge for the future is to capitali</w:t>
      </w:r>
      <w:r w:rsidR="000B6864">
        <w:rPr>
          <w:rFonts w:asciiTheme="minorHAnsi" w:hAnsiTheme="minorHAnsi"/>
          <w:szCs w:val="24"/>
        </w:rPr>
        <w:t>z</w:t>
      </w:r>
      <w:r w:rsidR="001C4F8B" w:rsidRPr="0055736D">
        <w:rPr>
          <w:rFonts w:asciiTheme="minorHAnsi" w:hAnsiTheme="minorHAnsi"/>
          <w:szCs w:val="24"/>
        </w:rPr>
        <w:t xml:space="preserve">e on this positive development in order to increase the potential benefits, while identifying potential limitations and mitigating risks linked to the enhanced use of LTs and AI. </w:t>
      </w:r>
    </w:p>
    <w:p w14:paraId="48C54776" w14:textId="5FAD6C29" w:rsidR="00E22205" w:rsidRPr="0055736D" w:rsidRDefault="00E22205" w:rsidP="002F05BB">
      <w:pPr>
        <w:snapToGrid w:val="0"/>
        <w:spacing w:after="120"/>
        <w:jc w:val="both"/>
        <w:rPr>
          <w:rFonts w:asciiTheme="minorHAnsi" w:hAnsiTheme="minorHAnsi"/>
          <w:szCs w:val="24"/>
        </w:rPr>
      </w:pPr>
      <w:r w:rsidRPr="0055736D">
        <w:rPr>
          <w:rFonts w:asciiTheme="minorHAnsi" w:hAnsiTheme="minorHAnsi"/>
          <w:szCs w:val="24"/>
        </w:rPr>
        <w:t>IAMLADP members reached a set of strategic conclusions, namely:</w:t>
      </w:r>
    </w:p>
    <w:p w14:paraId="5634BC50" w14:textId="77777777" w:rsidR="00E22205" w:rsidRPr="0055736D" w:rsidRDefault="00E22205" w:rsidP="00DC7917">
      <w:pPr>
        <w:pStyle w:val="ListParagraph"/>
        <w:numPr>
          <w:ilvl w:val="0"/>
          <w:numId w:val="22"/>
        </w:numPr>
        <w:snapToGrid w:val="0"/>
        <w:spacing w:after="120"/>
        <w:jc w:val="both"/>
        <w:rPr>
          <w:rFonts w:asciiTheme="minorHAnsi" w:hAnsiTheme="minorHAnsi"/>
          <w:szCs w:val="24"/>
        </w:rPr>
      </w:pPr>
      <w:r w:rsidRPr="0055736D">
        <w:rPr>
          <w:rFonts w:asciiTheme="minorHAnsi" w:hAnsiTheme="minorHAnsi"/>
          <w:szCs w:val="24"/>
        </w:rPr>
        <w:t>the importance of conference services having clear frameworks for the ownership and management of the data they use and generate;</w:t>
      </w:r>
    </w:p>
    <w:p w14:paraId="7FDA0C88" w14:textId="77777777" w:rsidR="00E22205" w:rsidRPr="0055736D" w:rsidRDefault="00E22205" w:rsidP="00DC7917">
      <w:pPr>
        <w:pStyle w:val="ListParagraph"/>
        <w:numPr>
          <w:ilvl w:val="0"/>
          <w:numId w:val="22"/>
        </w:numPr>
        <w:snapToGrid w:val="0"/>
        <w:spacing w:after="120"/>
        <w:jc w:val="both"/>
        <w:rPr>
          <w:rFonts w:asciiTheme="minorHAnsi" w:hAnsiTheme="minorHAnsi"/>
          <w:szCs w:val="24"/>
        </w:rPr>
      </w:pPr>
      <w:r w:rsidRPr="0055736D">
        <w:rPr>
          <w:rFonts w:asciiTheme="minorHAnsi" w:hAnsiTheme="minorHAnsi"/>
          <w:szCs w:val="24"/>
        </w:rPr>
        <w:t>the importance of inclusive communication and of continuing to use, and to promote the use of, inclusive language; and</w:t>
      </w:r>
    </w:p>
    <w:p w14:paraId="350C57D1" w14:textId="2A3D0F98" w:rsidR="00E22205" w:rsidRPr="0055736D" w:rsidRDefault="00E22205" w:rsidP="00DC7917">
      <w:pPr>
        <w:pStyle w:val="ListParagraph"/>
        <w:numPr>
          <w:ilvl w:val="0"/>
          <w:numId w:val="22"/>
        </w:numPr>
        <w:snapToGrid w:val="0"/>
        <w:spacing w:after="120"/>
        <w:jc w:val="both"/>
        <w:rPr>
          <w:rFonts w:asciiTheme="minorHAnsi" w:hAnsiTheme="minorHAnsi"/>
          <w:szCs w:val="24"/>
        </w:rPr>
      </w:pPr>
      <w:r w:rsidRPr="0055736D">
        <w:rPr>
          <w:rFonts w:asciiTheme="minorHAnsi" w:hAnsiTheme="minorHAnsi"/>
          <w:szCs w:val="24"/>
        </w:rPr>
        <w:t xml:space="preserve">recognizing the impact, potential and limitations of artificial intelligence and other new technologies, </w:t>
      </w:r>
      <w:r w:rsidR="00615292" w:rsidRPr="0055736D">
        <w:rPr>
          <w:rFonts w:asciiTheme="minorHAnsi" w:hAnsiTheme="minorHAnsi"/>
          <w:szCs w:val="24"/>
        </w:rPr>
        <w:t xml:space="preserve">while </w:t>
      </w:r>
      <w:r w:rsidRPr="0055736D">
        <w:rPr>
          <w:rFonts w:asciiTheme="minorHAnsi" w:hAnsiTheme="minorHAnsi"/>
          <w:szCs w:val="24"/>
        </w:rPr>
        <w:t>stress</w:t>
      </w:r>
      <w:r w:rsidR="00615292" w:rsidRPr="0055736D">
        <w:rPr>
          <w:rFonts w:asciiTheme="minorHAnsi" w:hAnsiTheme="minorHAnsi"/>
          <w:szCs w:val="24"/>
        </w:rPr>
        <w:t>ing</w:t>
      </w:r>
      <w:r w:rsidRPr="0055736D">
        <w:rPr>
          <w:rFonts w:asciiTheme="minorHAnsi" w:hAnsiTheme="minorHAnsi"/>
          <w:szCs w:val="24"/>
        </w:rPr>
        <w:t xml:space="preserve"> the importance of: </w:t>
      </w:r>
    </w:p>
    <w:p w14:paraId="7576D1C5" w14:textId="6A5A746A" w:rsidR="00E22205" w:rsidRPr="0055736D" w:rsidRDefault="00E22205" w:rsidP="00E22205">
      <w:pPr>
        <w:pStyle w:val="ListParagraph"/>
        <w:numPr>
          <w:ilvl w:val="0"/>
          <w:numId w:val="21"/>
        </w:numPr>
        <w:snapToGrid w:val="0"/>
        <w:spacing w:after="120"/>
        <w:jc w:val="both"/>
        <w:rPr>
          <w:rFonts w:asciiTheme="minorHAnsi" w:hAnsiTheme="minorHAnsi"/>
          <w:szCs w:val="24"/>
        </w:rPr>
      </w:pPr>
      <w:r w:rsidRPr="0055736D">
        <w:rPr>
          <w:rFonts w:asciiTheme="minorHAnsi" w:hAnsiTheme="minorHAnsi"/>
          <w:szCs w:val="24"/>
        </w:rPr>
        <w:lastRenderedPageBreak/>
        <w:t xml:space="preserve">ensuring the investment in and application of these technologies, not only for the output of their language services, but also for the management of their workflows and other conference services; </w:t>
      </w:r>
    </w:p>
    <w:p w14:paraId="2B30FE78" w14:textId="50EACF3F" w:rsidR="00E22205" w:rsidRPr="0055736D" w:rsidRDefault="00E22205" w:rsidP="00E22205">
      <w:pPr>
        <w:pStyle w:val="ListParagraph"/>
        <w:numPr>
          <w:ilvl w:val="0"/>
          <w:numId w:val="21"/>
        </w:numPr>
        <w:snapToGrid w:val="0"/>
        <w:spacing w:after="120"/>
        <w:jc w:val="both"/>
        <w:rPr>
          <w:rFonts w:asciiTheme="minorHAnsi" w:hAnsiTheme="minorHAnsi"/>
          <w:szCs w:val="24"/>
        </w:rPr>
      </w:pPr>
      <w:r w:rsidRPr="0055736D">
        <w:rPr>
          <w:rFonts w:asciiTheme="minorHAnsi" w:hAnsiTheme="minorHAnsi"/>
          <w:szCs w:val="24"/>
        </w:rPr>
        <w:t>providing the required support for staff to adjust to the new paradigm, and embrace the advantages new technologies offer;</w:t>
      </w:r>
    </w:p>
    <w:p w14:paraId="7C5A1422" w14:textId="17FC7CC2" w:rsidR="00E22205" w:rsidRPr="0055736D" w:rsidRDefault="00E22205" w:rsidP="00E22205">
      <w:pPr>
        <w:pStyle w:val="ListParagraph"/>
        <w:numPr>
          <w:ilvl w:val="0"/>
          <w:numId w:val="21"/>
        </w:numPr>
        <w:snapToGrid w:val="0"/>
        <w:spacing w:after="120"/>
        <w:jc w:val="both"/>
        <w:rPr>
          <w:rFonts w:asciiTheme="minorHAnsi" w:hAnsiTheme="minorHAnsi"/>
          <w:szCs w:val="24"/>
        </w:rPr>
      </w:pPr>
      <w:r w:rsidRPr="0055736D">
        <w:rPr>
          <w:rFonts w:asciiTheme="minorHAnsi" w:hAnsiTheme="minorHAnsi"/>
          <w:szCs w:val="24"/>
        </w:rPr>
        <w:t>managing expectations among clients and leadership regarding the application of new technologies;</w:t>
      </w:r>
    </w:p>
    <w:p w14:paraId="4C4AE4FC" w14:textId="1075D8FD" w:rsidR="00E22205" w:rsidRPr="0055736D" w:rsidRDefault="00E22205" w:rsidP="00E22205">
      <w:pPr>
        <w:pStyle w:val="ListParagraph"/>
        <w:numPr>
          <w:ilvl w:val="0"/>
          <w:numId w:val="21"/>
        </w:numPr>
        <w:snapToGrid w:val="0"/>
        <w:spacing w:after="120"/>
        <w:jc w:val="both"/>
        <w:rPr>
          <w:rFonts w:asciiTheme="minorHAnsi" w:hAnsiTheme="minorHAnsi"/>
          <w:szCs w:val="24"/>
        </w:rPr>
      </w:pPr>
      <w:r w:rsidRPr="0055736D">
        <w:rPr>
          <w:rFonts w:asciiTheme="minorHAnsi" w:hAnsiTheme="minorHAnsi"/>
          <w:szCs w:val="24"/>
        </w:rPr>
        <w:t>language services driving and shaping the development of language technologies, and retaining control of the accreditation and recruitment of language staff; and,</w:t>
      </w:r>
    </w:p>
    <w:p w14:paraId="14121ADC" w14:textId="2E5E4701" w:rsidR="00E22205" w:rsidRPr="0055736D" w:rsidRDefault="00E22205" w:rsidP="00E22205">
      <w:pPr>
        <w:pStyle w:val="ListParagraph"/>
        <w:numPr>
          <w:ilvl w:val="0"/>
          <w:numId w:val="21"/>
        </w:numPr>
        <w:snapToGrid w:val="0"/>
        <w:spacing w:after="120"/>
        <w:jc w:val="both"/>
        <w:rPr>
          <w:rFonts w:asciiTheme="minorHAnsi" w:hAnsiTheme="minorHAnsi"/>
          <w:szCs w:val="24"/>
        </w:rPr>
      </w:pPr>
      <w:r w:rsidRPr="0055736D">
        <w:rPr>
          <w:rFonts w:asciiTheme="minorHAnsi" w:hAnsiTheme="minorHAnsi"/>
          <w:szCs w:val="24"/>
        </w:rPr>
        <w:t>conference services driving data management policies</w:t>
      </w:r>
    </w:p>
    <w:p w14:paraId="5DE73304" w14:textId="3C884260" w:rsidR="00421A21" w:rsidRPr="0055736D" w:rsidRDefault="00EA18E3" w:rsidP="00091FEC">
      <w:pPr>
        <w:tabs>
          <w:tab w:val="clear" w:pos="794"/>
          <w:tab w:val="clear" w:pos="1191"/>
          <w:tab w:val="clear" w:pos="1588"/>
          <w:tab w:val="clear" w:pos="1985"/>
        </w:tabs>
        <w:snapToGrid w:val="0"/>
        <w:spacing w:before="360" w:after="120"/>
        <w:ind w:left="709" w:hanging="709"/>
        <w:jc w:val="both"/>
        <w:rPr>
          <w:rFonts w:asciiTheme="minorHAnsi" w:hAnsiTheme="minorHAnsi" w:cs="Times New Roman Bold"/>
          <w:b/>
          <w:bCs/>
          <w:spacing w:val="-2"/>
          <w:sz w:val="28"/>
          <w:szCs w:val="28"/>
          <w:lang w:val="en-US"/>
        </w:rPr>
      </w:pPr>
      <w:bookmarkStart w:id="7" w:name="_Hlk26280428"/>
      <w:r w:rsidRPr="0055736D">
        <w:rPr>
          <w:rFonts w:asciiTheme="minorHAnsi" w:hAnsiTheme="minorHAnsi" w:cs="Times New Roman Bold"/>
          <w:b/>
          <w:bCs/>
          <w:spacing w:val="-2"/>
          <w:sz w:val="28"/>
          <w:szCs w:val="28"/>
          <w:lang w:val="en-US"/>
        </w:rPr>
        <w:t>3.</w:t>
      </w:r>
      <w:r w:rsidRPr="0055736D">
        <w:rPr>
          <w:rFonts w:asciiTheme="minorHAnsi" w:hAnsiTheme="minorHAnsi" w:cs="Times New Roman Bold"/>
          <w:b/>
          <w:bCs/>
          <w:spacing w:val="-2"/>
          <w:sz w:val="28"/>
          <w:szCs w:val="28"/>
          <w:lang w:val="en-US"/>
        </w:rPr>
        <w:tab/>
      </w:r>
      <w:r w:rsidR="00653B59" w:rsidRPr="0055736D">
        <w:rPr>
          <w:rFonts w:asciiTheme="minorHAnsi" w:hAnsiTheme="minorHAnsi" w:cs="Times New Roman Bold"/>
          <w:b/>
          <w:bCs/>
          <w:spacing w:val="-2"/>
          <w:sz w:val="28"/>
          <w:szCs w:val="28"/>
          <w:lang w:val="en-US"/>
        </w:rPr>
        <w:t>In</w:t>
      </w:r>
      <w:r w:rsidR="00421A21" w:rsidRPr="0055736D">
        <w:rPr>
          <w:rFonts w:asciiTheme="minorHAnsi" w:hAnsiTheme="minorHAnsi" w:cs="Times New Roman Bold"/>
          <w:b/>
          <w:bCs/>
          <w:spacing w:val="-2"/>
          <w:sz w:val="28"/>
          <w:szCs w:val="28"/>
          <w:lang w:val="en-US"/>
        </w:rPr>
        <w:t>itiatives undertaken by the General Secre</w:t>
      </w:r>
      <w:r w:rsidR="00471BAA">
        <w:rPr>
          <w:rFonts w:asciiTheme="minorHAnsi" w:hAnsiTheme="minorHAnsi" w:cs="Times New Roman Bold"/>
          <w:b/>
          <w:bCs/>
          <w:spacing w:val="-2"/>
          <w:sz w:val="28"/>
          <w:szCs w:val="28"/>
          <w:lang w:val="en-US"/>
        </w:rPr>
        <w:t>tariat and the three Bureaux to </w:t>
      </w:r>
      <w:r w:rsidR="00421A21" w:rsidRPr="0055736D">
        <w:rPr>
          <w:rFonts w:asciiTheme="minorHAnsi" w:hAnsiTheme="minorHAnsi" w:cs="Times New Roman Bold"/>
          <w:b/>
          <w:bCs/>
          <w:spacing w:val="-2"/>
          <w:sz w:val="28"/>
          <w:szCs w:val="28"/>
          <w:lang w:val="en-US"/>
        </w:rPr>
        <w:t xml:space="preserve">increase efficiencies and cost savings on the implementation of </w:t>
      </w:r>
      <w:r w:rsidR="00CA0003" w:rsidRPr="0055736D">
        <w:rPr>
          <w:rFonts w:asciiTheme="minorHAnsi" w:hAnsiTheme="minorHAnsi" w:cs="Times New Roman Bold"/>
          <w:b/>
          <w:bCs/>
          <w:spacing w:val="-2"/>
          <w:sz w:val="28"/>
          <w:szCs w:val="28"/>
          <w:lang w:val="en-US"/>
        </w:rPr>
        <w:t>Res.154 (R</w:t>
      </w:r>
      <w:r w:rsidR="00775FCA" w:rsidRPr="0055736D">
        <w:rPr>
          <w:rFonts w:asciiTheme="minorHAnsi" w:hAnsiTheme="minorHAnsi" w:cs="Times New Roman Bold"/>
          <w:b/>
          <w:bCs/>
          <w:spacing w:val="-2"/>
          <w:sz w:val="28"/>
          <w:szCs w:val="28"/>
          <w:lang w:val="en-US"/>
        </w:rPr>
        <w:t>ev.</w:t>
      </w:r>
      <w:r w:rsidR="003D4A0C" w:rsidRPr="0055736D">
        <w:rPr>
          <w:rFonts w:asciiTheme="minorHAnsi" w:hAnsiTheme="minorHAnsi" w:cs="Times New Roman Bold"/>
          <w:b/>
          <w:bCs/>
          <w:spacing w:val="-2"/>
          <w:sz w:val="28"/>
          <w:szCs w:val="28"/>
          <w:lang w:val="en-US"/>
        </w:rPr>
        <w:t xml:space="preserve"> Dubai</w:t>
      </w:r>
      <w:r w:rsidR="00775FCA" w:rsidRPr="0055736D">
        <w:rPr>
          <w:rFonts w:asciiTheme="minorHAnsi" w:hAnsiTheme="minorHAnsi" w:cs="Times New Roman Bold"/>
          <w:b/>
          <w:bCs/>
          <w:spacing w:val="-2"/>
          <w:sz w:val="28"/>
          <w:szCs w:val="28"/>
          <w:lang w:val="en-US"/>
        </w:rPr>
        <w:t>, 201</w:t>
      </w:r>
      <w:r w:rsidR="003D4A0C" w:rsidRPr="0055736D">
        <w:rPr>
          <w:rFonts w:asciiTheme="minorHAnsi" w:hAnsiTheme="minorHAnsi" w:cs="Times New Roman Bold"/>
          <w:b/>
          <w:bCs/>
          <w:spacing w:val="-2"/>
          <w:sz w:val="28"/>
          <w:szCs w:val="28"/>
          <w:lang w:val="en-US"/>
        </w:rPr>
        <w:t>8</w:t>
      </w:r>
      <w:r w:rsidR="00775FCA" w:rsidRPr="0055736D">
        <w:rPr>
          <w:rFonts w:asciiTheme="minorHAnsi" w:hAnsiTheme="minorHAnsi" w:cs="Times New Roman Bold"/>
          <w:b/>
          <w:bCs/>
          <w:spacing w:val="-2"/>
          <w:sz w:val="28"/>
          <w:szCs w:val="28"/>
          <w:lang w:val="en-US"/>
        </w:rPr>
        <w:t xml:space="preserve">) and </w:t>
      </w:r>
      <w:r w:rsidR="003D4A0C" w:rsidRPr="0055736D">
        <w:rPr>
          <w:rFonts w:asciiTheme="minorHAnsi" w:hAnsiTheme="minorHAnsi" w:cs="Times New Roman Bold"/>
          <w:b/>
          <w:bCs/>
          <w:spacing w:val="-2"/>
          <w:sz w:val="28"/>
          <w:szCs w:val="28"/>
          <w:lang w:val="en-US"/>
        </w:rPr>
        <w:t xml:space="preserve">Council </w:t>
      </w:r>
      <w:r w:rsidR="00775FCA" w:rsidRPr="0055736D">
        <w:rPr>
          <w:rFonts w:asciiTheme="minorHAnsi" w:hAnsiTheme="minorHAnsi" w:cs="Times New Roman Bold"/>
          <w:b/>
          <w:bCs/>
          <w:spacing w:val="-2"/>
          <w:sz w:val="28"/>
          <w:szCs w:val="28"/>
          <w:lang w:val="en-US"/>
        </w:rPr>
        <w:t>Res.</w:t>
      </w:r>
      <w:r w:rsidR="000726CF" w:rsidRPr="0055736D">
        <w:rPr>
          <w:rFonts w:asciiTheme="minorHAnsi" w:hAnsiTheme="minorHAnsi" w:cs="Times New Roman Bold"/>
          <w:b/>
          <w:bCs/>
          <w:spacing w:val="-2"/>
          <w:sz w:val="28"/>
          <w:szCs w:val="28"/>
          <w:lang w:val="en-US"/>
        </w:rPr>
        <w:t> </w:t>
      </w:r>
      <w:r w:rsidR="00775FCA" w:rsidRPr="0055736D">
        <w:rPr>
          <w:rFonts w:asciiTheme="minorHAnsi" w:hAnsiTheme="minorHAnsi" w:cs="Times New Roman Bold"/>
          <w:b/>
          <w:bCs/>
          <w:spacing w:val="-2"/>
          <w:sz w:val="28"/>
          <w:szCs w:val="28"/>
          <w:lang w:val="en-US"/>
        </w:rPr>
        <w:t>1372</w:t>
      </w:r>
      <w:r w:rsidR="003D4A0C" w:rsidRPr="0055736D">
        <w:rPr>
          <w:rFonts w:asciiTheme="minorHAnsi" w:hAnsiTheme="minorHAnsi" w:cs="Times New Roman Bold"/>
          <w:b/>
          <w:bCs/>
          <w:spacing w:val="-2"/>
          <w:sz w:val="28"/>
          <w:szCs w:val="28"/>
          <w:lang w:val="en-US"/>
        </w:rPr>
        <w:t xml:space="preserve"> (Rev. 2019)</w:t>
      </w:r>
      <w:r w:rsidR="00987F7A" w:rsidRPr="0055736D">
        <w:rPr>
          <w:rFonts w:asciiTheme="minorHAnsi" w:hAnsiTheme="minorHAnsi" w:cs="Times New Roman Bold"/>
          <w:b/>
          <w:bCs/>
          <w:spacing w:val="-2"/>
          <w:sz w:val="28"/>
          <w:szCs w:val="28"/>
          <w:lang w:val="en-US"/>
        </w:rPr>
        <w:t xml:space="preserve"> </w:t>
      </w:r>
    </w:p>
    <w:bookmarkEnd w:id="7"/>
    <w:p w14:paraId="1306FA1E" w14:textId="4270E5D9" w:rsidR="007B1879" w:rsidRPr="0055736D" w:rsidRDefault="00B5597C" w:rsidP="00091FEC">
      <w:pPr>
        <w:spacing w:after="120"/>
        <w:jc w:val="both"/>
        <w:rPr>
          <w:rFonts w:asciiTheme="minorHAnsi" w:hAnsiTheme="minorHAnsi" w:cstheme="minorHAnsi"/>
          <w:szCs w:val="24"/>
          <w:lang w:val="en-US"/>
        </w:rPr>
      </w:pPr>
      <w:r w:rsidRPr="0055736D">
        <w:rPr>
          <w:rFonts w:asciiTheme="minorHAnsi" w:hAnsiTheme="minorHAnsi" w:cstheme="minorHAnsi"/>
          <w:b/>
          <w:bCs/>
          <w:i/>
          <w:iCs/>
          <w:szCs w:val="24"/>
          <w:lang w:val="en-US"/>
        </w:rPr>
        <w:t>a)</w:t>
      </w:r>
      <w:r w:rsidR="00471BAA">
        <w:rPr>
          <w:rFonts w:asciiTheme="minorHAnsi" w:hAnsiTheme="minorHAnsi" w:cstheme="minorHAnsi"/>
          <w:b/>
          <w:bCs/>
          <w:i/>
          <w:iCs/>
          <w:szCs w:val="24"/>
          <w:lang w:val="en-US"/>
        </w:rPr>
        <w:tab/>
      </w:r>
      <w:r w:rsidRPr="0055736D">
        <w:rPr>
          <w:rFonts w:asciiTheme="minorHAnsi" w:hAnsiTheme="minorHAnsi" w:cstheme="minorHAnsi"/>
          <w:b/>
          <w:bCs/>
          <w:i/>
          <w:iCs/>
          <w:szCs w:val="24"/>
          <w:lang w:val="en-US"/>
        </w:rPr>
        <w:t>Review of the measures and principles for interpretation and translation</w:t>
      </w:r>
      <w:r w:rsidRPr="0055736D">
        <w:rPr>
          <w:rFonts w:asciiTheme="minorHAnsi" w:hAnsiTheme="minorHAnsi" w:cstheme="minorHAnsi"/>
          <w:szCs w:val="24"/>
          <w:lang w:val="en-US"/>
        </w:rPr>
        <w:t xml:space="preserve">: </w:t>
      </w:r>
      <w:r w:rsidR="007B1879" w:rsidRPr="0055736D">
        <w:rPr>
          <w:rFonts w:asciiTheme="minorHAnsi" w:hAnsiTheme="minorHAnsi" w:cstheme="minorHAnsi"/>
          <w:szCs w:val="24"/>
          <w:lang w:val="en-US"/>
        </w:rPr>
        <w:t xml:space="preserve">The secretariat </w:t>
      </w:r>
      <w:r w:rsidR="00100237" w:rsidRPr="0055736D">
        <w:rPr>
          <w:rFonts w:asciiTheme="minorHAnsi" w:hAnsiTheme="minorHAnsi" w:cstheme="minorHAnsi"/>
          <w:szCs w:val="24"/>
          <w:lang w:val="en-US"/>
        </w:rPr>
        <w:t>will</w:t>
      </w:r>
      <w:r w:rsidR="007B1879" w:rsidRPr="0055736D">
        <w:rPr>
          <w:rFonts w:asciiTheme="minorHAnsi" w:hAnsiTheme="minorHAnsi" w:cstheme="minorHAnsi"/>
          <w:szCs w:val="24"/>
          <w:lang w:val="en-US"/>
        </w:rPr>
        <w:t xml:space="preserve"> launch </w:t>
      </w:r>
      <w:r w:rsidR="00100237" w:rsidRPr="0055736D">
        <w:rPr>
          <w:rFonts w:asciiTheme="minorHAnsi" w:hAnsiTheme="minorHAnsi" w:cstheme="minorHAnsi"/>
          <w:szCs w:val="24"/>
          <w:lang w:val="en-US"/>
        </w:rPr>
        <w:t xml:space="preserve">in 2020 </w:t>
      </w:r>
      <w:r w:rsidR="007B1879" w:rsidRPr="0055736D">
        <w:rPr>
          <w:rFonts w:asciiTheme="minorHAnsi" w:hAnsiTheme="minorHAnsi" w:cstheme="minorHAnsi"/>
          <w:szCs w:val="24"/>
          <w:lang w:val="en-US"/>
        </w:rPr>
        <w:t xml:space="preserve">a process for the update of </w:t>
      </w:r>
      <w:r w:rsidRPr="0055736D">
        <w:rPr>
          <w:rFonts w:asciiTheme="minorHAnsi" w:hAnsiTheme="minorHAnsi" w:cstheme="minorHAnsi"/>
          <w:szCs w:val="24"/>
          <w:lang w:val="en-US"/>
        </w:rPr>
        <w:t xml:space="preserve">the </w:t>
      </w:r>
      <w:r w:rsidR="007B1879" w:rsidRPr="0055736D">
        <w:rPr>
          <w:rFonts w:asciiTheme="minorHAnsi" w:hAnsiTheme="minorHAnsi" w:cstheme="minorHAnsi"/>
          <w:szCs w:val="24"/>
          <w:lang w:val="en-US"/>
        </w:rPr>
        <w:t xml:space="preserve">measures and principles for interpretation and translation in ITU, in consultation with the three Sectors, </w:t>
      </w:r>
      <w:r w:rsidR="00100237" w:rsidRPr="0055736D">
        <w:rPr>
          <w:rFonts w:asciiTheme="minorHAnsi" w:hAnsiTheme="minorHAnsi" w:cstheme="minorHAnsi"/>
          <w:szCs w:val="24"/>
          <w:lang w:val="en-US"/>
        </w:rPr>
        <w:t xml:space="preserve">with the outcomes to be reflected in a report </w:t>
      </w:r>
      <w:r w:rsidR="007B1879" w:rsidRPr="0055736D">
        <w:rPr>
          <w:rFonts w:asciiTheme="minorHAnsi" w:hAnsiTheme="minorHAnsi" w:cstheme="minorHAnsi"/>
          <w:szCs w:val="24"/>
          <w:lang w:val="en-US"/>
        </w:rPr>
        <w:t xml:space="preserve">to </w:t>
      </w:r>
      <w:r w:rsidR="00100237" w:rsidRPr="0055736D">
        <w:rPr>
          <w:rFonts w:asciiTheme="minorHAnsi" w:hAnsiTheme="minorHAnsi" w:cstheme="minorHAnsi"/>
          <w:szCs w:val="24"/>
          <w:lang w:val="en-US"/>
        </w:rPr>
        <w:t xml:space="preserve">be submitted to the Council Working Group on Languages (CWG-LANG) in 2021 </w:t>
      </w:r>
      <w:r w:rsidR="007B1879" w:rsidRPr="0055736D">
        <w:rPr>
          <w:rFonts w:asciiTheme="minorHAnsi" w:hAnsiTheme="minorHAnsi" w:cstheme="minorHAnsi"/>
          <w:szCs w:val="24"/>
          <w:lang w:val="en-US"/>
        </w:rPr>
        <w:t>for review and adoption</w:t>
      </w:r>
      <w:r w:rsidR="00100237" w:rsidRPr="0055736D">
        <w:rPr>
          <w:rFonts w:asciiTheme="minorHAnsi" w:hAnsiTheme="minorHAnsi" w:cstheme="minorHAnsi"/>
          <w:szCs w:val="24"/>
          <w:lang w:val="en-US"/>
        </w:rPr>
        <w:t xml:space="preserve">. This review would incorporate machine translation and other alternative translation procedures as well as, in accordance with Council Resolution 1372, the measures taken to ensure the ITU website publishes new or modified pages in the six official languages simultaneously and in equal terms of functionality and navigation. </w:t>
      </w:r>
      <w:r w:rsidR="007B1879" w:rsidRPr="0055736D">
        <w:rPr>
          <w:rFonts w:asciiTheme="minorHAnsi" w:hAnsiTheme="minorHAnsi" w:cstheme="minorHAnsi"/>
          <w:szCs w:val="24"/>
          <w:lang w:val="en-US"/>
        </w:rPr>
        <w:t xml:space="preserve"> </w:t>
      </w:r>
    </w:p>
    <w:p w14:paraId="7C7DA8EB" w14:textId="380E5086" w:rsidR="001D150E" w:rsidRPr="0055736D" w:rsidRDefault="00526868" w:rsidP="00091FEC">
      <w:pPr>
        <w:spacing w:after="120"/>
        <w:jc w:val="both"/>
        <w:rPr>
          <w:rFonts w:asciiTheme="minorHAnsi" w:hAnsiTheme="minorHAnsi" w:cstheme="minorHAnsi"/>
          <w:szCs w:val="24"/>
          <w:lang w:val="en-US"/>
        </w:rPr>
      </w:pPr>
      <w:r w:rsidRPr="0055736D">
        <w:rPr>
          <w:rFonts w:asciiTheme="minorHAnsi" w:hAnsiTheme="minorHAnsi" w:cstheme="minorHAnsi"/>
          <w:b/>
          <w:bCs/>
          <w:i/>
          <w:iCs/>
          <w:szCs w:val="24"/>
          <w:lang w:val="en-US"/>
        </w:rPr>
        <w:t>b)</w:t>
      </w:r>
      <w:r w:rsidR="00471BAA">
        <w:rPr>
          <w:rFonts w:asciiTheme="minorHAnsi" w:hAnsiTheme="minorHAnsi" w:cstheme="minorHAnsi"/>
          <w:b/>
          <w:bCs/>
          <w:i/>
          <w:iCs/>
          <w:szCs w:val="24"/>
          <w:lang w:val="en-US"/>
        </w:rPr>
        <w:tab/>
      </w:r>
      <w:r w:rsidR="00B5597C" w:rsidRPr="0055736D">
        <w:rPr>
          <w:rFonts w:asciiTheme="minorHAnsi" w:hAnsiTheme="minorHAnsi" w:cstheme="minorHAnsi"/>
          <w:b/>
          <w:bCs/>
          <w:i/>
          <w:iCs/>
          <w:szCs w:val="24"/>
          <w:lang w:val="en-US"/>
        </w:rPr>
        <w:t>NMT, CAT tools, voice recognition</w:t>
      </w:r>
      <w:r w:rsidR="00B5597C" w:rsidRPr="0055736D">
        <w:rPr>
          <w:rFonts w:asciiTheme="minorHAnsi" w:hAnsiTheme="minorHAnsi" w:cstheme="minorHAnsi"/>
          <w:b/>
          <w:bCs/>
          <w:szCs w:val="24"/>
          <w:lang w:val="en-US"/>
        </w:rPr>
        <w:t>:</w:t>
      </w:r>
      <w:r w:rsidR="00B5597C" w:rsidRPr="0055736D">
        <w:rPr>
          <w:rFonts w:asciiTheme="minorHAnsi" w:hAnsiTheme="minorHAnsi" w:cstheme="minorHAnsi"/>
          <w:szCs w:val="24"/>
          <w:lang w:val="en-US"/>
        </w:rPr>
        <w:t xml:space="preserve"> </w:t>
      </w:r>
      <w:r w:rsidR="001D150E" w:rsidRPr="0055736D">
        <w:rPr>
          <w:rFonts w:asciiTheme="minorHAnsi" w:hAnsiTheme="minorHAnsi" w:cstheme="minorHAnsi"/>
          <w:szCs w:val="24"/>
          <w:lang w:val="en-US"/>
        </w:rPr>
        <w:t xml:space="preserve">C&amp;P and TSB are addressing the implementation of high-quality gist neural machine-translation services </w:t>
      </w:r>
      <w:r w:rsidR="00090302" w:rsidRPr="0055736D">
        <w:rPr>
          <w:rFonts w:asciiTheme="minorHAnsi" w:hAnsiTheme="minorHAnsi" w:cstheme="minorHAnsi"/>
          <w:szCs w:val="24"/>
          <w:lang w:val="en-US"/>
        </w:rPr>
        <w:t xml:space="preserve">(ITU-Translate V2) </w:t>
      </w:r>
      <w:r w:rsidR="001D150E" w:rsidRPr="0055736D">
        <w:rPr>
          <w:rFonts w:asciiTheme="minorHAnsi" w:hAnsiTheme="minorHAnsi" w:cstheme="minorHAnsi"/>
          <w:szCs w:val="24"/>
          <w:lang w:val="en-US"/>
        </w:rPr>
        <w:t>and enhanced computer-aided-translation (CAT) tools that will complement the scope of the work currently covered by C&amp;P</w:t>
      </w:r>
      <w:r w:rsidR="00620017">
        <w:rPr>
          <w:rFonts w:asciiTheme="minorHAnsi" w:hAnsiTheme="minorHAnsi" w:cstheme="minorHAnsi"/>
          <w:szCs w:val="24"/>
          <w:lang w:val="en-US"/>
        </w:rPr>
        <w:t>’</w:t>
      </w:r>
      <w:r w:rsidR="001D150E" w:rsidRPr="0055736D">
        <w:rPr>
          <w:rFonts w:asciiTheme="minorHAnsi" w:hAnsiTheme="minorHAnsi" w:cstheme="minorHAnsi"/>
          <w:szCs w:val="24"/>
          <w:lang w:val="en-US"/>
        </w:rPr>
        <w:t>s human translation service.</w:t>
      </w:r>
    </w:p>
    <w:p w14:paraId="4579D0AB" w14:textId="131A8C1B" w:rsidR="00F776D3" w:rsidRPr="0055736D" w:rsidRDefault="00F776D3" w:rsidP="00091FEC">
      <w:pPr>
        <w:spacing w:after="120"/>
        <w:jc w:val="both"/>
        <w:rPr>
          <w:rFonts w:asciiTheme="minorHAnsi" w:hAnsiTheme="minorHAnsi" w:cstheme="minorHAnsi"/>
          <w:szCs w:val="24"/>
          <w:lang w:val="en-US"/>
        </w:rPr>
      </w:pPr>
      <w:r w:rsidRPr="0055736D">
        <w:rPr>
          <w:rFonts w:asciiTheme="minorHAnsi" w:hAnsiTheme="minorHAnsi" w:cstheme="minorHAnsi"/>
          <w:szCs w:val="24"/>
          <w:lang w:val="en-US"/>
        </w:rPr>
        <w:t>•</w:t>
      </w:r>
      <w:r w:rsidRPr="0055736D">
        <w:rPr>
          <w:rFonts w:asciiTheme="minorHAnsi" w:hAnsiTheme="minorHAnsi" w:cstheme="minorHAnsi"/>
          <w:szCs w:val="24"/>
          <w:lang w:val="en-US"/>
        </w:rPr>
        <w:tab/>
        <w:t>A Spanish company is currently developing a NMT tool based on ITU documents and terminology that was provided to them by C&amp;P.</w:t>
      </w:r>
    </w:p>
    <w:p w14:paraId="025FE5E3" w14:textId="34C1B2DF" w:rsidR="00B5597C" w:rsidRPr="0055736D" w:rsidRDefault="00B5597C" w:rsidP="00091FEC">
      <w:pPr>
        <w:spacing w:after="120"/>
        <w:jc w:val="both"/>
        <w:rPr>
          <w:rFonts w:asciiTheme="minorHAnsi" w:hAnsiTheme="minorHAnsi" w:cstheme="minorHAnsi"/>
          <w:szCs w:val="24"/>
          <w:lang w:val="en-US"/>
        </w:rPr>
      </w:pPr>
      <w:r w:rsidRPr="0055736D">
        <w:rPr>
          <w:rFonts w:asciiTheme="minorHAnsi" w:hAnsiTheme="minorHAnsi" w:cstheme="minorHAnsi"/>
          <w:szCs w:val="24"/>
          <w:lang w:val="en-US"/>
        </w:rPr>
        <w:t>•</w:t>
      </w:r>
      <w:r w:rsidRPr="0055736D">
        <w:rPr>
          <w:rFonts w:asciiTheme="minorHAnsi" w:hAnsiTheme="minorHAnsi" w:cstheme="minorHAnsi"/>
          <w:szCs w:val="24"/>
          <w:lang w:val="en-US"/>
        </w:rPr>
        <w:tab/>
      </w:r>
      <w:r w:rsidR="00D6446F" w:rsidRPr="0055736D">
        <w:rPr>
          <w:rFonts w:asciiTheme="minorHAnsi" w:hAnsiTheme="minorHAnsi" w:cstheme="minorHAnsi"/>
          <w:szCs w:val="24"/>
          <w:lang w:val="en-US"/>
        </w:rPr>
        <w:t xml:space="preserve">A webpage translation API based on neural machine translation technology, developed and provided by a Japanese company, was tested on the development website of the ITU Telecom World 2019 event and evaluated in the </w:t>
      </w:r>
      <w:r w:rsidR="00091FEC">
        <w:rPr>
          <w:rFonts w:asciiTheme="minorHAnsi" w:hAnsiTheme="minorHAnsi" w:cstheme="minorHAnsi"/>
          <w:szCs w:val="24"/>
          <w:lang w:val="en-US"/>
        </w:rPr>
        <w:t>five</w:t>
      </w:r>
      <w:r w:rsidR="00D6446F" w:rsidRPr="0055736D">
        <w:rPr>
          <w:rFonts w:asciiTheme="minorHAnsi" w:hAnsiTheme="minorHAnsi" w:cstheme="minorHAnsi"/>
          <w:szCs w:val="24"/>
          <w:lang w:val="en-US"/>
        </w:rPr>
        <w:t xml:space="preserve"> target languages. In its current state, the quality of the translation does unfortunately not live up to ITU quality standards and special care needs to be taken when selecting machine translation engines.</w:t>
      </w:r>
    </w:p>
    <w:p w14:paraId="6D47175F" w14:textId="77777777" w:rsidR="00F776D3" w:rsidRPr="0055736D" w:rsidRDefault="00F776D3" w:rsidP="00091FEC">
      <w:pPr>
        <w:spacing w:after="120"/>
        <w:jc w:val="both"/>
        <w:rPr>
          <w:rFonts w:asciiTheme="minorHAnsi" w:hAnsiTheme="minorHAnsi" w:cstheme="minorHAnsi"/>
          <w:szCs w:val="24"/>
          <w:lang w:val="en-US"/>
        </w:rPr>
      </w:pPr>
      <w:r w:rsidRPr="0055736D">
        <w:rPr>
          <w:rFonts w:asciiTheme="minorHAnsi" w:hAnsiTheme="minorHAnsi" w:cstheme="minorHAnsi"/>
          <w:szCs w:val="24"/>
          <w:lang w:val="en-US"/>
        </w:rPr>
        <w:t>•</w:t>
      </w:r>
      <w:r w:rsidRPr="0055736D">
        <w:rPr>
          <w:rFonts w:asciiTheme="minorHAnsi" w:hAnsiTheme="minorHAnsi" w:cstheme="minorHAnsi"/>
          <w:szCs w:val="24"/>
          <w:lang w:val="en-US"/>
        </w:rPr>
        <w:tab/>
        <w:t>Representatives from UN New York and Geneva visited ITU in May to demonstrate eLUNa and provide Q&amp;A sessions. C&amp;P is currently testing the software.</w:t>
      </w:r>
    </w:p>
    <w:p w14:paraId="5B587CE3" w14:textId="2D04731B" w:rsidR="00F776D3" w:rsidRPr="0055736D" w:rsidRDefault="00F776D3" w:rsidP="00091FEC">
      <w:pPr>
        <w:spacing w:after="120"/>
        <w:jc w:val="both"/>
        <w:rPr>
          <w:rFonts w:asciiTheme="minorHAnsi" w:hAnsiTheme="minorHAnsi" w:cstheme="minorHAnsi"/>
          <w:szCs w:val="24"/>
          <w:lang w:val="en-US"/>
        </w:rPr>
      </w:pPr>
      <w:r w:rsidRPr="0055736D">
        <w:rPr>
          <w:rFonts w:asciiTheme="minorHAnsi" w:hAnsiTheme="minorHAnsi" w:cstheme="minorHAnsi"/>
          <w:szCs w:val="24"/>
          <w:lang w:val="en-US"/>
        </w:rPr>
        <w:t>•</w:t>
      </w:r>
      <w:r w:rsidRPr="0055736D">
        <w:rPr>
          <w:rFonts w:asciiTheme="minorHAnsi" w:hAnsiTheme="minorHAnsi" w:cstheme="minorHAnsi"/>
          <w:szCs w:val="24"/>
          <w:lang w:val="en-US"/>
        </w:rPr>
        <w:tab/>
      </w:r>
      <w:r w:rsidR="00D6446F" w:rsidRPr="0055736D">
        <w:rPr>
          <w:rFonts w:asciiTheme="minorHAnsi" w:hAnsiTheme="minorHAnsi" w:cstheme="minorHAnsi"/>
          <w:szCs w:val="24"/>
          <w:lang w:val="en-US"/>
        </w:rPr>
        <w:t>A voice recognition tool has been tested in the Chinese language section, but the result is not up to the high accuracy standard of ITU. In addition, more and more machine translation tools have become available. Therefore, C&amp;P will not pursue this tool</w:t>
      </w:r>
      <w:r w:rsidRPr="0055736D">
        <w:rPr>
          <w:rFonts w:asciiTheme="minorHAnsi" w:hAnsiTheme="minorHAnsi" w:cstheme="minorHAnsi"/>
          <w:szCs w:val="24"/>
          <w:lang w:val="en-US"/>
        </w:rPr>
        <w:t>.</w:t>
      </w:r>
    </w:p>
    <w:p w14:paraId="0CB0BAFF" w14:textId="03C522C2" w:rsidR="00421A21" w:rsidRPr="0055736D" w:rsidRDefault="00EA18E3" w:rsidP="00091FEC">
      <w:pPr>
        <w:snapToGrid w:val="0"/>
        <w:spacing w:before="360" w:after="120"/>
        <w:jc w:val="both"/>
        <w:rPr>
          <w:rFonts w:asciiTheme="minorHAnsi" w:hAnsiTheme="minorHAnsi"/>
          <w:b/>
          <w:bCs/>
          <w:sz w:val="28"/>
          <w:szCs w:val="28"/>
        </w:rPr>
      </w:pPr>
      <w:r w:rsidRPr="0055736D">
        <w:rPr>
          <w:rFonts w:asciiTheme="minorHAnsi" w:hAnsiTheme="minorHAnsi"/>
          <w:b/>
          <w:bCs/>
          <w:sz w:val="28"/>
          <w:szCs w:val="28"/>
        </w:rPr>
        <w:t>4.</w:t>
      </w:r>
      <w:r w:rsidRPr="0055736D">
        <w:rPr>
          <w:rFonts w:asciiTheme="minorHAnsi" w:hAnsiTheme="minorHAnsi"/>
          <w:b/>
          <w:bCs/>
          <w:sz w:val="28"/>
          <w:szCs w:val="28"/>
        </w:rPr>
        <w:tab/>
      </w:r>
      <w:r w:rsidR="007A3F35" w:rsidRPr="0055736D">
        <w:rPr>
          <w:rFonts w:asciiTheme="minorHAnsi" w:hAnsiTheme="minorHAnsi"/>
          <w:b/>
          <w:bCs/>
          <w:sz w:val="28"/>
          <w:szCs w:val="28"/>
        </w:rPr>
        <w:t xml:space="preserve">Alternative </w:t>
      </w:r>
      <w:r w:rsidR="00421A21" w:rsidRPr="0055736D">
        <w:rPr>
          <w:rFonts w:asciiTheme="minorHAnsi" w:hAnsiTheme="minorHAnsi"/>
          <w:b/>
          <w:bCs/>
          <w:sz w:val="28"/>
          <w:szCs w:val="28"/>
        </w:rPr>
        <w:t xml:space="preserve">translation procedures </w:t>
      </w:r>
    </w:p>
    <w:p w14:paraId="652C2F99" w14:textId="05F7F5E1" w:rsidR="009D50F6" w:rsidRPr="0055736D" w:rsidRDefault="009D50F6" w:rsidP="00091FEC">
      <w:pPr>
        <w:pStyle w:val="ListParagraph"/>
        <w:snapToGrid w:val="0"/>
        <w:spacing w:after="120"/>
        <w:ind w:left="0"/>
        <w:contextualSpacing w:val="0"/>
        <w:jc w:val="both"/>
        <w:rPr>
          <w:rFonts w:asciiTheme="minorHAnsi" w:hAnsiTheme="minorHAnsi"/>
          <w:lang w:val="en-US"/>
        </w:rPr>
      </w:pPr>
      <w:r w:rsidRPr="0055736D">
        <w:rPr>
          <w:rFonts w:asciiTheme="minorHAnsi" w:hAnsiTheme="minorHAnsi"/>
          <w:lang w:val="en-US"/>
        </w:rPr>
        <w:t xml:space="preserve">Council-17 decided to establish an internal committee of the Union, </w:t>
      </w:r>
      <w:r w:rsidR="00F33FBD" w:rsidRPr="0055736D">
        <w:rPr>
          <w:rFonts w:asciiTheme="minorHAnsi" w:hAnsiTheme="minorHAnsi"/>
          <w:lang w:val="en-US"/>
        </w:rPr>
        <w:t xml:space="preserve">the </w:t>
      </w:r>
      <w:r w:rsidR="00F33FBD" w:rsidRPr="0055736D">
        <w:rPr>
          <w:rFonts w:asciiTheme="minorHAnsi" w:hAnsiTheme="minorHAnsi"/>
          <w:b/>
          <w:bCs/>
          <w:lang w:val="en-US"/>
        </w:rPr>
        <w:t>Group on Study and Evaluation of the Translation Procedures</w:t>
      </w:r>
      <w:r w:rsidR="00F33FBD" w:rsidRPr="0055736D">
        <w:rPr>
          <w:rFonts w:asciiTheme="minorHAnsi" w:hAnsiTheme="minorHAnsi"/>
          <w:lang w:val="en-US"/>
        </w:rPr>
        <w:t xml:space="preserve">, </w:t>
      </w:r>
      <w:r w:rsidRPr="0055736D">
        <w:rPr>
          <w:rFonts w:asciiTheme="minorHAnsi" w:hAnsiTheme="minorHAnsi"/>
          <w:lang w:val="en-US"/>
        </w:rPr>
        <w:t>chaired by the Deputy Secretary-General</w:t>
      </w:r>
      <w:r w:rsidR="00091FEC">
        <w:rPr>
          <w:rFonts w:asciiTheme="minorHAnsi" w:hAnsiTheme="minorHAnsi"/>
          <w:lang w:val="en-US"/>
        </w:rPr>
        <w:t>,</w:t>
      </w:r>
      <w:r w:rsidRPr="0055736D">
        <w:rPr>
          <w:rFonts w:asciiTheme="minorHAnsi" w:hAnsiTheme="minorHAnsi"/>
          <w:lang w:val="en-US"/>
        </w:rPr>
        <w:t xml:space="preserve"> to consider the implementation of the best and most economically effective solutions to the provision of translation and simultaneous interpretation services at an appropriate cost, while maintaining quality of </w:t>
      </w:r>
      <w:r w:rsidRPr="0055736D">
        <w:rPr>
          <w:rFonts w:asciiTheme="minorHAnsi" w:hAnsiTheme="minorHAnsi"/>
          <w:lang w:val="en-US"/>
        </w:rPr>
        <w:lastRenderedPageBreak/>
        <w:t>service</w:t>
      </w:r>
      <w:r w:rsidR="00091FEC">
        <w:rPr>
          <w:rFonts w:asciiTheme="minorHAnsi" w:hAnsiTheme="minorHAnsi"/>
          <w:lang w:val="en-US"/>
        </w:rPr>
        <w:t>,</w:t>
      </w:r>
      <w:r w:rsidRPr="0055736D">
        <w:rPr>
          <w:rFonts w:asciiTheme="minorHAnsi" w:hAnsiTheme="minorHAnsi"/>
          <w:lang w:val="en-US"/>
        </w:rPr>
        <w:t xml:space="preserve"> </w:t>
      </w:r>
      <w:r w:rsidR="00091FEC">
        <w:rPr>
          <w:rFonts w:asciiTheme="minorHAnsi" w:hAnsiTheme="minorHAnsi"/>
          <w:lang w:val="en-US"/>
        </w:rPr>
        <w:t xml:space="preserve">and </w:t>
      </w:r>
      <w:r w:rsidRPr="0055736D">
        <w:rPr>
          <w:rFonts w:asciiTheme="minorHAnsi" w:hAnsiTheme="minorHAnsi"/>
          <w:lang w:val="en-US"/>
        </w:rPr>
        <w:t>to study making use of approved external sources to translate Union documents.</w:t>
      </w:r>
      <w:r w:rsidR="00A91987" w:rsidRPr="0055736D">
        <w:rPr>
          <w:rFonts w:asciiTheme="minorHAnsi" w:hAnsiTheme="minorHAnsi"/>
          <w:lang w:val="en-US"/>
        </w:rPr>
        <w:t xml:space="preserve"> The Group met in </w:t>
      </w:r>
      <w:r w:rsidR="001D78AD">
        <w:rPr>
          <w:rFonts w:asciiTheme="minorHAnsi" w:hAnsiTheme="minorHAnsi"/>
          <w:lang w:val="en-US"/>
        </w:rPr>
        <w:t>April</w:t>
      </w:r>
      <w:r w:rsidR="00A91987" w:rsidRPr="0055736D">
        <w:rPr>
          <w:rFonts w:asciiTheme="minorHAnsi" w:hAnsiTheme="minorHAnsi"/>
          <w:lang w:val="en-US"/>
        </w:rPr>
        <w:t xml:space="preserve"> 2019, and its report is </w:t>
      </w:r>
      <w:r w:rsidR="00EE612F" w:rsidRPr="0055736D">
        <w:rPr>
          <w:rFonts w:asciiTheme="minorHAnsi" w:hAnsiTheme="minorHAnsi"/>
          <w:lang w:val="en-US"/>
        </w:rPr>
        <w:t xml:space="preserve">contained in </w:t>
      </w:r>
      <w:r w:rsidR="00936AA5" w:rsidRPr="0055736D">
        <w:rPr>
          <w:rFonts w:asciiTheme="minorHAnsi" w:hAnsiTheme="minorHAnsi"/>
          <w:lang w:val="en-US"/>
        </w:rPr>
        <w:t>Annex 2 to this Document</w:t>
      </w:r>
      <w:r w:rsidR="00A91987" w:rsidRPr="0055736D">
        <w:rPr>
          <w:rFonts w:asciiTheme="minorHAnsi" w:hAnsiTheme="minorHAnsi"/>
          <w:lang w:val="en-US"/>
        </w:rPr>
        <w:t xml:space="preserve">. </w:t>
      </w:r>
    </w:p>
    <w:p w14:paraId="009CCC5C" w14:textId="7ECD1A03" w:rsidR="00421A21" w:rsidRPr="0055736D" w:rsidRDefault="00421A21" w:rsidP="00EA18E3">
      <w:pPr>
        <w:pStyle w:val="ListParagraph"/>
        <w:keepNext/>
        <w:keepLines/>
        <w:numPr>
          <w:ilvl w:val="0"/>
          <w:numId w:val="13"/>
        </w:numPr>
        <w:snapToGrid w:val="0"/>
        <w:spacing w:after="120"/>
        <w:jc w:val="both"/>
        <w:rPr>
          <w:rFonts w:asciiTheme="minorHAnsi" w:hAnsiTheme="minorHAnsi"/>
          <w:b/>
          <w:bCs/>
          <w:sz w:val="28"/>
          <w:szCs w:val="28"/>
        </w:rPr>
      </w:pPr>
      <w:r w:rsidRPr="0055736D">
        <w:rPr>
          <w:rFonts w:asciiTheme="minorHAnsi" w:hAnsiTheme="minorHAnsi"/>
          <w:b/>
          <w:bCs/>
          <w:sz w:val="28"/>
          <w:szCs w:val="28"/>
        </w:rPr>
        <w:t>Progress made on the implementation of measures and principles for translation and interpretation adopted by the Council in its 2014 session</w:t>
      </w:r>
      <w:r w:rsidR="00987F7A" w:rsidRPr="0055736D">
        <w:rPr>
          <w:rFonts w:asciiTheme="minorHAnsi" w:hAnsiTheme="minorHAnsi"/>
          <w:b/>
          <w:bCs/>
          <w:sz w:val="28"/>
          <w:szCs w:val="28"/>
        </w:rPr>
        <w:t xml:space="preserve"> </w:t>
      </w:r>
    </w:p>
    <w:p w14:paraId="4D7FD481" w14:textId="21039A73" w:rsidR="00E975A1" w:rsidRPr="0055736D" w:rsidRDefault="00421A21" w:rsidP="00E975A1">
      <w:pPr>
        <w:tabs>
          <w:tab w:val="clear" w:pos="794"/>
          <w:tab w:val="clear" w:pos="1191"/>
          <w:tab w:val="clear" w:pos="1588"/>
          <w:tab w:val="clear" w:pos="1985"/>
        </w:tabs>
        <w:snapToGrid w:val="0"/>
        <w:spacing w:after="120"/>
        <w:jc w:val="both"/>
        <w:rPr>
          <w:rFonts w:asciiTheme="minorHAnsi" w:hAnsiTheme="minorHAnsi"/>
          <w:szCs w:val="24"/>
          <w:lang w:val="en-US"/>
        </w:rPr>
      </w:pPr>
      <w:r w:rsidRPr="0055736D">
        <w:rPr>
          <w:rFonts w:asciiTheme="minorHAnsi" w:hAnsiTheme="minorHAnsi"/>
          <w:szCs w:val="24"/>
          <w:lang w:val="en-US"/>
        </w:rPr>
        <w:t>The measures and principles for</w:t>
      </w:r>
      <w:r w:rsidR="002C1C67" w:rsidRPr="0055736D">
        <w:rPr>
          <w:rFonts w:asciiTheme="minorHAnsi" w:hAnsiTheme="minorHAnsi"/>
          <w:szCs w:val="24"/>
          <w:lang w:val="en-US"/>
        </w:rPr>
        <w:t xml:space="preserve"> translation and interpretation, as adopted by</w:t>
      </w:r>
      <w:r w:rsidRPr="0055736D">
        <w:rPr>
          <w:rFonts w:asciiTheme="minorHAnsi" w:hAnsiTheme="minorHAnsi"/>
          <w:szCs w:val="24"/>
          <w:lang w:val="en-US"/>
        </w:rPr>
        <w:t xml:space="preserve"> </w:t>
      </w:r>
      <w:r w:rsidR="007B5B77">
        <w:rPr>
          <w:rFonts w:asciiTheme="minorHAnsi" w:hAnsiTheme="minorHAnsi"/>
          <w:szCs w:val="24"/>
          <w:lang w:val="en-US"/>
        </w:rPr>
        <w:t xml:space="preserve">the </w:t>
      </w:r>
      <w:r w:rsidR="002C1C67" w:rsidRPr="0055736D">
        <w:rPr>
          <w:rFonts w:asciiTheme="minorHAnsi" w:hAnsiTheme="minorHAnsi"/>
          <w:szCs w:val="24"/>
          <w:lang w:val="en-US"/>
        </w:rPr>
        <w:t xml:space="preserve">Council </w:t>
      </w:r>
      <w:r w:rsidRPr="0055736D">
        <w:rPr>
          <w:rFonts w:asciiTheme="minorHAnsi" w:hAnsiTheme="minorHAnsi"/>
          <w:szCs w:val="24"/>
          <w:lang w:val="en-US"/>
        </w:rPr>
        <w:t>in 2014</w:t>
      </w:r>
      <w:r w:rsidR="001A532E" w:rsidRPr="0055736D">
        <w:rPr>
          <w:rFonts w:asciiTheme="minorHAnsi" w:hAnsiTheme="minorHAnsi"/>
          <w:szCs w:val="24"/>
          <w:lang w:val="en-US"/>
        </w:rPr>
        <w:t xml:space="preserve"> and 2016</w:t>
      </w:r>
      <w:r w:rsidRPr="0055736D">
        <w:rPr>
          <w:rFonts w:asciiTheme="minorHAnsi" w:hAnsiTheme="minorHAnsi"/>
          <w:szCs w:val="24"/>
          <w:lang w:val="en-US"/>
        </w:rPr>
        <w:t xml:space="preserve">, are systematically </w:t>
      </w:r>
      <w:r w:rsidR="002C1C67" w:rsidRPr="0055736D">
        <w:rPr>
          <w:rFonts w:asciiTheme="minorHAnsi" w:hAnsiTheme="minorHAnsi"/>
          <w:szCs w:val="24"/>
          <w:lang w:val="en-US"/>
        </w:rPr>
        <w:t xml:space="preserve">considered </w:t>
      </w:r>
      <w:r w:rsidRPr="0055736D">
        <w:rPr>
          <w:rFonts w:asciiTheme="minorHAnsi" w:hAnsiTheme="minorHAnsi"/>
          <w:szCs w:val="24"/>
          <w:lang w:val="en-US"/>
        </w:rPr>
        <w:t xml:space="preserve">by the secretariat as a </w:t>
      </w:r>
      <w:r w:rsidR="002C1C67" w:rsidRPr="0055736D">
        <w:rPr>
          <w:rFonts w:asciiTheme="minorHAnsi" w:hAnsiTheme="minorHAnsi"/>
          <w:szCs w:val="24"/>
          <w:lang w:val="en-US"/>
        </w:rPr>
        <w:t xml:space="preserve">benchmark in the delivery of </w:t>
      </w:r>
      <w:r w:rsidRPr="0055736D">
        <w:rPr>
          <w:rFonts w:asciiTheme="minorHAnsi" w:hAnsiTheme="minorHAnsi"/>
          <w:szCs w:val="24"/>
          <w:lang w:val="en-US"/>
        </w:rPr>
        <w:t xml:space="preserve">translation and interpretation </w:t>
      </w:r>
      <w:r w:rsidR="002C1C67" w:rsidRPr="0055736D">
        <w:rPr>
          <w:rFonts w:asciiTheme="minorHAnsi" w:hAnsiTheme="minorHAnsi"/>
          <w:szCs w:val="24"/>
          <w:lang w:val="en-US"/>
        </w:rPr>
        <w:t xml:space="preserve">services </w:t>
      </w:r>
      <w:r w:rsidRPr="0055736D">
        <w:rPr>
          <w:rFonts w:asciiTheme="minorHAnsi" w:hAnsiTheme="minorHAnsi"/>
          <w:szCs w:val="24"/>
          <w:lang w:val="en-US"/>
        </w:rPr>
        <w:t>for ITU conferences, meetings, documents</w:t>
      </w:r>
      <w:r w:rsidR="007B5B77">
        <w:rPr>
          <w:rFonts w:asciiTheme="minorHAnsi" w:hAnsiTheme="minorHAnsi"/>
          <w:szCs w:val="24"/>
          <w:lang w:val="en-US"/>
        </w:rPr>
        <w:t>,</w:t>
      </w:r>
      <w:r w:rsidRPr="0055736D">
        <w:rPr>
          <w:rFonts w:asciiTheme="minorHAnsi" w:hAnsiTheme="minorHAnsi"/>
          <w:szCs w:val="24"/>
          <w:lang w:val="en-US"/>
        </w:rPr>
        <w:t xml:space="preserve"> and publications</w:t>
      </w:r>
      <w:r w:rsidR="002C1C67" w:rsidRPr="0055736D">
        <w:rPr>
          <w:rFonts w:asciiTheme="minorHAnsi" w:hAnsiTheme="minorHAnsi"/>
          <w:szCs w:val="24"/>
          <w:lang w:val="en-US"/>
        </w:rPr>
        <w:t xml:space="preserve">. </w:t>
      </w:r>
    </w:p>
    <w:p w14:paraId="4040C02D" w14:textId="41CE35E2" w:rsidR="00E975A1" w:rsidRPr="0055736D" w:rsidRDefault="00547125" w:rsidP="00281B95">
      <w:pPr>
        <w:tabs>
          <w:tab w:val="clear" w:pos="794"/>
          <w:tab w:val="clear" w:pos="1191"/>
          <w:tab w:val="clear" w:pos="1588"/>
          <w:tab w:val="clear" w:pos="1985"/>
        </w:tabs>
        <w:snapToGrid w:val="0"/>
        <w:spacing w:after="120"/>
        <w:jc w:val="both"/>
        <w:rPr>
          <w:rFonts w:asciiTheme="minorHAnsi" w:hAnsiTheme="minorHAnsi"/>
          <w:szCs w:val="24"/>
          <w:lang w:val="en-US"/>
        </w:rPr>
      </w:pPr>
      <w:r w:rsidRPr="0055736D">
        <w:rPr>
          <w:rFonts w:asciiTheme="minorHAnsi" w:hAnsiTheme="minorHAnsi"/>
          <w:szCs w:val="24"/>
          <w:lang w:val="en-US"/>
        </w:rPr>
        <w:t xml:space="preserve">To this end, all preparatory and in-session documents, including the provisional Final </w:t>
      </w:r>
      <w:r w:rsidR="00281B95" w:rsidRPr="0055736D">
        <w:rPr>
          <w:rFonts w:asciiTheme="minorHAnsi" w:hAnsiTheme="minorHAnsi"/>
          <w:szCs w:val="24"/>
          <w:lang w:val="en-US"/>
        </w:rPr>
        <w:t>Acts</w:t>
      </w:r>
      <w:r w:rsidRPr="0055736D">
        <w:rPr>
          <w:rFonts w:asciiTheme="minorHAnsi" w:hAnsiTheme="minorHAnsi"/>
          <w:szCs w:val="24"/>
          <w:lang w:val="en-US"/>
        </w:rPr>
        <w:t xml:space="preserve">, were delivered in the six official languages for the </w:t>
      </w:r>
      <w:r w:rsidR="00EE612F" w:rsidRPr="0055736D">
        <w:rPr>
          <w:rFonts w:asciiTheme="minorHAnsi" w:hAnsiTheme="minorHAnsi"/>
          <w:b/>
          <w:bCs/>
          <w:szCs w:val="24"/>
          <w:lang w:val="en-US"/>
        </w:rPr>
        <w:t>RA-19</w:t>
      </w:r>
      <w:r w:rsidR="00EE612F" w:rsidRPr="0055736D">
        <w:rPr>
          <w:rFonts w:asciiTheme="minorHAnsi" w:hAnsiTheme="minorHAnsi"/>
          <w:szCs w:val="24"/>
          <w:lang w:val="en-US"/>
        </w:rPr>
        <w:t xml:space="preserve"> and the </w:t>
      </w:r>
      <w:r w:rsidR="00EE612F" w:rsidRPr="0055736D">
        <w:rPr>
          <w:rFonts w:asciiTheme="minorHAnsi" w:hAnsiTheme="minorHAnsi"/>
          <w:b/>
          <w:bCs/>
          <w:szCs w:val="24"/>
          <w:lang w:val="en-US"/>
        </w:rPr>
        <w:t>WRC-19</w:t>
      </w:r>
      <w:r w:rsidRPr="0055736D">
        <w:rPr>
          <w:rFonts w:asciiTheme="minorHAnsi" w:hAnsiTheme="minorHAnsi"/>
          <w:szCs w:val="24"/>
          <w:lang w:val="en-US"/>
        </w:rPr>
        <w:t xml:space="preserve">. Final versions of </w:t>
      </w:r>
      <w:r w:rsidR="007C5F67" w:rsidRPr="0055736D">
        <w:rPr>
          <w:rFonts w:asciiTheme="minorHAnsi" w:hAnsiTheme="minorHAnsi"/>
          <w:szCs w:val="24"/>
          <w:lang w:val="en-US"/>
        </w:rPr>
        <w:t>the outcome</w:t>
      </w:r>
      <w:r w:rsidRPr="0055736D">
        <w:rPr>
          <w:rFonts w:asciiTheme="minorHAnsi" w:hAnsiTheme="minorHAnsi"/>
          <w:szCs w:val="24"/>
          <w:lang w:val="en-US"/>
        </w:rPr>
        <w:t xml:space="preserve"> documents </w:t>
      </w:r>
      <w:r w:rsidR="00F5243E" w:rsidRPr="0055736D">
        <w:rPr>
          <w:rFonts w:asciiTheme="minorHAnsi" w:hAnsiTheme="minorHAnsi"/>
          <w:szCs w:val="24"/>
          <w:lang w:val="en-US"/>
        </w:rPr>
        <w:t xml:space="preserve">for </w:t>
      </w:r>
      <w:r w:rsidR="00EE612F" w:rsidRPr="0055736D">
        <w:rPr>
          <w:rFonts w:asciiTheme="minorHAnsi" w:hAnsiTheme="minorHAnsi"/>
          <w:b/>
          <w:bCs/>
          <w:szCs w:val="24"/>
          <w:lang w:val="en-US"/>
        </w:rPr>
        <w:t>PP-18</w:t>
      </w:r>
      <w:r w:rsidR="00F5243E" w:rsidRPr="0055736D">
        <w:rPr>
          <w:rFonts w:asciiTheme="minorHAnsi" w:hAnsiTheme="minorHAnsi"/>
          <w:szCs w:val="24"/>
          <w:lang w:val="en-US"/>
        </w:rPr>
        <w:t xml:space="preserve"> </w:t>
      </w:r>
      <w:r w:rsidRPr="0055736D">
        <w:rPr>
          <w:rFonts w:asciiTheme="minorHAnsi" w:hAnsiTheme="minorHAnsi"/>
          <w:szCs w:val="24"/>
          <w:lang w:val="en-US"/>
        </w:rPr>
        <w:t xml:space="preserve">were also </w:t>
      </w:r>
      <w:r w:rsidR="007C5F67" w:rsidRPr="0055736D">
        <w:rPr>
          <w:rFonts w:asciiTheme="minorHAnsi" w:hAnsiTheme="minorHAnsi"/>
          <w:szCs w:val="24"/>
          <w:lang w:val="en-US"/>
        </w:rPr>
        <w:t>published</w:t>
      </w:r>
      <w:r w:rsidRPr="0055736D">
        <w:rPr>
          <w:rFonts w:asciiTheme="minorHAnsi" w:hAnsiTheme="minorHAnsi"/>
          <w:szCs w:val="24"/>
          <w:lang w:val="en-US"/>
        </w:rPr>
        <w:t xml:space="preserve"> in all six languages. </w:t>
      </w:r>
      <w:r w:rsidR="007F78E7" w:rsidRPr="0055736D">
        <w:rPr>
          <w:rFonts w:asciiTheme="minorHAnsi" w:hAnsiTheme="minorHAnsi"/>
          <w:szCs w:val="24"/>
          <w:lang w:val="en-US"/>
        </w:rPr>
        <w:t>A schedule is being prepared for t</w:t>
      </w:r>
      <w:r w:rsidRPr="0055736D">
        <w:rPr>
          <w:rFonts w:asciiTheme="minorHAnsi" w:hAnsiTheme="minorHAnsi"/>
          <w:szCs w:val="24"/>
          <w:lang w:val="en-US"/>
        </w:rPr>
        <w:t>he delivery of all relevant preparatory documentation in six languages for the</w:t>
      </w:r>
      <w:r w:rsidR="00EE612F" w:rsidRPr="0055736D">
        <w:rPr>
          <w:rFonts w:asciiTheme="minorHAnsi" w:hAnsiTheme="minorHAnsi"/>
          <w:szCs w:val="24"/>
          <w:lang w:val="en-US"/>
        </w:rPr>
        <w:t xml:space="preserve"> </w:t>
      </w:r>
      <w:r w:rsidR="00EE612F" w:rsidRPr="0055736D">
        <w:rPr>
          <w:rFonts w:asciiTheme="minorHAnsi" w:hAnsiTheme="minorHAnsi"/>
          <w:b/>
          <w:bCs/>
          <w:szCs w:val="24"/>
          <w:lang w:val="en-US"/>
        </w:rPr>
        <w:t>WTSA-20</w:t>
      </w:r>
      <w:r w:rsidRPr="0055736D">
        <w:rPr>
          <w:rFonts w:asciiTheme="minorHAnsi" w:hAnsiTheme="minorHAnsi"/>
          <w:szCs w:val="24"/>
          <w:lang w:val="en-US"/>
        </w:rPr>
        <w:t>.</w:t>
      </w:r>
    </w:p>
    <w:p w14:paraId="10541D3F" w14:textId="7D15BE5B" w:rsidR="00B26C83" w:rsidRPr="0055736D" w:rsidRDefault="00B26C83" w:rsidP="00B26C83">
      <w:pPr>
        <w:snapToGrid w:val="0"/>
        <w:spacing w:after="120"/>
        <w:jc w:val="both"/>
        <w:rPr>
          <w:rFonts w:asciiTheme="minorHAnsi" w:hAnsiTheme="minorHAnsi" w:cstheme="minorHAnsi"/>
          <w:szCs w:val="24"/>
        </w:rPr>
      </w:pPr>
      <w:bookmarkStart w:id="8" w:name="_Hlk24093607"/>
      <w:r w:rsidRPr="0055736D">
        <w:rPr>
          <w:rFonts w:asciiTheme="minorHAnsi" w:hAnsiTheme="minorHAnsi" w:cstheme="minorHAnsi"/>
          <w:szCs w:val="24"/>
        </w:rPr>
        <w:t xml:space="preserve">TSB continues to translate </w:t>
      </w:r>
      <w:r w:rsidRPr="0055736D">
        <w:rPr>
          <w:rFonts w:asciiTheme="minorHAnsi" w:hAnsiTheme="minorHAnsi" w:cstheme="minorHAnsi"/>
          <w:b/>
          <w:bCs/>
          <w:szCs w:val="24"/>
        </w:rPr>
        <w:t>Recommendations approved under the Alternative Approval Procedure (AAP)</w:t>
      </w:r>
      <w:r w:rsidRPr="0055736D">
        <w:rPr>
          <w:rFonts w:asciiTheme="minorHAnsi" w:hAnsiTheme="minorHAnsi" w:cstheme="minorHAnsi"/>
          <w:szCs w:val="24"/>
        </w:rPr>
        <w:t xml:space="preserve"> within the limits of available translation budget, and in accordance with requests received from the linguistic groups and the ITU-T study groups. The table below reflects the number of Recommendations and English pages whose translation was requested into the various languages in 2019</w:t>
      </w:r>
      <w:r w:rsidR="007B5B77">
        <w:rPr>
          <w:rFonts w:asciiTheme="minorHAnsi" w:hAnsiTheme="minorHAnsi" w:cstheme="minorHAnsi"/>
          <w:szCs w:val="24"/>
        </w:rPr>
        <w:t>.</w:t>
      </w:r>
      <w:r w:rsidRPr="0055736D">
        <w:rPr>
          <w:rStyle w:val="FootnoteReference"/>
          <w:rFonts w:asciiTheme="minorHAnsi" w:hAnsiTheme="minorHAnsi" w:cstheme="minorHAnsi"/>
          <w:szCs w:val="24"/>
        </w:rPr>
        <w:footnoteReference w:id="1"/>
      </w:r>
    </w:p>
    <w:p w14:paraId="05F2AA98" w14:textId="77777777" w:rsidR="00B26C83" w:rsidRPr="0055736D" w:rsidRDefault="00B26C83" w:rsidP="00B26C83">
      <w:pPr>
        <w:rPr>
          <w:rFonts w:asciiTheme="minorHAnsi" w:hAnsiTheme="minorHAnsi" w:cstheme="minorHAnsi"/>
          <w:color w:val="1F497D"/>
          <w:sz w:val="22"/>
          <w:szCs w:val="22"/>
        </w:rPr>
      </w:pPr>
    </w:p>
    <w:tbl>
      <w:tblPr>
        <w:tblW w:w="9600" w:type="dxa"/>
        <w:tblInd w:w="-3" w:type="dxa"/>
        <w:tblCellMar>
          <w:left w:w="0" w:type="dxa"/>
          <w:right w:w="0" w:type="dxa"/>
        </w:tblCellMar>
        <w:tblLook w:val="04A0" w:firstRow="1" w:lastRow="0" w:firstColumn="1" w:lastColumn="0" w:noHBand="0" w:noVBand="1"/>
      </w:tblPr>
      <w:tblGrid>
        <w:gridCol w:w="1047"/>
        <w:gridCol w:w="873"/>
        <w:gridCol w:w="1047"/>
        <w:gridCol w:w="873"/>
        <w:gridCol w:w="1047"/>
        <w:gridCol w:w="873"/>
        <w:gridCol w:w="1047"/>
        <w:gridCol w:w="873"/>
        <w:gridCol w:w="919"/>
        <w:gridCol w:w="1001"/>
      </w:tblGrid>
      <w:tr w:rsidR="00B26C83" w:rsidRPr="0055736D" w14:paraId="50B2C09D" w14:textId="77777777" w:rsidTr="00B26C83">
        <w:trPr>
          <w:trHeight w:val="300"/>
        </w:trPr>
        <w:tc>
          <w:tcPr>
            <w:tcW w:w="1920"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873F3E" w14:textId="77777777" w:rsidR="00B26C83" w:rsidRPr="0055736D" w:rsidRDefault="00B26C83">
            <w:pPr>
              <w:keepNext/>
              <w:jc w:val="center"/>
              <w:rPr>
                <w:rFonts w:asciiTheme="minorHAnsi" w:hAnsiTheme="minorHAnsi" w:cstheme="minorHAnsi"/>
                <w:color w:val="000000"/>
                <w:lang w:val="en-US" w:eastAsia="zh-CN"/>
              </w:rPr>
            </w:pPr>
            <w:r w:rsidRPr="0055736D">
              <w:rPr>
                <w:rFonts w:asciiTheme="minorHAnsi" w:hAnsiTheme="minorHAnsi" w:cstheme="minorHAnsi"/>
                <w:color w:val="000000"/>
                <w:lang w:eastAsia="zh-CN"/>
              </w:rPr>
              <w:t>F</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49205F0" w14:textId="77777777" w:rsidR="00B26C83" w:rsidRPr="0055736D" w:rsidRDefault="00B26C83">
            <w:pPr>
              <w:keepNext/>
              <w:jc w:val="center"/>
              <w:rPr>
                <w:rFonts w:asciiTheme="minorHAnsi" w:hAnsiTheme="minorHAnsi" w:cstheme="minorHAnsi"/>
                <w:color w:val="000000"/>
                <w:lang w:eastAsia="zh-CN"/>
              </w:rPr>
            </w:pPr>
            <w:r w:rsidRPr="0055736D">
              <w:rPr>
                <w:rFonts w:asciiTheme="minorHAnsi" w:hAnsiTheme="minorHAnsi" w:cstheme="minorHAnsi"/>
                <w:color w:val="000000"/>
                <w:lang w:eastAsia="zh-CN"/>
              </w:rPr>
              <w:t>S</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0FAAEEA" w14:textId="77777777" w:rsidR="00B26C83" w:rsidRPr="0055736D" w:rsidRDefault="00B26C83">
            <w:pPr>
              <w:keepNext/>
              <w:jc w:val="center"/>
              <w:rPr>
                <w:rFonts w:asciiTheme="minorHAnsi" w:hAnsiTheme="minorHAnsi" w:cstheme="minorHAnsi"/>
                <w:color w:val="000000"/>
                <w:lang w:eastAsia="zh-CN"/>
              </w:rPr>
            </w:pPr>
            <w:r w:rsidRPr="0055736D">
              <w:rPr>
                <w:rFonts w:asciiTheme="minorHAnsi" w:hAnsiTheme="minorHAnsi" w:cstheme="minorHAnsi"/>
                <w:color w:val="000000"/>
                <w:lang w:eastAsia="zh-CN"/>
              </w:rPr>
              <w:t>C</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1521F9" w14:textId="77777777" w:rsidR="00B26C83" w:rsidRPr="0055736D" w:rsidRDefault="00B26C83">
            <w:pPr>
              <w:keepNext/>
              <w:jc w:val="center"/>
              <w:rPr>
                <w:rFonts w:asciiTheme="minorHAnsi" w:hAnsiTheme="minorHAnsi" w:cstheme="minorHAnsi"/>
                <w:color w:val="000000"/>
                <w:lang w:eastAsia="zh-CN"/>
              </w:rPr>
            </w:pPr>
            <w:r w:rsidRPr="0055736D">
              <w:rPr>
                <w:rFonts w:asciiTheme="minorHAnsi" w:hAnsiTheme="minorHAnsi" w:cstheme="minorHAnsi"/>
                <w:color w:val="000000"/>
                <w:lang w:eastAsia="zh-CN"/>
              </w:rPr>
              <w:t>A</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C51491" w14:textId="77777777" w:rsidR="00B26C83" w:rsidRPr="0055736D" w:rsidRDefault="00B26C83">
            <w:pPr>
              <w:keepNext/>
              <w:jc w:val="center"/>
              <w:rPr>
                <w:rFonts w:asciiTheme="minorHAnsi" w:hAnsiTheme="minorHAnsi" w:cstheme="minorHAnsi"/>
                <w:color w:val="000000"/>
                <w:lang w:eastAsia="zh-CN"/>
              </w:rPr>
            </w:pPr>
            <w:r w:rsidRPr="0055736D">
              <w:rPr>
                <w:rFonts w:asciiTheme="minorHAnsi" w:hAnsiTheme="minorHAnsi" w:cstheme="minorHAnsi"/>
                <w:color w:val="000000"/>
                <w:lang w:eastAsia="zh-CN"/>
              </w:rPr>
              <w:t>R</w:t>
            </w:r>
          </w:p>
        </w:tc>
      </w:tr>
      <w:tr w:rsidR="00B26C83" w:rsidRPr="0055736D" w14:paraId="29570EBE" w14:textId="77777777" w:rsidTr="00B26C83">
        <w:trPr>
          <w:trHeight w:val="300"/>
        </w:trPr>
        <w:tc>
          <w:tcPr>
            <w:tcW w:w="10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941AE1" w14:textId="77777777" w:rsidR="00B26C83" w:rsidRPr="0055736D" w:rsidRDefault="00B26C83">
            <w:pPr>
              <w:keepNext/>
              <w:rPr>
                <w:rFonts w:asciiTheme="minorHAnsi" w:hAnsiTheme="minorHAnsi" w:cstheme="minorHAnsi"/>
                <w:color w:val="000000"/>
                <w:lang w:eastAsia="zh-CN"/>
              </w:rPr>
            </w:pPr>
            <w:r w:rsidRPr="0055736D">
              <w:rPr>
                <w:rFonts w:asciiTheme="minorHAnsi" w:hAnsiTheme="minorHAnsi" w:cstheme="minorHAnsi"/>
                <w:color w:val="000000"/>
                <w:lang w:eastAsia="zh-CN"/>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D80D64" w14:textId="77777777" w:rsidR="00B26C83" w:rsidRPr="0055736D" w:rsidRDefault="00B26C83">
            <w:pPr>
              <w:keepNext/>
              <w:rPr>
                <w:rFonts w:asciiTheme="minorHAnsi" w:hAnsiTheme="minorHAnsi" w:cstheme="minorHAnsi"/>
                <w:color w:val="000000"/>
                <w:lang w:eastAsia="zh-CN"/>
              </w:rPr>
            </w:pPr>
            <w:r w:rsidRPr="0055736D">
              <w:rPr>
                <w:rFonts w:asciiTheme="minorHAnsi" w:hAnsiTheme="minorHAnsi" w:cstheme="minorHAnsi"/>
                <w:color w:val="000000"/>
                <w:lang w:eastAsia="zh-CN"/>
              </w:rPr>
              <w:t>Pgs</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86A5A6" w14:textId="77777777" w:rsidR="00B26C83" w:rsidRPr="0055736D" w:rsidRDefault="00B26C83">
            <w:pPr>
              <w:keepNext/>
              <w:rPr>
                <w:rFonts w:asciiTheme="minorHAnsi" w:hAnsiTheme="minorHAnsi" w:cstheme="minorHAnsi"/>
                <w:color w:val="000000"/>
                <w:lang w:eastAsia="zh-CN"/>
              </w:rPr>
            </w:pPr>
            <w:r w:rsidRPr="0055736D">
              <w:rPr>
                <w:rFonts w:asciiTheme="minorHAnsi" w:hAnsiTheme="minorHAnsi" w:cstheme="minorHAnsi"/>
                <w:color w:val="000000"/>
                <w:lang w:eastAsia="zh-CN"/>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8D8F91" w14:textId="77777777" w:rsidR="00B26C83" w:rsidRPr="0055736D" w:rsidRDefault="00B26C83">
            <w:pPr>
              <w:keepNext/>
              <w:rPr>
                <w:rFonts w:asciiTheme="minorHAnsi" w:hAnsiTheme="minorHAnsi" w:cstheme="minorHAnsi"/>
                <w:color w:val="000000"/>
                <w:lang w:eastAsia="zh-CN"/>
              </w:rPr>
            </w:pPr>
            <w:r w:rsidRPr="0055736D">
              <w:rPr>
                <w:rFonts w:asciiTheme="minorHAnsi" w:hAnsiTheme="minorHAnsi" w:cstheme="minorHAnsi"/>
                <w:color w:val="000000"/>
                <w:lang w:eastAsia="zh-CN"/>
              </w:rPr>
              <w:t>Pgs</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C9ABB5" w14:textId="77777777" w:rsidR="00B26C83" w:rsidRPr="0055736D" w:rsidRDefault="00B26C83">
            <w:pPr>
              <w:keepNext/>
              <w:rPr>
                <w:rFonts w:asciiTheme="minorHAnsi" w:hAnsiTheme="minorHAnsi" w:cstheme="minorHAnsi"/>
                <w:color w:val="000000"/>
                <w:lang w:eastAsia="zh-CN"/>
              </w:rPr>
            </w:pPr>
            <w:r w:rsidRPr="0055736D">
              <w:rPr>
                <w:rFonts w:asciiTheme="minorHAnsi" w:hAnsiTheme="minorHAnsi" w:cstheme="minorHAnsi"/>
                <w:color w:val="000000"/>
                <w:lang w:eastAsia="zh-CN"/>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CD062A" w14:textId="77777777" w:rsidR="00B26C83" w:rsidRPr="0055736D" w:rsidRDefault="00B26C83">
            <w:pPr>
              <w:keepNext/>
              <w:rPr>
                <w:rFonts w:asciiTheme="minorHAnsi" w:hAnsiTheme="minorHAnsi" w:cstheme="minorHAnsi"/>
                <w:color w:val="000000"/>
                <w:lang w:eastAsia="zh-CN"/>
              </w:rPr>
            </w:pPr>
            <w:r w:rsidRPr="0055736D">
              <w:rPr>
                <w:rFonts w:asciiTheme="minorHAnsi" w:hAnsiTheme="minorHAnsi" w:cstheme="minorHAnsi"/>
                <w:color w:val="000000"/>
                <w:lang w:eastAsia="zh-CN"/>
              </w:rPr>
              <w:t>Pgs</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7230B5" w14:textId="77777777" w:rsidR="00B26C83" w:rsidRPr="0055736D" w:rsidRDefault="00B26C83">
            <w:pPr>
              <w:keepNext/>
              <w:rPr>
                <w:rFonts w:asciiTheme="minorHAnsi" w:hAnsiTheme="minorHAnsi" w:cstheme="minorHAnsi"/>
                <w:color w:val="000000"/>
                <w:lang w:eastAsia="zh-CN"/>
              </w:rPr>
            </w:pPr>
            <w:r w:rsidRPr="0055736D">
              <w:rPr>
                <w:rFonts w:asciiTheme="minorHAnsi" w:hAnsiTheme="minorHAnsi" w:cstheme="minorHAnsi"/>
                <w:color w:val="000000"/>
                <w:lang w:eastAsia="zh-CN"/>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C3531E" w14:textId="77777777" w:rsidR="00B26C83" w:rsidRPr="0055736D" w:rsidRDefault="00B26C83">
            <w:pPr>
              <w:keepNext/>
              <w:rPr>
                <w:rFonts w:asciiTheme="minorHAnsi" w:hAnsiTheme="minorHAnsi" w:cstheme="minorHAnsi"/>
                <w:color w:val="000000"/>
                <w:lang w:eastAsia="zh-CN"/>
              </w:rPr>
            </w:pPr>
            <w:r w:rsidRPr="0055736D">
              <w:rPr>
                <w:rFonts w:asciiTheme="minorHAnsi" w:hAnsiTheme="minorHAnsi" w:cstheme="minorHAnsi"/>
                <w:color w:val="000000"/>
                <w:lang w:eastAsia="zh-CN"/>
              </w:rPr>
              <w:t>Pgs</w:t>
            </w:r>
          </w:p>
        </w:tc>
        <w:tc>
          <w:tcPr>
            <w:tcW w:w="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5864B0" w14:textId="77777777" w:rsidR="00B26C83" w:rsidRPr="0055736D" w:rsidRDefault="00B26C83">
            <w:pPr>
              <w:keepNext/>
              <w:rPr>
                <w:rFonts w:asciiTheme="minorHAnsi" w:hAnsiTheme="minorHAnsi" w:cstheme="minorHAnsi"/>
                <w:color w:val="000000"/>
                <w:lang w:eastAsia="zh-CN"/>
              </w:rPr>
            </w:pPr>
            <w:r w:rsidRPr="0055736D">
              <w:rPr>
                <w:rFonts w:asciiTheme="minorHAnsi" w:hAnsiTheme="minorHAnsi" w:cstheme="minorHAnsi"/>
                <w:color w:val="000000"/>
                <w:lang w:eastAsia="zh-CN"/>
              </w:rPr>
              <w:t>Recs</w:t>
            </w:r>
          </w:p>
        </w:tc>
        <w:tc>
          <w:tcPr>
            <w:tcW w:w="10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1B9604" w14:textId="77777777" w:rsidR="00B26C83" w:rsidRPr="0055736D" w:rsidRDefault="00B26C83">
            <w:pPr>
              <w:keepNext/>
              <w:rPr>
                <w:rFonts w:asciiTheme="minorHAnsi" w:hAnsiTheme="minorHAnsi" w:cstheme="minorHAnsi"/>
                <w:color w:val="000000"/>
                <w:lang w:eastAsia="zh-CN"/>
              </w:rPr>
            </w:pPr>
            <w:r w:rsidRPr="0055736D">
              <w:rPr>
                <w:rFonts w:asciiTheme="minorHAnsi" w:hAnsiTheme="minorHAnsi" w:cstheme="minorHAnsi"/>
                <w:color w:val="000000"/>
                <w:lang w:eastAsia="zh-CN"/>
              </w:rPr>
              <w:t>Pgs</w:t>
            </w:r>
          </w:p>
        </w:tc>
      </w:tr>
      <w:tr w:rsidR="00B26C83" w:rsidRPr="0055736D" w14:paraId="27BC63F9" w14:textId="77777777" w:rsidTr="00B26C83">
        <w:trPr>
          <w:trHeight w:val="300"/>
        </w:trPr>
        <w:tc>
          <w:tcPr>
            <w:tcW w:w="10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DD4919" w14:textId="77777777" w:rsidR="00B26C83" w:rsidRPr="0055736D" w:rsidRDefault="00B26C83" w:rsidP="0083730C">
            <w:pPr>
              <w:keepNext/>
              <w:jc w:val="center"/>
              <w:rPr>
                <w:rFonts w:asciiTheme="minorHAnsi" w:hAnsiTheme="minorHAnsi" w:cstheme="minorHAnsi"/>
                <w:color w:val="000000"/>
                <w:lang w:eastAsia="zh-CN"/>
              </w:rPr>
            </w:pPr>
            <w:r w:rsidRPr="0055736D">
              <w:rPr>
                <w:rFonts w:asciiTheme="minorHAnsi" w:hAnsiTheme="minorHAnsi" w:cstheme="minorHAnsi"/>
                <w:color w:val="000000"/>
                <w:szCs w:val="24"/>
                <w:lang w:eastAsia="zh-CN"/>
              </w:rPr>
              <w:t>22</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49EECB" w14:textId="77777777" w:rsidR="00B26C83" w:rsidRPr="0055736D" w:rsidRDefault="00B26C83" w:rsidP="0083730C">
            <w:pPr>
              <w:keepNext/>
              <w:jc w:val="center"/>
              <w:rPr>
                <w:rFonts w:asciiTheme="minorHAnsi" w:hAnsiTheme="minorHAnsi" w:cstheme="minorHAnsi"/>
                <w:color w:val="000000"/>
                <w:lang w:eastAsia="zh-CN"/>
              </w:rPr>
            </w:pPr>
            <w:r w:rsidRPr="0055736D">
              <w:rPr>
                <w:rFonts w:asciiTheme="minorHAnsi" w:hAnsiTheme="minorHAnsi" w:cstheme="minorHAnsi"/>
                <w:color w:val="000000"/>
                <w:szCs w:val="24"/>
                <w:lang w:eastAsia="zh-CN"/>
              </w:rPr>
              <w:t>740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5AA9C2" w14:textId="77777777" w:rsidR="00B26C83" w:rsidRPr="0055736D" w:rsidRDefault="00B26C83" w:rsidP="0083730C">
            <w:pPr>
              <w:keepNext/>
              <w:jc w:val="center"/>
              <w:rPr>
                <w:rFonts w:asciiTheme="minorHAnsi" w:hAnsiTheme="minorHAnsi" w:cstheme="minorHAnsi"/>
                <w:color w:val="000000"/>
                <w:szCs w:val="24"/>
                <w:lang w:eastAsia="zh-CN"/>
              </w:rPr>
            </w:pPr>
            <w:r w:rsidRPr="0055736D">
              <w:rPr>
                <w:rFonts w:asciiTheme="minorHAnsi" w:hAnsiTheme="minorHAnsi" w:cstheme="minorHAnsi"/>
                <w:color w:val="000000"/>
                <w:szCs w:val="24"/>
                <w:lang w:eastAsia="zh-CN"/>
              </w:rPr>
              <w:t>22</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2F19F1" w14:textId="77777777" w:rsidR="00B26C83" w:rsidRPr="0055736D" w:rsidRDefault="00B26C83" w:rsidP="0083730C">
            <w:pPr>
              <w:keepNext/>
              <w:jc w:val="center"/>
              <w:rPr>
                <w:rFonts w:asciiTheme="minorHAnsi" w:hAnsiTheme="minorHAnsi" w:cstheme="minorHAnsi"/>
                <w:color w:val="000000"/>
                <w:szCs w:val="24"/>
                <w:lang w:eastAsia="zh-CN"/>
              </w:rPr>
            </w:pPr>
            <w:r w:rsidRPr="0055736D">
              <w:rPr>
                <w:rFonts w:asciiTheme="minorHAnsi" w:hAnsiTheme="minorHAnsi" w:cstheme="minorHAnsi"/>
                <w:color w:val="000000"/>
                <w:szCs w:val="24"/>
                <w:lang w:eastAsia="zh-CN"/>
              </w:rPr>
              <w:t>740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0321AC" w14:textId="77777777" w:rsidR="00B26C83" w:rsidRPr="0055736D" w:rsidRDefault="00B26C83" w:rsidP="0083730C">
            <w:pPr>
              <w:keepNext/>
              <w:jc w:val="center"/>
              <w:rPr>
                <w:rFonts w:asciiTheme="minorHAnsi" w:hAnsiTheme="minorHAnsi" w:cstheme="minorHAnsi"/>
                <w:color w:val="000000"/>
                <w:szCs w:val="24"/>
                <w:lang w:eastAsia="zh-CN"/>
              </w:rPr>
            </w:pPr>
            <w:r w:rsidRPr="0055736D">
              <w:rPr>
                <w:rFonts w:asciiTheme="minorHAnsi" w:hAnsiTheme="minorHAnsi" w:cstheme="minorHAnsi"/>
                <w:color w:val="000000"/>
                <w:szCs w:val="24"/>
                <w:lang w:eastAsia="zh-CN"/>
              </w:rPr>
              <w:t>22</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2F8545" w14:textId="77777777" w:rsidR="00B26C83" w:rsidRPr="0055736D" w:rsidRDefault="00B26C83" w:rsidP="0083730C">
            <w:pPr>
              <w:keepNext/>
              <w:jc w:val="center"/>
              <w:rPr>
                <w:rFonts w:asciiTheme="minorHAnsi" w:hAnsiTheme="minorHAnsi" w:cstheme="minorHAnsi"/>
                <w:color w:val="000000"/>
                <w:szCs w:val="24"/>
                <w:lang w:eastAsia="zh-CN"/>
              </w:rPr>
            </w:pPr>
            <w:r w:rsidRPr="0055736D">
              <w:rPr>
                <w:rFonts w:asciiTheme="minorHAnsi" w:hAnsiTheme="minorHAnsi" w:cstheme="minorHAnsi"/>
                <w:color w:val="000000"/>
                <w:szCs w:val="24"/>
                <w:lang w:eastAsia="zh-CN"/>
              </w:rPr>
              <w:t>740</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189456" w14:textId="77777777" w:rsidR="00B26C83" w:rsidRPr="0055736D" w:rsidRDefault="00B26C83" w:rsidP="0083730C">
            <w:pPr>
              <w:keepNext/>
              <w:jc w:val="center"/>
              <w:rPr>
                <w:rFonts w:asciiTheme="minorHAnsi" w:hAnsiTheme="minorHAnsi" w:cstheme="minorHAnsi"/>
                <w:color w:val="000000"/>
                <w:szCs w:val="24"/>
                <w:lang w:eastAsia="zh-CN"/>
              </w:rPr>
            </w:pPr>
            <w:r w:rsidRPr="0055736D">
              <w:rPr>
                <w:rFonts w:asciiTheme="minorHAnsi" w:hAnsiTheme="minorHAnsi" w:cstheme="minorHAnsi"/>
                <w:color w:val="000000"/>
                <w:szCs w:val="24"/>
                <w:lang w:eastAsia="zh-CN"/>
              </w:rPr>
              <w:t>22</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FF9337" w14:textId="77777777" w:rsidR="00B26C83" w:rsidRPr="0055736D" w:rsidRDefault="00B26C83" w:rsidP="0083730C">
            <w:pPr>
              <w:keepNext/>
              <w:jc w:val="center"/>
              <w:rPr>
                <w:rFonts w:asciiTheme="minorHAnsi" w:hAnsiTheme="minorHAnsi" w:cstheme="minorHAnsi"/>
                <w:color w:val="000000"/>
                <w:szCs w:val="24"/>
                <w:lang w:eastAsia="zh-CN"/>
              </w:rPr>
            </w:pPr>
            <w:r w:rsidRPr="0055736D">
              <w:rPr>
                <w:rFonts w:asciiTheme="minorHAnsi" w:hAnsiTheme="minorHAnsi" w:cstheme="minorHAnsi"/>
                <w:color w:val="000000"/>
                <w:szCs w:val="24"/>
                <w:lang w:eastAsia="zh-CN"/>
              </w:rPr>
              <w:t>740</w:t>
            </w:r>
          </w:p>
        </w:tc>
        <w:tc>
          <w:tcPr>
            <w:tcW w:w="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BF7515" w14:textId="77777777" w:rsidR="00B26C83" w:rsidRPr="0055736D" w:rsidRDefault="00B26C83" w:rsidP="0083730C">
            <w:pPr>
              <w:keepNext/>
              <w:jc w:val="center"/>
              <w:rPr>
                <w:rFonts w:asciiTheme="minorHAnsi" w:hAnsiTheme="minorHAnsi" w:cstheme="minorHAnsi"/>
                <w:color w:val="000000"/>
                <w:szCs w:val="24"/>
                <w:lang w:eastAsia="zh-CN"/>
              </w:rPr>
            </w:pPr>
            <w:r w:rsidRPr="0055736D">
              <w:rPr>
                <w:rFonts w:asciiTheme="minorHAnsi" w:hAnsiTheme="minorHAnsi" w:cstheme="minorHAnsi"/>
                <w:color w:val="000000"/>
                <w:szCs w:val="24"/>
                <w:lang w:eastAsia="zh-CN"/>
              </w:rPr>
              <w:t>23</w:t>
            </w:r>
          </w:p>
        </w:tc>
        <w:tc>
          <w:tcPr>
            <w:tcW w:w="10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FB60C6" w14:textId="77777777" w:rsidR="00B26C83" w:rsidRPr="0055736D" w:rsidRDefault="00B26C83" w:rsidP="0083730C">
            <w:pPr>
              <w:keepNext/>
              <w:jc w:val="center"/>
              <w:rPr>
                <w:rFonts w:asciiTheme="minorHAnsi" w:hAnsiTheme="minorHAnsi" w:cstheme="minorHAnsi"/>
                <w:color w:val="000000"/>
                <w:sz w:val="22"/>
                <w:szCs w:val="22"/>
                <w:lang w:eastAsia="zh-CN"/>
              </w:rPr>
            </w:pPr>
            <w:r w:rsidRPr="0055736D">
              <w:rPr>
                <w:rFonts w:asciiTheme="minorHAnsi" w:hAnsiTheme="minorHAnsi" w:cstheme="minorHAnsi"/>
                <w:color w:val="000000"/>
                <w:szCs w:val="24"/>
                <w:lang w:eastAsia="zh-CN"/>
              </w:rPr>
              <w:t>778</w:t>
            </w:r>
          </w:p>
        </w:tc>
      </w:tr>
    </w:tbl>
    <w:p w14:paraId="01540B59" w14:textId="77777777" w:rsidR="00B26C83" w:rsidRPr="0055736D" w:rsidRDefault="00B26C83" w:rsidP="00B26C83">
      <w:pPr>
        <w:rPr>
          <w:rFonts w:ascii="Calibri" w:eastAsiaTheme="minorHAnsi" w:hAnsi="Calibri" w:cs="Calibri"/>
          <w:color w:val="1F497D"/>
          <w:sz w:val="22"/>
          <w:szCs w:val="22"/>
          <w:lang w:val="es-CO"/>
        </w:rPr>
      </w:pPr>
    </w:p>
    <w:p w14:paraId="0382EDF5" w14:textId="4634ADC2" w:rsidR="00144EB6" w:rsidRPr="0055736D" w:rsidRDefault="003D4A0C" w:rsidP="007B5B77">
      <w:pPr>
        <w:pStyle w:val="ListParagraph"/>
        <w:keepNext/>
        <w:keepLines/>
        <w:numPr>
          <w:ilvl w:val="0"/>
          <w:numId w:val="13"/>
        </w:numPr>
        <w:snapToGrid w:val="0"/>
        <w:spacing w:after="120"/>
        <w:jc w:val="both"/>
        <w:rPr>
          <w:rFonts w:asciiTheme="minorHAnsi" w:hAnsiTheme="minorHAnsi"/>
          <w:b/>
          <w:bCs/>
          <w:sz w:val="28"/>
          <w:szCs w:val="28"/>
        </w:rPr>
      </w:pPr>
      <w:r w:rsidRPr="0055736D">
        <w:rPr>
          <w:rFonts w:asciiTheme="minorHAnsi" w:hAnsiTheme="minorHAnsi"/>
          <w:b/>
          <w:bCs/>
          <w:sz w:val="28"/>
          <w:szCs w:val="28"/>
        </w:rPr>
        <w:t xml:space="preserve">Review of possible approaches to financing and maintaining a WSIS Forum website available in the six official languages of ITU </w:t>
      </w:r>
    </w:p>
    <w:bookmarkEnd w:id="8"/>
    <w:p w14:paraId="501CE33A" w14:textId="3D0DE3BC" w:rsidR="00BB2987" w:rsidRPr="0055736D" w:rsidRDefault="002004BF" w:rsidP="007B5B77">
      <w:pPr>
        <w:snapToGrid w:val="0"/>
        <w:spacing w:after="120"/>
        <w:jc w:val="both"/>
        <w:rPr>
          <w:rFonts w:asciiTheme="minorHAnsi" w:hAnsiTheme="minorHAnsi"/>
          <w:szCs w:val="24"/>
        </w:rPr>
      </w:pPr>
      <w:r w:rsidRPr="0055736D">
        <w:rPr>
          <w:rFonts w:asciiTheme="minorHAnsi" w:hAnsiTheme="minorHAnsi"/>
          <w:szCs w:val="24"/>
        </w:rPr>
        <w:t xml:space="preserve">ITU-Translate, the ITU neural machine translation tool, has been deployed for the dynamic translation of the WSIS-2019 and the WSIS-2020 websites. C&amp;P budget allocated to </w:t>
      </w:r>
      <w:r w:rsidR="00620017">
        <w:rPr>
          <w:rFonts w:asciiTheme="minorHAnsi" w:hAnsiTheme="minorHAnsi"/>
          <w:szCs w:val="24"/>
        </w:rPr>
        <w:t>“</w:t>
      </w:r>
      <w:r w:rsidRPr="0055736D">
        <w:rPr>
          <w:rFonts w:asciiTheme="minorHAnsi" w:hAnsiTheme="minorHAnsi"/>
          <w:szCs w:val="24"/>
        </w:rPr>
        <w:t>Web translation project</w:t>
      </w:r>
      <w:r w:rsidR="00620017">
        <w:rPr>
          <w:rFonts w:asciiTheme="minorHAnsi" w:hAnsiTheme="minorHAnsi"/>
          <w:szCs w:val="24"/>
        </w:rPr>
        <w:t>”</w:t>
      </w:r>
      <w:r w:rsidRPr="0055736D">
        <w:rPr>
          <w:rFonts w:asciiTheme="minorHAnsi" w:hAnsiTheme="minorHAnsi"/>
          <w:szCs w:val="24"/>
        </w:rPr>
        <w:t xml:space="preserve"> with a total amount CHF 230,000 provides the relevant financial support</w:t>
      </w:r>
      <w:r w:rsidR="002B386D" w:rsidRPr="0055736D">
        <w:rPr>
          <w:rFonts w:asciiTheme="minorHAnsi" w:hAnsiTheme="minorHAnsi"/>
          <w:szCs w:val="24"/>
        </w:rPr>
        <w:t xml:space="preserve"> (see Annex II)</w:t>
      </w:r>
      <w:r w:rsidR="00A54DD4" w:rsidRPr="0055736D">
        <w:rPr>
          <w:rFonts w:asciiTheme="minorHAnsi" w:hAnsiTheme="minorHAnsi"/>
          <w:szCs w:val="24"/>
        </w:rPr>
        <w:t xml:space="preserve">. </w:t>
      </w:r>
    </w:p>
    <w:p w14:paraId="1CBCF5A2" w14:textId="69BFD440" w:rsidR="00482670" w:rsidRPr="0055736D" w:rsidRDefault="00482670" w:rsidP="008E681E">
      <w:pPr>
        <w:snapToGrid w:val="0"/>
        <w:spacing w:after="120"/>
        <w:jc w:val="both"/>
        <w:rPr>
          <w:rFonts w:asciiTheme="minorHAnsi" w:hAnsiTheme="minorHAnsi"/>
          <w:szCs w:val="24"/>
        </w:rPr>
      </w:pPr>
    </w:p>
    <w:p w14:paraId="574C148B" w14:textId="77777777" w:rsidR="00482670" w:rsidRPr="0055736D" w:rsidRDefault="00482670" w:rsidP="00D83C1D">
      <w:pPr>
        <w:pStyle w:val="ListParagraph"/>
        <w:snapToGrid w:val="0"/>
        <w:spacing w:after="120"/>
        <w:ind w:left="0"/>
        <w:contextualSpacing w:val="0"/>
        <w:jc w:val="both"/>
        <w:rPr>
          <w:rFonts w:asciiTheme="minorHAnsi" w:hAnsiTheme="minorHAnsi"/>
          <w:lang w:val="en-US"/>
        </w:rPr>
      </w:pPr>
    </w:p>
    <w:p w14:paraId="5FD13137" w14:textId="77777777" w:rsidR="00700238" w:rsidRPr="0055736D" w:rsidRDefault="00700238">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en-US"/>
        </w:rPr>
      </w:pPr>
      <w:r w:rsidRPr="0055736D">
        <w:rPr>
          <w:rFonts w:asciiTheme="minorHAnsi" w:hAnsiTheme="minorHAnsi"/>
          <w:b/>
          <w:bCs/>
          <w:lang w:val="en-US"/>
        </w:rPr>
        <w:br w:type="page"/>
      </w:r>
    </w:p>
    <w:p w14:paraId="40D77D1C" w14:textId="4EB7D668" w:rsidR="00F9635E" w:rsidRPr="0055736D" w:rsidRDefault="00D859E2" w:rsidP="00A91987">
      <w:pPr>
        <w:pStyle w:val="ListParagraph"/>
        <w:keepNext/>
        <w:keepLines/>
        <w:snapToGrid w:val="0"/>
        <w:spacing w:after="120"/>
        <w:ind w:left="0"/>
        <w:jc w:val="center"/>
        <w:rPr>
          <w:rFonts w:asciiTheme="minorHAnsi" w:hAnsiTheme="minorHAnsi"/>
          <w:b/>
          <w:bCs/>
          <w:sz w:val="36"/>
          <w:szCs w:val="28"/>
          <w:lang w:val="en-US"/>
        </w:rPr>
      </w:pPr>
      <w:r w:rsidRPr="0055736D">
        <w:rPr>
          <w:rFonts w:asciiTheme="minorHAnsi" w:hAnsiTheme="minorHAnsi"/>
          <w:b/>
          <w:bCs/>
          <w:sz w:val="36"/>
          <w:szCs w:val="28"/>
          <w:lang w:val="en-US"/>
        </w:rPr>
        <w:lastRenderedPageBreak/>
        <w:t>A</w:t>
      </w:r>
      <w:r w:rsidR="00A91987" w:rsidRPr="0055736D">
        <w:rPr>
          <w:rFonts w:asciiTheme="minorHAnsi" w:hAnsiTheme="minorHAnsi"/>
          <w:b/>
          <w:bCs/>
          <w:sz w:val="36"/>
          <w:szCs w:val="28"/>
          <w:lang w:val="en-US"/>
        </w:rPr>
        <w:t>nne</w:t>
      </w:r>
      <w:r w:rsidRPr="0055736D">
        <w:rPr>
          <w:rFonts w:asciiTheme="minorHAnsi" w:hAnsiTheme="minorHAnsi"/>
          <w:b/>
          <w:bCs/>
          <w:sz w:val="36"/>
          <w:szCs w:val="28"/>
          <w:lang w:val="en-US"/>
        </w:rPr>
        <w:t>x</w:t>
      </w:r>
      <w:r w:rsidR="00A91987" w:rsidRPr="0055736D">
        <w:rPr>
          <w:rFonts w:asciiTheme="minorHAnsi" w:hAnsiTheme="minorHAnsi"/>
          <w:b/>
          <w:bCs/>
          <w:sz w:val="36"/>
          <w:szCs w:val="28"/>
          <w:lang w:val="en-US"/>
        </w:rPr>
        <w:t xml:space="preserve"> I</w:t>
      </w:r>
    </w:p>
    <w:p w14:paraId="3C9D58F5" w14:textId="77777777" w:rsidR="00D859E2" w:rsidRPr="0055736D" w:rsidRDefault="00D859E2" w:rsidP="00D859E2">
      <w:pPr>
        <w:pStyle w:val="ListParagraph"/>
        <w:keepNext/>
        <w:keepLines/>
        <w:snapToGrid w:val="0"/>
        <w:spacing w:after="120"/>
        <w:ind w:left="0"/>
        <w:rPr>
          <w:rFonts w:asciiTheme="minorHAnsi" w:hAnsiTheme="minorHAnsi"/>
          <w:lang w:val="en-US"/>
        </w:rPr>
      </w:pPr>
    </w:p>
    <w:p w14:paraId="392A3C64" w14:textId="0A719F54" w:rsidR="00D859E2" w:rsidRPr="00471BAA" w:rsidRDefault="00A91987" w:rsidP="007F46C3">
      <w:pPr>
        <w:pStyle w:val="ListParagraph"/>
        <w:keepNext/>
        <w:keepLines/>
        <w:snapToGrid w:val="0"/>
        <w:spacing w:after="120"/>
        <w:ind w:left="0"/>
        <w:jc w:val="center"/>
        <w:rPr>
          <w:rFonts w:asciiTheme="minorHAnsi" w:hAnsiTheme="minorHAnsi"/>
          <w:sz w:val="22"/>
          <w:szCs w:val="18"/>
          <w:lang w:val="en-US"/>
        </w:rPr>
      </w:pPr>
      <w:bookmarkStart w:id="9" w:name="_Hlk24604123"/>
      <w:r w:rsidRPr="00471BAA">
        <w:rPr>
          <w:rFonts w:asciiTheme="minorHAnsi" w:hAnsiTheme="minorHAnsi"/>
          <w:b/>
          <w:bCs/>
          <w:sz w:val="28"/>
          <w:szCs w:val="22"/>
          <w:lang w:val="en-US"/>
        </w:rPr>
        <w:t>Areas of interest for the implementation of Resolution 154 (Rev. Dubai, 2018) over the period 2019-2022</w:t>
      </w:r>
      <w:bookmarkEnd w:id="9"/>
    </w:p>
    <w:p w14:paraId="113D0182" w14:textId="77777777" w:rsidR="00A91987" w:rsidRPr="0055736D" w:rsidRDefault="00A91987">
      <w:pPr>
        <w:tabs>
          <w:tab w:val="clear" w:pos="794"/>
          <w:tab w:val="clear" w:pos="1191"/>
          <w:tab w:val="clear" w:pos="1588"/>
          <w:tab w:val="clear" w:pos="1985"/>
        </w:tabs>
        <w:overflowPunct/>
        <w:autoSpaceDE/>
        <w:autoSpaceDN/>
        <w:adjustRightInd/>
        <w:spacing w:before="0"/>
        <w:textAlignment w:val="auto"/>
        <w:rPr>
          <w:rFonts w:asciiTheme="minorHAnsi" w:hAnsiTheme="minorHAnsi"/>
          <w:lang w:val="en-US"/>
        </w:rPr>
      </w:pPr>
    </w:p>
    <w:p w14:paraId="6464F0E6" w14:textId="1336682C" w:rsidR="00C20D8D" w:rsidRPr="0055736D" w:rsidRDefault="00A91987" w:rsidP="007B5B77">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lang w:val="en-US"/>
        </w:rPr>
      </w:pPr>
      <w:r w:rsidRPr="0055736D">
        <w:rPr>
          <w:rFonts w:asciiTheme="minorHAnsi" w:hAnsiTheme="minorHAnsi"/>
          <w:lang w:val="en-US"/>
        </w:rPr>
        <w:t xml:space="preserve">According to the </w:t>
      </w:r>
      <w:r w:rsidRPr="0055736D">
        <w:rPr>
          <w:rFonts w:asciiTheme="minorHAnsi" w:hAnsiTheme="minorHAnsi"/>
          <w:i/>
          <w:iCs/>
          <w:lang w:val="en-US"/>
        </w:rPr>
        <w:t>instructs the Council</w:t>
      </w:r>
      <w:r w:rsidRPr="0055736D">
        <w:rPr>
          <w:rFonts w:asciiTheme="minorHAnsi" w:hAnsiTheme="minorHAnsi"/>
          <w:lang w:val="en-US"/>
        </w:rPr>
        <w:t xml:space="preserve"> of Resolution 154 (Rev. Dubai, 2018), the Council is required</w:t>
      </w:r>
      <w:r w:rsidR="00C20D8D" w:rsidRPr="0055736D">
        <w:rPr>
          <w:rFonts w:asciiTheme="minorHAnsi" w:hAnsiTheme="minorHAnsi"/>
          <w:lang w:val="en-US"/>
        </w:rPr>
        <w:t xml:space="preserve"> to:</w:t>
      </w:r>
    </w:p>
    <w:p w14:paraId="03FA755B" w14:textId="4860E2CC" w:rsidR="00C20D8D" w:rsidRPr="0055736D" w:rsidRDefault="00C20D8D" w:rsidP="007B5B77">
      <w:pPr>
        <w:pStyle w:val="ListParagraph"/>
        <w:numPr>
          <w:ilvl w:val="0"/>
          <w:numId w:val="15"/>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lang w:val="en-US"/>
        </w:rPr>
      </w:pPr>
      <w:r w:rsidRPr="0055736D">
        <w:rPr>
          <w:rFonts w:asciiTheme="minorHAnsi" w:hAnsiTheme="minorHAnsi"/>
          <w:lang w:val="en-US"/>
        </w:rPr>
        <w:t xml:space="preserve">consider proposals for </w:t>
      </w:r>
      <w:r w:rsidR="00A91987" w:rsidRPr="0055736D">
        <w:rPr>
          <w:rFonts w:asciiTheme="minorHAnsi" w:hAnsiTheme="minorHAnsi"/>
          <w:lang w:val="en-US"/>
        </w:rPr>
        <w:t xml:space="preserve">the adoption by ITU of alternative translation procedures </w:t>
      </w:r>
      <w:r w:rsidR="00E36833" w:rsidRPr="0055736D">
        <w:rPr>
          <w:rFonts w:asciiTheme="minorHAnsi" w:hAnsiTheme="minorHAnsi"/>
          <w:lang w:val="en-US"/>
        </w:rPr>
        <w:t>(</w:t>
      </w:r>
      <w:r w:rsidR="00E36833" w:rsidRPr="0055736D">
        <w:rPr>
          <w:rFonts w:asciiTheme="minorHAnsi" w:hAnsiTheme="minorHAnsi"/>
          <w:i/>
          <w:iCs/>
          <w:lang w:val="en-US"/>
        </w:rPr>
        <w:t>instructs the Council</w:t>
      </w:r>
      <w:r w:rsidR="00E36833" w:rsidRPr="0055736D">
        <w:rPr>
          <w:rFonts w:asciiTheme="minorHAnsi" w:hAnsiTheme="minorHAnsi"/>
          <w:lang w:val="en-US"/>
        </w:rPr>
        <w:t xml:space="preserve"> 1);</w:t>
      </w:r>
    </w:p>
    <w:p w14:paraId="6615A40D" w14:textId="60956A68" w:rsidR="00C20D8D" w:rsidRPr="0055736D" w:rsidRDefault="00C20D8D" w:rsidP="007B5B77">
      <w:pPr>
        <w:pStyle w:val="ListParagraph"/>
        <w:numPr>
          <w:ilvl w:val="0"/>
          <w:numId w:val="15"/>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lang w:val="en-US"/>
        </w:rPr>
      </w:pPr>
      <w:r w:rsidRPr="0055736D">
        <w:rPr>
          <w:rFonts w:asciiTheme="minorHAnsi" w:hAnsiTheme="minorHAnsi"/>
          <w:lang w:val="en-US"/>
        </w:rPr>
        <w:t>analy</w:t>
      </w:r>
      <w:r w:rsidR="007B5B77">
        <w:rPr>
          <w:rFonts w:asciiTheme="minorHAnsi" w:hAnsiTheme="minorHAnsi"/>
          <w:lang w:val="en-US"/>
        </w:rPr>
        <w:t>s</w:t>
      </w:r>
      <w:r w:rsidRPr="0055736D">
        <w:rPr>
          <w:rFonts w:asciiTheme="minorHAnsi" w:hAnsiTheme="minorHAnsi"/>
          <w:lang w:val="en-US"/>
        </w:rPr>
        <w:t>e</w:t>
      </w:r>
      <w:r w:rsidR="00A91987" w:rsidRPr="0055736D">
        <w:rPr>
          <w:rFonts w:asciiTheme="minorHAnsi" w:hAnsiTheme="minorHAnsi"/>
          <w:lang w:val="en-US"/>
        </w:rPr>
        <w:t xml:space="preserve"> the application of the updated measures and principles for interpretation and translation adopted by the Council at its 2014 session</w:t>
      </w:r>
      <w:r w:rsidR="00E36833" w:rsidRPr="0055736D">
        <w:rPr>
          <w:rFonts w:asciiTheme="minorHAnsi" w:hAnsiTheme="minorHAnsi"/>
          <w:lang w:val="en-US"/>
        </w:rPr>
        <w:t xml:space="preserve"> (</w:t>
      </w:r>
      <w:r w:rsidR="00E36833" w:rsidRPr="0055736D">
        <w:rPr>
          <w:rFonts w:asciiTheme="minorHAnsi" w:hAnsiTheme="minorHAnsi"/>
          <w:i/>
          <w:iCs/>
          <w:lang w:val="en-US"/>
        </w:rPr>
        <w:t>instructs the Council</w:t>
      </w:r>
      <w:r w:rsidR="00E36833" w:rsidRPr="0055736D">
        <w:rPr>
          <w:rFonts w:asciiTheme="minorHAnsi" w:hAnsiTheme="minorHAnsi"/>
          <w:lang w:val="en-US"/>
        </w:rPr>
        <w:t xml:space="preserve"> 2);</w:t>
      </w:r>
    </w:p>
    <w:p w14:paraId="5FA16D5D" w14:textId="2474976D" w:rsidR="00A91987" w:rsidRPr="0055736D" w:rsidRDefault="00C20D8D" w:rsidP="007B5B77">
      <w:pPr>
        <w:pStyle w:val="ListParagraph"/>
        <w:numPr>
          <w:ilvl w:val="0"/>
          <w:numId w:val="15"/>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lang w:val="en-US"/>
        </w:rPr>
      </w:pPr>
      <w:r w:rsidRPr="0055736D">
        <w:rPr>
          <w:rFonts w:asciiTheme="minorHAnsi" w:hAnsiTheme="minorHAnsi"/>
          <w:lang w:val="en-US"/>
        </w:rPr>
        <w:t>pursue and monito</w:t>
      </w:r>
      <w:r w:rsidR="00A91987" w:rsidRPr="0055736D">
        <w:rPr>
          <w:rFonts w:asciiTheme="minorHAnsi" w:hAnsiTheme="minorHAnsi"/>
          <w:lang w:val="en-US"/>
        </w:rPr>
        <w:t xml:space="preserve">r </w:t>
      </w:r>
      <w:r w:rsidRPr="0055736D">
        <w:rPr>
          <w:rFonts w:asciiTheme="minorHAnsi" w:hAnsiTheme="minorHAnsi"/>
          <w:lang w:val="en-US"/>
        </w:rPr>
        <w:t xml:space="preserve">specific </w:t>
      </w:r>
      <w:r w:rsidR="00A91987" w:rsidRPr="0055736D">
        <w:rPr>
          <w:rFonts w:asciiTheme="minorHAnsi" w:hAnsiTheme="minorHAnsi"/>
          <w:lang w:val="en-US"/>
        </w:rPr>
        <w:t>operational measures</w:t>
      </w:r>
      <w:r w:rsidR="00E36833" w:rsidRPr="0055736D">
        <w:rPr>
          <w:rFonts w:asciiTheme="minorHAnsi" w:hAnsiTheme="minorHAnsi"/>
          <w:lang w:val="en-US"/>
        </w:rPr>
        <w:t xml:space="preserve"> (</w:t>
      </w:r>
      <w:r w:rsidR="00E36833" w:rsidRPr="0055736D">
        <w:rPr>
          <w:rFonts w:asciiTheme="minorHAnsi" w:hAnsiTheme="minorHAnsi"/>
          <w:i/>
          <w:iCs/>
          <w:lang w:val="en-US"/>
        </w:rPr>
        <w:t>instructs the Council</w:t>
      </w:r>
      <w:r w:rsidR="00E36833" w:rsidRPr="0055736D">
        <w:rPr>
          <w:rFonts w:asciiTheme="minorHAnsi" w:hAnsiTheme="minorHAnsi"/>
          <w:lang w:val="en-US"/>
        </w:rPr>
        <w:t xml:space="preserve"> 3)</w:t>
      </w:r>
      <w:r w:rsidR="00A91987" w:rsidRPr="0055736D">
        <w:rPr>
          <w:rFonts w:asciiTheme="minorHAnsi" w:hAnsiTheme="minorHAnsi"/>
          <w:lang w:val="en-US"/>
        </w:rPr>
        <w:t xml:space="preserve">. </w:t>
      </w:r>
    </w:p>
    <w:p w14:paraId="53B6B30F" w14:textId="77777777" w:rsidR="00C20D8D" w:rsidRPr="0055736D" w:rsidRDefault="00C20D8D" w:rsidP="007B5B77">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lang w:val="en-US"/>
        </w:rPr>
      </w:pPr>
    </w:p>
    <w:p w14:paraId="4EED797A" w14:textId="1603E4BE" w:rsidR="00A91987" w:rsidRPr="0055736D" w:rsidRDefault="00C20D8D" w:rsidP="007B5B77">
      <w:pPr>
        <w:tabs>
          <w:tab w:val="clear" w:pos="794"/>
          <w:tab w:val="clear" w:pos="1191"/>
          <w:tab w:val="clear" w:pos="1588"/>
          <w:tab w:val="clear" w:pos="1985"/>
        </w:tabs>
        <w:overflowPunct/>
        <w:autoSpaceDE/>
        <w:autoSpaceDN/>
        <w:adjustRightInd/>
        <w:spacing w:before="0"/>
        <w:ind w:firstLine="360"/>
        <w:jc w:val="both"/>
        <w:textAlignment w:val="auto"/>
        <w:rPr>
          <w:rFonts w:asciiTheme="minorHAnsi" w:hAnsiTheme="minorHAnsi"/>
          <w:lang w:val="en-US"/>
        </w:rPr>
      </w:pPr>
      <w:r w:rsidRPr="0055736D">
        <w:rPr>
          <w:rFonts w:asciiTheme="minorHAnsi" w:hAnsiTheme="minorHAnsi"/>
          <w:lang w:val="en-US"/>
        </w:rPr>
        <w:t xml:space="preserve">Therefore, as regards implementation of </w:t>
      </w:r>
      <w:r w:rsidR="00A91987" w:rsidRPr="0055736D">
        <w:rPr>
          <w:rFonts w:asciiTheme="minorHAnsi" w:hAnsiTheme="minorHAnsi"/>
          <w:lang w:val="en-US"/>
        </w:rPr>
        <w:t>Resolution 154, the areas</w:t>
      </w:r>
      <w:r w:rsidRPr="0055736D">
        <w:rPr>
          <w:rFonts w:asciiTheme="minorHAnsi" w:hAnsiTheme="minorHAnsi"/>
          <w:lang w:val="en-US"/>
        </w:rPr>
        <w:t xml:space="preserve"> of interest </w:t>
      </w:r>
      <w:r w:rsidR="0044784D" w:rsidRPr="0055736D">
        <w:rPr>
          <w:rFonts w:asciiTheme="minorHAnsi" w:hAnsiTheme="minorHAnsi"/>
          <w:lang w:val="en-US"/>
        </w:rPr>
        <w:t>identified by</w:t>
      </w:r>
      <w:r w:rsidRPr="0055736D">
        <w:rPr>
          <w:rFonts w:asciiTheme="minorHAnsi" w:hAnsiTheme="minorHAnsi"/>
          <w:lang w:val="en-US"/>
        </w:rPr>
        <w:t xml:space="preserve"> the Council over the period 2019-2022 </w:t>
      </w:r>
      <w:r w:rsidR="0044784D" w:rsidRPr="0055736D">
        <w:rPr>
          <w:rFonts w:asciiTheme="minorHAnsi" w:hAnsiTheme="minorHAnsi"/>
          <w:lang w:val="en-US"/>
        </w:rPr>
        <w:t>are</w:t>
      </w:r>
      <w:r w:rsidR="00A91987" w:rsidRPr="0055736D">
        <w:rPr>
          <w:rFonts w:asciiTheme="minorHAnsi" w:hAnsiTheme="minorHAnsi"/>
          <w:lang w:val="en-US"/>
        </w:rPr>
        <w:t>:</w:t>
      </w:r>
    </w:p>
    <w:p w14:paraId="21CA746D" w14:textId="77777777" w:rsidR="00E36833" w:rsidRPr="0055736D" w:rsidRDefault="00E36833" w:rsidP="007B5B77">
      <w:pPr>
        <w:tabs>
          <w:tab w:val="clear" w:pos="794"/>
          <w:tab w:val="clear" w:pos="1191"/>
          <w:tab w:val="clear" w:pos="1588"/>
          <w:tab w:val="clear" w:pos="1985"/>
        </w:tabs>
        <w:overflowPunct/>
        <w:autoSpaceDE/>
        <w:autoSpaceDN/>
        <w:adjustRightInd/>
        <w:spacing w:before="0"/>
        <w:ind w:firstLine="360"/>
        <w:jc w:val="both"/>
        <w:textAlignment w:val="auto"/>
        <w:rPr>
          <w:rFonts w:asciiTheme="minorHAnsi" w:hAnsiTheme="minorHAnsi"/>
          <w:lang w:val="en-US"/>
        </w:rPr>
      </w:pPr>
    </w:p>
    <w:p w14:paraId="075A1E5B" w14:textId="778AAB61" w:rsidR="00A91987" w:rsidRPr="0055736D" w:rsidRDefault="00A91987" w:rsidP="007B5B77">
      <w:pPr>
        <w:tabs>
          <w:tab w:val="clear" w:pos="794"/>
          <w:tab w:val="clear" w:pos="1191"/>
          <w:tab w:val="clear" w:pos="1588"/>
          <w:tab w:val="clear" w:pos="1985"/>
        </w:tabs>
        <w:overflowPunct/>
        <w:autoSpaceDE/>
        <w:autoSpaceDN/>
        <w:adjustRightInd/>
        <w:spacing w:before="0"/>
        <w:ind w:left="709" w:hanging="709"/>
        <w:jc w:val="both"/>
        <w:textAlignment w:val="auto"/>
        <w:rPr>
          <w:rFonts w:asciiTheme="minorHAnsi" w:hAnsiTheme="minorHAnsi"/>
          <w:b/>
          <w:bCs/>
          <w:lang w:val="en-US"/>
        </w:rPr>
      </w:pPr>
      <w:r w:rsidRPr="0055736D">
        <w:rPr>
          <w:rFonts w:asciiTheme="minorHAnsi" w:hAnsiTheme="minorHAnsi"/>
          <w:b/>
          <w:bCs/>
          <w:lang w:val="en-US"/>
        </w:rPr>
        <w:t>1.</w:t>
      </w:r>
      <w:r w:rsidRPr="0055736D">
        <w:rPr>
          <w:rFonts w:asciiTheme="minorHAnsi" w:hAnsiTheme="minorHAnsi"/>
          <w:b/>
          <w:bCs/>
          <w:lang w:val="en-US"/>
        </w:rPr>
        <w:tab/>
        <w:t xml:space="preserve">Review of ITU documentation and publication services with a view to eliminating any duplication and to creating synergies </w:t>
      </w:r>
    </w:p>
    <w:p w14:paraId="43E9E4EA" w14:textId="6B562A73" w:rsidR="00384C32" w:rsidRPr="0055736D" w:rsidRDefault="00285D78" w:rsidP="007B5B77">
      <w:p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cstheme="minorHAnsi"/>
          <w:lang w:val="en-US"/>
        </w:rPr>
      </w:pPr>
      <w:r w:rsidRPr="0055736D">
        <w:rPr>
          <w:rFonts w:asciiTheme="minorHAnsi" w:hAnsiTheme="minorHAnsi" w:cstheme="minorHAnsi"/>
          <w:lang w:val="en-US"/>
        </w:rPr>
        <w:t>The three Sectors and the General Secretariat collaborate closely among themselves to identify and minimize duplication, gaps</w:t>
      </w:r>
      <w:r w:rsidR="007B5B77">
        <w:rPr>
          <w:rFonts w:asciiTheme="minorHAnsi" w:hAnsiTheme="minorHAnsi" w:cstheme="minorHAnsi"/>
          <w:lang w:val="en-US"/>
        </w:rPr>
        <w:t>,</w:t>
      </w:r>
      <w:r w:rsidRPr="0055736D">
        <w:rPr>
          <w:rFonts w:asciiTheme="minorHAnsi" w:hAnsiTheme="minorHAnsi" w:cstheme="minorHAnsi"/>
          <w:lang w:val="en-US"/>
        </w:rPr>
        <w:t xml:space="preserve"> and overlaps. </w:t>
      </w:r>
      <w:r w:rsidR="007B5B77">
        <w:rPr>
          <w:rFonts w:asciiTheme="minorHAnsi" w:hAnsiTheme="minorHAnsi" w:cstheme="minorHAnsi"/>
          <w:lang w:val="en-US"/>
        </w:rPr>
        <w:t xml:space="preserve">The </w:t>
      </w:r>
      <w:r w:rsidRPr="0055736D">
        <w:rPr>
          <w:rFonts w:asciiTheme="minorHAnsi" w:hAnsiTheme="minorHAnsi" w:cstheme="minorHAnsi"/>
          <w:lang w:val="en-US"/>
        </w:rPr>
        <w:t>Sectors</w:t>
      </w:r>
      <w:r w:rsidR="00620017">
        <w:rPr>
          <w:rFonts w:asciiTheme="minorHAnsi" w:hAnsiTheme="minorHAnsi" w:cstheme="minorHAnsi"/>
          <w:lang w:val="en-US"/>
        </w:rPr>
        <w:t>’</w:t>
      </w:r>
      <w:r w:rsidRPr="0055736D">
        <w:rPr>
          <w:rFonts w:asciiTheme="minorHAnsi" w:hAnsiTheme="minorHAnsi" w:cstheme="minorHAnsi"/>
          <w:lang w:val="en-US"/>
        </w:rPr>
        <w:t xml:space="preserve"> </w:t>
      </w:r>
      <w:r w:rsidR="007B5B77">
        <w:rPr>
          <w:rFonts w:asciiTheme="minorHAnsi" w:hAnsiTheme="minorHAnsi" w:cstheme="minorHAnsi"/>
          <w:lang w:val="en-US"/>
        </w:rPr>
        <w:t>r</w:t>
      </w:r>
      <w:r w:rsidRPr="0055736D">
        <w:rPr>
          <w:rFonts w:asciiTheme="minorHAnsi" w:hAnsiTheme="minorHAnsi" w:cstheme="minorHAnsi"/>
          <w:lang w:val="en-US"/>
        </w:rPr>
        <w:t xml:space="preserve">esolutions are modified as needed to avoid duplication and create synergies, particularly through alignment with Plenipotentiary </w:t>
      </w:r>
      <w:r w:rsidR="007B5B77">
        <w:rPr>
          <w:rFonts w:asciiTheme="minorHAnsi" w:hAnsiTheme="minorHAnsi" w:cstheme="minorHAnsi"/>
          <w:lang w:val="en-US"/>
        </w:rPr>
        <w:t>r</w:t>
      </w:r>
      <w:r w:rsidRPr="0055736D">
        <w:rPr>
          <w:rFonts w:asciiTheme="minorHAnsi" w:hAnsiTheme="minorHAnsi" w:cstheme="minorHAnsi"/>
          <w:lang w:val="en-US"/>
        </w:rPr>
        <w:t xml:space="preserve">esolutions and decisions. </w:t>
      </w:r>
    </w:p>
    <w:p w14:paraId="3E74D4E8" w14:textId="50C1203A" w:rsidR="00384C32" w:rsidRPr="0055736D" w:rsidRDefault="00384C32"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cstheme="minorHAnsi"/>
          <w:lang w:val="en-US"/>
        </w:rPr>
      </w:pPr>
      <w:r w:rsidRPr="0055736D">
        <w:rPr>
          <w:rFonts w:asciiTheme="minorHAnsi" w:hAnsiTheme="minorHAnsi" w:cstheme="minorHAnsi"/>
          <w:lang w:val="en-US"/>
        </w:rPr>
        <w:t>A new BDT policy on publications is in the last stages of approval.  It intends to rationalize the planning, production</w:t>
      </w:r>
      <w:r w:rsidR="007B5B77">
        <w:rPr>
          <w:rFonts w:asciiTheme="minorHAnsi" w:hAnsiTheme="minorHAnsi" w:cstheme="minorHAnsi"/>
          <w:lang w:val="en-US"/>
        </w:rPr>
        <w:t>,</w:t>
      </w:r>
      <w:r w:rsidRPr="0055736D">
        <w:rPr>
          <w:rFonts w:asciiTheme="minorHAnsi" w:hAnsiTheme="minorHAnsi" w:cstheme="minorHAnsi"/>
          <w:lang w:val="en-US"/>
        </w:rPr>
        <w:t xml:space="preserve"> and publication process, thus also avoiding any duplication and unnecessary translation.</w:t>
      </w:r>
    </w:p>
    <w:p w14:paraId="5E0CB17C" w14:textId="5301D4BE" w:rsidR="0044784D" w:rsidRPr="0055736D" w:rsidRDefault="009E0395"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lang w:val="en-US"/>
        </w:rPr>
      </w:pPr>
      <w:r w:rsidRPr="0055736D">
        <w:rPr>
          <w:rFonts w:asciiTheme="minorHAnsi" w:hAnsiTheme="minorHAnsi" w:cstheme="minorHAnsi"/>
          <w:lang w:val="en-US"/>
        </w:rPr>
        <w:t xml:space="preserve">See </w:t>
      </w:r>
      <w:r w:rsidR="00285D78" w:rsidRPr="0055736D">
        <w:rPr>
          <w:rFonts w:asciiTheme="minorHAnsi" w:hAnsiTheme="minorHAnsi" w:cstheme="minorHAnsi"/>
          <w:lang w:val="en-US"/>
        </w:rPr>
        <w:t>also</w:t>
      </w:r>
      <w:r w:rsidR="0002458E" w:rsidRPr="0055736D">
        <w:rPr>
          <w:rFonts w:asciiTheme="minorHAnsi" w:hAnsiTheme="minorHAnsi" w:cstheme="minorHAnsi"/>
          <w:lang w:val="en-US"/>
        </w:rPr>
        <w:t xml:space="preserve"> subparagraph </w:t>
      </w:r>
      <w:r w:rsidR="0002458E" w:rsidRPr="0055736D">
        <w:rPr>
          <w:rFonts w:asciiTheme="minorHAnsi" w:hAnsiTheme="minorHAnsi" w:cstheme="minorHAnsi"/>
          <w:i/>
          <w:iCs/>
          <w:lang w:val="en-US"/>
        </w:rPr>
        <w:t>a)</w:t>
      </w:r>
      <w:r w:rsidR="0002458E" w:rsidRPr="0055736D">
        <w:rPr>
          <w:rFonts w:asciiTheme="minorHAnsi" w:hAnsiTheme="minorHAnsi" w:cstheme="minorHAnsi"/>
          <w:lang w:val="en-US"/>
        </w:rPr>
        <w:t xml:space="preserve"> of </w:t>
      </w:r>
      <w:r w:rsidR="00B5597C" w:rsidRPr="0055736D">
        <w:rPr>
          <w:rFonts w:asciiTheme="minorHAnsi" w:hAnsiTheme="minorHAnsi" w:cstheme="minorHAnsi"/>
        </w:rPr>
        <w:t>Item 3 of th</w:t>
      </w:r>
      <w:r w:rsidR="00285D78" w:rsidRPr="0055736D">
        <w:rPr>
          <w:rFonts w:asciiTheme="minorHAnsi" w:hAnsiTheme="minorHAnsi" w:cstheme="minorHAnsi"/>
        </w:rPr>
        <w:t>is</w:t>
      </w:r>
      <w:r w:rsidR="00B5597C" w:rsidRPr="0055736D">
        <w:rPr>
          <w:rFonts w:asciiTheme="minorHAnsi" w:hAnsiTheme="minorHAnsi" w:cstheme="minorHAnsi"/>
        </w:rPr>
        <w:t xml:space="preserve"> Report</w:t>
      </w:r>
      <w:r w:rsidR="00EA7AE8" w:rsidRPr="0055736D">
        <w:rPr>
          <w:rFonts w:asciiTheme="minorHAnsi" w:hAnsiTheme="minorHAnsi" w:cstheme="minorHAnsi"/>
        </w:rPr>
        <w:t xml:space="preserve"> </w:t>
      </w:r>
      <w:r w:rsidR="00EA7AE8" w:rsidRPr="0055736D">
        <w:rPr>
          <w:rFonts w:asciiTheme="minorHAnsi" w:hAnsiTheme="minorHAnsi" w:cstheme="minorHAnsi"/>
          <w:lang w:val="en-US"/>
        </w:rPr>
        <w:t>(Review of the measures and principles for interpretation and translation)</w:t>
      </w:r>
      <w:r w:rsidR="00285D78" w:rsidRPr="0055736D">
        <w:rPr>
          <w:rFonts w:asciiTheme="minorHAnsi" w:hAnsiTheme="minorHAnsi" w:cstheme="minorHAnsi"/>
          <w:lang w:val="en-US"/>
        </w:rPr>
        <w:t>.</w:t>
      </w:r>
    </w:p>
    <w:p w14:paraId="274B4527" w14:textId="3413D2CC" w:rsidR="00A91987" w:rsidRPr="0055736D" w:rsidRDefault="00A91987" w:rsidP="007B5B77">
      <w:pPr>
        <w:tabs>
          <w:tab w:val="clear" w:pos="794"/>
          <w:tab w:val="clear" w:pos="1191"/>
          <w:tab w:val="clear" w:pos="1588"/>
          <w:tab w:val="clear" w:pos="1985"/>
        </w:tabs>
        <w:overflowPunct/>
        <w:autoSpaceDE/>
        <w:autoSpaceDN/>
        <w:adjustRightInd/>
        <w:spacing w:before="0" w:after="120"/>
        <w:ind w:left="709" w:hanging="709"/>
        <w:jc w:val="both"/>
        <w:textAlignment w:val="auto"/>
        <w:rPr>
          <w:rFonts w:asciiTheme="minorHAnsi" w:hAnsiTheme="minorHAnsi"/>
          <w:lang w:val="en-US"/>
        </w:rPr>
      </w:pPr>
      <w:bookmarkStart w:id="10" w:name="_Hlk26280303"/>
      <w:r w:rsidRPr="0055736D">
        <w:rPr>
          <w:rFonts w:asciiTheme="minorHAnsi" w:hAnsiTheme="minorHAnsi"/>
          <w:b/>
          <w:bCs/>
          <w:lang w:val="en-US"/>
        </w:rPr>
        <w:t>2.</w:t>
      </w:r>
      <w:r w:rsidRPr="0055736D">
        <w:rPr>
          <w:rFonts w:asciiTheme="minorHAnsi" w:hAnsiTheme="minorHAnsi"/>
          <w:b/>
          <w:bCs/>
          <w:lang w:val="en-US"/>
        </w:rPr>
        <w:tab/>
        <w:t>Explore and implement all possible measures to reduce the size and volume of documents (page-limits, executive summaries, material in</w:t>
      </w:r>
      <w:r w:rsidRPr="0055736D">
        <w:rPr>
          <w:rFonts w:asciiTheme="minorHAnsi" w:hAnsiTheme="minorHAnsi"/>
          <w:lang w:val="en-US"/>
        </w:rPr>
        <w:t xml:space="preserve"> </w:t>
      </w:r>
      <w:r w:rsidRPr="0055736D">
        <w:rPr>
          <w:rFonts w:asciiTheme="minorHAnsi" w:hAnsiTheme="minorHAnsi"/>
          <w:b/>
          <w:bCs/>
          <w:lang w:val="en-US"/>
        </w:rPr>
        <w:t>annexes or hyperlinks), and achieve greener meetings</w:t>
      </w:r>
      <w:r w:rsidRPr="0055736D">
        <w:rPr>
          <w:rFonts w:asciiTheme="minorHAnsi" w:hAnsiTheme="minorHAnsi"/>
          <w:lang w:val="en-US"/>
        </w:rPr>
        <w:t xml:space="preserve"> </w:t>
      </w:r>
    </w:p>
    <w:p w14:paraId="5C3D22C4" w14:textId="10741463" w:rsidR="00092B5A" w:rsidRPr="0055736D" w:rsidRDefault="00092B5A"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b/>
          <w:bCs/>
          <w:i/>
          <w:iCs/>
          <w:lang w:val="en-US"/>
        </w:rPr>
      </w:pPr>
      <w:r w:rsidRPr="0055736D">
        <w:rPr>
          <w:rFonts w:asciiTheme="minorHAnsi" w:hAnsiTheme="minorHAnsi"/>
          <w:b/>
          <w:bCs/>
          <w:i/>
          <w:iCs/>
          <w:lang w:val="en-US"/>
        </w:rPr>
        <w:t>a)</w:t>
      </w:r>
      <w:r w:rsidR="00471BAA">
        <w:rPr>
          <w:rFonts w:asciiTheme="minorHAnsi" w:hAnsiTheme="minorHAnsi"/>
          <w:b/>
          <w:bCs/>
          <w:i/>
          <w:iCs/>
          <w:lang w:val="en-US"/>
        </w:rPr>
        <w:tab/>
      </w:r>
      <w:r w:rsidRPr="0055736D">
        <w:rPr>
          <w:rFonts w:asciiTheme="minorHAnsi" w:hAnsiTheme="minorHAnsi"/>
          <w:b/>
          <w:bCs/>
          <w:i/>
          <w:iCs/>
          <w:lang w:val="en-US"/>
        </w:rPr>
        <w:t>Reduction of the size and volume of documents</w:t>
      </w:r>
    </w:p>
    <w:p w14:paraId="47AA8A71" w14:textId="298E1FF5" w:rsidR="00EA7AE8" w:rsidRPr="0055736D" w:rsidRDefault="002F395B"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lang w:val="en-US"/>
        </w:rPr>
      </w:pPr>
      <w:r w:rsidRPr="0055736D">
        <w:rPr>
          <w:rFonts w:asciiTheme="minorHAnsi" w:hAnsiTheme="minorHAnsi"/>
          <w:lang w:val="en-US"/>
        </w:rPr>
        <w:t>With regard to page limits, progress has been made in all areas of reducing the volume and cost of documentation, through the membership</w:t>
      </w:r>
      <w:r w:rsidR="00620017">
        <w:rPr>
          <w:rFonts w:asciiTheme="minorHAnsi" w:hAnsiTheme="minorHAnsi"/>
          <w:lang w:val="en-US"/>
        </w:rPr>
        <w:t>’</w:t>
      </w:r>
      <w:r w:rsidRPr="0055736D">
        <w:rPr>
          <w:rFonts w:asciiTheme="minorHAnsi" w:hAnsiTheme="minorHAnsi"/>
          <w:lang w:val="en-US"/>
        </w:rPr>
        <w:t>s and secretariat</w:t>
      </w:r>
      <w:r w:rsidR="00620017">
        <w:rPr>
          <w:rFonts w:asciiTheme="minorHAnsi" w:hAnsiTheme="minorHAnsi"/>
          <w:lang w:val="en-US"/>
        </w:rPr>
        <w:t>’</w:t>
      </w:r>
      <w:r w:rsidRPr="0055736D">
        <w:rPr>
          <w:rFonts w:asciiTheme="minorHAnsi" w:hAnsiTheme="minorHAnsi"/>
          <w:lang w:val="en-US"/>
        </w:rPr>
        <w:t>s diligent implementation of Resolution 154 (Dubai, 2018)</w:t>
      </w:r>
      <w:r w:rsidR="00EA7AE8" w:rsidRPr="0055736D">
        <w:rPr>
          <w:rFonts w:asciiTheme="minorHAnsi" w:hAnsiTheme="minorHAnsi"/>
          <w:lang w:val="en-US"/>
        </w:rPr>
        <w:t>.</w:t>
      </w:r>
    </w:p>
    <w:p w14:paraId="66CE5A37" w14:textId="2834BEFD" w:rsidR="0044784D" w:rsidRPr="0055736D" w:rsidRDefault="00EA7AE8"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lang w:val="en-US"/>
        </w:rPr>
      </w:pPr>
      <w:r w:rsidRPr="0055736D">
        <w:rPr>
          <w:rFonts w:asciiTheme="minorHAnsi" w:hAnsiTheme="minorHAnsi"/>
          <w:lang w:val="en-US"/>
        </w:rPr>
        <w:t>The General</w:t>
      </w:r>
      <w:r w:rsidR="002F395B" w:rsidRPr="0055736D">
        <w:rPr>
          <w:rFonts w:asciiTheme="minorHAnsi" w:hAnsiTheme="minorHAnsi"/>
          <w:lang w:val="en-US"/>
        </w:rPr>
        <w:t xml:space="preserve"> Secretariat continues to implement the general length restriction to </w:t>
      </w:r>
      <w:r w:rsidR="007B5B77">
        <w:rPr>
          <w:rFonts w:asciiTheme="minorHAnsi" w:hAnsiTheme="minorHAnsi"/>
          <w:lang w:val="en-US"/>
        </w:rPr>
        <w:t>four</w:t>
      </w:r>
      <w:r w:rsidR="002F395B" w:rsidRPr="0055736D">
        <w:rPr>
          <w:rFonts w:asciiTheme="minorHAnsi" w:hAnsiTheme="minorHAnsi"/>
          <w:lang w:val="en-US"/>
        </w:rPr>
        <w:t xml:space="preserve"> pages for its documents prepared for the Council, when feasible and appropriate. </w:t>
      </w:r>
      <w:r w:rsidR="00382846" w:rsidRPr="0055736D">
        <w:rPr>
          <w:rFonts w:asciiTheme="minorHAnsi" w:hAnsiTheme="minorHAnsi"/>
          <w:lang w:val="en-US"/>
        </w:rPr>
        <w:t xml:space="preserve">Exceptions are made for some documents, such as financial reports, budget, strategic </w:t>
      </w:r>
      <w:r w:rsidR="007B5B77">
        <w:rPr>
          <w:rFonts w:asciiTheme="minorHAnsi" w:hAnsiTheme="minorHAnsi"/>
          <w:lang w:val="en-US"/>
        </w:rPr>
        <w:t>and</w:t>
      </w:r>
      <w:r w:rsidR="00382846" w:rsidRPr="0055736D">
        <w:rPr>
          <w:rFonts w:asciiTheme="minorHAnsi" w:hAnsiTheme="minorHAnsi"/>
          <w:lang w:val="en-US"/>
        </w:rPr>
        <w:t xml:space="preserve"> operational plans, etc. Additional information can be added to documents via hyperlinks. </w:t>
      </w:r>
      <w:r w:rsidR="002F395B" w:rsidRPr="0055736D">
        <w:rPr>
          <w:rFonts w:asciiTheme="minorHAnsi" w:hAnsiTheme="minorHAnsi"/>
          <w:lang w:val="en-US"/>
        </w:rPr>
        <w:t xml:space="preserve">The secretariat considers this task as an ongoing operational requirement and is consistently looking to introduce new and better measures. </w:t>
      </w:r>
    </w:p>
    <w:p w14:paraId="27DB59C1" w14:textId="0A8FBAD8" w:rsidR="0002458E" w:rsidRPr="0055736D" w:rsidRDefault="0002458E"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lang w:val="en-US"/>
        </w:rPr>
      </w:pPr>
      <w:r w:rsidRPr="0055736D">
        <w:rPr>
          <w:rFonts w:asciiTheme="minorHAnsi" w:hAnsiTheme="minorHAnsi"/>
          <w:lang w:val="en-US"/>
        </w:rPr>
        <w:lastRenderedPageBreak/>
        <w:t>ITU-R Resolution 1-7 deals, in its Annex 2, with the General Principles linked to ITU-R documentation</w:t>
      </w:r>
      <w:r w:rsidR="00EA7AE8" w:rsidRPr="0055736D">
        <w:rPr>
          <w:rFonts w:asciiTheme="minorHAnsi" w:hAnsiTheme="minorHAnsi"/>
          <w:lang w:val="en-US"/>
        </w:rPr>
        <w:t>, which establish a general limitation in length (if possible, less than 3300 words)</w:t>
      </w:r>
      <w:r w:rsidR="007B5B77">
        <w:rPr>
          <w:rFonts w:asciiTheme="minorHAnsi" w:hAnsiTheme="minorHAnsi"/>
          <w:lang w:val="en-US"/>
        </w:rPr>
        <w:t>.</w:t>
      </w:r>
      <w:r w:rsidR="00EA7AE8" w:rsidRPr="0055736D">
        <w:rPr>
          <w:rStyle w:val="FootnoteReference"/>
          <w:rFonts w:asciiTheme="minorHAnsi" w:hAnsiTheme="minorHAnsi"/>
          <w:lang w:val="en-US"/>
        </w:rPr>
        <w:footnoteReference w:id="2"/>
      </w:r>
    </w:p>
    <w:p w14:paraId="05765C7B" w14:textId="46FF9628" w:rsidR="00092B5A" w:rsidRPr="0055736D" w:rsidRDefault="00384C32"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lang w:val="en-US"/>
        </w:rPr>
      </w:pPr>
      <w:r w:rsidRPr="0055736D">
        <w:rPr>
          <w:rFonts w:asciiTheme="minorHAnsi" w:hAnsiTheme="minorHAnsi"/>
          <w:lang w:val="en-US"/>
        </w:rPr>
        <w:t xml:space="preserve">ITU-T Resolution 2 (Rev. Dubai, 2012) advises that Contributions should not exceed 2500 words. </w:t>
      </w:r>
    </w:p>
    <w:p w14:paraId="54856EAA" w14:textId="6A16BDA5" w:rsidR="00384C32" w:rsidRPr="0055736D" w:rsidRDefault="00384C32"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lang w:val="en-US"/>
        </w:rPr>
      </w:pPr>
      <w:r w:rsidRPr="0055736D">
        <w:rPr>
          <w:rFonts w:asciiTheme="minorHAnsi" w:hAnsiTheme="minorHAnsi"/>
          <w:lang w:val="en-US"/>
        </w:rPr>
        <w:t xml:space="preserve">ITU-D Resolution 1 (Rev. Buenos Aires, 2017) provides indications on the length of contributions to be submitted to ITU-D Study Groups (maximum of </w:t>
      </w:r>
      <w:r w:rsidR="00EA7AE8" w:rsidRPr="0055736D">
        <w:rPr>
          <w:rFonts w:asciiTheme="minorHAnsi" w:hAnsiTheme="minorHAnsi"/>
          <w:lang w:val="en-US"/>
        </w:rPr>
        <w:t>1650 words</w:t>
      </w:r>
      <w:r w:rsidRPr="0055736D">
        <w:rPr>
          <w:rFonts w:asciiTheme="minorHAnsi" w:hAnsiTheme="minorHAnsi"/>
          <w:lang w:val="en-US"/>
        </w:rPr>
        <w:t>), as well as encourages cross-references.  It also provides that, for contributions exceeding this limit, an executive summary will be produced and translated, leaving the remainder of the contribution in the original language.</w:t>
      </w:r>
    </w:p>
    <w:p w14:paraId="51D41845" w14:textId="503EE6C4" w:rsidR="00092B5A" w:rsidRPr="0055736D" w:rsidRDefault="00092B5A"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b/>
          <w:bCs/>
          <w:i/>
          <w:iCs/>
          <w:lang w:val="en-US"/>
        </w:rPr>
      </w:pPr>
      <w:r w:rsidRPr="0055736D">
        <w:rPr>
          <w:rFonts w:asciiTheme="minorHAnsi" w:hAnsiTheme="minorHAnsi"/>
          <w:b/>
          <w:bCs/>
          <w:i/>
          <w:iCs/>
          <w:lang w:val="en-US"/>
        </w:rPr>
        <w:t xml:space="preserve">b) </w:t>
      </w:r>
      <w:r w:rsidR="00471BAA">
        <w:rPr>
          <w:rFonts w:asciiTheme="minorHAnsi" w:hAnsiTheme="minorHAnsi"/>
          <w:b/>
          <w:bCs/>
          <w:i/>
          <w:iCs/>
          <w:lang w:val="en-US"/>
        </w:rPr>
        <w:tab/>
      </w:r>
      <w:r w:rsidRPr="0055736D">
        <w:rPr>
          <w:rFonts w:asciiTheme="minorHAnsi" w:hAnsiTheme="minorHAnsi"/>
          <w:b/>
          <w:bCs/>
          <w:i/>
          <w:iCs/>
          <w:lang w:val="en-US"/>
        </w:rPr>
        <w:t>Efforts to achieve greener meetings</w:t>
      </w:r>
    </w:p>
    <w:p w14:paraId="0E8B08AA" w14:textId="0ADCDA05" w:rsidR="002F395B" w:rsidRPr="0055736D" w:rsidRDefault="002F395B"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lang w:val="en-US"/>
        </w:rPr>
      </w:pPr>
      <w:r w:rsidRPr="0055736D">
        <w:rPr>
          <w:rFonts w:asciiTheme="minorHAnsi" w:hAnsiTheme="minorHAnsi"/>
          <w:lang w:val="en-US"/>
        </w:rPr>
        <w:t>With regard to greener meetings, providing free online access to ITU Publications has dramatically reduced the use of paper copies in all ITU meetings</w:t>
      </w:r>
      <w:r w:rsidR="007B5B77">
        <w:rPr>
          <w:rFonts w:asciiTheme="minorHAnsi" w:hAnsiTheme="minorHAnsi"/>
          <w:lang w:val="en-US"/>
        </w:rPr>
        <w:t>. This effort</w:t>
      </w:r>
      <w:r w:rsidR="00F33A02">
        <w:rPr>
          <w:rFonts w:asciiTheme="minorHAnsi" w:hAnsiTheme="minorHAnsi"/>
          <w:lang w:val="en-US"/>
        </w:rPr>
        <w:t xml:space="preserve"> –</w:t>
      </w:r>
      <w:r w:rsidRPr="0055736D">
        <w:rPr>
          <w:rFonts w:asciiTheme="minorHAnsi" w:hAnsiTheme="minorHAnsi"/>
          <w:lang w:val="en-US"/>
        </w:rPr>
        <w:t xml:space="preserve"> together with the increase in the </w:t>
      </w:r>
      <w:r w:rsidR="00285D78" w:rsidRPr="0055736D">
        <w:rPr>
          <w:rFonts w:asciiTheme="minorHAnsi" w:hAnsiTheme="minorHAnsi"/>
          <w:lang w:val="en-US"/>
        </w:rPr>
        <w:t xml:space="preserve">use of electronic working methods, including correspondence activities, e-meetings, videoconferencing and remote participation </w:t>
      </w:r>
      <w:r w:rsidR="007B5B77">
        <w:rPr>
          <w:rFonts w:asciiTheme="minorHAnsi" w:hAnsiTheme="minorHAnsi"/>
          <w:lang w:val="en-US"/>
        </w:rPr>
        <w:t xml:space="preserve">which </w:t>
      </w:r>
      <w:r w:rsidR="00285D78" w:rsidRPr="0055736D">
        <w:rPr>
          <w:rFonts w:asciiTheme="minorHAnsi" w:hAnsiTheme="minorHAnsi"/>
          <w:lang w:val="en-US"/>
        </w:rPr>
        <w:t>are used extensively by ITU to achieve greener meetings</w:t>
      </w:r>
      <w:r w:rsidR="00F33A02">
        <w:rPr>
          <w:rFonts w:asciiTheme="minorHAnsi" w:hAnsiTheme="minorHAnsi"/>
          <w:lang w:val="en-US"/>
        </w:rPr>
        <w:t xml:space="preserve"> –</w:t>
      </w:r>
      <w:r w:rsidR="00285D78" w:rsidRPr="0055736D">
        <w:rPr>
          <w:rFonts w:asciiTheme="minorHAnsi" w:hAnsiTheme="minorHAnsi"/>
          <w:lang w:val="en-US"/>
        </w:rPr>
        <w:t xml:space="preserve"> encourage</w:t>
      </w:r>
      <w:r w:rsidR="00F33A02">
        <w:rPr>
          <w:rFonts w:asciiTheme="minorHAnsi" w:hAnsiTheme="minorHAnsi"/>
          <w:lang w:val="en-US"/>
        </w:rPr>
        <w:t>s</w:t>
      </w:r>
      <w:r w:rsidR="00285D78" w:rsidRPr="0055736D">
        <w:rPr>
          <w:rFonts w:asciiTheme="minorHAnsi" w:hAnsiTheme="minorHAnsi"/>
          <w:lang w:val="en-US"/>
        </w:rPr>
        <w:t xml:space="preserve"> participation from developing countries and enhance</w:t>
      </w:r>
      <w:r w:rsidR="00F33A02">
        <w:rPr>
          <w:rFonts w:asciiTheme="minorHAnsi" w:hAnsiTheme="minorHAnsi"/>
          <w:lang w:val="en-US"/>
        </w:rPr>
        <w:t>s</w:t>
      </w:r>
      <w:r w:rsidR="00285D78" w:rsidRPr="0055736D">
        <w:rPr>
          <w:rFonts w:asciiTheme="minorHAnsi" w:hAnsiTheme="minorHAnsi"/>
          <w:lang w:val="en-US"/>
        </w:rPr>
        <w:t xml:space="preserve"> the quality of output documents, </w:t>
      </w:r>
      <w:r w:rsidRPr="0055736D">
        <w:rPr>
          <w:rFonts w:asciiTheme="minorHAnsi" w:hAnsiTheme="minorHAnsi"/>
          <w:lang w:val="en-US"/>
        </w:rPr>
        <w:t>converg</w:t>
      </w:r>
      <w:r w:rsidR="00F33A02">
        <w:rPr>
          <w:rFonts w:asciiTheme="minorHAnsi" w:hAnsiTheme="minorHAnsi"/>
          <w:lang w:val="en-US"/>
        </w:rPr>
        <w:t>ing</w:t>
      </w:r>
      <w:r w:rsidRPr="0055736D">
        <w:rPr>
          <w:rFonts w:asciiTheme="minorHAnsi" w:hAnsiTheme="minorHAnsi"/>
          <w:lang w:val="en-US"/>
        </w:rPr>
        <w:t xml:space="preserve"> with the overall goal of the United Nations to reduce paper usage and Green House Gas (GHG) emissions.</w:t>
      </w:r>
    </w:p>
    <w:p w14:paraId="0D82244C" w14:textId="4AAEAB59" w:rsidR="001440F4" w:rsidRPr="0055736D" w:rsidRDefault="001440F4"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lang w:val="en-US"/>
        </w:rPr>
      </w:pPr>
      <w:r w:rsidRPr="0055736D">
        <w:rPr>
          <w:rFonts w:asciiTheme="minorHAnsi" w:hAnsiTheme="minorHAnsi"/>
          <w:lang w:val="en-US"/>
        </w:rPr>
        <w:t xml:space="preserve">As the specialized agency of the UN for telecommunications/ICTs, ITU is committed to working in partnership with other organizations in the fight against climate change. This includes contributing actively to the work of the UN system, including to the UN Framework Convention on Climate Change (UNFCCC). It is working within the UN High Level Committee on Programs (HLCP) to </w:t>
      </w:r>
      <w:r w:rsidR="00620017">
        <w:rPr>
          <w:rFonts w:asciiTheme="minorHAnsi" w:hAnsiTheme="minorHAnsi"/>
          <w:lang w:val="en-US"/>
        </w:rPr>
        <w:t>“</w:t>
      </w:r>
      <w:r w:rsidRPr="0055736D">
        <w:rPr>
          <w:rFonts w:asciiTheme="minorHAnsi" w:hAnsiTheme="minorHAnsi"/>
          <w:lang w:val="en-US"/>
        </w:rPr>
        <w:t>deliver as one</w:t>
      </w:r>
      <w:r w:rsidR="00620017">
        <w:rPr>
          <w:rFonts w:asciiTheme="minorHAnsi" w:hAnsiTheme="minorHAnsi"/>
          <w:lang w:val="en-US"/>
        </w:rPr>
        <w:t>”</w:t>
      </w:r>
      <w:r w:rsidRPr="0055736D">
        <w:rPr>
          <w:rFonts w:asciiTheme="minorHAnsi" w:hAnsiTheme="minorHAnsi"/>
          <w:lang w:val="en-US"/>
        </w:rPr>
        <w:t xml:space="preserve"> in the area of climate change and work to deepen the global understanding of the relation between ICTs and sustainability.</w:t>
      </w:r>
      <w:r w:rsidRPr="0055736D">
        <w:t xml:space="preserve"> </w:t>
      </w:r>
      <w:r w:rsidRPr="0055736D">
        <w:rPr>
          <w:rFonts w:asciiTheme="minorHAnsi" w:hAnsiTheme="minorHAnsi"/>
          <w:lang w:val="en-US"/>
        </w:rPr>
        <w:t>More information about ITU</w:t>
      </w:r>
      <w:r w:rsidR="00620017">
        <w:rPr>
          <w:rFonts w:asciiTheme="minorHAnsi" w:hAnsiTheme="minorHAnsi"/>
          <w:lang w:val="en-US"/>
        </w:rPr>
        <w:t>’</w:t>
      </w:r>
      <w:r w:rsidRPr="0055736D">
        <w:rPr>
          <w:rFonts w:asciiTheme="minorHAnsi" w:hAnsiTheme="minorHAnsi"/>
          <w:lang w:val="en-US"/>
        </w:rPr>
        <w:t xml:space="preserve">s efforts to address climate change can be found at the following address: </w:t>
      </w:r>
      <w:hyperlink r:id="rId14" w:history="1">
        <w:r w:rsidRPr="0055736D">
          <w:rPr>
            <w:rStyle w:val="Hyperlink"/>
            <w:rFonts w:asciiTheme="minorHAnsi" w:hAnsiTheme="minorHAnsi"/>
            <w:lang w:val="en-US"/>
          </w:rPr>
          <w:t>https://www.greeningtheblue.org/what-the-un-is-doing/international-telecommunication-union-itu</w:t>
        </w:r>
      </w:hyperlink>
      <w:r w:rsidRPr="0055736D">
        <w:rPr>
          <w:rFonts w:asciiTheme="minorHAnsi" w:hAnsiTheme="minorHAnsi"/>
          <w:lang w:val="en-US"/>
        </w:rPr>
        <w:t xml:space="preserve">. </w:t>
      </w:r>
    </w:p>
    <w:p w14:paraId="4A4E6BE1" w14:textId="7D7D3907" w:rsidR="00385D5B" w:rsidRPr="0055736D" w:rsidRDefault="00385D5B"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lang w:val="en-US"/>
        </w:rPr>
      </w:pPr>
      <w:r w:rsidRPr="0055736D">
        <w:rPr>
          <w:rFonts w:asciiTheme="minorHAnsi" w:hAnsiTheme="minorHAnsi"/>
          <w:lang w:val="en-US"/>
        </w:rPr>
        <w:t xml:space="preserve">In 2019, ITU developed a starter kit with a view to </w:t>
      </w:r>
      <w:r w:rsidRPr="0055736D">
        <w:rPr>
          <w:rFonts w:asciiTheme="minorHAnsi" w:hAnsiTheme="minorHAnsi"/>
          <w:b/>
          <w:bCs/>
          <w:i/>
          <w:iCs/>
          <w:lang w:val="en-US"/>
        </w:rPr>
        <w:t>greening ITU events</w:t>
      </w:r>
      <w:r w:rsidRPr="0055736D">
        <w:rPr>
          <w:rFonts w:asciiTheme="minorHAnsi" w:hAnsiTheme="minorHAnsi"/>
          <w:lang w:val="en-US"/>
        </w:rPr>
        <w:t xml:space="preserve"> by establishing what is a sustainable event, how to reduce or offset GHG emissions while engaging all event stakeholders. </w:t>
      </w:r>
      <w:r w:rsidR="0055736D">
        <w:rPr>
          <w:rFonts w:asciiTheme="minorHAnsi" w:hAnsiTheme="minorHAnsi"/>
          <w:lang w:val="en-US"/>
        </w:rPr>
        <w:t xml:space="preserve">In </w:t>
      </w:r>
      <w:r w:rsidRPr="0055736D">
        <w:rPr>
          <w:rFonts w:asciiTheme="minorHAnsi" w:hAnsiTheme="minorHAnsi"/>
          <w:lang w:val="en-US"/>
        </w:rPr>
        <w:t>December 2019</w:t>
      </w:r>
      <w:r w:rsidR="0055736D">
        <w:rPr>
          <w:rFonts w:asciiTheme="minorHAnsi" w:hAnsiTheme="minorHAnsi"/>
          <w:lang w:val="en-US"/>
        </w:rPr>
        <w:t>, the</w:t>
      </w:r>
      <w:r w:rsidRPr="0055736D">
        <w:rPr>
          <w:rFonts w:asciiTheme="minorHAnsi" w:hAnsiTheme="minorHAnsi"/>
          <w:lang w:val="en-US"/>
        </w:rPr>
        <w:t xml:space="preserve"> ITU approved an </w:t>
      </w:r>
      <w:r w:rsidRPr="0055736D">
        <w:rPr>
          <w:rFonts w:asciiTheme="minorHAnsi" w:hAnsiTheme="minorHAnsi"/>
          <w:b/>
          <w:bCs/>
          <w:i/>
          <w:iCs/>
          <w:lang w:val="en-US"/>
        </w:rPr>
        <w:t>Environmental Sustainability Statement</w:t>
      </w:r>
      <w:r w:rsidRPr="0055736D">
        <w:rPr>
          <w:rFonts w:asciiTheme="minorHAnsi" w:hAnsiTheme="minorHAnsi"/>
          <w:lang w:val="en-US"/>
        </w:rPr>
        <w:t xml:space="preserve"> establishing clear principles with the purpose of protecting the planet through continuous improvement of the environmental performance and systematic integration of environmental sustainability across the organization.</w:t>
      </w:r>
    </w:p>
    <w:bookmarkEnd w:id="10"/>
    <w:p w14:paraId="0DA8B693" w14:textId="7D737724" w:rsidR="00A91987" w:rsidRPr="0055736D" w:rsidRDefault="00A91987"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b/>
          <w:bCs/>
          <w:lang w:val="en-US"/>
        </w:rPr>
      </w:pPr>
      <w:r w:rsidRPr="0055736D">
        <w:rPr>
          <w:rFonts w:asciiTheme="minorHAnsi" w:hAnsiTheme="minorHAnsi"/>
          <w:b/>
          <w:bCs/>
          <w:lang w:val="en-US"/>
        </w:rPr>
        <w:t>3.</w:t>
      </w:r>
      <w:r w:rsidRPr="0055736D">
        <w:rPr>
          <w:rFonts w:asciiTheme="minorHAnsi" w:hAnsiTheme="minorHAnsi"/>
          <w:b/>
          <w:bCs/>
          <w:lang w:val="en-US"/>
        </w:rPr>
        <w:tab/>
        <w:t xml:space="preserve">Implementation in ITU of the United Nations system objective of multilingualism </w:t>
      </w:r>
    </w:p>
    <w:p w14:paraId="5B1A92C0" w14:textId="77777777" w:rsidR="0044784D" w:rsidRPr="0055736D" w:rsidRDefault="0044784D" w:rsidP="007B5B77">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lang w:val="en-US"/>
        </w:rPr>
      </w:pPr>
      <w:r w:rsidRPr="0055736D">
        <w:rPr>
          <w:rFonts w:asciiTheme="minorHAnsi" w:hAnsiTheme="minorHAnsi"/>
          <w:lang w:val="en-US"/>
        </w:rPr>
        <w:t xml:space="preserve">In March 2019, the Secretary General appointed an ITU Focal Point for Multilingualism. In April, the ITU responded to a questionnaire circulated by the Chief Executive Board (CEB) with a view to develop a coordinated approach to multilingualism among CEB member organizations. In July, ITU responded to a questionnaire sent by the Joint Inspection Unit (JIU) aimed at assessing the status of implementation of multilingualism across the United Nations system, identifying gaps and highlighting opportunities for the system to effectively pursue multilingualism as a core value. </w:t>
      </w:r>
    </w:p>
    <w:p w14:paraId="4F67AD64" w14:textId="66FEE613" w:rsidR="0044784D" w:rsidRPr="0055736D" w:rsidRDefault="0044784D"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lang w:val="en-US"/>
        </w:rPr>
      </w:pPr>
      <w:r w:rsidRPr="0055736D">
        <w:rPr>
          <w:rFonts w:asciiTheme="minorHAnsi" w:hAnsiTheme="minorHAnsi"/>
          <w:lang w:val="en-US"/>
        </w:rPr>
        <w:t xml:space="preserve">On October 3, as a complement to the responses to the JIU questionnaire, JIU inspectors visited ITU in order to interview representatives of all services implementing multilingualism in ITU, i.e. Strategic Communications Division (SCD), Conference and Publication Department (C&amp;P), Human Resources Management Department (HRMD), Conference Technology Support Division and </w:t>
      </w:r>
      <w:r w:rsidRPr="0055736D">
        <w:rPr>
          <w:rFonts w:asciiTheme="minorHAnsi" w:hAnsiTheme="minorHAnsi"/>
          <w:lang w:val="en-US"/>
        </w:rPr>
        <w:lastRenderedPageBreak/>
        <w:t>Standardization Bureau (TSB).</w:t>
      </w:r>
      <w:r w:rsidR="003D4A0C" w:rsidRPr="0055736D">
        <w:rPr>
          <w:rFonts w:asciiTheme="minorHAnsi" w:hAnsiTheme="minorHAnsi"/>
          <w:lang w:val="en-US"/>
        </w:rPr>
        <w:t xml:space="preserve"> </w:t>
      </w:r>
      <w:r w:rsidRPr="0055736D">
        <w:rPr>
          <w:rFonts w:asciiTheme="minorHAnsi" w:hAnsiTheme="minorHAnsi"/>
          <w:lang w:val="en-US"/>
        </w:rPr>
        <w:t>The ITU Focal Point for Multilingualism is following up on these initiatives</w:t>
      </w:r>
      <w:r w:rsidR="003D4A0C" w:rsidRPr="0055736D">
        <w:rPr>
          <w:rFonts w:asciiTheme="minorHAnsi" w:hAnsiTheme="minorHAnsi"/>
          <w:lang w:val="en-US"/>
        </w:rPr>
        <w:t>.</w:t>
      </w:r>
    </w:p>
    <w:p w14:paraId="1C70CADE" w14:textId="1DDDAF30" w:rsidR="00A91987" w:rsidRPr="0055736D" w:rsidRDefault="00A91987" w:rsidP="007B5B77">
      <w:pPr>
        <w:tabs>
          <w:tab w:val="clear" w:pos="794"/>
          <w:tab w:val="clear" w:pos="1191"/>
          <w:tab w:val="clear" w:pos="1588"/>
          <w:tab w:val="clear" w:pos="1985"/>
        </w:tabs>
        <w:overflowPunct/>
        <w:autoSpaceDE/>
        <w:autoSpaceDN/>
        <w:adjustRightInd/>
        <w:spacing w:before="0" w:after="120"/>
        <w:ind w:left="709" w:hanging="709"/>
        <w:jc w:val="both"/>
        <w:textAlignment w:val="auto"/>
        <w:rPr>
          <w:rFonts w:asciiTheme="minorHAnsi" w:hAnsiTheme="minorHAnsi"/>
          <w:b/>
          <w:bCs/>
          <w:lang w:val="en-US"/>
        </w:rPr>
      </w:pPr>
      <w:bookmarkStart w:id="11" w:name="_Hlk25565183"/>
      <w:r w:rsidRPr="0055736D">
        <w:rPr>
          <w:rFonts w:asciiTheme="minorHAnsi" w:hAnsiTheme="minorHAnsi"/>
          <w:b/>
          <w:bCs/>
          <w:lang w:val="en-US"/>
        </w:rPr>
        <w:t>4.</w:t>
      </w:r>
      <w:r w:rsidRPr="0055736D">
        <w:rPr>
          <w:rFonts w:asciiTheme="minorHAnsi" w:hAnsiTheme="minorHAnsi"/>
          <w:b/>
          <w:bCs/>
          <w:lang w:val="en-US"/>
        </w:rPr>
        <w:tab/>
        <w:t xml:space="preserve">Necessary measures for equitable use of the six languages on the ITU website in terms of multilingual content and user-friendliness </w:t>
      </w:r>
    </w:p>
    <w:p w14:paraId="5A7DCAEC" w14:textId="111D87CE" w:rsidR="0044784D" w:rsidRPr="0055736D" w:rsidRDefault="002F395B"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lang w:val="en-US"/>
        </w:rPr>
      </w:pPr>
      <w:r w:rsidRPr="0055736D">
        <w:rPr>
          <w:rFonts w:asciiTheme="minorHAnsi" w:hAnsiTheme="minorHAnsi"/>
          <w:lang w:val="en-US"/>
        </w:rPr>
        <w:t>The Secretariat has launched a new ITU-wide web project. The aim of this project is making available p</w:t>
      </w:r>
      <w:r w:rsidR="007D3D23" w:rsidRPr="0055736D">
        <w:rPr>
          <w:rFonts w:asciiTheme="minorHAnsi" w:hAnsiTheme="minorHAnsi"/>
          <w:lang w:val="en-US"/>
        </w:rPr>
        <w:t xml:space="preserve">ublicly accessible, ITU-branded itu.int webpages at level 0, -1 and -2, created and maintained by ITU staff, in the six official ITU languages. These would include, in particular, the static pages describing ITU and its activities, as well as the dynamic Homepage and Media Centre. These are the all-time interfaces with the general public. </w:t>
      </w:r>
    </w:p>
    <w:bookmarkEnd w:id="11"/>
    <w:p w14:paraId="2E237998" w14:textId="5C967D28" w:rsidR="00A91987" w:rsidRPr="0055736D" w:rsidRDefault="00A91987" w:rsidP="007B5B77">
      <w:pPr>
        <w:tabs>
          <w:tab w:val="clear" w:pos="794"/>
          <w:tab w:val="clear" w:pos="1191"/>
          <w:tab w:val="clear" w:pos="1588"/>
          <w:tab w:val="clear" w:pos="1985"/>
        </w:tabs>
        <w:overflowPunct/>
        <w:autoSpaceDE/>
        <w:autoSpaceDN/>
        <w:adjustRightInd/>
        <w:spacing w:before="0" w:after="120"/>
        <w:ind w:left="709" w:hanging="709"/>
        <w:jc w:val="both"/>
        <w:textAlignment w:val="auto"/>
        <w:rPr>
          <w:rFonts w:asciiTheme="minorHAnsi" w:hAnsiTheme="minorHAnsi"/>
          <w:b/>
          <w:bCs/>
          <w:lang w:val="en-US"/>
        </w:rPr>
      </w:pPr>
      <w:r w:rsidRPr="0055736D">
        <w:rPr>
          <w:rFonts w:asciiTheme="minorHAnsi" w:hAnsiTheme="minorHAnsi"/>
          <w:b/>
          <w:bCs/>
          <w:lang w:val="en-US"/>
        </w:rPr>
        <w:t>5.</w:t>
      </w:r>
      <w:r w:rsidRPr="0055736D">
        <w:rPr>
          <w:rFonts w:asciiTheme="minorHAnsi" w:hAnsiTheme="minorHAnsi"/>
          <w:b/>
          <w:bCs/>
          <w:lang w:val="en-US"/>
        </w:rPr>
        <w:tab/>
        <w:t xml:space="preserve">Review, in collaboration with the Sector advisory groups, of the types of material to be included in output documents and translated </w:t>
      </w:r>
    </w:p>
    <w:p w14:paraId="753639D8" w14:textId="75CF1D8E" w:rsidR="00B657AB" w:rsidRPr="0055736D" w:rsidRDefault="00B657AB"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cstheme="minorHAnsi"/>
          <w:lang w:val="en-US"/>
        </w:rPr>
      </w:pPr>
      <w:r w:rsidRPr="0055736D">
        <w:rPr>
          <w:rFonts w:asciiTheme="minorHAnsi" w:hAnsiTheme="minorHAnsi" w:cstheme="minorHAnsi"/>
          <w:lang w:val="en-US"/>
        </w:rPr>
        <w:t>Approved new or revised ITU-R Recommendations and Questions are published in the official languages of the Union as soon as practicable. Reports, Handbooks and Opinions are to be published, as soon as practicable, in English only or in the six official languages of the Union depending on the decision of the relevant group</w:t>
      </w:r>
      <w:r w:rsidR="00620017">
        <w:rPr>
          <w:rFonts w:asciiTheme="minorHAnsi" w:hAnsiTheme="minorHAnsi" w:cstheme="minorHAnsi"/>
          <w:lang w:val="en-US"/>
        </w:rPr>
        <w:t>.</w:t>
      </w:r>
      <w:r w:rsidRPr="0055736D">
        <w:rPr>
          <w:rStyle w:val="FootnoteReference"/>
          <w:rFonts w:asciiTheme="minorHAnsi" w:hAnsiTheme="minorHAnsi" w:cstheme="minorHAnsi"/>
          <w:lang w:val="en-US"/>
        </w:rPr>
        <w:footnoteReference w:id="3"/>
      </w:r>
    </w:p>
    <w:p w14:paraId="6451F2D5" w14:textId="3D36AA76" w:rsidR="00384C32" w:rsidRPr="0055736D" w:rsidRDefault="00285D78"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cstheme="minorHAnsi"/>
          <w:lang w:val="en-US"/>
        </w:rPr>
      </w:pPr>
      <w:r w:rsidRPr="0055736D">
        <w:rPr>
          <w:rFonts w:asciiTheme="minorHAnsi" w:hAnsiTheme="minorHAnsi" w:cstheme="minorHAnsi"/>
          <w:lang w:val="en-US"/>
        </w:rPr>
        <w:t xml:space="preserve">The outputs of ITU-T statutory and non-statutory meetings are normally English only. There are two exceptions: TSAG and ITU-T Study Group 3 translate all meeting reports into all six languages; Determined draft Recommendations (Traditional Approval Process, Section 9 of WTSA Resolution 1 (Rev. Hammamet, 2016)) are output in all six languages. </w:t>
      </w:r>
    </w:p>
    <w:p w14:paraId="442A043D" w14:textId="14D15978" w:rsidR="00384C32" w:rsidRPr="0055736D" w:rsidRDefault="00384C32"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cstheme="minorHAnsi"/>
          <w:lang w:val="en-US"/>
        </w:rPr>
      </w:pPr>
      <w:r w:rsidRPr="0055736D">
        <w:rPr>
          <w:rFonts w:asciiTheme="minorHAnsi" w:hAnsiTheme="minorHAnsi" w:cstheme="minorHAnsi"/>
          <w:lang w:val="en-US"/>
        </w:rPr>
        <w:t>As for ITU-D meetings and events, final outputs are usually translated into the six languages, although interim versions are kept in English in most cases. WTDC is an exception to this rule.</w:t>
      </w:r>
      <w:r w:rsidR="00B657AB" w:rsidRPr="0055736D">
        <w:rPr>
          <w:rFonts w:asciiTheme="minorHAnsi" w:hAnsiTheme="minorHAnsi" w:cstheme="minorHAnsi"/>
          <w:lang w:val="en-US"/>
        </w:rPr>
        <w:t xml:space="preserve"> </w:t>
      </w:r>
      <w:r w:rsidRPr="0055736D">
        <w:rPr>
          <w:rFonts w:asciiTheme="minorHAnsi" w:hAnsiTheme="minorHAnsi" w:cstheme="minorHAnsi"/>
          <w:lang w:val="en-US"/>
        </w:rPr>
        <w:t>In ITU-D Study Groups and TDAG, the practice has often been to only translate the body of contributions, leaving the annexes in English only. This keeps to a minimum the number of translated pages.</w:t>
      </w:r>
    </w:p>
    <w:p w14:paraId="087826CB" w14:textId="455DC3F5" w:rsidR="00B657AB" w:rsidRPr="0055736D" w:rsidRDefault="00B657AB"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cstheme="minorHAnsi"/>
          <w:lang w:val="en-US"/>
        </w:rPr>
      </w:pPr>
      <w:r w:rsidRPr="0055736D">
        <w:rPr>
          <w:rFonts w:asciiTheme="minorHAnsi" w:hAnsiTheme="minorHAnsi" w:cstheme="minorHAnsi"/>
          <w:lang w:val="en-US"/>
        </w:rPr>
        <w:t xml:space="preserve">See also subparagraph </w:t>
      </w:r>
      <w:r w:rsidRPr="0055736D">
        <w:rPr>
          <w:rFonts w:asciiTheme="minorHAnsi" w:hAnsiTheme="minorHAnsi" w:cstheme="minorHAnsi"/>
          <w:i/>
          <w:iCs/>
          <w:lang w:val="en-US"/>
        </w:rPr>
        <w:t>a)</w:t>
      </w:r>
      <w:r w:rsidRPr="0055736D">
        <w:rPr>
          <w:rFonts w:asciiTheme="minorHAnsi" w:hAnsiTheme="minorHAnsi" w:cstheme="minorHAnsi"/>
          <w:lang w:val="en-US"/>
        </w:rPr>
        <w:t xml:space="preserve"> of </w:t>
      </w:r>
      <w:r w:rsidRPr="0055736D">
        <w:rPr>
          <w:rFonts w:asciiTheme="minorHAnsi" w:hAnsiTheme="minorHAnsi" w:cstheme="minorHAnsi"/>
        </w:rPr>
        <w:t xml:space="preserve">Item 3 of this Report </w:t>
      </w:r>
      <w:r w:rsidRPr="0055736D">
        <w:rPr>
          <w:rFonts w:asciiTheme="minorHAnsi" w:hAnsiTheme="minorHAnsi" w:cstheme="minorHAnsi"/>
          <w:lang w:val="en-US"/>
        </w:rPr>
        <w:t>(Review of the measures and principles for interpretation and translation).</w:t>
      </w:r>
    </w:p>
    <w:p w14:paraId="21FC98FB" w14:textId="4BBB1C17" w:rsidR="00A91987" w:rsidRPr="0055736D" w:rsidRDefault="00A91987" w:rsidP="007B5B77">
      <w:pPr>
        <w:tabs>
          <w:tab w:val="clear" w:pos="794"/>
          <w:tab w:val="clear" w:pos="1191"/>
          <w:tab w:val="clear" w:pos="1588"/>
          <w:tab w:val="clear" w:pos="1985"/>
        </w:tabs>
        <w:overflowPunct/>
        <w:autoSpaceDE/>
        <w:autoSpaceDN/>
        <w:adjustRightInd/>
        <w:spacing w:before="0" w:after="120"/>
        <w:ind w:left="709" w:hanging="709"/>
        <w:jc w:val="both"/>
        <w:textAlignment w:val="auto"/>
        <w:rPr>
          <w:rFonts w:asciiTheme="minorHAnsi" w:hAnsiTheme="minorHAnsi"/>
          <w:b/>
          <w:bCs/>
          <w:lang w:val="en-US"/>
        </w:rPr>
      </w:pPr>
      <w:r w:rsidRPr="0055736D">
        <w:rPr>
          <w:rFonts w:asciiTheme="minorHAnsi" w:hAnsiTheme="minorHAnsi"/>
          <w:b/>
          <w:bCs/>
          <w:lang w:val="en-US"/>
        </w:rPr>
        <w:t>6.</w:t>
      </w:r>
      <w:r w:rsidRPr="0055736D">
        <w:rPr>
          <w:rFonts w:asciiTheme="minorHAnsi" w:hAnsiTheme="minorHAnsi"/>
          <w:b/>
          <w:bCs/>
          <w:lang w:val="en-US"/>
        </w:rPr>
        <w:tab/>
        <w:t xml:space="preserve">Possible measures to reduce, without sacrificing quality, the cost and volume of documentation as a standing item, in particular for conferences and assemblies </w:t>
      </w:r>
    </w:p>
    <w:p w14:paraId="4F443FC0" w14:textId="5AB0688D" w:rsidR="004B128F" w:rsidRPr="0055736D" w:rsidRDefault="001440F4"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lang w:val="en-US"/>
        </w:rPr>
      </w:pPr>
      <w:r w:rsidRPr="0055736D">
        <w:rPr>
          <w:rFonts w:asciiTheme="minorHAnsi" w:hAnsiTheme="minorHAnsi"/>
          <w:lang w:val="en-US"/>
        </w:rPr>
        <w:t>As refers to the volume of documentation, please refer to para. 2 of this Annex. A</w:t>
      </w:r>
      <w:r w:rsidR="00092B5A" w:rsidRPr="0055736D">
        <w:rPr>
          <w:rFonts w:asciiTheme="minorHAnsi" w:hAnsiTheme="minorHAnsi"/>
          <w:lang w:val="en-US"/>
        </w:rPr>
        <w:t>s a</w:t>
      </w:r>
      <w:r w:rsidRPr="0055736D">
        <w:rPr>
          <w:rFonts w:asciiTheme="minorHAnsi" w:hAnsiTheme="minorHAnsi"/>
          <w:lang w:val="en-US"/>
        </w:rPr>
        <w:t>n important step with a view to reducing the cost of documentation as refers to translation, TSB</w:t>
      </w:r>
      <w:r w:rsidR="004B128F" w:rsidRPr="0055736D">
        <w:rPr>
          <w:rFonts w:asciiTheme="minorHAnsi" w:hAnsiTheme="minorHAnsi"/>
          <w:lang w:val="en-US"/>
        </w:rPr>
        <w:t xml:space="preserve"> has developed, in collaboration with C&amp;P, an open-source, royalty-free neural machine translation tool, called ITU-Translate, and has trained it with ITU documents. ITU-Translate provides gist translations among ITU</w:t>
      </w:r>
      <w:r w:rsidR="00620017">
        <w:rPr>
          <w:rFonts w:asciiTheme="minorHAnsi" w:hAnsiTheme="minorHAnsi"/>
          <w:lang w:val="en-US"/>
        </w:rPr>
        <w:t>’</w:t>
      </w:r>
      <w:r w:rsidR="004B128F" w:rsidRPr="0055736D">
        <w:rPr>
          <w:rFonts w:asciiTheme="minorHAnsi" w:hAnsiTheme="minorHAnsi"/>
          <w:lang w:val="en-US"/>
        </w:rPr>
        <w:t>s six official languages that successfully preserve the original document format.</w:t>
      </w:r>
    </w:p>
    <w:p w14:paraId="24090EC5" w14:textId="0BB685B2" w:rsidR="0044784D" w:rsidRPr="0055736D" w:rsidRDefault="004B128F"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lang w:val="en-US"/>
        </w:rPr>
      </w:pPr>
      <w:r w:rsidRPr="0055736D">
        <w:rPr>
          <w:rFonts w:asciiTheme="minorHAnsi" w:hAnsiTheme="minorHAnsi"/>
          <w:lang w:val="en-US"/>
        </w:rPr>
        <w:t>TSB and C&amp;P are now working on the extension of ITU-Translate to documents from all the Sectors of the Union. It will additionally cover the translation of webpages that are currently not translated because of technical reasons or because of budget limitations, and enhances C&amp;P</w:t>
      </w:r>
      <w:r w:rsidR="00620017">
        <w:rPr>
          <w:rFonts w:asciiTheme="minorHAnsi" w:hAnsiTheme="minorHAnsi"/>
          <w:lang w:val="en-US"/>
        </w:rPr>
        <w:t>’</w:t>
      </w:r>
      <w:r w:rsidRPr="0055736D">
        <w:rPr>
          <w:rFonts w:asciiTheme="minorHAnsi" w:hAnsiTheme="minorHAnsi"/>
          <w:lang w:val="en-US"/>
        </w:rPr>
        <w:t xml:space="preserve">s computer-aided-translation infrastructure with tools developed within the project. </w:t>
      </w:r>
    </w:p>
    <w:p w14:paraId="5C25B8A3" w14:textId="643168E8" w:rsidR="00C20D8D" w:rsidRPr="0055736D" w:rsidRDefault="00C20D8D" w:rsidP="007B5B77">
      <w:pPr>
        <w:pStyle w:val="ListParagraph"/>
        <w:keepNext/>
        <w:keepLines/>
        <w:numPr>
          <w:ilvl w:val="0"/>
          <w:numId w:val="13"/>
        </w:numPr>
        <w:tabs>
          <w:tab w:val="clear" w:pos="794"/>
          <w:tab w:val="clear" w:pos="1191"/>
          <w:tab w:val="clear" w:pos="1588"/>
          <w:tab w:val="clear" w:pos="1985"/>
        </w:tabs>
        <w:overflowPunct/>
        <w:autoSpaceDE/>
        <w:autoSpaceDN/>
        <w:adjustRightInd/>
        <w:spacing w:before="0"/>
        <w:ind w:left="709" w:hanging="709"/>
        <w:jc w:val="both"/>
        <w:textAlignment w:val="auto"/>
        <w:rPr>
          <w:rFonts w:ascii="Calibri" w:hAnsi="Calibri"/>
          <w:b/>
          <w:bCs/>
          <w:iCs/>
        </w:rPr>
      </w:pPr>
      <w:bookmarkStart w:id="12" w:name="_Hlk24092914"/>
      <w:r w:rsidRPr="0055736D">
        <w:rPr>
          <w:rFonts w:asciiTheme="minorHAnsi" w:hAnsiTheme="minorHAnsi"/>
          <w:b/>
          <w:bCs/>
          <w:lang w:val="en-US"/>
        </w:rPr>
        <w:lastRenderedPageBreak/>
        <w:t>Statistics on use, download and purchase of the different language versions of ITU documents and publications</w:t>
      </w:r>
      <w:r w:rsidR="00E36833" w:rsidRPr="0055736D">
        <w:rPr>
          <w:rFonts w:asciiTheme="minorHAnsi" w:hAnsiTheme="minorHAnsi"/>
          <w:b/>
          <w:bCs/>
          <w:lang w:val="en-US"/>
        </w:rPr>
        <w:t xml:space="preserve"> </w:t>
      </w:r>
      <w:bookmarkEnd w:id="12"/>
    </w:p>
    <w:p w14:paraId="1AD1115C" w14:textId="51FE7C5B" w:rsidR="00BA7589" w:rsidRPr="0055736D" w:rsidRDefault="00BA7589" w:rsidP="00471BAA">
      <w:pPr>
        <w:keepNext/>
        <w:keepLines/>
        <w:tabs>
          <w:tab w:val="clear" w:pos="794"/>
          <w:tab w:val="clear" w:pos="1191"/>
          <w:tab w:val="clear" w:pos="1588"/>
          <w:tab w:val="clear" w:pos="1985"/>
        </w:tabs>
        <w:overflowPunct/>
        <w:autoSpaceDE/>
        <w:autoSpaceDN/>
        <w:adjustRightInd/>
        <w:textAlignment w:val="auto"/>
        <w:rPr>
          <w:rFonts w:ascii="Calibri" w:hAnsi="Calibri"/>
          <w:b/>
          <w:bCs/>
          <w:i/>
        </w:rPr>
      </w:pPr>
      <w:r w:rsidRPr="0055736D">
        <w:rPr>
          <w:rFonts w:ascii="Calibri" w:hAnsi="Calibri"/>
          <w:b/>
          <w:bCs/>
          <w:i/>
        </w:rPr>
        <w:t>a)</w:t>
      </w:r>
      <w:r w:rsidR="00471BAA">
        <w:rPr>
          <w:rFonts w:ascii="Calibri" w:hAnsi="Calibri"/>
          <w:b/>
          <w:bCs/>
          <w:i/>
        </w:rPr>
        <w:tab/>
      </w:r>
      <w:r w:rsidRPr="0055736D">
        <w:rPr>
          <w:rFonts w:ascii="Calibri" w:hAnsi="Calibri"/>
          <w:b/>
          <w:bCs/>
          <w:i/>
        </w:rPr>
        <w:t xml:space="preserve"> Statistics on downloads of free ITU publications</w:t>
      </w:r>
    </w:p>
    <w:p w14:paraId="0F15183F" w14:textId="77777777" w:rsidR="00BA7589" w:rsidRPr="0055736D" w:rsidRDefault="00BA7589" w:rsidP="002F395B">
      <w:pPr>
        <w:keepNext/>
        <w:keepLines/>
        <w:tabs>
          <w:tab w:val="clear" w:pos="794"/>
          <w:tab w:val="clear" w:pos="1191"/>
          <w:tab w:val="clear" w:pos="1588"/>
          <w:tab w:val="clear" w:pos="1985"/>
        </w:tabs>
        <w:overflowPunct/>
        <w:autoSpaceDE/>
        <w:autoSpaceDN/>
        <w:adjustRightInd/>
        <w:spacing w:before="0"/>
        <w:textAlignment w:val="auto"/>
        <w:rPr>
          <w:rFonts w:ascii="Calibri" w:hAnsi="Calibri"/>
          <w:b/>
          <w:bCs/>
          <w:iCs/>
        </w:rPr>
      </w:pPr>
    </w:p>
    <w:tbl>
      <w:tblPr>
        <w:tblStyle w:val="GridTable4-Accent1"/>
        <w:tblW w:w="0" w:type="auto"/>
        <w:jc w:val="center"/>
        <w:tblLook w:val="04A0" w:firstRow="1" w:lastRow="0" w:firstColumn="1" w:lastColumn="0" w:noHBand="0" w:noVBand="1"/>
      </w:tblPr>
      <w:tblGrid>
        <w:gridCol w:w="1418"/>
        <w:gridCol w:w="1018"/>
        <w:gridCol w:w="1068"/>
        <w:gridCol w:w="1068"/>
        <w:gridCol w:w="977"/>
        <w:gridCol w:w="1409"/>
      </w:tblGrid>
      <w:tr w:rsidR="00BA7589" w:rsidRPr="0055736D" w14:paraId="443D56CA" w14:textId="77777777" w:rsidTr="00EA7AE8">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365F91" w:themeColor="accent1" w:themeShade="BF"/>
              <w:tl2br w:val="single" w:sz="4" w:space="0" w:color="365F91" w:themeColor="accent1" w:themeShade="BF"/>
            </w:tcBorders>
          </w:tcPr>
          <w:p w14:paraId="46907E53" w14:textId="77777777" w:rsidR="00BA7589" w:rsidRPr="0055736D" w:rsidRDefault="00BA7589" w:rsidP="00EA7AE8">
            <w:pPr>
              <w:keepNext/>
              <w:keepLines/>
              <w:jc w:val="center"/>
              <w:rPr>
                <w:rFonts w:asciiTheme="minorHAnsi" w:hAnsiTheme="minorHAnsi" w:cstheme="minorHAnsi"/>
                <w:b w:val="0"/>
                <w:bCs w:val="0"/>
                <w:i/>
                <w:iCs/>
                <w:sz w:val="32"/>
                <w:szCs w:val="32"/>
                <w:vertAlign w:val="superscript"/>
              </w:rPr>
            </w:pPr>
            <w:r w:rsidRPr="0055736D">
              <w:rPr>
                <w:rFonts w:asciiTheme="minorHAnsi" w:hAnsiTheme="minorHAnsi" w:cstheme="minorHAnsi"/>
                <w:b w:val="0"/>
                <w:bCs w:val="0"/>
                <w:i/>
                <w:iCs/>
                <w:sz w:val="32"/>
                <w:szCs w:val="32"/>
                <w:vertAlign w:val="superscript"/>
              </w:rPr>
              <w:t>Sector</w:t>
            </w:r>
          </w:p>
          <w:p w14:paraId="304B1EE7" w14:textId="77777777" w:rsidR="00BA7589" w:rsidRPr="0055736D" w:rsidRDefault="00BA7589" w:rsidP="00EA7AE8">
            <w:pPr>
              <w:keepNext/>
              <w:keepLines/>
              <w:rPr>
                <w:rFonts w:asciiTheme="minorHAnsi" w:hAnsiTheme="minorHAnsi" w:cstheme="minorHAnsi"/>
                <w:b w:val="0"/>
                <w:bCs w:val="0"/>
                <w:i/>
                <w:iCs/>
                <w:sz w:val="32"/>
                <w:szCs w:val="32"/>
                <w:vertAlign w:val="subscript"/>
              </w:rPr>
            </w:pPr>
            <w:r w:rsidRPr="0055736D">
              <w:rPr>
                <w:rFonts w:asciiTheme="minorHAnsi" w:hAnsiTheme="minorHAnsi" w:cstheme="minorHAnsi"/>
                <w:b w:val="0"/>
                <w:bCs w:val="0"/>
                <w:i/>
                <w:iCs/>
                <w:sz w:val="32"/>
                <w:szCs w:val="32"/>
                <w:vertAlign w:val="subscript"/>
              </w:rPr>
              <w:t>Language</w:t>
            </w:r>
          </w:p>
        </w:tc>
        <w:tc>
          <w:tcPr>
            <w:tcW w:w="1018" w:type="dxa"/>
            <w:tcBorders>
              <w:left w:val="single" w:sz="4" w:space="0" w:color="365F91" w:themeColor="accent1" w:themeShade="BF"/>
              <w:right w:val="single" w:sz="4" w:space="0" w:color="365F91" w:themeColor="accent1" w:themeShade="BF"/>
            </w:tcBorders>
          </w:tcPr>
          <w:p w14:paraId="4CED5B35" w14:textId="77777777" w:rsidR="00BA7589" w:rsidRPr="0055736D" w:rsidRDefault="00BA7589" w:rsidP="00EA7AE8">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ITU-D</w:t>
            </w:r>
          </w:p>
        </w:tc>
        <w:tc>
          <w:tcPr>
            <w:tcW w:w="1068" w:type="dxa"/>
            <w:tcBorders>
              <w:left w:val="single" w:sz="4" w:space="0" w:color="365F91" w:themeColor="accent1" w:themeShade="BF"/>
              <w:right w:val="single" w:sz="4" w:space="0" w:color="365F91" w:themeColor="accent1" w:themeShade="BF"/>
            </w:tcBorders>
          </w:tcPr>
          <w:p w14:paraId="48D0F18C" w14:textId="77777777" w:rsidR="00BA7589" w:rsidRPr="0055736D" w:rsidRDefault="00BA7589" w:rsidP="00EA7AE8">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ITU-T</w:t>
            </w:r>
          </w:p>
        </w:tc>
        <w:tc>
          <w:tcPr>
            <w:tcW w:w="1068" w:type="dxa"/>
            <w:tcBorders>
              <w:left w:val="single" w:sz="4" w:space="0" w:color="365F91" w:themeColor="accent1" w:themeShade="BF"/>
              <w:right w:val="single" w:sz="4" w:space="0" w:color="365F91" w:themeColor="accent1" w:themeShade="BF"/>
            </w:tcBorders>
          </w:tcPr>
          <w:p w14:paraId="12CF53EA" w14:textId="77777777" w:rsidR="00BA7589" w:rsidRPr="0055736D" w:rsidRDefault="00BA7589" w:rsidP="00EA7AE8">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ITU-R</w:t>
            </w:r>
          </w:p>
        </w:tc>
        <w:tc>
          <w:tcPr>
            <w:tcW w:w="977" w:type="dxa"/>
            <w:tcBorders>
              <w:left w:val="single" w:sz="4" w:space="0" w:color="365F91" w:themeColor="accent1" w:themeShade="BF"/>
            </w:tcBorders>
          </w:tcPr>
          <w:p w14:paraId="36D2F97F" w14:textId="77777777" w:rsidR="00BA7589" w:rsidRPr="0055736D" w:rsidRDefault="00BA7589" w:rsidP="00EA7AE8">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ITU-S</w:t>
            </w:r>
          </w:p>
        </w:tc>
        <w:tc>
          <w:tcPr>
            <w:tcW w:w="1409" w:type="dxa"/>
            <w:tcBorders>
              <w:left w:val="single" w:sz="4" w:space="0" w:color="365F91" w:themeColor="accent1" w:themeShade="BF"/>
            </w:tcBorders>
            <w:shd w:val="clear" w:color="auto" w:fill="FFFFFF" w:themeFill="background1"/>
          </w:tcPr>
          <w:p w14:paraId="56BA4D89" w14:textId="77777777" w:rsidR="00BA7589" w:rsidRPr="0055736D" w:rsidRDefault="00BA7589" w:rsidP="00EA7AE8">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color w:val="0D0D0D" w:themeColor="text1" w:themeTint="F2"/>
              </w:rPr>
              <w:t>Total by Language</w:t>
            </w:r>
          </w:p>
        </w:tc>
      </w:tr>
      <w:tr w:rsidR="00BA7589" w:rsidRPr="0055736D" w14:paraId="310E53ED" w14:textId="77777777" w:rsidTr="00EA7AE8">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0374AF2" w14:textId="77777777" w:rsidR="00BA7589" w:rsidRPr="0055736D" w:rsidRDefault="00BA7589" w:rsidP="00EA7AE8">
            <w:pPr>
              <w:keepNext/>
              <w:keepLines/>
              <w:rPr>
                <w:rFonts w:asciiTheme="minorHAnsi" w:hAnsiTheme="minorHAnsi" w:cstheme="minorHAnsi"/>
              </w:rPr>
            </w:pPr>
            <w:r w:rsidRPr="0055736D">
              <w:rPr>
                <w:rFonts w:asciiTheme="minorHAnsi" w:hAnsiTheme="minorHAnsi" w:cstheme="minorHAnsi"/>
              </w:rPr>
              <w:t xml:space="preserve">Arabic </w:t>
            </w:r>
          </w:p>
        </w:tc>
        <w:tc>
          <w:tcPr>
            <w:tcW w:w="1018" w:type="dxa"/>
            <w:vAlign w:val="center"/>
          </w:tcPr>
          <w:p w14:paraId="6442C4EF"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73205</w:t>
            </w:r>
          </w:p>
        </w:tc>
        <w:tc>
          <w:tcPr>
            <w:tcW w:w="1068" w:type="dxa"/>
            <w:vAlign w:val="center"/>
          </w:tcPr>
          <w:p w14:paraId="7089E64E"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10653</w:t>
            </w:r>
          </w:p>
        </w:tc>
        <w:tc>
          <w:tcPr>
            <w:tcW w:w="1068" w:type="dxa"/>
            <w:vAlign w:val="center"/>
          </w:tcPr>
          <w:p w14:paraId="7555329F"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12757</w:t>
            </w:r>
          </w:p>
        </w:tc>
        <w:tc>
          <w:tcPr>
            <w:tcW w:w="977" w:type="dxa"/>
            <w:tcBorders>
              <w:right w:val="single" w:sz="4" w:space="0" w:color="365F91" w:themeColor="accent1" w:themeShade="BF"/>
            </w:tcBorders>
            <w:vAlign w:val="center"/>
          </w:tcPr>
          <w:p w14:paraId="6083FA5E"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4182</w:t>
            </w:r>
          </w:p>
        </w:tc>
        <w:tc>
          <w:tcPr>
            <w:tcW w:w="1409" w:type="dxa"/>
            <w:tcBorders>
              <w:left w:val="single" w:sz="4" w:space="0" w:color="365F91" w:themeColor="accent1" w:themeShade="BF"/>
            </w:tcBorders>
            <w:shd w:val="clear" w:color="auto" w:fill="FFFFFF" w:themeFill="background1"/>
            <w:vAlign w:val="center"/>
          </w:tcPr>
          <w:p w14:paraId="4228C4AF"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55736D">
              <w:rPr>
                <w:rFonts w:asciiTheme="minorHAnsi" w:hAnsiTheme="minorHAnsi" w:cstheme="minorHAnsi"/>
                <w:b/>
                <w:bCs/>
                <w:color w:val="000000"/>
              </w:rPr>
              <w:t>100797</w:t>
            </w:r>
          </w:p>
        </w:tc>
      </w:tr>
      <w:tr w:rsidR="00BA7589" w:rsidRPr="0055736D" w14:paraId="4AEC6131" w14:textId="77777777" w:rsidTr="00EA7AE8">
        <w:trPr>
          <w:trHeight w:val="402"/>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DB68996" w14:textId="77777777" w:rsidR="00BA7589" w:rsidRPr="0055736D" w:rsidRDefault="00BA7589" w:rsidP="00EA7AE8">
            <w:pPr>
              <w:keepNext/>
              <w:keepLines/>
              <w:rPr>
                <w:rFonts w:asciiTheme="minorHAnsi" w:hAnsiTheme="minorHAnsi" w:cstheme="minorHAnsi"/>
              </w:rPr>
            </w:pPr>
            <w:r w:rsidRPr="0055736D">
              <w:rPr>
                <w:rFonts w:asciiTheme="minorHAnsi" w:hAnsiTheme="minorHAnsi" w:cstheme="minorHAnsi"/>
              </w:rPr>
              <w:t>Chinese</w:t>
            </w:r>
          </w:p>
        </w:tc>
        <w:tc>
          <w:tcPr>
            <w:tcW w:w="1018" w:type="dxa"/>
            <w:vAlign w:val="center"/>
          </w:tcPr>
          <w:p w14:paraId="2EC8F4D8" w14:textId="77777777" w:rsidR="00BA7589" w:rsidRPr="0055736D" w:rsidRDefault="00BA7589" w:rsidP="00EA7AE8">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17989</w:t>
            </w:r>
          </w:p>
        </w:tc>
        <w:tc>
          <w:tcPr>
            <w:tcW w:w="1068" w:type="dxa"/>
            <w:vAlign w:val="center"/>
          </w:tcPr>
          <w:p w14:paraId="6E65C288" w14:textId="77777777" w:rsidR="00BA7589" w:rsidRPr="0055736D" w:rsidRDefault="00BA7589" w:rsidP="00EA7AE8">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10024</w:t>
            </w:r>
          </w:p>
        </w:tc>
        <w:tc>
          <w:tcPr>
            <w:tcW w:w="1068" w:type="dxa"/>
            <w:vAlign w:val="center"/>
          </w:tcPr>
          <w:p w14:paraId="50E4C0DC" w14:textId="77777777" w:rsidR="00BA7589" w:rsidRPr="0055736D" w:rsidRDefault="00BA7589" w:rsidP="00EA7AE8">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34187</w:t>
            </w:r>
          </w:p>
        </w:tc>
        <w:tc>
          <w:tcPr>
            <w:tcW w:w="977" w:type="dxa"/>
            <w:tcBorders>
              <w:right w:val="single" w:sz="4" w:space="0" w:color="365F91" w:themeColor="accent1" w:themeShade="BF"/>
            </w:tcBorders>
            <w:vAlign w:val="center"/>
          </w:tcPr>
          <w:p w14:paraId="72C78FA9" w14:textId="77777777" w:rsidR="00BA7589" w:rsidRPr="0055736D" w:rsidRDefault="00BA7589" w:rsidP="00EA7AE8">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3524</w:t>
            </w:r>
          </w:p>
        </w:tc>
        <w:tc>
          <w:tcPr>
            <w:tcW w:w="1409" w:type="dxa"/>
            <w:tcBorders>
              <w:left w:val="single" w:sz="4" w:space="0" w:color="365F91" w:themeColor="accent1" w:themeShade="BF"/>
            </w:tcBorders>
            <w:shd w:val="clear" w:color="auto" w:fill="FFFFFF" w:themeFill="background1"/>
            <w:vAlign w:val="center"/>
          </w:tcPr>
          <w:p w14:paraId="6CDF3B21" w14:textId="77777777" w:rsidR="00BA7589" w:rsidRPr="0055736D" w:rsidRDefault="00BA7589" w:rsidP="00EA7AE8">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55736D">
              <w:rPr>
                <w:rFonts w:asciiTheme="minorHAnsi" w:hAnsiTheme="minorHAnsi" w:cstheme="minorHAnsi"/>
                <w:b/>
                <w:bCs/>
                <w:color w:val="000000"/>
              </w:rPr>
              <w:t>65724</w:t>
            </w:r>
          </w:p>
        </w:tc>
      </w:tr>
      <w:tr w:rsidR="00BA7589" w:rsidRPr="0055736D" w14:paraId="5DE70594" w14:textId="77777777" w:rsidTr="00EA7AE8">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959668C" w14:textId="77777777" w:rsidR="00BA7589" w:rsidRPr="0055736D" w:rsidRDefault="00BA7589" w:rsidP="00EA7AE8">
            <w:pPr>
              <w:keepNext/>
              <w:keepLines/>
              <w:rPr>
                <w:rFonts w:asciiTheme="minorHAnsi" w:hAnsiTheme="minorHAnsi" w:cstheme="minorHAnsi"/>
              </w:rPr>
            </w:pPr>
            <w:r w:rsidRPr="0055736D">
              <w:rPr>
                <w:rFonts w:asciiTheme="minorHAnsi" w:hAnsiTheme="minorHAnsi" w:cstheme="minorHAnsi"/>
              </w:rPr>
              <w:t>English</w:t>
            </w:r>
          </w:p>
        </w:tc>
        <w:tc>
          <w:tcPr>
            <w:tcW w:w="1018" w:type="dxa"/>
            <w:vAlign w:val="center"/>
          </w:tcPr>
          <w:p w14:paraId="25BFE938"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705313</w:t>
            </w:r>
          </w:p>
        </w:tc>
        <w:tc>
          <w:tcPr>
            <w:tcW w:w="1068" w:type="dxa"/>
            <w:vAlign w:val="center"/>
          </w:tcPr>
          <w:p w14:paraId="4E62D373"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1377212</w:t>
            </w:r>
          </w:p>
        </w:tc>
        <w:tc>
          <w:tcPr>
            <w:tcW w:w="1068" w:type="dxa"/>
            <w:vAlign w:val="center"/>
          </w:tcPr>
          <w:p w14:paraId="4056AEE8"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1030253</w:t>
            </w:r>
          </w:p>
        </w:tc>
        <w:tc>
          <w:tcPr>
            <w:tcW w:w="977" w:type="dxa"/>
            <w:tcBorders>
              <w:right w:val="single" w:sz="4" w:space="0" w:color="365F91" w:themeColor="accent1" w:themeShade="BF"/>
            </w:tcBorders>
            <w:vAlign w:val="center"/>
          </w:tcPr>
          <w:p w14:paraId="5880C2BC"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656137</w:t>
            </w:r>
          </w:p>
        </w:tc>
        <w:tc>
          <w:tcPr>
            <w:tcW w:w="1409" w:type="dxa"/>
            <w:tcBorders>
              <w:left w:val="single" w:sz="4" w:space="0" w:color="365F91" w:themeColor="accent1" w:themeShade="BF"/>
            </w:tcBorders>
            <w:shd w:val="clear" w:color="auto" w:fill="FFFFFF" w:themeFill="background1"/>
            <w:vAlign w:val="center"/>
          </w:tcPr>
          <w:p w14:paraId="5EBB98F0"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55736D">
              <w:rPr>
                <w:rFonts w:asciiTheme="minorHAnsi" w:hAnsiTheme="minorHAnsi" w:cstheme="minorHAnsi"/>
                <w:b/>
                <w:bCs/>
                <w:color w:val="000000"/>
              </w:rPr>
              <w:t>3768915</w:t>
            </w:r>
          </w:p>
        </w:tc>
      </w:tr>
      <w:tr w:rsidR="00BA7589" w:rsidRPr="0055736D" w14:paraId="73E02FC4" w14:textId="77777777" w:rsidTr="00EA7AE8">
        <w:trPr>
          <w:trHeight w:val="404"/>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2CDE92B" w14:textId="77777777" w:rsidR="00BA7589" w:rsidRPr="0055736D" w:rsidRDefault="00BA7589" w:rsidP="00EA7AE8">
            <w:pPr>
              <w:keepNext/>
              <w:keepLines/>
              <w:rPr>
                <w:rFonts w:asciiTheme="minorHAnsi" w:hAnsiTheme="minorHAnsi" w:cstheme="minorHAnsi"/>
              </w:rPr>
            </w:pPr>
            <w:r w:rsidRPr="0055736D">
              <w:rPr>
                <w:rFonts w:asciiTheme="minorHAnsi" w:hAnsiTheme="minorHAnsi" w:cstheme="minorHAnsi"/>
              </w:rPr>
              <w:t>French</w:t>
            </w:r>
          </w:p>
        </w:tc>
        <w:tc>
          <w:tcPr>
            <w:tcW w:w="1018" w:type="dxa"/>
            <w:vAlign w:val="center"/>
          </w:tcPr>
          <w:p w14:paraId="3076C767" w14:textId="77777777" w:rsidR="00BA7589" w:rsidRPr="0055736D" w:rsidRDefault="00BA7589" w:rsidP="00EA7AE8">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69954</w:t>
            </w:r>
          </w:p>
        </w:tc>
        <w:tc>
          <w:tcPr>
            <w:tcW w:w="1068" w:type="dxa"/>
            <w:vAlign w:val="center"/>
          </w:tcPr>
          <w:p w14:paraId="57CC7769" w14:textId="77777777" w:rsidR="00BA7589" w:rsidRPr="0055736D" w:rsidRDefault="00BA7589" w:rsidP="00EA7AE8">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47368</w:t>
            </w:r>
          </w:p>
        </w:tc>
        <w:tc>
          <w:tcPr>
            <w:tcW w:w="1068" w:type="dxa"/>
            <w:vAlign w:val="center"/>
          </w:tcPr>
          <w:p w14:paraId="5A0DE271" w14:textId="77777777" w:rsidR="00BA7589" w:rsidRPr="0055736D" w:rsidRDefault="00BA7589" w:rsidP="00EA7AE8">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110208</w:t>
            </w:r>
          </w:p>
        </w:tc>
        <w:tc>
          <w:tcPr>
            <w:tcW w:w="977" w:type="dxa"/>
            <w:tcBorders>
              <w:right w:val="single" w:sz="4" w:space="0" w:color="365F91" w:themeColor="accent1" w:themeShade="BF"/>
            </w:tcBorders>
            <w:vAlign w:val="center"/>
          </w:tcPr>
          <w:p w14:paraId="61B4E716" w14:textId="77777777" w:rsidR="00BA7589" w:rsidRPr="0055736D" w:rsidRDefault="00BA7589" w:rsidP="00EA7AE8">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4038</w:t>
            </w:r>
          </w:p>
        </w:tc>
        <w:tc>
          <w:tcPr>
            <w:tcW w:w="1409" w:type="dxa"/>
            <w:tcBorders>
              <w:left w:val="single" w:sz="4" w:space="0" w:color="365F91" w:themeColor="accent1" w:themeShade="BF"/>
            </w:tcBorders>
            <w:shd w:val="clear" w:color="auto" w:fill="FFFFFF" w:themeFill="background1"/>
            <w:vAlign w:val="center"/>
          </w:tcPr>
          <w:p w14:paraId="74120F41" w14:textId="77777777" w:rsidR="00BA7589" w:rsidRPr="0055736D" w:rsidRDefault="00BA7589" w:rsidP="00EA7AE8">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55736D">
              <w:rPr>
                <w:rFonts w:asciiTheme="minorHAnsi" w:hAnsiTheme="minorHAnsi" w:cstheme="minorHAnsi"/>
                <w:b/>
                <w:bCs/>
                <w:color w:val="000000"/>
              </w:rPr>
              <w:t>231568</w:t>
            </w:r>
          </w:p>
        </w:tc>
      </w:tr>
      <w:tr w:rsidR="00BA7589" w:rsidRPr="0055736D" w14:paraId="1B25130F" w14:textId="77777777" w:rsidTr="00EA7AE8">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A95557B" w14:textId="77777777" w:rsidR="00BA7589" w:rsidRPr="0055736D" w:rsidRDefault="00BA7589" w:rsidP="00EA7AE8">
            <w:pPr>
              <w:keepNext/>
              <w:keepLines/>
              <w:rPr>
                <w:rFonts w:asciiTheme="minorHAnsi" w:hAnsiTheme="minorHAnsi" w:cstheme="minorHAnsi"/>
              </w:rPr>
            </w:pPr>
            <w:r w:rsidRPr="0055736D">
              <w:rPr>
                <w:rFonts w:asciiTheme="minorHAnsi" w:hAnsiTheme="minorHAnsi" w:cstheme="minorHAnsi"/>
              </w:rPr>
              <w:t>Spanish</w:t>
            </w:r>
          </w:p>
        </w:tc>
        <w:tc>
          <w:tcPr>
            <w:tcW w:w="1018" w:type="dxa"/>
            <w:vAlign w:val="center"/>
          </w:tcPr>
          <w:p w14:paraId="4DFD4373"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52107</w:t>
            </w:r>
          </w:p>
        </w:tc>
        <w:tc>
          <w:tcPr>
            <w:tcW w:w="1068" w:type="dxa"/>
            <w:vAlign w:val="center"/>
          </w:tcPr>
          <w:p w14:paraId="08115EAF"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38844</w:t>
            </w:r>
          </w:p>
        </w:tc>
        <w:tc>
          <w:tcPr>
            <w:tcW w:w="1068" w:type="dxa"/>
            <w:vAlign w:val="center"/>
          </w:tcPr>
          <w:p w14:paraId="1D6A1321"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141522</w:t>
            </w:r>
          </w:p>
        </w:tc>
        <w:tc>
          <w:tcPr>
            <w:tcW w:w="977" w:type="dxa"/>
            <w:tcBorders>
              <w:right w:val="single" w:sz="4" w:space="0" w:color="365F91" w:themeColor="accent1" w:themeShade="BF"/>
            </w:tcBorders>
            <w:vAlign w:val="center"/>
          </w:tcPr>
          <w:p w14:paraId="096C8B45"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11562</w:t>
            </w:r>
          </w:p>
        </w:tc>
        <w:tc>
          <w:tcPr>
            <w:tcW w:w="1409" w:type="dxa"/>
            <w:tcBorders>
              <w:left w:val="single" w:sz="4" w:space="0" w:color="365F91" w:themeColor="accent1" w:themeShade="BF"/>
            </w:tcBorders>
            <w:shd w:val="clear" w:color="auto" w:fill="FFFFFF" w:themeFill="background1"/>
            <w:vAlign w:val="center"/>
          </w:tcPr>
          <w:p w14:paraId="242784F9"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55736D">
              <w:rPr>
                <w:rFonts w:asciiTheme="minorHAnsi" w:hAnsiTheme="minorHAnsi" w:cstheme="minorHAnsi"/>
                <w:b/>
                <w:bCs/>
                <w:color w:val="000000"/>
              </w:rPr>
              <w:t>244035</w:t>
            </w:r>
          </w:p>
        </w:tc>
      </w:tr>
      <w:tr w:rsidR="00BA7589" w:rsidRPr="0055736D" w14:paraId="42537653" w14:textId="77777777" w:rsidTr="00EA7AE8">
        <w:trPr>
          <w:trHeight w:val="392"/>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365F91" w:themeColor="accent1" w:themeShade="BF"/>
            </w:tcBorders>
            <w:vAlign w:val="center"/>
          </w:tcPr>
          <w:p w14:paraId="7858EEAD" w14:textId="77777777" w:rsidR="00BA7589" w:rsidRPr="0055736D" w:rsidRDefault="00BA7589" w:rsidP="00EA7AE8">
            <w:pPr>
              <w:keepNext/>
              <w:keepLines/>
              <w:rPr>
                <w:rFonts w:asciiTheme="minorHAnsi" w:hAnsiTheme="minorHAnsi" w:cstheme="minorHAnsi"/>
              </w:rPr>
            </w:pPr>
            <w:r w:rsidRPr="0055736D">
              <w:rPr>
                <w:rFonts w:asciiTheme="minorHAnsi" w:hAnsiTheme="minorHAnsi" w:cstheme="minorHAnsi"/>
              </w:rPr>
              <w:t>Russian</w:t>
            </w:r>
          </w:p>
        </w:tc>
        <w:tc>
          <w:tcPr>
            <w:tcW w:w="1018" w:type="dxa"/>
            <w:tcBorders>
              <w:bottom w:val="single" w:sz="4" w:space="0" w:color="365F91" w:themeColor="accent1" w:themeShade="BF"/>
            </w:tcBorders>
            <w:vAlign w:val="center"/>
          </w:tcPr>
          <w:p w14:paraId="06C966F3" w14:textId="77777777" w:rsidR="00BA7589" w:rsidRPr="0055736D" w:rsidRDefault="00BA7589" w:rsidP="00EA7AE8">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20951</w:t>
            </w:r>
          </w:p>
        </w:tc>
        <w:tc>
          <w:tcPr>
            <w:tcW w:w="1068" w:type="dxa"/>
            <w:tcBorders>
              <w:bottom w:val="single" w:sz="4" w:space="0" w:color="365F91" w:themeColor="accent1" w:themeShade="BF"/>
            </w:tcBorders>
            <w:vAlign w:val="center"/>
          </w:tcPr>
          <w:p w14:paraId="777F34BE" w14:textId="77777777" w:rsidR="00BA7589" w:rsidRPr="0055736D" w:rsidRDefault="00BA7589" w:rsidP="00EA7AE8">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9838</w:t>
            </w:r>
          </w:p>
        </w:tc>
        <w:tc>
          <w:tcPr>
            <w:tcW w:w="1068" w:type="dxa"/>
            <w:tcBorders>
              <w:bottom w:val="single" w:sz="4" w:space="0" w:color="365F91" w:themeColor="accent1" w:themeShade="BF"/>
            </w:tcBorders>
            <w:vAlign w:val="center"/>
          </w:tcPr>
          <w:p w14:paraId="66174D44" w14:textId="77777777" w:rsidR="00BA7589" w:rsidRPr="0055736D" w:rsidRDefault="00BA7589" w:rsidP="00EA7AE8">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200955</w:t>
            </w:r>
          </w:p>
        </w:tc>
        <w:tc>
          <w:tcPr>
            <w:tcW w:w="977" w:type="dxa"/>
            <w:tcBorders>
              <w:bottom w:val="single" w:sz="4" w:space="0" w:color="365F91" w:themeColor="accent1" w:themeShade="BF"/>
              <w:right w:val="single" w:sz="4" w:space="0" w:color="365F91" w:themeColor="accent1" w:themeShade="BF"/>
            </w:tcBorders>
            <w:vAlign w:val="center"/>
          </w:tcPr>
          <w:p w14:paraId="26FC0771" w14:textId="77777777" w:rsidR="00BA7589" w:rsidRPr="0055736D" w:rsidRDefault="00BA7589" w:rsidP="00EA7AE8">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36D">
              <w:rPr>
                <w:rFonts w:asciiTheme="minorHAnsi" w:hAnsiTheme="minorHAnsi" w:cstheme="minorHAnsi"/>
              </w:rPr>
              <w:t>3177</w:t>
            </w:r>
          </w:p>
        </w:tc>
        <w:tc>
          <w:tcPr>
            <w:tcW w:w="1409" w:type="dxa"/>
            <w:tcBorders>
              <w:left w:val="single" w:sz="4" w:space="0" w:color="365F91" w:themeColor="accent1" w:themeShade="BF"/>
              <w:bottom w:val="single" w:sz="4" w:space="0" w:color="365F91" w:themeColor="accent1" w:themeShade="BF"/>
            </w:tcBorders>
            <w:shd w:val="clear" w:color="auto" w:fill="FFFFFF" w:themeFill="background1"/>
            <w:vAlign w:val="center"/>
          </w:tcPr>
          <w:p w14:paraId="2DB63672" w14:textId="77777777" w:rsidR="00BA7589" w:rsidRPr="0055736D" w:rsidRDefault="00BA7589" w:rsidP="00EA7AE8">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55736D">
              <w:rPr>
                <w:rFonts w:asciiTheme="minorHAnsi" w:hAnsiTheme="minorHAnsi" w:cstheme="minorHAnsi"/>
                <w:b/>
                <w:bCs/>
                <w:color w:val="000000"/>
              </w:rPr>
              <w:t>234921</w:t>
            </w:r>
          </w:p>
        </w:tc>
      </w:tr>
      <w:tr w:rsidR="00BA7589" w:rsidRPr="0055736D" w14:paraId="59042A90" w14:textId="77777777" w:rsidTr="00EA7AE8">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365F91" w:themeColor="accent1" w:themeShade="BF"/>
            </w:tcBorders>
            <w:shd w:val="clear" w:color="auto" w:fill="FFFFFF" w:themeFill="background1"/>
            <w:vAlign w:val="bottom"/>
          </w:tcPr>
          <w:p w14:paraId="16EF2FDD" w14:textId="77777777" w:rsidR="00BA7589" w:rsidRPr="0055736D" w:rsidRDefault="00BA7589" w:rsidP="00EA7AE8">
            <w:pPr>
              <w:keepNext/>
              <w:keepLines/>
              <w:rPr>
                <w:rFonts w:asciiTheme="minorHAnsi" w:hAnsiTheme="minorHAnsi" w:cstheme="minorHAnsi"/>
                <w:color w:val="000000"/>
              </w:rPr>
            </w:pPr>
            <w:r w:rsidRPr="0055736D">
              <w:rPr>
                <w:rFonts w:asciiTheme="minorHAnsi" w:hAnsiTheme="minorHAnsi" w:cstheme="minorHAnsi"/>
                <w:color w:val="000000"/>
              </w:rPr>
              <w:t>Total by Sector</w:t>
            </w:r>
          </w:p>
        </w:tc>
        <w:tc>
          <w:tcPr>
            <w:tcW w:w="1018" w:type="dxa"/>
            <w:tcBorders>
              <w:top w:val="single" w:sz="4" w:space="0" w:color="365F91" w:themeColor="accent1" w:themeShade="BF"/>
            </w:tcBorders>
            <w:shd w:val="clear" w:color="auto" w:fill="FFFFFF" w:themeFill="background1"/>
            <w:vAlign w:val="bottom"/>
          </w:tcPr>
          <w:p w14:paraId="710BDF5D"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55736D">
              <w:rPr>
                <w:rFonts w:asciiTheme="minorHAnsi" w:hAnsiTheme="minorHAnsi" w:cstheme="minorHAnsi"/>
                <w:b/>
                <w:bCs/>
                <w:color w:val="000000"/>
              </w:rPr>
              <w:t>939519</w:t>
            </w:r>
          </w:p>
        </w:tc>
        <w:tc>
          <w:tcPr>
            <w:tcW w:w="1068" w:type="dxa"/>
            <w:tcBorders>
              <w:top w:val="single" w:sz="4" w:space="0" w:color="365F91" w:themeColor="accent1" w:themeShade="BF"/>
            </w:tcBorders>
            <w:shd w:val="clear" w:color="auto" w:fill="FFFFFF" w:themeFill="background1"/>
            <w:vAlign w:val="bottom"/>
          </w:tcPr>
          <w:p w14:paraId="6F84E7D2"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55736D">
              <w:rPr>
                <w:rFonts w:asciiTheme="minorHAnsi" w:hAnsiTheme="minorHAnsi" w:cstheme="minorHAnsi"/>
                <w:b/>
                <w:bCs/>
                <w:color w:val="000000"/>
              </w:rPr>
              <w:t>1493939</w:t>
            </w:r>
          </w:p>
        </w:tc>
        <w:tc>
          <w:tcPr>
            <w:tcW w:w="1068" w:type="dxa"/>
            <w:tcBorders>
              <w:top w:val="single" w:sz="4" w:space="0" w:color="365F91" w:themeColor="accent1" w:themeShade="BF"/>
            </w:tcBorders>
            <w:shd w:val="clear" w:color="auto" w:fill="FFFFFF" w:themeFill="background1"/>
            <w:vAlign w:val="bottom"/>
          </w:tcPr>
          <w:p w14:paraId="58BE5900"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55736D">
              <w:rPr>
                <w:rFonts w:asciiTheme="minorHAnsi" w:hAnsiTheme="minorHAnsi" w:cstheme="minorHAnsi"/>
                <w:b/>
                <w:bCs/>
                <w:color w:val="000000"/>
              </w:rPr>
              <w:t>1529882</w:t>
            </w:r>
          </w:p>
        </w:tc>
        <w:tc>
          <w:tcPr>
            <w:tcW w:w="977" w:type="dxa"/>
            <w:tcBorders>
              <w:top w:val="single" w:sz="4" w:space="0" w:color="365F91" w:themeColor="accent1" w:themeShade="BF"/>
              <w:right w:val="single" w:sz="4" w:space="0" w:color="365F91" w:themeColor="accent1" w:themeShade="BF"/>
            </w:tcBorders>
            <w:shd w:val="clear" w:color="auto" w:fill="FFFFFF" w:themeFill="background1"/>
            <w:vAlign w:val="bottom"/>
          </w:tcPr>
          <w:p w14:paraId="19693CA1" w14:textId="77777777" w:rsidR="00BA7589" w:rsidRPr="0055736D" w:rsidRDefault="00BA7589" w:rsidP="00EA7AE8">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55736D">
              <w:rPr>
                <w:rFonts w:asciiTheme="minorHAnsi" w:hAnsiTheme="minorHAnsi" w:cstheme="minorHAnsi"/>
                <w:b/>
                <w:bCs/>
                <w:color w:val="000000"/>
              </w:rPr>
              <w:t>682620</w:t>
            </w:r>
          </w:p>
        </w:tc>
        <w:tc>
          <w:tcPr>
            <w:tcW w:w="1409" w:type="dxa"/>
            <w:tcBorders>
              <w:top w:val="single" w:sz="4" w:space="0" w:color="365F91" w:themeColor="accent1" w:themeShade="BF"/>
              <w:left w:val="single" w:sz="4" w:space="0" w:color="365F91" w:themeColor="accent1" w:themeShade="BF"/>
              <w:tl2br w:val="single" w:sz="4" w:space="0" w:color="365F91" w:themeColor="accent1" w:themeShade="BF"/>
              <w:tr2bl w:val="single" w:sz="4" w:space="0" w:color="365F91" w:themeColor="accent1" w:themeShade="BF"/>
            </w:tcBorders>
            <w:shd w:val="clear" w:color="auto" w:fill="FFFFFF" w:themeFill="background1"/>
          </w:tcPr>
          <w:p w14:paraId="7547A7FA" w14:textId="77777777" w:rsidR="00BA7589" w:rsidRPr="0055736D" w:rsidRDefault="00BA7589" w:rsidP="00EA7AE8">
            <w:pPr>
              <w:keepNext/>
              <w:keepLines/>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bl>
    <w:p w14:paraId="330EF266" w14:textId="7C0B1F90" w:rsidR="00EA7AE8" w:rsidRPr="00471BAA" w:rsidRDefault="00EA7AE8" w:rsidP="00EA7AE8">
      <w:pPr>
        <w:keepNext/>
        <w:keepLines/>
        <w:tabs>
          <w:tab w:val="clear" w:pos="794"/>
          <w:tab w:val="clear" w:pos="1191"/>
          <w:tab w:val="clear" w:pos="1588"/>
          <w:tab w:val="clear" w:pos="1985"/>
        </w:tabs>
        <w:overflowPunct/>
        <w:autoSpaceDE/>
        <w:autoSpaceDN/>
        <w:adjustRightInd/>
        <w:spacing w:before="0"/>
        <w:textAlignment w:val="auto"/>
        <w:rPr>
          <w:rFonts w:asciiTheme="minorHAnsi" w:hAnsiTheme="minorHAnsi"/>
          <w:lang w:val="en-US"/>
        </w:rPr>
      </w:pPr>
    </w:p>
    <w:p w14:paraId="46CBAC53" w14:textId="3E62123B" w:rsidR="00BA7589" w:rsidRPr="0055736D" w:rsidRDefault="00243EC7" w:rsidP="007B5B77">
      <w:pPr>
        <w:keepNext/>
        <w:keepLines/>
        <w:tabs>
          <w:tab w:val="clear" w:pos="794"/>
          <w:tab w:val="clear" w:pos="1191"/>
          <w:tab w:val="clear" w:pos="1588"/>
          <w:tab w:val="clear" w:pos="1985"/>
        </w:tabs>
        <w:overflowPunct/>
        <w:autoSpaceDE/>
        <w:autoSpaceDN/>
        <w:adjustRightInd/>
        <w:spacing w:before="0"/>
        <w:jc w:val="both"/>
        <w:textAlignment w:val="auto"/>
        <w:rPr>
          <w:rFonts w:asciiTheme="minorHAnsi" w:hAnsiTheme="minorHAnsi"/>
          <w:lang w:val="en-US"/>
        </w:rPr>
      </w:pPr>
      <w:r w:rsidRPr="0055736D">
        <w:rPr>
          <w:rFonts w:asciiTheme="minorHAnsi" w:hAnsiTheme="minorHAnsi"/>
          <w:lang w:val="en-US"/>
        </w:rPr>
        <w:t>T</w:t>
      </w:r>
      <w:r w:rsidR="00BA7589" w:rsidRPr="0055736D">
        <w:rPr>
          <w:rFonts w:asciiTheme="minorHAnsi" w:hAnsiTheme="minorHAnsi"/>
          <w:lang w:val="en-US"/>
        </w:rPr>
        <w:t xml:space="preserve">hese data shows that ITU </w:t>
      </w:r>
      <w:r w:rsidR="00620017">
        <w:rPr>
          <w:rFonts w:asciiTheme="minorHAnsi" w:hAnsiTheme="minorHAnsi"/>
          <w:lang w:val="en-US"/>
        </w:rPr>
        <w:t>w</w:t>
      </w:r>
      <w:r w:rsidR="00BA7589" w:rsidRPr="0055736D">
        <w:rPr>
          <w:rFonts w:asciiTheme="minorHAnsi" w:hAnsiTheme="minorHAnsi"/>
          <w:lang w:val="en-US"/>
        </w:rPr>
        <w:t>ebsite clients have consumed 4,645,960 free publications since the beginning of 2019</w:t>
      </w:r>
      <w:r w:rsidR="00DF2A5F" w:rsidRPr="0055736D">
        <w:rPr>
          <w:rFonts w:asciiTheme="minorHAnsi" w:hAnsiTheme="minorHAnsi"/>
          <w:lang w:val="en-US"/>
        </w:rPr>
        <w:t xml:space="preserve"> (an average of 12728 downloads per day)</w:t>
      </w:r>
      <w:r w:rsidR="00BA7589" w:rsidRPr="0055736D">
        <w:rPr>
          <w:rFonts w:asciiTheme="minorHAnsi" w:hAnsiTheme="minorHAnsi"/>
          <w:lang w:val="en-US"/>
        </w:rPr>
        <w:t>. English takes the lion</w:t>
      </w:r>
      <w:r w:rsidR="00620017">
        <w:rPr>
          <w:rFonts w:asciiTheme="minorHAnsi" w:hAnsiTheme="minorHAnsi"/>
          <w:lang w:val="en-US"/>
        </w:rPr>
        <w:t>’s</w:t>
      </w:r>
      <w:r w:rsidR="00BA7589" w:rsidRPr="0055736D">
        <w:rPr>
          <w:rFonts w:asciiTheme="minorHAnsi" w:hAnsiTheme="minorHAnsi"/>
          <w:lang w:val="en-US"/>
        </w:rPr>
        <w:t xml:space="preserve"> share with 81.12% of the downloads. Spanish, Russian and French follow with approximately 5% each, while Arabic and Chinese get roughly 2% and 1% respectively. </w:t>
      </w:r>
    </w:p>
    <w:p w14:paraId="7CDC2A68" w14:textId="43729646" w:rsidR="00BA7589" w:rsidRPr="0055736D" w:rsidRDefault="00BA7589" w:rsidP="007B5B77">
      <w:pPr>
        <w:keepNext/>
        <w:keepLines/>
        <w:tabs>
          <w:tab w:val="clear" w:pos="794"/>
          <w:tab w:val="clear" w:pos="1191"/>
          <w:tab w:val="clear" w:pos="1588"/>
          <w:tab w:val="clear" w:pos="1985"/>
        </w:tabs>
        <w:overflowPunct/>
        <w:autoSpaceDE/>
        <w:autoSpaceDN/>
        <w:adjustRightInd/>
        <w:spacing w:before="0"/>
        <w:jc w:val="both"/>
        <w:textAlignment w:val="auto"/>
        <w:rPr>
          <w:rFonts w:asciiTheme="minorHAnsi" w:hAnsiTheme="minorHAnsi"/>
          <w:lang w:val="en-US"/>
        </w:rPr>
      </w:pPr>
      <w:r w:rsidRPr="0055736D">
        <w:rPr>
          <w:rFonts w:asciiTheme="minorHAnsi" w:hAnsiTheme="minorHAnsi"/>
          <w:lang w:val="en-US"/>
        </w:rPr>
        <w:t xml:space="preserve">ITU </w:t>
      </w:r>
      <w:r w:rsidR="00620017">
        <w:rPr>
          <w:rFonts w:asciiTheme="minorHAnsi" w:hAnsiTheme="minorHAnsi"/>
          <w:lang w:val="en-US"/>
        </w:rPr>
        <w:t>w</w:t>
      </w:r>
      <w:r w:rsidRPr="0055736D">
        <w:rPr>
          <w:rFonts w:asciiTheme="minorHAnsi" w:hAnsiTheme="minorHAnsi"/>
          <w:lang w:val="en-US"/>
        </w:rPr>
        <w:t xml:space="preserve">ebsite </w:t>
      </w:r>
      <w:r w:rsidR="00620017">
        <w:rPr>
          <w:rFonts w:asciiTheme="minorHAnsi" w:hAnsiTheme="minorHAnsi"/>
          <w:lang w:val="en-US"/>
        </w:rPr>
        <w:t>c</w:t>
      </w:r>
      <w:r w:rsidRPr="0055736D">
        <w:rPr>
          <w:rFonts w:asciiTheme="minorHAnsi" w:hAnsiTheme="minorHAnsi"/>
          <w:lang w:val="en-US"/>
        </w:rPr>
        <w:t xml:space="preserve">lients show a lot of interest for ITU-R and ITU-T with a very close level of attractiveness respectively at 1,529,882 and 1,493,939 downloads. ITU-D free publications are also of interest with 939,519 downloads. </w:t>
      </w:r>
      <w:r w:rsidR="00620017">
        <w:rPr>
          <w:rFonts w:asciiTheme="minorHAnsi" w:hAnsiTheme="minorHAnsi"/>
          <w:lang w:val="en-US"/>
        </w:rPr>
        <w:t xml:space="preserve">The </w:t>
      </w:r>
      <w:r w:rsidRPr="0055736D">
        <w:rPr>
          <w:rFonts w:asciiTheme="minorHAnsi" w:hAnsiTheme="minorHAnsi"/>
          <w:lang w:val="en-US"/>
        </w:rPr>
        <w:t xml:space="preserve">ITU </w:t>
      </w:r>
      <w:r w:rsidR="00620017">
        <w:rPr>
          <w:rFonts w:asciiTheme="minorHAnsi" w:hAnsiTheme="minorHAnsi"/>
          <w:lang w:val="en-US"/>
        </w:rPr>
        <w:t>s</w:t>
      </w:r>
      <w:r w:rsidRPr="0055736D">
        <w:rPr>
          <w:rFonts w:asciiTheme="minorHAnsi" w:hAnsiTheme="minorHAnsi"/>
          <w:lang w:val="en-US"/>
        </w:rPr>
        <w:t>ecretariat close</w:t>
      </w:r>
      <w:r w:rsidR="00620017">
        <w:rPr>
          <w:rFonts w:asciiTheme="minorHAnsi" w:hAnsiTheme="minorHAnsi"/>
          <w:lang w:val="en-US"/>
        </w:rPr>
        <w:t>s</w:t>
      </w:r>
      <w:r w:rsidRPr="0055736D">
        <w:rPr>
          <w:rFonts w:asciiTheme="minorHAnsi" w:hAnsiTheme="minorHAnsi"/>
          <w:lang w:val="en-US"/>
        </w:rPr>
        <w:t xml:space="preserve"> the loop with 682620 downloads.</w:t>
      </w:r>
    </w:p>
    <w:p w14:paraId="430152F9" w14:textId="77777777" w:rsidR="00BA7589" w:rsidRPr="0055736D" w:rsidRDefault="00BA7589" w:rsidP="00A54E19">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en-US"/>
        </w:rPr>
      </w:pPr>
    </w:p>
    <w:p w14:paraId="0A245868" w14:textId="5369E6C5" w:rsidR="00BA7589" w:rsidRPr="0055736D" w:rsidRDefault="00BA7589" w:rsidP="00471BAA">
      <w:pPr>
        <w:keepNext/>
        <w:keepLines/>
        <w:tabs>
          <w:tab w:val="clear" w:pos="794"/>
          <w:tab w:val="clear" w:pos="1191"/>
          <w:tab w:val="clear" w:pos="1588"/>
          <w:tab w:val="clear" w:pos="1985"/>
        </w:tabs>
        <w:overflowPunct/>
        <w:autoSpaceDE/>
        <w:autoSpaceDN/>
        <w:adjustRightInd/>
        <w:spacing w:before="0"/>
        <w:textAlignment w:val="auto"/>
        <w:rPr>
          <w:rFonts w:asciiTheme="minorHAnsi" w:hAnsiTheme="minorHAnsi"/>
          <w:b/>
          <w:bCs/>
          <w:i/>
          <w:iCs/>
          <w:lang w:val="en-US"/>
        </w:rPr>
      </w:pPr>
      <w:r w:rsidRPr="0055736D">
        <w:rPr>
          <w:rFonts w:asciiTheme="minorHAnsi" w:hAnsiTheme="minorHAnsi"/>
          <w:b/>
          <w:bCs/>
          <w:i/>
          <w:iCs/>
          <w:lang w:val="en-US"/>
        </w:rPr>
        <w:t>b</w:t>
      </w:r>
      <w:r w:rsidR="00526868" w:rsidRPr="0055736D">
        <w:rPr>
          <w:rFonts w:asciiTheme="minorHAnsi" w:hAnsiTheme="minorHAnsi"/>
          <w:b/>
          <w:bCs/>
          <w:i/>
          <w:iCs/>
          <w:lang w:val="en-US"/>
        </w:rPr>
        <w:t>)</w:t>
      </w:r>
      <w:r w:rsidR="00471BAA">
        <w:rPr>
          <w:rFonts w:asciiTheme="minorHAnsi" w:hAnsiTheme="minorHAnsi"/>
          <w:b/>
          <w:bCs/>
          <w:i/>
          <w:iCs/>
          <w:lang w:val="en-US"/>
        </w:rPr>
        <w:tab/>
      </w:r>
      <w:r w:rsidRPr="0055736D">
        <w:rPr>
          <w:rFonts w:asciiTheme="minorHAnsi" w:hAnsiTheme="minorHAnsi"/>
          <w:b/>
          <w:bCs/>
          <w:i/>
          <w:iCs/>
          <w:lang w:val="en-US"/>
        </w:rPr>
        <w:t>Publications</w:t>
      </w:r>
    </w:p>
    <w:p w14:paraId="3331ECFF" w14:textId="77777777" w:rsidR="00BA7589" w:rsidRPr="0055736D" w:rsidRDefault="00BA7589" w:rsidP="00DF2A5F">
      <w:pPr>
        <w:keepNext/>
        <w:keepLines/>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en-US"/>
        </w:rPr>
      </w:pPr>
    </w:p>
    <w:p w14:paraId="4FDBA627" w14:textId="5ECD6EE6" w:rsidR="00A54E19" w:rsidRPr="0055736D" w:rsidRDefault="00A54E19" w:rsidP="007B5B77">
      <w:pPr>
        <w:keepNext/>
        <w:keepLines/>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lang w:val="en-US"/>
        </w:rPr>
      </w:pPr>
      <w:r w:rsidRPr="0055736D">
        <w:rPr>
          <w:rFonts w:asciiTheme="minorHAnsi" w:hAnsiTheme="minorHAnsi"/>
          <w:lang w:val="en-US"/>
        </w:rPr>
        <w:t xml:space="preserve">In 2018, the multilingual format in six languages (M6) was the most widely distributed (94%) comprising mostly mandatory Maritime publications. </w:t>
      </w:r>
    </w:p>
    <w:p w14:paraId="2404661C" w14:textId="77777777" w:rsidR="002F395B" w:rsidRPr="0055736D" w:rsidRDefault="00A54E19"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lang w:val="en-US"/>
        </w:rPr>
      </w:pPr>
      <w:r w:rsidRPr="0055736D">
        <w:rPr>
          <w:rFonts w:asciiTheme="minorHAnsi" w:hAnsiTheme="minorHAnsi"/>
          <w:lang w:val="en-US"/>
        </w:rPr>
        <w:t xml:space="preserve">This was followed by publications in English-only format at 3% and three-language format M3 (English, French, and Spanish) at 2%. </w:t>
      </w:r>
    </w:p>
    <w:p w14:paraId="177142BB" w14:textId="49D47FFA" w:rsidR="00A54E19" w:rsidRPr="0055736D" w:rsidRDefault="00BA7589" w:rsidP="007B5B77">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lang w:val="en-US"/>
        </w:rPr>
      </w:pPr>
      <w:r w:rsidRPr="0055736D">
        <w:rPr>
          <w:rFonts w:asciiTheme="minorHAnsi" w:hAnsiTheme="minorHAnsi"/>
          <w:lang w:val="en-US"/>
        </w:rPr>
        <w:t>All other publication languages,</w:t>
      </w:r>
      <w:r w:rsidR="00A54E19" w:rsidRPr="0055736D">
        <w:rPr>
          <w:rFonts w:asciiTheme="minorHAnsi" w:hAnsiTheme="minorHAnsi"/>
          <w:lang w:val="en-US"/>
        </w:rPr>
        <w:t xml:space="preserve"> namely French-only, Arabic-only, Russian-only, Chinese-only</w:t>
      </w:r>
      <w:r w:rsidR="00620017">
        <w:rPr>
          <w:rFonts w:asciiTheme="minorHAnsi" w:hAnsiTheme="minorHAnsi"/>
          <w:lang w:val="en-US"/>
        </w:rPr>
        <w:t>,</w:t>
      </w:r>
      <w:r w:rsidR="00A54E19" w:rsidRPr="0055736D">
        <w:rPr>
          <w:rFonts w:asciiTheme="minorHAnsi" w:hAnsiTheme="minorHAnsi"/>
          <w:lang w:val="en-US"/>
        </w:rPr>
        <w:t xml:space="preserve"> and Spanish-only</w:t>
      </w:r>
      <w:r w:rsidRPr="0055736D">
        <w:rPr>
          <w:rFonts w:asciiTheme="minorHAnsi" w:hAnsiTheme="minorHAnsi"/>
          <w:lang w:val="en-US"/>
        </w:rPr>
        <w:t>,</w:t>
      </w:r>
      <w:r w:rsidR="00A54E19" w:rsidRPr="0055736D">
        <w:rPr>
          <w:rFonts w:asciiTheme="minorHAnsi" w:hAnsiTheme="minorHAnsi"/>
          <w:lang w:val="en-US"/>
        </w:rPr>
        <w:t xml:space="preserve"> together constituted less than 1% of total sales. </w:t>
      </w:r>
    </w:p>
    <w:p w14:paraId="0DE496CB"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textAlignment w:val="auto"/>
        <w:rPr>
          <w:rFonts w:asciiTheme="minorHAnsi" w:hAnsiTheme="minorHAnsi"/>
          <w:lang w:val="en-US"/>
        </w:rPr>
      </w:pPr>
    </w:p>
    <w:tbl>
      <w:tblPr>
        <w:tblW w:w="4872" w:type="dxa"/>
        <w:jc w:val="center"/>
        <w:tblCellMar>
          <w:left w:w="0" w:type="dxa"/>
          <w:right w:w="0" w:type="dxa"/>
        </w:tblCellMar>
        <w:tblLook w:val="04A0" w:firstRow="1" w:lastRow="0" w:firstColumn="1" w:lastColumn="0" w:noHBand="0" w:noVBand="1"/>
      </w:tblPr>
      <w:tblGrid>
        <w:gridCol w:w="3516"/>
        <w:gridCol w:w="1356"/>
      </w:tblGrid>
      <w:tr w:rsidR="00A54E19" w:rsidRPr="0055736D" w14:paraId="56B415EC" w14:textId="77777777" w:rsidTr="00A54E19">
        <w:trPr>
          <w:trHeight w:val="300"/>
          <w:jc w:val="center"/>
        </w:trPr>
        <w:tc>
          <w:tcPr>
            <w:tcW w:w="351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36923D"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textAlignment w:val="auto"/>
              <w:rPr>
                <w:rFonts w:ascii="Calibri" w:eastAsia="Calibri" w:hAnsi="Calibri" w:cs="Calibri"/>
                <w:b/>
                <w:bCs/>
                <w:color w:val="000000"/>
                <w:sz w:val="22"/>
                <w:szCs w:val="22"/>
                <w:lang w:val="en-US"/>
              </w:rPr>
            </w:pPr>
            <w:r w:rsidRPr="0055736D">
              <w:rPr>
                <w:rFonts w:ascii="Calibri" w:eastAsia="Calibri" w:hAnsi="Calibri" w:cs="Calibri"/>
                <w:b/>
                <w:bCs/>
                <w:color w:val="000000"/>
                <w:sz w:val="22"/>
                <w:szCs w:val="22"/>
                <w:lang w:val="en-US"/>
              </w:rPr>
              <w:t>Language</w:t>
            </w:r>
          </w:p>
        </w:tc>
        <w:tc>
          <w:tcPr>
            <w:tcW w:w="13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950A2D"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Calibri"/>
                <w:b/>
                <w:bCs/>
                <w:color w:val="000000"/>
                <w:sz w:val="22"/>
                <w:szCs w:val="22"/>
                <w:lang w:val="en-US"/>
              </w:rPr>
            </w:pPr>
            <w:r w:rsidRPr="0055736D">
              <w:rPr>
                <w:rFonts w:ascii="Calibri" w:eastAsia="Calibri" w:hAnsi="Calibri" w:cs="Calibri"/>
                <w:b/>
                <w:bCs/>
                <w:color w:val="000000"/>
                <w:sz w:val="22"/>
                <w:szCs w:val="22"/>
                <w:lang w:val="en-US"/>
              </w:rPr>
              <w:t>% of sales*</w:t>
            </w:r>
          </w:p>
        </w:tc>
      </w:tr>
      <w:tr w:rsidR="00A54E19" w:rsidRPr="0055736D" w14:paraId="4E703C66" w14:textId="77777777" w:rsidTr="00A54E19">
        <w:trPr>
          <w:trHeight w:val="300"/>
          <w:jc w:val="center"/>
        </w:trPr>
        <w:tc>
          <w:tcPr>
            <w:tcW w:w="35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B9D3B4"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textAlignment w:val="auto"/>
              <w:rPr>
                <w:rFonts w:ascii="Calibri" w:eastAsia="Calibri" w:hAnsi="Calibri" w:cs="Calibri"/>
                <w:color w:val="000000"/>
                <w:sz w:val="22"/>
                <w:szCs w:val="22"/>
                <w:lang w:val="fr-CH"/>
              </w:rPr>
            </w:pPr>
            <w:r w:rsidRPr="0055736D">
              <w:rPr>
                <w:rFonts w:ascii="Calibri" w:eastAsia="Calibri" w:hAnsi="Calibri" w:cs="Calibri"/>
                <w:color w:val="000000"/>
                <w:sz w:val="22"/>
                <w:szCs w:val="22"/>
                <w:lang w:val="fr-CH"/>
              </w:rPr>
              <w:t>M6 (Six Lang. on CD/DVD)</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FB797B"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Calibri"/>
                <w:color w:val="000000"/>
                <w:sz w:val="22"/>
                <w:szCs w:val="22"/>
                <w:lang w:val="en-US"/>
              </w:rPr>
            </w:pPr>
            <w:r w:rsidRPr="0055736D">
              <w:rPr>
                <w:rFonts w:ascii="Calibri" w:eastAsia="Calibri" w:hAnsi="Calibri" w:cs="Calibri"/>
                <w:color w:val="000000"/>
                <w:sz w:val="22"/>
                <w:szCs w:val="22"/>
                <w:lang w:val="en-US"/>
              </w:rPr>
              <w:t>94.49%</w:t>
            </w:r>
          </w:p>
        </w:tc>
      </w:tr>
      <w:tr w:rsidR="00A54E19" w:rsidRPr="0055736D" w14:paraId="5A686C2D" w14:textId="77777777" w:rsidTr="00A54E19">
        <w:trPr>
          <w:trHeight w:val="300"/>
          <w:jc w:val="center"/>
        </w:trPr>
        <w:tc>
          <w:tcPr>
            <w:tcW w:w="35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C9F14B"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textAlignment w:val="auto"/>
              <w:rPr>
                <w:rFonts w:ascii="Calibri" w:eastAsia="Calibri" w:hAnsi="Calibri" w:cs="Calibri"/>
                <w:color w:val="000000"/>
                <w:sz w:val="22"/>
                <w:szCs w:val="22"/>
                <w:lang w:val="en-US"/>
              </w:rPr>
            </w:pPr>
            <w:r w:rsidRPr="0055736D">
              <w:rPr>
                <w:rFonts w:ascii="Calibri" w:eastAsia="Calibri" w:hAnsi="Calibri" w:cs="Calibri"/>
                <w:color w:val="000000"/>
                <w:sz w:val="22"/>
                <w:szCs w:val="22"/>
                <w:lang w:val="en-US"/>
              </w:rPr>
              <w:t>English</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3A94B9"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Calibri"/>
                <w:color w:val="000000"/>
                <w:sz w:val="22"/>
                <w:szCs w:val="22"/>
                <w:lang w:val="en-US"/>
              </w:rPr>
            </w:pPr>
            <w:r w:rsidRPr="0055736D">
              <w:rPr>
                <w:rFonts w:ascii="Calibri" w:eastAsia="Calibri" w:hAnsi="Calibri" w:cs="Calibri"/>
                <w:color w:val="000000"/>
                <w:sz w:val="22"/>
                <w:szCs w:val="22"/>
                <w:lang w:val="en-US"/>
              </w:rPr>
              <w:t>3.14%</w:t>
            </w:r>
          </w:p>
        </w:tc>
      </w:tr>
      <w:tr w:rsidR="00A54E19" w:rsidRPr="0055736D" w14:paraId="0F2CA818" w14:textId="77777777" w:rsidTr="00A54E19">
        <w:trPr>
          <w:trHeight w:val="300"/>
          <w:jc w:val="center"/>
        </w:trPr>
        <w:tc>
          <w:tcPr>
            <w:tcW w:w="35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0AD48F" w14:textId="6B6F69D4" w:rsidR="00A54E19" w:rsidRPr="0055736D" w:rsidRDefault="00A54E19" w:rsidP="00BA7589">
            <w:pPr>
              <w:keepNext/>
              <w:keepLines/>
              <w:tabs>
                <w:tab w:val="clear" w:pos="794"/>
                <w:tab w:val="clear" w:pos="1191"/>
                <w:tab w:val="clear" w:pos="1588"/>
                <w:tab w:val="clear" w:pos="1985"/>
              </w:tabs>
              <w:overflowPunct/>
              <w:autoSpaceDE/>
              <w:autoSpaceDN/>
              <w:adjustRightInd/>
              <w:spacing w:before="0"/>
              <w:textAlignment w:val="auto"/>
              <w:rPr>
                <w:rFonts w:ascii="Calibri" w:eastAsia="Calibri" w:hAnsi="Calibri" w:cs="Calibri"/>
                <w:color w:val="000000"/>
                <w:sz w:val="22"/>
                <w:szCs w:val="22"/>
                <w:lang w:val="en-US"/>
              </w:rPr>
            </w:pPr>
            <w:r w:rsidRPr="0055736D">
              <w:rPr>
                <w:rFonts w:ascii="Calibri" w:eastAsia="Calibri" w:hAnsi="Calibri" w:cs="Calibri"/>
                <w:color w:val="000000"/>
                <w:sz w:val="22"/>
                <w:szCs w:val="22"/>
                <w:lang w:val="en-US"/>
              </w:rPr>
              <w:t>M3 (Three Lang.: E, F, S on CD/DVD)</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896678"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Calibri"/>
                <w:color w:val="000000"/>
                <w:sz w:val="22"/>
                <w:szCs w:val="22"/>
                <w:lang w:val="en-US"/>
              </w:rPr>
            </w:pPr>
            <w:r w:rsidRPr="0055736D">
              <w:rPr>
                <w:rFonts w:ascii="Calibri" w:eastAsia="Calibri" w:hAnsi="Calibri" w:cs="Calibri"/>
                <w:color w:val="000000"/>
                <w:sz w:val="22"/>
                <w:szCs w:val="22"/>
                <w:lang w:val="en-US"/>
              </w:rPr>
              <w:t>2.27%</w:t>
            </w:r>
          </w:p>
        </w:tc>
      </w:tr>
      <w:tr w:rsidR="00A54E19" w:rsidRPr="0055736D" w14:paraId="29DA805D" w14:textId="77777777" w:rsidTr="00A54E19">
        <w:trPr>
          <w:trHeight w:val="300"/>
          <w:jc w:val="center"/>
        </w:trPr>
        <w:tc>
          <w:tcPr>
            <w:tcW w:w="35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39516C"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textAlignment w:val="auto"/>
              <w:rPr>
                <w:rFonts w:ascii="Calibri" w:eastAsia="Calibri" w:hAnsi="Calibri" w:cs="Calibri"/>
                <w:color w:val="000000"/>
                <w:sz w:val="22"/>
                <w:szCs w:val="22"/>
                <w:lang w:val="en-US"/>
              </w:rPr>
            </w:pPr>
            <w:r w:rsidRPr="0055736D">
              <w:rPr>
                <w:rFonts w:ascii="Calibri" w:eastAsia="Calibri" w:hAnsi="Calibri" w:cs="Calibri"/>
                <w:color w:val="000000"/>
                <w:sz w:val="22"/>
                <w:szCs w:val="22"/>
                <w:lang w:val="en-US"/>
              </w:rPr>
              <w:t>Spanish</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58420"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Calibri"/>
                <w:color w:val="000000"/>
                <w:sz w:val="22"/>
                <w:szCs w:val="22"/>
                <w:lang w:val="en-US"/>
              </w:rPr>
            </w:pPr>
            <w:r w:rsidRPr="0055736D">
              <w:rPr>
                <w:rFonts w:ascii="Calibri" w:eastAsia="Calibri" w:hAnsi="Calibri" w:cs="Calibri"/>
                <w:color w:val="000000"/>
                <w:sz w:val="22"/>
                <w:szCs w:val="22"/>
                <w:lang w:val="en-US"/>
              </w:rPr>
              <w:t>0.06%</w:t>
            </w:r>
          </w:p>
        </w:tc>
      </w:tr>
      <w:tr w:rsidR="00A54E19" w:rsidRPr="0055736D" w14:paraId="2F8F3F00" w14:textId="77777777" w:rsidTr="00A54E19">
        <w:trPr>
          <w:trHeight w:val="300"/>
          <w:jc w:val="center"/>
        </w:trPr>
        <w:tc>
          <w:tcPr>
            <w:tcW w:w="35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7B473A"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textAlignment w:val="auto"/>
              <w:rPr>
                <w:rFonts w:ascii="Calibri" w:eastAsia="Calibri" w:hAnsi="Calibri" w:cs="Calibri"/>
                <w:color w:val="000000"/>
                <w:sz w:val="22"/>
                <w:szCs w:val="22"/>
                <w:lang w:val="en-US"/>
              </w:rPr>
            </w:pPr>
            <w:r w:rsidRPr="0055736D">
              <w:rPr>
                <w:rFonts w:ascii="Calibri" w:eastAsia="Calibri" w:hAnsi="Calibri" w:cs="Calibri"/>
                <w:color w:val="000000"/>
                <w:sz w:val="22"/>
                <w:szCs w:val="22"/>
                <w:lang w:val="en-US"/>
              </w:rPr>
              <w:t>French</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6854F0"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Calibri"/>
                <w:color w:val="000000"/>
                <w:sz w:val="22"/>
                <w:szCs w:val="22"/>
                <w:lang w:val="en-US"/>
              </w:rPr>
            </w:pPr>
            <w:r w:rsidRPr="0055736D">
              <w:rPr>
                <w:rFonts w:ascii="Calibri" w:eastAsia="Calibri" w:hAnsi="Calibri" w:cs="Calibri"/>
                <w:color w:val="000000"/>
                <w:sz w:val="22"/>
                <w:szCs w:val="22"/>
                <w:lang w:val="en-US"/>
              </w:rPr>
              <w:t>0.03%</w:t>
            </w:r>
          </w:p>
        </w:tc>
      </w:tr>
      <w:tr w:rsidR="00A54E19" w:rsidRPr="0055736D" w14:paraId="5D88411F" w14:textId="77777777" w:rsidTr="00A54E19">
        <w:trPr>
          <w:trHeight w:val="300"/>
          <w:jc w:val="center"/>
        </w:trPr>
        <w:tc>
          <w:tcPr>
            <w:tcW w:w="35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70A53D"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textAlignment w:val="auto"/>
              <w:rPr>
                <w:rFonts w:ascii="Calibri" w:eastAsia="Calibri" w:hAnsi="Calibri" w:cs="Calibri"/>
                <w:color w:val="000000"/>
                <w:sz w:val="22"/>
                <w:szCs w:val="22"/>
                <w:lang w:val="en-US"/>
              </w:rPr>
            </w:pPr>
            <w:r w:rsidRPr="0055736D">
              <w:rPr>
                <w:rFonts w:ascii="Calibri" w:eastAsia="Calibri" w:hAnsi="Calibri" w:cs="Calibri"/>
                <w:color w:val="000000"/>
                <w:sz w:val="22"/>
                <w:szCs w:val="22"/>
                <w:lang w:val="en-US"/>
              </w:rPr>
              <w:t>Russian</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7FDE83"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Calibri"/>
                <w:color w:val="000000"/>
                <w:sz w:val="22"/>
                <w:szCs w:val="22"/>
                <w:lang w:val="en-US"/>
              </w:rPr>
            </w:pPr>
            <w:r w:rsidRPr="0055736D">
              <w:rPr>
                <w:rFonts w:ascii="Calibri" w:eastAsia="Calibri" w:hAnsi="Calibri" w:cs="Calibri"/>
                <w:color w:val="000000"/>
                <w:sz w:val="22"/>
                <w:szCs w:val="22"/>
                <w:lang w:val="en-US"/>
              </w:rPr>
              <w:t>0.00%</w:t>
            </w:r>
          </w:p>
        </w:tc>
      </w:tr>
      <w:tr w:rsidR="00A54E19" w:rsidRPr="0055736D" w14:paraId="09432C4E" w14:textId="77777777" w:rsidTr="00A54E19">
        <w:trPr>
          <w:trHeight w:val="300"/>
          <w:jc w:val="center"/>
        </w:trPr>
        <w:tc>
          <w:tcPr>
            <w:tcW w:w="35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373414"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textAlignment w:val="auto"/>
              <w:rPr>
                <w:rFonts w:ascii="Calibri" w:eastAsia="Calibri" w:hAnsi="Calibri" w:cs="Calibri"/>
                <w:color w:val="000000"/>
                <w:sz w:val="22"/>
                <w:szCs w:val="22"/>
                <w:lang w:val="en-US"/>
              </w:rPr>
            </w:pPr>
            <w:r w:rsidRPr="0055736D">
              <w:rPr>
                <w:rFonts w:ascii="Calibri" w:eastAsia="Calibri" w:hAnsi="Calibri" w:cs="Calibri"/>
                <w:color w:val="000000"/>
                <w:sz w:val="22"/>
                <w:szCs w:val="22"/>
                <w:lang w:val="en-US"/>
              </w:rPr>
              <w:t>Arabic</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D5B9BC"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Calibri"/>
                <w:color w:val="000000"/>
                <w:sz w:val="22"/>
                <w:szCs w:val="22"/>
                <w:lang w:val="en-US"/>
              </w:rPr>
            </w:pPr>
            <w:r w:rsidRPr="0055736D">
              <w:rPr>
                <w:rFonts w:ascii="Calibri" w:eastAsia="Calibri" w:hAnsi="Calibri" w:cs="Calibri"/>
                <w:color w:val="000000"/>
                <w:sz w:val="22"/>
                <w:szCs w:val="22"/>
                <w:lang w:val="en-US"/>
              </w:rPr>
              <w:t>0.00%</w:t>
            </w:r>
          </w:p>
        </w:tc>
      </w:tr>
      <w:tr w:rsidR="00A54E19" w:rsidRPr="0055736D" w14:paraId="5F83B336" w14:textId="77777777" w:rsidTr="00A54E19">
        <w:trPr>
          <w:trHeight w:val="300"/>
          <w:jc w:val="center"/>
        </w:trPr>
        <w:tc>
          <w:tcPr>
            <w:tcW w:w="35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0758FE"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textAlignment w:val="auto"/>
              <w:rPr>
                <w:rFonts w:ascii="Calibri" w:eastAsia="Calibri" w:hAnsi="Calibri" w:cs="Calibri"/>
                <w:color w:val="000000"/>
                <w:sz w:val="22"/>
                <w:szCs w:val="22"/>
                <w:lang w:val="en-US"/>
              </w:rPr>
            </w:pPr>
            <w:r w:rsidRPr="0055736D">
              <w:rPr>
                <w:rFonts w:ascii="Calibri" w:eastAsia="Calibri" w:hAnsi="Calibri" w:cs="Calibri"/>
                <w:color w:val="000000"/>
                <w:sz w:val="22"/>
                <w:szCs w:val="22"/>
                <w:lang w:val="en-US"/>
              </w:rPr>
              <w:t>Chinese</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EDEC01" w14:textId="77777777" w:rsidR="00A54E19" w:rsidRPr="0055736D" w:rsidRDefault="00A54E19" w:rsidP="00BA7589">
            <w:pPr>
              <w:keepNext/>
              <w:keepLines/>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Calibri"/>
                <w:color w:val="000000"/>
                <w:sz w:val="22"/>
                <w:szCs w:val="22"/>
                <w:lang w:val="en-US"/>
              </w:rPr>
            </w:pPr>
            <w:r w:rsidRPr="0055736D">
              <w:rPr>
                <w:rFonts w:ascii="Calibri" w:eastAsia="Calibri" w:hAnsi="Calibri" w:cs="Calibri"/>
                <w:color w:val="000000"/>
                <w:sz w:val="22"/>
                <w:szCs w:val="22"/>
                <w:lang w:val="en-US"/>
              </w:rPr>
              <w:t>0.00%</w:t>
            </w:r>
          </w:p>
        </w:tc>
      </w:tr>
    </w:tbl>
    <w:p w14:paraId="5A7EF815" w14:textId="1579A65E" w:rsidR="00A54E19" w:rsidRPr="0055736D" w:rsidRDefault="00A54E19" w:rsidP="00BA7589">
      <w:pPr>
        <w:keepNext/>
        <w:keepLines/>
        <w:tabs>
          <w:tab w:val="clear" w:pos="794"/>
          <w:tab w:val="clear" w:pos="1191"/>
          <w:tab w:val="clear" w:pos="1588"/>
          <w:tab w:val="clear" w:pos="1985"/>
        </w:tabs>
        <w:overflowPunct/>
        <w:autoSpaceDE/>
        <w:autoSpaceDN/>
        <w:adjustRightInd/>
        <w:spacing w:before="0"/>
        <w:textAlignment w:val="auto"/>
        <w:rPr>
          <w:rFonts w:ascii="Calibri" w:eastAsia="Calibri" w:hAnsi="Calibri" w:cs="Calibri"/>
          <w:i/>
          <w:iCs/>
          <w:sz w:val="20"/>
          <w:lang w:val="en-US"/>
        </w:rPr>
      </w:pPr>
      <w:r w:rsidRPr="0055736D">
        <w:rPr>
          <w:rFonts w:ascii="Calibri" w:eastAsia="Calibri" w:hAnsi="Calibri" w:cs="Calibri"/>
          <w:i/>
          <w:iCs/>
          <w:sz w:val="20"/>
          <w:lang w:val="en-US"/>
        </w:rPr>
        <w:t>* Excluding souvenirs, editable recommendations sold, insertion in ITU News, royalties and other income.</w:t>
      </w:r>
    </w:p>
    <w:p w14:paraId="76F01599" w14:textId="77777777" w:rsidR="00A54E19" w:rsidRPr="0055736D" w:rsidRDefault="00A54E19" w:rsidP="00A54E19">
      <w:pPr>
        <w:tabs>
          <w:tab w:val="clear" w:pos="794"/>
          <w:tab w:val="clear" w:pos="1191"/>
          <w:tab w:val="clear" w:pos="1588"/>
          <w:tab w:val="clear" w:pos="1985"/>
        </w:tabs>
        <w:overflowPunct/>
        <w:autoSpaceDE/>
        <w:autoSpaceDN/>
        <w:adjustRightInd/>
        <w:spacing w:before="0"/>
        <w:textAlignment w:val="auto"/>
        <w:rPr>
          <w:rFonts w:ascii="Calibri" w:eastAsia="Calibri" w:hAnsi="Calibri" w:cs="Calibri"/>
          <w:i/>
          <w:iCs/>
          <w:sz w:val="20"/>
          <w:lang w:val="en-US"/>
        </w:rPr>
      </w:pPr>
    </w:p>
    <w:p w14:paraId="70CEC3DC" w14:textId="51C6DC3C" w:rsidR="00C20D8D" w:rsidRPr="0055736D" w:rsidRDefault="00C20D8D" w:rsidP="00471BAA">
      <w:pPr>
        <w:tabs>
          <w:tab w:val="clear" w:pos="794"/>
          <w:tab w:val="clear" w:pos="1191"/>
          <w:tab w:val="clear" w:pos="1588"/>
          <w:tab w:val="clear" w:pos="1985"/>
        </w:tabs>
        <w:overflowPunct/>
        <w:autoSpaceDE/>
        <w:autoSpaceDN/>
        <w:adjustRightInd/>
        <w:spacing w:before="0"/>
        <w:ind w:left="709" w:hanging="709"/>
        <w:textAlignment w:val="auto"/>
        <w:rPr>
          <w:rFonts w:asciiTheme="minorHAnsi" w:hAnsiTheme="minorHAnsi"/>
          <w:b/>
          <w:bCs/>
          <w:lang w:val="en-US"/>
        </w:rPr>
      </w:pPr>
      <w:bookmarkStart w:id="13" w:name="_Hlk26280393"/>
      <w:r w:rsidRPr="0055736D">
        <w:rPr>
          <w:rFonts w:asciiTheme="minorHAnsi" w:hAnsiTheme="minorHAnsi"/>
          <w:b/>
          <w:bCs/>
          <w:lang w:val="en-US"/>
        </w:rPr>
        <w:t>8.</w:t>
      </w:r>
      <w:r w:rsidRPr="0055736D">
        <w:rPr>
          <w:rFonts w:asciiTheme="minorHAnsi" w:hAnsiTheme="minorHAnsi"/>
          <w:b/>
          <w:bCs/>
          <w:lang w:val="en-US"/>
        </w:rPr>
        <w:tab/>
      </w:r>
      <w:r w:rsidR="002F395B" w:rsidRPr="0055736D">
        <w:rPr>
          <w:rFonts w:asciiTheme="minorHAnsi" w:hAnsiTheme="minorHAnsi"/>
          <w:b/>
          <w:bCs/>
          <w:lang w:val="en-US"/>
        </w:rPr>
        <w:t>R</w:t>
      </w:r>
      <w:r w:rsidR="00E36833" w:rsidRPr="0055736D">
        <w:rPr>
          <w:rFonts w:asciiTheme="minorHAnsi" w:hAnsiTheme="minorHAnsi"/>
          <w:b/>
          <w:bCs/>
          <w:lang w:val="en-US"/>
        </w:rPr>
        <w:t>espect of deadlines for the submission of contributions that require translation to conferences</w:t>
      </w:r>
      <w:r w:rsidR="002F395B" w:rsidRPr="0055736D">
        <w:rPr>
          <w:rFonts w:asciiTheme="minorHAnsi" w:hAnsiTheme="minorHAnsi"/>
          <w:b/>
          <w:bCs/>
          <w:lang w:val="en-US"/>
        </w:rPr>
        <w:t>,</w:t>
      </w:r>
      <w:r w:rsidR="00E36833" w:rsidRPr="0055736D">
        <w:rPr>
          <w:rFonts w:asciiTheme="minorHAnsi" w:hAnsiTheme="minorHAnsi"/>
          <w:b/>
          <w:bCs/>
          <w:lang w:val="en-US"/>
        </w:rPr>
        <w:t xml:space="preserve"> </w:t>
      </w:r>
      <w:r w:rsidR="002F395B" w:rsidRPr="0055736D">
        <w:rPr>
          <w:rFonts w:asciiTheme="minorHAnsi" w:hAnsiTheme="minorHAnsi"/>
          <w:b/>
          <w:bCs/>
          <w:lang w:val="en-US"/>
        </w:rPr>
        <w:t>a</w:t>
      </w:r>
      <w:r w:rsidR="00E36833" w:rsidRPr="0055736D">
        <w:rPr>
          <w:rFonts w:asciiTheme="minorHAnsi" w:hAnsiTheme="minorHAnsi"/>
          <w:b/>
          <w:bCs/>
          <w:lang w:val="en-US"/>
        </w:rPr>
        <w:t xml:space="preserve">ssemblies and meetings of the Union </w:t>
      </w:r>
    </w:p>
    <w:bookmarkEnd w:id="13"/>
    <w:p w14:paraId="1A08464E" w14:textId="77777777" w:rsidR="002F395B" w:rsidRPr="00471BAA" w:rsidRDefault="002F395B" w:rsidP="00A91987">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en-US"/>
        </w:rPr>
      </w:pPr>
    </w:p>
    <w:p w14:paraId="71632034" w14:textId="77777777" w:rsidR="00384C32" w:rsidRPr="0055736D" w:rsidRDefault="002F395B" w:rsidP="007B5B77">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lang w:val="en-US"/>
        </w:rPr>
      </w:pPr>
      <w:r w:rsidRPr="0055736D">
        <w:rPr>
          <w:rFonts w:asciiTheme="minorHAnsi" w:hAnsiTheme="minorHAnsi"/>
          <w:lang w:val="en-US"/>
        </w:rPr>
        <w:t xml:space="preserve">In 2019, all provisions related to deadlines for the submission of contributions that require translation to major meetings of the Union have been </w:t>
      </w:r>
      <w:r w:rsidR="00285D78" w:rsidRPr="0055736D">
        <w:rPr>
          <w:rFonts w:asciiTheme="minorHAnsi" w:hAnsiTheme="minorHAnsi"/>
          <w:lang w:val="en-US"/>
        </w:rPr>
        <w:t>generally</w:t>
      </w:r>
      <w:r w:rsidRPr="0055736D">
        <w:rPr>
          <w:rFonts w:asciiTheme="minorHAnsi" w:hAnsiTheme="minorHAnsi"/>
          <w:lang w:val="en-US"/>
        </w:rPr>
        <w:t xml:space="preserve"> respected. </w:t>
      </w:r>
    </w:p>
    <w:p w14:paraId="7285AA13" w14:textId="77777777" w:rsidR="00A91987" w:rsidRPr="0055736D" w:rsidRDefault="00A91987" w:rsidP="00A91987">
      <w:pPr>
        <w:tabs>
          <w:tab w:val="clear" w:pos="794"/>
          <w:tab w:val="clear" w:pos="1191"/>
          <w:tab w:val="clear" w:pos="1588"/>
          <w:tab w:val="clear" w:pos="1985"/>
        </w:tabs>
        <w:overflowPunct/>
        <w:autoSpaceDE/>
        <w:autoSpaceDN/>
        <w:adjustRightInd/>
        <w:spacing w:before="0"/>
        <w:textAlignment w:val="auto"/>
        <w:rPr>
          <w:rFonts w:asciiTheme="minorHAnsi" w:hAnsiTheme="minorHAnsi"/>
          <w:lang w:val="en-US"/>
        </w:rPr>
      </w:pPr>
    </w:p>
    <w:p w14:paraId="4F4F5F8C" w14:textId="014F1068" w:rsidR="00A91987" w:rsidRPr="0055736D" w:rsidRDefault="00A91987" w:rsidP="00A91987">
      <w:pPr>
        <w:tabs>
          <w:tab w:val="clear" w:pos="794"/>
          <w:tab w:val="clear" w:pos="1191"/>
          <w:tab w:val="clear" w:pos="1588"/>
          <w:tab w:val="clear" w:pos="1985"/>
        </w:tabs>
        <w:overflowPunct/>
        <w:autoSpaceDE/>
        <w:autoSpaceDN/>
        <w:adjustRightInd/>
        <w:spacing w:before="0"/>
        <w:textAlignment w:val="auto"/>
        <w:rPr>
          <w:rFonts w:asciiTheme="minorHAnsi" w:hAnsiTheme="minorHAnsi"/>
          <w:lang w:val="en-US"/>
        </w:rPr>
      </w:pPr>
      <w:r w:rsidRPr="0055736D">
        <w:rPr>
          <w:rFonts w:asciiTheme="minorHAnsi" w:hAnsiTheme="minorHAnsi"/>
          <w:lang w:val="en-US"/>
        </w:rPr>
        <w:br w:type="page"/>
      </w:r>
    </w:p>
    <w:p w14:paraId="2BE6E52A" w14:textId="77777777" w:rsidR="00A91987" w:rsidRPr="0055736D" w:rsidRDefault="00A91987">
      <w:pPr>
        <w:tabs>
          <w:tab w:val="clear" w:pos="794"/>
          <w:tab w:val="clear" w:pos="1191"/>
          <w:tab w:val="clear" w:pos="1588"/>
          <w:tab w:val="clear" w:pos="1985"/>
        </w:tabs>
        <w:overflowPunct/>
        <w:autoSpaceDE/>
        <w:autoSpaceDN/>
        <w:adjustRightInd/>
        <w:spacing w:before="0"/>
        <w:textAlignment w:val="auto"/>
        <w:rPr>
          <w:rFonts w:asciiTheme="minorHAnsi" w:hAnsiTheme="minorHAnsi"/>
          <w:lang w:val="en-US"/>
        </w:rPr>
      </w:pPr>
    </w:p>
    <w:p w14:paraId="04323209" w14:textId="642A8832" w:rsidR="00A91987" w:rsidRPr="0055736D" w:rsidRDefault="00A91987" w:rsidP="00A91987">
      <w:pPr>
        <w:pStyle w:val="ListParagraph"/>
        <w:keepNext/>
        <w:keepLines/>
        <w:snapToGrid w:val="0"/>
        <w:spacing w:after="120"/>
        <w:ind w:left="0"/>
        <w:jc w:val="center"/>
        <w:rPr>
          <w:rFonts w:asciiTheme="minorHAnsi" w:hAnsiTheme="minorHAnsi"/>
          <w:b/>
          <w:bCs/>
          <w:sz w:val="36"/>
          <w:szCs w:val="28"/>
          <w:lang w:val="en-US"/>
        </w:rPr>
      </w:pPr>
      <w:r w:rsidRPr="0055736D">
        <w:rPr>
          <w:rFonts w:asciiTheme="minorHAnsi" w:hAnsiTheme="minorHAnsi"/>
          <w:b/>
          <w:bCs/>
          <w:sz w:val="36"/>
          <w:szCs w:val="28"/>
          <w:lang w:val="en-US"/>
        </w:rPr>
        <w:t>Annex II</w:t>
      </w:r>
    </w:p>
    <w:p w14:paraId="14B6322D" w14:textId="77777777" w:rsidR="00A91987" w:rsidRPr="0055736D" w:rsidRDefault="00A91987" w:rsidP="00A91987">
      <w:pPr>
        <w:pStyle w:val="ListParagraph"/>
        <w:keepNext/>
        <w:keepLines/>
        <w:snapToGrid w:val="0"/>
        <w:spacing w:after="120"/>
        <w:ind w:left="0"/>
        <w:rPr>
          <w:rFonts w:asciiTheme="minorHAnsi" w:hAnsiTheme="minorHAnsi"/>
          <w:lang w:val="en-US"/>
        </w:rPr>
      </w:pPr>
    </w:p>
    <w:p w14:paraId="2CAFB6F3" w14:textId="77777777" w:rsidR="00A91987" w:rsidRPr="0055736D" w:rsidRDefault="00A91987" w:rsidP="00A91987">
      <w:pPr>
        <w:pStyle w:val="ListParagraph"/>
        <w:keepNext/>
        <w:keepLines/>
        <w:snapToGrid w:val="0"/>
        <w:spacing w:after="120"/>
        <w:ind w:left="0"/>
        <w:jc w:val="center"/>
        <w:rPr>
          <w:rFonts w:asciiTheme="minorHAnsi" w:hAnsiTheme="minorHAnsi"/>
          <w:lang w:val="en-US"/>
        </w:rPr>
      </w:pPr>
      <w:r w:rsidRPr="0055736D">
        <w:rPr>
          <w:rFonts w:asciiTheme="minorHAnsi" w:hAnsiTheme="minorHAnsi"/>
          <w:b/>
          <w:bCs/>
          <w:sz w:val="32"/>
          <w:szCs w:val="24"/>
          <w:lang w:val="en-US"/>
        </w:rPr>
        <w:t xml:space="preserve">Report of the </w:t>
      </w:r>
      <w:bookmarkStart w:id="14" w:name="_Hlk25567399"/>
      <w:r w:rsidRPr="0055736D">
        <w:rPr>
          <w:rFonts w:asciiTheme="minorHAnsi" w:hAnsiTheme="minorHAnsi"/>
          <w:b/>
          <w:bCs/>
          <w:sz w:val="32"/>
          <w:szCs w:val="24"/>
          <w:lang w:val="en-US"/>
        </w:rPr>
        <w:t>Group on study and evaluation of the translation procedures</w:t>
      </w:r>
      <w:bookmarkEnd w:id="14"/>
    </w:p>
    <w:p w14:paraId="58EC5212" w14:textId="77777777" w:rsidR="00B733E5" w:rsidRPr="0055736D" w:rsidRDefault="00B733E5" w:rsidP="00B733E5">
      <w:pPr>
        <w:spacing w:before="840"/>
        <w:rPr>
          <w:rFonts w:asciiTheme="minorHAnsi" w:hAnsiTheme="minorHAnsi"/>
          <w:b/>
          <w:bCs/>
          <w:szCs w:val="24"/>
          <w:lang w:val="en-US"/>
        </w:rPr>
      </w:pPr>
      <w:r w:rsidRPr="0055736D">
        <w:rPr>
          <w:rFonts w:asciiTheme="minorHAnsi" w:hAnsiTheme="minorHAnsi"/>
          <w:b/>
          <w:bCs/>
          <w:szCs w:val="24"/>
          <w:lang w:val="en-US"/>
        </w:rPr>
        <w:t>Introduction</w:t>
      </w:r>
    </w:p>
    <w:p w14:paraId="7D156F07" w14:textId="2951FDFE" w:rsidR="00B733E5" w:rsidRPr="0055736D" w:rsidRDefault="00B733E5" w:rsidP="007B5B77">
      <w:pPr>
        <w:snapToGrid w:val="0"/>
        <w:spacing w:beforeLines="120" w:before="288" w:afterLines="120" w:after="288"/>
        <w:jc w:val="both"/>
        <w:rPr>
          <w:rFonts w:asciiTheme="minorHAnsi" w:hAnsiTheme="minorHAnsi"/>
          <w:szCs w:val="24"/>
        </w:rPr>
      </w:pPr>
      <w:r w:rsidRPr="0055736D">
        <w:rPr>
          <w:rFonts w:asciiTheme="minorHAnsi" w:hAnsiTheme="minorHAnsi"/>
          <w:szCs w:val="24"/>
        </w:rPr>
        <w:t xml:space="preserve">Council 2017 agreed to </w:t>
      </w:r>
      <w:r w:rsidRPr="0055736D">
        <w:rPr>
          <w:rFonts w:asciiTheme="minorHAnsi" w:hAnsiTheme="minorHAnsi" w:cstheme="minorHAnsi"/>
          <w:szCs w:val="24"/>
        </w:rPr>
        <w:t xml:space="preserve">request the Deputy Secretary-General to preside over an internal committee, reporting to </w:t>
      </w:r>
      <w:r w:rsidR="008F6FEB">
        <w:rPr>
          <w:rFonts w:asciiTheme="minorHAnsi" w:hAnsiTheme="minorHAnsi" w:cstheme="minorHAnsi"/>
          <w:szCs w:val="24"/>
        </w:rPr>
        <w:t xml:space="preserve">the </w:t>
      </w:r>
      <w:r w:rsidRPr="0055736D">
        <w:rPr>
          <w:rFonts w:asciiTheme="minorHAnsi" w:hAnsiTheme="minorHAnsi" w:cstheme="minorHAnsi"/>
          <w:szCs w:val="24"/>
        </w:rPr>
        <w:t xml:space="preserve">Council through the CWG-LANG, on alternative translation arrangements based on the proposal from the </w:t>
      </w:r>
      <w:r w:rsidRPr="0055736D">
        <w:rPr>
          <w:rFonts w:asciiTheme="minorHAnsi" w:hAnsiTheme="minorHAnsi" w:cstheme="minorHAnsi"/>
        </w:rPr>
        <w:t>United Arab Emirates</w:t>
      </w:r>
      <w:r w:rsidRPr="0055736D">
        <w:rPr>
          <w:rFonts w:asciiTheme="minorHAnsi" w:hAnsiTheme="minorHAnsi"/>
          <w:szCs w:val="24"/>
        </w:rPr>
        <w:t xml:space="preserve"> (</w:t>
      </w:r>
      <w:hyperlink r:id="rId15" w:history="1">
        <w:r w:rsidRPr="0055736D">
          <w:rPr>
            <w:rStyle w:val="Hyperlink"/>
            <w:rFonts w:asciiTheme="minorHAnsi" w:hAnsiTheme="minorHAnsi"/>
            <w:szCs w:val="24"/>
          </w:rPr>
          <w:t>C17/108</w:t>
        </w:r>
      </w:hyperlink>
      <w:r w:rsidRPr="0055736D">
        <w:rPr>
          <w:rFonts w:asciiTheme="minorHAnsi" w:hAnsiTheme="minorHAnsi"/>
          <w:szCs w:val="24"/>
        </w:rPr>
        <w:t xml:space="preserve">). </w:t>
      </w:r>
    </w:p>
    <w:p w14:paraId="3A514E5D" w14:textId="77777777" w:rsidR="00B733E5" w:rsidRPr="0055736D" w:rsidRDefault="00B733E5" w:rsidP="007B5B77">
      <w:pPr>
        <w:snapToGrid w:val="0"/>
        <w:spacing w:beforeLines="120" w:before="288" w:afterLines="120" w:after="288"/>
        <w:jc w:val="both"/>
        <w:rPr>
          <w:rFonts w:asciiTheme="minorHAnsi" w:hAnsiTheme="minorHAnsi"/>
          <w:szCs w:val="24"/>
        </w:rPr>
      </w:pPr>
      <w:r w:rsidRPr="0055736D">
        <w:rPr>
          <w:rFonts w:asciiTheme="minorHAnsi" w:hAnsiTheme="minorHAnsi"/>
          <w:szCs w:val="24"/>
        </w:rPr>
        <w:t>The group has been established with the following terms of reference:</w:t>
      </w:r>
    </w:p>
    <w:p w14:paraId="5C381223" w14:textId="77777777" w:rsidR="00B733E5" w:rsidRPr="0055736D" w:rsidRDefault="00B733E5" w:rsidP="007B5B77">
      <w:pPr>
        <w:snapToGrid w:val="0"/>
        <w:spacing w:beforeLines="120" w:before="288" w:afterLines="120" w:after="288"/>
        <w:jc w:val="both"/>
        <w:rPr>
          <w:rFonts w:asciiTheme="minorHAnsi" w:hAnsiTheme="minorHAnsi"/>
          <w:szCs w:val="24"/>
        </w:rPr>
      </w:pPr>
      <w:r w:rsidRPr="0055736D">
        <w:rPr>
          <w:rFonts w:asciiTheme="minorHAnsi" w:hAnsiTheme="minorHAnsi"/>
          <w:szCs w:val="24"/>
        </w:rPr>
        <w:t>In collaboration with the Directors of the three Bureaux, and in consultation with the Council Working Group on Languages and the ITU regional offices:</w:t>
      </w:r>
    </w:p>
    <w:p w14:paraId="6E1CA613" w14:textId="77777777" w:rsidR="00B733E5" w:rsidRPr="0055736D" w:rsidRDefault="00B733E5" w:rsidP="007B5B77">
      <w:pPr>
        <w:pStyle w:val="ListParagraph"/>
        <w:numPr>
          <w:ilvl w:val="0"/>
          <w:numId w:val="16"/>
        </w:numPr>
        <w:tabs>
          <w:tab w:val="clear" w:pos="794"/>
          <w:tab w:val="clear" w:pos="1191"/>
          <w:tab w:val="clear" w:pos="1588"/>
          <w:tab w:val="clear" w:pos="1985"/>
        </w:tabs>
        <w:overflowPunct/>
        <w:autoSpaceDE/>
        <w:autoSpaceDN/>
        <w:adjustRightInd/>
        <w:snapToGrid w:val="0"/>
        <w:spacing w:beforeLines="120" w:before="288" w:afterLines="120" w:after="288"/>
        <w:ind w:left="709" w:hanging="352"/>
        <w:contextualSpacing w:val="0"/>
        <w:jc w:val="both"/>
        <w:textAlignment w:val="auto"/>
        <w:rPr>
          <w:rFonts w:asciiTheme="minorHAnsi" w:hAnsiTheme="minorHAnsi"/>
          <w:szCs w:val="24"/>
        </w:rPr>
      </w:pPr>
      <w:r w:rsidRPr="0055736D">
        <w:rPr>
          <w:rFonts w:asciiTheme="minorHAnsi" w:hAnsiTheme="minorHAnsi"/>
          <w:szCs w:val="24"/>
        </w:rPr>
        <w:t>Study the most economically effective solutions for the provision of translation and simultaneous interpretation services at an appropriate cost, while maintaining quality of service in general.</w:t>
      </w:r>
    </w:p>
    <w:p w14:paraId="5C1C0D2E" w14:textId="77777777" w:rsidR="00B733E5" w:rsidRPr="0055736D" w:rsidRDefault="00B733E5" w:rsidP="007B5B77">
      <w:pPr>
        <w:pStyle w:val="ListParagraph"/>
        <w:numPr>
          <w:ilvl w:val="0"/>
          <w:numId w:val="16"/>
        </w:numPr>
        <w:tabs>
          <w:tab w:val="clear" w:pos="794"/>
          <w:tab w:val="clear" w:pos="1191"/>
          <w:tab w:val="clear" w:pos="1588"/>
          <w:tab w:val="clear" w:pos="1985"/>
        </w:tabs>
        <w:overflowPunct/>
        <w:autoSpaceDE/>
        <w:autoSpaceDN/>
        <w:adjustRightInd/>
        <w:snapToGrid w:val="0"/>
        <w:spacing w:beforeLines="120" w:before="288" w:afterLines="120" w:after="288"/>
        <w:ind w:left="709" w:hanging="352"/>
        <w:contextualSpacing w:val="0"/>
        <w:jc w:val="both"/>
        <w:textAlignment w:val="auto"/>
        <w:rPr>
          <w:rFonts w:asciiTheme="minorHAnsi" w:hAnsiTheme="minorHAnsi"/>
          <w:szCs w:val="24"/>
        </w:rPr>
      </w:pPr>
      <w:r w:rsidRPr="0055736D">
        <w:rPr>
          <w:rFonts w:asciiTheme="minorHAnsi" w:hAnsiTheme="minorHAnsi"/>
          <w:szCs w:val="24"/>
        </w:rPr>
        <w:t>Investigate the use of approved external bodies and centres to translate ITU documents, in collaboration with Member States and regional offices.</w:t>
      </w:r>
    </w:p>
    <w:p w14:paraId="3B32754D" w14:textId="77777777" w:rsidR="00B733E5" w:rsidRPr="0055736D" w:rsidRDefault="00B733E5" w:rsidP="007B5B77">
      <w:pPr>
        <w:pStyle w:val="ListParagraph"/>
        <w:numPr>
          <w:ilvl w:val="0"/>
          <w:numId w:val="16"/>
        </w:numPr>
        <w:tabs>
          <w:tab w:val="clear" w:pos="794"/>
          <w:tab w:val="clear" w:pos="1191"/>
          <w:tab w:val="clear" w:pos="1588"/>
          <w:tab w:val="clear" w:pos="1985"/>
        </w:tabs>
        <w:overflowPunct/>
        <w:autoSpaceDE/>
        <w:autoSpaceDN/>
        <w:adjustRightInd/>
        <w:snapToGrid w:val="0"/>
        <w:spacing w:beforeLines="120" w:before="288" w:afterLines="120" w:after="288"/>
        <w:ind w:left="709" w:hanging="352"/>
        <w:contextualSpacing w:val="0"/>
        <w:jc w:val="both"/>
        <w:textAlignment w:val="auto"/>
        <w:rPr>
          <w:rFonts w:asciiTheme="minorHAnsi" w:hAnsiTheme="minorHAnsi"/>
          <w:szCs w:val="24"/>
        </w:rPr>
      </w:pPr>
      <w:r w:rsidRPr="0055736D">
        <w:rPr>
          <w:rFonts w:asciiTheme="minorHAnsi" w:hAnsiTheme="minorHAnsi"/>
          <w:szCs w:val="24"/>
        </w:rPr>
        <w:t>Study the practice of other United Nations organizations in this regard.</w:t>
      </w:r>
    </w:p>
    <w:p w14:paraId="2DD55346" w14:textId="77777777" w:rsidR="00B733E5" w:rsidRPr="0055736D" w:rsidRDefault="00B733E5" w:rsidP="007B5B77">
      <w:pPr>
        <w:snapToGrid w:val="0"/>
        <w:spacing w:beforeLines="120" w:before="288" w:afterLines="120" w:after="288"/>
        <w:jc w:val="both"/>
        <w:rPr>
          <w:rFonts w:asciiTheme="minorHAnsi" w:hAnsiTheme="minorHAnsi"/>
          <w:szCs w:val="24"/>
        </w:rPr>
      </w:pPr>
      <w:r w:rsidRPr="0055736D">
        <w:rPr>
          <w:rFonts w:asciiTheme="minorHAnsi" w:hAnsiTheme="minorHAnsi"/>
          <w:szCs w:val="24"/>
        </w:rPr>
        <w:t>Remote participation is made available for the Regional Offices to participate.</w:t>
      </w:r>
    </w:p>
    <w:p w14:paraId="7955037B" w14:textId="62D536DB" w:rsidR="00B733E5" w:rsidRPr="0055736D" w:rsidRDefault="00B733E5" w:rsidP="007B5B77">
      <w:pPr>
        <w:snapToGrid w:val="0"/>
        <w:spacing w:beforeLines="120" w:before="288" w:afterLines="120" w:after="288"/>
        <w:jc w:val="both"/>
        <w:rPr>
          <w:rFonts w:asciiTheme="minorHAnsi" w:hAnsiTheme="minorHAnsi"/>
          <w:szCs w:val="24"/>
        </w:rPr>
      </w:pPr>
      <w:r w:rsidRPr="0055736D">
        <w:rPr>
          <w:rFonts w:asciiTheme="minorHAnsi" w:hAnsiTheme="minorHAnsi"/>
          <w:szCs w:val="24"/>
          <w:lang w:val="en-US"/>
        </w:rPr>
        <w:t>The group is composed of representatives of each Bureau, the General Secretariat Departments and the Regional Directors. This document provides a status report on the work of the group and invites CWG-LANG to offer its comments.</w:t>
      </w:r>
      <w:r w:rsidR="00F93187" w:rsidRPr="0055736D">
        <w:rPr>
          <w:rFonts w:asciiTheme="minorHAnsi" w:hAnsiTheme="minorHAnsi"/>
          <w:szCs w:val="24"/>
          <w:lang w:val="en-US"/>
        </w:rPr>
        <w:t xml:space="preserve"> </w:t>
      </w:r>
      <w:r w:rsidR="00E168E5" w:rsidRPr="0055736D">
        <w:rPr>
          <w:rFonts w:asciiTheme="minorHAnsi" w:hAnsiTheme="minorHAnsi"/>
          <w:szCs w:val="24"/>
          <w:lang w:val="en-US"/>
        </w:rPr>
        <w:t xml:space="preserve">In 2019, the Group held </w:t>
      </w:r>
      <w:r w:rsidR="008F6FEB">
        <w:rPr>
          <w:rFonts w:asciiTheme="minorHAnsi" w:hAnsiTheme="minorHAnsi"/>
          <w:szCs w:val="24"/>
          <w:lang w:val="en-US"/>
        </w:rPr>
        <w:t>four</w:t>
      </w:r>
      <w:r w:rsidR="00E168E5" w:rsidRPr="0055736D">
        <w:rPr>
          <w:rFonts w:asciiTheme="minorHAnsi" w:hAnsiTheme="minorHAnsi"/>
          <w:szCs w:val="24"/>
          <w:lang w:val="en-US"/>
        </w:rPr>
        <w:t xml:space="preserve"> meetings</w:t>
      </w:r>
      <w:r w:rsidR="00F93187" w:rsidRPr="0055736D">
        <w:rPr>
          <w:rFonts w:asciiTheme="minorHAnsi" w:hAnsiTheme="minorHAnsi"/>
          <w:szCs w:val="24"/>
          <w:lang w:val="en-US"/>
        </w:rPr>
        <w:t xml:space="preserve"> and dealt with the pilot tests conducted </w:t>
      </w:r>
      <w:r w:rsidR="00B55647" w:rsidRPr="0055736D">
        <w:rPr>
          <w:rFonts w:asciiTheme="minorHAnsi" w:hAnsiTheme="minorHAnsi"/>
          <w:szCs w:val="24"/>
          <w:lang w:val="en-US"/>
        </w:rPr>
        <w:t>(</w:t>
      </w:r>
      <w:r w:rsidR="00F93187" w:rsidRPr="0055736D">
        <w:rPr>
          <w:rFonts w:asciiTheme="minorHAnsi" w:hAnsiTheme="minorHAnsi"/>
          <w:szCs w:val="24"/>
          <w:lang w:val="en-US"/>
        </w:rPr>
        <w:t xml:space="preserve">on neural machine translation, </w:t>
      </w:r>
      <w:r w:rsidR="00B55647" w:rsidRPr="0055736D">
        <w:rPr>
          <w:rFonts w:asciiTheme="minorHAnsi" w:hAnsiTheme="minorHAnsi"/>
          <w:szCs w:val="24"/>
          <w:lang w:val="en-US"/>
        </w:rPr>
        <w:t>automatic translation of webpages, translation of webpages with the help of some administrations and remote interpretation) and the practice</w:t>
      </w:r>
      <w:r w:rsidR="008F6FEB">
        <w:rPr>
          <w:rFonts w:asciiTheme="minorHAnsi" w:hAnsiTheme="minorHAnsi"/>
          <w:szCs w:val="24"/>
          <w:lang w:val="en-US"/>
        </w:rPr>
        <w:t>s</w:t>
      </w:r>
      <w:r w:rsidR="00B55647" w:rsidRPr="0055736D">
        <w:rPr>
          <w:rFonts w:asciiTheme="minorHAnsi" w:hAnsiTheme="minorHAnsi"/>
          <w:szCs w:val="24"/>
          <w:lang w:val="en-US"/>
        </w:rPr>
        <w:t xml:space="preserve"> of other UN organizations</w:t>
      </w:r>
      <w:r w:rsidR="00E168E5" w:rsidRPr="0055736D">
        <w:rPr>
          <w:rFonts w:asciiTheme="minorHAnsi" w:hAnsiTheme="minorHAnsi"/>
          <w:szCs w:val="24"/>
          <w:lang w:val="en-US"/>
        </w:rPr>
        <w:t xml:space="preserve">. </w:t>
      </w:r>
    </w:p>
    <w:p w14:paraId="01E7F690" w14:textId="032FF779" w:rsidR="00B733E5" w:rsidRPr="0055736D" w:rsidRDefault="00B733E5" w:rsidP="007B5B77">
      <w:pPr>
        <w:ind w:left="794" w:hanging="794"/>
        <w:jc w:val="both"/>
        <w:rPr>
          <w:rFonts w:asciiTheme="minorHAnsi" w:hAnsiTheme="minorHAnsi" w:cstheme="minorHAnsi"/>
          <w:b/>
          <w:bCs/>
          <w:szCs w:val="24"/>
          <w:lang w:val="en-US"/>
        </w:rPr>
      </w:pPr>
      <w:r w:rsidRPr="0055736D">
        <w:rPr>
          <w:rFonts w:asciiTheme="minorHAnsi" w:hAnsiTheme="minorHAnsi" w:cstheme="minorHAnsi"/>
          <w:b/>
          <w:bCs/>
          <w:lang w:val="en-US"/>
        </w:rPr>
        <w:t>1</w:t>
      </w:r>
      <w:r w:rsidRPr="0055736D">
        <w:rPr>
          <w:rFonts w:asciiTheme="minorHAnsi" w:hAnsiTheme="minorHAnsi" w:cstheme="minorHAnsi"/>
          <w:b/>
          <w:bCs/>
          <w:lang w:val="en-US"/>
        </w:rPr>
        <w:tab/>
      </w:r>
      <w:bookmarkStart w:id="15" w:name="_Hlk25567279"/>
      <w:r w:rsidRPr="0055736D">
        <w:rPr>
          <w:rFonts w:asciiTheme="minorHAnsi" w:hAnsiTheme="minorHAnsi" w:cstheme="minorHAnsi"/>
          <w:b/>
          <w:bCs/>
          <w:lang w:val="en-US"/>
        </w:rPr>
        <w:t>S</w:t>
      </w:r>
      <w:r w:rsidRPr="0055736D">
        <w:rPr>
          <w:rFonts w:asciiTheme="minorHAnsi" w:hAnsiTheme="minorHAnsi" w:cstheme="minorHAnsi"/>
          <w:b/>
          <w:bCs/>
          <w:szCs w:val="24"/>
          <w:lang w:val="en-US"/>
        </w:rPr>
        <w:t>tatus of pilot projects on automatic translation, web content management,</w:t>
      </w:r>
      <w:r w:rsidR="0044784D" w:rsidRPr="0055736D">
        <w:rPr>
          <w:rFonts w:asciiTheme="minorHAnsi" w:hAnsiTheme="minorHAnsi" w:cstheme="minorHAnsi"/>
          <w:b/>
          <w:bCs/>
          <w:szCs w:val="24"/>
          <w:lang w:val="en-US"/>
        </w:rPr>
        <w:t xml:space="preserve"> </w:t>
      </w:r>
      <w:r w:rsidRPr="0055736D">
        <w:rPr>
          <w:rFonts w:asciiTheme="minorHAnsi" w:hAnsiTheme="minorHAnsi" w:cstheme="minorHAnsi"/>
          <w:b/>
          <w:bCs/>
          <w:szCs w:val="24"/>
          <w:lang w:val="en-US"/>
        </w:rPr>
        <w:t>translation of webpages by Member States, remote interpretation</w:t>
      </w:r>
      <w:bookmarkEnd w:id="15"/>
    </w:p>
    <w:p w14:paraId="757D079A" w14:textId="7C4DD8B3" w:rsidR="005E6355" w:rsidRPr="0055736D" w:rsidRDefault="0095746E" w:rsidP="007B5B77">
      <w:pPr>
        <w:spacing w:after="120"/>
        <w:jc w:val="both"/>
        <w:rPr>
          <w:rFonts w:asciiTheme="minorHAnsi" w:hAnsiTheme="minorHAnsi" w:cstheme="minorHAnsi"/>
          <w:szCs w:val="24"/>
          <w:lang w:val="en-US"/>
        </w:rPr>
      </w:pPr>
      <w:bookmarkStart w:id="16" w:name="_Hlk25566953"/>
      <w:r w:rsidRPr="0055736D">
        <w:rPr>
          <w:rFonts w:asciiTheme="minorHAnsi" w:hAnsiTheme="minorHAnsi" w:cstheme="minorHAnsi"/>
          <w:b/>
          <w:bCs/>
          <w:szCs w:val="24"/>
          <w:lang w:val="en-US"/>
        </w:rPr>
        <w:t xml:space="preserve">Automatic translation: </w:t>
      </w:r>
      <w:r w:rsidR="005E6355" w:rsidRPr="0055736D">
        <w:rPr>
          <w:rFonts w:asciiTheme="minorHAnsi" w:hAnsiTheme="minorHAnsi" w:cstheme="minorHAnsi"/>
          <w:szCs w:val="24"/>
          <w:lang w:val="en-US"/>
        </w:rPr>
        <w:t>In line with Plenipotentiary Resolution 154, which instructs the Directors of the Bureaux to report on the use of innovative translation technologies, and considering the specific needs of the Telecommunication Sector, especially the need for the translation of technical meeting documents that are seldom translated by the ITU translation services due to budget limitations, TSB has developed, in collaboration with C&amp;P, an open-source, royalty-free neural machine translation tool, called ITU-Translate, and has trained it with ITU documents. ITU-Translate provides gist translations among ITU</w:t>
      </w:r>
      <w:r w:rsidR="00620017">
        <w:rPr>
          <w:rFonts w:asciiTheme="minorHAnsi" w:hAnsiTheme="minorHAnsi" w:cstheme="minorHAnsi"/>
          <w:szCs w:val="24"/>
          <w:lang w:val="en-US"/>
        </w:rPr>
        <w:t>’</w:t>
      </w:r>
      <w:r w:rsidR="005E6355" w:rsidRPr="0055736D">
        <w:rPr>
          <w:rFonts w:asciiTheme="minorHAnsi" w:hAnsiTheme="minorHAnsi" w:cstheme="minorHAnsi"/>
          <w:szCs w:val="24"/>
          <w:lang w:val="en-US"/>
        </w:rPr>
        <w:t xml:space="preserve">s six official languages that successfully preserve the original document format of .html and .docx (Word) documents, including Word files with revision marks. </w:t>
      </w:r>
    </w:p>
    <w:p w14:paraId="58998BE4" w14:textId="77777777" w:rsidR="005E6355" w:rsidRPr="0055736D" w:rsidRDefault="005E6355" w:rsidP="007B5B77">
      <w:pPr>
        <w:spacing w:after="120"/>
        <w:jc w:val="both"/>
        <w:rPr>
          <w:rFonts w:asciiTheme="minorHAnsi" w:hAnsiTheme="minorHAnsi" w:cstheme="minorHAnsi"/>
          <w:szCs w:val="24"/>
          <w:lang w:val="en-US"/>
        </w:rPr>
      </w:pPr>
      <w:r w:rsidRPr="0055736D">
        <w:rPr>
          <w:rFonts w:asciiTheme="minorHAnsi" w:hAnsiTheme="minorHAnsi" w:cstheme="minorHAnsi"/>
          <w:szCs w:val="24"/>
          <w:lang w:val="en-US"/>
        </w:rPr>
        <w:lastRenderedPageBreak/>
        <w:t>The use of ITU-Translate has already given better results in the context of ITU-T technical texts than other well-known neural machine translation systems. Nonetheless, the tool continues to evolve and is permanently retrained for still better results in all the language pairs of the Union. ITU-Translate has been available at MyWorkspace (TIES access) and has been successfully used by ITU-T delegates for the translation of technical meeting documents.</w:t>
      </w:r>
    </w:p>
    <w:p w14:paraId="7548BC68" w14:textId="17F51088" w:rsidR="000A6C44" w:rsidRPr="0055736D" w:rsidRDefault="000A6C44" w:rsidP="007B5B77">
      <w:pPr>
        <w:spacing w:after="120"/>
        <w:jc w:val="both"/>
        <w:rPr>
          <w:rFonts w:asciiTheme="minorHAnsi" w:hAnsiTheme="minorHAnsi" w:cstheme="minorHAnsi"/>
          <w:szCs w:val="24"/>
          <w:lang w:val="en-US"/>
        </w:rPr>
      </w:pPr>
      <w:r w:rsidRPr="0055736D">
        <w:rPr>
          <w:rFonts w:asciiTheme="minorHAnsi" w:hAnsiTheme="minorHAnsi" w:cstheme="minorHAnsi"/>
          <w:szCs w:val="24"/>
          <w:lang w:val="en-US"/>
        </w:rPr>
        <w:t>C&amp;P and TSB are thus addressing Resolution 154 with the implementation of high-quality gist translation services and enhanced computer-aided-translation (CAT) tools that will complement the scope of the work currently covered by C&amp;P</w:t>
      </w:r>
      <w:r w:rsidR="00620017">
        <w:rPr>
          <w:rFonts w:asciiTheme="minorHAnsi" w:hAnsiTheme="minorHAnsi" w:cstheme="minorHAnsi"/>
          <w:szCs w:val="24"/>
          <w:lang w:val="en-US"/>
        </w:rPr>
        <w:t>’</w:t>
      </w:r>
      <w:r w:rsidRPr="0055736D">
        <w:rPr>
          <w:rFonts w:asciiTheme="minorHAnsi" w:hAnsiTheme="minorHAnsi" w:cstheme="minorHAnsi"/>
          <w:szCs w:val="24"/>
          <w:lang w:val="en-US"/>
        </w:rPr>
        <w:t>s human translation service.</w:t>
      </w:r>
    </w:p>
    <w:p w14:paraId="18EDAF8D" w14:textId="0F557662" w:rsidR="005E6355" w:rsidRPr="0055736D" w:rsidRDefault="00C44216" w:rsidP="007B5B77">
      <w:pPr>
        <w:spacing w:after="120"/>
        <w:jc w:val="both"/>
        <w:rPr>
          <w:rFonts w:asciiTheme="minorHAnsi" w:hAnsiTheme="minorHAnsi"/>
          <w:b/>
          <w:bCs/>
          <w:szCs w:val="24"/>
        </w:rPr>
      </w:pPr>
      <w:bookmarkStart w:id="17" w:name="_Hlk25567326"/>
      <w:bookmarkEnd w:id="16"/>
      <w:r w:rsidRPr="0055736D">
        <w:rPr>
          <w:rFonts w:asciiTheme="minorHAnsi" w:hAnsiTheme="minorHAnsi"/>
          <w:b/>
          <w:bCs/>
          <w:szCs w:val="24"/>
        </w:rPr>
        <w:t xml:space="preserve">Pilot test for </w:t>
      </w:r>
      <w:r w:rsidR="00F93187" w:rsidRPr="0055736D">
        <w:rPr>
          <w:rFonts w:asciiTheme="minorHAnsi" w:hAnsiTheme="minorHAnsi"/>
          <w:b/>
          <w:bCs/>
          <w:szCs w:val="24"/>
        </w:rPr>
        <w:t xml:space="preserve">automatic </w:t>
      </w:r>
      <w:r w:rsidRPr="0055736D">
        <w:rPr>
          <w:rFonts w:asciiTheme="minorHAnsi" w:hAnsiTheme="minorHAnsi"/>
          <w:b/>
          <w:bCs/>
          <w:szCs w:val="24"/>
        </w:rPr>
        <w:t xml:space="preserve">translation of webpages: </w:t>
      </w:r>
      <w:r w:rsidR="005E6355" w:rsidRPr="0055736D">
        <w:rPr>
          <w:rFonts w:asciiTheme="minorHAnsi" w:hAnsiTheme="minorHAnsi"/>
          <w:szCs w:val="24"/>
        </w:rPr>
        <w:t>The market offers several cloud-based machine translation tools. These tools have limitations when it comes to the translation of ITU</w:t>
      </w:r>
      <w:r w:rsidR="00620017">
        <w:rPr>
          <w:rFonts w:asciiTheme="minorHAnsi" w:hAnsiTheme="minorHAnsi"/>
          <w:szCs w:val="24"/>
        </w:rPr>
        <w:t>’</w:t>
      </w:r>
      <w:r w:rsidR="005E6355" w:rsidRPr="0055736D">
        <w:rPr>
          <w:rFonts w:asciiTheme="minorHAnsi" w:hAnsiTheme="minorHAnsi"/>
          <w:szCs w:val="24"/>
        </w:rPr>
        <w:t xml:space="preserve">s technical content, but which are applicable to general language expression. The project identifies and applies the best tools available per language pair for the translation of general-language webpages that are currently not translated. This website translation tool has currently been deployed on </w:t>
      </w:r>
      <w:hyperlink r:id="rId16" w:history="1">
        <w:r w:rsidR="005E6355" w:rsidRPr="0055736D">
          <w:rPr>
            <w:rStyle w:val="Hyperlink"/>
            <w:rFonts w:asciiTheme="minorHAnsi" w:hAnsiTheme="minorHAnsi"/>
            <w:szCs w:val="24"/>
          </w:rPr>
          <w:t>Focus groups</w:t>
        </w:r>
      </w:hyperlink>
      <w:r w:rsidR="005E6355" w:rsidRPr="0055736D">
        <w:rPr>
          <w:rFonts w:asciiTheme="minorHAnsi" w:hAnsiTheme="minorHAnsi"/>
          <w:szCs w:val="24"/>
        </w:rPr>
        <w:t xml:space="preserve"> and </w:t>
      </w:r>
      <w:hyperlink r:id="rId17" w:history="1">
        <w:r w:rsidR="005E6355" w:rsidRPr="0055736D">
          <w:rPr>
            <w:rStyle w:val="Hyperlink"/>
            <w:rFonts w:asciiTheme="minorHAnsi" w:hAnsiTheme="minorHAnsi"/>
            <w:szCs w:val="24"/>
          </w:rPr>
          <w:t>BSG</w:t>
        </w:r>
      </w:hyperlink>
      <w:r w:rsidR="005E6355" w:rsidRPr="0055736D">
        <w:rPr>
          <w:rFonts w:asciiTheme="minorHAnsi" w:hAnsiTheme="minorHAnsi"/>
          <w:szCs w:val="24"/>
        </w:rPr>
        <w:t xml:space="preserve"> SharePoint webpages, as well as for the dynamic translation of the </w:t>
      </w:r>
      <w:hyperlink r:id="rId18" w:history="1">
        <w:r w:rsidR="005E6355" w:rsidRPr="0055736D">
          <w:rPr>
            <w:rStyle w:val="Hyperlink"/>
            <w:rFonts w:asciiTheme="minorHAnsi" w:hAnsiTheme="minorHAnsi"/>
            <w:szCs w:val="24"/>
          </w:rPr>
          <w:t>WSIS-2019</w:t>
        </w:r>
      </w:hyperlink>
      <w:r w:rsidR="005E6355" w:rsidRPr="0055736D">
        <w:rPr>
          <w:rFonts w:asciiTheme="minorHAnsi" w:hAnsiTheme="minorHAnsi"/>
          <w:szCs w:val="24"/>
        </w:rPr>
        <w:t xml:space="preserve"> and the </w:t>
      </w:r>
      <w:hyperlink r:id="rId19" w:history="1">
        <w:r w:rsidR="005E6355" w:rsidRPr="0055736D">
          <w:rPr>
            <w:rStyle w:val="Hyperlink"/>
            <w:rFonts w:asciiTheme="minorHAnsi" w:hAnsiTheme="minorHAnsi"/>
            <w:szCs w:val="24"/>
          </w:rPr>
          <w:t>WSIS-2020</w:t>
        </w:r>
      </w:hyperlink>
      <w:r w:rsidR="005E6355" w:rsidRPr="0055736D">
        <w:rPr>
          <w:rFonts w:asciiTheme="minorHAnsi" w:hAnsiTheme="minorHAnsi"/>
          <w:szCs w:val="24"/>
        </w:rPr>
        <w:t xml:space="preserve"> websites. This website translation tool uses different commercial services depending on the language pairs.</w:t>
      </w:r>
    </w:p>
    <w:p w14:paraId="1EEA2DCF" w14:textId="577EEB05" w:rsidR="00C44216" w:rsidRPr="0055736D" w:rsidRDefault="005E6355" w:rsidP="007B5B77">
      <w:pPr>
        <w:spacing w:after="120"/>
        <w:jc w:val="both"/>
        <w:rPr>
          <w:rFonts w:asciiTheme="minorHAnsi" w:hAnsiTheme="minorHAnsi" w:cstheme="minorBidi"/>
        </w:rPr>
      </w:pPr>
      <w:r w:rsidRPr="0055736D">
        <w:rPr>
          <w:rFonts w:asciiTheme="minorHAnsi" w:hAnsiTheme="minorHAnsi"/>
          <w:szCs w:val="24"/>
        </w:rPr>
        <w:t xml:space="preserve">The project will start in </w:t>
      </w:r>
      <w:r w:rsidR="00BA7589" w:rsidRPr="0055736D">
        <w:rPr>
          <w:rFonts w:asciiTheme="minorHAnsi" w:hAnsiTheme="minorHAnsi"/>
          <w:szCs w:val="24"/>
        </w:rPr>
        <w:t>January 2020 and</w:t>
      </w:r>
      <w:r w:rsidRPr="0055736D">
        <w:rPr>
          <w:rFonts w:asciiTheme="minorHAnsi" w:hAnsiTheme="minorHAnsi"/>
          <w:szCs w:val="24"/>
        </w:rPr>
        <w:t xml:space="preserve"> will have a duration of 12 months.</w:t>
      </w:r>
    </w:p>
    <w:p w14:paraId="5A033725" w14:textId="28A65517" w:rsidR="00B733E5" w:rsidRPr="0055736D" w:rsidRDefault="00B733E5" w:rsidP="007B5B77">
      <w:pPr>
        <w:spacing w:after="120"/>
        <w:jc w:val="both"/>
        <w:rPr>
          <w:rFonts w:asciiTheme="minorHAnsi" w:hAnsiTheme="minorHAnsi" w:cstheme="minorHAnsi"/>
          <w:szCs w:val="24"/>
          <w:lang w:val="en-US"/>
        </w:rPr>
      </w:pPr>
      <w:bookmarkStart w:id="18" w:name="_Hlk25567366"/>
      <w:bookmarkStart w:id="19" w:name="_Hlk26864518"/>
      <w:bookmarkEnd w:id="17"/>
      <w:r w:rsidRPr="0055736D">
        <w:rPr>
          <w:rFonts w:asciiTheme="minorHAnsi" w:hAnsiTheme="minorHAnsi" w:cstheme="minorHAnsi"/>
          <w:b/>
          <w:bCs/>
          <w:szCs w:val="24"/>
          <w:lang w:val="en-US"/>
        </w:rPr>
        <w:t>Pilot project for the translation of webpages with the help of some administrations</w:t>
      </w:r>
      <w:bookmarkEnd w:id="18"/>
      <w:r w:rsidRPr="0055736D">
        <w:rPr>
          <w:rFonts w:asciiTheme="minorHAnsi" w:hAnsiTheme="minorHAnsi" w:cstheme="minorHAnsi"/>
          <w:b/>
          <w:bCs/>
          <w:szCs w:val="24"/>
          <w:lang w:val="en-US"/>
        </w:rPr>
        <w:t>:</w:t>
      </w:r>
      <w:r w:rsidRPr="0055736D">
        <w:rPr>
          <w:rFonts w:asciiTheme="minorHAnsi" w:hAnsiTheme="minorHAnsi" w:cstheme="minorHAnsi"/>
          <w:szCs w:val="24"/>
          <w:lang w:val="en-US"/>
        </w:rPr>
        <w:t xml:space="preserve"> </w:t>
      </w:r>
      <w:r w:rsidR="00811B1F" w:rsidRPr="0055736D">
        <w:rPr>
          <w:rFonts w:asciiTheme="minorHAnsi" w:hAnsiTheme="minorHAnsi" w:cstheme="minorHAnsi"/>
          <w:szCs w:val="24"/>
          <w:lang w:val="en-US"/>
        </w:rPr>
        <w:t xml:space="preserve">Council 2018 </w:t>
      </w:r>
      <w:r w:rsidR="00811B1F" w:rsidRPr="0055736D">
        <w:rPr>
          <w:rFonts w:asciiTheme="minorHAnsi" w:hAnsiTheme="minorHAnsi" w:cstheme="minorHAnsi"/>
          <w:szCs w:val="24"/>
        </w:rPr>
        <w:t xml:space="preserve">authorized the </w:t>
      </w:r>
      <w:r w:rsidR="008F6FEB">
        <w:rPr>
          <w:rFonts w:asciiTheme="minorHAnsi" w:hAnsiTheme="minorHAnsi" w:cstheme="minorHAnsi"/>
          <w:szCs w:val="24"/>
        </w:rPr>
        <w:t>s</w:t>
      </w:r>
      <w:r w:rsidR="00811B1F" w:rsidRPr="0055736D">
        <w:rPr>
          <w:rFonts w:asciiTheme="minorHAnsi" w:hAnsiTheme="minorHAnsi" w:cstheme="minorHAnsi"/>
          <w:szCs w:val="24"/>
        </w:rPr>
        <w:t>ecretariat to conduct a trial for the translation of webpages with the help of some administrations, in which the responsible Member States would verify themselves</w:t>
      </w:r>
      <w:r w:rsidR="00811B1F" w:rsidRPr="0055736D">
        <w:rPr>
          <w:rStyle w:val="FootnoteReference"/>
          <w:rFonts w:asciiTheme="minorHAnsi" w:hAnsiTheme="minorHAnsi" w:cstheme="minorHAnsi"/>
          <w:szCs w:val="24"/>
        </w:rPr>
        <w:footnoteReference w:id="4"/>
      </w:r>
      <w:r w:rsidR="00811B1F" w:rsidRPr="0055736D">
        <w:rPr>
          <w:rFonts w:asciiTheme="minorHAnsi" w:hAnsiTheme="minorHAnsi" w:cstheme="minorHAnsi"/>
          <w:szCs w:val="24"/>
        </w:rPr>
        <w:t xml:space="preserve"> whether the quality of translation is sufficient and, if so, the translated webpages would be directly posted on the ITU website by the secretariat.</w:t>
      </w:r>
      <w:r w:rsidR="00811B1F" w:rsidRPr="0055736D">
        <w:rPr>
          <w:rFonts w:asciiTheme="minorHAnsi" w:hAnsiTheme="minorHAnsi" w:cstheme="minorHAnsi"/>
          <w:szCs w:val="24"/>
          <w:lang w:val="en-US"/>
        </w:rPr>
        <w:t xml:space="preserve"> As for this trial, the secretariat has not yet received enough internal feedback and is therefore unable for the time being to properly assess the results</w:t>
      </w:r>
      <w:bookmarkEnd w:id="19"/>
      <w:r w:rsidR="00811B1F" w:rsidRPr="0055736D">
        <w:rPr>
          <w:rFonts w:asciiTheme="minorHAnsi" w:hAnsiTheme="minorHAnsi" w:cstheme="minorHAnsi"/>
          <w:szCs w:val="24"/>
          <w:lang w:val="en-US"/>
        </w:rPr>
        <w:t>.</w:t>
      </w:r>
    </w:p>
    <w:p w14:paraId="412AF96A" w14:textId="4D940B1A" w:rsidR="00615292" w:rsidRPr="0055736D" w:rsidRDefault="0095746E" w:rsidP="007B5B77">
      <w:pPr>
        <w:keepNext/>
        <w:keepLines/>
        <w:spacing w:after="120"/>
        <w:jc w:val="both"/>
        <w:rPr>
          <w:rFonts w:asciiTheme="minorHAnsi" w:hAnsiTheme="minorHAnsi" w:cstheme="minorHAnsi"/>
          <w:szCs w:val="24"/>
          <w:lang w:val="en-US"/>
        </w:rPr>
      </w:pPr>
      <w:r w:rsidRPr="0055736D">
        <w:rPr>
          <w:rFonts w:asciiTheme="minorHAnsi" w:hAnsiTheme="minorHAnsi" w:cstheme="minorHAnsi"/>
          <w:b/>
          <w:bCs/>
          <w:szCs w:val="24"/>
          <w:lang w:val="en-US"/>
        </w:rPr>
        <w:t>Remote interpretation</w:t>
      </w:r>
      <w:r w:rsidRPr="0055736D">
        <w:rPr>
          <w:rFonts w:asciiTheme="minorHAnsi" w:hAnsiTheme="minorHAnsi" w:cstheme="minorHAnsi"/>
          <w:szCs w:val="24"/>
          <w:lang w:val="en-US"/>
        </w:rPr>
        <w:t xml:space="preserve">: </w:t>
      </w:r>
      <w:r w:rsidR="00615292" w:rsidRPr="0055736D">
        <w:rPr>
          <w:rFonts w:asciiTheme="minorHAnsi" w:hAnsiTheme="minorHAnsi" w:cstheme="minorHAnsi"/>
          <w:szCs w:val="24"/>
          <w:lang w:val="en-US"/>
        </w:rPr>
        <w:t xml:space="preserve">The Information Services Department is in the process of introducing and deploying a new Multilingual Interactive Remote Participation (MIRP) platform, to gradually replace the current platform. While </w:t>
      </w:r>
      <w:r w:rsidR="00142363" w:rsidRPr="0055736D">
        <w:rPr>
          <w:rFonts w:asciiTheme="minorHAnsi" w:hAnsiTheme="minorHAnsi" w:cstheme="minorHAnsi"/>
          <w:szCs w:val="24"/>
          <w:lang w:val="en-US"/>
        </w:rPr>
        <w:t>the</w:t>
      </w:r>
      <w:r w:rsidR="00615292" w:rsidRPr="0055736D">
        <w:rPr>
          <w:rFonts w:asciiTheme="minorHAnsi" w:hAnsiTheme="minorHAnsi" w:cstheme="minorHAnsi"/>
          <w:szCs w:val="24"/>
          <w:lang w:val="en-US"/>
        </w:rPr>
        <w:t xml:space="preserve"> </w:t>
      </w:r>
      <w:r w:rsidR="00142363" w:rsidRPr="0055736D">
        <w:rPr>
          <w:rFonts w:asciiTheme="minorHAnsi" w:hAnsiTheme="minorHAnsi" w:cstheme="minorHAnsi"/>
          <w:szCs w:val="24"/>
          <w:lang w:val="en-US"/>
        </w:rPr>
        <w:t xml:space="preserve">current platform </w:t>
      </w:r>
      <w:r w:rsidR="00615292" w:rsidRPr="0055736D">
        <w:rPr>
          <w:rFonts w:asciiTheme="minorHAnsi" w:hAnsiTheme="minorHAnsi" w:cstheme="minorHAnsi"/>
          <w:szCs w:val="24"/>
          <w:lang w:val="en-US"/>
        </w:rPr>
        <w:t>has been providing the service since 2010, it will be phased out by 31 December 2019 due to support and operational issues.</w:t>
      </w:r>
    </w:p>
    <w:p w14:paraId="3023E81B" w14:textId="69AB2AD2" w:rsidR="0095746E" w:rsidRPr="0055736D" w:rsidRDefault="00615292" w:rsidP="007B5B77">
      <w:pPr>
        <w:keepNext/>
        <w:keepLines/>
        <w:spacing w:after="120"/>
        <w:jc w:val="both"/>
        <w:rPr>
          <w:rFonts w:asciiTheme="minorHAnsi" w:hAnsiTheme="minorHAnsi" w:cstheme="minorHAnsi"/>
          <w:szCs w:val="24"/>
          <w:lang w:val="en-US"/>
        </w:rPr>
      </w:pPr>
      <w:r w:rsidRPr="0055736D">
        <w:rPr>
          <w:rFonts w:asciiTheme="minorHAnsi" w:hAnsiTheme="minorHAnsi" w:cstheme="minorHAnsi"/>
          <w:szCs w:val="24"/>
          <w:lang w:val="en-US"/>
        </w:rPr>
        <w:t xml:space="preserve">The new platform is a fully cloud-based solution, which is scalable and can respond rapidly to technological changes and new market requirements. All communications (six languages and floor audio and video) are transmitted over the Internet, eliminating the need for any landline or mobile phones for connection. The new platform provides better end-user experience, higher audio/video quality and lower operations cost.  </w:t>
      </w:r>
    </w:p>
    <w:p w14:paraId="2286A5A6" w14:textId="523F5D24" w:rsidR="00B733E5" w:rsidRPr="0055736D" w:rsidRDefault="0040020C" w:rsidP="007B5B77">
      <w:pPr>
        <w:spacing w:after="120"/>
        <w:jc w:val="both"/>
        <w:rPr>
          <w:rFonts w:asciiTheme="minorHAnsi" w:hAnsiTheme="minorHAnsi" w:cstheme="minorHAnsi"/>
          <w:b/>
          <w:bCs/>
          <w:szCs w:val="24"/>
          <w:lang w:val="en-US"/>
        </w:rPr>
      </w:pPr>
      <w:r w:rsidRPr="0055736D">
        <w:rPr>
          <w:rFonts w:asciiTheme="minorHAnsi" w:hAnsiTheme="minorHAnsi" w:cstheme="minorHAnsi"/>
          <w:b/>
          <w:bCs/>
          <w:szCs w:val="24"/>
          <w:lang w:val="en-US"/>
        </w:rPr>
        <w:t>Pilot project for automatic captioning</w:t>
      </w:r>
    </w:p>
    <w:p w14:paraId="3B4E9472" w14:textId="40AC682C" w:rsidR="0040020C" w:rsidRPr="0055736D" w:rsidRDefault="0040020C" w:rsidP="007B5B77">
      <w:pPr>
        <w:spacing w:after="120"/>
        <w:jc w:val="both"/>
        <w:rPr>
          <w:rFonts w:asciiTheme="minorHAnsi" w:hAnsiTheme="minorHAnsi" w:cstheme="minorHAnsi"/>
          <w:szCs w:val="24"/>
          <w:lang w:val="en-US"/>
        </w:rPr>
      </w:pPr>
      <w:r w:rsidRPr="0055736D">
        <w:rPr>
          <w:rFonts w:asciiTheme="minorHAnsi" w:hAnsiTheme="minorHAnsi" w:cstheme="minorHAnsi"/>
          <w:szCs w:val="24"/>
          <w:lang w:val="en-US"/>
        </w:rPr>
        <w:t xml:space="preserve">ITU has also been testing AI captioning from </w:t>
      </w:r>
      <w:r w:rsidR="00142363" w:rsidRPr="0055736D">
        <w:rPr>
          <w:rFonts w:asciiTheme="minorHAnsi" w:hAnsiTheme="minorHAnsi" w:cstheme="minorHAnsi"/>
          <w:szCs w:val="24"/>
          <w:lang w:val="en-US"/>
        </w:rPr>
        <w:t>a Chinese company</w:t>
      </w:r>
      <w:r w:rsidRPr="0055736D">
        <w:rPr>
          <w:rFonts w:asciiTheme="minorHAnsi" w:hAnsiTheme="minorHAnsi" w:cstheme="minorHAnsi"/>
          <w:szCs w:val="24"/>
          <w:lang w:val="en-US"/>
        </w:rPr>
        <w:t xml:space="preserve"> during some ITU meetings in Geneva, and the last test was conducted during WSIS Forum 2019. The solution is based on a standalone laptop that takes the audio input (at the time of the test, ITU tested only English language) from the room, and using AI software installed in the laptop, performs automatic captioning. The transcription is then displayed directly on the laptop, which is also connected to the room</w:t>
      </w:r>
      <w:r w:rsidR="00620017">
        <w:rPr>
          <w:rFonts w:asciiTheme="minorHAnsi" w:hAnsiTheme="minorHAnsi" w:cstheme="minorHAnsi"/>
          <w:szCs w:val="24"/>
          <w:lang w:val="en-US"/>
        </w:rPr>
        <w:t>’</w:t>
      </w:r>
      <w:r w:rsidRPr="0055736D">
        <w:rPr>
          <w:rFonts w:asciiTheme="minorHAnsi" w:hAnsiTheme="minorHAnsi" w:cstheme="minorHAnsi"/>
          <w:szCs w:val="24"/>
          <w:lang w:val="en-US"/>
        </w:rPr>
        <w:t>s projector. The accuracy has improved a lot, but the quality shown during WSIS was still not good enough for ITU meetings that demand very high accuracy.</w:t>
      </w:r>
    </w:p>
    <w:p w14:paraId="0DEE73D7" w14:textId="77777777" w:rsidR="00B733E5" w:rsidRPr="0055736D" w:rsidRDefault="00B733E5" w:rsidP="007B5B77">
      <w:pPr>
        <w:keepNext/>
        <w:keepLines/>
        <w:spacing w:after="120"/>
        <w:jc w:val="both"/>
        <w:rPr>
          <w:rFonts w:asciiTheme="minorHAnsi" w:hAnsiTheme="minorHAnsi" w:cstheme="minorHAnsi"/>
          <w:b/>
          <w:bCs/>
          <w:szCs w:val="24"/>
        </w:rPr>
      </w:pPr>
      <w:r w:rsidRPr="0055736D">
        <w:rPr>
          <w:rFonts w:asciiTheme="minorHAnsi" w:hAnsiTheme="minorHAnsi" w:cstheme="minorHAnsi"/>
          <w:b/>
          <w:bCs/>
          <w:szCs w:val="24"/>
          <w:lang w:val="en-US"/>
        </w:rPr>
        <w:lastRenderedPageBreak/>
        <w:t>2</w:t>
      </w:r>
      <w:r w:rsidRPr="0055736D">
        <w:rPr>
          <w:rFonts w:asciiTheme="minorHAnsi" w:hAnsiTheme="minorHAnsi" w:cstheme="minorHAnsi"/>
          <w:b/>
          <w:bCs/>
          <w:szCs w:val="24"/>
          <w:lang w:val="en-US"/>
        </w:rPr>
        <w:tab/>
      </w:r>
      <w:r w:rsidRPr="0055736D">
        <w:rPr>
          <w:rFonts w:asciiTheme="minorHAnsi" w:hAnsiTheme="minorHAnsi" w:cstheme="minorHAnsi"/>
          <w:b/>
          <w:bCs/>
          <w:szCs w:val="24"/>
        </w:rPr>
        <w:t xml:space="preserve">Practice of other United Nations organizations </w:t>
      </w:r>
    </w:p>
    <w:p w14:paraId="01B2206E" w14:textId="437ACFF8" w:rsidR="0040020C" w:rsidRPr="0055736D" w:rsidRDefault="00CA2195" w:rsidP="007B5B77">
      <w:pPr>
        <w:keepNext/>
        <w:keepLines/>
        <w:spacing w:after="120"/>
        <w:jc w:val="both"/>
        <w:rPr>
          <w:rFonts w:asciiTheme="minorHAnsi" w:hAnsiTheme="minorHAnsi"/>
          <w:szCs w:val="24"/>
        </w:rPr>
      </w:pPr>
      <w:r w:rsidRPr="0055736D">
        <w:rPr>
          <w:rFonts w:asciiTheme="minorHAnsi" w:hAnsiTheme="minorHAnsi"/>
          <w:szCs w:val="24"/>
        </w:rPr>
        <w:t>The 201</w:t>
      </w:r>
      <w:r w:rsidR="00F93187" w:rsidRPr="0055736D">
        <w:rPr>
          <w:rFonts w:asciiTheme="minorHAnsi" w:hAnsiTheme="minorHAnsi"/>
          <w:szCs w:val="24"/>
        </w:rPr>
        <w:t>9</w:t>
      </w:r>
      <w:r w:rsidRPr="0055736D">
        <w:rPr>
          <w:rFonts w:asciiTheme="minorHAnsi" w:hAnsiTheme="minorHAnsi"/>
          <w:szCs w:val="24"/>
        </w:rPr>
        <w:t xml:space="preserve"> Joint Inter-Agency Meeting on Computer-Assisted Translation and Terminology (JIAMCATT) took place </w:t>
      </w:r>
      <w:r w:rsidR="00F93187" w:rsidRPr="0055736D">
        <w:rPr>
          <w:rFonts w:asciiTheme="minorHAnsi" w:hAnsiTheme="minorHAnsi"/>
          <w:szCs w:val="24"/>
        </w:rPr>
        <w:t>in Luxembourg, from 13</w:t>
      </w:r>
      <w:r w:rsidR="008F6FEB">
        <w:rPr>
          <w:rFonts w:asciiTheme="minorHAnsi" w:hAnsiTheme="minorHAnsi"/>
          <w:szCs w:val="24"/>
        </w:rPr>
        <w:t xml:space="preserve"> to </w:t>
      </w:r>
      <w:r w:rsidR="00F93187" w:rsidRPr="0055736D">
        <w:rPr>
          <w:rFonts w:asciiTheme="minorHAnsi" w:hAnsiTheme="minorHAnsi"/>
          <w:szCs w:val="24"/>
        </w:rPr>
        <w:t xml:space="preserve">15 May 2019, and was hosted by the European Commission. The theme was </w:t>
      </w:r>
      <w:r w:rsidR="00620017">
        <w:rPr>
          <w:rFonts w:asciiTheme="minorHAnsi" w:hAnsiTheme="minorHAnsi"/>
          <w:szCs w:val="24"/>
        </w:rPr>
        <w:t>“</w:t>
      </w:r>
      <w:r w:rsidR="00F93187" w:rsidRPr="0055736D">
        <w:rPr>
          <w:rFonts w:asciiTheme="minorHAnsi" w:hAnsiTheme="minorHAnsi"/>
          <w:szCs w:val="24"/>
        </w:rPr>
        <w:t>The Shape of Things to Come: How technology and innovation are transforming the language professions</w:t>
      </w:r>
      <w:r w:rsidR="00620017">
        <w:rPr>
          <w:rFonts w:asciiTheme="minorHAnsi" w:hAnsiTheme="minorHAnsi"/>
          <w:szCs w:val="24"/>
        </w:rPr>
        <w:t>”</w:t>
      </w:r>
      <w:r w:rsidR="00F93187" w:rsidRPr="0055736D">
        <w:rPr>
          <w:rFonts w:asciiTheme="minorHAnsi" w:hAnsiTheme="minorHAnsi"/>
          <w:szCs w:val="24"/>
        </w:rPr>
        <w:t xml:space="preserve">. </w:t>
      </w:r>
      <w:r w:rsidR="0040020C" w:rsidRPr="0055736D">
        <w:rPr>
          <w:rFonts w:asciiTheme="minorHAnsi" w:hAnsiTheme="minorHAnsi"/>
          <w:szCs w:val="24"/>
        </w:rPr>
        <w:t>Among the conclusions of the meeting:</w:t>
      </w:r>
    </w:p>
    <w:p w14:paraId="57FCF3F9" w14:textId="5987DF3F" w:rsidR="0040020C" w:rsidRPr="0055736D" w:rsidRDefault="0040020C" w:rsidP="007B5B77">
      <w:pPr>
        <w:keepNext/>
        <w:keepLines/>
        <w:spacing w:after="120"/>
        <w:jc w:val="both"/>
        <w:rPr>
          <w:rFonts w:asciiTheme="minorHAnsi" w:hAnsiTheme="minorHAnsi"/>
          <w:szCs w:val="24"/>
        </w:rPr>
      </w:pPr>
      <w:r w:rsidRPr="0055736D">
        <w:rPr>
          <w:rFonts w:asciiTheme="minorHAnsi" w:hAnsiTheme="minorHAnsi"/>
          <w:szCs w:val="24"/>
        </w:rPr>
        <w:t xml:space="preserve">Machine translation is now an established part of the documentation workflow in most organizations. Many JIAMCATT members have reached a degree of maturity in their implementation of these systems and are encouraged to share their experiences and expertise in training, testing, communicating and rolling out these models. Research into machine translation shows that post-editing is a complex task, and feedback from practitioners suggests that it may even increase the cognitive load on language professionals. </w:t>
      </w:r>
    </w:p>
    <w:p w14:paraId="5562B307" w14:textId="1D4B7518" w:rsidR="00CA2195" w:rsidRDefault="0040020C" w:rsidP="007B5B77">
      <w:pPr>
        <w:keepNext/>
        <w:keepLines/>
        <w:spacing w:after="120"/>
        <w:jc w:val="both"/>
        <w:rPr>
          <w:rFonts w:asciiTheme="minorHAnsi" w:hAnsiTheme="minorHAnsi"/>
          <w:szCs w:val="24"/>
        </w:rPr>
      </w:pPr>
      <w:r w:rsidRPr="0055736D">
        <w:rPr>
          <w:rFonts w:asciiTheme="minorHAnsi" w:hAnsiTheme="minorHAnsi"/>
          <w:szCs w:val="24"/>
        </w:rPr>
        <w:t>The transformation of the language professions will require member organizations to adopt comprehensive strategies that draw on the strengths of existing assets while harnessing the potential of new technologies. Communication, training, transparency</w:t>
      </w:r>
      <w:r w:rsidR="00DA0DAF">
        <w:rPr>
          <w:rFonts w:asciiTheme="minorHAnsi" w:hAnsiTheme="minorHAnsi"/>
          <w:szCs w:val="24"/>
        </w:rPr>
        <w:t>,</w:t>
      </w:r>
      <w:r w:rsidRPr="0055736D">
        <w:rPr>
          <w:rFonts w:asciiTheme="minorHAnsi" w:hAnsiTheme="minorHAnsi"/>
          <w:szCs w:val="24"/>
        </w:rPr>
        <w:t xml:space="preserve"> and staff involvement will be key to achieving this transformation successfully</w:t>
      </w:r>
      <w:r w:rsidR="00471BAA">
        <w:rPr>
          <w:rFonts w:asciiTheme="minorHAnsi" w:hAnsiTheme="minorHAnsi"/>
          <w:szCs w:val="24"/>
        </w:rPr>
        <w:t>.</w:t>
      </w:r>
    </w:p>
    <w:p w14:paraId="30F15171" w14:textId="77777777" w:rsidR="00471BAA" w:rsidRDefault="00471BAA" w:rsidP="0040020C">
      <w:pPr>
        <w:keepNext/>
        <w:keepLines/>
        <w:spacing w:after="120"/>
        <w:rPr>
          <w:rFonts w:asciiTheme="minorHAnsi" w:hAnsiTheme="minorHAnsi"/>
          <w:szCs w:val="24"/>
        </w:rPr>
      </w:pPr>
    </w:p>
    <w:p w14:paraId="73AAEF80" w14:textId="7FB3097E" w:rsidR="00471BAA" w:rsidRPr="00471BAA" w:rsidRDefault="00471BAA" w:rsidP="00471BAA">
      <w:pPr>
        <w:keepNext/>
        <w:keepLines/>
        <w:spacing w:after="120"/>
        <w:jc w:val="center"/>
        <w:rPr>
          <w:rFonts w:asciiTheme="minorHAnsi" w:hAnsiTheme="minorHAnsi"/>
          <w:szCs w:val="24"/>
          <w:u w:val="single"/>
        </w:rPr>
      </w:pPr>
      <w:r>
        <w:rPr>
          <w:rFonts w:asciiTheme="minorHAnsi" w:hAnsiTheme="minorHAnsi"/>
          <w:szCs w:val="24"/>
          <w:u w:val="single"/>
        </w:rPr>
        <w:t>                                  </w:t>
      </w:r>
    </w:p>
    <w:sectPr w:rsidR="00471BAA" w:rsidRPr="00471BAA" w:rsidSect="002F395B">
      <w:headerReference w:type="default" r:id="rId20"/>
      <w:pgSz w:w="11907" w:h="16834"/>
      <w:pgMar w:top="1411" w:right="1138" w:bottom="1138" w:left="113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22E2" w14:textId="77777777" w:rsidR="003245D7" w:rsidRDefault="003245D7">
      <w:r>
        <w:separator/>
      </w:r>
    </w:p>
  </w:endnote>
  <w:endnote w:type="continuationSeparator" w:id="0">
    <w:p w14:paraId="51DD80CE" w14:textId="77777777" w:rsidR="003245D7" w:rsidRDefault="0032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5A179" w14:textId="77777777" w:rsidR="003245D7" w:rsidRDefault="003245D7">
      <w:r>
        <w:t>____________________</w:t>
      </w:r>
    </w:p>
  </w:footnote>
  <w:footnote w:type="continuationSeparator" w:id="0">
    <w:p w14:paraId="1D838B73" w14:textId="77777777" w:rsidR="003245D7" w:rsidRDefault="003245D7">
      <w:r>
        <w:continuationSeparator/>
      </w:r>
    </w:p>
  </w:footnote>
  <w:footnote w:id="1">
    <w:p w14:paraId="5A4B7B83" w14:textId="219E26DA" w:rsidR="00B26C83" w:rsidRPr="00B26C83" w:rsidRDefault="00B26C83">
      <w:pPr>
        <w:pStyle w:val="FootnoteText"/>
        <w:rPr>
          <w:rFonts w:asciiTheme="minorHAnsi" w:hAnsiTheme="minorHAnsi" w:cstheme="minorHAnsi"/>
          <w:lang w:val="en-US"/>
        </w:rPr>
      </w:pPr>
      <w:r w:rsidRPr="00B26C83">
        <w:rPr>
          <w:rStyle w:val="FootnoteReference"/>
          <w:rFonts w:asciiTheme="minorHAnsi" w:hAnsiTheme="minorHAnsi" w:cstheme="minorHAnsi"/>
          <w:lang w:val="en-US"/>
        </w:rPr>
        <w:footnoteRef/>
      </w:r>
      <w:r w:rsidRPr="00B26C83">
        <w:rPr>
          <w:rFonts w:asciiTheme="minorHAnsi" w:hAnsiTheme="minorHAnsi" w:cstheme="minorHAnsi"/>
          <w:lang w:val="en-US"/>
        </w:rPr>
        <w:t xml:space="preserve"> At 30 November 2019</w:t>
      </w:r>
      <w:r>
        <w:rPr>
          <w:rFonts w:asciiTheme="minorHAnsi" w:hAnsiTheme="minorHAnsi" w:cstheme="minorHAnsi"/>
          <w:lang w:val="en-US"/>
        </w:rPr>
        <w:t>.</w:t>
      </w:r>
    </w:p>
  </w:footnote>
  <w:footnote w:id="2">
    <w:p w14:paraId="2F9B74B0" w14:textId="13F6250C" w:rsidR="00EA7AE8" w:rsidRPr="00471BAA" w:rsidRDefault="00EA7AE8">
      <w:pPr>
        <w:pStyle w:val="FootnoteText"/>
        <w:rPr>
          <w:rFonts w:asciiTheme="minorHAnsi" w:hAnsiTheme="minorHAnsi" w:cstheme="minorHAnsi"/>
        </w:rPr>
      </w:pPr>
      <w:r w:rsidRPr="00EA7AE8">
        <w:rPr>
          <w:rStyle w:val="FootnoteReference"/>
          <w:rFonts w:asciiTheme="minorHAnsi" w:hAnsiTheme="minorHAnsi" w:cstheme="minorHAnsi"/>
        </w:rPr>
        <w:footnoteRef/>
      </w:r>
      <w:r w:rsidRPr="00EA7AE8">
        <w:rPr>
          <w:rFonts w:asciiTheme="minorHAnsi" w:hAnsiTheme="minorHAnsi" w:cstheme="minorHAnsi"/>
        </w:rPr>
        <w:t xml:space="preserve"> </w:t>
      </w:r>
      <w:r w:rsidR="00471BAA">
        <w:rPr>
          <w:rFonts w:asciiTheme="minorHAnsi" w:hAnsiTheme="minorHAnsi" w:cstheme="minorHAnsi"/>
        </w:rPr>
        <w:tab/>
      </w:r>
      <w:r w:rsidRPr="00EA7AE8">
        <w:rPr>
          <w:rFonts w:asciiTheme="minorHAnsi" w:hAnsiTheme="minorHAnsi" w:cstheme="minorHAnsi"/>
        </w:rPr>
        <w:t>ITU-R Resolution 1-7</w:t>
      </w:r>
      <w:r>
        <w:rPr>
          <w:rFonts w:asciiTheme="minorHAnsi" w:hAnsiTheme="minorHAnsi" w:cstheme="minorHAnsi"/>
        </w:rPr>
        <w:t xml:space="preserve">, para. </w:t>
      </w:r>
      <w:r w:rsidRPr="00EA7AE8">
        <w:rPr>
          <w:rFonts w:asciiTheme="minorHAnsi" w:hAnsiTheme="minorHAnsi" w:cstheme="minorHAnsi"/>
        </w:rPr>
        <w:t>A2.2.3.5</w:t>
      </w:r>
      <w:r>
        <w:rPr>
          <w:rFonts w:asciiTheme="minorHAnsi" w:hAnsiTheme="minorHAnsi" w:cstheme="minorHAnsi"/>
        </w:rPr>
        <w:t xml:space="preserve">, </w:t>
      </w:r>
      <w:r w:rsidR="00620017">
        <w:rPr>
          <w:rFonts w:asciiTheme="minorHAnsi" w:hAnsiTheme="minorHAnsi" w:cstheme="minorHAnsi"/>
        </w:rPr>
        <w:t>“</w:t>
      </w:r>
      <w:r w:rsidRPr="00EA7AE8">
        <w:rPr>
          <w:rFonts w:asciiTheme="minorHAnsi" w:hAnsiTheme="minorHAnsi" w:cstheme="minorHAnsi"/>
        </w:rPr>
        <w:t>Contributions should be limited in length (if possible, less than ten pages)</w:t>
      </w:r>
      <w:r w:rsidR="00620017">
        <w:rPr>
          <w:rFonts w:asciiTheme="minorHAnsi" w:hAnsiTheme="minorHAnsi" w:cstheme="minorHAnsi"/>
        </w:rPr>
        <w:t>”</w:t>
      </w:r>
      <w:r>
        <w:rPr>
          <w:rFonts w:asciiTheme="minorHAnsi" w:hAnsiTheme="minorHAnsi" w:cstheme="minorHAnsi"/>
        </w:rPr>
        <w:t>.</w:t>
      </w:r>
    </w:p>
  </w:footnote>
  <w:footnote w:id="3">
    <w:p w14:paraId="0D49E1AC" w14:textId="2701D026" w:rsidR="00B657AB" w:rsidRPr="00471BAA" w:rsidRDefault="00B657AB">
      <w:pPr>
        <w:pStyle w:val="FootnoteText"/>
      </w:pPr>
      <w:r>
        <w:rPr>
          <w:rStyle w:val="FootnoteReference"/>
        </w:rPr>
        <w:footnoteRef/>
      </w:r>
      <w:r>
        <w:t xml:space="preserve"> </w:t>
      </w:r>
      <w:r w:rsidRPr="00EA7AE8">
        <w:rPr>
          <w:rFonts w:asciiTheme="minorHAnsi" w:hAnsiTheme="minorHAnsi" w:cstheme="minorHAnsi"/>
        </w:rPr>
        <w:t>ITU-R Resolution 1-7</w:t>
      </w:r>
      <w:r>
        <w:rPr>
          <w:rFonts w:asciiTheme="minorHAnsi" w:hAnsiTheme="minorHAnsi" w:cstheme="minorHAnsi"/>
        </w:rPr>
        <w:t xml:space="preserve">, para. </w:t>
      </w:r>
      <w:r w:rsidRPr="00B657AB">
        <w:rPr>
          <w:rFonts w:asciiTheme="minorHAnsi" w:hAnsiTheme="minorHAnsi" w:cstheme="minorHAnsi"/>
        </w:rPr>
        <w:t>A2.1.2.2</w:t>
      </w:r>
    </w:p>
  </w:footnote>
  <w:footnote w:id="4">
    <w:p w14:paraId="3E6140AC" w14:textId="598929AB" w:rsidR="00811B1F" w:rsidRPr="00DD7DE5" w:rsidRDefault="00811B1F" w:rsidP="00811B1F">
      <w:pPr>
        <w:pStyle w:val="FootnoteText"/>
        <w:rPr>
          <w:rFonts w:asciiTheme="minorHAnsi" w:hAnsiTheme="minorHAnsi" w:cstheme="minorHAnsi"/>
          <w:lang w:val="en-US"/>
        </w:rPr>
      </w:pPr>
      <w:r w:rsidRPr="00DD7DE5">
        <w:rPr>
          <w:rStyle w:val="FootnoteReference"/>
          <w:rFonts w:asciiTheme="minorHAnsi" w:hAnsiTheme="minorHAnsi" w:cstheme="minorHAnsi"/>
        </w:rPr>
        <w:footnoteRef/>
      </w:r>
      <w:r w:rsidRPr="00DD7DE5">
        <w:rPr>
          <w:rFonts w:asciiTheme="minorHAnsi" w:hAnsiTheme="minorHAnsi" w:cstheme="minorHAnsi"/>
        </w:rPr>
        <w:t xml:space="preserve"> </w:t>
      </w:r>
      <w:r w:rsidRPr="00DD7DE5">
        <w:rPr>
          <w:rFonts w:asciiTheme="minorHAnsi" w:hAnsiTheme="minorHAnsi" w:cstheme="minorHAnsi"/>
          <w:sz w:val="20"/>
          <w:lang w:val="en-US"/>
        </w:rPr>
        <w:t xml:space="preserve">With oversight and assistance by the </w:t>
      </w:r>
      <w:r w:rsidR="008F6FEB">
        <w:rPr>
          <w:rFonts w:asciiTheme="minorHAnsi" w:hAnsiTheme="minorHAnsi" w:cstheme="minorHAnsi"/>
          <w:sz w:val="20"/>
          <w:lang w:val="en-US"/>
        </w:rPr>
        <w:t>s</w:t>
      </w:r>
      <w:r w:rsidRPr="00DD7DE5">
        <w:rPr>
          <w:rFonts w:asciiTheme="minorHAnsi" w:hAnsiTheme="minorHAnsi" w:cstheme="minorHAnsi"/>
          <w:sz w:val="20"/>
          <w:lang w:val="en-US"/>
        </w:rPr>
        <w:t>ecretariat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EB33" w14:textId="7EE18B50" w:rsidR="003245D7" w:rsidRPr="008B0EB9" w:rsidRDefault="003245D7" w:rsidP="008B0EB9">
    <w:pPr>
      <w:pStyle w:val="Header"/>
      <w:spacing w:after="240"/>
      <w:rPr>
        <w:rFonts w:asciiTheme="minorHAnsi" w:hAnsiTheme="minorHAnsi"/>
      </w:rPr>
    </w:pPr>
    <w:r w:rsidRPr="008B0EB9">
      <w:rPr>
        <w:rFonts w:asciiTheme="minorHAnsi" w:hAnsiTheme="minorHAnsi"/>
      </w:rPr>
      <w:fldChar w:fldCharType="begin"/>
    </w:r>
    <w:r w:rsidRPr="008B0EB9">
      <w:rPr>
        <w:rFonts w:asciiTheme="minorHAnsi" w:hAnsiTheme="minorHAnsi"/>
      </w:rPr>
      <w:instrText xml:space="preserve"> PAGE  \* Arabic  \* MERGEFORMAT </w:instrText>
    </w:r>
    <w:r w:rsidRPr="008B0EB9">
      <w:rPr>
        <w:rFonts w:asciiTheme="minorHAnsi" w:hAnsiTheme="minorHAnsi"/>
      </w:rPr>
      <w:fldChar w:fldCharType="separate"/>
    </w:r>
    <w:r w:rsidR="00DE2A1F">
      <w:rPr>
        <w:rFonts w:asciiTheme="minorHAnsi" w:hAnsiTheme="minorHAnsi"/>
        <w:noProof/>
      </w:rPr>
      <w:t>12</w:t>
    </w:r>
    <w:r w:rsidRPr="008B0EB9">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51083"/>
    <w:multiLevelType w:val="hybridMultilevel"/>
    <w:tmpl w:val="50A4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307D4"/>
    <w:multiLevelType w:val="hybridMultilevel"/>
    <w:tmpl w:val="8E8066DE"/>
    <w:lvl w:ilvl="0" w:tplc="57F0E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4352"/>
    <w:multiLevelType w:val="hybridMultilevel"/>
    <w:tmpl w:val="E6666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B53E4"/>
    <w:multiLevelType w:val="hybridMultilevel"/>
    <w:tmpl w:val="23F48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B4F28"/>
    <w:multiLevelType w:val="hybridMultilevel"/>
    <w:tmpl w:val="9F76FCBC"/>
    <w:lvl w:ilvl="0" w:tplc="39443C6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766621"/>
    <w:multiLevelType w:val="hybridMultilevel"/>
    <w:tmpl w:val="DFE0329A"/>
    <w:lvl w:ilvl="0" w:tplc="9EA4A99A">
      <w:start w:val="1"/>
      <w:numFmt w:val="decimal"/>
      <w:lvlText w:val="%1."/>
      <w:lvlJc w:val="left"/>
      <w:pPr>
        <w:ind w:left="360" w:hanging="360"/>
      </w:pPr>
      <w:rPr>
        <w:rFonts w:hint="default"/>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122DC"/>
    <w:multiLevelType w:val="hybridMultilevel"/>
    <w:tmpl w:val="99F85190"/>
    <w:lvl w:ilvl="0" w:tplc="0409000F">
      <w:start w:val="1"/>
      <w:numFmt w:val="decimal"/>
      <w:lvlText w:val="%1."/>
      <w:lvlJc w:val="left"/>
      <w:pPr>
        <w:ind w:left="720" w:hanging="360"/>
      </w:pPr>
      <w:rPr>
        <w:rFonts w:hint="default"/>
      </w:rPr>
    </w:lvl>
    <w:lvl w:ilvl="1" w:tplc="F3D82B7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27CF8"/>
    <w:multiLevelType w:val="hybridMultilevel"/>
    <w:tmpl w:val="4B34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1331B"/>
    <w:multiLevelType w:val="hybridMultilevel"/>
    <w:tmpl w:val="99C4592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5FB1546"/>
    <w:multiLevelType w:val="hybridMultilevel"/>
    <w:tmpl w:val="21E01392"/>
    <w:lvl w:ilvl="0" w:tplc="0D5A76BA">
      <w:start w:val="121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32D35"/>
    <w:multiLevelType w:val="hybridMultilevel"/>
    <w:tmpl w:val="58761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56462"/>
    <w:multiLevelType w:val="hybridMultilevel"/>
    <w:tmpl w:val="AD32CC0E"/>
    <w:lvl w:ilvl="0" w:tplc="0578135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2666D"/>
    <w:multiLevelType w:val="hybridMultilevel"/>
    <w:tmpl w:val="CD54C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D0D15"/>
    <w:multiLevelType w:val="hybridMultilevel"/>
    <w:tmpl w:val="9184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36975"/>
    <w:multiLevelType w:val="hybridMultilevel"/>
    <w:tmpl w:val="F6F83A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E4658"/>
    <w:multiLevelType w:val="hybridMultilevel"/>
    <w:tmpl w:val="4EFC6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2D0263"/>
    <w:multiLevelType w:val="hybridMultilevel"/>
    <w:tmpl w:val="990E46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5D2C265F"/>
    <w:multiLevelType w:val="hybridMultilevel"/>
    <w:tmpl w:val="E3861E80"/>
    <w:lvl w:ilvl="0" w:tplc="9EA4A99A">
      <w:start w:val="1"/>
      <w:numFmt w:val="decimal"/>
      <w:lvlText w:val="%1."/>
      <w:lvlJc w:val="left"/>
      <w:pPr>
        <w:ind w:left="360" w:hanging="360"/>
      </w:pPr>
      <w:rPr>
        <w:rFonts w:hint="default"/>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A83300"/>
    <w:multiLevelType w:val="hybridMultilevel"/>
    <w:tmpl w:val="67383494"/>
    <w:lvl w:ilvl="0" w:tplc="BB02CF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FE5DE3"/>
    <w:multiLevelType w:val="hybridMultilevel"/>
    <w:tmpl w:val="51AC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B52280"/>
    <w:multiLevelType w:val="hybridMultilevel"/>
    <w:tmpl w:val="7DC46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67262"/>
    <w:multiLevelType w:val="hybridMultilevel"/>
    <w:tmpl w:val="C33C7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12"/>
  </w:num>
  <w:num w:numId="4">
    <w:abstractNumId w:val="7"/>
  </w:num>
  <w:num w:numId="5">
    <w:abstractNumId w:val="16"/>
  </w:num>
  <w:num w:numId="6">
    <w:abstractNumId w:val="14"/>
  </w:num>
  <w:num w:numId="7">
    <w:abstractNumId w:val="6"/>
  </w:num>
  <w:num w:numId="8">
    <w:abstractNumId w:val="1"/>
  </w:num>
  <w:num w:numId="9">
    <w:abstractNumId w:val="0"/>
  </w:num>
  <w:num w:numId="10">
    <w:abstractNumId w:val="19"/>
  </w:num>
  <w:num w:numId="11">
    <w:abstractNumId w:val="17"/>
  </w:num>
  <w:num w:numId="12">
    <w:abstractNumId w:val="18"/>
  </w:num>
  <w:num w:numId="13">
    <w:abstractNumId w:val="4"/>
  </w:num>
  <w:num w:numId="14">
    <w:abstractNumId w:val="11"/>
  </w:num>
  <w:num w:numId="15">
    <w:abstractNumId w:val="21"/>
  </w:num>
  <w:num w:numId="16">
    <w:abstractNumId w:val="2"/>
  </w:num>
  <w:num w:numId="17">
    <w:abstractNumId w:val="15"/>
  </w:num>
  <w:num w:numId="18">
    <w:abstractNumId w:val="20"/>
  </w:num>
  <w:num w:numId="19">
    <w:abstractNumId w:val="3"/>
  </w:num>
  <w:num w:numId="20">
    <w:abstractNumId w:val="9"/>
  </w:num>
  <w:num w:numId="21">
    <w:abstractNumId w:val="8"/>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6803"/>
    <w:rsid w:val="00017D5F"/>
    <w:rsid w:val="00022BBD"/>
    <w:rsid w:val="00023E69"/>
    <w:rsid w:val="0002458E"/>
    <w:rsid w:val="00024DD2"/>
    <w:rsid w:val="00025E8E"/>
    <w:rsid w:val="0003367B"/>
    <w:rsid w:val="00033C1E"/>
    <w:rsid w:val="000363F6"/>
    <w:rsid w:val="000406CF"/>
    <w:rsid w:val="000406DA"/>
    <w:rsid w:val="00042292"/>
    <w:rsid w:val="000431D8"/>
    <w:rsid w:val="00044742"/>
    <w:rsid w:val="000478D5"/>
    <w:rsid w:val="0005330D"/>
    <w:rsid w:val="0005586D"/>
    <w:rsid w:val="0006006C"/>
    <w:rsid w:val="00060490"/>
    <w:rsid w:val="00060642"/>
    <w:rsid w:val="000625EC"/>
    <w:rsid w:val="000639EA"/>
    <w:rsid w:val="00064B17"/>
    <w:rsid w:val="000726CF"/>
    <w:rsid w:val="00080890"/>
    <w:rsid w:val="00082487"/>
    <w:rsid w:val="00085CF2"/>
    <w:rsid w:val="00087BB2"/>
    <w:rsid w:val="00090302"/>
    <w:rsid w:val="00090DB1"/>
    <w:rsid w:val="000914EE"/>
    <w:rsid w:val="00091FEC"/>
    <w:rsid w:val="00092B5A"/>
    <w:rsid w:val="00093BFA"/>
    <w:rsid w:val="000963CB"/>
    <w:rsid w:val="00096678"/>
    <w:rsid w:val="000A1906"/>
    <w:rsid w:val="000A523E"/>
    <w:rsid w:val="000A6C3C"/>
    <w:rsid w:val="000A6C44"/>
    <w:rsid w:val="000B1705"/>
    <w:rsid w:val="000B1804"/>
    <w:rsid w:val="000B6864"/>
    <w:rsid w:val="000C0550"/>
    <w:rsid w:val="000C199E"/>
    <w:rsid w:val="000C5062"/>
    <w:rsid w:val="000D034D"/>
    <w:rsid w:val="000D1B19"/>
    <w:rsid w:val="000E53E0"/>
    <w:rsid w:val="000F5A05"/>
    <w:rsid w:val="00100237"/>
    <w:rsid w:val="00104E88"/>
    <w:rsid w:val="001108A9"/>
    <w:rsid w:val="001121F5"/>
    <w:rsid w:val="00112A2E"/>
    <w:rsid w:val="00115BC4"/>
    <w:rsid w:val="00124605"/>
    <w:rsid w:val="0012638C"/>
    <w:rsid w:val="00126AF0"/>
    <w:rsid w:val="00126E5D"/>
    <w:rsid w:val="00132D99"/>
    <w:rsid w:val="00133A76"/>
    <w:rsid w:val="00140589"/>
    <w:rsid w:val="00141B6D"/>
    <w:rsid w:val="00142363"/>
    <w:rsid w:val="00143A98"/>
    <w:rsid w:val="00143CC0"/>
    <w:rsid w:val="001440F4"/>
    <w:rsid w:val="00144531"/>
    <w:rsid w:val="00144EB6"/>
    <w:rsid w:val="0014539F"/>
    <w:rsid w:val="00151295"/>
    <w:rsid w:val="001559F2"/>
    <w:rsid w:val="00155EF2"/>
    <w:rsid w:val="0015615B"/>
    <w:rsid w:val="00157923"/>
    <w:rsid w:val="00157E22"/>
    <w:rsid w:val="00164E99"/>
    <w:rsid w:val="00164F90"/>
    <w:rsid w:val="00167DF3"/>
    <w:rsid w:val="00171B5B"/>
    <w:rsid w:val="00172BA2"/>
    <w:rsid w:val="00174D0B"/>
    <w:rsid w:val="001750DE"/>
    <w:rsid w:val="0017539C"/>
    <w:rsid w:val="0017609F"/>
    <w:rsid w:val="00180641"/>
    <w:rsid w:val="0019164E"/>
    <w:rsid w:val="00191F72"/>
    <w:rsid w:val="001947CC"/>
    <w:rsid w:val="00196510"/>
    <w:rsid w:val="00197BEB"/>
    <w:rsid w:val="001A258D"/>
    <w:rsid w:val="001A44BC"/>
    <w:rsid w:val="001A4F5D"/>
    <w:rsid w:val="001A532E"/>
    <w:rsid w:val="001A5A86"/>
    <w:rsid w:val="001B1348"/>
    <w:rsid w:val="001B404B"/>
    <w:rsid w:val="001B731C"/>
    <w:rsid w:val="001C20D1"/>
    <w:rsid w:val="001C2533"/>
    <w:rsid w:val="001C4F8B"/>
    <w:rsid w:val="001C628E"/>
    <w:rsid w:val="001D0282"/>
    <w:rsid w:val="001D10CC"/>
    <w:rsid w:val="001D150E"/>
    <w:rsid w:val="001D311E"/>
    <w:rsid w:val="001D66EF"/>
    <w:rsid w:val="001D78AD"/>
    <w:rsid w:val="001E0873"/>
    <w:rsid w:val="001E0F7B"/>
    <w:rsid w:val="001E2A07"/>
    <w:rsid w:val="001E3D67"/>
    <w:rsid w:val="001E5A96"/>
    <w:rsid w:val="001E5BEE"/>
    <w:rsid w:val="001F212B"/>
    <w:rsid w:val="001F4859"/>
    <w:rsid w:val="001F4A16"/>
    <w:rsid w:val="001F565C"/>
    <w:rsid w:val="001F59DB"/>
    <w:rsid w:val="002004BF"/>
    <w:rsid w:val="002009E4"/>
    <w:rsid w:val="002034FE"/>
    <w:rsid w:val="0020628E"/>
    <w:rsid w:val="00207B40"/>
    <w:rsid w:val="00211C39"/>
    <w:rsid w:val="00213E72"/>
    <w:rsid w:val="002178B8"/>
    <w:rsid w:val="002231A4"/>
    <w:rsid w:val="00223D03"/>
    <w:rsid w:val="002243D8"/>
    <w:rsid w:val="00224812"/>
    <w:rsid w:val="00224D2B"/>
    <w:rsid w:val="00224F52"/>
    <w:rsid w:val="002254FE"/>
    <w:rsid w:val="002323A7"/>
    <w:rsid w:val="0023345C"/>
    <w:rsid w:val="00233546"/>
    <w:rsid w:val="002350DF"/>
    <w:rsid w:val="002372ED"/>
    <w:rsid w:val="00241C31"/>
    <w:rsid w:val="00243EC7"/>
    <w:rsid w:val="002461BA"/>
    <w:rsid w:val="002509C9"/>
    <w:rsid w:val="00251792"/>
    <w:rsid w:val="00252CDA"/>
    <w:rsid w:val="0026000E"/>
    <w:rsid w:val="00265875"/>
    <w:rsid w:val="002664D2"/>
    <w:rsid w:val="00266544"/>
    <w:rsid w:val="00266A38"/>
    <w:rsid w:val="0026797B"/>
    <w:rsid w:val="0027303B"/>
    <w:rsid w:val="00275642"/>
    <w:rsid w:val="00280530"/>
    <w:rsid w:val="0028109B"/>
    <w:rsid w:val="00281B95"/>
    <w:rsid w:val="00285D78"/>
    <w:rsid w:val="002866D2"/>
    <w:rsid w:val="002870F1"/>
    <w:rsid w:val="00287A69"/>
    <w:rsid w:val="00290553"/>
    <w:rsid w:val="00290E00"/>
    <w:rsid w:val="00292600"/>
    <w:rsid w:val="00294CEE"/>
    <w:rsid w:val="0029642F"/>
    <w:rsid w:val="00296819"/>
    <w:rsid w:val="002975E0"/>
    <w:rsid w:val="002A04DD"/>
    <w:rsid w:val="002A170F"/>
    <w:rsid w:val="002A181F"/>
    <w:rsid w:val="002A1F81"/>
    <w:rsid w:val="002A3A0A"/>
    <w:rsid w:val="002B09AE"/>
    <w:rsid w:val="002B386D"/>
    <w:rsid w:val="002B42B9"/>
    <w:rsid w:val="002B470F"/>
    <w:rsid w:val="002B6674"/>
    <w:rsid w:val="002C18FA"/>
    <w:rsid w:val="002C1C67"/>
    <w:rsid w:val="002C1C7A"/>
    <w:rsid w:val="002D3CA6"/>
    <w:rsid w:val="002D448E"/>
    <w:rsid w:val="002D47F7"/>
    <w:rsid w:val="002D59DF"/>
    <w:rsid w:val="002D7FCC"/>
    <w:rsid w:val="002E0872"/>
    <w:rsid w:val="002E5A5D"/>
    <w:rsid w:val="002E5AC3"/>
    <w:rsid w:val="002F05BB"/>
    <w:rsid w:val="002F17BD"/>
    <w:rsid w:val="002F2490"/>
    <w:rsid w:val="002F395B"/>
    <w:rsid w:val="002F4015"/>
    <w:rsid w:val="00302EB0"/>
    <w:rsid w:val="00304118"/>
    <w:rsid w:val="003104AE"/>
    <w:rsid w:val="00311C3B"/>
    <w:rsid w:val="00311CB6"/>
    <w:rsid w:val="00311DA1"/>
    <w:rsid w:val="003125F4"/>
    <w:rsid w:val="0031367D"/>
    <w:rsid w:val="003137E7"/>
    <w:rsid w:val="00314813"/>
    <w:rsid w:val="00314D4F"/>
    <w:rsid w:val="003160B2"/>
    <w:rsid w:val="003216FF"/>
    <w:rsid w:val="0032203B"/>
    <w:rsid w:val="003221B7"/>
    <w:rsid w:val="003242DF"/>
    <w:rsid w:val="003245D7"/>
    <w:rsid w:val="003259C3"/>
    <w:rsid w:val="00325F02"/>
    <w:rsid w:val="0033378B"/>
    <w:rsid w:val="0033535B"/>
    <w:rsid w:val="00340A05"/>
    <w:rsid w:val="0034515A"/>
    <w:rsid w:val="00346A46"/>
    <w:rsid w:val="00355079"/>
    <w:rsid w:val="003564A1"/>
    <w:rsid w:val="0036205D"/>
    <w:rsid w:val="00362FE9"/>
    <w:rsid w:val="003642D8"/>
    <w:rsid w:val="00370861"/>
    <w:rsid w:val="00372DB4"/>
    <w:rsid w:val="00375038"/>
    <w:rsid w:val="00375CE5"/>
    <w:rsid w:val="00382846"/>
    <w:rsid w:val="00384C32"/>
    <w:rsid w:val="00384EED"/>
    <w:rsid w:val="00385B66"/>
    <w:rsid w:val="00385D5B"/>
    <w:rsid w:val="00390C61"/>
    <w:rsid w:val="00393BAC"/>
    <w:rsid w:val="003942D4"/>
    <w:rsid w:val="0039496C"/>
    <w:rsid w:val="003958A8"/>
    <w:rsid w:val="0039606B"/>
    <w:rsid w:val="003969A8"/>
    <w:rsid w:val="003A0C32"/>
    <w:rsid w:val="003A0D4B"/>
    <w:rsid w:val="003A2632"/>
    <w:rsid w:val="003A4C3B"/>
    <w:rsid w:val="003A4E18"/>
    <w:rsid w:val="003A6515"/>
    <w:rsid w:val="003A77D9"/>
    <w:rsid w:val="003A7BA2"/>
    <w:rsid w:val="003B21FB"/>
    <w:rsid w:val="003B791A"/>
    <w:rsid w:val="003C10F2"/>
    <w:rsid w:val="003C1736"/>
    <w:rsid w:val="003C3D8D"/>
    <w:rsid w:val="003C5406"/>
    <w:rsid w:val="003C6C7B"/>
    <w:rsid w:val="003D34FB"/>
    <w:rsid w:val="003D4A0C"/>
    <w:rsid w:val="003D5EE4"/>
    <w:rsid w:val="003E103B"/>
    <w:rsid w:val="003E2C28"/>
    <w:rsid w:val="003E417E"/>
    <w:rsid w:val="003E52FA"/>
    <w:rsid w:val="003E6D41"/>
    <w:rsid w:val="003F5F61"/>
    <w:rsid w:val="0040020C"/>
    <w:rsid w:val="004002BF"/>
    <w:rsid w:val="00403A22"/>
    <w:rsid w:val="00412901"/>
    <w:rsid w:val="004137A6"/>
    <w:rsid w:val="00415966"/>
    <w:rsid w:val="0041739B"/>
    <w:rsid w:val="00421278"/>
    <w:rsid w:val="00421A21"/>
    <w:rsid w:val="00422F6E"/>
    <w:rsid w:val="00423CF3"/>
    <w:rsid w:val="0042461B"/>
    <w:rsid w:val="0042520B"/>
    <w:rsid w:val="00431EC5"/>
    <w:rsid w:val="00433CE8"/>
    <w:rsid w:val="00436B3B"/>
    <w:rsid w:val="00440A2A"/>
    <w:rsid w:val="00447830"/>
    <w:rsid w:val="0044784D"/>
    <w:rsid w:val="004522A4"/>
    <w:rsid w:val="0045233C"/>
    <w:rsid w:val="004524CB"/>
    <w:rsid w:val="004544D9"/>
    <w:rsid w:val="00454720"/>
    <w:rsid w:val="00454CE8"/>
    <w:rsid w:val="00455692"/>
    <w:rsid w:val="00462702"/>
    <w:rsid w:val="0046399B"/>
    <w:rsid w:val="00466356"/>
    <w:rsid w:val="00471543"/>
    <w:rsid w:val="00471BAA"/>
    <w:rsid w:val="0047208D"/>
    <w:rsid w:val="0047229D"/>
    <w:rsid w:val="00474091"/>
    <w:rsid w:val="00476CBB"/>
    <w:rsid w:val="00476EAD"/>
    <w:rsid w:val="004776F4"/>
    <w:rsid w:val="00480004"/>
    <w:rsid w:val="004804F3"/>
    <w:rsid w:val="00481DBC"/>
    <w:rsid w:val="004824B2"/>
    <w:rsid w:val="00482670"/>
    <w:rsid w:val="004874EE"/>
    <w:rsid w:val="004912A7"/>
    <w:rsid w:val="004921C8"/>
    <w:rsid w:val="00494F0E"/>
    <w:rsid w:val="00497457"/>
    <w:rsid w:val="004A0168"/>
    <w:rsid w:val="004A2D22"/>
    <w:rsid w:val="004A7476"/>
    <w:rsid w:val="004B128F"/>
    <w:rsid w:val="004B7CF2"/>
    <w:rsid w:val="004C1374"/>
    <w:rsid w:val="004C25DC"/>
    <w:rsid w:val="004C4CD5"/>
    <w:rsid w:val="004C581A"/>
    <w:rsid w:val="004C5D70"/>
    <w:rsid w:val="004C5F8D"/>
    <w:rsid w:val="004E038A"/>
    <w:rsid w:val="004E1229"/>
    <w:rsid w:val="004E1578"/>
    <w:rsid w:val="004E1AA9"/>
    <w:rsid w:val="004E1AEE"/>
    <w:rsid w:val="004E276F"/>
    <w:rsid w:val="004E2EA5"/>
    <w:rsid w:val="004E3A5D"/>
    <w:rsid w:val="004E7D16"/>
    <w:rsid w:val="004F0527"/>
    <w:rsid w:val="004F1575"/>
    <w:rsid w:val="004F3329"/>
    <w:rsid w:val="004F3682"/>
    <w:rsid w:val="004F488B"/>
    <w:rsid w:val="0050223C"/>
    <w:rsid w:val="005030F2"/>
    <w:rsid w:val="00504F70"/>
    <w:rsid w:val="005056DC"/>
    <w:rsid w:val="0051396C"/>
    <w:rsid w:val="005166BA"/>
    <w:rsid w:val="00516BE8"/>
    <w:rsid w:val="00525421"/>
    <w:rsid w:val="00526868"/>
    <w:rsid w:val="0052758B"/>
    <w:rsid w:val="005314DE"/>
    <w:rsid w:val="00532810"/>
    <w:rsid w:val="00534E85"/>
    <w:rsid w:val="005352F1"/>
    <w:rsid w:val="00535D61"/>
    <w:rsid w:val="005374A1"/>
    <w:rsid w:val="0054057D"/>
    <w:rsid w:val="00542420"/>
    <w:rsid w:val="005431C5"/>
    <w:rsid w:val="00546E2C"/>
    <w:rsid w:val="00547125"/>
    <w:rsid w:val="00553A09"/>
    <w:rsid w:val="0055443D"/>
    <w:rsid w:val="005546E9"/>
    <w:rsid w:val="00555654"/>
    <w:rsid w:val="00556B4E"/>
    <w:rsid w:val="005570DF"/>
    <w:rsid w:val="0055736D"/>
    <w:rsid w:val="00557E06"/>
    <w:rsid w:val="0056199E"/>
    <w:rsid w:val="00563D37"/>
    <w:rsid w:val="00564FBC"/>
    <w:rsid w:val="005703B3"/>
    <w:rsid w:val="00571358"/>
    <w:rsid w:val="00571C93"/>
    <w:rsid w:val="0057486A"/>
    <w:rsid w:val="00577EE5"/>
    <w:rsid w:val="00582442"/>
    <w:rsid w:val="00587F66"/>
    <w:rsid w:val="00594700"/>
    <w:rsid w:val="005A07F8"/>
    <w:rsid w:val="005A1CA3"/>
    <w:rsid w:val="005A473B"/>
    <w:rsid w:val="005A5501"/>
    <w:rsid w:val="005A56BD"/>
    <w:rsid w:val="005A5763"/>
    <w:rsid w:val="005A6AA8"/>
    <w:rsid w:val="005B36EF"/>
    <w:rsid w:val="005B385F"/>
    <w:rsid w:val="005B448B"/>
    <w:rsid w:val="005B6760"/>
    <w:rsid w:val="005B71D2"/>
    <w:rsid w:val="005C0EA5"/>
    <w:rsid w:val="005C11F1"/>
    <w:rsid w:val="005C18F2"/>
    <w:rsid w:val="005C54BE"/>
    <w:rsid w:val="005C68C8"/>
    <w:rsid w:val="005C7EFB"/>
    <w:rsid w:val="005D2735"/>
    <w:rsid w:val="005D45E4"/>
    <w:rsid w:val="005D5545"/>
    <w:rsid w:val="005D7471"/>
    <w:rsid w:val="005D7D11"/>
    <w:rsid w:val="005E1D6F"/>
    <w:rsid w:val="005E2754"/>
    <w:rsid w:val="005E6355"/>
    <w:rsid w:val="005F0BF9"/>
    <w:rsid w:val="005F1222"/>
    <w:rsid w:val="005F1DE7"/>
    <w:rsid w:val="00601672"/>
    <w:rsid w:val="006016CC"/>
    <w:rsid w:val="0060217F"/>
    <w:rsid w:val="006025D3"/>
    <w:rsid w:val="006036D2"/>
    <w:rsid w:val="00605375"/>
    <w:rsid w:val="006061F6"/>
    <w:rsid w:val="0060738E"/>
    <w:rsid w:val="00607A8F"/>
    <w:rsid w:val="00611121"/>
    <w:rsid w:val="006124AB"/>
    <w:rsid w:val="00615292"/>
    <w:rsid w:val="0061529A"/>
    <w:rsid w:val="00615DF3"/>
    <w:rsid w:val="00620017"/>
    <w:rsid w:val="00623A41"/>
    <w:rsid w:val="006245BD"/>
    <w:rsid w:val="00624FD2"/>
    <w:rsid w:val="00625110"/>
    <w:rsid w:val="00625313"/>
    <w:rsid w:val="00631445"/>
    <w:rsid w:val="00635154"/>
    <w:rsid w:val="006353F4"/>
    <w:rsid w:val="00640350"/>
    <w:rsid w:val="00641642"/>
    <w:rsid w:val="00642818"/>
    <w:rsid w:val="00643010"/>
    <w:rsid w:val="00644588"/>
    <w:rsid w:val="006467EB"/>
    <w:rsid w:val="00650641"/>
    <w:rsid w:val="00651182"/>
    <w:rsid w:val="00653B59"/>
    <w:rsid w:val="00654E72"/>
    <w:rsid w:val="006560E2"/>
    <w:rsid w:val="00662984"/>
    <w:rsid w:val="006642E5"/>
    <w:rsid w:val="006646F4"/>
    <w:rsid w:val="006664D0"/>
    <w:rsid w:val="00667AD7"/>
    <w:rsid w:val="00670161"/>
    <w:rsid w:val="006765A3"/>
    <w:rsid w:val="00676AC3"/>
    <w:rsid w:val="006808CF"/>
    <w:rsid w:val="00685352"/>
    <w:rsid w:val="00687324"/>
    <w:rsid w:val="00691F5D"/>
    <w:rsid w:val="006A0E9D"/>
    <w:rsid w:val="006A1507"/>
    <w:rsid w:val="006A5907"/>
    <w:rsid w:val="006A761A"/>
    <w:rsid w:val="006B4A4B"/>
    <w:rsid w:val="006B6DCC"/>
    <w:rsid w:val="006C0AD4"/>
    <w:rsid w:val="006C1FE5"/>
    <w:rsid w:val="006C4D1A"/>
    <w:rsid w:val="006C6ECC"/>
    <w:rsid w:val="006C7C0C"/>
    <w:rsid w:val="006D0D77"/>
    <w:rsid w:val="006D2FDD"/>
    <w:rsid w:val="006D40B2"/>
    <w:rsid w:val="006D55D4"/>
    <w:rsid w:val="006E05BC"/>
    <w:rsid w:val="006E1542"/>
    <w:rsid w:val="006E1F8F"/>
    <w:rsid w:val="006E32FA"/>
    <w:rsid w:val="006E3BFF"/>
    <w:rsid w:val="006E6810"/>
    <w:rsid w:val="006F1998"/>
    <w:rsid w:val="006F73CB"/>
    <w:rsid w:val="006F7925"/>
    <w:rsid w:val="00700238"/>
    <w:rsid w:val="007010ED"/>
    <w:rsid w:val="00703A3D"/>
    <w:rsid w:val="00706E25"/>
    <w:rsid w:val="0070796C"/>
    <w:rsid w:val="00714B0B"/>
    <w:rsid w:val="00720059"/>
    <w:rsid w:val="00723E17"/>
    <w:rsid w:val="00730711"/>
    <w:rsid w:val="007316F5"/>
    <w:rsid w:val="00732908"/>
    <w:rsid w:val="00733006"/>
    <w:rsid w:val="00733E52"/>
    <w:rsid w:val="00733F5A"/>
    <w:rsid w:val="0073494A"/>
    <w:rsid w:val="0073528C"/>
    <w:rsid w:val="00735ECA"/>
    <w:rsid w:val="00736B61"/>
    <w:rsid w:val="0074173F"/>
    <w:rsid w:val="007419A0"/>
    <w:rsid w:val="00743B89"/>
    <w:rsid w:val="0075057F"/>
    <w:rsid w:val="007509F8"/>
    <w:rsid w:val="0075359A"/>
    <w:rsid w:val="00754CD7"/>
    <w:rsid w:val="00756E9C"/>
    <w:rsid w:val="007579C3"/>
    <w:rsid w:val="00761159"/>
    <w:rsid w:val="00763AC3"/>
    <w:rsid w:val="00764C43"/>
    <w:rsid w:val="00765E7A"/>
    <w:rsid w:val="0076793A"/>
    <w:rsid w:val="00770A2A"/>
    <w:rsid w:val="00770E42"/>
    <w:rsid w:val="00771751"/>
    <w:rsid w:val="00775FCA"/>
    <w:rsid w:val="00776BD3"/>
    <w:rsid w:val="0077710D"/>
    <w:rsid w:val="0077759E"/>
    <w:rsid w:val="00782469"/>
    <w:rsid w:val="00782AF6"/>
    <w:rsid w:val="007902B3"/>
    <w:rsid w:val="00790BCE"/>
    <w:rsid w:val="00794BEC"/>
    <w:rsid w:val="00795CBD"/>
    <w:rsid w:val="0079687E"/>
    <w:rsid w:val="007969E9"/>
    <w:rsid w:val="00796FA5"/>
    <w:rsid w:val="007972A9"/>
    <w:rsid w:val="007A05E1"/>
    <w:rsid w:val="007A3DA8"/>
    <w:rsid w:val="007A3F35"/>
    <w:rsid w:val="007A6251"/>
    <w:rsid w:val="007B0746"/>
    <w:rsid w:val="007B1879"/>
    <w:rsid w:val="007B3091"/>
    <w:rsid w:val="007B48FF"/>
    <w:rsid w:val="007B5B77"/>
    <w:rsid w:val="007B6A8D"/>
    <w:rsid w:val="007C33FA"/>
    <w:rsid w:val="007C5F67"/>
    <w:rsid w:val="007C7D3F"/>
    <w:rsid w:val="007D0840"/>
    <w:rsid w:val="007D1B5F"/>
    <w:rsid w:val="007D3D23"/>
    <w:rsid w:val="007D5356"/>
    <w:rsid w:val="007E1756"/>
    <w:rsid w:val="007E73DD"/>
    <w:rsid w:val="007F0840"/>
    <w:rsid w:val="007F2124"/>
    <w:rsid w:val="007F3F26"/>
    <w:rsid w:val="007F46C3"/>
    <w:rsid w:val="007F78E7"/>
    <w:rsid w:val="00805138"/>
    <w:rsid w:val="00811B1F"/>
    <w:rsid w:val="00811C37"/>
    <w:rsid w:val="00817A3A"/>
    <w:rsid w:val="00824F12"/>
    <w:rsid w:val="00827136"/>
    <w:rsid w:val="00831957"/>
    <w:rsid w:val="00833550"/>
    <w:rsid w:val="00835301"/>
    <w:rsid w:val="0083581B"/>
    <w:rsid w:val="0083730C"/>
    <w:rsid w:val="00840993"/>
    <w:rsid w:val="0084140B"/>
    <w:rsid w:val="00841698"/>
    <w:rsid w:val="0084318B"/>
    <w:rsid w:val="00843FFC"/>
    <w:rsid w:val="00844A08"/>
    <w:rsid w:val="0086214B"/>
    <w:rsid w:val="008629E7"/>
    <w:rsid w:val="00862A59"/>
    <w:rsid w:val="00870B34"/>
    <w:rsid w:val="00871F1B"/>
    <w:rsid w:val="008802BD"/>
    <w:rsid w:val="00880C96"/>
    <w:rsid w:val="00880F43"/>
    <w:rsid w:val="00882198"/>
    <w:rsid w:val="0089265D"/>
    <w:rsid w:val="00893913"/>
    <w:rsid w:val="00894A8D"/>
    <w:rsid w:val="0089781C"/>
    <w:rsid w:val="008A22C5"/>
    <w:rsid w:val="008A3702"/>
    <w:rsid w:val="008A453D"/>
    <w:rsid w:val="008A5FDD"/>
    <w:rsid w:val="008B0EB9"/>
    <w:rsid w:val="008B1F57"/>
    <w:rsid w:val="008B1F62"/>
    <w:rsid w:val="008B2466"/>
    <w:rsid w:val="008B2F6E"/>
    <w:rsid w:val="008B4F08"/>
    <w:rsid w:val="008C30F7"/>
    <w:rsid w:val="008C561E"/>
    <w:rsid w:val="008C5A49"/>
    <w:rsid w:val="008D0AB2"/>
    <w:rsid w:val="008D2D0A"/>
    <w:rsid w:val="008D494D"/>
    <w:rsid w:val="008D5EAC"/>
    <w:rsid w:val="008E2C5F"/>
    <w:rsid w:val="008E5A16"/>
    <w:rsid w:val="008E6086"/>
    <w:rsid w:val="008E66A4"/>
    <w:rsid w:val="008E681E"/>
    <w:rsid w:val="008F3EA7"/>
    <w:rsid w:val="008F6FEB"/>
    <w:rsid w:val="00902374"/>
    <w:rsid w:val="009030F6"/>
    <w:rsid w:val="0090483B"/>
    <w:rsid w:val="00905846"/>
    <w:rsid w:val="00905D9B"/>
    <w:rsid w:val="0090693C"/>
    <w:rsid w:val="009108A1"/>
    <w:rsid w:val="00911827"/>
    <w:rsid w:val="00911F7D"/>
    <w:rsid w:val="00912C48"/>
    <w:rsid w:val="00912E33"/>
    <w:rsid w:val="009166A2"/>
    <w:rsid w:val="00916CA3"/>
    <w:rsid w:val="00916E39"/>
    <w:rsid w:val="009173EF"/>
    <w:rsid w:val="00917ABA"/>
    <w:rsid w:val="00922BCB"/>
    <w:rsid w:val="00925131"/>
    <w:rsid w:val="009266F9"/>
    <w:rsid w:val="00927F12"/>
    <w:rsid w:val="00930A68"/>
    <w:rsid w:val="00932906"/>
    <w:rsid w:val="00935556"/>
    <w:rsid w:val="00936AA5"/>
    <w:rsid w:val="00937661"/>
    <w:rsid w:val="0094130F"/>
    <w:rsid w:val="009419D1"/>
    <w:rsid w:val="00942F4D"/>
    <w:rsid w:val="00945790"/>
    <w:rsid w:val="00945D18"/>
    <w:rsid w:val="009520EE"/>
    <w:rsid w:val="009539B3"/>
    <w:rsid w:val="0095746E"/>
    <w:rsid w:val="00961B0B"/>
    <w:rsid w:val="00962938"/>
    <w:rsid w:val="00963226"/>
    <w:rsid w:val="009632AA"/>
    <w:rsid w:val="009659F0"/>
    <w:rsid w:val="00966A1B"/>
    <w:rsid w:val="00975D5B"/>
    <w:rsid w:val="00981F5D"/>
    <w:rsid w:val="009821AE"/>
    <w:rsid w:val="00984458"/>
    <w:rsid w:val="00987F7A"/>
    <w:rsid w:val="00992CA8"/>
    <w:rsid w:val="00997952"/>
    <w:rsid w:val="009A069F"/>
    <w:rsid w:val="009A6F1D"/>
    <w:rsid w:val="009B048E"/>
    <w:rsid w:val="009B637E"/>
    <w:rsid w:val="009D3B98"/>
    <w:rsid w:val="009D50F6"/>
    <w:rsid w:val="009D6EA5"/>
    <w:rsid w:val="009D7C98"/>
    <w:rsid w:val="009E0395"/>
    <w:rsid w:val="009E0CD7"/>
    <w:rsid w:val="009E1166"/>
    <w:rsid w:val="009E17BD"/>
    <w:rsid w:val="009E3EED"/>
    <w:rsid w:val="009E6868"/>
    <w:rsid w:val="009E7651"/>
    <w:rsid w:val="009E7DE0"/>
    <w:rsid w:val="009F15C5"/>
    <w:rsid w:val="009F1D4D"/>
    <w:rsid w:val="009F4DF7"/>
    <w:rsid w:val="009F5BC3"/>
    <w:rsid w:val="00A02D2D"/>
    <w:rsid w:val="00A04CEC"/>
    <w:rsid w:val="00A05CE4"/>
    <w:rsid w:val="00A066D8"/>
    <w:rsid w:val="00A12C68"/>
    <w:rsid w:val="00A20884"/>
    <w:rsid w:val="00A22278"/>
    <w:rsid w:val="00A22591"/>
    <w:rsid w:val="00A24BAF"/>
    <w:rsid w:val="00A25503"/>
    <w:rsid w:val="00A27F92"/>
    <w:rsid w:val="00A305AA"/>
    <w:rsid w:val="00A32654"/>
    <w:rsid w:val="00A33971"/>
    <w:rsid w:val="00A35E16"/>
    <w:rsid w:val="00A3656C"/>
    <w:rsid w:val="00A37717"/>
    <w:rsid w:val="00A44101"/>
    <w:rsid w:val="00A4594E"/>
    <w:rsid w:val="00A5383B"/>
    <w:rsid w:val="00A54DD4"/>
    <w:rsid w:val="00A54E19"/>
    <w:rsid w:val="00A55622"/>
    <w:rsid w:val="00A556C2"/>
    <w:rsid w:val="00A602CD"/>
    <w:rsid w:val="00A63031"/>
    <w:rsid w:val="00A63C6C"/>
    <w:rsid w:val="00A67A91"/>
    <w:rsid w:val="00A71E8E"/>
    <w:rsid w:val="00A747F5"/>
    <w:rsid w:val="00A76999"/>
    <w:rsid w:val="00A77EA6"/>
    <w:rsid w:val="00A806F2"/>
    <w:rsid w:val="00A8261D"/>
    <w:rsid w:val="00A82D0D"/>
    <w:rsid w:val="00A87B50"/>
    <w:rsid w:val="00A91987"/>
    <w:rsid w:val="00A91DE4"/>
    <w:rsid w:val="00A94AD4"/>
    <w:rsid w:val="00AA3A1C"/>
    <w:rsid w:val="00AA533E"/>
    <w:rsid w:val="00AA5496"/>
    <w:rsid w:val="00AB0340"/>
    <w:rsid w:val="00AB42F6"/>
    <w:rsid w:val="00AC1E55"/>
    <w:rsid w:val="00AC2591"/>
    <w:rsid w:val="00AC28D5"/>
    <w:rsid w:val="00AC6F74"/>
    <w:rsid w:val="00AD0AE5"/>
    <w:rsid w:val="00AD0EBE"/>
    <w:rsid w:val="00AD278E"/>
    <w:rsid w:val="00AD3E23"/>
    <w:rsid w:val="00AD5D3C"/>
    <w:rsid w:val="00AD7201"/>
    <w:rsid w:val="00AD727D"/>
    <w:rsid w:val="00AD7909"/>
    <w:rsid w:val="00AE115E"/>
    <w:rsid w:val="00AE26D6"/>
    <w:rsid w:val="00AE35CD"/>
    <w:rsid w:val="00AF2509"/>
    <w:rsid w:val="00AF2963"/>
    <w:rsid w:val="00B024D2"/>
    <w:rsid w:val="00B13315"/>
    <w:rsid w:val="00B2270F"/>
    <w:rsid w:val="00B22D1E"/>
    <w:rsid w:val="00B23E7E"/>
    <w:rsid w:val="00B24669"/>
    <w:rsid w:val="00B25B41"/>
    <w:rsid w:val="00B26C83"/>
    <w:rsid w:val="00B27123"/>
    <w:rsid w:val="00B27228"/>
    <w:rsid w:val="00B30DB1"/>
    <w:rsid w:val="00B31C27"/>
    <w:rsid w:val="00B371AF"/>
    <w:rsid w:val="00B40A81"/>
    <w:rsid w:val="00B4207A"/>
    <w:rsid w:val="00B425C3"/>
    <w:rsid w:val="00B44910"/>
    <w:rsid w:val="00B54B8F"/>
    <w:rsid w:val="00B55647"/>
    <w:rsid w:val="00B5597C"/>
    <w:rsid w:val="00B576FA"/>
    <w:rsid w:val="00B64212"/>
    <w:rsid w:val="00B657AB"/>
    <w:rsid w:val="00B7000E"/>
    <w:rsid w:val="00B72267"/>
    <w:rsid w:val="00B733E5"/>
    <w:rsid w:val="00B750EB"/>
    <w:rsid w:val="00B76EB6"/>
    <w:rsid w:val="00B77B71"/>
    <w:rsid w:val="00B824C8"/>
    <w:rsid w:val="00B82A28"/>
    <w:rsid w:val="00B8318C"/>
    <w:rsid w:val="00B84652"/>
    <w:rsid w:val="00B8578D"/>
    <w:rsid w:val="00B86295"/>
    <w:rsid w:val="00B8714F"/>
    <w:rsid w:val="00B902F2"/>
    <w:rsid w:val="00B9174D"/>
    <w:rsid w:val="00B94549"/>
    <w:rsid w:val="00BA1CA1"/>
    <w:rsid w:val="00BA1CAA"/>
    <w:rsid w:val="00BA3A82"/>
    <w:rsid w:val="00BA7087"/>
    <w:rsid w:val="00BA7589"/>
    <w:rsid w:val="00BB0863"/>
    <w:rsid w:val="00BB0E88"/>
    <w:rsid w:val="00BB2987"/>
    <w:rsid w:val="00BC0F0D"/>
    <w:rsid w:val="00BC2C12"/>
    <w:rsid w:val="00BC5A8A"/>
    <w:rsid w:val="00BD032B"/>
    <w:rsid w:val="00BE012E"/>
    <w:rsid w:val="00BE02D1"/>
    <w:rsid w:val="00BE1922"/>
    <w:rsid w:val="00BE2640"/>
    <w:rsid w:val="00BE355F"/>
    <w:rsid w:val="00BF1C91"/>
    <w:rsid w:val="00BF1FFF"/>
    <w:rsid w:val="00BF2BF9"/>
    <w:rsid w:val="00BF370B"/>
    <w:rsid w:val="00C00493"/>
    <w:rsid w:val="00C01189"/>
    <w:rsid w:val="00C03AD5"/>
    <w:rsid w:val="00C06FBE"/>
    <w:rsid w:val="00C104DD"/>
    <w:rsid w:val="00C108D2"/>
    <w:rsid w:val="00C14446"/>
    <w:rsid w:val="00C17270"/>
    <w:rsid w:val="00C17609"/>
    <w:rsid w:val="00C17AF8"/>
    <w:rsid w:val="00C203E4"/>
    <w:rsid w:val="00C20D8D"/>
    <w:rsid w:val="00C301A8"/>
    <w:rsid w:val="00C3310D"/>
    <w:rsid w:val="00C33313"/>
    <w:rsid w:val="00C33D67"/>
    <w:rsid w:val="00C367FD"/>
    <w:rsid w:val="00C36D0F"/>
    <w:rsid w:val="00C374DE"/>
    <w:rsid w:val="00C4152B"/>
    <w:rsid w:val="00C44216"/>
    <w:rsid w:val="00C44DA7"/>
    <w:rsid w:val="00C472F3"/>
    <w:rsid w:val="00C50344"/>
    <w:rsid w:val="00C512A0"/>
    <w:rsid w:val="00C51F07"/>
    <w:rsid w:val="00C53A28"/>
    <w:rsid w:val="00C56CE2"/>
    <w:rsid w:val="00C577E9"/>
    <w:rsid w:val="00C65214"/>
    <w:rsid w:val="00C667DB"/>
    <w:rsid w:val="00C66E21"/>
    <w:rsid w:val="00C707CB"/>
    <w:rsid w:val="00C7397E"/>
    <w:rsid w:val="00C73A8D"/>
    <w:rsid w:val="00C90506"/>
    <w:rsid w:val="00C94145"/>
    <w:rsid w:val="00C9560A"/>
    <w:rsid w:val="00CA0003"/>
    <w:rsid w:val="00CA1BFF"/>
    <w:rsid w:val="00CA2195"/>
    <w:rsid w:val="00CA2A00"/>
    <w:rsid w:val="00CA426F"/>
    <w:rsid w:val="00CA4EB5"/>
    <w:rsid w:val="00CA6393"/>
    <w:rsid w:val="00CB1BB5"/>
    <w:rsid w:val="00CB45D7"/>
    <w:rsid w:val="00CB5846"/>
    <w:rsid w:val="00CB688A"/>
    <w:rsid w:val="00CC02B8"/>
    <w:rsid w:val="00CC1EB2"/>
    <w:rsid w:val="00CC2057"/>
    <w:rsid w:val="00CD0C08"/>
    <w:rsid w:val="00CD5BBD"/>
    <w:rsid w:val="00CD66E3"/>
    <w:rsid w:val="00CE0C9F"/>
    <w:rsid w:val="00CE222A"/>
    <w:rsid w:val="00CE554A"/>
    <w:rsid w:val="00CE566C"/>
    <w:rsid w:val="00CE7137"/>
    <w:rsid w:val="00CF203C"/>
    <w:rsid w:val="00CF33F3"/>
    <w:rsid w:val="00CF3EC3"/>
    <w:rsid w:val="00CF6AD5"/>
    <w:rsid w:val="00CF7B85"/>
    <w:rsid w:val="00D01238"/>
    <w:rsid w:val="00D01634"/>
    <w:rsid w:val="00D04FD6"/>
    <w:rsid w:val="00D06183"/>
    <w:rsid w:val="00D10EA5"/>
    <w:rsid w:val="00D12D29"/>
    <w:rsid w:val="00D1374F"/>
    <w:rsid w:val="00D15841"/>
    <w:rsid w:val="00D16269"/>
    <w:rsid w:val="00D175B3"/>
    <w:rsid w:val="00D208E0"/>
    <w:rsid w:val="00D2236C"/>
    <w:rsid w:val="00D22C42"/>
    <w:rsid w:val="00D2455D"/>
    <w:rsid w:val="00D2484B"/>
    <w:rsid w:val="00D27B70"/>
    <w:rsid w:val="00D309CF"/>
    <w:rsid w:val="00D30A39"/>
    <w:rsid w:val="00D3308E"/>
    <w:rsid w:val="00D336EE"/>
    <w:rsid w:val="00D378D7"/>
    <w:rsid w:val="00D411AC"/>
    <w:rsid w:val="00D43B52"/>
    <w:rsid w:val="00D4769E"/>
    <w:rsid w:val="00D534B0"/>
    <w:rsid w:val="00D5786C"/>
    <w:rsid w:val="00D57E69"/>
    <w:rsid w:val="00D617BD"/>
    <w:rsid w:val="00D6446F"/>
    <w:rsid w:val="00D65DE4"/>
    <w:rsid w:val="00D7144D"/>
    <w:rsid w:val="00D7225A"/>
    <w:rsid w:val="00D7501A"/>
    <w:rsid w:val="00D76A33"/>
    <w:rsid w:val="00D83C1D"/>
    <w:rsid w:val="00D84E0B"/>
    <w:rsid w:val="00D859E2"/>
    <w:rsid w:val="00D86145"/>
    <w:rsid w:val="00D9217C"/>
    <w:rsid w:val="00DA0DAF"/>
    <w:rsid w:val="00DA1A79"/>
    <w:rsid w:val="00DA313D"/>
    <w:rsid w:val="00DA3E70"/>
    <w:rsid w:val="00DA4F9A"/>
    <w:rsid w:val="00DA5B1F"/>
    <w:rsid w:val="00DB088B"/>
    <w:rsid w:val="00DB6388"/>
    <w:rsid w:val="00DC0A83"/>
    <w:rsid w:val="00DC0E33"/>
    <w:rsid w:val="00DC429C"/>
    <w:rsid w:val="00DC4A08"/>
    <w:rsid w:val="00DC7917"/>
    <w:rsid w:val="00DC7F3A"/>
    <w:rsid w:val="00DD06C6"/>
    <w:rsid w:val="00DD7DE5"/>
    <w:rsid w:val="00DE06EB"/>
    <w:rsid w:val="00DE2A1F"/>
    <w:rsid w:val="00DE52DC"/>
    <w:rsid w:val="00DF0FA8"/>
    <w:rsid w:val="00DF2A5F"/>
    <w:rsid w:val="00E07153"/>
    <w:rsid w:val="00E07718"/>
    <w:rsid w:val="00E10E80"/>
    <w:rsid w:val="00E124F0"/>
    <w:rsid w:val="00E137BC"/>
    <w:rsid w:val="00E168E5"/>
    <w:rsid w:val="00E17990"/>
    <w:rsid w:val="00E17CE7"/>
    <w:rsid w:val="00E22205"/>
    <w:rsid w:val="00E237EC"/>
    <w:rsid w:val="00E2526B"/>
    <w:rsid w:val="00E342CF"/>
    <w:rsid w:val="00E3640B"/>
    <w:rsid w:val="00E36833"/>
    <w:rsid w:val="00E40B6E"/>
    <w:rsid w:val="00E4141B"/>
    <w:rsid w:val="00E4442D"/>
    <w:rsid w:val="00E475F6"/>
    <w:rsid w:val="00E50532"/>
    <w:rsid w:val="00E544AC"/>
    <w:rsid w:val="00E55559"/>
    <w:rsid w:val="00E60E60"/>
    <w:rsid w:val="00E65650"/>
    <w:rsid w:val="00E66D61"/>
    <w:rsid w:val="00E77551"/>
    <w:rsid w:val="00E824AD"/>
    <w:rsid w:val="00E828D5"/>
    <w:rsid w:val="00E8417D"/>
    <w:rsid w:val="00E849B4"/>
    <w:rsid w:val="00E84EAE"/>
    <w:rsid w:val="00E86AD1"/>
    <w:rsid w:val="00E975A1"/>
    <w:rsid w:val="00EA18E3"/>
    <w:rsid w:val="00EA5D6F"/>
    <w:rsid w:val="00EA7AE8"/>
    <w:rsid w:val="00EB2232"/>
    <w:rsid w:val="00EB2ED4"/>
    <w:rsid w:val="00EB43C8"/>
    <w:rsid w:val="00EB4849"/>
    <w:rsid w:val="00EB5878"/>
    <w:rsid w:val="00EB66CD"/>
    <w:rsid w:val="00EB76AC"/>
    <w:rsid w:val="00EC052E"/>
    <w:rsid w:val="00EC3551"/>
    <w:rsid w:val="00EC5292"/>
    <w:rsid w:val="00EC7BFD"/>
    <w:rsid w:val="00ED029B"/>
    <w:rsid w:val="00ED063D"/>
    <w:rsid w:val="00ED1BE1"/>
    <w:rsid w:val="00ED308F"/>
    <w:rsid w:val="00ED3717"/>
    <w:rsid w:val="00ED4F5F"/>
    <w:rsid w:val="00ED50E7"/>
    <w:rsid w:val="00ED6491"/>
    <w:rsid w:val="00ED66A1"/>
    <w:rsid w:val="00ED6E70"/>
    <w:rsid w:val="00ED733B"/>
    <w:rsid w:val="00EE0185"/>
    <w:rsid w:val="00EE612F"/>
    <w:rsid w:val="00EE620A"/>
    <w:rsid w:val="00EF00BD"/>
    <w:rsid w:val="00EF7D55"/>
    <w:rsid w:val="00F00274"/>
    <w:rsid w:val="00F01FC4"/>
    <w:rsid w:val="00F02689"/>
    <w:rsid w:val="00F02CE5"/>
    <w:rsid w:val="00F03FB0"/>
    <w:rsid w:val="00F046BB"/>
    <w:rsid w:val="00F04A20"/>
    <w:rsid w:val="00F05565"/>
    <w:rsid w:val="00F05772"/>
    <w:rsid w:val="00F07765"/>
    <w:rsid w:val="00F124B1"/>
    <w:rsid w:val="00F1489D"/>
    <w:rsid w:val="00F15957"/>
    <w:rsid w:val="00F17005"/>
    <w:rsid w:val="00F1776B"/>
    <w:rsid w:val="00F2150A"/>
    <w:rsid w:val="00F23CA9"/>
    <w:rsid w:val="00F33243"/>
    <w:rsid w:val="00F335A4"/>
    <w:rsid w:val="00F33A02"/>
    <w:rsid w:val="00F33FBD"/>
    <w:rsid w:val="00F35251"/>
    <w:rsid w:val="00F3600D"/>
    <w:rsid w:val="00F43265"/>
    <w:rsid w:val="00F44B19"/>
    <w:rsid w:val="00F44C13"/>
    <w:rsid w:val="00F5168B"/>
    <w:rsid w:val="00F523CD"/>
    <w:rsid w:val="00F5243E"/>
    <w:rsid w:val="00F524E4"/>
    <w:rsid w:val="00F52601"/>
    <w:rsid w:val="00F538B2"/>
    <w:rsid w:val="00F6550B"/>
    <w:rsid w:val="00F6647A"/>
    <w:rsid w:val="00F7040E"/>
    <w:rsid w:val="00F70B2E"/>
    <w:rsid w:val="00F70C1F"/>
    <w:rsid w:val="00F71EF8"/>
    <w:rsid w:val="00F73F0D"/>
    <w:rsid w:val="00F7472E"/>
    <w:rsid w:val="00F776D3"/>
    <w:rsid w:val="00F77CB0"/>
    <w:rsid w:val="00F83017"/>
    <w:rsid w:val="00F83B99"/>
    <w:rsid w:val="00F84005"/>
    <w:rsid w:val="00F910A2"/>
    <w:rsid w:val="00F915D8"/>
    <w:rsid w:val="00F93187"/>
    <w:rsid w:val="00F9635E"/>
    <w:rsid w:val="00F96900"/>
    <w:rsid w:val="00FA3032"/>
    <w:rsid w:val="00FA4E5B"/>
    <w:rsid w:val="00FB2684"/>
    <w:rsid w:val="00FB3CFA"/>
    <w:rsid w:val="00FB4929"/>
    <w:rsid w:val="00FB4F5B"/>
    <w:rsid w:val="00FC307D"/>
    <w:rsid w:val="00FC4153"/>
    <w:rsid w:val="00FC4B12"/>
    <w:rsid w:val="00FC7BD8"/>
    <w:rsid w:val="00FD0557"/>
    <w:rsid w:val="00FD0BB9"/>
    <w:rsid w:val="00FD0E17"/>
    <w:rsid w:val="00FD3677"/>
    <w:rsid w:val="00FE12EA"/>
    <w:rsid w:val="00FE176F"/>
    <w:rsid w:val="00FE2E6C"/>
    <w:rsid w:val="00FE38D0"/>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332B5AA"/>
  <w15:docId w15:val="{BAC4B8B3-F4F9-45BC-81EE-FAC618DC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HeaderChar">
    <w:name w:val="Header Char"/>
    <w:basedOn w:val="DefaultParagraphFont"/>
    <w:link w:val="Header"/>
    <w:rsid w:val="00421A21"/>
    <w:rPr>
      <w:rFonts w:ascii="Times New Roman" w:hAnsi="Times New Roman"/>
      <w:sz w:val="18"/>
      <w:lang w:val="fr-FR" w:eastAsia="en-US"/>
    </w:rPr>
  </w:style>
  <w:style w:type="character" w:customStyle="1" w:styleId="FooterChar">
    <w:name w:val="Footer Char"/>
    <w:basedOn w:val="DefaultParagraphFont"/>
    <w:link w:val="Footer"/>
    <w:uiPriority w:val="99"/>
    <w:rsid w:val="00A22278"/>
    <w:rPr>
      <w:rFonts w:ascii="Times New Roman" w:hAnsi="Times New Roman"/>
      <w:caps/>
      <w:noProof/>
      <w:sz w:val="16"/>
      <w:lang w:val="fr-FR" w:eastAsia="en-US"/>
    </w:rPr>
  </w:style>
  <w:style w:type="character" w:styleId="CommentReference">
    <w:name w:val="annotation reference"/>
    <w:basedOn w:val="DefaultParagraphFont"/>
    <w:semiHidden/>
    <w:unhideWhenUsed/>
    <w:rsid w:val="00765E7A"/>
    <w:rPr>
      <w:sz w:val="16"/>
      <w:szCs w:val="16"/>
    </w:rPr>
  </w:style>
  <w:style w:type="paragraph" w:styleId="CommentText">
    <w:name w:val="annotation text"/>
    <w:basedOn w:val="Normal"/>
    <w:link w:val="CommentTextChar"/>
    <w:semiHidden/>
    <w:unhideWhenUsed/>
    <w:rsid w:val="00765E7A"/>
    <w:rPr>
      <w:sz w:val="20"/>
    </w:rPr>
  </w:style>
  <w:style w:type="character" w:customStyle="1" w:styleId="CommentTextChar">
    <w:name w:val="Comment Text Char"/>
    <w:basedOn w:val="DefaultParagraphFont"/>
    <w:link w:val="CommentText"/>
    <w:semiHidden/>
    <w:rsid w:val="00765E7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65E7A"/>
    <w:rPr>
      <w:b/>
      <w:bCs/>
    </w:rPr>
  </w:style>
  <w:style w:type="character" w:customStyle="1" w:styleId="CommentSubjectChar">
    <w:name w:val="Comment Subject Char"/>
    <w:basedOn w:val="CommentTextChar"/>
    <w:link w:val="CommentSubject"/>
    <w:semiHidden/>
    <w:rsid w:val="00765E7A"/>
    <w:rPr>
      <w:rFonts w:ascii="Times New Roman" w:hAnsi="Times New Roman"/>
      <w:b/>
      <w:bCs/>
      <w:lang w:val="en-GB" w:eastAsia="en-US"/>
    </w:rPr>
  </w:style>
  <w:style w:type="character" w:customStyle="1" w:styleId="FootnoteTextChar">
    <w:name w:val="Footnote Text Char"/>
    <w:basedOn w:val="DefaultParagraphFont"/>
    <w:link w:val="FootnoteText"/>
    <w:uiPriority w:val="99"/>
    <w:rsid w:val="00ED3717"/>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ED733B"/>
    <w:rPr>
      <w:color w:val="605E5C"/>
      <w:shd w:val="clear" w:color="auto" w:fill="E1DFDD"/>
    </w:rPr>
  </w:style>
  <w:style w:type="table" w:styleId="GridTable4-Accent1">
    <w:name w:val="Grid Table 4 Accent 1"/>
    <w:basedOn w:val="TableNormal"/>
    <w:uiPriority w:val="49"/>
    <w:rsid w:val="00BA758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811B1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83617">
      <w:bodyDiv w:val="1"/>
      <w:marLeft w:val="0"/>
      <w:marRight w:val="0"/>
      <w:marTop w:val="0"/>
      <w:marBottom w:val="0"/>
      <w:divBdr>
        <w:top w:val="none" w:sz="0" w:space="0" w:color="auto"/>
        <w:left w:val="none" w:sz="0" w:space="0" w:color="auto"/>
        <w:bottom w:val="none" w:sz="0" w:space="0" w:color="auto"/>
        <w:right w:val="none" w:sz="0" w:space="0" w:color="auto"/>
      </w:divBdr>
    </w:div>
    <w:div w:id="861825679">
      <w:bodyDiv w:val="1"/>
      <w:marLeft w:val="0"/>
      <w:marRight w:val="0"/>
      <w:marTop w:val="0"/>
      <w:marBottom w:val="0"/>
      <w:divBdr>
        <w:top w:val="none" w:sz="0" w:space="0" w:color="auto"/>
        <w:left w:val="none" w:sz="0" w:space="0" w:color="auto"/>
        <w:bottom w:val="none" w:sz="0" w:space="0" w:color="auto"/>
        <w:right w:val="none" w:sz="0" w:space="0" w:color="auto"/>
      </w:divBdr>
    </w:div>
    <w:div w:id="890190959">
      <w:bodyDiv w:val="1"/>
      <w:marLeft w:val="0"/>
      <w:marRight w:val="0"/>
      <w:marTop w:val="0"/>
      <w:marBottom w:val="0"/>
      <w:divBdr>
        <w:top w:val="none" w:sz="0" w:space="0" w:color="auto"/>
        <w:left w:val="none" w:sz="0" w:space="0" w:color="auto"/>
        <w:bottom w:val="none" w:sz="0" w:space="0" w:color="auto"/>
        <w:right w:val="none" w:sz="0" w:space="0" w:color="auto"/>
      </w:divBdr>
    </w:div>
    <w:div w:id="922835743">
      <w:bodyDiv w:val="1"/>
      <w:marLeft w:val="0"/>
      <w:marRight w:val="0"/>
      <w:marTop w:val="0"/>
      <w:marBottom w:val="0"/>
      <w:divBdr>
        <w:top w:val="none" w:sz="0" w:space="0" w:color="auto"/>
        <w:left w:val="none" w:sz="0" w:space="0" w:color="auto"/>
        <w:bottom w:val="none" w:sz="0" w:space="0" w:color="auto"/>
        <w:right w:val="none" w:sz="0" w:space="0" w:color="auto"/>
      </w:divBdr>
    </w:div>
    <w:div w:id="1009985843">
      <w:bodyDiv w:val="1"/>
      <w:marLeft w:val="0"/>
      <w:marRight w:val="0"/>
      <w:marTop w:val="0"/>
      <w:marBottom w:val="0"/>
      <w:divBdr>
        <w:top w:val="none" w:sz="0" w:space="0" w:color="auto"/>
        <w:left w:val="none" w:sz="0" w:space="0" w:color="auto"/>
        <w:bottom w:val="none" w:sz="0" w:space="0" w:color="auto"/>
        <w:right w:val="none" w:sz="0" w:space="0" w:color="auto"/>
      </w:divBdr>
    </w:div>
    <w:div w:id="1041440097">
      <w:bodyDiv w:val="1"/>
      <w:marLeft w:val="0"/>
      <w:marRight w:val="0"/>
      <w:marTop w:val="0"/>
      <w:marBottom w:val="0"/>
      <w:divBdr>
        <w:top w:val="none" w:sz="0" w:space="0" w:color="auto"/>
        <w:left w:val="none" w:sz="0" w:space="0" w:color="auto"/>
        <w:bottom w:val="none" w:sz="0" w:space="0" w:color="auto"/>
        <w:right w:val="none" w:sz="0" w:space="0" w:color="auto"/>
      </w:divBdr>
    </w:div>
    <w:div w:id="1188642182">
      <w:bodyDiv w:val="1"/>
      <w:marLeft w:val="0"/>
      <w:marRight w:val="0"/>
      <w:marTop w:val="0"/>
      <w:marBottom w:val="0"/>
      <w:divBdr>
        <w:top w:val="none" w:sz="0" w:space="0" w:color="auto"/>
        <w:left w:val="none" w:sz="0" w:space="0" w:color="auto"/>
        <w:bottom w:val="none" w:sz="0" w:space="0" w:color="auto"/>
        <w:right w:val="none" w:sz="0" w:space="0" w:color="auto"/>
      </w:divBdr>
    </w:div>
    <w:div w:id="1349211692">
      <w:bodyDiv w:val="1"/>
      <w:marLeft w:val="0"/>
      <w:marRight w:val="0"/>
      <w:marTop w:val="0"/>
      <w:marBottom w:val="0"/>
      <w:divBdr>
        <w:top w:val="none" w:sz="0" w:space="0" w:color="auto"/>
        <w:left w:val="none" w:sz="0" w:space="0" w:color="auto"/>
        <w:bottom w:val="none" w:sz="0" w:space="0" w:color="auto"/>
        <w:right w:val="none" w:sz="0" w:space="0" w:color="auto"/>
      </w:divBdr>
    </w:div>
    <w:div w:id="1365978696">
      <w:bodyDiv w:val="1"/>
      <w:marLeft w:val="0"/>
      <w:marRight w:val="0"/>
      <w:marTop w:val="0"/>
      <w:marBottom w:val="0"/>
      <w:divBdr>
        <w:top w:val="none" w:sz="0" w:space="0" w:color="auto"/>
        <w:left w:val="none" w:sz="0" w:space="0" w:color="auto"/>
        <w:bottom w:val="none" w:sz="0" w:space="0" w:color="auto"/>
        <w:right w:val="none" w:sz="0" w:space="0" w:color="auto"/>
      </w:divBdr>
    </w:div>
    <w:div w:id="1640569260">
      <w:bodyDiv w:val="1"/>
      <w:marLeft w:val="0"/>
      <w:marRight w:val="0"/>
      <w:marTop w:val="0"/>
      <w:marBottom w:val="0"/>
      <w:divBdr>
        <w:top w:val="none" w:sz="0" w:space="0" w:color="auto"/>
        <w:left w:val="none" w:sz="0" w:space="0" w:color="auto"/>
        <w:bottom w:val="none" w:sz="0" w:space="0" w:color="auto"/>
        <w:right w:val="none" w:sz="0" w:space="0" w:color="auto"/>
      </w:divBdr>
    </w:div>
    <w:div w:id="1820728701">
      <w:bodyDiv w:val="1"/>
      <w:marLeft w:val="0"/>
      <w:marRight w:val="0"/>
      <w:marTop w:val="0"/>
      <w:marBottom w:val="0"/>
      <w:divBdr>
        <w:top w:val="none" w:sz="0" w:space="0" w:color="auto"/>
        <w:left w:val="none" w:sz="0" w:space="0" w:color="auto"/>
        <w:bottom w:val="none" w:sz="0" w:space="0" w:color="auto"/>
        <w:right w:val="none" w:sz="0" w:space="0" w:color="auto"/>
      </w:divBdr>
    </w:div>
    <w:div w:id="1888954070">
      <w:bodyDiv w:val="1"/>
      <w:marLeft w:val="0"/>
      <w:marRight w:val="0"/>
      <w:marTop w:val="0"/>
      <w:marBottom w:val="0"/>
      <w:divBdr>
        <w:top w:val="none" w:sz="0" w:space="0" w:color="auto"/>
        <w:left w:val="none" w:sz="0" w:space="0" w:color="auto"/>
        <w:bottom w:val="none" w:sz="0" w:space="0" w:color="auto"/>
        <w:right w:val="none" w:sz="0" w:space="0" w:color="auto"/>
      </w:divBdr>
    </w:div>
    <w:div w:id="2026323680">
      <w:bodyDiv w:val="1"/>
      <w:marLeft w:val="0"/>
      <w:marRight w:val="0"/>
      <w:marTop w:val="0"/>
      <w:marBottom w:val="0"/>
      <w:divBdr>
        <w:top w:val="none" w:sz="0" w:space="0" w:color="auto"/>
        <w:left w:val="none" w:sz="0" w:space="0" w:color="auto"/>
        <w:bottom w:val="none" w:sz="0" w:space="0" w:color="auto"/>
        <w:right w:val="none" w:sz="0" w:space="0" w:color="auto"/>
      </w:divBdr>
    </w:div>
    <w:div w:id="2030178606">
      <w:bodyDiv w:val="1"/>
      <w:marLeft w:val="0"/>
      <w:marRight w:val="0"/>
      <w:marTop w:val="0"/>
      <w:marBottom w:val="0"/>
      <w:divBdr>
        <w:top w:val="none" w:sz="0" w:space="0" w:color="auto"/>
        <w:left w:val="none" w:sz="0" w:space="0" w:color="auto"/>
        <w:bottom w:val="none" w:sz="0" w:space="0" w:color="auto"/>
        <w:right w:val="none" w:sz="0" w:space="0" w:color="auto"/>
      </w:divBdr>
    </w:div>
    <w:div w:id="210398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www.itu.int/net4/wsis/forum/20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itu.int/en/ITU-T/gap/Pages/default.aspx" TargetMode="External"/><Relationship Id="rId2" Type="http://schemas.openxmlformats.org/officeDocument/2006/relationships/customXml" Target="../customXml/item2.xml"/><Relationship Id="rId16" Type="http://schemas.openxmlformats.org/officeDocument/2006/relationships/hyperlink" Target="https://www.itu.int/en/ITU-T/focusgroups/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17-CL-C-0108/en" TargetMode="External"/><Relationship Id="rId10" Type="http://schemas.openxmlformats.org/officeDocument/2006/relationships/endnotes" Target="endnotes.xml"/><Relationship Id="rId19" Type="http://schemas.openxmlformats.org/officeDocument/2006/relationships/hyperlink" Target="https://www.itu.int/net4/wsis/forum/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eeningtheblue.org/what-the-un-is-doing/international-telecommunication-union-it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Evolution of translation budget (in ,000 CHF)</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Sheet3!$A$7</c:f>
              <c:strCache>
                <c:ptCount val="1"/>
                <c:pt idx="0">
                  <c:v>Cost of translation</c:v>
                </c:pt>
              </c:strCache>
            </c:strRef>
          </c:tx>
          <c:spPr>
            <a:ln w="28575" cap="rnd">
              <a:solidFill>
                <a:schemeClr val="accent1"/>
              </a:solidFill>
              <a:round/>
            </a:ln>
            <a:effectLst/>
          </c:spPr>
          <c:marker>
            <c:symbol val="none"/>
          </c:marker>
          <c:cat>
            <c:numRef>
              <c:f>Sheet3!$B$6:$K$6</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Sheet3!$B$7:$K$7</c:f>
              <c:numCache>
                <c:formatCode>#,##0</c:formatCode>
                <c:ptCount val="10"/>
                <c:pt idx="0">
                  <c:v>9581.4230000000007</c:v>
                </c:pt>
                <c:pt idx="1">
                  <c:v>8655.9050000000007</c:v>
                </c:pt>
                <c:pt idx="2">
                  <c:v>9030.5069999999996</c:v>
                </c:pt>
                <c:pt idx="3">
                  <c:v>8188.442</c:v>
                </c:pt>
                <c:pt idx="4">
                  <c:v>9860.7630000000008</c:v>
                </c:pt>
                <c:pt idx="5">
                  <c:v>9819.5290000000005</c:v>
                </c:pt>
                <c:pt idx="6">
                  <c:v>8249.7440000000006</c:v>
                </c:pt>
                <c:pt idx="7">
                  <c:v>8432.9740000000002</c:v>
                </c:pt>
                <c:pt idx="8">
                  <c:v>8210.1779999999999</c:v>
                </c:pt>
                <c:pt idx="9">
                  <c:v>8881.6389999999992</c:v>
                </c:pt>
              </c:numCache>
            </c:numRef>
          </c:val>
          <c:smooth val="0"/>
          <c:extLst xmlns:c16r2="http://schemas.microsoft.com/office/drawing/2015/06/chart">
            <c:ext xmlns:c16="http://schemas.microsoft.com/office/drawing/2014/chart" uri="{C3380CC4-5D6E-409C-BE32-E72D297353CC}">
              <c16:uniqueId val="{00000000-68CB-486A-A907-890E88519120}"/>
            </c:ext>
          </c:extLst>
        </c:ser>
        <c:ser>
          <c:idx val="1"/>
          <c:order val="1"/>
          <c:tx>
            <c:strRef>
              <c:f>Sheet3!$A$8</c:f>
              <c:strCache>
                <c:ptCount val="1"/>
                <c:pt idx="0">
                  <c:v>Associated costs</c:v>
                </c:pt>
              </c:strCache>
            </c:strRef>
          </c:tx>
          <c:spPr>
            <a:ln w="28575" cap="rnd">
              <a:solidFill>
                <a:schemeClr val="accent2"/>
              </a:solidFill>
              <a:round/>
            </a:ln>
            <a:effectLst/>
          </c:spPr>
          <c:marker>
            <c:symbol val="none"/>
          </c:marker>
          <c:cat>
            <c:numRef>
              <c:f>Sheet3!$B$6:$K$6</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Sheet3!$B$8:$K$8</c:f>
              <c:numCache>
                <c:formatCode>#,##0</c:formatCode>
                <c:ptCount val="10"/>
                <c:pt idx="0">
                  <c:v>6732.7889999999998</c:v>
                </c:pt>
                <c:pt idx="1">
                  <c:v>6633.1030000000001</c:v>
                </c:pt>
                <c:pt idx="2">
                  <c:v>5901.4740000000002</c:v>
                </c:pt>
                <c:pt idx="3">
                  <c:v>5545.85</c:v>
                </c:pt>
                <c:pt idx="4">
                  <c:v>5841.1769999999997</c:v>
                </c:pt>
                <c:pt idx="5">
                  <c:v>5841.0940000000001</c:v>
                </c:pt>
                <c:pt idx="6">
                  <c:v>5645.7520000000004</c:v>
                </c:pt>
                <c:pt idx="7">
                  <c:v>5716.2470000000003</c:v>
                </c:pt>
                <c:pt idx="8">
                  <c:v>5258.17</c:v>
                </c:pt>
                <c:pt idx="9">
                  <c:v>5605.9870000000001</c:v>
                </c:pt>
              </c:numCache>
            </c:numRef>
          </c:val>
          <c:smooth val="0"/>
          <c:extLst xmlns:c16r2="http://schemas.microsoft.com/office/drawing/2015/06/chart">
            <c:ext xmlns:c16="http://schemas.microsoft.com/office/drawing/2014/chart" uri="{C3380CC4-5D6E-409C-BE32-E72D297353CC}">
              <c16:uniqueId val="{00000001-68CB-486A-A907-890E88519120}"/>
            </c:ext>
          </c:extLst>
        </c:ser>
        <c:ser>
          <c:idx val="2"/>
          <c:order val="2"/>
          <c:tx>
            <c:strRef>
              <c:f>Sheet3!$A$9</c:f>
              <c:strCache>
                <c:ptCount val="1"/>
                <c:pt idx="0">
                  <c:v>Total  costs</c:v>
                </c:pt>
              </c:strCache>
            </c:strRef>
          </c:tx>
          <c:spPr>
            <a:ln w="28575" cap="rnd">
              <a:solidFill>
                <a:schemeClr val="accent3"/>
              </a:solidFill>
              <a:round/>
            </a:ln>
            <a:effectLst/>
          </c:spPr>
          <c:marker>
            <c:symbol val="none"/>
          </c:marker>
          <c:cat>
            <c:numRef>
              <c:f>Sheet3!$B$6:$K$6</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Sheet3!$B$9:$K$9</c:f>
              <c:numCache>
                <c:formatCode>#,##0</c:formatCode>
                <c:ptCount val="10"/>
                <c:pt idx="0">
                  <c:v>16314.210999999999</c:v>
                </c:pt>
                <c:pt idx="1">
                  <c:v>15289.009</c:v>
                </c:pt>
                <c:pt idx="2">
                  <c:v>14931.981</c:v>
                </c:pt>
                <c:pt idx="3">
                  <c:v>13734.290999999999</c:v>
                </c:pt>
                <c:pt idx="4">
                  <c:v>15701.94</c:v>
                </c:pt>
                <c:pt idx="5">
                  <c:v>15660.623</c:v>
                </c:pt>
                <c:pt idx="6">
                  <c:v>13895.495999999999</c:v>
                </c:pt>
                <c:pt idx="7">
                  <c:v>14149.22</c:v>
                </c:pt>
                <c:pt idx="8">
                  <c:v>13468.348</c:v>
                </c:pt>
                <c:pt idx="9">
                  <c:v>14487.626</c:v>
                </c:pt>
              </c:numCache>
            </c:numRef>
          </c:val>
          <c:smooth val="0"/>
          <c:extLst xmlns:c16r2="http://schemas.microsoft.com/office/drawing/2015/06/chart">
            <c:ext xmlns:c16="http://schemas.microsoft.com/office/drawing/2014/chart" uri="{C3380CC4-5D6E-409C-BE32-E72D297353CC}">
              <c16:uniqueId val="{00000002-68CB-486A-A907-890E88519120}"/>
            </c:ext>
          </c:extLst>
        </c:ser>
        <c:dLbls>
          <c:showLegendKey val="0"/>
          <c:showVal val="0"/>
          <c:showCatName val="0"/>
          <c:showSerName val="0"/>
          <c:showPercent val="0"/>
          <c:showBubbleSize val="0"/>
        </c:dLbls>
        <c:smooth val="0"/>
        <c:axId val="484400856"/>
        <c:axId val="484403600"/>
      </c:lineChart>
      <c:catAx>
        <c:axId val="484400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403600"/>
        <c:crosses val="autoZero"/>
        <c:auto val="1"/>
        <c:lblAlgn val="ctr"/>
        <c:lblOffset val="100"/>
        <c:noMultiLvlLbl val="0"/>
      </c:catAx>
      <c:valAx>
        <c:axId val="484403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4008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Translation volumes 2010-2019 (pages</a:t>
            </a:r>
            <a:r>
              <a:rPr lang="en-US" baseline="0"/>
              <a:t>)</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993976349485598"/>
          <c:y val="0.28682171351097668"/>
          <c:w val="0.85929390062684685"/>
          <c:h val="0.63283273365663728"/>
        </c:manualLayout>
      </c:layout>
      <c:lineChart>
        <c:grouping val="standard"/>
        <c:varyColors val="0"/>
        <c:ser>
          <c:idx val="0"/>
          <c:order val="0"/>
          <c:tx>
            <c:strRef>
              <c:f>Sheet1!$A$22</c:f>
              <c:strCache>
                <c:ptCount val="1"/>
                <c:pt idx="0">
                  <c:v>Arabic</c:v>
                </c:pt>
              </c:strCache>
            </c:strRef>
          </c:tx>
          <c:spPr>
            <a:ln w="28575" cap="rnd">
              <a:solidFill>
                <a:schemeClr val="accent1"/>
              </a:solidFill>
              <a:round/>
            </a:ln>
            <a:effectLst/>
          </c:spPr>
          <c:marker>
            <c:symbol val="none"/>
          </c:marker>
          <c:cat>
            <c:numRef>
              <c:f>Sheet1!$B$21:$K$21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Sheet1!$B$22:$K$22</c:f>
              <c:numCache>
                <c:formatCode>General</c:formatCode>
                <c:ptCount val="10"/>
                <c:pt idx="0">
                  <c:v>9348</c:v>
                </c:pt>
                <c:pt idx="1">
                  <c:v>9999</c:v>
                </c:pt>
                <c:pt idx="2">
                  <c:v>13234</c:v>
                </c:pt>
                <c:pt idx="3">
                  <c:v>7180</c:v>
                </c:pt>
                <c:pt idx="4">
                  <c:v>9533</c:v>
                </c:pt>
                <c:pt idx="5">
                  <c:v>8449</c:v>
                </c:pt>
                <c:pt idx="6">
                  <c:v>7198</c:v>
                </c:pt>
                <c:pt idx="7">
                  <c:v>6292</c:v>
                </c:pt>
                <c:pt idx="8">
                  <c:v>8108</c:v>
                </c:pt>
                <c:pt idx="9">
                  <c:v>7271</c:v>
                </c:pt>
              </c:numCache>
            </c:numRef>
          </c:val>
          <c:smooth val="0"/>
          <c:extLst xmlns:c16r2="http://schemas.microsoft.com/office/drawing/2015/06/chart">
            <c:ext xmlns:c16="http://schemas.microsoft.com/office/drawing/2014/chart" uri="{C3380CC4-5D6E-409C-BE32-E72D297353CC}">
              <c16:uniqueId val="{00000000-FA37-4FB8-880B-36202EF5A76C}"/>
            </c:ext>
          </c:extLst>
        </c:ser>
        <c:ser>
          <c:idx val="1"/>
          <c:order val="1"/>
          <c:tx>
            <c:strRef>
              <c:f>Sheet1!$A$23</c:f>
              <c:strCache>
                <c:ptCount val="1"/>
                <c:pt idx="0">
                  <c:v>Chinese</c:v>
                </c:pt>
              </c:strCache>
            </c:strRef>
          </c:tx>
          <c:spPr>
            <a:ln w="28575" cap="rnd">
              <a:solidFill>
                <a:schemeClr val="accent2"/>
              </a:solidFill>
              <a:round/>
            </a:ln>
            <a:effectLst/>
          </c:spPr>
          <c:marker>
            <c:symbol val="none"/>
          </c:marker>
          <c:cat>
            <c:numRef>
              <c:f>Sheet1!$B$21:$K$21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Sheet1!$B$23:$K$23</c:f>
              <c:numCache>
                <c:formatCode>General</c:formatCode>
                <c:ptCount val="10"/>
                <c:pt idx="0">
                  <c:v>9470</c:v>
                </c:pt>
                <c:pt idx="1">
                  <c:v>10089</c:v>
                </c:pt>
                <c:pt idx="2">
                  <c:v>12797</c:v>
                </c:pt>
                <c:pt idx="3">
                  <c:v>7267</c:v>
                </c:pt>
                <c:pt idx="4">
                  <c:v>9666</c:v>
                </c:pt>
                <c:pt idx="5">
                  <c:v>7982</c:v>
                </c:pt>
                <c:pt idx="6">
                  <c:v>7507</c:v>
                </c:pt>
                <c:pt idx="7">
                  <c:v>6380</c:v>
                </c:pt>
                <c:pt idx="8">
                  <c:v>8717</c:v>
                </c:pt>
                <c:pt idx="9">
                  <c:v>7541</c:v>
                </c:pt>
              </c:numCache>
            </c:numRef>
          </c:val>
          <c:smooth val="0"/>
          <c:extLst xmlns:c16r2="http://schemas.microsoft.com/office/drawing/2015/06/chart">
            <c:ext xmlns:c16="http://schemas.microsoft.com/office/drawing/2014/chart" uri="{C3380CC4-5D6E-409C-BE32-E72D297353CC}">
              <c16:uniqueId val="{00000001-FA37-4FB8-880B-36202EF5A76C}"/>
            </c:ext>
          </c:extLst>
        </c:ser>
        <c:ser>
          <c:idx val="2"/>
          <c:order val="2"/>
          <c:tx>
            <c:strRef>
              <c:f>Sheet1!$A$24</c:f>
              <c:strCache>
                <c:ptCount val="1"/>
                <c:pt idx="0">
                  <c:v>English</c:v>
                </c:pt>
              </c:strCache>
            </c:strRef>
          </c:tx>
          <c:spPr>
            <a:ln w="28575" cap="rnd">
              <a:solidFill>
                <a:schemeClr val="accent3"/>
              </a:solidFill>
              <a:round/>
            </a:ln>
            <a:effectLst/>
          </c:spPr>
          <c:marker>
            <c:symbol val="none"/>
          </c:marker>
          <c:cat>
            <c:numRef>
              <c:f>Sheet1!$B$21:$K$21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Sheet1!$B$24:$K$24</c:f>
              <c:numCache>
                <c:formatCode>General</c:formatCode>
                <c:ptCount val="10"/>
                <c:pt idx="0">
                  <c:v>2750</c:v>
                </c:pt>
                <c:pt idx="1">
                  <c:v>2447</c:v>
                </c:pt>
                <c:pt idx="2">
                  <c:v>2645</c:v>
                </c:pt>
                <c:pt idx="3">
                  <c:v>2179</c:v>
                </c:pt>
                <c:pt idx="4">
                  <c:v>2085</c:v>
                </c:pt>
                <c:pt idx="5">
                  <c:v>2055</c:v>
                </c:pt>
                <c:pt idx="6">
                  <c:v>2238</c:v>
                </c:pt>
                <c:pt idx="7">
                  <c:v>1603</c:v>
                </c:pt>
                <c:pt idx="8">
                  <c:v>1580</c:v>
                </c:pt>
                <c:pt idx="9">
                  <c:v>1793</c:v>
                </c:pt>
              </c:numCache>
            </c:numRef>
          </c:val>
          <c:smooth val="0"/>
          <c:extLst xmlns:c16r2="http://schemas.microsoft.com/office/drawing/2015/06/chart">
            <c:ext xmlns:c16="http://schemas.microsoft.com/office/drawing/2014/chart" uri="{C3380CC4-5D6E-409C-BE32-E72D297353CC}">
              <c16:uniqueId val="{00000002-FA37-4FB8-880B-36202EF5A76C}"/>
            </c:ext>
          </c:extLst>
        </c:ser>
        <c:ser>
          <c:idx val="3"/>
          <c:order val="3"/>
          <c:tx>
            <c:strRef>
              <c:f>Sheet1!$A$25</c:f>
              <c:strCache>
                <c:ptCount val="1"/>
                <c:pt idx="0">
                  <c:v>French</c:v>
                </c:pt>
              </c:strCache>
            </c:strRef>
          </c:tx>
          <c:spPr>
            <a:ln w="28575" cap="rnd">
              <a:solidFill>
                <a:schemeClr val="accent4"/>
              </a:solidFill>
              <a:round/>
            </a:ln>
            <a:effectLst/>
          </c:spPr>
          <c:marker>
            <c:symbol val="none"/>
          </c:marker>
          <c:cat>
            <c:numRef>
              <c:f>Sheet1!$B$21:$K$21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Sheet1!$B$25:$K$25</c:f>
              <c:numCache>
                <c:formatCode>General</c:formatCode>
                <c:ptCount val="10"/>
                <c:pt idx="0">
                  <c:v>9598</c:v>
                </c:pt>
                <c:pt idx="1">
                  <c:v>9994</c:v>
                </c:pt>
                <c:pt idx="2">
                  <c:v>13225</c:v>
                </c:pt>
                <c:pt idx="3">
                  <c:v>9029</c:v>
                </c:pt>
                <c:pt idx="4">
                  <c:v>9629</c:v>
                </c:pt>
                <c:pt idx="5">
                  <c:v>8639</c:v>
                </c:pt>
                <c:pt idx="6">
                  <c:v>7938</c:v>
                </c:pt>
                <c:pt idx="7">
                  <c:v>6464</c:v>
                </c:pt>
                <c:pt idx="8">
                  <c:v>8595</c:v>
                </c:pt>
                <c:pt idx="9">
                  <c:v>8170</c:v>
                </c:pt>
              </c:numCache>
            </c:numRef>
          </c:val>
          <c:smooth val="0"/>
          <c:extLst xmlns:c16r2="http://schemas.microsoft.com/office/drawing/2015/06/chart">
            <c:ext xmlns:c16="http://schemas.microsoft.com/office/drawing/2014/chart" uri="{C3380CC4-5D6E-409C-BE32-E72D297353CC}">
              <c16:uniqueId val="{00000003-FA37-4FB8-880B-36202EF5A76C}"/>
            </c:ext>
          </c:extLst>
        </c:ser>
        <c:ser>
          <c:idx val="4"/>
          <c:order val="4"/>
          <c:tx>
            <c:strRef>
              <c:f>Sheet1!$A$26</c:f>
              <c:strCache>
                <c:ptCount val="1"/>
                <c:pt idx="0">
                  <c:v>Russian </c:v>
                </c:pt>
              </c:strCache>
            </c:strRef>
          </c:tx>
          <c:spPr>
            <a:ln w="28575" cap="rnd">
              <a:solidFill>
                <a:schemeClr val="accent5"/>
              </a:solidFill>
              <a:round/>
            </a:ln>
            <a:effectLst/>
          </c:spPr>
          <c:marker>
            <c:symbol val="none"/>
          </c:marker>
          <c:cat>
            <c:numRef>
              <c:f>Sheet1!$B$21:$K$21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Sheet1!$B$26:$K$26</c:f>
              <c:numCache>
                <c:formatCode>General</c:formatCode>
                <c:ptCount val="10"/>
                <c:pt idx="0">
                  <c:v>9467</c:v>
                </c:pt>
                <c:pt idx="1">
                  <c:v>9986</c:v>
                </c:pt>
                <c:pt idx="2">
                  <c:v>12280</c:v>
                </c:pt>
                <c:pt idx="3">
                  <c:v>7526</c:v>
                </c:pt>
                <c:pt idx="4">
                  <c:v>9066</c:v>
                </c:pt>
                <c:pt idx="5">
                  <c:v>7533</c:v>
                </c:pt>
                <c:pt idx="6">
                  <c:v>7219</c:v>
                </c:pt>
                <c:pt idx="7">
                  <c:v>6158</c:v>
                </c:pt>
                <c:pt idx="8">
                  <c:v>8095</c:v>
                </c:pt>
                <c:pt idx="9">
                  <c:v>6691</c:v>
                </c:pt>
              </c:numCache>
            </c:numRef>
          </c:val>
          <c:smooth val="0"/>
          <c:extLst xmlns:c16r2="http://schemas.microsoft.com/office/drawing/2015/06/chart">
            <c:ext xmlns:c16="http://schemas.microsoft.com/office/drawing/2014/chart" uri="{C3380CC4-5D6E-409C-BE32-E72D297353CC}">
              <c16:uniqueId val="{00000004-FA37-4FB8-880B-36202EF5A76C}"/>
            </c:ext>
          </c:extLst>
        </c:ser>
        <c:ser>
          <c:idx val="5"/>
          <c:order val="5"/>
          <c:tx>
            <c:strRef>
              <c:f>Sheet1!$A$27</c:f>
              <c:strCache>
                <c:ptCount val="1"/>
                <c:pt idx="0">
                  <c:v>Spanish</c:v>
                </c:pt>
              </c:strCache>
            </c:strRef>
          </c:tx>
          <c:spPr>
            <a:ln w="28575" cap="rnd">
              <a:solidFill>
                <a:schemeClr val="accent6"/>
              </a:solidFill>
              <a:round/>
            </a:ln>
            <a:effectLst/>
          </c:spPr>
          <c:marker>
            <c:symbol val="none"/>
          </c:marker>
          <c:cat>
            <c:numRef>
              <c:f>Sheet1!$B$21:$K$21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Sheet1!$B$27:$K$27</c:f>
              <c:numCache>
                <c:formatCode>General</c:formatCode>
                <c:ptCount val="10"/>
                <c:pt idx="0">
                  <c:v>9355</c:v>
                </c:pt>
                <c:pt idx="1">
                  <c:v>9642</c:v>
                </c:pt>
                <c:pt idx="2">
                  <c:v>12363</c:v>
                </c:pt>
                <c:pt idx="3">
                  <c:v>8255</c:v>
                </c:pt>
                <c:pt idx="4">
                  <c:v>9218</c:v>
                </c:pt>
                <c:pt idx="5">
                  <c:v>8532</c:v>
                </c:pt>
                <c:pt idx="6">
                  <c:v>7172</c:v>
                </c:pt>
                <c:pt idx="7">
                  <c:v>6354</c:v>
                </c:pt>
                <c:pt idx="8">
                  <c:v>7952</c:v>
                </c:pt>
                <c:pt idx="9">
                  <c:v>7192</c:v>
                </c:pt>
              </c:numCache>
            </c:numRef>
          </c:val>
          <c:smooth val="0"/>
          <c:extLst xmlns:c16r2="http://schemas.microsoft.com/office/drawing/2015/06/chart">
            <c:ext xmlns:c16="http://schemas.microsoft.com/office/drawing/2014/chart" uri="{C3380CC4-5D6E-409C-BE32-E72D297353CC}">
              <c16:uniqueId val="{00000005-FA37-4FB8-880B-36202EF5A76C}"/>
            </c:ext>
          </c:extLst>
        </c:ser>
        <c:dLbls>
          <c:showLegendKey val="0"/>
          <c:showVal val="0"/>
          <c:showCatName val="0"/>
          <c:showSerName val="0"/>
          <c:showPercent val="0"/>
          <c:showBubbleSize val="0"/>
        </c:dLbls>
        <c:smooth val="0"/>
        <c:axId val="484401640"/>
        <c:axId val="484404384"/>
      </c:lineChart>
      <c:catAx>
        <c:axId val="484401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404384"/>
        <c:crosses val="autoZero"/>
        <c:auto val="1"/>
        <c:lblAlgn val="ctr"/>
        <c:lblOffset val="100"/>
        <c:noMultiLvlLbl val="0"/>
      </c:catAx>
      <c:valAx>
        <c:axId val="484404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401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89E4-4F8D-4E94-9019-69F1DDE7A6CC}">
  <ds:schemaRefs>
    <ds:schemaRef ds:uri="http://purl.org/dc/terms/"/>
    <ds:schemaRef ds:uri="http://schemas.openxmlformats.org/package/2006/metadata/core-properties"/>
    <ds:schemaRef ds:uri="http://schemas.microsoft.com/office/2006/documentManagement/types"/>
    <ds:schemaRef ds:uri="http://schemas.microsoft.com/sharepoint/v3"/>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D9C6A977-080D-44A1-9EFC-3154F917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Template>
  <TotalTime>41</TotalTime>
  <Pages>12</Pages>
  <Words>4003</Words>
  <Characters>23381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CWG-LANG: report by the SG</vt:lpstr>
    </vt:vector>
  </TitlesOfParts>
  <Manager>General Secretariat - Pool</Manager>
  <Company>International Telecommunication Union (ITU)</Company>
  <LinksUpToDate>false</LinksUpToDate>
  <CharactersWithSpaces>27330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CWG-LANG: report by the SG</dc:title>
  <dc:subject>Council 2006</dc:subject>
  <dc:creator>Report by the Secretary-General</dc:creator>
  <cp:keywords>CWG-LANG</cp:keywords>
  <dc:description/>
  <cp:lastModifiedBy>Janin, Patricia</cp:lastModifiedBy>
  <cp:revision>9</cp:revision>
  <cp:lastPrinted>2019-12-10T09:22:00Z</cp:lastPrinted>
  <dcterms:created xsi:type="dcterms:W3CDTF">2019-12-11T12:44:00Z</dcterms:created>
  <dcterms:modified xsi:type="dcterms:W3CDTF">2019-12-12T06:55:00Z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