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090C6" w14:textId="77777777" w:rsidR="005A176B" w:rsidRPr="002E4019" w:rsidRDefault="005A176B" w:rsidP="002E4019">
      <w:pPr>
        <w:spacing w:after="60" w:line="276" w:lineRule="auto"/>
        <w:contextualSpacing/>
        <w:jc w:val="center"/>
        <w:rPr>
          <w:rFonts w:ascii="Times New Roman" w:eastAsia="Times New Roman" w:hAnsi="Times New Roman" w:cs="Times New Roman"/>
          <w:b/>
          <w:color w:val="000000"/>
          <w:sz w:val="24"/>
          <w:szCs w:val="24"/>
          <w:u w:val="single"/>
        </w:rPr>
      </w:pPr>
    </w:p>
    <w:p w14:paraId="671C6647" w14:textId="77777777" w:rsidR="005A176B" w:rsidRPr="002E4019" w:rsidRDefault="005A176B" w:rsidP="00F75400">
      <w:pPr>
        <w:spacing w:after="120"/>
        <w:contextualSpacing/>
        <w:jc w:val="center"/>
        <w:rPr>
          <w:rFonts w:ascii="Times New Roman" w:eastAsia="Times New Roman" w:hAnsi="Times New Roman" w:cs="Times New Roman"/>
          <w:b/>
          <w:color w:val="000000"/>
          <w:sz w:val="24"/>
          <w:szCs w:val="24"/>
          <w:u w:val="single"/>
        </w:rPr>
      </w:pPr>
    </w:p>
    <w:p w14:paraId="0ADFED67" w14:textId="5A12A8C3" w:rsidR="00371589" w:rsidRPr="002E4019" w:rsidRDefault="0025569E" w:rsidP="005A176B">
      <w:pPr>
        <w:spacing w:after="120"/>
        <w:contextualSpacing/>
        <w:jc w:val="center"/>
        <w:rPr>
          <w:rFonts w:ascii="Times New Roman" w:eastAsia="Times New Roman" w:hAnsi="Times New Roman" w:cs="Times New Roman"/>
          <w:b/>
          <w:color w:val="000000"/>
          <w:sz w:val="24"/>
          <w:szCs w:val="24"/>
          <w:u w:val="single"/>
        </w:rPr>
      </w:pPr>
      <w:r w:rsidRPr="002E4019">
        <w:rPr>
          <w:rFonts w:ascii="Times New Roman" w:eastAsia="Times New Roman" w:hAnsi="Times New Roman" w:cs="Times New Roman"/>
          <w:b/>
          <w:color w:val="000000"/>
          <w:sz w:val="24"/>
          <w:szCs w:val="24"/>
          <w:u w:val="single"/>
        </w:rPr>
        <w:t>Observations</w:t>
      </w:r>
      <w:r w:rsidR="00067C77" w:rsidRPr="002E4019">
        <w:rPr>
          <w:rFonts w:ascii="Times New Roman" w:eastAsia="Times New Roman" w:hAnsi="Times New Roman" w:cs="Times New Roman"/>
          <w:b/>
          <w:color w:val="000000"/>
          <w:sz w:val="24"/>
          <w:szCs w:val="24"/>
          <w:u w:val="single"/>
        </w:rPr>
        <w:t xml:space="preserve"> from the</w:t>
      </w:r>
      <w:r w:rsidR="00E36776">
        <w:rPr>
          <w:rFonts w:ascii="Times New Roman" w:eastAsia="Times New Roman" w:hAnsi="Times New Roman" w:cs="Times New Roman"/>
          <w:b/>
          <w:color w:val="000000"/>
          <w:sz w:val="24"/>
          <w:szCs w:val="24"/>
          <w:u w:val="single"/>
        </w:rPr>
        <w:t xml:space="preserve"> European Union </w:t>
      </w:r>
      <w:r w:rsidR="005A176B" w:rsidRPr="002E4019">
        <w:rPr>
          <w:rFonts w:ascii="Times New Roman" w:eastAsia="Times New Roman" w:hAnsi="Times New Roman" w:cs="Times New Roman"/>
          <w:b/>
          <w:color w:val="000000"/>
          <w:sz w:val="24"/>
          <w:szCs w:val="24"/>
          <w:u w:val="single"/>
        </w:rPr>
        <w:t>on the draft guidelines for</w:t>
      </w:r>
      <w:r w:rsidR="00933DAD" w:rsidRPr="002E4019">
        <w:rPr>
          <w:rFonts w:ascii="Times New Roman" w:eastAsia="Times New Roman" w:hAnsi="Times New Roman" w:cs="Times New Roman"/>
          <w:b/>
          <w:color w:val="000000"/>
          <w:sz w:val="24"/>
          <w:szCs w:val="24"/>
          <w:u w:val="single"/>
        </w:rPr>
        <w:t xml:space="preserve"> utilisation of</w:t>
      </w:r>
      <w:r w:rsidR="005A176B" w:rsidRPr="002E4019">
        <w:rPr>
          <w:rFonts w:ascii="Times New Roman" w:eastAsia="Times New Roman" w:hAnsi="Times New Roman" w:cs="Times New Roman"/>
          <w:b/>
          <w:color w:val="000000"/>
          <w:sz w:val="24"/>
          <w:szCs w:val="24"/>
          <w:u w:val="single"/>
        </w:rPr>
        <w:t xml:space="preserve"> the Global Cybersecurity </w:t>
      </w:r>
      <w:r w:rsidR="00933DAD" w:rsidRPr="002E4019">
        <w:rPr>
          <w:rFonts w:ascii="Times New Roman" w:eastAsia="Times New Roman" w:hAnsi="Times New Roman" w:cs="Times New Roman"/>
          <w:b/>
          <w:color w:val="000000"/>
          <w:sz w:val="24"/>
          <w:szCs w:val="24"/>
          <w:u w:val="single"/>
        </w:rPr>
        <w:t>Agenda</w:t>
      </w:r>
      <w:r w:rsidR="007943AC">
        <w:rPr>
          <w:rFonts w:ascii="Times New Roman" w:eastAsia="Times New Roman" w:hAnsi="Times New Roman" w:cs="Times New Roman"/>
          <w:b/>
          <w:color w:val="000000"/>
          <w:sz w:val="24"/>
          <w:szCs w:val="24"/>
          <w:u w:val="single"/>
        </w:rPr>
        <w:t xml:space="preserve"> of the ITU</w:t>
      </w:r>
      <w:r w:rsidR="00067C77" w:rsidRPr="002E4019">
        <w:rPr>
          <w:rFonts w:ascii="Times New Roman" w:eastAsia="Times New Roman" w:hAnsi="Times New Roman" w:cs="Times New Roman"/>
          <w:b/>
          <w:color w:val="000000"/>
          <w:sz w:val="24"/>
          <w:szCs w:val="24"/>
          <w:u w:val="single"/>
        </w:rPr>
        <w:t>.</w:t>
      </w:r>
    </w:p>
    <w:p w14:paraId="30772FBE" w14:textId="77777777" w:rsidR="004810FE" w:rsidRPr="002E4019" w:rsidRDefault="004810FE" w:rsidP="004810FE">
      <w:pPr>
        <w:spacing w:after="120"/>
        <w:contextualSpacing/>
        <w:jc w:val="both"/>
        <w:rPr>
          <w:rFonts w:ascii="Times New Roman" w:eastAsia="Times New Roman" w:hAnsi="Times New Roman" w:cs="Times New Roman"/>
          <w:color w:val="000000"/>
          <w:sz w:val="24"/>
          <w:szCs w:val="24"/>
        </w:rPr>
      </w:pPr>
    </w:p>
    <w:p w14:paraId="53BD05FA" w14:textId="159B31D9" w:rsidR="0031140B" w:rsidRPr="002E4019" w:rsidRDefault="0031140B" w:rsidP="004810FE">
      <w:pPr>
        <w:spacing w:after="120"/>
        <w:contextualSpacing/>
        <w:jc w:val="both"/>
        <w:rPr>
          <w:rFonts w:ascii="Times New Roman" w:eastAsia="Times New Roman" w:hAnsi="Times New Roman" w:cs="Times New Roman"/>
          <w:color w:val="000000"/>
          <w:sz w:val="24"/>
          <w:szCs w:val="24"/>
        </w:rPr>
      </w:pPr>
    </w:p>
    <w:p w14:paraId="59635280" w14:textId="329FA30E" w:rsidR="004810FE" w:rsidRPr="002E4019" w:rsidRDefault="004810FE" w:rsidP="004810FE">
      <w:pPr>
        <w:spacing w:after="120"/>
        <w:contextualSpacing/>
        <w:jc w:val="both"/>
        <w:rPr>
          <w:rFonts w:ascii="Times New Roman" w:eastAsia="Times New Roman" w:hAnsi="Times New Roman" w:cs="Times New Roman"/>
          <w:b/>
          <w:bCs/>
          <w:color w:val="000000"/>
          <w:sz w:val="24"/>
          <w:szCs w:val="24"/>
        </w:rPr>
      </w:pPr>
      <w:r w:rsidRPr="002E4019">
        <w:rPr>
          <w:rFonts w:ascii="Times New Roman" w:eastAsia="Times New Roman" w:hAnsi="Times New Roman" w:cs="Times New Roman"/>
          <w:b/>
          <w:bCs/>
          <w:color w:val="000000"/>
          <w:sz w:val="24"/>
          <w:szCs w:val="24"/>
        </w:rPr>
        <w:t>Pillar 1: Legal measures</w:t>
      </w:r>
      <w:r w:rsidR="00144EBB" w:rsidRPr="002E4019">
        <w:rPr>
          <w:rFonts w:ascii="Times New Roman" w:eastAsia="Times New Roman" w:hAnsi="Times New Roman" w:cs="Times New Roman"/>
          <w:b/>
          <w:bCs/>
          <w:color w:val="000000"/>
          <w:sz w:val="24"/>
          <w:szCs w:val="24"/>
        </w:rPr>
        <w:t xml:space="preserve">, point 2.9 of the draft guidelines: </w:t>
      </w:r>
    </w:p>
    <w:p w14:paraId="313F0CA1" w14:textId="77777777" w:rsidR="00D21FFB" w:rsidRPr="002E4019" w:rsidRDefault="00D21FFB" w:rsidP="004810FE">
      <w:pPr>
        <w:spacing w:after="120"/>
        <w:contextualSpacing/>
        <w:jc w:val="both"/>
        <w:rPr>
          <w:rFonts w:ascii="Times New Roman" w:eastAsia="Times New Roman" w:hAnsi="Times New Roman" w:cs="Times New Roman"/>
          <w:b/>
          <w:bCs/>
          <w:color w:val="000000"/>
          <w:sz w:val="24"/>
          <w:szCs w:val="24"/>
        </w:rPr>
      </w:pPr>
    </w:p>
    <w:p w14:paraId="7AFAE2DC" w14:textId="76B364EE" w:rsidR="003E6849" w:rsidRPr="002E4019" w:rsidRDefault="00CA71F2" w:rsidP="002E4019">
      <w:pPr>
        <w:spacing w:after="120"/>
        <w:contextualSpacing/>
        <w:jc w:val="both"/>
        <w:rPr>
          <w:rFonts w:ascii="Times New Roman" w:eastAsia="Times New Roman" w:hAnsi="Times New Roman" w:cs="Times New Roman"/>
          <w:i/>
          <w:iCs/>
          <w:color w:val="000000"/>
          <w:sz w:val="24"/>
          <w:szCs w:val="24"/>
        </w:rPr>
      </w:pPr>
      <w:r w:rsidRPr="002E4019">
        <w:rPr>
          <w:rFonts w:ascii="Times New Roman" w:eastAsia="Times New Roman" w:hAnsi="Times New Roman" w:cs="Times New Roman"/>
          <w:i/>
          <w:iCs/>
          <w:color w:val="000000"/>
          <w:sz w:val="24"/>
          <w:szCs w:val="24"/>
        </w:rPr>
        <w:t>“</w:t>
      </w:r>
      <w:r w:rsidR="003E6849" w:rsidRPr="002E4019">
        <w:rPr>
          <w:rFonts w:ascii="Times New Roman" w:eastAsia="Times New Roman" w:hAnsi="Times New Roman" w:cs="Times New Roman"/>
          <w:i/>
          <w:iCs/>
          <w:color w:val="000000"/>
          <w:sz w:val="24"/>
          <w:szCs w:val="24"/>
        </w:rPr>
        <w:t xml:space="preserve">a. </w:t>
      </w:r>
      <w:r w:rsidRPr="002E4019">
        <w:rPr>
          <w:rFonts w:ascii="Times New Roman" w:eastAsia="Times New Roman" w:hAnsi="Times New Roman" w:cs="Times New Roman"/>
          <w:i/>
          <w:iCs/>
          <w:color w:val="000000"/>
          <w:sz w:val="24"/>
          <w:szCs w:val="24"/>
        </w:rPr>
        <w:t>ITU should continue its efforts to facilitate multi-stakeholder discussions and collaboration on the challenges associated with addressing the issue of cybersecurity, and in particular</w:t>
      </w:r>
      <w:r w:rsidR="003E6849" w:rsidRPr="002E4019">
        <w:rPr>
          <w:rFonts w:ascii="Times New Roman" w:eastAsia="Times New Roman" w:hAnsi="Times New Roman" w:cs="Times New Roman"/>
          <w:i/>
          <w:iCs/>
          <w:color w:val="000000"/>
          <w:sz w:val="24"/>
          <w:szCs w:val="24"/>
        </w:rPr>
        <w:t xml:space="preserve"> strengthen its relationship with partners and other stakeholders to deliver assistance to Member States in this regard.</w:t>
      </w:r>
    </w:p>
    <w:p w14:paraId="05DE0E4F" w14:textId="77777777" w:rsidR="003E6849" w:rsidRPr="002E4019" w:rsidRDefault="003E6849" w:rsidP="002E4019">
      <w:pPr>
        <w:spacing w:after="120"/>
        <w:contextualSpacing/>
        <w:jc w:val="both"/>
        <w:rPr>
          <w:rFonts w:ascii="Times New Roman" w:eastAsia="Times New Roman" w:hAnsi="Times New Roman" w:cs="Times New Roman"/>
          <w:i/>
          <w:iCs/>
          <w:color w:val="000000"/>
          <w:sz w:val="24"/>
          <w:szCs w:val="24"/>
          <w:u w:val="single"/>
        </w:rPr>
      </w:pPr>
      <w:r w:rsidRPr="002E4019">
        <w:rPr>
          <w:rFonts w:ascii="Times New Roman" w:eastAsia="Times New Roman" w:hAnsi="Times New Roman" w:cs="Times New Roman"/>
          <w:i/>
          <w:iCs/>
          <w:color w:val="000000"/>
          <w:sz w:val="24"/>
          <w:szCs w:val="24"/>
        </w:rPr>
        <w:t xml:space="preserve">b. ITU should continue to work with partners to </w:t>
      </w:r>
      <w:r w:rsidRPr="002E4019">
        <w:rPr>
          <w:rFonts w:ascii="Times New Roman" w:eastAsia="Times New Roman" w:hAnsi="Times New Roman" w:cs="Times New Roman"/>
          <w:i/>
          <w:iCs/>
          <w:color w:val="000000"/>
          <w:sz w:val="24"/>
          <w:szCs w:val="24"/>
          <w:u w:val="single"/>
        </w:rPr>
        <w:t>develop and maintain resources, such as the Cybercrime Legislation Resources</w:t>
      </w:r>
      <w:r w:rsidRPr="002E4019">
        <w:rPr>
          <w:rFonts w:ascii="Times New Roman" w:eastAsia="Times New Roman" w:hAnsi="Times New Roman" w:cs="Times New Roman"/>
          <w:i/>
          <w:iCs/>
          <w:color w:val="000000"/>
          <w:sz w:val="24"/>
          <w:szCs w:val="24"/>
        </w:rPr>
        <w:t xml:space="preserve">, to help Member States understand the legal aspects of cybersecurity, </w:t>
      </w:r>
      <w:r w:rsidRPr="002E4019">
        <w:rPr>
          <w:rFonts w:ascii="Times New Roman" w:eastAsia="Times New Roman" w:hAnsi="Times New Roman" w:cs="Times New Roman"/>
          <w:i/>
          <w:iCs/>
          <w:color w:val="000000"/>
          <w:sz w:val="24"/>
          <w:szCs w:val="24"/>
          <w:u w:val="single"/>
        </w:rPr>
        <w:t>while also exploring opportunities to work with Member States to support development of frameworks on the subject, including legislation, if so requested.</w:t>
      </w:r>
    </w:p>
    <w:p w14:paraId="32D78DE5" w14:textId="77777777" w:rsidR="003E6849" w:rsidRPr="002E4019" w:rsidRDefault="003E6849" w:rsidP="002E4019">
      <w:pPr>
        <w:spacing w:after="120"/>
        <w:contextualSpacing/>
        <w:jc w:val="both"/>
        <w:rPr>
          <w:rFonts w:ascii="Times New Roman" w:eastAsia="Times New Roman" w:hAnsi="Times New Roman" w:cs="Times New Roman"/>
          <w:i/>
          <w:iCs/>
          <w:color w:val="000000"/>
          <w:sz w:val="24"/>
          <w:szCs w:val="24"/>
        </w:rPr>
      </w:pPr>
      <w:r w:rsidRPr="002E4019">
        <w:rPr>
          <w:rFonts w:ascii="Times New Roman" w:eastAsia="Times New Roman" w:hAnsi="Times New Roman" w:cs="Times New Roman"/>
          <w:i/>
          <w:iCs/>
          <w:color w:val="000000"/>
          <w:sz w:val="24"/>
          <w:szCs w:val="24"/>
        </w:rPr>
        <w:t>c. Member States are urged to design and develop any appropriate legal measures in accordance with their fundamental human rights obligations.</w:t>
      </w:r>
    </w:p>
    <w:p w14:paraId="618E8795" w14:textId="0D8E2AE3" w:rsidR="00CA71F2" w:rsidRPr="002E4019" w:rsidRDefault="003E6849" w:rsidP="009757FD">
      <w:pPr>
        <w:spacing w:after="120"/>
        <w:contextualSpacing/>
        <w:jc w:val="both"/>
        <w:rPr>
          <w:rFonts w:ascii="Times New Roman" w:eastAsia="Times New Roman" w:hAnsi="Times New Roman" w:cs="Times New Roman"/>
          <w:i/>
          <w:iCs/>
          <w:color w:val="000000"/>
          <w:sz w:val="24"/>
          <w:szCs w:val="24"/>
        </w:rPr>
      </w:pPr>
      <w:r w:rsidRPr="002E4019">
        <w:rPr>
          <w:rFonts w:ascii="Times New Roman" w:eastAsia="Times New Roman" w:hAnsi="Times New Roman" w:cs="Times New Roman"/>
          <w:i/>
          <w:iCs/>
          <w:color w:val="000000"/>
          <w:sz w:val="24"/>
          <w:szCs w:val="24"/>
        </w:rPr>
        <w:t xml:space="preserve">d. Member States are encouraged to cooperate as well as work together with other stakeholders to search for a global common ground on legal measures on cybersecurity, while noting and </w:t>
      </w:r>
      <w:r w:rsidR="004B2AA5" w:rsidRPr="002E4019">
        <w:rPr>
          <w:rFonts w:ascii="Times New Roman" w:eastAsia="Times New Roman" w:hAnsi="Times New Roman" w:cs="Times New Roman"/>
          <w:i/>
          <w:iCs/>
          <w:color w:val="000000"/>
          <w:sz w:val="24"/>
          <w:szCs w:val="24"/>
        </w:rPr>
        <w:t>modelling</w:t>
      </w:r>
      <w:r w:rsidRPr="002E4019">
        <w:rPr>
          <w:rFonts w:ascii="Times New Roman" w:eastAsia="Times New Roman" w:hAnsi="Times New Roman" w:cs="Times New Roman"/>
          <w:i/>
          <w:iCs/>
          <w:color w:val="000000"/>
          <w:sz w:val="24"/>
          <w:szCs w:val="24"/>
        </w:rPr>
        <w:t xml:space="preserve"> existing frameworks such as the Council of Europe Convention on Cybercrime of 2001</w:t>
      </w:r>
      <w:r w:rsidR="00EA1575" w:rsidRPr="002E4019">
        <w:rPr>
          <w:rFonts w:ascii="Times New Roman" w:eastAsia="Times New Roman" w:hAnsi="Times New Roman" w:cs="Times New Roman"/>
          <w:i/>
          <w:iCs/>
          <w:color w:val="000000"/>
          <w:sz w:val="24"/>
          <w:szCs w:val="24"/>
        </w:rPr>
        <w:t xml:space="preserve">: </w:t>
      </w:r>
    </w:p>
    <w:p w14:paraId="6B63B76D" w14:textId="77777777" w:rsidR="004810FE" w:rsidRPr="002E4019" w:rsidRDefault="004810FE" w:rsidP="004810FE">
      <w:pPr>
        <w:spacing w:after="120"/>
        <w:contextualSpacing/>
        <w:jc w:val="both"/>
        <w:rPr>
          <w:rFonts w:ascii="Times New Roman" w:eastAsia="Times New Roman" w:hAnsi="Times New Roman" w:cs="Times New Roman"/>
          <w:sz w:val="24"/>
          <w:szCs w:val="24"/>
        </w:rPr>
      </w:pPr>
    </w:p>
    <w:p w14:paraId="376F4521" w14:textId="02C6588C" w:rsidR="00AA173E" w:rsidRPr="002E4019" w:rsidRDefault="00D21FFB" w:rsidP="00AD2008">
      <w:pPr>
        <w:spacing w:after="120"/>
        <w:contextualSpacing/>
        <w:jc w:val="both"/>
        <w:rPr>
          <w:rFonts w:ascii="Times New Roman" w:eastAsia="Times New Roman" w:hAnsi="Times New Roman" w:cs="Times New Roman"/>
          <w:color w:val="000000"/>
          <w:sz w:val="24"/>
          <w:szCs w:val="24"/>
          <w:u w:val="single"/>
        </w:rPr>
      </w:pPr>
      <w:r w:rsidRPr="002E4019">
        <w:rPr>
          <w:rFonts w:ascii="Times New Roman" w:eastAsia="Times New Roman" w:hAnsi="Times New Roman" w:cs="Times New Roman"/>
          <w:color w:val="000000"/>
          <w:sz w:val="24"/>
          <w:szCs w:val="24"/>
          <w:u w:val="single"/>
        </w:rPr>
        <w:t>Observations:</w:t>
      </w:r>
    </w:p>
    <w:p w14:paraId="3C79D272" w14:textId="0041178F" w:rsidR="00CB7A9A" w:rsidRPr="009732F5" w:rsidRDefault="00CB7A9A" w:rsidP="009732F5">
      <w:pPr>
        <w:pStyle w:val="ListParagraph"/>
        <w:numPr>
          <w:ilvl w:val="0"/>
          <w:numId w:val="9"/>
        </w:numPr>
        <w:jc w:val="both"/>
        <w:rPr>
          <w:rFonts w:ascii="Times New Roman" w:hAnsi="Times New Roman" w:cs="Times New Roman"/>
          <w:sz w:val="24"/>
          <w:szCs w:val="24"/>
        </w:rPr>
      </w:pPr>
      <w:r w:rsidRPr="009732F5">
        <w:rPr>
          <w:rFonts w:ascii="Times New Roman" w:hAnsi="Times New Roman" w:cs="Times New Roman"/>
          <w:sz w:val="24"/>
          <w:szCs w:val="24"/>
        </w:rPr>
        <w:t xml:space="preserve">In general, the recommendations in this section of the guidelines pose questions with respect to the remit of the ITU in some aspects given that there are relevant discussions in the UNGA, Council of Europe and elsewhere. In particular, issues related to criminal justice do not fall under the remit of the ITU. </w:t>
      </w:r>
    </w:p>
    <w:p w14:paraId="0B44303E" w14:textId="7E2715BC" w:rsidR="00D21FFB" w:rsidRPr="009732F5" w:rsidRDefault="00977E06" w:rsidP="009732F5">
      <w:pPr>
        <w:pStyle w:val="ListParagraph"/>
        <w:numPr>
          <w:ilvl w:val="0"/>
          <w:numId w:val="9"/>
        </w:numPr>
        <w:jc w:val="both"/>
        <w:rPr>
          <w:rFonts w:ascii="Times New Roman" w:hAnsi="Times New Roman" w:cs="Times New Roman"/>
          <w:sz w:val="24"/>
          <w:szCs w:val="24"/>
        </w:rPr>
      </w:pPr>
      <w:r w:rsidRPr="002E4019">
        <w:rPr>
          <w:rFonts w:ascii="Times New Roman" w:hAnsi="Times New Roman" w:cs="Times New Roman"/>
          <w:sz w:val="24"/>
          <w:szCs w:val="24"/>
        </w:rPr>
        <w:t xml:space="preserve">The </w:t>
      </w:r>
      <w:r w:rsidR="003D0171">
        <w:rPr>
          <w:rFonts w:ascii="Times New Roman" w:hAnsi="Times New Roman" w:cs="Times New Roman"/>
          <w:sz w:val="24"/>
          <w:szCs w:val="24"/>
        </w:rPr>
        <w:t>d</w:t>
      </w:r>
      <w:r w:rsidRPr="002E4019">
        <w:rPr>
          <w:rFonts w:ascii="Times New Roman" w:hAnsi="Times New Roman" w:cs="Times New Roman"/>
          <w:sz w:val="24"/>
          <w:szCs w:val="24"/>
        </w:rPr>
        <w:t xml:space="preserve">raft </w:t>
      </w:r>
      <w:r w:rsidR="00AA173E" w:rsidRPr="009732F5">
        <w:rPr>
          <w:rFonts w:ascii="Times New Roman" w:hAnsi="Times New Roman" w:cs="Times New Roman"/>
          <w:sz w:val="24"/>
          <w:szCs w:val="24"/>
        </w:rPr>
        <w:t>g</w:t>
      </w:r>
      <w:r w:rsidRPr="009732F5">
        <w:rPr>
          <w:rFonts w:ascii="Times New Roman" w:hAnsi="Times New Roman" w:cs="Times New Roman"/>
          <w:sz w:val="24"/>
          <w:szCs w:val="24"/>
        </w:rPr>
        <w:t xml:space="preserve">uidelines </w:t>
      </w:r>
      <w:r w:rsidR="00AA173E" w:rsidRPr="009732F5">
        <w:rPr>
          <w:rFonts w:ascii="Times New Roman" w:hAnsi="Times New Roman" w:cs="Times New Roman"/>
          <w:sz w:val="24"/>
          <w:szCs w:val="24"/>
        </w:rPr>
        <w:t xml:space="preserve">suggest </w:t>
      </w:r>
      <w:r w:rsidRPr="009732F5">
        <w:rPr>
          <w:rFonts w:ascii="Times New Roman" w:hAnsi="Times New Roman" w:cs="Times New Roman"/>
          <w:sz w:val="24"/>
          <w:szCs w:val="24"/>
        </w:rPr>
        <w:t xml:space="preserve">that the </w:t>
      </w:r>
      <w:r w:rsidR="00AB2F91" w:rsidRPr="009732F5">
        <w:rPr>
          <w:rFonts w:ascii="Times New Roman" w:hAnsi="Times New Roman" w:cs="Times New Roman"/>
          <w:sz w:val="24"/>
          <w:szCs w:val="24"/>
        </w:rPr>
        <w:t xml:space="preserve">Council of Europe Convention on cybercrime (the </w:t>
      </w:r>
      <w:r w:rsidRPr="009732F5">
        <w:rPr>
          <w:rFonts w:ascii="Times New Roman" w:hAnsi="Times New Roman" w:cs="Times New Roman"/>
          <w:sz w:val="24"/>
          <w:szCs w:val="24"/>
        </w:rPr>
        <w:t>Budapest Convention</w:t>
      </w:r>
      <w:r w:rsidR="00AB2F91" w:rsidRPr="009732F5">
        <w:rPr>
          <w:rFonts w:ascii="Times New Roman" w:hAnsi="Times New Roman" w:cs="Times New Roman"/>
          <w:sz w:val="24"/>
          <w:szCs w:val="24"/>
        </w:rPr>
        <w:t>)</w:t>
      </w:r>
      <w:r w:rsidRPr="009732F5">
        <w:rPr>
          <w:rFonts w:ascii="Times New Roman" w:hAnsi="Times New Roman" w:cs="Times New Roman"/>
          <w:sz w:val="24"/>
          <w:szCs w:val="24"/>
        </w:rPr>
        <w:t xml:space="preserve"> might be outdated and encourage</w:t>
      </w:r>
      <w:r w:rsidR="003D0171" w:rsidRPr="009732F5">
        <w:rPr>
          <w:rFonts w:ascii="Times New Roman" w:hAnsi="Times New Roman" w:cs="Times New Roman"/>
          <w:sz w:val="24"/>
          <w:szCs w:val="24"/>
        </w:rPr>
        <w:t>s</w:t>
      </w:r>
      <w:r w:rsidRPr="009732F5">
        <w:rPr>
          <w:rFonts w:ascii="Times New Roman" w:hAnsi="Times New Roman" w:cs="Times New Roman"/>
          <w:sz w:val="24"/>
          <w:szCs w:val="24"/>
        </w:rPr>
        <w:t xml:space="preserve"> Member States ‘to search for a global common ground on legal measures on cybersecurity, while noting and </w:t>
      </w:r>
      <w:r w:rsidR="004B2AA5" w:rsidRPr="009732F5">
        <w:rPr>
          <w:rFonts w:ascii="Times New Roman" w:hAnsi="Times New Roman" w:cs="Times New Roman"/>
          <w:sz w:val="24"/>
          <w:szCs w:val="24"/>
        </w:rPr>
        <w:t>modelling</w:t>
      </w:r>
      <w:r w:rsidRPr="009732F5">
        <w:rPr>
          <w:rFonts w:ascii="Times New Roman" w:hAnsi="Times New Roman" w:cs="Times New Roman"/>
          <w:sz w:val="24"/>
          <w:szCs w:val="24"/>
        </w:rPr>
        <w:t xml:space="preserve"> existing frameworks such as the Council of Europe Convention on Cybercrime of 2001’</w:t>
      </w:r>
      <w:r w:rsidR="00AA173E" w:rsidRPr="009732F5">
        <w:rPr>
          <w:rFonts w:ascii="Times New Roman" w:hAnsi="Times New Roman" w:cs="Times New Roman"/>
          <w:sz w:val="24"/>
          <w:szCs w:val="24"/>
        </w:rPr>
        <w:t>.</w:t>
      </w:r>
    </w:p>
    <w:p w14:paraId="347B95E6" w14:textId="30030CF1" w:rsidR="00D21FFB" w:rsidRPr="009732F5" w:rsidRDefault="00330C9D" w:rsidP="009732F5">
      <w:pPr>
        <w:pStyle w:val="ListParagraph"/>
        <w:numPr>
          <w:ilvl w:val="0"/>
          <w:numId w:val="9"/>
        </w:numPr>
        <w:jc w:val="both"/>
        <w:rPr>
          <w:rFonts w:ascii="Times New Roman" w:hAnsi="Times New Roman" w:cs="Times New Roman"/>
          <w:sz w:val="24"/>
          <w:szCs w:val="24"/>
        </w:rPr>
      </w:pPr>
      <w:r w:rsidRPr="009732F5">
        <w:rPr>
          <w:rFonts w:ascii="Times New Roman" w:hAnsi="Times New Roman" w:cs="Times New Roman"/>
          <w:sz w:val="24"/>
          <w:szCs w:val="24"/>
        </w:rPr>
        <w:t>T</w:t>
      </w:r>
      <w:r w:rsidR="00AE62CD" w:rsidRPr="009732F5">
        <w:rPr>
          <w:rFonts w:ascii="Times New Roman" w:hAnsi="Times New Roman" w:cs="Times New Roman"/>
          <w:sz w:val="24"/>
          <w:szCs w:val="24"/>
        </w:rPr>
        <w:t>he Budapest Convention is the best model for countries seeking to develop their own national legislative approach.  It is a comprehensive multilateral legal framework that allows for increasing international capacity and cooperation</w:t>
      </w:r>
      <w:r w:rsidR="00CB1014" w:rsidRPr="009732F5">
        <w:rPr>
          <w:rFonts w:ascii="Times New Roman" w:hAnsi="Times New Roman" w:cs="Times New Roman"/>
          <w:sz w:val="24"/>
          <w:szCs w:val="24"/>
        </w:rPr>
        <w:t>.</w:t>
      </w:r>
    </w:p>
    <w:p w14:paraId="0FF80B4D" w14:textId="12892763" w:rsidR="00D21FFB" w:rsidRPr="009732F5" w:rsidRDefault="00AE62CD" w:rsidP="009732F5">
      <w:pPr>
        <w:pStyle w:val="ListParagraph"/>
        <w:numPr>
          <w:ilvl w:val="0"/>
          <w:numId w:val="9"/>
        </w:numPr>
        <w:jc w:val="both"/>
        <w:rPr>
          <w:rFonts w:ascii="Times New Roman" w:hAnsi="Times New Roman" w:cs="Times New Roman"/>
          <w:sz w:val="24"/>
          <w:szCs w:val="24"/>
        </w:rPr>
      </w:pPr>
      <w:r w:rsidRPr="009732F5">
        <w:rPr>
          <w:rFonts w:ascii="Times New Roman" w:hAnsi="Times New Roman" w:cs="Times New Roman"/>
          <w:sz w:val="24"/>
          <w:szCs w:val="24"/>
        </w:rPr>
        <w:t>The Budapest Convention provides a strong model, which we consider as an effective standard of cyber legislation</w:t>
      </w:r>
      <w:r w:rsidR="00A37DA9" w:rsidRPr="009732F5">
        <w:rPr>
          <w:rFonts w:ascii="Times New Roman" w:hAnsi="Times New Roman" w:cs="Times New Roman"/>
          <w:sz w:val="24"/>
          <w:szCs w:val="24"/>
        </w:rPr>
        <w:t xml:space="preserve"> also in the context of emerging digital technologies such as those enumerated in the report</w:t>
      </w:r>
      <w:r w:rsidRPr="009732F5">
        <w:rPr>
          <w:rFonts w:ascii="Times New Roman" w:hAnsi="Times New Roman" w:cs="Times New Roman"/>
          <w:sz w:val="24"/>
          <w:szCs w:val="24"/>
        </w:rPr>
        <w:t xml:space="preserve">. </w:t>
      </w:r>
      <w:r w:rsidR="003F160C" w:rsidRPr="009732F5">
        <w:rPr>
          <w:rFonts w:ascii="Times New Roman" w:hAnsi="Times New Roman" w:cs="Times New Roman"/>
          <w:sz w:val="24"/>
          <w:szCs w:val="24"/>
        </w:rPr>
        <w:t xml:space="preserve">The Convention </w:t>
      </w:r>
      <w:r w:rsidRPr="009732F5">
        <w:rPr>
          <w:rFonts w:ascii="Times New Roman" w:hAnsi="Times New Roman" w:cs="Times New Roman"/>
          <w:sz w:val="24"/>
          <w:szCs w:val="24"/>
        </w:rPr>
        <w:t xml:space="preserve"> is technology-neutral so that the substantive criminal law offences may be applied to both current and future technologies involved, while its overseeing Cybercrime Convention Committee is mandated to issue Guidance Notes to facilitate the effective use and implementation of the Convention, also in the light of legal, policy and technological developments. </w:t>
      </w:r>
      <w:r w:rsidR="00D21FFB" w:rsidRPr="009732F5">
        <w:rPr>
          <w:rFonts w:ascii="Times New Roman" w:hAnsi="Times New Roman" w:cs="Times New Roman"/>
          <w:sz w:val="24"/>
          <w:szCs w:val="24"/>
        </w:rPr>
        <w:t xml:space="preserve"> </w:t>
      </w:r>
      <w:r w:rsidRPr="009732F5">
        <w:rPr>
          <w:rFonts w:ascii="Times New Roman" w:hAnsi="Times New Roman" w:cs="Times New Roman"/>
          <w:sz w:val="24"/>
          <w:szCs w:val="24"/>
        </w:rPr>
        <w:t>The second additional Protocol which is currently negotiated also aims at addressing remaining challenges by opening new channels of international cooperation.</w:t>
      </w:r>
    </w:p>
    <w:p w14:paraId="147B8457" w14:textId="77777777" w:rsidR="000B3D35" w:rsidRPr="002E4019" w:rsidRDefault="000B3D35" w:rsidP="002E4019">
      <w:pPr>
        <w:spacing w:after="120"/>
        <w:contextualSpacing/>
        <w:jc w:val="both"/>
        <w:rPr>
          <w:rFonts w:ascii="Times New Roman" w:hAnsi="Times New Roman" w:cs="Times New Roman"/>
          <w:sz w:val="24"/>
          <w:szCs w:val="24"/>
        </w:rPr>
      </w:pPr>
    </w:p>
    <w:p w14:paraId="7328A222" w14:textId="77777777" w:rsidR="00C71986" w:rsidRDefault="00C71986" w:rsidP="00AB7718">
      <w:pPr>
        <w:rPr>
          <w:rFonts w:ascii="Times New Roman" w:hAnsi="Times New Roman" w:cs="Times New Roman"/>
          <w:b/>
          <w:bCs/>
          <w:sz w:val="24"/>
          <w:szCs w:val="24"/>
        </w:rPr>
      </w:pPr>
    </w:p>
    <w:p w14:paraId="3C0908DA" w14:textId="77777777" w:rsidR="00911E52" w:rsidRDefault="00911E52" w:rsidP="00AB7718">
      <w:pPr>
        <w:rPr>
          <w:rFonts w:ascii="Times New Roman" w:hAnsi="Times New Roman" w:cs="Times New Roman"/>
          <w:b/>
          <w:bCs/>
          <w:sz w:val="24"/>
          <w:szCs w:val="24"/>
        </w:rPr>
      </w:pPr>
    </w:p>
    <w:p w14:paraId="005ADAB5" w14:textId="77777777" w:rsidR="00911E52" w:rsidRDefault="00911E52" w:rsidP="00AB7718">
      <w:pPr>
        <w:rPr>
          <w:rFonts w:ascii="Times New Roman" w:hAnsi="Times New Roman" w:cs="Times New Roman"/>
          <w:b/>
          <w:bCs/>
          <w:sz w:val="24"/>
          <w:szCs w:val="24"/>
        </w:rPr>
      </w:pPr>
    </w:p>
    <w:p w14:paraId="5291AAB6" w14:textId="41A55FD9" w:rsidR="00AB7718" w:rsidRPr="002E4019" w:rsidRDefault="004810FE" w:rsidP="00AB7718">
      <w:pPr>
        <w:rPr>
          <w:rFonts w:ascii="Times New Roman" w:hAnsi="Times New Roman" w:cs="Times New Roman"/>
          <w:b/>
          <w:bCs/>
          <w:sz w:val="24"/>
          <w:szCs w:val="24"/>
        </w:rPr>
      </w:pPr>
      <w:r w:rsidRPr="002E4019">
        <w:rPr>
          <w:rFonts w:ascii="Times New Roman" w:hAnsi="Times New Roman" w:cs="Times New Roman"/>
          <w:b/>
          <w:bCs/>
          <w:sz w:val="24"/>
          <w:szCs w:val="24"/>
        </w:rPr>
        <w:lastRenderedPageBreak/>
        <w:t>Pillar 2: Technical and procedural matters</w:t>
      </w:r>
      <w:r w:rsidR="00AB7718" w:rsidRPr="002E4019">
        <w:rPr>
          <w:rFonts w:ascii="Times New Roman" w:hAnsi="Times New Roman" w:cs="Times New Roman"/>
          <w:b/>
          <w:bCs/>
          <w:sz w:val="24"/>
          <w:szCs w:val="24"/>
        </w:rPr>
        <w:t>, Point 3.12 in the context of elaborations in point 3.9</w:t>
      </w:r>
      <w:r w:rsidR="00EA1575" w:rsidRPr="002E4019">
        <w:rPr>
          <w:rFonts w:ascii="Times New Roman" w:hAnsi="Times New Roman" w:cs="Times New Roman"/>
          <w:b/>
          <w:bCs/>
          <w:sz w:val="24"/>
          <w:szCs w:val="24"/>
        </w:rPr>
        <w:t>:</w:t>
      </w:r>
    </w:p>
    <w:p w14:paraId="154397D3" w14:textId="77777777" w:rsidR="00AB7718" w:rsidRPr="002E4019" w:rsidRDefault="00AB7718" w:rsidP="00AB7718">
      <w:pPr>
        <w:rPr>
          <w:rFonts w:ascii="Times New Roman" w:hAnsi="Times New Roman" w:cs="Times New Roman"/>
          <w:b/>
          <w:bCs/>
          <w:sz w:val="24"/>
          <w:szCs w:val="24"/>
        </w:rPr>
      </w:pPr>
    </w:p>
    <w:p w14:paraId="394EE7F4" w14:textId="603D14DA" w:rsidR="00AB7718" w:rsidRPr="002E4019" w:rsidRDefault="00DF06E7" w:rsidP="002E4019">
      <w:pPr>
        <w:jc w:val="both"/>
        <w:rPr>
          <w:rFonts w:ascii="Times New Roman" w:hAnsi="Times New Roman" w:cs="Times New Roman"/>
          <w:i/>
          <w:iCs/>
          <w:sz w:val="24"/>
          <w:szCs w:val="24"/>
        </w:rPr>
      </w:pPr>
      <w:r w:rsidRPr="002E4019">
        <w:rPr>
          <w:rFonts w:ascii="Times New Roman" w:hAnsi="Times New Roman" w:cs="Times New Roman"/>
          <w:i/>
          <w:iCs/>
          <w:sz w:val="24"/>
          <w:szCs w:val="24"/>
        </w:rPr>
        <w:t>“</w:t>
      </w:r>
      <w:r w:rsidR="00AB7718" w:rsidRPr="002E4019">
        <w:rPr>
          <w:rFonts w:ascii="Times New Roman" w:hAnsi="Times New Roman" w:cs="Times New Roman"/>
          <w:i/>
          <w:iCs/>
          <w:sz w:val="24"/>
          <w:szCs w:val="24"/>
        </w:rPr>
        <w:t>a. All recommendations made in the HLEG Report 2008 (Recommendations 2.1 – 2.16) are still valid. All Member States are encouraged to commit to a shared global cybersecurity vision, to continue to implement these recommendations (2.1 – 2.16), and to support ITU in becoming “the global centre of excellence” for developing Recommendations on technical and procedural measures for cybersecurity in areas within its mandate (as referenced in the HLEG Report 2008).</w:t>
      </w:r>
    </w:p>
    <w:p w14:paraId="23253B55" w14:textId="77777777" w:rsidR="00AB7718" w:rsidRPr="002E4019" w:rsidRDefault="00AB7718" w:rsidP="002E4019">
      <w:pPr>
        <w:jc w:val="both"/>
        <w:rPr>
          <w:rFonts w:ascii="Times New Roman" w:hAnsi="Times New Roman" w:cs="Times New Roman"/>
          <w:i/>
          <w:iCs/>
          <w:sz w:val="24"/>
          <w:szCs w:val="24"/>
        </w:rPr>
      </w:pPr>
      <w:r w:rsidRPr="002E4019">
        <w:rPr>
          <w:rFonts w:ascii="Times New Roman" w:hAnsi="Times New Roman" w:cs="Times New Roman"/>
          <w:i/>
          <w:iCs/>
          <w:sz w:val="24"/>
          <w:szCs w:val="24"/>
        </w:rPr>
        <w:t>b. ITU study groups should focus on emerging security technologies in order to study and formulate guidelines for the use of related technologies, and guide Member States on applying these in a timely manner in order to counter changing and escalating cyber threats.</w:t>
      </w:r>
    </w:p>
    <w:p w14:paraId="041322C3" w14:textId="0594F7AE" w:rsidR="00AB7718" w:rsidRPr="002E4019" w:rsidRDefault="00AB7718" w:rsidP="002E4019">
      <w:pPr>
        <w:jc w:val="both"/>
        <w:rPr>
          <w:rFonts w:ascii="Times New Roman" w:hAnsi="Times New Roman" w:cs="Times New Roman"/>
          <w:i/>
          <w:iCs/>
          <w:sz w:val="24"/>
          <w:szCs w:val="24"/>
        </w:rPr>
      </w:pPr>
      <w:r w:rsidRPr="002E4019">
        <w:rPr>
          <w:rFonts w:ascii="Times New Roman" w:hAnsi="Times New Roman" w:cs="Times New Roman"/>
          <w:i/>
          <w:iCs/>
          <w:sz w:val="24"/>
          <w:szCs w:val="24"/>
        </w:rPr>
        <w:t>c. A mechanism for close cooperation should be established among the various ITU-T study groups regarding the study of security-related matters, with SG17 in a coordinating/leading role, so that the highest possible degree of end-to-end security is maintained throughout the standardization process of all components and interfaces of ICT products.</w:t>
      </w:r>
      <w:r w:rsidR="00DF06E7" w:rsidRPr="002E4019">
        <w:rPr>
          <w:rFonts w:ascii="Times New Roman" w:hAnsi="Times New Roman" w:cs="Times New Roman"/>
          <w:i/>
          <w:iCs/>
          <w:sz w:val="24"/>
          <w:szCs w:val="24"/>
        </w:rPr>
        <w:t>”</w:t>
      </w:r>
    </w:p>
    <w:p w14:paraId="28CE5AC8" w14:textId="77777777" w:rsidR="004810FE" w:rsidRPr="002E4019" w:rsidRDefault="004810FE">
      <w:pPr>
        <w:rPr>
          <w:rFonts w:ascii="Times New Roman" w:hAnsi="Times New Roman" w:cs="Times New Roman"/>
          <w:sz w:val="24"/>
          <w:szCs w:val="24"/>
        </w:rPr>
      </w:pPr>
    </w:p>
    <w:p w14:paraId="090CE74D" w14:textId="4F74666C" w:rsidR="00CB1014" w:rsidRPr="002E4019" w:rsidRDefault="00CB1014">
      <w:pPr>
        <w:jc w:val="both"/>
        <w:rPr>
          <w:rFonts w:ascii="Times New Roman" w:hAnsi="Times New Roman" w:cs="Times New Roman"/>
          <w:sz w:val="24"/>
          <w:szCs w:val="24"/>
        </w:rPr>
      </w:pPr>
      <w:r w:rsidRPr="002E4019">
        <w:rPr>
          <w:rFonts w:ascii="Times New Roman" w:hAnsi="Times New Roman" w:cs="Times New Roman"/>
          <w:sz w:val="24"/>
          <w:szCs w:val="24"/>
          <w:u w:val="single"/>
        </w:rPr>
        <w:t>Observations:</w:t>
      </w:r>
    </w:p>
    <w:p w14:paraId="7081430A" w14:textId="16078AE0" w:rsidR="00571C50" w:rsidRPr="002E4019" w:rsidRDefault="00775E0E" w:rsidP="006E743A">
      <w:pPr>
        <w:pStyle w:val="ListParagraph"/>
        <w:numPr>
          <w:ilvl w:val="0"/>
          <w:numId w:val="9"/>
        </w:numPr>
        <w:jc w:val="both"/>
        <w:rPr>
          <w:rFonts w:ascii="Times New Roman" w:hAnsi="Times New Roman" w:cs="Times New Roman"/>
          <w:sz w:val="24"/>
          <w:szCs w:val="24"/>
        </w:rPr>
      </w:pPr>
      <w:r w:rsidRPr="002E4019">
        <w:rPr>
          <w:rFonts w:ascii="Times New Roman" w:hAnsi="Times New Roman" w:cs="Times New Roman"/>
          <w:sz w:val="24"/>
          <w:szCs w:val="24"/>
        </w:rPr>
        <w:t>While the recommendations above address the work of ITU standardisation sector</w:t>
      </w:r>
      <w:r w:rsidR="001A2372">
        <w:rPr>
          <w:rFonts w:ascii="Times New Roman" w:hAnsi="Times New Roman" w:cs="Times New Roman"/>
          <w:sz w:val="24"/>
          <w:szCs w:val="24"/>
        </w:rPr>
        <w:t xml:space="preserve"> (ITU-T)</w:t>
      </w:r>
      <w:r w:rsidR="00702BFF" w:rsidRPr="002E4019">
        <w:rPr>
          <w:rFonts w:ascii="Times New Roman" w:hAnsi="Times New Roman" w:cs="Times New Roman"/>
          <w:sz w:val="24"/>
          <w:szCs w:val="24"/>
        </w:rPr>
        <w:t xml:space="preserve">, the reference to </w:t>
      </w:r>
      <w:r w:rsidR="001A1057" w:rsidRPr="002E4019">
        <w:rPr>
          <w:rFonts w:ascii="Times New Roman" w:hAnsi="Times New Roman" w:cs="Times New Roman"/>
          <w:sz w:val="24"/>
          <w:szCs w:val="24"/>
        </w:rPr>
        <w:t>development of “norms”</w:t>
      </w:r>
      <w:r w:rsidR="004F7C8F" w:rsidRPr="002E4019">
        <w:rPr>
          <w:rFonts w:ascii="Times New Roman" w:hAnsi="Times New Roman" w:cs="Times New Roman"/>
          <w:sz w:val="24"/>
          <w:szCs w:val="24"/>
        </w:rPr>
        <w:t xml:space="preserve"> in the draft document </w:t>
      </w:r>
      <w:r w:rsidR="001A1057" w:rsidRPr="002E4019">
        <w:rPr>
          <w:rFonts w:ascii="Times New Roman" w:hAnsi="Times New Roman" w:cs="Times New Roman"/>
          <w:sz w:val="24"/>
          <w:szCs w:val="24"/>
        </w:rPr>
        <w:t xml:space="preserve">could be interpreted </w:t>
      </w:r>
      <w:r w:rsidR="00895B53" w:rsidRPr="002E4019">
        <w:rPr>
          <w:rFonts w:ascii="Times New Roman" w:hAnsi="Times New Roman" w:cs="Times New Roman"/>
          <w:sz w:val="24"/>
          <w:szCs w:val="24"/>
        </w:rPr>
        <w:t xml:space="preserve">as referring </w:t>
      </w:r>
      <w:r w:rsidR="008B3F41">
        <w:rPr>
          <w:rFonts w:ascii="Times New Roman" w:hAnsi="Times New Roman" w:cs="Times New Roman"/>
          <w:sz w:val="24"/>
          <w:szCs w:val="24"/>
        </w:rPr>
        <w:t xml:space="preserve">to the development of norms to guide responsible State behaviour in </w:t>
      </w:r>
      <w:r w:rsidR="008C739A">
        <w:rPr>
          <w:rFonts w:ascii="Times New Roman" w:hAnsi="Times New Roman" w:cs="Times New Roman"/>
          <w:sz w:val="24"/>
          <w:szCs w:val="24"/>
        </w:rPr>
        <w:t>their use of ICTs</w:t>
      </w:r>
      <w:r w:rsidR="008B3F41">
        <w:rPr>
          <w:rFonts w:ascii="Times New Roman" w:hAnsi="Times New Roman" w:cs="Times New Roman"/>
          <w:sz w:val="24"/>
          <w:szCs w:val="24"/>
        </w:rPr>
        <w:t>. This point should be further clarified in the text</w:t>
      </w:r>
      <w:r w:rsidR="00895B53" w:rsidRPr="002E4019">
        <w:rPr>
          <w:rFonts w:ascii="Times New Roman" w:hAnsi="Times New Roman" w:cs="Times New Roman"/>
          <w:sz w:val="24"/>
          <w:szCs w:val="24"/>
        </w:rPr>
        <w:t xml:space="preserve">. </w:t>
      </w:r>
    </w:p>
    <w:p w14:paraId="55E3D136" w14:textId="14407F2A" w:rsidR="00571C50" w:rsidRPr="002E4019" w:rsidRDefault="00895B53" w:rsidP="006E743A">
      <w:pPr>
        <w:pStyle w:val="ListParagraph"/>
        <w:numPr>
          <w:ilvl w:val="0"/>
          <w:numId w:val="9"/>
        </w:numPr>
        <w:jc w:val="both"/>
        <w:rPr>
          <w:rFonts w:ascii="Times New Roman" w:hAnsi="Times New Roman" w:cs="Times New Roman"/>
          <w:sz w:val="24"/>
          <w:szCs w:val="24"/>
        </w:rPr>
      </w:pPr>
      <w:r w:rsidRPr="002E4019">
        <w:rPr>
          <w:rFonts w:ascii="Times New Roman" w:hAnsi="Times New Roman" w:cs="Times New Roman"/>
          <w:sz w:val="24"/>
          <w:szCs w:val="24"/>
        </w:rPr>
        <w:t>In this context</w:t>
      </w:r>
      <w:r w:rsidR="008B3F41">
        <w:rPr>
          <w:rFonts w:ascii="Times New Roman" w:hAnsi="Times New Roman" w:cs="Times New Roman"/>
          <w:sz w:val="24"/>
          <w:szCs w:val="24"/>
        </w:rPr>
        <w:t>,</w:t>
      </w:r>
      <w:r w:rsidRPr="002E4019">
        <w:rPr>
          <w:rFonts w:ascii="Times New Roman" w:hAnsi="Times New Roman" w:cs="Times New Roman"/>
          <w:sz w:val="24"/>
          <w:szCs w:val="24"/>
        </w:rPr>
        <w:t xml:space="preserve"> it is worth recalling that t</w:t>
      </w:r>
      <w:r w:rsidR="00BF0D75" w:rsidRPr="002E4019">
        <w:rPr>
          <w:rFonts w:ascii="Times New Roman" w:hAnsi="Times New Roman" w:cs="Times New Roman"/>
          <w:sz w:val="24"/>
          <w:szCs w:val="24"/>
        </w:rPr>
        <w:t>he EU and its Member States do not believe that</w:t>
      </w:r>
      <w:r w:rsidR="00AF4617" w:rsidRPr="002E4019">
        <w:rPr>
          <w:rFonts w:ascii="Times New Roman" w:hAnsi="Times New Roman" w:cs="Times New Roman"/>
          <w:sz w:val="24"/>
          <w:szCs w:val="24"/>
        </w:rPr>
        <w:t xml:space="preserve"> it is appropriate to </w:t>
      </w:r>
      <w:r w:rsidR="004404E6" w:rsidRPr="002E4019">
        <w:rPr>
          <w:rFonts w:ascii="Times New Roman" w:hAnsi="Times New Roman" w:cs="Times New Roman"/>
          <w:sz w:val="24"/>
          <w:szCs w:val="24"/>
        </w:rPr>
        <w:t>support t</w:t>
      </w:r>
      <w:r w:rsidR="00AF4617" w:rsidRPr="002E4019">
        <w:rPr>
          <w:rFonts w:ascii="Times New Roman" w:hAnsi="Times New Roman" w:cs="Times New Roman"/>
          <w:sz w:val="24"/>
          <w:szCs w:val="24"/>
        </w:rPr>
        <w:t>he</w:t>
      </w:r>
      <w:r w:rsidR="004404E6" w:rsidRPr="002E4019">
        <w:rPr>
          <w:rFonts w:ascii="Times New Roman" w:hAnsi="Times New Roman" w:cs="Times New Roman"/>
          <w:sz w:val="24"/>
          <w:szCs w:val="24"/>
        </w:rPr>
        <w:t xml:space="preserve"> ITU in becoming the “global centre of excellence” </w:t>
      </w:r>
      <w:r w:rsidR="002F2237" w:rsidRPr="002E4019">
        <w:rPr>
          <w:rFonts w:ascii="Times New Roman" w:hAnsi="Times New Roman" w:cs="Times New Roman"/>
          <w:sz w:val="24"/>
          <w:szCs w:val="24"/>
        </w:rPr>
        <w:t xml:space="preserve">for development of such norms. </w:t>
      </w:r>
      <w:r w:rsidR="00BF0D75" w:rsidRPr="002E4019">
        <w:rPr>
          <w:rFonts w:ascii="Times New Roman" w:hAnsi="Times New Roman" w:cs="Times New Roman"/>
          <w:sz w:val="24"/>
          <w:szCs w:val="24"/>
        </w:rPr>
        <w:t>The EU and its Member States strongly support existing efforts regarding the application of existing international law; the development and implementation of universal norms of responsible State behaviour; and regional confidence building measures between States</w:t>
      </w:r>
      <w:r w:rsidR="004404E6" w:rsidRPr="002E4019">
        <w:rPr>
          <w:rFonts w:ascii="Times New Roman" w:hAnsi="Times New Roman" w:cs="Times New Roman"/>
          <w:sz w:val="24"/>
          <w:szCs w:val="24"/>
        </w:rPr>
        <w:t xml:space="preserve"> within the UN framework, in particular the UN GGE and OEWG</w:t>
      </w:r>
      <w:r w:rsidR="00BF0D75" w:rsidRPr="002E4019">
        <w:rPr>
          <w:rFonts w:ascii="Times New Roman" w:hAnsi="Times New Roman" w:cs="Times New Roman"/>
          <w:sz w:val="24"/>
          <w:szCs w:val="24"/>
        </w:rPr>
        <w:t xml:space="preserve">. </w:t>
      </w:r>
    </w:p>
    <w:p w14:paraId="08FA64B3" w14:textId="77777777" w:rsidR="004810FE" w:rsidRPr="002E4019" w:rsidRDefault="004810FE">
      <w:pPr>
        <w:rPr>
          <w:rFonts w:ascii="Times New Roman" w:hAnsi="Times New Roman" w:cs="Times New Roman"/>
          <w:sz w:val="24"/>
          <w:szCs w:val="24"/>
        </w:rPr>
      </w:pPr>
    </w:p>
    <w:p w14:paraId="08F5D650" w14:textId="3C575E69" w:rsidR="004810FE" w:rsidRPr="002E4019" w:rsidRDefault="004810FE">
      <w:pPr>
        <w:rPr>
          <w:rFonts w:ascii="Times New Roman" w:hAnsi="Times New Roman" w:cs="Times New Roman"/>
          <w:b/>
          <w:bCs/>
          <w:sz w:val="24"/>
          <w:szCs w:val="24"/>
        </w:rPr>
      </w:pPr>
      <w:r w:rsidRPr="002E4019">
        <w:rPr>
          <w:rFonts w:ascii="Times New Roman" w:hAnsi="Times New Roman" w:cs="Times New Roman"/>
          <w:b/>
          <w:bCs/>
          <w:sz w:val="24"/>
          <w:szCs w:val="24"/>
        </w:rPr>
        <w:t>Pillar 5: International cooperation</w:t>
      </w:r>
      <w:r w:rsidR="005D0CAA" w:rsidRPr="002E4019">
        <w:rPr>
          <w:rFonts w:ascii="Times New Roman" w:hAnsi="Times New Roman" w:cs="Times New Roman"/>
          <w:b/>
          <w:bCs/>
          <w:sz w:val="24"/>
          <w:szCs w:val="24"/>
        </w:rPr>
        <w:t>, point 6.17:</w:t>
      </w:r>
    </w:p>
    <w:p w14:paraId="6D00D2D8" w14:textId="77777777" w:rsidR="005E20B0" w:rsidRDefault="005E20B0" w:rsidP="00D157B7">
      <w:pPr>
        <w:jc w:val="both"/>
        <w:rPr>
          <w:rFonts w:ascii="Times New Roman" w:hAnsi="Times New Roman" w:cs="Times New Roman"/>
          <w:i/>
          <w:iCs/>
          <w:sz w:val="24"/>
          <w:szCs w:val="24"/>
        </w:rPr>
      </w:pPr>
    </w:p>
    <w:p w14:paraId="59BB7B66" w14:textId="74E2AE7C" w:rsidR="005E20B0" w:rsidRPr="005E20B0" w:rsidRDefault="005E20B0" w:rsidP="006D045E">
      <w:pPr>
        <w:pStyle w:val="Default"/>
        <w:jc w:val="both"/>
        <w:rPr>
          <w:rFonts w:ascii="Times New Roman" w:hAnsi="Times New Roman" w:cs="Times New Roman"/>
          <w:i/>
          <w:iCs/>
        </w:rPr>
      </w:pPr>
      <w:r>
        <w:rPr>
          <w:rFonts w:ascii="Times New Roman" w:hAnsi="Times New Roman" w:cs="Times New Roman"/>
          <w:i/>
          <w:iCs/>
        </w:rPr>
        <w:t>“a</w:t>
      </w:r>
      <w:r w:rsidR="00D479D7">
        <w:rPr>
          <w:rFonts w:ascii="Times New Roman" w:hAnsi="Times New Roman" w:cs="Times New Roman"/>
          <w:i/>
          <w:iCs/>
        </w:rPr>
        <w:t>.</w:t>
      </w:r>
      <w:r w:rsidRPr="006D045E">
        <w:rPr>
          <w:rFonts w:ascii="Times New Roman" w:hAnsi="Times New Roman" w:cs="Times New Roman"/>
          <w:i/>
          <w:iCs/>
        </w:rPr>
        <w:t xml:space="preserve"> The United Nations has a unique role in fostering cooperation, dialogue, and coordination among all nations, as well as with the private sector and other stakeholders, on global cybersecurity matters. ITU, considering its position in the UN system as the specialized agency for ICTs, and sole facilitator of Action Line C5 (Building confidence and security in the use of ICTs) should continue to play a leading role, within its mandate, in related developments.” </w:t>
      </w:r>
    </w:p>
    <w:p w14:paraId="0C1045CA" w14:textId="2553FBC6" w:rsidR="005D0CAA" w:rsidRDefault="005D0CAA" w:rsidP="00D157B7">
      <w:pPr>
        <w:jc w:val="both"/>
        <w:rPr>
          <w:rFonts w:ascii="Times New Roman" w:hAnsi="Times New Roman" w:cs="Times New Roman"/>
          <w:i/>
          <w:iCs/>
          <w:sz w:val="24"/>
          <w:szCs w:val="24"/>
        </w:rPr>
      </w:pPr>
      <w:r w:rsidRPr="002E4019">
        <w:rPr>
          <w:rFonts w:ascii="Times New Roman" w:hAnsi="Times New Roman" w:cs="Times New Roman"/>
          <w:i/>
          <w:iCs/>
          <w:sz w:val="24"/>
          <w:szCs w:val="24"/>
        </w:rPr>
        <w:t>“</w:t>
      </w:r>
      <w:r w:rsidR="00565396" w:rsidRPr="002E4019">
        <w:rPr>
          <w:rFonts w:ascii="Times New Roman" w:hAnsi="Times New Roman" w:cs="Times New Roman"/>
          <w:i/>
          <w:iCs/>
          <w:sz w:val="24"/>
          <w:szCs w:val="24"/>
        </w:rPr>
        <w:t>b</w:t>
      </w:r>
      <w:r w:rsidRPr="002E4019">
        <w:rPr>
          <w:rFonts w:ascii="Times New Roman" w:hAnsi="Times New Roman" w:cs="Times New Roman"/>
          <w:i/>
          <w:iCs/>
          <w:sz w:val="24"/>
          <w:szCs w:val="24"/>
        </w:rPr>
        <w:t>. Based on the WSIS Process and taking into account the efforts of the UN Secretary-General’s High Level Panel on Digital Cooperation – especially Recommendation 4 (Global Commitment on Trust and Security), ITU should help strengthen facilitation efforts in bringing different players together, including the conveners of the various processes. These could be through the mechanisms offered under Action Line C5 related processes through the WSIS Forum, as well as those offered by the IGF, among others.”</w:t>
      </w:r>
    </w:p>
    <w:p w14:paraId="0F803F69" w14:textId="374CCA5A" w:rsidR="005E20B0" w:rsidRPr="006D045E" w:rsidRDefault="005E20B0" w:rsidP="005E20B0">
      <w:pPr>
        <w:pStyle w:val="Default"/>
        <w:jc w:val="both"/>
        <w:rPr>
          <w:rFonts w:ascii="Times New Roman" w:hAnsi="Times New Roman" w:cs="Times New Roman"/>
          <w:i/>
          <w:iCs/>
          <w:color w:val="auto"/>
        </w:rPr>
      </w:pPr>
      <w:r w:rsidRPr="006D045E">
        <w:rPr>
          <w:rFonts w:ascii="Times New Roman" w:hAnsi="Times New Roman" w:cs="Times New Roman"/>
          <w:i/>
          <w:iCs/>
          <w:color w:val="auto"/>
        </w:rPr>
        <w:t>“c</w:t>
      </w:r>
      <w:r w:rsidR="00D479D7">
        <w:rPr>
          <w:rFonts w:ascii="Times New Roman" w:hAnsi="Times New Roman" w:cs="Times New Roman"/>
          <w:i/>
          <w:iCs/>
          <w:color w:val="auto"/>
        </w:rPr>
        <w:t>.</w:t>
      </w:r>
      <w:r w:rsidRPr="006D045E">
        <w:rPr>
          <w:rFonts w:ascii="Times New Roman" w:hAnsi="Times New Roman" w:cs="Times New Roman"/>
          <w:i/>
          <w:iCs/>
          <w:color w:val="auto"/>
        </w:rPr>
        <w:t xml:space="preserve"> While bilateral and multilateral discussions among key players should continue to be encouraged, given the global nature of cyber threats, it is also important that broader discussions should be facilitated among wider groups, including the private sector and other stakeholders. ITU could play a key facilitating role in this regard – working with partners to help bring together Member States and other stakeholders within the wider global context of the United Nations.</w:t>
      </w:r>
      <w:r w:rsidR="006D045E">
        <w:rPr>
          <w:rFonts w:ascii="Times New Roman" w:hAnsi="Times New Roman" w:cs="Times New Roman"/>
          <w:i/>
          <w:iCs/>
          <w:color w:val="auto"/>
        </w:rPr>
        <w:t>”</w:t>
      </w:r>
      <w:r w:rsidRPr="006D045E">
        <w:rPr>
          <w:rFonts w:ascii="Times New Roman" w:hAnsi="Times New Roman" w:cs="Times New Roman"/>
          <w:i/>
          <w:iCs/>
          <w:color w:val="auto"/>
        </w:rPr>
        <w:t xml:space="preserve"> </w:t>
      </w:r>
    </w:p>
    <w:p w14:paraId="21EE900E" w14:textId="77777777" w:rsidR="005E20B0" w:rsidRDefault="005E20B0" w:rsidP="00D157B7">
      <w:pPr>
        <w:jc w:val="both"/>
        <w:rPr>
          <w:rFonts w:ascii="Times New Roman" w:hAnsi="Times New Roman" w:cs="Times New Roman"/>
          <w:i/>
          <w:iCs/>
          <w:sz w:val="24"/>
          <w:szCs w:val="24"/>
        </w:rPr>
      </w:pPr>
    </w:p>
    <w:p w14:paraId="5F3FAB1E" w14:textId="2E946931" w:rsidR="00DF06E7" w:rsidRPr="002E4019" w:rsidRDefault="00CB1014" w:rsidP="009732F5">
      <w:pPr>
        <w:jc w:val="both"/>
        <w:rPr>
          <w:rFonts w:ascii="Times New Roman" w:hAnsi="Times New Roman" w:cs="Times New Roman"/>
          <w:sz w:val="24"/>
          <w:szCs w:val="24"/>
        </w:rPr>
      </w:pPr>
      <w:r w:rsidRPr="002E4019">
        <w:rPr>
          <w:rFonts w:ascii="Times New Roman" w:hAnsi="Times New Roman" w:cs="Times New Roman"/>
          <w:sz w:val="24"/>
          <w:szCs w:val="24"/>
          <w:u w:val="single"/>
        </w:rPr>
        <w:lastRenderedPageBreak/>
        <w:t>Observations:</w:t>
      </w:r>
    </w:p>
    <w:p w14:paraId="07DA3FD2" w14:textId="09659B7B" w:rsidR="003568DA" w:rsidRPr="009732F5" w:rsidRDefault="005E20B0" w:rsidP="009732F5">
      <w:pPr>
        <w:pStyle w:val="ListParagraph"/>
        <w:numPr>
          <w:ilvl w:val="0"/>
          <w:numId w:val="9"/>
        </w:numPr>
        <w:jc w:val="both"/>
        <w:rPr>
          <w:rFonts w:ascii="Times New Roman" w:hAnsi="Times New Roman" w:cs="Times New Roman"/>
          <w:sz w:val="24"/>
          <w:szCs w:val="24"/>
        </w:rPr>
      </w:pPr>
      <w:r w:rsidRPr="009732F5">
        <w:rPr>
          <w:rFonts w:ascii="Times New Roman" w:hAnsi="Times New Roman" w:cs="Times New Roman"/>
          <w:sz w:val="24"/>
          <w:szCs w:val="24"/>
        </w:rPr>
        <w:t>The EU and its Member States support the ITU existing role under agreed resolutions in promoting international and multi-stakeholder cooperation, confidence and security in the use of ICTs</w:t>
      </w:r>
      <w:r w:rsidR="00675F58">
        <w:rPr>
          <w:rFonts w:ascii="Times New Roman" w:hAnsi="Times New Roman" w:cs="Times New Roman"/>
          <w:sz w:val="24"/>
          <w:szCs w:val="24"/>
        </w:rPr>
        <w:t xml:space="preserve"> </w:t>
      </w:r>
      <w:r w:rsidR="005D7CF8">
        <w:rPr>
          <w:rFonts w:ascii="Times New Roman" w:hAnsi="Times New Roman" w:cs="Times New Roman"/>
          <w:sz w:val="24"/>
          <w:szCs w:val="24"/>
        </w:rPr>
        <w:t>and</w:t>
      </w:r>
      <w:r w:rsidR="008A1DBB">
        <w:rPr>
          <w:rFonts w:ascii="Times New Roman" w:hAnsi="Times New Roman" w:cs="Times New Roman"/>
          <w:sz w:val="24"/>
          <w:szCs w:val="24"/>
        </w:rPr>
        <w:t xml:space="preserve"> </w:t>
      </w:r>
      <w:r w:rsidRPr="009732F5">
        <w:rPr>
          <w:rFonts w:ascii="Times New Roman" w:hAnsi="Times New Roman" w:cs="Times New Roman"/>
          <w:sz w:val="24"/>
          <w:szCs w:val="24"/>
        </w:rPr>
        <w:t>capacity building</w:t>
      </w:r>
      <w:r w:rsidR="006B61A2">
        <w:rPr>
          <w:rFonts w:ascii="Times New Roman" w:hAnsi="Times New Roman" w:cs="Times New Roman"/>
          <w:sz w:val="24"/>
          <w:szCs w:val="24"/>
        </w:rPr>
        <w:t>.</w:t>
      </w:r>
    </w:p>
    <w:p w14:paraId="599978A8" w14:textId="48C2F096" w:rsidR="00D479D7" w:rsidRDefault="00850132" w:rsidP="009732F5">
      <w:pPr>
        <w:pStyle w:val="ListParagraph"/>
        <w:numPr>
          <w:ilvl w:val="0"/>
          <w:numId w:val="9"/>
        </w:numPr>
        <w:jc w:val="both"/>
        <w:rPr>
          <w:rFonts w:ascii="Times New Roman" w:hAnsi="Times New Roman" w:cs="Times New Roman"/>
          <w:sz w:val="24"/>
          <w:szCs w:val="24"/>
        </w:rPr>
      </w:pPr>
      <w:r w:rsidRPr="009732F5">
        <w:rPr>
          <w:rFonts w:ascii="Times New Roman" w:hAnsi="Times New Roman" w:cs="Times New Roman"/>
          <w:sz w:val="24"/>
          <w:szCs w:val="24"/>
        </w:rPr>
        <w:t>We welcome ITU involvement to support broader discussions among wider group</w:t>
      </w:r>
      <w:r w:rsidR="00504DEF">
        <w:rPr>
          <w:rFonts w:ascii="Times New Roman" w:hAnsi="Times New Roman" w:cs="Times New Roman"/>
          <w:sz w:val="24"/>
          <w:szCs w:val="24"/>
        </w:rPr>
        <w:t xml:space="preserve"> of stakeholders</w:t>
      </w:r>
      <w:r w:rsidRPr="009732F5">
        <w:rPr>
          <w:rFonts w:ascii="Times New Roman" w:hAnsi="Times New Roman" w:cs="Times New Roman"/>
          <w:sz w:val="24"/>
          <w:szCs w:val="24"/>
        </w:rPr>
        <w:t xml:space="preserve"> in particular through the WSIS process and encourage the ITU to foster </w:t>
      </w:r>
      <w:r w:rsidR="000C5523" w:rsidRPr="009732F5">
        <w:rPr>
          <w:rFonts w:ascii="Times New Roman" w:hAnsi="Times New Roman" w:cs="Times New Roman"/>
          <w:sz w:val="24"/>
          <w:szCs w:val="24"/>
        </w:rPr>
        <w:t xml:space="preserve">such </w:t>
      </w:r>
      <w:r w:rsidRPr="009732F5">
        <w:rPr>
          <w:rFonts w:ascii="Times New Roman" w:hAnsi="Times New Roman" w:cs="Times New Roman"/>
          <w:sz w:val="24"/>
          <w:szCs w:val="24"/>
        </w:rPr>
        <w:t>multi</w:t>
      </w:r>
      <w:r w:rsidR="005F001A" w:rsidRPr="009732F5">
        <w:rPr>
          <w:rFonts w:ascii="Times New Roman" w:hAnsi="Times New Roman" w:cs="Times New Roman"/>
          <w:sz w:val="24"/>
          <w:szCs w:val="24"/>
        </w:rPr>
        <w:t>-</w:t>
      </w:r>
      <w:r w:rsidRPr="009732F5">
        <w:rPr>
          <w:rFonts w:ascii="Times New Roman" w:hAnsi="Times New Roman" w:cs="Times New Roman"/>
          <w:sz w:val="24"/>
          <w:szCs w:val="24"/>
        </w:rPr>
        <w:t>stakeholder dialogue</w:t>
      </w:r>
      <w:r w:rsidR="001E48D4">
        <w:rPr>
          <w:rFonts w:ascii="Times New Roman" w:hAnsi="Times New Roman" w:cs="Times New Roman"/>
          <w:sz w:val="24"/>
          <w:szCs w:val="24"/>
        </w:rPr>
        <w:t>s</w:t>
      </w:r>
      <w:r w:rsidR="000C5523" w:rsidRPr="009732F5">
        <w:rPr>
          <w:rFonts w:ascii="Times New Roman" w:hAnsi="Times New Roman" w:cs="Times New Roman"/>
          <w:sz w:val="24"/>
          <w:szCs w:val="24"/>
        </w:rPr>
        <w:t xml:space="preserve"> </w:t>
      </w:r>
      <w:r w:rsidR="00CE7FBF">
        <w:rPr>
          <w:rFonts w:ascii="Times New Roman" w:hAnsi="Times New Roman" w:cs="Times New Roman"/>
          <w:sz w:val="24"/>
          <w:szCs w:val="24"/>
        </w:rPr>
        <w:t xml:space="preserve">to </w:t>
      </w:r>
      <w:r w:rsidR="00265C4C" w:rsidRPr="009732F5">
        <w:rPr>
          <w:rFonts w:ascii="Times New Roman" w:hAnsi="Times New Roman" w:cs="Times New Roman"/>
          <w:sz w:val="24"/>
          <w:szCs w:val="24"/>
        </w:rPr>
        <w:t>help strengthening existing multi-stakeholder dialogues</w:t>
      </w:r>
      <w:r w:rsidR="00E77BBE" w:rsidRPr="009732F5">
        <w:rPr>
          <w:rFonts w:ascii="Times New Roman" w:hAnsi="Times New Roman" w:cs="Times New Roman"/>
          <w:sz w:val="24"/>
          <w:szCs w:val="24"/>
        </w:rPr>
        <w:t xml:space="preserve"> within the UN, as well as other processes, such IGF</w:t>
      </w:r>
      <w:r w:rsidR="00246C0A" w:rsidRPr="009732F5">
        <w:rPr>
          <w:rFonts w:ascii="Times New Roman" w:hAnsi="Times New Roman" w:cs="Times New Roman"/>
          <w:sz w:val="24"/>
          <w:szCs w:val="24"/>
        </w:rPr>
        <w:t xml:space="preserve"> and </w:t>
      </w:r>
      <w:r w:rsidR="00A53C69">
        <w:rPr>
          <w:rFonts w:ascii="Times New Roman" w:hAnsi="Times New Roman" w:cs="Times New Roman"/>
          <w:sz w:val="24"/>
          <w:szCs w:val="24"/>
        </w:rPr>
        <w:t>initiatives</w:t>
      </w:r>
      <w:r w:rsidR="0041168B" w:rsidRPr="009732F5">
        <w:rPr>
          <w:rFonts w:ascii="Times New Roman" w:hAnsi="Times New Roman" w:cs="Times New Roman"/>
          <w:sz w:val="24"/>
          <w:szCs w:val="24"/>
        </w:rPr>
        <w:t xml:space="preserve"> </w:t>
      </w:r>
      <w:r w:rsidR="0029080D">
        <w:rPr>
          <w:rFonts w:ascii="Times New Roman" w:hAnsi="Times New Roman" w:cs="Times New Roman"/>
          <w:sz w:val="24"/>
          <w:szCs w:val="24"/>
        </w:rPr>
        <w:t xml:space="preserve">including </w:t>
      </w:r>
      <w:r w:rsidR="0041168B" w:rsidRPr="009732F5">
        <w:rPr>
          <w:rFonts w:ascii="Times New Roman" w:hAnsi="Times New Roman" w:cs="Times New Roman"/>
          <w:sz w:val="24"/>
          <w:szCs w:val="24"/>
        </w:rPr>
        <w:t xml:space="preserve"> the private sector</w:t>
      </w:r>
      <w:r w:rsidR="00265C4C" w:rsidRPr="009732F5">
        <w:rPr>
          <w:rFonts w:ascii="Times New Roman" w:hAnsi="Times New Roman" w:cs="Times New Roman"/>
          <w:sz w:val="24"/>
          <w:szCs w:val="24"/>
        </w:rPr>
        <w:t xml:space="preserve">. </w:t>
      </w:r>
    </w:p>
    <w:p w14:paraId="537BE525" w14:textId="04029548" w:rsidR="00722732" w:rsidRPr="009732F5" w:rsidRDefault="00300EB3">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Moreover, </w:t>
      </w:r>
      <w:r w:rsidR="00722732">
        <w:rPr>
          <w:rFonts w:ascii="Times New Roman" w:hAnsi="Times New Roman" w:cs="Times New Roman"/>
          <w:sz w:val="24"/>
          <w:szCs w:val="24"/>
        </w:rPr>
        <w:t xml:space="preserve">ITU’s Child Online Protection platform providers a </w:t>
      </w:r>
      <w:r w:rsidR="00FD34C3">
        <w:rPr>
          <w:rFonts w:ascii="Times New Roman" w:hAnsi="Times New Roman" w:cs="Times New Roman"/>
          <w:sz w:val="24"/>
          <w:szCs w:val="24"/>
        </w:rPr>
        <w:t>successful</w:t>
      </w:r>
      <w:r w:rsidR="00722732">
        <w:rPr>
          <w:rFonts w:ascii="Times New Roman" w:hAnsi="Times New Roman" w:cs="Times New Roman"/>
          <w:sz w:val="24"/>
          <w:szCs w:val="24"/>
        </w:rPr>
        <w:t xml:space="preserve"> model </w:t>
      </w:r>
      <w:r w:rsidR="00FD34C3">
        <w:rPr>
          <w:rFonts w:ascii="Times New Roman" w:hAnsi="Times New Roman" w:cs="Times New Roman"/>
          <w:sz w:val="24"/>
          <w:szCs w:val="24"/>
        </w:rPr>
        <w:t>for multi-stakeholder cooperation</w:t>
      </w:r>
      <w:r>
        <w:rPr>
          <w:rFonts w:ascii="Times New Roman" w:hAnsi="Times New Roman" w:cs="Times New Roman"/>
          <w:sz w:val="24"/>
          <w:szCs w:val="24"/>
        </w:rPr>
        <w:t xml:space="preserve"> </w:t>
      </w:r>
      <w:r w:rsidR="004F7458">
        <w:rPr>
          <w:rFonts w:ascii="Times New Roman" w:hAnsi="Times New Roman" w:cs="Times New Roman"/>
          <w:sz w:val="24"/>
          <w:szCs w:val="24"/>
        </w:rPr>
        <w:t>and</w:t>
      </w:r>
      <w:r>
        <w:rPr>
          <w:rFonts w:ascii="Times New Roman" w:hAnsi="Times New Roman" w:cs="Times New Roman"/>
          <w:sz w:val="24"/>
          <w:szCs w:val="24"/>
        </w:rPr>
        <w:t xml:space="preserve"> should be further promoted</w:t>
      </w:r>
      <w:r w:rsidR="00FD34C3">
        <w:rPr>
          <w:rFonts w:ascii="Times New Roman" w:hAnsi="Times New Roman" w:cs="Times New Roman"/>
          <w:sz w:val="24"/>
          <w:szCs w:val="24"/>
        </w:rPr>
        <w:t>.</w:t>
      </w:r>
    </w:p>
    <w:p w14:paraId="7D31D208" w14:textId="083D2FBA" w:rsidR="00256A79" w:rsidRPr="00EF1A73" w:rsidRDefault="00C46BBE">
      <w:pPr>
        <w:pStyle w:val="ListParagraph"/>
        <w:numPr>
          <w:ilvl w:val="0"/>
          <w:numId w:val="9"/>
        </w:numPr>
        <w:jc w:val="both"/>
        <w:rPr>
          <w:rFonts w:ascii="Times New Roman" w:hAnsi="Times New Roman" w:cs="Times New Roman"/>
          <w:sz w:val="24"/>
          <w:szCs w:val="24"/>
        </w:rPr>
      </w:pPr>
      <w:r w:rsidRPr="00EF1A73">
        <w:rPr>
          <w:rFonts w:ascii="Times New Roman" w:hAnsi="Times New Roman" w:cs="Times New Roman"/>
          <w:sz w:val="24"/>
          <w:szCs w:val="24"/>
        </w:rPr>
        <w:t xml:space="preserve">While the ITU </w:t>
      </w:r>
      <w:r w:rsidR="00A61C7C" w:rsidRPr="00EF1A73">
        <w:rPr>
          <w:rFonts w:ascii="Times New Roman" w:hAnsi="Times New Roman" w:cs="Times New Roman"/>
          <w:sz w:val="24"/>
          <w:szCs w:val="24"/>
        </w:rPr>
        <w:t>plays a valuable role in convening a multi</w:t>
      </w:r>
      <w:r w:rsidR="004B2AA5" w:rsidRPr="00EF1A73">
        <w:rPr>
          <w:rFonts w:ascii="Times New Roman" w:hAnsi="Times New Roman" w:cs="Times New Roman"/>
          <w:sz w:val="24"/>
          <w:szCs w:val="24"/>
        </w:rPr>
        <w:t>-</w:t>
      </w:r>
      <w:r w:rsidR="00A61C7C" w:rsidRPr="00EF1A73">
        <w:rPr>
          <w:rFonts w:ascii="Times New Roman" w:hAnsi="Times New Roman" w:cs="Times New Roman"/>
          <w:sz w:val="24"/>
          <w:szCs w:val="24"/>
        </w:rPr>
        <w:t>stak</w:t>
      </w:r>
      <w:r w:rsidR="004B2AA5" w:rsidRPr="00EF1A73">
        <w:rPr>
          <w:rFonts w:ascii="Times New Roman" w:hAnsi="Times New Roman" w:cs="Times New Roman"/>
          <w:sz w:val="24"/>
          <w:szCs w:val="24"/>
        </w:rPr>
        <w:t>e</w:t>
      </w:r>
      <w:r w:rsidR="00A61C7C" w:rsidRPr="00EF1A73">
        <w:rPr>
          <w:rFonts w:ascii="Times New Roman" w:hAnsi="Times New Roman" w:cs="Times New Roman"/>
          <w:sz w:val="24"/>
          <w:szCs w:val="24"/>
        </w:rPr>
        <w:t>holder discussion under the WSIS processes,</w:t>
      </w:r>
      <w:r w:rsidR="00BB5BB5" w:rsidRPr="00EF1A73">
        <w:rPr>
          <w:rFonts w:ascii="Times New Roman" w:hAnsi="Times New Roman" w:cs="Times New Roman"/>
          <w:sz w:val="24"/>
          <w:szCs w:val="24"/>
        </w:rPr>
        <w:t xml:space="preserve"> important</w:t>
      </w:r>
      <w:r w:rsidR="00B94CB6" w:rsidRPr="00EF1A73">
        <w:rPr>
          <w:rFonts w:ascii="Times New Roman" w:hAnsi="Times New Roman" w:cs="Times New Roman"/>
          <w:sz w:val="24"/>
          <w:szCs w:val="24"/>
        </w:rPr>
        <w:t xml:space="preserve"> </w:t>
      </w:r>
      <w:r w:rsidR="00640F00" w:rsidRPr="00EF1A73">
        <w:rPr>
          <w:rFonts w:ascii="Times New Roman" w:hAnsi="Times New Roman" w:cs="Times New Roman"/>
          <w:sz w:val="24"/>
          <w:szCs w:val="24"/>
        </w:rPr>
        <w:t xml:space="preserve">discussion </w:t>
      </w:r>
      <w:r w:rsidR="00260C6A" w:rsidRPr="00EF1A73">
        <w:rPr>
          <w:rFonts w:ascii="Times New Roman" w:hAnsi="Times New Roman" w:cs="Times New Roman"/>
          <w:sz w:val="24"/>
          <w:szCs w:val="24"/>
        </w:rPr>
        <w:t>i</w:t>
      </w:r>
      <w:r w:rsidR="00BB5BB5" w:rsidRPr="00EF1A73">
        <w:rPr>
          <w:rFonts w:ascii="Times New Roman" w:hAnsi="Times New Roman" w:cs="Times New Roman"/>
          <w:sz w:val="24"/>
          <w:szCs w:val="24"/>
        </w:rPr>
        <w:t xml:space="preserve">s </w:t>
      </w:r>
      <w:r w:rsidR="00640F00" w:rsidRPr="00EF1A73">
        <w:rPr>
          <w:rFonts w:ascii="Times New Roman" w:hAnsi="Times New Roman" w:cs="Times New Roman"/>
          <w:sz w:val="24"/>
          <w:szCs w:val="24"/>
        </w:rPr>
        <w:t>on</w:t>
      </w:r>
      <w:r w:rsidR="00B94CB6" w:rsidRPr="00EF1A73">
        <w:rPr>
          <w:rFonts w:ascii="Times New Roman" w:hAnsi="Times New Roman" w:cs="Times New Roman"/>
          <w:sz w:val="24"/>
          <w:szCs w:val="24"/>
        </w:rPr>
        <w:t xml:space="preserve">going </w:t>
      </w:r>
      <w:r w:rsidR="004036E1" w:rsidRPr="00EF1A73">
        <w:rPr>
          <w:rFonts w:ascii="Times New Roman" w:hAnsi="Times New Roman" w:cs="Times New Roman"/>
          <w:sz w:val="24"/>
          <w:szCs w:val="24"/>
        </w:rPr>
        <w:t xml:space="preserve">within </w:t>
      </w:r>
      <w:r w:rsidR="001A3144" w:rsidRPr="00EF1A73">
        <w:rPr>
          <w:rFonts w:ascii="Times New Roman" w:hAnsi="Times New Roman" w:cs="Times New Roman"/>
          <w:sz w:val="24"/>
          <w:szCs w:val="24"/>
        </w:rPr>
        <w:t xml:space="preserve">existing </w:t>
      </w:r>
      <w:r w:rsidR="00640F00" w:rsidRPr="00EF1A73">
        <w:rPr>
          <w:rFonts w:ascii="Times New Roman" w:hAnsi="Times New Roman" w:cs="Times New Roman"/>
          <w:sz w:val="24"/>
          <w:szCs w:val="24"/>
        </w:rPr>
        <w:t>framework</w:t>
      </w:r>
      <w:r w:rsidR="001A3144" w:rsidRPr="00EF1A73">
        <w:rPr>
          <w:rFonts w:ascii="Times New Roman" w:hAnsi="Times New Roman" w:cs="Times New Roman"/>
          <w:sz w:val="24"/>
          <w:szCs w:val="24"/>
        </w:rPr>
        <w:t>, notably in the UN</w:t>
      </w:r>
      <w:r w:rsidR="00640F00" w:rsidRPr="00EF1A73">
        <w:rPr>
          <w:rFonts w:ascii="Times New Roman" w:hAnsi="Times New Roman" w:cs="Times New Roman"/>
          <w:sz w:val="24"/>
          <w:szCs w:val="24"/>
        </w:rPr>
        <w:t xml:space="preserve">, First Committee, as well as Digital cooperation initiative of the UNSG under the </w:t>
      </w:r>
      <w:r w:rsidR="00F75400" w:rsidRPr="00EF1A73">
        <w:rPr>
          <w:rFonts w:ascii="Times New Roman" w:hAnsi="Times New Roman" w:cs="Times New Roman"/>
          <w:sz w:val="24"/>
          <w:szCs w:val="24"/>
        </w:rPr>
        <w:t>work stream</w:t>
      </w:r>
      <w:r w:rsidR="00640F00" w:rsidRPr="00EF1A73">
        <w:rPr>
          <w:rFonts w:ascii="Times New Roman" w:hAnsi="Times New Roman" w:cs="Times New Roman"/>
          <w:sz w:val="24"/>
          <w:szCs w:val="24"/>
        </w:rPr>
        <w:t xml:space="preserve"> Trust and Security in cyberspace. </w:t>
      </w:r>
    </w:p>
    <w:p w14:paraId="72CB8553" w14:textId="79949557" w:rsidR="00D479D7" w:rsidRPr="00EF1A73" w:rsidRDefault="00B377C8">
      <w:pPr>
        <w:pStyle w:val="ListParagraph"/>
        <w:numPr>
          <w:ilvl w:val="0"/>
          <w:numId w:val="9"/>
        </w:numPr>
        <w:jc w:val="both"/>
        <w:rPr>
          <w:rFonts w:ascii="Times New Roman" w:hAnsi="Times New Roman" w:cs="Times New Roman"/>
          <w:sz w:val="24"/>
          <w:szCs w:val="24"/>
        </w:rPr>
      </w:pPr>
      <w:r w:rsidRPr="00EF1A73">
        <w:rPr>
          <w:rFonts w:ascii="Times New Roman" w:hAnsi="Times New Roman" w:cs="Times New Roman"/>
          <w:sz w:val="24"/>
          <w:szCs w:val="24"/>
        </w:rPr>
        <w:t>In this context, r</w:t>
      </w:r>
      <w:r w:rsidR="00640F00" w:rsidRPr="00EF1A73">
        <w:rPr>
          <w:rFonts w:ascii="Times New Roman" w:hAnsi="Times New Roman" w:cs="Times New Roman"/>
          <w:sz w:val="24"/>
          <w:szCs w:val="24"/>
        </w:rPr>
        <w:t>ecommendation that could undermine</w:t>
      </w:r>
      <w:r w:rsidRPr="00EF1A73">
        <w:rPr>
          <w:rFonts w:ascii="Times New Roman" w:hAnsi="Times New Roman" w:cs="Times New Roman"/>
          <w:sz w:val="24"/>
          <w:szCs w:val="24"/>
        </w:rPr>
        <w:t xml:space="preserve"> or</w:t>
      </w:r>
      <w:r w:rsidR="00640F00" w:rsidRPr="00EF1A73">
        <w:rPr>
          <w:rFonts w:ascii="Times New Roman" w:hAnsi="Times New Roman" w:cs="Times New Roman"/>
          <w:sz w:val="24"/>
          <w:szCs w:val="24"/>
        </w:rPr>
        <w:t xml:space="preserve"> either pre-empt the </w:t>
      </w:r>
      <w:r w:rsidRPr="00EF1A73">
        <w:rPr>
          <w:rFonts w:ascii="Times New Roman" w:hAnsi="Times New Roman" w:cs="Times New Roman"/>
          <w:sz w:val="24"/>
          <w:szCs w:val="24"/>
        </w:rPr>
        <w:t xml:space="preserve">outcomes of these </w:t>
      </w:r>
      <w:r w:rsidR="00640F00" w:rsidRPr="00EF1A73">
        <w:rPr>
          <w:rFonts w:ascii="Times New Roman" w:hAnsi="Times New Roman" w:cs="Times New Roman"/>
          <w:sz w:val="24"/>
          <w:szCs w:val="24"/>
        </w:rPr>
        <w:t>initiative</w:t>
      </w:r>
      <w:r w:rsidRPr="00EF1A73">
        <w:rPr>
          <w:rFonts w:ascii="Times New Roman" w:hAnsi="Times New Roman" w:cs="Times New Roman"/>
          <w:sz w:val="24"/>
          <w:szCs w:val="24"/>
        </w:rPr>
        <w:t>s should be avoided</w:t>
      </w:r>
      <w:r w:rsidR="00640F00" w:rsidRPr="00EF1A73">
        <w:rPr>
          <w:rFonts w:ascii="Times New Roman" w:hAnsi="Times New Roman" w:cs="Times New Roman"/>
          <w:sz w:val="24"/>
          <w:szCs w:val="24"/>
        </w:rPr>
        <w:t>. We</w:t>
      </w:r>
      <w:r w:rsidR="00B94CB6" w:rsidRPr="00EF1A73">
        <w:rPr>
          <w:rFonts w:ascii="Times New Roman" w:hAnsi="Times New Roman" w:cs="Times New Roman"/>
          <w:sz w:val="24"/>
          <w:szCs w:val="24"/>
        </w:rPr>
        <w:t xml:space="preserve"> do not see</w:t>
      </w:r>
      <w:r w:rsidR="008C7E01" w:rsidRPr="00EF1A73">
        <w:rPr>
          <w:rFonts w:ascii="Times New Roman" w:hAnsi="Times New Roman" w:cs="Times New Roman"/>
          <w:sz w:val="24"/>
          <w:szCs w:val="24"/>
        </w:rPr>
        <w:t xml:space="preserve"> a lea</w:t>
      </w:r>
      <w:r w:rsidR="00030242" w:rsidRPr="00EF1A73">
        <w:rPr>
          <w:rFonts w:ascii="Times New Roman" w:hAnsi="Times New Roman" w:cs="Times New Roman"/>
          <w:sz w:val="24"/>
          <w:szCs w:val="24"/>
        </w:rPr>
        <w:t>d</w:t>
      </w:r>
      <w:r w:rsidR="008C7E01" w:rsidRPr="00EF1A73">
        <w:rPr>
          <w:rFonts w:ascii="Times New Roman" w:hAnsi="Times New Roman" w:cs="Times New Roman"/>
          <w:sz w:val="24"/>
          <w:szCs w:val="24"/>
        </w:rPr>
        <w:t>in</w:t>
      </w:r>
      <w:r w:rsidR="00030242" w:rsidRPr="00EF1A73">
        <w:rPr>
          <w:rFonts w:ascii="Times New Roman" w:hAnsi="Times New Roman" w:cs="Times New Roman"/>
          <w:sz w:val="24"/>
          <w:szCs w:val="24"/>
        </w:rPr>
        <w:t>g</w:t>
      </w:r>
      <w:r w:rsidR="008C7E01" w:rsidRPr="00EF1A73">
        <w:rPr>
          <w:rFonts w:ascii="Times New Roman" w:hAnsi="Times New Roman" w:cs="Times New Roman"/>
          <w:sz w:val="24"/>
          <w:szCs w:val="24"/>
        </w:rPr>
        <w:t xml:space="preserve"> role</w:t>
      </w:r>
      <w:r w:rsidRPr="00EF1A73">
        <w:rPr>
          <w:rFonts w:ascii="Times New Roman" w:hAnsi="Times New Roman" w:cs="Times New Roman"/>
          <w:sz w:val="24"/>
          <w:szCs w:val="24"/>
        </w:rPr>
        <w:t xml:space="preserve"> of the ITU</w:t>
      </w:r>
      <w:r w:rsidR="008C7E01" w:rsidRPr="00EF1A73">
        <w:rPr>
          <w:rFonts w:ascii="Times New Roman" w:hAnsi="Times New Roman" w:cs="Times New Roman"/>
          <w:sz w:val="24"/>
          <w:szCs w:val="24"/>
        </w:rPr>
        <w:t xml:space="preserve"> for a </w:t>
      </w:r>
      <w:r w:rsidR="000B61E4" w:rsidRPr="00EF1A73">
        <w:rPr>
          <w:rFonts w:ascii="Times New Roman" w:hAnsi="Times New Roman" w:cs="Times New Roman"/>
          <w:sz w:val="24"/>
          <w:szCs w:val="24"/>
        </w:rPr>
        <w:t>global cybersecurity framework</w:t>
      </w:r>
      <w:r w:rsidR="00C56F7F">
        <w:rPr>
          <w:rFonts w:ascii="Times New Roman" w:hAnsi="Times New Roman" w:cs="Times New Roman"/>
          <w:sz w:val="24"/>
          <w:szCs w:val="24"/>
        </w:rPr>
        <w:t>.</w:t>
      </w:r>
    </w:p>
    <w:p w14:paraId="2217164B" w14:textId="77777777" w:rsidR="001D136C" w:rsidRDefault="001D136C">
      <w:pPr>
        <w:rPr>
          <w:rFonts w:ascii="Times New Roman" w:hAnsi="Times New Roman" w:cs="Times New Roman"/>
          <w:b/>
          <w:bCs/>
          <w:sz w:val="24"/>
          <w:szCs w:val="24"/>
        </w:rPr>
      </w:pPr>
    </w:p>
    <w:p w14:paraId="675EFA47" w14:textId="4FF26B9C" w:rsidR="004810FE" w:rsidRPr="002E4019" w:rsidRDefault="004810FE">
      <w:pPr>
        <w:rPr>
          <w:rFonts w:ascii="Times New Roman" w:hAnsi="Times New Roman" w:cs="Times New Roman"/>
          <w:b/>
          <w:bCs/>
          <w:sz w:val="24"/>
          <w:szCs w:val="24"/>
        </w:rPr>
      </w:pPr>
      <w:r w:rsidRPr="002E4019">
        <w:rPr>
          <w:rFonts w:ascii="Times New Roman" w:hAnsi="Times New Roman" w:cs="Times New Roman"/>
          <w:b/>
          <w:bCs/>
          <w:sz w:val="24"/>
          <w:szCs w:val="24"/>
        </w:rPr>
        <w:t xml:space="preserve">General </w:t>
      </w:r>
      <w:r w:rsidR="00F936D3" w:rsidRPr="002E4019">
        <w:rPr>
          <w:rFonts w:ascii="Times New Roman" w:hAnsi="Times New Roman" w:cs="Times New Roman"/>
          <w:b/>
          <w:bCs/>
          <w:sz w:val="24"/>
          <w:szCs w:val="24"/>
        </w:rPr>
        <w:t>conclusion of the draft g</w:t>
      </w:r>
      <w:r w:rsidRPr="002E4019">
        <w:rPr>
          <w:rFonts w:ascii="Times New Roman" w:hAnsi="Times New Roman" w:cs="Times New Roman"/>
          <w:b/>
          <w:bCs/>
          <w:sz w:val="24"/>
          <w:szCs w:val="24"/>
        </w:rPr>
        <w:t>uidelines for the GCA Framework</w:t>
      </w:r>
      <w:r w:rsidR="001D136C">
        <w:rPr>
          <w:rFonts w:ascii="Times New Roman" w:hAnsi="Times New Roman" w:cs="Times New Roman"/>
          <w:b/>
          <w:bCs/>
          <w:sz w:val="24"/>
          <w:szCs w:val="24"/>
        </w:rPr>
        <w:t>:</w:t>
      </w:r>
      <w:r w:rsidRPr="002E4019">
        <w:rPr>
          <w:rFonts w:ascii="Times New Roman" w:hAnsi="Times New Roman" w:cs="Times New Roman"/>
          <w:b/>
          <w:bCs/>
          <w:sz w:val="24"/>
          <w:szCs w:val="24"/>
        </w:rPr>
        <w:t xml:space="preserve"> </w:t>
      </w:r>
    </w:p>
    <w:p w14:paraId="7D6447CE" w14:textId="573CD2F2" w:rsidR="000B61E4" w:rsidRPr="002E4019" w:rsidRDefault="000B61E4">
      <w:pPr>
        <w:rPr>
          <w:rFonts w:ascii="Times New Roman" w:hAnsi="Times New Roman" w:cs="Times New Roman"/>
          <w:sz w:val="24"/>
          <w:szCs w:val="24"/>
        </w:rPr>
      </w:pPr>
    </w:p>
    <w:p w14:paraId="790569EA" w14:textId="567CF36D" w:rsidR="00900829" w:rsidRPr="002E4019" w:rsidRDefault="00220B68" w:rsidP="00985E3D">
      <w:pPr>
        <w:jc w:val="both"/>
        <w:rPr>
          <w:rFonts w:ascii="Times New Roman" w:hAnsi="Times New Roman" w:cs="Times New Roman"/>
          <w:i/>
          <w:iCs/>
          <w:sz w:val="24"/>
          <w:szCs w:val="24"/>
        </w:rPr>
      </w:pPr>
      <w:r w:rsidRPr="002E4019">
        <w:rPr>
          <w:rFonts w:ascii="Times New Roman" w:hAnsi="Times New Roman" w:cs="Times New Roman"/>
          <w:i/>
          <w:iCs/>
          <w:sz w:val="24"/>
          <w:szCs w:val="24"/>
        </w:rPr>
        <w:t>(c)</w:t>
      </w:r>
      <w:r w:rsidR="00F936D3" w:rsidRPr="002E4019">
        <w:rPr>
          <w:rFonts w:ascii="Times New Roman" w:hAnsi="Times New Roman" w:cs="Times New Roman"/>
          <w:i/>
          <w:iCs/>
          <w:sz w:val="24"/>
          <w:szCs w:val="24"/>
        </w:rPr>
        <w:t>“ITU should serve as a repository of information for the various global activities, initiatives, and projects that are being carried out on different facets of cybersecurity by other stakeholders and organizations active in this field, and who may have the lead mandate, role and/or</w:t>
      </w:r>
      <w:r w:rsidR="002B042E" w:rsidRPr="002E4019">
        <w:rPr>
          <w:rFonts w:ascii="Times New Roman" w:hAnsi="Times New Roman" w:cs="Times New Roman"/>
          <w:i/>
          <w:iCs/>
          <w:sz w:val="24"/>
          <w:szCs w:val="24"/>
        </w:rPr>
        <w:t xml:space="preserve"> responsibilities in those specific facets, in order to enable the international community to have an easy point of access to all such resources.”</w:t>
      </w:r>
    </w:p>
    <w:p w14:paraId="7546506F" w14:textId="129381AE" w:rsidR="00900829" w:rsidRDefault="00571C50" w:rsidP="00640F00">
      <w:pPr>
        <w:jc w:val="both"/>
        <w:rPr>
          <w:rFonts w:ascii="Times New Roman" w:hAnsi="Times New Roman" w:cs="Times New Roman"/>
          <w:i/>
          <w:iCs/>
          <w:sz w:val="24"/>
          <w:szCs w:val="24"/>
        </w:rPr>
      </w:pPr>
      <w:r w:rsidRPr="002E4019">
        <w:rPr>
          <w:rFonts w:ascii="Times New Roman" w:hAnsi="Times New Roman" w:cs="Times New Roman"/>
          <w:i/>
          <w:iCs/>
          <w:sz w:val="24"/>
          <w:szCs w:val="24"/>
        </w:rPr>
        <w:t>(</w:t>
      </w:r>
      <w:r w:rsidR="00900829" w:rsidRPr="002E4019">
        <w:rPr>
          <w:rFonts w:ascii="Times New Roman" w:hAnsi="Times New Roman" w:cs="Times New Roman"/>
          <w:i/>
          <w:iCs/>
          <w:sz w:val="24"/>
          <w:szCs w:val="24"/>
        </w:rPr>
        <w:t>e</w:t>
      </w:r>
      <w:r w:rsidRPr="002E4019">
        <w:rPr>
          <w:rFonts w:ascii="Times New Roman" w:hAnsi="Times New Roman" w:cs="Times New Roman"/>
          <w:i/>
          <w:iCs/>
          <w:sz w:val="24"/>
          <w:szCs w:val="24"/>
        </w:rPr>
        <w:t>)</w:t>
      </w:r>
      <w:r w:rsidR="00900829" w:rsidRPr="002E4019">
        <w:rPr>
          <w:rFonts w:ascii="Times New Roman" w:hAnsi="Times New Roman" w:cs="Times New Roman"/>
          <w:i/>
          <w:iCs/>
          <w:sz w:val="24"/>
          <w:szCs w:val="24"/>
        </w:rPr>
        <w:t xml:space="preserve"> ITU should continue to follow the development and use of new and emerging ICTs in order to guide Member States and stakeholders on the security aspects of these technologies and, where relevant, their potential application to counter cyber threats.</w:t>
      </w:r>
    </w:p>
    <w:p w14:paraId="6E6075F8" w14:textId="059AA934" w:rsidR="00CB1014" w:rsidRDefault="00CB1014" w:rsidP="00640F00">
      <w:pPr>
        <w:jc w:val="both"/>
        <w:rPr>
          <w:rFonts w:ascii="Times New Roman" w:hAnsi="Times New Roman" w:cs="Times New Roman"/>
          <w:i/>
          <w:iCs/>
          <w:sz w:val="24"/>
          <w:szCs w:val="24"/>
        </w:rPr>
      </w:pPr>
    </w:p>
    <w:p w14:paraId="2A9B5E55" w14:textId="208B2567" w:rsidR="00BD2417" w:rsidRDefault="00CB1014">
      <w:pPr>
        <w:jc w:val="both"/>
        <w:rPr>
          <w:rFonts w:ascii="Times New Roman" w:hAnsi="Times New Roman" w:cs="Times New Roman"/>
          <w:sz w:val="24"/>
          <w:szCs w:val="24"/>
          <w:u w:val="single"/>
        </w:rPr>
      </w:pPr>
      <w:r w:rsidRPr="002E4019">
        <w:rPr>
          <w:rFonts w:ascii="Times New Roman" w:hAnsi="Times New Roman" w:cs="Times New Roman"/>
          <w:sz w:val="24"/>
          <w:szCs w:val="24"/>
          <w:u w:val="single"/>
        </w:rPr>
        <w:t>Observations:</w:t>
      </w:r>
    </w:p>
    <w:p w14:paraId="64725D6C" w14:textId="3DE4D26D" w:rsidR="00574F22" w:rsidRPr="002E4019" w:rsidRDefault="006E3A8C" w:rsidP="002E4019">
      <w:pPr>
        <w:pStyle w:val="ListParagraph"/>
        <w:numPr>
          <w:ilvl w:val="0"/>
          <w:numId w:val="11"/>
        </w:numPr>
        <w:jc w:val="both"/>
        <w:rPr>
          <w:rFonts w:ascii="Times New Roman" w:hAnsi="Times New Roman" w:cs="Times New Roman"/>
          <w:sz w:val="24"/>
          <w:szCs w:val="24"/>
        </w:rPr>
      </w:pPr>
      <w:r w:rsidRPr="002E4019">
        <w:rPr>
          <w:rFonts w:ascii="Times New Roman" w:hAnsi="Times New Roman" w:cs="Times New Roman"/>
          <w:sz w:val="24"/>
          <w:szCs w:val="24"/>
        </w:rPr>
        <w:t>Recalling the ongoing work within the UN framework, namely the OEWG and the UN GGE, the EU and its Member States are of the view of building upon existing and agreed work and would further promote synergies before creati</w:t>
      </w:r>
      <w:r w:rsidR="00574F22" w:rsidRPr="002E4019">
        <w:rPr>
          <w:rFonts w:ascii="Times New Roman" w:hAnsi="Times New Roman" w:cs="Times New Roman"/>
          <w:sz w:val="24"/>
          <w:szCs w:val="24"/>
        </w:rPr>
        <w:t>ng</w:t>
      </w:r>
      <w:r w:rsidRPr="002E4019">
        <w:rPr>
          <w:rFonts w:ascii="Times New Roman" w:hAnsi="Times New Roman" w:cs="Times New Roman"/>
          <w:sz w:val="24"/>
          <w:szCs w:val="24"/>
        </w:rPr>
        <w:t xml:space="preserve"> </w:t>
      </w:r>
      <w:r w:rsidR="00574F22" w:rsidRPr="002E4019">
        <w:rPr>
          <w:rFonts w:ascii="Times New Roman" w:hAnsi="Times New Roman" w:cs="Times New Roman"/>
          <w:sz w:val="24"/>
          <w:szCs w:val="24"/>
        </w:rPr>
        <w:t xml:space="preserve">an </w:t>
      </w:r>
      <w:r w:rsidR="00970FBB" w:rsidRPr="002E4019">
        <w:rPr>
          <w:rFonts w:ascii="Times New Roman" w:hAnsi="Times New Roman" w:cs="Times New Roman"/>
          <w:sz w:val="24"/>
          <w:szCs w:val="24"/>
        </w:rPr>
        <w:t xml:space="preserve">additional </w:t>
      </w:r>
      <w:r w:rsidR="00900829" w:rsidRPr="002E4019">
        <w:rPr>
          <w:rFonts w:ascii="Times New Roman" w:hAnsi="Times New Roman" w:cs="Times New Roman"/>
          <w:sz w:val="24"/>
          <w:szCs w:val="24"/>
        </w:rPr>
        <w:t>platform</w:t>
      </w:r>
      <w:r w:rsidR="00970FBB" w:rsidRPr="002E4019">
        <w:rPr>
          <w:rFonts w:ascii="Times New Roman" w:hAnsi="Times New Roman" w:cs="Times New Roman"/>
          <w:sz w:val="24"/>
          <w:szCs w:val="24"/>
        </w:rPr>
        <w:t>, such as</w:t>
      </w:r>
      <w:r w:rsidR="00574F22" w:rsidRPr="002E4019">
        <w:rPr>
          <w:rFonts w:ascii="Times New Roman" w:hAnsi="Times New Roman" w:cs="Times New Roman"/>
          <w:sz w:val="24"/>
          <w:szCs w:val="24"/>
        </w:rPr>
        <w:t xml:space="preserve"> </w:t>
      </w:r>
      <w:r w:rsidR="00900829" w:rsidRPr="002E4019">
        <w:rPr>
          <w:rFonts w:ascii="Times New Roman" w:hAnsi="Times New Roman" w:cs="Times New Roman"/>
          <w:sz w:val="24"/>
          <w:szCs w:val="24"/>
        </w:rPr>
        <w:t>the</w:t>
      </w:r>
      <w:r w:rsidR="00970FBB" w:rsidRPr="002E4019">
        <w:rPr>
          <w:rFonts w:ascii="Times New Roman" w:hAnsi="Times New Roman" w:cs="Times New Roman"/>
          <w:sz w:val="24"/>
          <w:szCs w:val="24"/>
        </w:rPr>
        <w:t xml:space="preserve"> global repository.</w:t>
      </w:r>
    </w:p>
    <w:p w14:paraId="708A2709" w14:textId="12C6CBC5" w:rsidR="000B61E4" w:rsidRPr="002E4019" w:rsidRDefault="00900829" w:rsidP="002E4019">
      <w:pPr>
        <w:pStyle w:val="ListParagraph"/>
        <w:numPr>
          <w:ilvl w:val="0"/>
          <w:numId w:val="11"/>
        </w:numPr>
        <w:jc w:val="both"/>
        <w:rPr>
          <w:rFonts w:ascii="Times New Roman" w:hAnsi="Times New Roman" w:cs="Times New Roman"/>
          <w:sz w:val="24"/>
          <w:szCs w:val="24"/>
        </w:rPr>
      </w:pPr>
      <w:r w:rsidRPr="002E4019">
        <w:rPr>
          <w:rFonts w:ascii="Times New Roman" w:hAnsi="Times New Roman" w:cs="Times New Roman"/>
          <w:sz w:val="24"/>
          <w:szCs w:val="24"/>
        </w:rPr>
        <w:t xml:space="preserve">Moreover </w:t>
      </w:r>
      <w:r w:rsidR="004E6A85">
        <w:rPr>
          <w:rFonts w:ascii="Times New Roman" w:hAnsi="Times New Roman" w:cs="Times New Roman"/>
          <w:sz w:val="24"/>
          <w:szCs w:val="24"/>
        </w:rPr>
        <w:t>any new repository at the ITU</w:t>
      </w:r>
      <w:r w:rsidRPr="002E4019">
        <w:rPr>
          <w:rFonts w:ascii="Times New Roman" w:hAnsi="Times New Roman" w:cs="Times New Roman"/>
          <w:sz w:val="24"/>
          <w:szCs w:val="24"/>
        </w:rPr>
        <w:t xml:space="preserve"> could create </w:t>
      </w:r>
      <w:r w:rsidR="00EF2E05" w:rsidRPr="002E4019">
        <w:rPr>
          <w:rFonts w:ascii="Times New Roman" w:hAnsi="Times New Roman" w:cs="Times New Roman"/>
          <w:sz w:val="24"/>
          <w:szCs w:val="24"/>
        </w:rPr>
        <w:t>duplication of work</w:t>
      </w:r>
      <w:r w:rsidR="00320408" w:rsidRPr="002E4019">
        <w:rPr>
          <w:rFonts w:ascii="Times New Roman" w:hAnsi="Times New Roman" w:cs="Times New Roman"/>
          <w:sz w:val="24"/>
          <w:szCs w:val="24"/>
        </w:rPr>
        <w:t xml:space="preserve"> with other fora</w:t>
      </w:r>
      <w:r w:rsidR="00EF2E05" w:rsidRPr="002E4019">
        <w:rPr>
          <w:rFonts w:ascii="Times New Roman" w:hAnsi="Times New Roman" w:cs="Times New Roman"/>
          <w:sz w:val="24"/>
          <w:szCs w:val="24"/>
        </w:rPr>
        <w:t xml:space="preserve"> and put a considerable burden on the limited resources of the ITU (in terms of </w:t>
      </w:r>
      <w:r w:rsidR="00320408" w:rsidRPr="002E4019">
        <w:rPr>
          <w:rFonts w:ascii="Times New Roman" w:hAnsi="Times New Roman" w:cs="Times New Roman"/>
          <w:sz w:val="24"/>
          <w:szCs w:val="24"/>
        </w:rPr>
        <w:t>updating, maintenance etc).</w:t>
      </w:r>
    </w:p>
    <w:p w14:paraId="5BEE56CB" w14:textId="4028F171" w:rsidR="000B61E4" w:rsidRPr="002E4019" w:rsidRDefault="0054185E" w:rsidP="002E4019">
      <w:pPr>
        <w:pStyle w:val="ListParagraph"/>
        <w:numPr>
          <w:ilvl w:val="0"/>
          <w:numId w:val="11"/>
        </w:numPr>
        <w:jc w:val="both"/>
        <w:rPr>
          <w:rFonts w:ascii="Times New Roman" w:hAnsi="Times New Roman" w:cs="Times New Roman"/>
          <w:sz w:val="24"/>
          <w:szCs w:val="24"/>
        </w:rPr>
      </w:pPr>
      <w:r w:rsidRPr="002E4019">
        <w:rPr>
          <w:rFonts w:ascii="Times New Roman" w:hAnsi="Times New Roman" w:cs="Times New Roman"/>
          <w:sz w:val="24"/>
          <w:szCs w:val="24"/>
        </w:rPr>
        <w:t xml:space="preserve">Regarding the recommendation </w:t>
      </w:r>
      <w:r w:rsidR="00AB2A3B" w:rsidRPr="002E4019">
        <w:rPr>
          <w:rFonts w:ascii="Times New Roman" w:hAnsi="Times New Roman" w:cs="Times New Roman"/>
          <w:sz w:val="24"/>
          <w:szCs w:val="24"/>
        </w:rPr>
        <w:t>(e)</w:t>
      </w:r>
      <w:r w:rsidRPr="002E4019">
        <w:rPr>
          <w:rFonts w:ascii="Times New Roman" w:hAnsi="Times New Roman" w:cs="Times New Roman"/>
          <w:sz w:val="24"/>
          <w:szCs w:val="24"/>
        </w:rPr>
        <w:t xml:space="preserve">, as recognized by previous UN GGE reports, given the unique character of ICT technologies, our approach must remain technology neutral. This is consistent with the concept and UN acknowledgement that existing international law applies to new areas, including the use of emerging technologies. Therefore, the EU and its Member States recognize that the ongoing discussion within the First Committee of the UNGA provide a good platform to the whole UN membership to engage on the malicious use of emerging technologies in the context of international peace and security, and further address the responsible State behaviour in their use of ICTs. </w:t>
      </w:r>
    </w:p>
    <w:p w14:paraId="285AD427" w14:textId="3F8993FD" w:rsidR="00CD24E0" w:rsidRPr="002E4019" w:rsidRDefault="00CD24E0" w:rsidP="00640F00">
      <w:pPr>
        <w:jc w:val="both"/>
        <w:rPr>
          <w:rFonts w:ascii="Times New Roman" w:hAnsi="Times New Roman" w:cs="Times New Roman"/>
          <w:sz w:val="24"/>
          <w:szCs w:val="24"/>
        </w:rPr>
      </w:pPr>
    </w:p>
    <w:sectPr w:rsidR="00CD24E0" w:rsidRPr="002E401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27135" w14:textId="77777777" w:rsidR="008F5698" w:rsidRDefault="008F5698" w:rsidP="00AE62CD">
      <w:r>
        <w:separator/>
      </w:r>
    </w:p>
  </w:endnote>
  <w:endnote w:type="continuationSeparator" w:id="0">
    <w:p w14:paraId="006F1D6D" w14:textId="77777777" w:rsidR="008F5698" w:rsidRDefault="008F5698" w:rsidP="00AE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0683136"/>
      <w:docPartObj>
        <w:docPartGallery w:val="Page Numbers (Bottom of Page)"/>
        <w:docPartUnique/>
      </w:docPartObj>
    </w:sdtPr>
    <w:sdtEndPr>
      <w:rPr>
        <w:noProof/>
      </w:rPr>
    </w:sdtEndPr>
    <w:sdtContent>
      <w:p w14:paraId="38B4C39F" w14:textId="5F6C6EC7" w:rsidR="00290FCD" w:rsidRDefault="00290FCD">
        <w:pPr>
          <w:pStyle w:val="Footer"/>
          <w:jc w:val="center"/>
        </w:pPr>
        <w:r>
          <w:fldChar w:fldCharType="begin"/>
        </w:r>
        <w:r>
          <w:instrText xml:space="preserve"> PAGE   \* MERGEFORMAT </w:instrText>
        </w:r>
        <w:r>
          <w:fldChar w:fldCharType="separate"/>
        </w:r>
        <w:r w:rsidR="006D045E">
          <w:rPr>
            <w:noProof/>
          </w:rPr>
          <w:t>1</w:t>
        </w:r>
        <w:r>
          <w:rPr>
            <w:noProof/>
          </w:rPr>
          <w:fldChar w:fldCharType="end"/>
        </w:r>
      </w:p>
    </w:sdtContent>
  </w:sdt>
  <w:p w14:paraId="28E6D356" w14:textId="77777777" w:rsidR="00290FCD" w:rsidRDefault="00290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99514" w14:textId="77777777" w:rsidR="008F5698" w:rsidRDefault="008F5698" w:rsidP="00AE62CD">
      <w:r>
        <w:separator/>
      </w:r>
    </w:p>
  </w:footnote>
  <w:footnote w:type="continuationSeparator" w:id="0">
    <w:p w14:paraId="4A81713C" w14:textId="77777777" w:rsidR="008F5698" w:rsidRDefault="008F5698" w:rsidP="00AE6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65B60" w14:textId="77777777" w:rsidR="005A176B" w:rsidRDefault="005A176B">
    <w:pPr>
      <w:pStyle w:val="Header"/>
    </w:pPr>
    <w:r>
      <w:tab/>
    </w:r>
    <w:r>
      <w:tab/>
    </w:r>
  </w:p>
  <w:p w14:paraId="06FDBA4B" w14:textId="1526A5F4" w:rsidR="005A176B" w:rsidRDefault="00CB1014">
    <w:pPr>
      <w:pStyle w:val="Header"/>
    </w:pPr>
    <w:r>
      <w:tab/>
    </w:r>
    <w:r>
      <w:tab/>
    </w:r>
    <w:r w:rsidR="005A176B">
      <w:t>2</w:t>
    </w:r>
    <w:r w:rsidR="007D0A92">
      <w:t>7</w:t>
    </w:r>
    <w:r w:rsidR="005A176B">
      <w:t xml:space="preserve">.04.2020, </w:t>
    </w:r>
    <w:r>
      <w:t xml:space="preserve"> </w:t>
    </w:r>
    <w:r w:rsidR="005A176B">
      <w:t>EU DEL to UN Geneva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46C93"/>
    <w:multiLevelType w:val="hybridMultilevel"/>
    <w:tmpl w:val="1A1E31EE"/>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815313"/>
    <w:multiLevelType w:val="hybridMultilevel"/>
    <w:tmpl w:val="55E80310"/>
    <w:lvl w:ilvl="0" w:tplc="D83C2B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359ED"/>
    <w:multiLevelType w:val="hybridMultilevel"/>
    <w:tmpl w:val="2FD68BB6"/>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7FB720D"/>
    <w:multiLevelType w:val="hybridMultilevel"/>
    <w:tmpl w:val="5BC628E0"/>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CFE3EB6"/>
    <w:multiLevelType w:val="hybridMultilevel"/>
    <w:tmpl w:val="2F50585C"/>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1776BAE"/>
    <w:multiLevelType w:val="hybridMultilevel"/>
    <w:tmpl w:val="796472B6"/>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D855D55"/>
    <w:multiLevelType w:val="hybridMultilevel"/>
    <w:tmpl w:val="4534377E"/>
    <w:lvl w:ilvl="0" w:tplc="7FA441CA">
      <w:start w:val="1"/>
      <w:numFmt w:val="upperLetter"/>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68A6A9C"/>
    <w:multiLevelType w:val="hybridMultilevel"/>
    <w:tmpl w:val="42A87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4E10844"/>
    <w:multiLevelType w:val="hybridMultilevel"/>
    <w:tmpl w:val="712AB366"/>
    <w:lvl w:ilvl="0" w:tplc="F092B4D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17A50"/>
    <w:multiLevelType w:val="hybridMultilevel"/>
    <w:tmpl w:val="4FBE95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C45EE9"/>
    <w:multiLevelType w:val="hybridMultilevel"/>
    <w:tmpl w:val="A190A066"/>
    <w:lvl w:ilvl="0" w:tplc="20000001">
      <w:start w:val="1"/>
      <w:numFmt w:val="bullet"/>
      <w:lvlText w:val=""/>
      <w:lvlJc w:val="left"/>
      <w:pPr>
        <w:ind w:left="720" w:hanging="360"/>
      </w:pPr>
      <w:rPr>
        <w:rFonts w:ascii="Symbol" w:hAnsi="Symbol" w:cs="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E3A07D3"/>
    <w:multiLevelType w:val="hybridMultilevel"/>
    <w:tmpl w:val="E5049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6"/>
  </w:num>
  <w:num w:numId="5">
    <w:abstractNumId w:val="9"/>
  </w:num>
  <w:num w:numId="6">
    <w:abstractNumId w:val="8"/>
  </w:num>
  <w:num w:numId="7">
    <w:abstractNumId w:val="4"/>
  </w:num>
  <w:num w:numId="8">
    <w:abstractNumId w:val="5"/>
  </w:num>
  <w:num w:numId="9">
    <w:abstractNumId w:val="0"/>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E62CD"/>
    <w:rsid w:val="00014541"/>
    <w:rsid w:val="00030242"/>
    <w:rsid w:val="00067C77"/>
    <w:rsid w:val="000814DD"/>
    <w:rsid w:val="000A269A"/>
    <w:rsid w:val="000A73AF"/>
    <w:rsid w:val="000B3D35"/>
    <w:rsid w:val="000B61E4"/>
    <w:rsid w:val="000C5523"/>
    <w:rsid w:val="000F46A5"/>
    <w:rsid w:val="00104367"/>
    <w:rsid w:val="00114513"/>
    <w:rsid w:val="00144EBB"/>
    <w:rsid w:val="00147C4A"/>
    <w:rsid w:val="001917E1"/>
    <w:rsid w:val="001A1057"/>
    <w:rsid w:val="001A2372"/>
    <w:rsid w:val="001A3144"/>
    <w:rsid w:val="001D136C"/>
    <w:rsid w:val="001E16BD"/>
    <w:rsid w:val="001E48D4"/>
    <w:rsid w:val="00207186"/>
    <w:rsid w:val="00220B68"/>
    <w:rsid w:val="002460D7"/>
    <w:rsid w:val="00246C0A"/>
    <w:rsid w:val="0025569E"/>
    <w:rsid w:val="00255B9F"/>
    <w:rsid w:val="00256A79"/>
    <w:rsid w:val="00260C6A"/>
    <w:rsid w:val="00261D6D"/>
    <w:rsid w:val="00265C4C"/>
    <w:rsid w:val="00277FE2"/>
    <w:rsid w:val="00283F50"/>
    <w:rsid w:val="0029080D"/>
    <w:rsid w:val="00290FCD"/>
    <w:rsid w:val="002975D5"/>
    <w:rsid w:val="002B042E"/>
    <w:rsid w:val="002D5F37"/>
    <w:rsid w:val="002E4019"/>
    <w:rsid w:val="002F2237"/>
    <w:rsid w:val="00300EB3"/>
    <w:rsid w:val="00305D24"/>
    <w:rsid w:val="0031140B"/>
    <w:rsid w:val="00320408"/>
    <w:rsid w:val="00330C9D"/>
    <w:rsid w:val="003568DA"/>
    <w:rsid w:val="00371589"/>
    <w:rsid w:val="003C5D52"/>
    <w:rsid w:val="003D0171"/>
    <w:rsid w:val="003E1564"/>
    <w:rsid w:val="003E6849"/>
    <w:rsid w:val="003F160C"/>
    <w:rsid w:val="004036E1"/>
    <w:rsid w:val="00410598"/>
    <w:rsid w:val="0041168B"/>
    <w:rsid w:val="00412323"/>
    <w:rsid w:val="0042500B"/>
    <w:rsid w:val="0042507A"/>
    <w:rsid w:val="004404E6"/>
    <w:rsid w:val="00464CB3"/>
    <w:rsid w:val="004810FE"/>
    <w:rsid w:val="00493ACD"/>
    <w:rsid w:val="00496CF7"/>
    <w:rsid w:val="004A56CD"/>
    <w:rsid w:val="004B2AA5"/>
    <w:rsid w:val="004D228C"/>
    <w:rsid w:val="004E6A85"/>
    <w:rsid w:val="004F7458"/>
    <w:rsid w:val="004F75E9"/>
    <w:rsid w:val="004F7C8F"/>
    <w:rsid w:val="00504DEF"/>
    <w:rsid w:val="00506C6D"/>
    <w:rsid w:val="0054185E"/>
    <w:rsid w:val="005631DC"/>
    <w:rsid w:val="00565396"/>
    <w:rsid w:val="005719CC"/>
    <w:rsid w:val="00571C50"/>
    <w:rsid w:val="00574F22"/>
    <w:rsid w:val="005A176B"/>
    <w:rsid w:val="005D0CAA"/>
    <w:rsid w:val="005D7CF8"/>
    <w:rsid w:val="005E20B0"/>
    <w:rsid w:val="005F001A"/>
    <w:rsid w:val="00630593"/>
    <w:rsid w:val="00640F00"/>
    <w:rsid w:val="0064773F"/>
    <w:rsid w:val="00675F58"/>
    <w:rsid w:val="00677D80"/>
    <w:rsid w:val="006A3D60"/>
    <w:rsid w:val="006B61A2"/>
    <w:rsid w:val="006D045E"/>
    <w:rsid w:val="006E3A8C"/>
    <w:rsid w:val="006E743A"/>
    <w:rsid w:val="00702BFF"/>
    <w:rsid w:val="007178D3"/>
    <w:rsid w:val="00722732"/>
    <w:rsid w:val="00724A70"/>
    <w:rsid w:val="0072612B"/>
    <w:rsid w:val="00775E0E"/>
    <w:rsid w:val="007943AC"/>
    <w:rsid w:val="00794DB9"/>
    <w:rsid w:val="007B5475"/>
    <w:rsid w:val="007C0DF2"/>
    <w:rsid w:val="007D0A92"/>
    <w:rsid w:val="007D5A83"/>
    <w:rsid w:val="007E6063"/>
    <w:rsid w:val="00850132"/>
    <w:rsid w:val="00873F41"/>
    <w:rsid w:val="0088258B"/>
    <w:rsid w:val="00895AB1"/>
    <w:rsid w:val="00895B53"/>
    <w:rsid w:val="008A1DBB"/>
    <w:rsid w:val="008A7C3F"/>
    <w:rsid w:val="008B3F41"/>
    <w:rsid w:val="008B62D9"/>
    <w:rsid w:val="008C10DF"/>
    <w:rsid w:val="008C739A"/>
    <w:rsid w:val="008C7E01"/>
    <w:rsid w:val="008F5698"/>
    <w:rsid w:val="00900829"/>
    <w:rsid w:val="00911E52"/>
    <w:rsid w:val="00933DAD"/>
    <w:rsid w:val="009459C7"/>
    <w:rsid w:val="00970FBB"/>
    <w:rsid w:val="009732F5"/>
    <w:rsid w:val="009757FD"/>
    <w:rsid w:val="00977E06"/>
    <w:rsid w:val="00985E3D"/>
    <w:rsid w:val="009B107E"/>
    <w:rsid w:val="009B17E8"/>
    <w:rsid w:val="009D6387"/>
    <w:rsid w:val="009F0FBF"/>
    <w:rsid w:val="00A02FDB"/>
    <w:rsid w:val="00A302AE"/>
    <w:rsid w:val="00A37DA9"/>
    <w:rsid w:val="00A4215F"/>
    <w:rsid w:val="00A53C69"/>
    <w:rsid w:val="00A61C7C"/>
    <w:rsid w:val="00A627EA"/>
    <w:rsid w:val="00A65B75"/>
    <w:rsid w:val="00A76137"/>
    <w:rsid w:val="00A8784C"/>
    <w:rsid w:val="00AA173E"/>
    <w:rsid w:val="00AB1578"/>
    <w:rsid w:val="00AB2A3B"/>
    <w:rsid w:val="00AB2F91"/>
    <w:rsid w:val="00AB7718"/>
    <w:rsid w:val="00AD2008"/>
    <w:rsid w:val="00AD226A"/>
    <w:rsid w:val="00AE62CD"/>
    <w:rsid w:val="00AF4617"/>
    <w:rsid w:val="00B12395"/>
    <w:rsid w:val="00B21A6B"/>
    <w:rsid w:val="00B377C8"/>
    <w:rsid w:val="00B40443"/>
    <w:rsid w:val="00B42165"/>
    <w:rsid w:val="00B82AF2"/>
    <w:rsid w:val="00B94188"/>
    <w:rsid w:val="00B94CB6"/>
    <w:rsid w:val="00BB5BB5"/>
    <w:rsid w:val="00BC5343"/>
    <w:rsid w:val="00BC5745"/>
    <w:rsid w:val="00BD2417"/>
    <w:rsid w:val="00BE225E"/>
    <w:rsid w:val="00BF0D75"/>
    <w:rsid w:val="00C17096"/>
    <w:rsid w:val="00C25212"/>
    <w:rsid w:val="00C32326"/>
    <w:rsid w:val="00C46BBE"/>
    <w:rsid w:val="00C5180E"/>
    <w:rsid w:val="00C55858"/>
    <w:rsid w:val="00C56F7F"/>
    <w:rsid w:val="00C71986"/>
    <w:rsid w:val="00CA71F2"/>
    <w:rsid w:val="00CA797B"/>
    <w:rsid w:val="00CB1014"/>
    <w:rsid w:val="00CB48AD"/>
    <w:rsid w:val="00CB7A9A"/>
    <w:rsid w:val="00CD24E0"/>
    <w:rsid w:val="00CE7FBF"/>
    <w:rsid w:val="00D030A3"/>
    <w:rsid w:val="00D157B7"/>
    <w:rsid w:val="00D21FFB"/>
    <w:rsid w:val="00D45212"/>
    <w:rsid w:val="00D479D7"/>
    <w:rsid w:val="00D57986"/>
    <w:rsid w:val="00D614F0"/>
    <w:rsid w:val="00D67FDE"/>
    <w:rsid w:val="00DA31DE"/>
    <w:rsid w:val="00DB220D"/>
    <w:rsid w:val="00DB7D3C"/>
    <w:rsid w:val="00DF06E7"/>
    <w:rsid w:val="00E23376"/>
    <w:rsid w:val="00E24BBA"/>
    <w:rsid w:val="00E36776"/>
    <w:rsid w:val="00E60247"/>
    <w:rsid w:val="00E66EF2"/>
    <w:rsid w:val="00E77BBE"/>
    <w:rsid w:val="00E97DD8"/>
    <w:rsid w:val="00EA1575"/>
    <w:rsid w:val="00EB2E92"/>
    <w:rsid w:val="00EC0637"/>
    <w:rsid w:val="00EE18D4"/>
    <w:rsid w:val="00EF1A73"/>
    <w:rsid w:val="00EF2E05"/>
    <w:rsid w:val="00F4426C"/>
    <w:rsid w:val="00F700F8"/>
    <w:rsid w:val="00F717CF"/>
    <w:rsid w:val="00F75400"/>
    <w:rsid w:val="00F83613"/>
    <w:rsid w:val="00F8638B"/>
    <w:rsid w:val="00F902FC"/>
    <w:rsid w:val="00F936D3"/>
    <w:rsid w:val="00FB7AB0"/>
    <w:rsid w:val="00FD34C3"/>
  </w:rsids>
  <m:mathPr>
    <m:mathFont m:val="Cambria Math"/>
    <m:brkBin m:val="before"/>
    <m:brkBinSub m:val="--"/>
    <m:smallFrac m:val="0"/>
    <m:dispDef/>
    <m:lMargin m:val="0"/>
    <m:rMargin m:val="0"/>
    <m:defJc m:val="centerGroup"/>
    <m:wrapIndent m:val="1440"/>
    <m:intLim m:val="subSup"/>
    <m:naryLim m:val="undOvr"/>
  </m:mathPr>
  <w:themeFontLang w:val="en-GB"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2ED4"/>
  <w15:docId w15:val="{4B3C8892-210D-4C24-8FA9-225C70D4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2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62CD"/>
    <w:rPr>
      <w:color w:val="0563C1"/>
      <w:u w:val="single"/>
    </w:rPr>
  </w:style>
  <w:style w:type="paragraph" w:styleId="FootnoteText">
    <w:name w:val="footnote text"/>
    <w:basedOn w:val="Normal"/>
    <w:link w:val="FootnoteTextChar"/>
    <w:uiPriority w:val="99"/>
    <w:semiHidden/>
    <w:unhideWhenUsed/>
    <w:rsid w:val="00AE62CD"/>
    <w:pPr>
      <w:ind w:left="720" w:hanging="720"/>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E62CD"/>
    <w:rPr>
      <w:rFonts w:ascii="Times New Roman" w:hAnsi="Times New Roman" w:cs="Times New Roman"/>
      <w:sz w:val="24"/>
      <w:szCs w:val="24"/>
    </w:rPr>
  </w:style>
  <w:style w:type="paragraph" w:styleId="ListParagraph">
    <w:name w:val="List Paragraph"/>
    <w:basedOn w:val="Normal"/>
    <w:uiPriority w:val="34"/>
    <w:qFormat/>
    <w:rsid w:val="00AE62CD"/>
    <w:pPr>
      <w:ind w:left="720"/>
    </w:pPr>
  </w:style>
  <w:style w:type="character" w:styleId="FootnoteReference">
    <w:name w:val="footnote reference"/>
    <w:aliases w:val="Footnote Reference Superscript,BVI fnr,Footnote symbol,16 Point,Superscript 6 Point,Footnote Reference Number,Footnote Reference_LVL6,Footnote Reference_LVL61,Footnote Reference_LVL62,Footnote Reference_LVL63,Footnote Reference_LVL64"/>
    <w:basedOn w:val="DefaultParagraphFont"/>
    <w:uiPriority w:val="99"/>
    <w:semiHidden/>
    <w:unhideWhenUsed/>
    <w:rsid w:val="00AE62CD"/>
    <w:rPr>
      <w:b/>
      <w:bCs/>
      <w:vertAlign w:val="superscript"/>
    </w:rPr>
  </w:style>
  <w:style w:type="character" w:styleId="CommentReference">
    <w:name w:val="annotation reference"/>
    <w:basedOn w:val="DefaultParagraphFont"/>
    <w:uiPriority w:val="99"/>
    <w:semiHidden/>
    <w:unhideWhenUsed/>
    <w:rsid w:val="006A3D60"/>
    <w:rPr>
      <w:sz w:val="16"/>
      <w:szCs w:val="16"/>
    </w:rPr>
  </w:style>
  <w:style w:type="paragraph" w:styleId="CommentText">
    <w:name w:val="annotation text"/>
    <w:basedOn w:val="Normal"/>
    <w:link w:val="CommentTextChar"/>
    <w:uiPriority w:val="99"/>
    <w:semiHidden/>
    <w:unhideWhenUsed/>
    <w:rsid w:val="006A3D60"/>
    <w:rPr>
      <w:sz w:val="20"/>
      <w:szCs w:val="20"/>
    </w:rPr>
  </w:style>
  <w:style w:type="character" w:customStyle="1" w:styleId="CommentTextChar">
    <w:name w:val="Comment Text Char"/>
    <w:basedOn w:val="DefaultParagraphFont"/>
    <w:link w:val="CommentText"/>
    <w:uiPriority w:val="99"/>
    <w:semiHidden/>
    <w:rsid w:val="006A3D6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A3D60"/>
    <w:rPr>
      <w:b/>
      <w:bCs/>
    </w:rPr>
  </w:style>
  <w:style w:type="character" w:customStyle="1" w:styleId="CommentSubjectChar">
    <w:name w:val="Comment Subject Char"/>
    <w:basedOn w:val="CommentTextChar"/>
    <w:link w:val="CommentSubject"/>
    <w:uiPriority w:val="99"/>
    <w:semiHidden/>
    <w:rsid w:val="006A3D60"/>
    <w:rPr>
      <w:rFonts w:ascii="Calibri" w:hAnsi="Calibri" w:cs="Calibri"/>
      <w:b/>
      <w:bCs/>
      <w:sz w:val="20"/>
      <w:szCs w:val="20"/>
    </w:rPr>
  </w:style>
  <w:style w:type="paragraph" w:styleId="BalloonText">
    <w:name w:val="Balloon Text"/>
    <w:basedOn w:val="Normal"/>
    <w:link w:val="BalloonTextChar"/>
    <w:uiPriority w:val="99"/>
    <w:semiHidden/>
    <w:unhideWhenUsed/>
    <w:rsid w:val="006A3D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D60"/>
    <w:rPr>
      <w:rFonts w:ascii="Segoe UI" w:hAnsi="Segoe UI" w:cs="Segoe UI"/>
      <w:sz w:val="18"/>
      <w:szCs w:val="18"/>
    </w:rPr>
  </w:style>
  <w:style w:type="paragraph" w:styleId="Header">
    <w:name w:val="header"/>
    <w:basedOn w:val="Normal"/>
    <w:link w:val="HeaderChar"/>
    <w:uiPriority w:val="99"/>
    <w:unhideWhenUsed/>
    <w:rsid w:val="005A176B"/>
    <w:pPr>
      <w:tabs>
        <w:tab w:val="center" w:pos="4513"/>
        <w:tab w:val="right" w:pos="9026"/>
      </w:tabs>
    </w:pPr>
  </w:style>
  <w:style w:type="character" w:customStyle="1" w:styleId="HeaderChar">
    <w:name w:val="Header Char"/>
    <w:basedOn w:val="DefaultParagraphFont"/>
    <w:link w:val="Header"/>
    <w:uiPriority w:val="99"/>
    <w:rsid w:val="005A176B"/>
    <w:rPr>
      <w:rFonts w:ascii="Calibri" w:hAnsi="Calibri" w:cs="Calibri"/>
    </w:rPr>
  </w:style>
  <w:style w:type="paragraph" w:styleId="Footer">
    <w:name w:val="footer"/>
    <w:basedOn w:val="Normal"/>
    <w:link w:val="FooterChar"/>
    <w:uiPriority w:val="99"/>
    <w:unhideWhenUsed/>
    <w:rsid w:val="005A176B"/>
    <w:pPr>
      <w:tabs>
        <w:tab w:val="center" w:pos="4513"/>
        <w:tab w:val="right" w:pos="9026"/>
      </w:tabs>
    </w:pPr>
  </w:style>
  <w:style w:type="character" w:customStyle="1" w:styleId="FooterChar">
    <w:name w:val="Footer Char"/>
    <w:basedOn w:val="DefaultParagraphFont"/>
    <w:link w:val="Footer"/>
    <w:uiPriority w:val="99"/>
    <w:rsid w:val="005A176B"/>
    <w:rPr>
      <w:rFonts w:ascii="Calibri" w:hAnsi="Calibri" w:cs="Calibri"/>
    </w:rPr>
  </w:style>
  <w:style w:type="paragraph" w:customStyle="1" w:styleId="Default">
    <w:name w:val="Default"/>
    <w:rsid w:val="005E20B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84005">
      <w:bodyDiv w:val="1"/>
      <w:marLeft w:val="0"/>
      <w:marRight w:val="0"/>
      <w:marTop w:val="0"/>
      <w:marBottom w:val="0"/>
      <w:divBdr>
        <w:top w:val="none" w:sz="0" w:space="0" w:color="auto"/>
        <w:left w:val="none" w:sz="0" w:space="0" w:color="auto"/>
        <w:bottom w:val="none" w:sz="0" w:space="0" w:color="auto"/>
        <w:right w:val="none" w:sz="0" w:space="0" w:color="auto"/>
      </w:divBdr>
    </w:div>
    <w:div w:id="23555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AD8EE-E2C5-4AFB-80E0-B324741A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SOCCO Michele (HOME)</dc:creator>
  <cp:lastModifiedBy>Kasia Gorgol</cp:lastModifiedBy>
  <cp:revision>54</cp:revision>
  <dcterms:created xsi:type="dcterms:W3CDTF">2020-04-27T09:14:00Z</dcterms:created>
  <dcterms:modified xsi:type="dcterms:W3CDTF">2020-04-27T15:50:00Z</dcterms:modified>
</cp:coreProperties>
</file>