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B4C1B" w:rsidRPr="00BC0E1B" w:rsidRDefault="004B4C1B" w:rsidP="004B4C1B">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HYPERLINK "https://www.itu.int/md/S19-SG-CIR-0047/en" </w:instrText>
      </w:r>
      <w:r>
        <w:rPr>
          <w:rFonts w:asciiTheme="minorHAnsi" w:hAnsiTheme="minorHAnsi" w:cstheme="minorHAnsi"/>
        </w:rPr>
        <w:fldChar w:fldCharType="separate"/>
      </w:r>
      <w:r w:rsidRPr="00BC0E1B">
        <w:rPr>
          <w:rStyle w:val="Hyperlink"/>
          <w:rFonts w:asciiTheme="minorHAnsi" w:hAnsiTheme="minorHAnsi" w:cstheme="minorHAnsi"/>
        </w:rPr>
        <w:t>Ref: CL-19/47</w:t>
      </w:r>
      <w:r>
        <w:rPr>
          <w:rFonts w:asciiTheme="minorHAnsi" w:hAnsiTheme="minorHAnsi" w:cstheme="minorHAnsi"/>
        </w:rPr>
        <w:fldChar w:fldCharType="end"/>
      </w:r>
      <w:r w:rsidRPr="00BC0E1B">
        <w:rPr>
          <w:rFonts w:asciiTheme="minorHAnsi" w:hAnsiTheme="minorHAnsi" w:cstheme="minorHAnsi"/>
        </w:rPr>
        <w:t xml:space="preserve"> - </w:t>
      </w:r>
      <w:r>
        <w:rPr>
          <w:rFonts w:asciiTheme="minorHAnsi" w:hAnsiTheme="minorHAnsi" w:cstheme="minorHAnsi"/>
        </w:rPr>
        <w:t>P</w:t>
      </w:r>
      <w:r w:rsidRPr="00BC0E1B">
        <w:rPr>
          <w:rFonts w:asciiTheme="minorHAnsi" w:hAnsiTheme="minorHAnsi" w:cstheme="minorHAnsi"/>
          <w:b/>
          <w:bCs/>
          <w:spacing w:val="4"/>
        </w:rPr>
        <w:t>articipation in the process for developing guidelines for utilization of the Global Cybersecurity Agenda</w:t>
      </w:r>
    </w:p>
    <w:p w:rsidR="004B4C1B" w:rsidRPr="00BC0E1B" w:rsidRDefault="004B4C1B" w:rsidP="004B4C1B">
      <w:pPr>
        <w:pStyle w:val="Source"/>
        <w:spacing w:before="480"/>
        <w:rPr>
          <w:b/>
          <w:bCs/>
          <w:sz w:val="32"/>
          <w:szCs w:val="32"/>
        </w:rPr>
      </w:pPr>
      <w:r w:rsidRPr="00BC0E1B">
        <w:rPr>
          <w:b/>
          <w:bCs/>
          <w:sz w:val="32"/>
          <w:szCs w:val="32"/>
        </w:rPr>
        <w:t xml:space="preserve">Contribution submitted by </w:t>
      </w:r>
      <w:r>
        <w:rPr>
          <w:b/>
          <w:bCs/>
          <w:sz w:val="32"/>
          <w:szCs w:val="32"/>
        </w:rPr>
        <w:t>Jordan</w:t>
      </w:r>
    </w:p>
    <w:p w:rsidR="00352A4A" w:rsidRDefault="00352A4A"/>
    <w:p w:rsidR="004B4C1B" w:rsidRDefault="004B4C1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1"/>
        <w:gridCol w:w="1336"/>
        <w:gridCol w:w="5522"/>
        <w:gridCol w:w="5411"/>
      </w:tblGrid>
      <w:tr w:rsidR="00E655E7" w:rsidTr="00E655E7">
        <w:trPr>
          <w:tblHeader/>
          <w:jc w:val="center"/>
        </w:trPr>
        <w:tc>
          <w:tcPr>
            <w:tcW w:w="263" w:type="pct"/>
            <w:shd w:val="clear" w:color="auto" w:fill="1F4E79" w:themeFill="accent1" w:themeFillShade="80"/>
            <w:tcMar>
              <w:top w:w="0" w:type="dxa"/>
              <w:left w:w="108" w:type="dxa"/>
              <w:bottom w:w="0" w:type="dxa"/>
              <w:right w:w="108" w:type="dxa"/>
            </w:tcMar>
            <w:hideMark/>
          </w:tcPr>
          <w:p w:rsidR="00E655E7" w:rsidRPr="005E3A3E" w:rsidRDefault="00E655E7" w:rsidP="00E655E7">
            <w:pPr>
              <w:spacing w:after="240"/>
              <w:jc w:val="center"/>
              <w:rPr>
                <w:rFonts w:ascii="Calibri" w:hAnsi="Calibri"/>
                <w:color w:val="FFFFFF" w:themeColor="background1"/>
                <w:sz w:val="22"/>
                <w:szCs w:val="22"/>
              </w:rPr>
            </w:pPr>
            <w:r w:rsidRPr="005E3A3E">
              <w:rPr>
                <w:rFonts w:ascii="Calibri" w:hAnsi="Calibri"/>
                <w:color w:val="FFFFFF" w:themeColor="background1"/>
                <w:sz w:val="22"/>
                <w:szCs w:val="22"/>
              </w:rPr>
              <w:t>Area</w:t>
            </w:r>
          </w:p>
        </w:tc>
        <w:tc>
          <w:tcPr>
            <w:tcW w:w="516" w:type="pct"/>
            <w:shd w:val="clear" w:color="auto" w:fill="1F4E79" w:themeFill="accent1" w:themeFillShade="80"/>
            <w:tcMar>
              <w:top w:w="0" w:type="dxa"/>
              <w:left w:w="108" w:type="dxa"/>
              <w:bottom w:w="0" w:type="dxa"/>
              <w:right w:w="108" w:type="dxa"/>
            </w:tcMar>
            <w:hideMark/>
          </w:tcPr>
          <w:p w:rsidR="00E655E7" w:rsidRPr="005E3A3E" w:rsidRDefault="00E655E7" w:rsidP="00E655E7">
            <w:pPr>
              <w:spacing w:after="240"/>
              <w:jc w:val="center"/>
              <w:rPr>
                <w:rFonts w:ascii="Calibri" w:hAnsi="Calibri"/>
                <w:color w:val="FFFFFF" w:themeColor="background1"/>
                <w:sz w:val="22"/>
                <w:szCs w:val="22"/>
              </w:rPr>
            </w:pPr>
            <w:r w:rsidRPr="005E3A3E">
              <w:rPr>
                <w:rFonts w:ascii="Calibri" w:hAnsi="Calibri"/>
                <w:color w:val="FFFFFF" w:themeColor="background1"/>
                <w:sz w:val="22"/>
                <w:szCs w:val="22"/>
              </w:rPr>
              <w:t>Point #</w:t>
            </w:r>
          </w:p>
        </w:tc>
        <w:tc>
          <w:tcPr>
            <w:tcW w:w="2132" w:type="pct"/>
            <w:shd w:val="clear" w:color="auto" w:fill="1F4E79" w:themeFill="accent1" w:themeFillShade="80"/>
          </w:tcPr>
          <w:p w:rsidR="00E655E7" w:rsidRPr="005E3A3E" w:rsidRDefault="00E655E7" w:rsidP="00E655E7">
            <w:pPr>
              <w:spacing w:after="240"/>
              <w:jc w:val="center"/>
              <w:rPr>
                <w:rFonts w:ascii="Calibri" w:hAnsi="Calibri"/>
                <w:color w:val="FFFFFF" w:themeColor="background1"/>
                <w:sz w:val="22"/>
                <w:szCs w:val="22"/>
              </w:rPr>
            </w:pPr>
            <w:r>
              <w:rPr>
                <w:rFonts w:ascii="Calibri" w:hAnsi="Calibri"/>
                <w:color w:val="FFFFFF" w:themeColor="background1"/>
                <w:sz w:val="22"/>
                <w:szCs w:val="22"/>
              </w:rPr>
              <w:t xml:space="preserve">Description </w:t>
            </w:r>
          </w:p>
        </w:tc>
        <w:tc>
          <w:tcPr>
            <w:tcW w:w="2089" w:type="pct"/>
            <w:shd w:val="clear" w:color="auto" w:fill="1F4E79" w:themeFill="accent1" w:themeFillShade="80"/>
          </w:tcPr>
          <w:p w:rsidR="00E655E7" w:rsidRPr="005E3A3E" w:rsidRDefault="0060777E" w:rsidP="00E655E7">
            <w:pPr>
              <w:spacing w:after="240"/>
              <w:jc w:val="center"/>
              <w:rPr>
                <w:rFonts w:ascii="Calibri" w:hAnsi="Calibri"/>
                <w:color w:val="FFFFFF" w:themeColor="background1"/>
                <w:sz w:val="22"/>
                <w:szCs w:val="22"/>
              </w:rPr>
            </w:pPr>
            <w:r>
              <w:rPr>
                <w:rFonts w:ascii="Calibri" w:hAnsi="Calibri"/>
                <w:color w:val="FFFFFF" w:themeColor="background1"/>
                <w:sz w:val="22"/>
                <w:szCs w:val="22"/>
              </w:rPr>
              <w:t>R</w:t>
            </w:r>
            <w:r w:rsidR="00E655E7">
              <w:rPr>
                <w:rFonts w:ascii="Calibri" w:hAnsi="Calibri"/>
                <w:color w:val="FFFFFF" w:themeColor="background1"/>
                <w:sz w:val="22"/>
                <w:szCs w:val="22"/>
              </w:rPr>
              <w:t xml:space="preserve">esponse </w:t>
            </w:r>
          </w:p>
        </w:tc>
      </w:tr>
      <w:tr w:rsidR="00E655E7" w:rsidTr="00E655E7">
        <w:trPr>
          <w:jc w:val="center"/>
        </w:trPr>
        <w:tc>
          <w:tcPr>
            <w:tcW w:w="5000" w:type="pct"/>
            <w:gridSpan w:val="4"/>
            <w:shd w:val="clear" w:color="auto" w:fill="DEEAF6" w:themeFill="accent1" w:themeFillTint="33"/>
            <w:tcMar>
              <w:top w:w="0" w:type="dxa"/>
              <w:left w:w="108" w:type="dxa"/>
              <w:bottom w:w="0" w:type="dxa"/>
              <w:right w:w="108" w:type="dxa"/>
            </w:tcMar>
          </w:tcPr>
          <w:p w:rsidR="00E655E7" w:rsidRPr="005E3A3E" w:rsidRDefault="00E655E7" w:rsidP="00E655E7">
            <w:pPr>
              <w:tabs>
                <w:tab w:val="left" w:pos="720"/>
                <w:tab w:val="center" w:pos="4562"/>
              </w:tabs>
              <w:spacing w:after="240"/>
              <w:rPr>
                <w:rFonts w:ascii="Calibri" w:hAnsi="Calibri"/>
                <w:b/>
                <w:bCs/>
                <w:color w:val="C00000"/>
                <w:sz w:val="36"/>
                <w:szCs w:val="36"/>
              </w:rPr>
            </w:pPr>
            <w:r w:rsidRPr="005E3A3E">
              <w:rPr>
                <w:rFonts w:ascii="Calibri" w:hAnsi="Calibri"/>
                <w:b/>
                <w:bCs/>
                <w:color w:val="C00000"/>
                <w:sz w:val="36"/>
                <w:szCs w:val="36"/>
              </w:rPr>
              <w:t>1- Legal Measures</w:t>
            </w:r>
          </w:p>
        </w:tc>
      </w:tr>
      <w:tr w:rsidR="00E655E7" w:rsidTr="00E655E7">
        <w:trPr>
          <w:jc w:val="center"/>
        </w:trPr>
        <w:tc>
          <w:tcPr>
            <w:tcW w:w="263" w:type="pct"/>
            <w:tcMar>
              <w:top w:w="0" w:type="dxa"/>
              <w:left w:w="108" w:type="dxa"/>
              <w:bottom w:w="0" w:type="dxa"/>
              <w:right w:w="108" w:type="dxa"/>
            </w:tcMar>
          </w:tcPr>
          <w:p w:rsidR="00E655E7" w:rsidRPr="00352A4A" w:rsidRDefault="00E655E7" w:rsidP="00E655E7">
            <w:pPr>
              <w:spacing w:after="240"/>
              <w:jc w:val="center"/>
              <w:rPr>
                <w:rFonts w:ascii="Calibri" w:hAnsi="Calibri"/>
                <w:color w:val="1F497D"/>
                <w:sz w:val="22"/>
                <w:szCs w:val="22"/>
              </w:rPr>
            </w:pPr>
            <w:r w:rsidRPr="00352A4A">
              <w:rPr>
                <w:rFonts w:ascii="Calibri" w:hAnsi="Calibri"/>
                <w:color w:val="1F497D"/>
                <w:sz w:val="22"/>
                <w:szCs w:val="22"/>
              </w:rPr>
              <w:t>1</w:t>
            </w:r>
          </w:p>
        </w:tc>
        <w:tc>
          <w:tcPr>
            <w:tcW w:w="516" w:type="pct"/>
            <w:tcMar>
              <w:top w:w="0" w:type="dxa"/>
              <w:left w:w="108" w:type="dxa"/>
              <w:bottom w:w="0" w:type="dxa"/>
              <w:right w:w="108" w:type="dxa"/>
            </w:tcMar>
          </w:tcPr>
          <w:p w:rsidR="00E655E7" w:rsidRPr="00352A4A" w:rsidRDefault="00E655E7" w:rsidP="00E655E7">
            <w:pPr>
              <w:spacing w:after="240"/>
              <w:jc w:val="center"/>
              <w:rPr>
                <w:rFonts w:ascii="Calibri" w:hAnsi="Calibri"/>
                <w:color w:val="1F497D"/>
                <w:sz w:val="22"/>
                <w:szCs w:val="22"/>
              </w:rPr>
            </w:pPr>
            <w:r w:rsidRPr="00352A4A">
              <w:rPr>
                <w:rFonts w:ascii="Calibri" w:hAnsi="Calibri"/>
                <w:color w:val="1F497D"/>
                <w:sz w:val="22"/>
                <w:szCs w:val="22"/>
              </w:rPr>
              <w:t>1.2</w:t>
            </w:r>
          </w:p>
        </w:tc>
        <w:tc>
          <w:tcPr>
            <w:tcW w:w="2132" w:type="pct"/>
          </w:tcPr>
          <w:p w:rsidR="00E655E7" w:rsidRPr="00352A4A" w:rsidRDefault="00E655E7" w:rsidP="00E655E7">
            <w:pPr>
              <w:spacing w:after="240"/>
              <w:ind w:left="122" w:right="174"/>
              <w:jc w:val="both"/>
              <w:rPr>
                <w:rFonts w:ascii="Calibri" w:hAnsi="Calibri"/>
                <w:color w:val="1F497D"/>
                <w:sz w:val="22"/>
                <w:szCs w:val="22"/>
              </w:rPr>
            </w:pPr>
            <w:r w:rsidRPr="00A10820">
              <w:rPr>
                <w:rFonts w:ascii="Calibri" w:hAnsi="Calibri"/>
                <w:color w:val="1F497D"/>
                <w:sz w:val="22"/>
                <w:szCs w:val="22"/>
              </w:rPr>
              <w:t>Governments should cooperate with other stakeholders to develop necessary legislation for the investigation and prosecution of cybercrime, noting existing frameworks: for example, UNGA Resolutions 55/63 and 56/121 on "Combating the criminal misuse of information technologies" and regional relevant initiatives including, but not limited to, the Council of Europe's Convention on Cybercrime.</w:t>
            </w:r>
          </w:p>
        </w:tc>
        <w:tc>
          <w:tcPr>
            <w:tcW w:w="2089" w:type="pct"/>
          </w:tcPr>
          <w:p w:rsidR="00E655E7" w:rsidRPr="00352A4A" w:rsidRDefault="00E655E7" w:rsidP="00E655E7">
            <w:pPr>
              <w:spacing w:after="240"/>
              <w:ind w:left="122" w:right="236"/>
              <w:jc w:val="both"/>
              <w:rPr>
                <w:rFonts w:ascii="Calibri" w:hAnsi="Calibri"/>
                <w:color w:val="1F497D"/>
                <w:sz w:val="22"/>
                <w:szCs w:val="22"/>
              </w:rPr>
            </w:pPr>
            <w:r w:rsidRPr="00352A4A">
              <w:rPr>
                <w:rFonts w:ascii="Calibri" w:hAnsi="Calibri"/>
                <w:color w:val="1F497D"/>
                <w:sz w:val="22"/>
                <w:szCs w:val="22"/>
              </w:rPr>
              <w:t>Highly agree</w:t>
            </w:r>
          </w:p>
        </w:tc>
      </w:tr>
      <w:tr w:rsidR="00E655E7" w:rsidTr="00E655E7">
        <w:trPr>
          <w:jc w:val="center"/>
        </w:trPr>
        <w:tc>
          <w:tcPr>
            <w:tcW w:w="263" w:type="pct"/>
            <w:tcMar>
              <w:top w:w="0" w:type="dxa"/>
              <w:left w:w="108" w:type="dxa"/>
              <w:bottom w:w="0" w:type="dxa"/>
              <w:right w:w="108" w:type="dxa"/>
            </w:tcMar>
          </w:tcPr>
          <w:p w:rsidR="00E655E7" w:rsidRPr="00352A4A" w:rsidRDefault="00E655E7" w:rsidP="00E655E7">
            <w:pPr>
              <w:spacing w:after="240"/>
              <w:jc w:val="center"/>
              <w:rPr>
                <w:rFonts w:ascii="Calibri" w:hAnsi="Calibri"/>
                <w:color w:val="1F497D"/>
                <w:sz w:val="22"/>
                <w:szCs w:val="22"/>
              </w:rPr>
            </w:pPr>
            <w:r>
              <w:rPr>
                <w:rFonts w:ascii="Calibri" w:hAnsi="Calibri"/>
                <w:color w:val="1F497D"/>
                <w:sz w:val="22"/>
                <w:szCs w:val="22"/>
              </w:rPr>
              <w:t>1</w:t>
            </w:r>
          </w:p>
        </w:tc>
        <w:tc>
          <w:tcPr>
            <w:tcW w:w="516" w:type="pct"/>
            <w:tcMar>
              <w:top w:w="0" w:type="dxa"/>
              <w:left w:w="108" w:type="dxa"/>
              <w:bottom w:w="0" w:type="dxa"/>
              <w:right w:w="108" w:type="dxa"/>
            </w:tcMar>
          </w:tcPr>
          <w:p w:rsidR="00E655E7" w:rsidRDefault="00E655E7" w:rsidP="00E655E7">
            <w:pPr>
              <w:spacing w:after="240"/>
              <w:jc w:val="center"/>
              <w:rPr>
                <w:rFonts w:ascii="Calibri" w:hAnsi="Calibri"/>
                <w:color w:val="1F497D"/>
                <w:sz w:val="22"/>
                <w:szCs w:val="22"/>
              </w:rPr>
            </w:pPr>
            <w:r>
              <w:rPr>
                <w:rFonts w:ascii="Calibri" w:hAnsi="Calibri"/>
                <w:color w:val="1F497D"/>
                <w:sz w:val="22"/>
                <w:szCs w:val="22"/>
              </w:rPr>
              <w:t>1.3</w:t>
            </w:r>
          </w:p>
          <w:p w:rsidR="00E655E7" w:rsidRPr="00352A4A" w:rsidRDefault="00E655E7" w:rsidP="00E655E7">
            <w:pPr>
              <w:spacing w:after="240"/>
              <w:jc w:val="center"/>
              <w:rPr>
                <w:rFonts w:ascii="Calibri" w:hAnsi="Calibri"/>
                <w:color w:val="1F497D"/>
                <w:sz w:val="22"/>
                <w:szCs w:val="22"/>
              </w:rPr>
            </w:pPr>
          </w:p>
        </w:tc>
        <w:tc>
          <w:tcPr>
            <w:tcW w:w="2132" w:type="pct"/>
          </w:tcPr>
          <w:p w:rsidR="00E655E7" w:rsidRPr="00352A4A" w:rsidRDefault="00E655E7" w:rsidP="00E655E7">
            <w:pPr>
              <w:spacing w:after="240"/>
              <w:ind w:left="122" w:right="174"/>
              <w:jc w:val="both"/>
              <w:rPr>
                <w:rFonts w:ascii="Calibri" w:hAnsi="Calibri"/>
                <w:color w:val="1F497D"/>
                <w:sz w:val="22"/>
                <w:szCs w:val="22"/>
              </w:rPr>
            </w:pPr>
            <w:r w:rsidRPr="00A10820">
              <w:rPr>
                <w:rFonts w:ascii="Calibri" w:hAnsi="Calibri"/>
                <w:color w:val="1F497D"/>
                <w:sz w:val="22"/>
                <w:szCs w:val="22"/>
              </w:rPr>
              <w:t>Considering the Council of Europe’s Convention on Cybercrime as an example of legal measures realized as a regional initiative, countries should complete its ratification, or consider the possibility of acceding to the Convention of Cybercrime. Other countries should, or may want to, use the Convention as a guideline, or as a reference for developing their internal legislation, by implementing the standards and principles it contains, in accordance with their own legal system and practice.</w:t>
            </w:r>
          </w:p>
        </w:tc>
        <w:tc>
          <w:tcPr>
            <w:tcW w:w="2089" w:type="pct"/>
          </w:tcPr>
          <w:p w:rsidR="00E655E7" w:rsidRPr="003E2F35" w:rsidRDefault="00E655E7" w:rsidP="00E655E7">
            <w:pPr>
              <w:spacing w:after="240"/>
              <w:ind w:left="122" w:right="236"/>
              <w:jc w:val="both"/>
              <w:rPr>
                <w:rFonts w:ascii="Calibri" w:hAnsi="Calibri"/>
                <w:color w:val="1F497D"/>
                <w:sz w:val="22"/>
                <w:szCs w:val="22"/>
              </w:rPr>
            </w:pPr>
            <w:r w:rsidRPr="003E2F35">
              <w:rPr>
                <w:rFonts w:ascii="Calibri" w:hAnsi="Calibri"/>
                <w:color w:val="1F497D"/>
                <w:sz w:val="22"/>
                <w:szCs w:val="22"/>
              </w:rPr>
              <w:t>We echo the sentiment in the member notes, in regards to using Europe’s Convention on Cybercrime as a reference or guideline for developing legislation, but not necessarily to ratify the Convention itself.</w:t>
            </w:r>
          </w:p>
          <w:p w:rsidR="00E655E7" w:rsidRPr="003E2F35" w:rsidRDefault="00E655E7" w:rsidP="00E655E7">
            <w:pPr>
              <w:spacing w:after="240"/>
              <w:ind w:right="236"/>
              <w:jc w:val="both"/>
              <w:rPr>
                <w:rFonts w:ascii="Calibri" w:hAnsi="Calibri"/>
                <w:color w:val="1F497D"/>
                <w:sz w:val="22"/>
                <w:szCs w:val="22"/>
              </w:rPr>
            </w:pPr>
          </w:p>
        </w:tc>
      </w:tr>
      <w:tr w:rsidR="00E655E7" w:rsidTr="00E655E7">
        <w:trPr>
          <w:jc w:val="center"/>
        </w:trPr>
        <w:tc>
          <w:tcPr>
            <w:tcW w:w="263" w:type="pct"/>
            <w:tcMar>
              <w:top w:w="0" w:type="dxa"/>
              <w:left w:w="108" w:type="dxa"/>
              <w:bottom w:w="0" w:type="dxa"/>
              <w:right w:w="108" w:type="dxa"/>
            </w:tcMar>
          </w:tcPr>
          <w:p w:rsidR="00E655E7" w:rsidRPr="00352A4A" w:rsidRDefault="00E655E7" w:rsidP="00E655E7">
            <w:pPr>
              <w:spacing w:after="240"/>
              <w:jc w:val="center"/>
              <w:rPr>
                <w:rFonts w:ascii="Calibri" w:hAnsi="Calibri"/>
                <w:color w:val="1F497D"/>
                <w:sz w:val="22"/>
                <w:szCs w:val="22"/>
              </w:rPr>
            </w:pPr>
            <w:r w:rsidRPr="00352A4A">
              <w:rPr>
                <w:rFonts w:ascii="Calibri" w:hAnsi="Calibri"/>
                <w:color w:val="1F497D"/>
                <w:sz w:val="22"/>
                <w:szCs w:val="22"/>
              </w:rPr>
              <w:t>1</w:t>
            </w:r>
          </w:p>
        </w:tc>
        <w:tc>
          <w:tcPr>
            <w:tcW w:w="516" w:type="pct"/>
            <w:tcMar>
              <w:top w:w="0" w:type="dxa"/>
              <w:left w:w="108" w:type="dxa"/>
              <w:bottom w:w="0" w:type="dxa"/>
              <w:right w:w="108" w:type="dxa"/>
            </w:tcMar>
          </w:tcPr>
          <w:p w:rsidR="00E655E7" w:rsidRPr="00352A4A" w:rsidRDefault="00E655E7" w:rsidP="00E655E7">
            <w:pPr>
              <w:spacing w:after="240"/>
              <w:jc w:val="center"/>
              <w:rPr>
                <w:rFonts w:ascii="Calibri" w:hAnsi="Calibri"/>
                <w:color w:val="1F497D"/>
                <w:sz w:val="22"/>
                <w:szCs w:val="22"/>
              </w:rPr>
            </w:pPr>
            <w:r w:rsidRPr="00352A4A">
              <w:rPr>
                <w:rFonts w:ascii="Calibri" w:hAnsi="Calibri"/>
                <w:color w:val="1F497D"/>
                <w:sz w:val="22"/>
                <w:szCs w:val="22"/>
              </w:rPr>
              <w:t>1.4</w:t>
            </w:r>
          </w:p>
        </w:tc>
        <w:tc>
          <w:tcPr>
            <w:tcW w:w="2132" w:type="pct"/>
          </w:tcPr>
          <w:p w:rsidR="00E655E7" w:rsidRPr="003E2F35" w:rsidRDefault="00E655E7" w:rsidP="00E655E7">
            <w:pPr>
              <w:spacing w:after="240"/>
              <w:ind w:left="122" w:right="174"/>
              <w:jc w:val="both"/>
              <w:rPr>
                <w:rFonts w:ascii="Calibri" w:hAnsi="Calibri"/>
                <w:color w:val="1F497D"/>
                <w:sz w:val="22"/>
                <w:szCs w:val="22"/>
              </w:rPr>
            </w:pPr>
            <w:r w:rsidRPr="00A10820">
              <w:rPr>
                <w:rFonts w:ascii="Calibri" w:hAnsi="Calibri"/>
                <w:color w:val="1F497D"/>
                <w:sz w:val="22"/>
                <w:szCs w:val="22"/>
              </w:rPr>
              <w:t>It is very important to implement at least Articles 2-9 in the substantive criminal law section, and to establish the procedural tools necessary to investigate and prosecute such crimes as described in Articles 14-22 in the section on procedural law.</w:t>
            </w:r>
          </w:p>
        </w:tc>
        <w:tc>
          <w:tcPr>
            <w:tcW w:w="2089" w:type="pct"/>
          </w:tcPr>
          <w:p w:rsidR="00E655E7" w:rsidRPr="003E2F35" w:rsidRDefault="00E655E7" w:rsidP="00E655E7">
            <w:pPr>
              <w:spacing w:after="240"/>
              <w:ind w:left="122" w:right="236"/>
              <w:jc w:val="both"/>
              <w:rPr>
                <w:rFonts w:ascii="Calibri" w:hAnsi="Calibri"/>
                <w:color w:val="1F497D"/>
                <w:sz w:val="22"/>
                <w:szCs w:val="22"/>
              </w:rPr>
            </w:pPr>
            <w:r w:rsidRPr="003E2F35">
              <w:rPr>
                <w:rFonts w:ascii="Calibri" w:hAnsi="Calibri"/>
                <w:color w:val="1F497D"/>
                <w:sz w:val="22"/>
                <w:szCs w:val="22"/>
              </w:rPr>
              <w:t>Governments should clearly mention the procedures that will be taken against the cybercrime this could be happened through establishing a standalone legislation to assist the judiciaries to do their work in transparent way.</w:t>
            </w:r>
          </w:p>
          <w:p w:rsidR="00E655E7" w:rsidRPr="003E2F35" w:rsidRDefault="00E655E7" w:rsidP="00E655E7">
            <w:pPr>
              <w:spacing w:after="240"/>
              <w:ind w:left="122" w:right="236"/>
              <w:jc w:val="both"/>
              <w:rPr>
                <w:rFonts w:ascii="Calibri" w:hAnsi="Calibri"/>
                <w:color w:val="1F497D"/>
                <w:sz w:val="22"/>
                <w:szCs w:val="22"/>
              </w:rPr>
            </w:pPr>
          </w:p>
          <w:p w:rsidR="00E655E7" w:rsidRDefault="00E655E7" w:rsidP="00E655E7">
            <w:pPr>
              <w:spacing w:after="240"/>
              <w:ind w:left="122" w:right="236"/>
              <w:jc w:val="both"/>
              <w:rPr>
                <w:rFonts w:ascii="Calibri" w:hAnsi="Calibri"/>
                <w:color w:val="1F497D"/>
                <w:sz w:val="22"/>
                <w:szCs w:val="22"/>
              </w:rPr>
            </w:pPr>
            <w:r w:rsidRPr="00352A4A">
              <w:rPr>
                <w:rFonts w:ascii="Calibri" w:hAnsi="Calibri"/>
                <w:color w:val="1F497D"/>
                <w:sz w:val="22"/>
                <w:szCs w:val="22"/>
              </w:rPr>
              <w:t>As mentioned in report’s recommendations it is important to define the preservation of stored data, Search and seizure of stored computer data, Real-time collection of computer data, Extradition of cyber perpetrators, Confidentiality and limitation of use. And this should not</w:t>
            </w:r>
            <w:r>
              <w:rPr>
                <w:rFonts w:ascii="Calibri" w:hAnsi="Calibri"/>
                <w:color w:val="1F497D"/>
                <w:sz w:val="22"/>
                <w:szCs w:val="22"/>
              </w:rPr>
              <w:t xml:space="preserve"> be</w:t>
            </w:r>
            <w:r w:rsidRPr="00352A4A">
              <w:rPr>
                <w:rFonts w:ascii="Calibri" w:hAnsi="Calibri"/>
                <w:color w:val="1F497D"/>
                <w:sz w:val="22"/>
                <w:szCs w:val="22"/>
              </w:rPr>
              <w:t xml:space="preserve"> limited to computer devices but also extended to any devices that deal with data</w:t>
            </w:r>
          </w:p>
        </w:tc>
      </w:tr>
      <w:tr w:rsidR="00E655E7" w:rsidTr="00E655E7">
        <w:trPr>
          <w:trHeight w:val="509"/>
          <w:jc w:val="center"/>
        </w:trPr>
        <w:tc>
          <w:tcPr>
            <w:tcW w:w="263" w:type="pct"/>
            <w:vMerge w:val="restart"/>
            <w:tcMar>
              <w:top w:w="0" w:type="dxa"/>
              <w:left w:w="108" w:type="dxa"/>
              <w:bottom w:w="0" w:type="dxa"/>
              <w:right w:w="108" w:type="dxa"/>
            </w:tcMar>
          </w:tcPr>
          <w:p w:rsidR="00E655E7" w:rsidRPr="00352A4A" w:rsidRDefault="00E655E7" w:rsidP="00E655E7">
            <w:pPr>
              <w:jc w:val="center"/>
              <w:rPr>
                <w:rFonts w:ascii="Calibri" w:hAnsi="Calibri"/>
                <w:color w:val="1F497D"/>
                <w:sz w:val="22"/>
                <w:szCs w:val="22"/>
              </w:rPr>
            </w:pPr>
            <w:r w:rsidRPr="00352A4A">
              <w:rPr>
                <w:rFonts w:ascii="Calibri" w:hAnsi="Calibri"/>
                <w:color w:val="1F497D"/>
                <w:sz w:val="22"/>
                <w:szCs w:val="22"/>
              </w:rPr>
              <w:t>1</w:t>
            </w:r>
          </w:p>
        </w:tc>
        <w:tc>
          <w:tcPr>
            <w:tcW w:w="516" w:type="pct"/>
            <w:vMerge w:val="restart"/>
            <w:tcMar>
              <w:top w:w="0" w:type="dxa"/>
              <w:left w:w="108" w:type="dxa"/>
              <w:bottom w:w="0" w:type="dxa"/>
              <w:right w:w="108" w:type="dxa"/>
            </w:tcMar>
          </w:tcPr>
          <w:p w:rsidR="00E655E7" w:rsidRPr="00352A4A" w:rsidRDefault="00E655E7" w:rsidP="00E655E7">
            <w:pPr>
              <w:jc w:val="center"/>
              <w:rPr>
                <w:rFonts w:ascii="Calibri" w:hAnsi="Calibri"/>
                <w:color w:val="1F497D"/>
                <w:sz w:val="22"/>
                <w:szCs w:val="22"/>
              </w:rPr>
            </w:pPr>
            <w:r w:rsidRPr="00352A4A">
              <w:rPr>
                <w:rFonts w:ascii="Calibri" w:hAnsi="Calibri"/>
                <w:color w:val="1F497D"/>
                <w:sz w:val="22"/>
                <w:szCs w:val="22"/>
              </w:rPr>
              <w:t>1.5</w:t>
            </w:r>
          </w:p>
        </w:tc>
        <w:tc>
          <w:tcPr>
            <w:tcW w:w="2132" w:type="pct"/>
            <w:vMerge w:val="restart"/>
          </w:tcPr>
          <w:p w:rsidR="00E655E7" w:rsidRDefault="00E655E7" w:rsidP="00E655E7">
            <w:pPr>
              <w:ind w:left="122" w:right="174"/>
              <w:jc w:val="both"/>
              <w:rPr>
                <w:rFonts w:ascii="Calibri" w:hAnsi="Calibri"/>
                <w:color w:val="1F497D"/>
                <w:sz w:val="22"/>
                <w:szCs w:val="22"/>
              </w:rPr>
            </w:pPr>
            <w:r w:rsidRPr="00A10820">
              <w:rPr>
                <w:rFonts w:ascii="Calibri" w:hAnsi="Calibri"/>
                <w:color w:val="1F497D"/>
                <w:sz w:val="22"/>
                <w:szCs w:val="22"/>
              </w:rPr>
              <w:t>Cybercrime legislation should be designed using existing international and regional frameworks as a reference or as a guideline, and the Convention on Cybercrime was designed in a way so that it could be adapted to technological developments, and laws using the Convention as a guideline should be able to address modern developments.</w:t>
            </w:r>
          </w:p>
          <w:p w:rsidR="00E655E7" w:rsidRDefault="00E655E7" w:rsidP="00E655E7">
            <w:pPr>
              <w:jc w:val="both"/>
              <w:rPr>
                <w:rFonts w:ascii="Calibri" w:hAnsi="Calibri"/>
                <w:color w:val="1F497D"/>
                <w:sz w:val="22"/>
                <w:szCs w:val="22"/>
              </w:rPr>
            </w:pPr>
          </w:p>
          <w:p w:rsidR="00E655E7" w:rsidRPr="00E655E7" w:rsidRDefault="00E655E7" w:rsidP="00E655E7">
            <w:pPr>
              <w:ind w:left="122" w:right="174"/>
              <w:jc w:val="both"/>
              <w:rPr>
                <w:rFonts w:ascii="Calibri" w:hAnsi="Calibri"/>
                <w:color w:val="1F497D"/>
                <w:sz w:val="22"/>
                <w:szCs w:val="22"/>
              </w:rPr>
            </w:pPr>
            <w:r w:rsidRPr="00E655E7">
              <w:rPr>
                <w:rFonts w:ascii="Calibri" w:hAnsi="Calibri"/>
                <w:color w:val="1F497D"/>
                <w:sz w:val="22"/>
                <w:szCs w:val="22"/>
              </w:rPr>
              <w:t>One member wished to delete the first phrase on how cybercrime legislation should be developed. A few other members wished to delete the text referring to the history of the design of the Convention and the normative statement as to what it might be able to achieve</w:t>
            </w:r>
          </w:p>
        </w:tc>
        <w:tc>
          <w:tcPr>
            <w:tcW w:w="2089" w:type="pct"/>
            <w:vMerge w:val="restart"/>
          </w:tcPr>
          <w:p w:rsidR="00E655E7" w:rsidRDefault="00E655E7" w:rsidP="00E655E7">
            <w:pPr>
              <w:ind w:left="122" w:right="236"/>
              <w:jc w:val="both"/>
              <w:rPr>
                <w:rFonts w:ascii="Calibri" w:hAnsi="Calibri"/>
                <w:color w:val="1F497D"/>
                <w:sz w:val="22"/>
                <w:szCs w:val="22"/>
              </w:rPr>
            </w:pPr>
            <w:r w:rsidRPr="003E2F35">
              <w:rPr>
                <w:rFonts w:ascii="Calibri" w:hAnsi="Calibri"/>
                <w:color w:val="1F497D"/>
                <w:sz w:val="22"/>
                <w:szCs w:val="22"/>
              </w:rPr>
              <w:t>We echo the suggestion to remove the first phrase, and focus more on the need for legislation to be able to adapt to technological</w:t>
            </w:r>
            <w:r>
              <w:rPr>
                <w:rFonts w:ascii="Calibri" w:hAnsi="Calibri"/>
                <w:color w:val="1F497D"/>
                <w:sz w:val="22"/>
                <w:szCs w:val="22"/>
              </w:rPr>
              <w:t xml:space="preserve"> </w:t>
            </w:r>
            <w:r w:rsidRPr="003E2F35">
              <w:rPr>
                <w:rFonts w:ascii="Calibri" w:hAnsi="Calibri"/>
                <w:color w:val="1F497D"/>
                <w:sz w:val="22"/>
                <w:szCs w:val="22"/>
              </w:rPr>
              <w:t>developments. In addition, it is important for legislation to remain as agnostic as possible to specific technologies or protocols.</w:t>
            </w:r>
            <w:r>
              <w:rPr>
                <w:rFonts w:ascii="Calibri" w:hAnsi="Calibri"/>
                <w:color w:val="1F497D"/>
                <w:sz w:val="22"/>
                <w:szCs w:val="22"/>
              </w:rPr>
              <w:t xml:space="preserve"> Moreover, we </w:t>
            </w:r>
            <w:r w:rsidRPr="003E2F35">
              <w:rPr>
                <w:rFonts w:ascii="Calibri" w:hAnsi="Calibri"/>
                <w:color w:val="1F497D"/>
                <w:sz w:val="22"/>
                <w:szCs w:val="22"/>
              </w:rPr>
              <w:t>do agree that could affect the developments of developed countries since an international framework could restrict them</w:t>
            </w:r>
            <w:r>
              <w:rPr>
                <w:rFonts w:ascii="Calibri" w:hAnsi="Calibri"/>
                <w:color w:val="1F497D"/>
                <w:sz w:val="22"/>
                <w:szCs w:val="22"/>
              </w:rPr>
              <w:t>,</w:t>
            </w:r>
            <w:r w:rsidRPr="003E2F35">
              <w:rPr>
                <w:rFonts w:ascii="Calibri" w:hAnsi="Calibri"/>
                <w:color w:val="1F497D"/>
                <w:sz w:val="22"/>
                <w:szCs w:val="22"/>
              </w:rPr>
              <w:t xml:space="preserve"> but we can suggest to have a common baseline that help all member states to be at the same level of understanding about main articles of cybercrimes legislations</w:t>
            </w:r>
          </w:p>
        </w:tc>
      </w:tr>
      <w:tr w:rsidR="00E655E7" w:rsidTr="00E655E7">
        <w:trPr>
          <w:trHeight w:val="509"/>
          <w:jc w:val="center"/>
        </w:trPr>
        <w:tc>
          <w:tcPr>
            <w:tcW w:w="263" w:type="pct"/>
            <w:vMerge/>
            <w:tcMar>
              <w:top w:w="0" w:type="dxa"/>
              <w:left w:w="108" w:type="dxa"/>
              <w:bottom w:w="0" w:type="dxa"/>
              <w:right w:w="108" w:type="dxa"/>
            </w:tcMar>
          </w:tcPr>
          <w:p w:rsidR="00E655E7" w:rsidRPr="00352A4A" w:rsidRDefault="00E655E7" w:rsidP="00E655E7">
            <w:pPr>
              <w:spacing w:after="240"/>
              <w:jc w:val="center"/>
              <w:rPr>
                <w:rFonts w:ascii="Calibri" w:hAnsi="Calibri"/>
                <w:color w:val="1F497D"/>
                <w:sz w:val="22"/>
                <w:szCs w:val="22"/>
              </w:rPr>
            </w:pPr>
          </w:p>
        </w:tc>
        <w:tc>
          <w:tcPr>
            <w:tcW w:w="516" w:type="pct"/>
            <w:vMerge/>
            <w:tcMar>
              <w:top w:w="0" w:type="dxa"/>
              <w:left w:w="108" w:type="dxa"/>
              <w:bottom w:w="0" w:type="dxa"/>
              <w:right w:w="108" w:type="dxa"/>
            </w:tcMar>
          </w:tcPr>
          <w:p w:rsidR="00E655E7" w:rsidRPr="00352A4A" w:rsidRDefault="00E655E7" w:rsidP="00E655E7">
            <w:pPr>
              <w:spacing w:after="240"/>
              <w:jc w:val="center"/>
              <w:rPr>
                <w:rFonts w:ascii="Calibri" w:hAnsi="Calibri"/>
                <w:color w:val="1F497D"/>
                <w:sz w:val="22"/>
                <w:szCs w:val="22"/>
              </w:rPr>
            </w:pPr>
          </w:p>
        </w:tc>
        <w:tc>
          <w:tcPr>
            <w:tcW w:w="2132" w:type="pct"/>
            <w:vMerge/>
          </w:tcPr>
          <w:p w:rsidR="00E655E7" w:rsidRPr="003E2F35" w:rsidRDefault="00E655E7" w:rsidP="00E655E7">
            <w:pPr>
              <w:spacing w:after="240"/>
              <w:ind w:left="122" w:right="174"/>
              <w:jc w:val="both"/>
              <w:rPr>
                <w:rFonts w:ascii="Calibri" w:hAnsi="Calibri"/>
                <w:color w:val="1F497D"/>
                <w:sz w:val="22"/>
                <w:szCs w:val="22"/>
              </w:rPr>
            </w:pPr>
          </w:p>
        </w:tc>
        <w:tc>
          <w:tcPr>
            <w:tcW w:w="2089" w:type="pct"/>
            <w:vMerge/>
          </w:tcPr>
          <w:p w:rsidR="00E655E7" w:rsidRPr="003E2F35" w:rsidRDefault="00E655E7" w:rsidP="00E655E7">
            <w:pPr>
              <w:spacing w:after="240"/>
              <w:ind w:left="122" w:right="236"/>
              <w:jc w:val="both"/>
              <w:rPr>
                <w:rFonts w:ascii="Calibri" w:hAnsi="Calibri"/>
                <w:color w:val="1F497D"/>
                <w:sz w:val="22"/>
                <w:szCs w:val="22"/>
              </w:rPr>
            </w:pPr>
          </w:p>
        </w:tc>
      </w:tr>
      <w:tr w:rsidR="00E655E7" w:rsidTr="00E655E7">
        <w:trPr>
          <w:trHeight w:val="3760"/>
          <w:jc w:val="center"/>
        </w:trPr>
        <w:tc>
          <w:tcPr>
            <w:tcW w:w="263" w:type="pct"/>
            <w:tcMar>
              <w:top w:w="0" w:type="dxa"/>
              <w:left w:w="108" w:type="dxa"/>
              <w:bottom w:w="0" w:type="dxa"/>
              <w:right w:w="108" w:type="dxa"/>
            </w:tcMar>
          </w:tcPr>
          <w:p w:rsidR="00E655E7" w:rsidRPr="00352A4A" w:rsidRDefault="00E655E7" w:rsidP="00E655E7">
            <w:pPr>
              <w:jc w:val="center"/>
              <w:rPr>
                <w:rFonts w:ascii="Calibri" w:hAnsi="Calibri"/>
                <w:color w:val="1F497D"/>
                <w:sz w:val="22"/>
                <w:szCs w:val="22"/>
              </w:rPr>
            </w:pPr>
            <w:r>
              <w:rPr>
                <w:rFonts w:ascii="Calibri" w:hAnsi="Calibri"/>
                <w:color w:val="1F497D"/>
                <w:sz w:val="22"/>
                <w:szCs w:val="22"/>
              </w:rPr>
              <w:lastRenderedPageBreak/>
              <w:t>1</w:t>
            </w:r>
          </w:p>
        </w:tc>
        <w:tc>
          <w:tcPr>
            <w:tcW w:w="516" w:type="pct"/>
            <w:tcMar>
              <w:top w:w="0" w:type="dxa"/>
              <w:left w:w="108" w:type="dxa"/>
              <w:bottom w:w="0" w:type="dxa"/>
              <w:right w:w="108" w:type="dxa"/>
            </w:tcMar>
          </w:tcPr>
          <w:p w:rsidR="00E655E7" w:rsidRPr="00352A4A" w:rsidRDefault="00E655E7" w:rsidP="00E655E7">
            <w:pPr>
              <w:jc w:val="center"/>
              <w:rPr>
                <w:rFonts w:ascii="Calibri" w:hAnsi="Calibri"/>
                <w:color w:val="1F497D"/>
                <w:sz w:val="22"/>
                <w:szCs w:val="22"/>
              </w:rPr>
            </w:pPr>
            <w:r>
              <w:rPr>
                <w:rFonts w:ascii="Calibri" w:hAnsi="Calibri"/>
                <w:color w:val="1F497D"/>
                <w:sz w:val="22"/>
                <w:szCs w:val="22"/>
              </w:rPr>
              <w:t>1.8</w:t>
            </w:r>
          </w:p>
          <w:p w:rsidR="00E655E7" w:rsidRPr="00352A4A" w:rsidRDefault="00E655E7" w:rsidP="00E655E7">
            <w:pPr>
              <w:tabs>
                <w:tab w:val="center" w:pos="317"/>
              </w:tabs>
              <w:rPr>
                <w:rFonts w:ascii="Calibri" w:hAnsi="Calibri"/>
                <w:color w:val="1F497D"/>
                <w:sz w:val="22"/>
                <w:szCs w:val="22"/>
              </w:rPr>
            </w:pPr>
          </w:p>
        </w:tc>
        <w:tc>
          <w:tcPr>
            <w:tcW w:w="2132" w:type="pct"/>
          </w:tcPr>
          <w:p w:rsidR="00E655E7" w:rsidRDefault="00E655E7" w:rsidP="00E655E7">
            <w:pPr>
              <w:ind w:left="122" w:right="174"/>
              <w:jc w:val="both"/>
              <w:rPr>
                <w:rFonts w:ascii="Calibri" w:hAnsi="Calibri"/>
                <w:color w:val="1F497D"/>
                <w:sz w:val="22"/>
                <w:szCs w:val="22"/>
              </w:rPr>
            </w:pPr>
            <w:r w:rsidRPr="002503A2">
              <w:rPr>
                <w:rFonts w:ascii="Calibri" w:hAnsi="Calibri"/>
                <w:color w:val="1F497D"/>
                <w:sz w:val="22"/>
                <w:szCs w:val="22"/>
              </w:rPr>
              <w:t xml:space="preserve">Countries should consider how to address data espionage and steps to prevent pornography being made available to minors. </w:t>
            </w:r>
          </w:p>
          <w:p w:rsidR="00E655E7" w:rsidRDefault="00E655E7" w:rsidP="00E655E7">
            <w:pPr>
              <w:ind w:left="122" w:right="174"/>
              <w:jc w:val="both"/>
              <w:rPr>
                <w:rFonts w:ascii="Calibri" w:hAnsi="Calibri"/>
                <w:color w:val="1F497D"/>
                <w:sz w:val="22"/>
                <w:szCs w:val="22"/>
              </w:rPr>
            </w:pPr>
          </w:p>
          <w:p w:rsidR="00E655E7" w:rsidRPr="00E655E7" w:rsidRDefault="00E655E7" w:rsidP="00E655E7">
            <w:pPr>
              <w:ind w:left="122" w:right="174"/>
              <w:jc w:val="both"/>
              <w:rPr>
                <w:rFonts w:ascii="Calibri" w:hAnsi="Calibri"/>
                <w:color w:val="1F497D"/>
                <w:sz w:val="22"/>
                <w:szCs w:val="22"/>
              </w:rPr>
            </w:pPr>
            <w:r w:rsidRPr="00E655E7">
              <w:rPr>
                <w:rFonts w:ascii="Calibri" w:hAnsi="Calibri"/>
                <w:color w:val="1F497D"/>
                <w:sz w:val="22"/>
                <w:szCs w:val="22"/>
              </w:rPr>
              <w:t>One member considered that the term "data espionage" is ambiguous, and should be defined properly, whilst another member wished to remove this term. Two members wished to delete this recommendation</w:t>
            </w:r>
          </w:p>
        </w:tc>
        <w:tc>
          <w:tcPr>
            <w:tcW w:w="2089" w:type="pct"/>
          </w:tcPr>
          <w:p w:rsidR="00E655E7" w:rsidRDefault="00E655E7" w:rsidP="00E655E7">
            <w:pPr>
              <w:ind w:left="122" w:right="236"/>
              <w:jc w:val="both"/>
              <w:rPr>
                <w:rFonts w:ascii="Calibri" w:hAnsi="Calibri"/>
                <w:color w:val="1F497D"/>
                <w:sz w:val="22"/>
                <w:szCs w:val="22"/>
              </w:rPr>
            </w:pPr>
            <w:r w:rsidRPr="00352A4A">
              <w:rPr>
                <w:rFonts w:ascii="Calibri" w:hAnsi="Calibri"/>
                <w:color w:val="1F497D"/>
                <w:sz w:val="22"/>
                <w:szCs w:val="22"/>
              </w:rPr>
              <w:t xml:space="preserve">We are totally agree with a comment regarding to data espionage, this term need to be clearly defined since there are different perspectives in member states </w:t>
            </w:r>
            <w:r>
              <w:rPr>
                <w:rFonts w:ascii="Calibri" w:hAnsi="Calibri"/>
                <w:color w:val="1F497D"/>
                <w:sz w:val="22"/>
                <w:szCs w:val="22"/>
              </w:rPr>
              <w:t xml:space="preserve">regarding </w:t>
            </w:r>
            <w:r w:rsidRPr="00352A4A">
              <w:rPr>
                <w:rFonts w:ascii="Calibri" w:hAnsi="Calibri"/>
                <w:color w:val="1F497D"/>
                <w:sz w:val="22"/>
                <w:szCs w:val="22"/>
              </w:rPr>
              <w:t xml:space="preserve"> personal data and how the local and international companies are deal with </w:t>
            </w:r>
            <w:r>
              <w:rPr>
                <w:rFonts w:ascii="Calibri" w:hAnsi="Calibri"/>
                <w:color w:val="1F497D"/>
                <w:sz w:val="22"/>
                <w:szCs w:val="22"/>
              </w:rPr>
              <w:t>that</w:t>
            </w:r>
            <w:r w:rsidRPr="00352A4A">
              <w:rPr>
                <w:rFonts w:ascii="Calibri" w:hAnsi="Calibri"/>
                <w:color w:val="1F497D"/>
                <w:sz w:val="22"/>
                <w:szCs w:val="22"/>
              </w:rPr>
              <w:t>. Deletion of th</w:t>
            </w:r>
            <w:r>
              <w:rPr>
                <w:rFonts w:ascii="Calibri" w:hAnsi="Calibri"/>
                <w:color w:val="1F497D"/>
                <w:sz w:val="22"/>
                <w:szCs w:val="22"/>
              </w:rPr>
              <w:t>at recommendation could raise</w:t>
            </w:r>
            <w:r w:rsidRPr="00352A4A">
              <w:rPr>
                <w:rFonts w:ascii="Calibri" w:hAnsi="Calibri"/>
                <w:color w:val="1F497D"/>
                <w:sz w:val="22"/>
                <w:szCs w:val="22"/>
              </w:rPr>
              <w:t xml:space="preserve"> negative consequences on the legal pillar since data are the key factor in cyberspace </w:t>
            </w:r>
          </w:p>
          <w:p w:rsidR="00E655E7" w:rsidRPr="00352A4A" w:rsidRDefault="00E655E7" w:rsidP="00E655E7">
            <w:pPr>
              <w:ind w:left="122" w:right="236"/>
              <w:jc w:val="both"/>
              <w:rPr>
                <w:rFonts w:ascii="Calibri" w:hAnsi="Calibri"/>
                <w:color w:val="1F497D"/>
                <w:sz w:val="22"/>
                <w:szCs w:val="22"/>
              </w:rPr>
            </w:pPr>
            <w:r>
              <w:rPr>
                <w:rFonts w:ascii="Calibri" w:hAnsi="Calibri"/>
                <w:color w:val="1F497D"/>
                <w:sz w:val="22"/>
                <w:szCs w:val="22"/>
              </w:rPr>
              <w:t xml:space="preserve">In addition to that, we propose to </w:t>
            </w:r>
            <w:r w:rsidRPr="005E3A3E">
              <w:rPr>
                <w:rFonts w:ascii="Calibri" w:hAnsi="Calibri"/>
                <w:color w:val="1F497D"/>
                <w:sz w:val="22"/>
                <w:szCs w:val="22"/>
              </w:rPr>
              <w:t>add a new item related to combating the seizure / control of data through its encryption and financial extortion to restore this data or the so-called (Ransom ware) and emphasize the need for international coordination to combat this phenomenon</w:t>
            </w:r>
          </w:p>
        </w:tc>
      </w:tr>
      <w:tr w:rsidR="00E655E7" w:rsidTr="00E655E7">
        <w:trPr>
          <w:jc w:val="center"/>
        </w:trPr>
        <w:tc>
          <w:tcPr>
            <w:tcW w:w="263" w:type="pct"/>
            <w:tcMar>
              <w:top w:w="0" w:type="dxa"/>
              <w:left w:w="108" w:type="dxa"/>
              <w:bottom w:w="0" w:type="dxa"/>
              <w:right w:w="108" w:type="dxa"/>
            </w:tcMar>
          </w:tcPr>
          <w:p w:rsidR="00E655E7" w:rsidRPr="00352A4A" w:rsidRDefault="00E655E7" w:rsidP="00E655E7">
            <w:pPr>
              <w:jc w:val="center"/>
              <w:rPr>
                <w:rFonts w:ascii="Calibri" w:hAnsi="Calibri"/>
                <w:color w:val="1F497D"/>
                <w:sz w:val="22"/>
                <w:szCs w:val="22"/>
              </w:rPr>
            </w:pPr>
            <w:r>
              <w:rPr>
                <w:rFonts w:ascii="Calibri" w:hAnsi="Calibri"/>
                <w:color w:val="1F497D"/>
                <w:sz w:val="22"/>
                <w:szCs w:val="22"/>
              </w:rPr>
              <w:t>1</w:t>
            </w:r>
          </w:p>
        </w:tc>
        <w:tc>
          <w:tcPr>
            <w:tcW w:w="516" w:type="pct"/>
            <w:tcMar>
              <w:top w:w="0" w:type="dxa"/>
              <w:left w:w="108" w:type="dxa"/>
              <w:bottom w:w="0" w:type="dxa"/>
              <w:right w:w="108" w:type="dxa"/>
            </w:tcMar>
          </w:tcPr>
          <w:p w:rsidR="00E655E7" w:rsidRDefault="00E655E7" w:rsidP="00E655E7">
            <w:pPr>
              <w:jc w:val="center"/>
              <w:rPr>
                <w:rFonts w:ascii="Calibri" w:hAnsi="Calibri"/>
                <w:color w:val="1F497D"/>
                <w:sz w:val="22"/>
                <w:szCs w:val="22"/>
              </w:rPr>
            </w:pPr>
            <w:r>
              <w:rPr>
                <w:rFonts w:ascii="Calibri" w:hAnsi="Calibri"/>
                <w:color w:val="1F497D"/>
                <w:sz w:val="22"/>
                <w:szCs w:val="22"/>
              </w:rPr>
              <w:t>1.9</w:t>
            </w:r>
          </w:p>
        </w:tc>
        <w:tc>
          <w:tcPr>
            <w:tcW w:w="2132" w:type="pct"/>
          </w:tcPr>
          <w:p w:rsidR="00E655E7" w:rsidRDefault="00E655E7" w:rsidP="00E655E7">
            <w:pPr>
              <w:ind w:left="122" w:right="174"/>
              <w:jc w:val="both"/>
              <w:rPr>
                <w:rFonts w:ascii="Calibri" w:hAnsi="Calibri"/>
                <w:color w:val="1F497D"/>
                <w:sz w:val="22"/>
                <w:szCs w:val="22"/>
              </w:rPr>
            </w:pPr>
            <w:r w:rsidRPr="002503A2">
              <w:rPr>
                <w:rFonts w:ascii="Calibri" w:hAnsi="Calibri"/>
                <w:color w:val="1F497D"/>
                <w:sz w:val="22"/>
                <w:szCs w:val="22"/>
              </w:rPr>
              <w:t>The introduction of new technologies always presents an initial challenge for law enforcement. For example, VoIP and other new technologies may be a challenge for law enforcement in the future. It is important that law enforcement, government, the VoIP industry and ICT community consider ways to work together to ensure that law enforcement has the tools it needs to protect the public from criminal activity.</w:t>
            </w:r>
          </w:p>
          <w:p w:rsidR="00E655E7" w:rsidRDefault="00E655E7" w:rsidP="00E655E7">
            <w:pPr>
              <w:ind w:left="122" w:right="174"/>
              <w:jc w:val="both"/>
              <w:rPr>
                <w:rFonts w:ascii="Calibri" w:hAnsi="Calibri"/>
                <w:color w:val="1F497D"/>
                <w:sz w:val="22"/>
                <w:szCs w:val="22"/>
              </w:rPr>
            </w:pPr>
          </w:p>
          <w:p w:rsidR="00E655E7" w:rsidRPr="00E655E7" w:rsidRDefault="00E655E7" w:rsidP="00E655E7">
            <w:pPr>
              <w:ind w:left="122" w:right="174"/>
              <w:jc w:val="both"/>
              <w:rPr>
                <w:rFonts w:ascii="Calibri" w:hAnsi="Calibri"/>
                <w:color w:val="1F497D"/>
                <w:sz w:val="22"/>
                <w:szCs w:val="22"/>
              </w:rPr>
            </w:pPr>
            <w:r w:rsidRPr="00E655E7">
              <w:rPr>
                <w:rFonts w:ascii="Calibri" w:hAnsi="Calibri"/>
                <w:color w:val="1F497D"/>
                <w:sz w:val="22"/>
                <w:szCs w:val="22"/>
              </w:rPr>
              <w:t>Two members wished to delete this recommendation. Some members wished to replace the specific references to VoIP with more general text recognizing that the introduction of a broad range of new technologies presents initial challenges for law enforcement. One member supported reference to “government, industry and ICT community”, whilst another wished to make more general reference to “all relevant parties” [who] “should work together to ensure that law enforcement has the tools, resources and training needed”</w:t>
            </w:r>
          </w:p>
        </w:tc>
        <w:tc>
          <w:tcPr>
            <w:tcW w:w="2089" w:type="pct"/>
          </w:tcPr>
          <w:p w:rsidR="00E655E7" w:rsidRPr="00352A4A" w:rsidRDefault="00E655E7" w:rsidP="00E655E7">
            <w:pPr>
              <w:ind w:left="122" w:right="236"/>
              <w:jc w:val="both"/>
              <w:rPr>
                <w:rFonts w:ascii="Calibri" w:hAnsi="Calibri"/>
                <w:color w:val="1F497D"/>
                <w:sz w:val="22"/>
                <w:szCs w:val="22"/>
              </w:rPr>
            </w:pPr>
            <w:r w:rsidRPr="003E2F35">
              <w:rPr>
                <w:rFonts w:ascii="Calibri" w:hAnsi="Calibri"/>
                <w:color w:val="1F497D"/>
                <w:sz w:val="22"/>
                <w:szCs w:val="22"/>
              </w:rPr>
              <w:t>We echo the suggestion to replace reference to VoIP with more general, technology/protocol-agnostic term</w:t>
            </w:r>
          </w:p>
        </w:tc>
      </w:tr>
      <w:tr w:rsidR="00E655E7" w:rsidTr="00E655E7">
        <w:trPr>
          <w:jc w:val="center"/>
        </w:trPr>
        <w:tc>
          <w:tcPr>
            <w:tcW w:w="263" w:type="pct"/>
            <w:tcMar>
              <w:top w:w="0" w:type="dxa"/>
              <w:left w:w="108" w:type="dxa"/>
              <w:bottom w:w="0" w:type="dxa"/>
              <w:right w:w="108" w:type="dxa"/>
            </w:tcMar>
          </w:tcPr>
          <w:p w:rsidR="00E655E7" w:rsidRPr="00352A4A" w:rsidRDefault="00E655E7" w:rsidP="00E655E7">
            <w:pPr>
              <w:jc w:val="center"/>
              <w:rPr>
                <w:rFonts w:ascii="Calibri" w:hAnsi="Calibri"/>
                <w:color w:val="1F497D"/>
                <w:sz w:val="22"/>
                <w:szCs w:val="22"/>
              </w:rPr>
            </w:pPr>
            <w:r w:rsidRPr="00352A4A">
              <w:rPr>
                <w:rFonts w:ascii="Calibri" w:hAnsi="Calibri"/>
                <w:color w:val="1F497D"/>
                <w:sz w:val="22"/>
                <w:szCs w:val="22"/>
              </w:rPr>
              <w:t>1</w:t>
            </w:r>
          </w:p>
        </w:tc>
        <w:tc>
          <w:tcPr>
            <w:tcW w:w="516" w:type="pct"/>
            <w:tcMar>
              <w:top w:w="0" w:type="dxa"/>
              <w:left w:w="108" w:type="dxa"/>
              <w:bottom w:w="0" w:type="dxa"/>
              <w:right w:w="108" w:type="dxa"/>
            </w:tcMar>
          </w:tcPr>
          <w:p w:rsidR="00E655E7" w:rsidRPr="00352A4A" w:rsidRDefault="00E655E7" w:rsidP="00E655E7">
            <w:pPr>
              <w:jc w:val="center"/>
              <w:rPr>
                <w:rFonts w:ascii="Calibri" w:hAnsi="Calibri"/>
                <w:color w:val="1F497D"/>
                <w:sz w:val="22"/>
                <w:szCs w:val="22"/>
              </w:rPr>
            </w:pPr>
            <w:r>
              <w:rPr>
                <w:rFonts w:ascii="Calibri" w:hAnsi="Calibri"/>
                <w:color w:val="1F497D"/>
                <w:sz w:val="22"/>
                <w:szCs w:val="22"/>
              </w:rPr>
              <w:t>1.10</w:t>
            </w:r>
          </w:p>
        </w:tc>
        <w:tc>
          <w:tcPr>
            <w:tcW w:w="2132" w:type="pct"/>
          </w:tcPr>
          <w:p w:rsidR="00E655E7" w:rsidRDefault="00E655E7" w:rsidP="00E655E7">
            <w:pPr>
              <w:ind w:left="122" w:right="174"/>
              <w:jc w:val="both"/>
              <w:rPr>
                <w:rFonts w:ascii="Calibri" w:hAnsi="Calibri"/>
                <w:color w:val="1F497D"/>
                <w:sz w:val="22"/>
                <w:szCs w:val="22"/>
              </w:rPr>
            </w:pPr>
            <w:r w:rsidRPr="006F4FA5">
              <w:rPr>
                <w:rFonts w:ascii="Calibri" w:hAnsi="Calibri"/>
                <w:color w:val="1F497D"/>
                <w:sz w:val="22"/>
                <w:szCs w:val="22"/>
              </w:rPr>
              <w:t>The implementation of a data retention approach is one approach to avoid the difficulties of getting access to traffic data before they are deleted, and countries should carefully consider adopting such procedural legislation.</w:t>
            </w:r>
          </w:p>
          <w:p w:rsidR="00E655E7" w:rsidRDefault="00E655E7" w:rsidP="00E655E7">
            <w:pPr>
              <w:ind w:left="122" w:right="174"/>
              <w:jc w:val="both"/>
              <w:rPr>
                <w:rFonts w:ascii="Calibri" w:hAnsi="Calibri"/>
                <w:color w:val="1F497D"/>
                <w:sz w:val="22"/>
                <w:szCs w:val="22"/>
              </w:rPr>
            </w:pPr>
          </w:p>
          <w:p w:rsidR="00E655E7" w:rsidRPr="00E655E7" w:rsidRDefault="00E655E7" w:rsidP="00E655E7">
            <w:pPr>
              <w:ind w:left="122" w:right="174"/>
              <w:jc w:val="lowKashida"/>
              <w:rPr>
                <w:rFonts w:ascii="Calibri" w:hAnsi="Calibri"/>
                <w:color w:val="1F497D"/>
                <w:sz w:val="22"/>
                <w:szCs w:val="22"/>
              </w:rPr>
            </w:pPr>
            <w:r w:rsidRPr="006F4FA5">
              <w:rPr>
                <w:rFonts w:ascii="Calibri" w:hAnsi="Calibri"/>
                <w:color w:val="1F497D"/>
                <w:sz w:val="22"/>
                <w:szCs w:val="22"/>
              </w:rPr>
              <w:t xml:space="preserve"> </w:t>
            </w:r>
            <w:r w:rsidRPr="00E655E7">
              <w:rPr>
                <w:rFonts w:ascii="Calibri" w:hAnsi="Calibri"/>
                <w:color w:val="1F497D"/>
                <w:sz w:val="22"/>
                <w:szCs w:val="22"/>
              </w:rPr>
              <w:t>Two members wished to delete this recommendation. Another member proposed the alternative text: “the implementation of a data preservation approach has proven to be a key resource to law enforcement in investigations. Development of a balanced and reasonable data retention requirement should be carefully examined, taking into account expectations of privacy, security risks, etc., when considering adopting such procedural legislation”.</w:t>
            </w:r>
          </w:p>
        </w:tc>
        <w:tc>
          <w:tcPr>
            <w:tcW w:w="2089" w:type="pct"/>
          </w:tcPr>
          <w:p w:rsidR="00E655E7" w:rsidRPr="00352A4A" w:rsidRDefault="00E655E7" w:rsidP="00E655E7">
            <w:pPr>
              <w:ind w:left="122"/>
              <w:jc w:val="both"/>
              <w:rPr>
                <w:rFonts w:ascii="Calibri" w:hAnsi="Calibri"/>
                <w:color w:val="1F497D"/>
                <w:sz w:val="22"/>
                <w:szCs w:val="22"/>
              </w:rPr>
            </w:pPr>
            <w:r w:rsidRPr="00352A4A">
              <w:rPr>
                <w:rFonts w:ascii="Calibri" w:hAnsi="Calibri"/>
                <w:color w:val="1F497D"/>
                <w:sz w:val="22"/>
                <w:szCs w:val="22"/>
              </w:rPr>
              <w:t>Agree with the proposed article</w:t>
            </w:r>
          </w:p>
        </w:tc>
      </w:tr>
      <w:tr w:rsidR="00E655E7" w:rsidTr="00E655E7">
        <w:trPr>
          <w:jc w:val="center"/>
        </w:trPr>
        <w:tc>
          <w:tcPr>
            <w:tcW w:w="263" w:type="pct"/>
            <w:tcMar>
              <w:top w:w="0" w:type="dxa"/>
              <w:left w:w="108" w:type="dxa"/>
              <w:bottom w:w="0" w:type="dxa"/>
              <w:right w:w="108" w:type="dxa"/>
            </w:tcMar>
          </w:tcPr>
          <w:p w:rsidR="00E655E7" w:rsidRPr="00352A4A" w:rsidRDefault="00E655E7" w:rsidP="00E655E7">
            <w:pPr>
              <w:jc w:val="center"/>
              <w:rPr>
                <w:rFonts w:ascii="Calibri" w:hAnsi="Calibri"/>
                <w:color w:val="1F497D"/>
                <w:sz w:val="22"/>
                <w:szCs w:val="22"/>
              </w:rPr>
            </w:pPr>
            <w:r w:rsidRPr="00352A4A">
              <w:rPr>
                <w:rFonts w:ascii="Calibri" w:hAnsi="Calibri"/>
                <w:color w:val="1F497D"/>
                <w:sz w:val="22"/>
                <w:szCs w:val="22"/>
              </w:rPr>
              <w:t>1</w:t>
            </w:r>
          </w:p>
        </w:tc>
        <w:tc>
          <w:tcPr>
            <w:tcW w:w="516" w:type="pct"/>
            <w:tcMar>
              <w:top w:w="0" w:type="dxa"/>
              <w:left w:w="108" w:type="dxa"/>
              <w:bottom w:w="0" w:type="dxa"/>
              <w:right w:w="108" w:type="dxa"/>
            </w:tcMar>
          </w:tcPr>
          <w:p w:rsidR="00E655E7" w:rsidRPr="00352A4A" w:rsidRDefault="00E655E7" w:rsidP="00E655E7">
            <w:pPr>
              <w:jc w:val="center"/>
              <w:rPr>
                <w:rFonts w:ascii="Calibri" w:hAnsi="Calibri"/>
                <w:color w:val="1F497D"/>
                <w:sz w:val="22"/>
                <w:szCs w:val="22"/>
              </w:rPr>
            </w:pPr>
            <w:r>
              <w:rPr>
                <w:rFonts w:ascii="Calibri" w:hAnsi="Calibri"/>
                <w:color w:val="1F497D"/>
                <w:sz w:val="22"/>
                <w:szCs w:val="22"/>
              </w:rPr>
              <w:t>1.11</w:t>
            </w:r>
          </w:p>
        </w:tc>
        <w:tc>
          <w:tcPr>
            <w:tcW w:w="2132" w:type="pct"/>
          </w:tcPr>
          <w:p w:rsidR="00E655E7" w:rsidRDefault="00E655E7" w:rsidP="00E655E7">
            <w:pPr>
              <w:ind w:left="122" w:right="174"/>
              <w:jc w:val="both"/>
              <w:rPr>
                <w:rFonts w:ascii="Calibri" w:hAnsi="Calibri"/>
                <w:color w:val="1F497D"/>
                <w:sz w:val="22"/>
                <w:szCs w:val="22"/>
              </w:rPr>
            </w:pPr>
            <w:r w:rsidRPr="006F4FA5">
              <w:rPr>
                <w:rFonts w:ascii="Calibri" w:hAnsi="Calibri"/>
                <w:color w:val="1F497D"/>
                <w:sz w:val="22"/>
                <w:szCs w:val="22"/>
              </w:rPr>
              <w:t xml:space="preserve">In the fight against terrorist misuse of the Internet and related ICTs, countries should complete their ratification of the Convention on the Prevention of Terrorism of 2005. Other countries should, or may want to, use the Convention as a guideline, or as a reference for developing their internal legislation, by implementing the standards and principles it contains, </w:t>
            </w:r>
            <w:r w:rsidRPr="006F4FA5">
              <w:rPr>
                <w:rFonts w:ascii="Calibri" w:hAnsi="Calibri"/>
                <w:color w:val="1F497D"/>
                <w:sz w:val="22"/>
                <w:szCs w:val="22"/>
              </w:rPr>
              <w:lastRenderedPageBreak/>
              <w:t xml:space="preserve">in accordance with their own legal system and practice. Article 5 on public provocation to commit a terrorist offence, Article 6 on recruitment for terrorism, and Article 7 on training for terrorism are especially important. In addition, the Convention on Cybercrime has been studied with relation to terrorist misuse of the Internet and has been found to be important for defense against it. </w:t>
            </w:r>
          </w:p>
          <w:p w:rsidR="00E655E7" w:rsidRDefault="00E655E7" w:rsidP="00E655E7">
            <w:pPr>
              <w:ind w:left="122" w:right="174"/>
              <w:jc w:val="both"/>
              <w:rPr>
                <w:rFonts w:ascii="Calibri" w:hAnsi="Calibri"/>
                <w:color w:val="1F497D"/>
                <w:sz w:val="22"/>
                <w:szCs w:val="22"/>
              </w:rPr>
            </w:pPr>
          </w:p>
          <w:p w:rsidR="00E655E7" w:rsidRPr="00E655E7" w:rsidRDefault="00E655E7" w:rsidP="00E655E7">
            <w:pPr>
              <w:ind w:left="122" w:right="174"/>
              <w:jc w:val="both"/>
              <w:rPr>
                <w:rFonts w:ascii="Calibri" w:hAnsi="Calibri"/>
                <w:color w:val="1F497D"/>
                <w:sz w:val="22"/>
                <w:szCs w:val="22"/>
              </w:rPr>
            </w:pPr>
            <w:r w:rsidRPr="00E655E7">
              <w:rPr>
                <w:rFonts w:ascii="Calibri" w:hAnsi="Calibri"/>
                <w:color w:val="1F497D"/>
                <w:sz w:val="22"/>
                <w:szCs w:val="22"/>
              </w:rPr>
              <w:t>One member wished to delete the last sentence.</w:t>
            </w:r>
          </w:p>
        </w:tc>
        <w:tc>
          <w:tcPr>
            <w:tcW w:w="2089" w:type="pct"/>
          </w:tcPr>
          <w:p w:rsidR="00E655E7" w:rsidRPr="00352A4A" w:rsidRDefault="00E655E7" w:rsidP="00E655E7">
            <w:pPr>
              <w:ind w:left="122" w:right="236"/>
              <w:jc w:val="both"/>
              <w:rPr>
                <w:rFonts w:ascii="Calibri" w:hAnsi="Calibri"/>
                <w:color w:val="1F497D"/>
                <w:sz w:val="22"/>
                <w:szCs w:val="22"/>
              </w:rPr>
            </w:pPr>
            <w:r w:rsidRPr="00352A4A">
              <w:rPr>
                <w:rFonts w:ascii="Calibri" w:hAnsi="Calibri"/>
                <w:color w:val="1F497D"/>
                <w:sz w:val="22"/>
                <w:szCs w:val="22"/>
              </w:rPr>
              <w:lastRenderedPageBreak/>
              <w:t>This needs a revision of “Convention on the Prevention of Terrorism of 2005” because this is a critical issue since it is related to the terrorist.</w:t>
            </w:r>
          </w:p>
        </w:tc>
      </w:tr>
      <w:tr w:rsidR="00E655E7" w:rsidTr="00E655E7">
        <w:trPr>
          <w:trHeight w:val="4391"/>
          <w:jc w:val="center"/>
        </w:trPr>
        <w:tc>
          <w:tcPr>
            <w:tcW w:w="263" w:type="pct"/>
            <w:tcMar>
              <w:top w:w="0" w:type="dxa"/>
              <w:left w:w="108" w:type="dxa"/>
              <w:bottom w:w="0" w:type="dxa"/>
              <w:right w:w="108" w:type="dxa"/>
            </w:tcMar>
          </w:tcPr>
          <w:p w:rsidR="00E655E7" w:rsidRPr="00352A4A" w:rsidRDefault="00E655E7" w:rsidP="00E655E7">
            <w:pPr>
              <w:jc w:val="center"/>
              <w:rPr>
                <w:rFonts w:ascii="Calibri" w:hAnsi="Calibri"/>
                <w:color w:val="1F497D"/>
                <w:sz w:val="22"/>
                <w:szCs w:val="22"/>
              </w:rPr>
            </w:pPr>
            <w:r>
              <w:rPr>
                <w:rFonts w:ascii="Calibri" w:hAnsi="Calibri"/>
                <w:color w:val="1F497D"/>
                <w:sz w:val="22"/>
                <w:szCs w:val="22"/>
              </w:rPr>
              <w:t>1</w:t>
            </w:r>
          </w:p>
        </w:tc>
        <w:tc>
          <w:tcPr>
            <w:tcW w:w="516" w:type="pct"/>
            <w:tcMar>
              <w:top w:w="0" w:type="dxa"/>
              <w:left w:w="108" w:type="dxa"/>
              <w:bottom w:w="0" w:type="dxa"/>
              <w:right w:w="108" w:type="dxa"/>
            </w:tcMar>
            <w:textDirection w:val="btLr"/>
            <w:vAlign w:val="center"/>
          </w:tcPr>
          <w:p w:rsidR="00E655E7" w:rsidRPr="000C0429" w:rsidRDefault="00E655E7" w:rsidP="00E655E7">
            <w:pPr>
              <w:ind w:left="113" w:right="113"/>
              <w:jc w:val="center"/>
              <w:rPr>
                <w:rFonts w:ascii="Calibri" w:hAnsi="Calibri"/>
                <w:color w:val="1F497D"/>
                <w:sz w:val="32"/>
                <w:szCs w:val="32"/>
              </w:rPr>
            </w:pPr>
            <w:r w:rsidRPr="000C0429">
              <w:rPr>
                <w:rFonts w:ascii="Calibri" w:hAnsi="Calibri"/>
                <w:color w:val="1F497D"/>
                <w:sz w:val="32"/>
                <w:szCs w:val="32"/>
              </w:rPr>
              <w:t>additional recommendations</w:t>
            </w:r>
          </w:p>
        </w:tc>
        <w:tc>
          <w:tcPr>
            <w:tcW w:w="4221" w:type="pct"/>
            <w:gridSpan w:val="2"/>
          </w:tcPr>
          <w:p w:rsidR="00E655E7" w:rsidRDefault="00E655E7" w:rsidP="00E655E7">
            <w:pPr>
              <w:ind w:left="122" w:right="236"/>
              <w:jc w:val="both"/>
              <w:rPr>
                <w:rFonts w:ascii="Calibri" w:hAnsi="Calibri"/>
                <w:color w:val="1F497D"/>
                <w:sz w:val="22"/>
                <w:szCs w:val="22"/>
              </w:rPr>
            </w:pPr>
            <w:r>
              <w:rPr>
                <w:rFonts w:ascii="Calibri" w:hAnsi="Calibri"/>
                <w:color w:val="1F497D"/>
                <w:sz w:val="22"/>
                <w:szCs w:val="22"/>
              </w:rPr>
              <w:t>In addition to the above specific notes and comments, we have few general recommendations in the legislation area which are:</w:t>
            </w:r>
          </w:p>
          <w:p w:rsidR="00E655E7" w:rsidRPr="00E655E7" w:rsidRDefault="00E655E7" w:rsidP="00E655E7">
            <w:pPr>
              <w:pStyle w:val="ListParagraph"/>
              <w:numPr>
                <w:ilvl w:val="0"/>
                <w:numId w:val="8"/>
              </w:numPr>
              <w:spacing w:after="0"/>
              <w:ind w:right="236"/>
              <w:jc w:val="both"/>
              <w:rPr>
                <w:color w:val="1F497D"/>
              </w:rPr>
            </w:pPr>
            <w:r w:rsidRPr="00E655E7">
              <w:rPr>
                <w:color w:val="1F497D"/>
              </w:rPr>
              <w:t>There should be ways of some Encouragements for the use of PETs (privacy enhancing technologies) at the policy level in a way that preserves privacy without losing control. So,  the Regulators should help/encourage PET adoption in any industry that deals with sensitive data.</w:t>
            </w:r>
          </w:p>
          <w:p w:rsidR="00E655E7" w:rsidRPr="00E655E7" w:rsidRDefault="00E655E7" w:rsidP="00E655E7">
            <w:pPr>
              <w:pStyle w:val="ListParagraph"/>
              <w:numPr>
                <w:ilvl w:val="0"/>
                <w:numId w:val="8"/>
              </w:numPr>
              <w:spacing w:after="0"/>
              <w:ind w:right="236"/>
              <w:jc w:val="both"/>
              <w:rPr>
                <w:color w:val="1F497D"/>
              </w:rPr>
            </w:pPr>
            <w:r w:rsidRPr="00E655E7">
              <w:rPr>
                <w:color w:val="1F497D"/>
              </w:rPr>
              <w:t>Juridical legislations should emphasize the freedom of disclosure of sensitive information &amp; data for developed countries, that is critical for the less developed countries in specific data &amp; information that is related to national security of those countries.</w:t>
            </w:r>
          </w:p>
          <w:p w:rsidR="00E655E7" w:rsidRPr="00E655E7" w:rsidRDefault="00E655E7" w:rsidP="00E655E7">
            <w:pPr>
              <w:pStyle w:val="ListParagraph"/>
              <w:numPr>
                <w:ilvl w:val="0"/>
                <w:numId w:val="8"/>
              </w:numPr>
              <w:spacing w:after="0"/>
              <w:ind w:right="236"/>
              <w:jc w:val="both"/>
              <w:rPr>
                <w:color w:val="1F497D"/>
              </w:rPr>
            </w:pPr>
            <w:r w:rsidRPr="00E655E7">
              <w:rPr>
                <w:color w:val="1F497D"/>
              </w:rPr>
              <w:t>Protection criteria of entry logs for citizens in the developing countries should be as well as DEVELOPED COUNTRIES in terms of protecting their privacy and mechanisms to deal with them in a manner that prevents their exploitation in spying on the actions of individuals.</w:t>
            </w:r>
          </w:p>
          <w:p w:rsidR="00E655E7" w:rsidRPr="00E655E7" w:rsidRDefault="00CA5D51" w:rsidP="00E655E7">
            <w:pPr>
              <w:pStyle w:val="ListParagraph"/>
              <w:numPr>
                <w:ilvl w:val="0"/>
                <w:numId w:val="8"/>
              </w:numPr>
              <w:spacing w:after="0"/>
              <w:ind w:right="236"/>
              <w:jc w:val="both"/>
              <w:rPr>
                <w:color w:val="1F497D"/>
              </w:rPr>
            </w:pPr>
            <w:r w:rsidRPr="00E655E7">
              <w:rPr>
                <w:color w:val="1F497D"/>
              </w:rPr>
              <w:t>International</w:t>
            </w:r>
            <w:r w:rsidR="00E655E7" w:rsidRPr="00E655E7">
              <w:rPr>
                <w:color w:val="1F497D"/>
              </w:rPr>
              <w:t xml:space="preserve"> judicial legislation should be strengthen by combating the mechanisms of cyber bullying and to extend to campaigns / hate speeches based on religion / belief (for example, Islamophobia), race, color, abuse of human peoples, etc. and criminalize these practices internationally.</w:t>
            </w:r>
          </w:p>
          <w:p w:rsidR="00E655E7" w:rsidRPr="00E655E7" w:rsidRDefault="00E655E7" w:rsidP="00E655E7">
            <w:pPr>
              <w:pStyle w:val="ListParagraph"/>
              <w:numPr>
                <w:ilvl w:val="0"/>
                <w:numId w:val="8"/>
              </w:numPr>
              <w:spacing w:after="0"/>
              <w:ind w:right="236"/>
              <w:jc w:val="both"/>
              <w:rPr>
                <w:color w:val="1F497D"/>
              </w:rPr>
            </w:pPr>
            <w:r w:rsidRPr="00E655E7">
              <w:rPr>
                <w:color w:val="1F497D"/>
              </w:rPr>
              <w:t>The legislations for the protection of privacy and the disclosure of data should be conducted and harmonized with developed countries.</w:t>
            </w:r>
          </w:p>
          <w:p w:rsidR="00E655E7" w:rsidRDefault="00E655E7" w:rsidP="00E655E7">
            <w:pPr>
              <w:pStyle w:val="ListParagraph"/>
              <w:numPr>
                <w:ilvl w:val="0"/>
                <w:numId w:val="8"/>
              </w:numPr>
              <w:spacing w:after="0"/>
              <w:ind w:right="236"/>
              <w:jc w:val="both"/>
              <w:rPr>
                <w:color w:val="1F497D"/>
              </w:rPr>
            </w:pPr>
            <w:r w:rsidRPr="00E655E7">
              <w:rPr>
                <w:color w:val="1F497D"/>
              </w:rPr>
              <w:t>With regard to clause (1.3) of the WA1 Recommendations, the concerned authorities should study the outcomes of the Council of Europe conference with regard to cybercrime, in order to verify its conformity with Jordanian legislation and discuss the possibility of benefiting from it on a voluntary basis and in a manner that takes into account Jordanian interests and does not conflict with the judicial ones, and therefore not Its application or adoption only by the signatory parties only.</w:t>
            </w:r>
          </w:p>
          <w:p w:rsidR="00CA5D51" w:rsidRDefault="00CA5D51" w:rsidP="00E655E7">
            <w:pPr>
              <w:pStyle w:val="ListParagraph"/>
              <w:numPr>
                <w:ilvl w:val="0"/>
                <w:numId w:val="8"/>
              </w:numPr>
              <w:spacing w:after="0"/>
              <w:ind w:right="236"/>
              <w:jc w:val="both"/>
              <w:rPr>
                <w:color w:val="1F497D"/>
              </w:rPr>
            </w:pPr>
            <w:r w:rsidRPr="003E2F35">
              <w:rPr>
                <w:color w:val="1F497D"/>
              </w:rPr>
              <w:t>Making sure cybersecurity is part of the dialogue at the highest levels of policy making and government organizations.</w:t>
            </w:r>
          </w:p>
          <w:p w:rsidR="00CA5D51" w:rsidRDefault="00CA5D51" w:rsidP="00CA5D51">
            <w:pPr>
              <w:pStyle w:val="ListParagraph"/>
              <w:numPr>
                <w:ilvl w:val="0"/>
                <w:numId w:val="8"/>
              </w:numPr>
              <w:ind w:right="236"/>
              <w:rPr>
                <w:color w:val="1F497D"/>
              </w:rPr>
            </w:pPr>
            <w:r w:rsidRPr="00CA5D51">
              <w:rPr>
                <w:color w:val="1F497D"/>
              </w:rPr>
              <w:t>Juridical Legislation should include the protection of Cybersecurity aspects (CIA triad) Confidentiality, Integrity and availability and should also include critical Infrastructure for the energy sector (Nuclear Reactors), dams, water-resources management units, critical financial systems, Transportation, and agricultural projects.</w:t>
            </w:r>
            <w:r>
              <w:rPr>
                <w:color w:val="1F497D"/>
              </w:rPr>
              <w:t xml:space="preserve"> </w:t>
            </w:r>
            <w:r w:rsidRPr="00CA5D51">
              <w:rPr>
                <w:color w:val="1F497D"/>
              </w:rPr>
              <w:t>Also to emphasize more, to execute what mentioned within UNGA (United Nations General Assembly) Resolution No.(A/55/593/63).</w:t>
            </w:r>
          </w:p>
          <w:p w:rsidR="0060777E" w:rsidRPr="0060777E" w:rsidRDefault="0060777E" w:rsidP="0060777E">
            <w:pPr>
              <w:ind w:left="482" w:right="236"/>
              <w:rPr>
                <w:color w:val="1F497D"/>
              </w:rPr>
            </w:pPr>
          </w:p>
        </w:tc>
      </w:tr>
      <w:tr w:rsidR="00E655E7" w:rsidTr="00E655E7">
        <w:trPr>
          <w:jc w:val="center"/>
        </w:trPr>
        <w:tc>
          <w:tcPr>
            <w:tcW w:w="5000" w:type="pct"/>
            <w:gridSpan w:val="4"/>
            <w:shd w:val="clear" w:color="auto" w:fill="DEEAF6" w:themeFill="accent1" w:themeFillTint="33"/>
            <w:tcMar>
              <w:top w:w="0" w:type="dxa"/>
              <w:left w:w="108" w:type="dxa"/>
              <w:bottom w:w="0" w:type="dxa"/>
              <w:right w:w="108" w:type="dxa"/>
            </w:tcMar>
          </w:tcPr>
          <w:p w:rsidR="00E655E7" w:rsidRPr="005E3A3E" w:rsidRDefault="00E655E7" w:rsidP="00E655E7">
            <w:pPr>
              <w:tabs>
                <w:tab w:val="left" w:pos="720"/>
                <w:tab w:val="center" w:pos="4562"/>
              </w:tabs>
              <w:spacing w:after="240"/>
              <w:rPr>
                <w:rFonts w:ascii="Calibri" w:hAnsi="Calibri"/>
                <w:b/>
                <w:bCs/>
                <w:color w:val="C00000"/>
                <w:sz w:val="36"/>
                <w:szCs w:val="36"/>
              </w:rPr>
            </w:pPr>
            <w:r w:rsidRPr="005E3A3E">
              <w:rPr>
                <w:rFonts w:ascii="Calibri" w:hAnsi="Calibri"/>
                <w:b/>
                <w:bCs/>
                <w:color w:val="C00000"/>
                <w:sz w:val="36"/>
                <w:szCs w:val="36"/>
              </w:rPr>
              <w:t>2-Technical &amp; Procedural Measures</w:t>
            </w:r>
          </w:p>
        </w:tc>
      </w:tr>
      <w:tr w:rsidR="00E655E7" w:rsidTr="00E655E7">
        <w:trPr>
          <w:jc w:val="center"/>
        </w:trPr>
        <w:tc>
          <w:tcPr>
            <w:tcW w:w="263" w:type="pct"/>
            <w:tcMar>
              <w:top w:w="0" w:type="dxa"/>
              <w:left w:w="108" w:type="dxa"/>
              <w:bottom w:w="0" w:type="dxa"/>
              <w:right w:w="108" w:type="dxa"/>
            </w:tcMar>
            <w:hideMark/>
          </w:tcPr>
          <w:p w:rsidR="00E655E7" w:rsidRDefault="00E655E7" w:rsidP="00E655E7">
            <w:pPr>
              <w:jc w:val="center"/>
              <w:rPr>
                <w:rFonts w:ascii="Calibri" w:hAnsi="Calibri"/>
                <w:color w:val="1F497D"/>
                <w:sz w:val="22"/>
                <w:szCs w:val="22"/>
              </w:rPr>
            </w:pPr>
            <w:r>
              <w:rPr>
                <w:rFonts w:ascii="Calibri" w:hAnsi="Calibri"/>
                <w:color w:val="1F497D"/>
                <w:sz w:val="22"/>
                <w:szCs w:val="22"/>
              </w:rPr>
              <w:t>2</w:t>
            </w:r>
          </w:p>
        </w:tc>
        <w:tc>
          <w:tcPr>
            <w:tcW w:w="516" w:type="pct"/>
            <w:tcMar>
              <w:top w:w="0" w:type="dxa"/>
              <w:left w:w="108" w:type="dxa"/>
              <w:bottom w:w="0" w:type="dxa"/>
              <w:right w:w="108" w:type="dxa"/>
            </w:tcMar>
            <w:hideMark/>
          </w:tcPr>
          <w:p w:rsidR="00E655E7" w:rsidRDefault="00E655E7" w:rsidP="00E655E7">
            <w:pPr>
              <w:jc w:val="center"/>
              <w:rPr>
                <w:rFonts w:ascii="Calibri" w:hAnsi="Calibri"/>
                <w:color w:val="1F497D"/>
                <w:sz w:val="22"/>
                <w:szCs w:val="22"/>
              </w:rPr>
            </w:pPr>
            <w:r>
              <w:rPr>
                <w:rFonts w:ascii="Calibri" w:hAnsi="Calibri"/>
                <w:color w:val="1F497D"/>
                <w:sz w:val="22"/>
                <w:szCs w:val="22"/>
              </w:rPr>
              <w:t>2.2</w:t>
            </w:r>
          </w:p>
        </w:tc>
        <w:tc>
          <w:tcPr>
            <w:tcW w:w="2132" w:type="pct"/>
          </w:tcPr>
          <w:p w:rsidR="00E655E7" w:rsidRDefault="00E655E7" w:rsidP="00E655E7">
            <w:pPr>
              <w:ind w:left="122" w:right="174"/>
              <w:jc w:val="both"/>
              <w:rPr>
                <w:rFonts w:ascii="Calibri" w:hAnsi="Calibri"/>
                <w:color w:val="1F497D"/>
                <w:sz w:val="22"/>
                <w:szCs w:val="22"/>
              </w:rPr>
            </w:pPr>
            <w:r w:rsidRPr="00E808DD">
              <w:rPr>
                <w:rFonts w:ascii="Calibri" w:hAnsi="Calibri"/>
                <w:color w:val="1F497D"/>
                <w:sz w:val="22"/>
                <w:szCs w:val="22"/>
              </w:rPr>
              <w:t xml:space="preserve">ITU should take steps to facilitate it becoming the global “centre of excellence” for the collection and distribution of timely telecommunications/ICT cybersecurity-related information – including a publicly available institutional ecosystem of sources – to enhance cybersecurity capabilities worldwide. </w:t>
            </w:r>
          </w:p>
          <w:p w:rsidR="00E655E7" w:rsidRDefault="00E655E7" w:rsidP="00E655E7">
            <w:pPr>
              <w:jc w:val="both"/>
              <w:rPr>
                <w:rFonts w:ascii="Calibri" w:hAnsi="Calibri"/>
                <w:color w:val="1F497D"/>
                <w:sz w:val="22"/>
                <w:szCs w:val="22"/>
              </w:rPr>
            </w:pPr>
          </w:p>
          <w:p w:rsidR="00E655E7" w:rsidRDefault="00E655E7" w:rsidP="00E655E7">
            <w:pPr>
              <w:jc w:val="both"/>
              <w:rPr>
                <w:rFonts w:ascii="Calibri" w:hAnsi="Calibri"/>
                <w:color w:val="1F497D"/>
                <w:sz w:val="22"/>
                <w:szCs w:val="22"/>
              </w:rPr>
            </w:pPr>
            <w:r w:rsidRPr="00E655E7">
              <w:rPr>
                <w:rFonts w:ascii="Calibri" w:hAnsi="Calibri"/>
                <w:color w:val="1F497D"/>
                <w:sz w:val="22"/>
                <w:szCs w:val="22"/>
              </w:rPr>
              <w:t>One member preferred to refer to ITU being “a” global centre of reference rather than “the” global centre for reference, whilst another member expressed its opposition to making this change</w:t>
            </w:r>
            <w:r w:rsidRPr="00E808DD">
              <w:rPr>
                <w:rFonts w:ascii="Calibri" w:hAnsi="Calibri"/>
                <w:color w:val="1F497D"/>
                <w:sz w:val="22"/>
                <w:szCs w:val="22"/>
              </w:rPr>
              <w:t>.</w:t>
            </w:r>
          </w:p>
        </w:tc>
        <w:tc>
          <w:tcPr>
            <w:tcW w:w="2089" w:type="pct"/>
          </w:tcPr>
          <w:p w:rsidR="00E655E7" w:rsidRDefault="00E655E7" w:rsidP="00E655E7">
            <w:pPr>
              <w:ind w:left="122" w:right="236"/>
              <w:jc w:val="both"/>
              <w:rPr>
                <w:rFonts w:ascii="Calibri" w:hAnsi="Calibri"/>
                <w:color w:val="1F497D"/>
                <w:sz w:val="22"/>
                <w:szCs w:val="22"/>
              </w:rPr>
            </w:pPr>
            <w:r>
              <w:rPr>
                <w:rFonts w:ascii="Calibri" w:hAnsi="Calibri"/>
                <w:color w:val="1F497D"/>
                <w:sz w:val="22"/>
                <w:szCs w:val="22"/>
              </w:rPr>
              <w:t xml:space="preserve">Adding: </w:t>
            </w:r>
          </w:p>
          <w:p w:rsidR="00E655E7" w:rsidRDefault="00E655E7" w:rsidP="00E655E7">
            <w:pPr>
              <w:ind w:left="122" w:right="236"/>
              <w:jc w:val="both"/>
              <w:rPr>
                <w:rFonts w:ascii="Calibri" w:hAnsi="Calibri"/>
                <w:color w:val="1F497D"/>
                <w:sz w:val="22"/>
                <w:szCs w:val="22"/>
              </w:rPr>
            </w:pPr>
            <w:r>
              <w:rPr>
                <w:rFonts w:ascii="Calibri" w:hAnsi="Calibri"/>
                <w:color w:val="1F497D"/>
                <w:sz w:val="22"/>
                <w:szCs w:val="22"/>
              </w:rPr>
              <w:t xml:space="preserve">Enabling a threat intelligence platform that helps CISRTs to share threat information. </w:t>
            </w:r>
          </w:p>
        </w:tc>
      </w:tr>
      <w:tr w:rsidR="00E655E7" w:rsidTr="00E655E7">
        <w:trPr>
          <w:jc w:val="center"/>
        </w:trPr>
        <w:tc>
          <w:tcPr>
            <w:tcW w:w="263" w:type="pct"/>
            <w:tcMar>
              <w:top w:w="0" w:type="dxa"/>
              <w:left w:w="108" w:type="dxa"/>
              <w:bottom w:w="0" w:type="dxa"/>
              <w:right w:w="108" w:type="dxa"/>
            </w:tcMar>
            <w:hideMark/>
          </w:tcPr>
          <w:p w:rsidR="00E655E7" w:rsidRDefault="00E655E7" w:rsidP="00E655E7">
            <w:pPr>
              <w:spacing w:after="240"/>
              <w:jc w:val="center"/>
              <w:rPr>
                <w:rFonts w:ascii="Calibri" w:hAnsi="Calibri"/>
                <w:color w:val="1F497D"/>
                <w:sz w:val="22"/>
                <w:szCs w:val="22"/>
              </w:rPr>
            </w:pPr>
            <w:r>
              <w:rPr>
                <w:rFonts w:ascii="Calibri" w:hAnsi="Calibri"/>
                <w:color w:val="1F497D"/>
                <w:sz w:val="22"/>
                <w:szCs w:val="22"/>
              </w:rPr>
              <w:t>2</w:t>
            </w:r>
          </w:p>
        </w:tc>
        <w:tc>
          <w:tcPr>
            <w:tcW w:w="516" w:type="pct"/>
            <w:tcMar>
              <w:top w:w="0" w:type="dxa"/>
              <w:left w:w="108" w:type="dxa"/>
              <w:bottom w:w="0" w:type="dxa"/>
              <w:right w:w="108" w:type="dxa"/>
            </w:tcMar>
            <w:hideMark/>
          </w:tcPr>
          <w:p w:rsidR="00E655E7" w:rsidRDefault="00E655E7" w:rsidP="00E655E7">
            <w:pPr>
              <w:spacing w:after="240"/>
              <w:jc w:val="center"/>
              <w:rPr>
                <w:rFonts w:ascii="Calibri" w:hAnsi="Calibri"/>
                <w:color w:val="1F497D"/>
                <w:sz w:val="22"/>
                <w:szCs w:val="22"/>
              </w:rPr>
            </w:pPr>
            <w:r>
              <w:rPr>
                <w:rFonts w:ascii="Calibri" w:hAnsi="Calibri"/>
                <w:color w:val="1F497D"/>
                <w:sz w:val="22"/>
                <w:szCs w:val="22"/>
              </w:rPr>
              <w:t>2.12</w:t>
            </w:r>
          </w:p>
        </w:tc>
        <w:tc>
          <w:tcPr>
            <w:tcW w:w="2132" w:type="pct"/>
          </w:tcPr>
          <w:p w:rsidR="00E655E7" w:rsidRDefault="00E655E7" w:rsidP="00E655E7">
            <w:pPr>
              <w:ind w:left="122" w:right="174"/>
              <w:jc w:val="both"/>
              <w:rPr>
                <w:rFonts w:ascii="Calibri" w:hAnsi="Calibri"/>
                <w:color w:val="1F497D"/>
                <w:sz w:val="22"/>
                <w:szCs w:val="22"/>
              </w:rPr>
            </w:pPr>
            <w:r w:rsidRPr="000C0429">
              <w:rPr>
                <w:rFonts w:ascii="Calibri" w:hAnsi="Calibri"/>
                <w:color w:val="1F497D"/>
                <w:sz w:val="22"/>
                <w:szCs w:val="22"/>
              </w:rPr>
              <w:t xml:space="preserve">Internet: HLEG Members called for the investigation of ways to collaborate with private industry to enhance the security of public communication networks and ISPs - for example, Trusted Service Provider (SPID) initiative, </w:t>
            </w:r>
            <w:r w:rsidRPr="000C0429">
              <w:rPr>
                <w:rFonts w:ascii="Calibri" w:hAnsi="Calibri"/>
                <w:color w:val="1F497D"/>
                <w:sz w:val="22"/>
                <w:szCs w:val="22"/>
              </w:rPr>
              <w:lastRenderedPageBreak/>
              <w:t>DNSSEC, or systemic and economic incentives for security for protection of global telecommunications might be further examined and discussed. In collaboration with private industry, the ITU may examine the role of ISPs in blocking spam and other issues. Particular attention should be paid to investigating results of SG 13 - ITU-T's largest and most active standards body that addresses global information infrastructure, Internet protocol aspects and NGNs that has engaged a broad, large cross-section of industry players and technical bodies.</w:t>
            </w:r>
          </w:p>
        </w:tc>
        <w:tc>
          <w:tcPr>
            <w:tcW w:w="2089" w:type="pct"/>
          </w:tcPr>
          <w:p w:rsidR="00E655E7" w:rsidRDefault="00E655E7" w:rsidP="00E655E7">
            <w:pPr>
              <w:spacing w:after="240"/>
              <w:ind w:left="122" w:right="236"/>
              <w:jc w:val="both"/>
              <w:rPr>
                <w:rFonts w:ascii="Calibri" w:hAnsi="Calibri"/>
                <w:color w:val="1F497D"/>
                <w:sz w:val="22"/>
                <w:szCs w:val="22"/>
              </w:rPr>
            </w:pPr>
            <w:r>
              <w:rPr>
                <w:rFonts w:ascii="Calibri" w:hAnsi="Calibri"/>
                <w:color w:val="1F497D"/>
                <w:sz w:val="22"/>
                <w:szCs w:val="22"/>
              </w:rPr>
              <w:lastRenderedPageBreak/>
              <w:t>To make ISP’s adopt Child protection programs and help in increasing the level of security threats for their subscribers. Also ISP’s should help inform their subscribers about vulnerabilities and risks. Also ISP’s should co-</w:t>
            </w:r>
            <w:r>
              <w:rPr>
                <w:rFonts w:ascii="Calibri" w:hAnsi="Calibri"/>
                <w:color w:val="1F497D"/>
                <w:sz w:val="22"/>
                <w:szCs w:val="22"/>
              </w:rPr>
              <w:lastRenderedPageBreak/>
              <w:t>operate with governmental CISRT to implement CISRT’s recommendations.</w:t>
            </w:r>
          </w:p>
        </w:tc>
      </w:tr>
      <w:tr w:rsidR="00E655E7" w:rsidTr="00E655E7">
        <w:trPr>
          <w:jc w:val="center"/>
        </w:trPr>
        <w:tc>
          <w:tcPr>
            <w:tcW w:w="263" w:type="pct"/>
            <w:tcMar>
              <w:top w:w="0" w:type="dxa"/>
              <w:left w:w="108" w:type="dxa"/>
              <w:bottom w:w="0" w:type="dxa"/>
              <w:right w:w="108" w:type="dxa"/>
            </w:tcMar>
            <w:hideMark/>
          </w:tcPr>
          <w:p w:rsidR="00E655E7" w:rsidRDefault="00E655E7" w:rsidP="00E655E7">
            <w:pPr>
              <w:spacing w:after="240"/>
              <w:jc w:val="center"/>
              <w:rPr>
                <w:rFonts w:ascii="Calibri" w:hAnsi="Calibri"/>
                <w:color w:val="1F497D"/>
                <w:sz w:val="22"/>
                <w:szCs w:val="22"/>
              </w:rPr>
            </w:pPr>
            <w:r>
              <w:rPr>
                <w:rFonts w:ascii="Calibri" w:hAnsi="Calibri"/>
                <w:color w:val="1F497D"/>
                <w:sz w:val="22"/>
                <w:szCs w:val="22"/>
              </w:rPr>
              <w:lastRenderedPageBreak/>
              <w:t>2</w:t>
            </w:r>
          </w:p>
        </w:tc>
        <w:tc>
          <w:tcPr>
            <w:tcW w:w="516" w:type="pct"/>
            <w:tcMar>
              <w:top w:w="0" w:type="dxa"/>
              <w:left w:w="108" w:type="dxa"/>
              <w:bottom w:w="0" w:type="dxa"/>
              <w:right w:w="108" w:type="dxa"/>
            </w:tcMar>
            <w:hideMark/>
          </w:tcPr>
          <w:p w:rsidR="00E655E7" w:rsidRDefault="00E655E7" w:rsidP="00E655E7">
            <w:pPr>
              <w:spacing w:after="240"/>
              <w:jc w:val="center"/>
              <w:rPr>
                <w:rFonts w:ascii="Calibri" w:hAnsi="Calibri"/>
                <w:color w:val="1F497D"/>
                <w:sz w:val="22"/>
                <w:szCs w:val="22"/>
              </w:rPr>
            </w:pPr>
            <w:r>
              <w:rPr>
                <w:rFonts w:ascii="Calibri" w:hAnsi="Calibri"/>
                <w:color w:val="1F497D"/>
                <w:sz w:val="22"/>
                <w:szCs w:val="22"/>
              </w:rPr>
              <w:t>2.16</w:t>
            </w:r>
          </w:p>
        </w:tc>
        <w:tc>
          <w:tcPr>
            <w:tcW w:w="2132" w:type="pct"/>
          </w:tcPr>
          <w:p w:rsidR="00E655E7" w:rsidRDefault="00E655E7" w:rsidP="00E655E7">
            <w:pPr>
              <w:spacing w:after="240"/>
              <w:ind w:left="122" w:right="174"/>
              <w:jc w:val="both"/>
              <w:rPr>
                <w:rFonts w:ascii="Calibri" w:hAnsi="Calibri"/>
                <w:color w:val="1F497D"/>
                <w:sz w:val="22"/>
                <w:szCs w:val="22"/>
              </w:rPr>
            </w:pPr>
            <w:r w:rsidRPr="000C0429">
              <w:rPr>
                <w:rFonts w:ascii="Calibri" w:hAnsi="Calibri"/>
                <w:color w:val="1F497D"/>
                <w:sz w:val="22"/>
                <w:szCs w:val="22"/>
              </w:rPr>
              <w:t>Management system and personal certifications: HLEG members called for the selection and improvement of information security management system certification schemes, as well as personal infor</w:t>
            </w:r>
            <w:r>
              <w:rPr>
                <w:rFonts w:ascii="Calibri" w:hAnsi="Calibri"/>
                <w:color w:val="1F497D"/>
                <w:sz w:val="22"/>
                <w:szCs w:val="22"/>
              </w:rPr>
              <w:t>mation security certifications.</w:t>
            </w:r>
          </w:p>
          <w:p w:rsidR="00E655E7" w:rsidRPr="00E655E7" w:rsidRDefault="00E655E7" w:rsidP="00E655E7">
            <w:pPr>
              <w:ind w:left="122" w:right="174"/>
              <w:jc w:val="both"/>
              <w:rPr>
                <w:rFonts w:ascii="Calibri" w:hAnsi="Calibri"/>
                <w:color w:val="1F497D"/>
                <w:sz w:val="22"/>
                <w:szCs w:val="22"/>
              </w:rPr>
            </w:pPr>
            <w:r w:rsidRPr="00E655E7">
              <w:rPr>
                <w:rFonts w:ascii="Calibri" w:hAnsi="Calibri"/>
                <w:color w:val="1F497D"/>
                <w:sz w:val="22"/>
                <w:szCs w:val="22"/>
              </w:rPr>
              <w:t>One member wished to delete recommendation 2.16. Another member understood rec. 2.16 to refer to information on security management systems, and identity management systems and 12 certification/compliance mechanisms for potential users. This member believed that many ICT markets operate well based on supplier declarations of compliance. The selection of systems and certification/compliance mechanisms is the user’s decision - UN agencies should only undertake selection processes for their own procurement, and not select them for others.</w:t>
            </w:r>
          </w:p>
        </w:tc>
        <w:tc>
          <w:tcPr>
            <w:tcW w:w="2089" w:type="pct"/>
          </w:tcPr>
          <w:p w:rsidR="00E655E7" w:rsidRDefault="00E655E7" w:rsidP="00E655E7">
            <w:pPr>
              <w:ind w:left="122" w:right="236"/>
              <w:jc w:val="both"/>
              <w:rPr>
                <w:rFonts w:ascii="Calibri" w:hAnsi="Calibri"/>
                <w:color w:val="1F497D"/>
                <w:sz w:val="22"/>
                <w:szCs w:val="22"/>
              </w:rPr>
            </w:pPr>
            <w:r>
              <w:rPr>
                <w:rFonts w:ascii="Calibri" w:hAnsi="Calibri"/>
                <w:color w:val="1F497D"/>
                <w:sz w:val="22"/>
                <w:szCs w:val="22"/>
              </w:rPr>
              <w:t>No company should work in cyber security field unless they have a certificate according to a predefined criteria</w:t>
            </w:r>
          </w:p>
        </w:tc>
      </w:tr>
      <w:tr w:rsidR="00E655E7" w:rsidTr="00E655E7">
        <w:trPr>
          <w:cantSplit/>
          <w:trHeight w:val="4031"/>
          <w:jc w:val="center"/>
        </w:trPr>
        <w:tc>
          <w:tcPr>
            <w:tcW w:w="263" w:type="pct"/>
            <w:tcMar>
              <w:top w:w="0" w:type="dxa"/>
              <w:left w:w="108" w:type="dxa"/>
              <w:bottom w:w="0" w:type="dxa"/>
              <w:right w:w="108" w:type="dxa"/>
            </w:tcMar>
          </w:tcPr>
          <w:p w:rsidR="00E655E7" w:rsidRDefault="00E655E7" w:rsidP="00E655E7">
            <w:pPr>
              <w:spacing w:after="240"/>
              <w:jc w:val="center"/>
              <w:rPr>
                <w:rFonts w:ascii="Calibri" w:hAnsi="Calibri"/>
                <w:color w:val="1F497D"/>
                <w:sz w:val="22"/>
                <w:szCs w:val="22"/>
              </w:rPr>
            </w:pPr>
            <w:r>
              <w:rPr>
                <w:rFonts w:ascii="Calibri" w:hAnsi="Calibri"/>
                <w:color w:val="1F497D"/>
                <w:sz w:val="22"/>
                <w:szCs w:val="22"/>
              </w:rPr>
              <w:t>2</w:t>
            </w:r>
          </w:p>
        </w:tc>
        <w:tc>
          <w:tcPr>
            <w:tcW w:w="516" w:type="pct"/>
            <w:tcMar>
              <w:top w:w="0" w:type="dxa"/>
              <w:left w:w="108" w:type="dxa"/>
              <w:bottom w:w="0" w:type="dxa"/>
              <w:right w:w="108" w:type="dxa"/>
            </w:tcMar>
            <w:textDirection w:val="btLr"/>
            <w:vAlign w:val="center"/>
          </w:tcPr>
          <w:p w:rsidR="0060777E" w:rsidRDefault="00E655E7" w:rsidP="00E655E7">
            <w:pPr>
              <w:ind w:left="113" w:right="113"/>
              <w:jc w:val="center"/>
              <w:rPr>
                <w:rFonts w:ascii="Calibri" w:hAnsi="Calibri"/>
                <w:color w:val="1F497D"/>
                <w:sz w:val="36"/>
                <w:szCs w:val="36"/>
              </w:rPr>
            </w:pPr>
            <w:r w:rsidRPr="000C0429">
              <w:rPr>
                <w:rFonts w:ascii="Calibri" w:hAnsi="Calibri"/>
                <w:color w:val="1F497D"/>
                <w:sz w:val="36"/>
                <w:szCs w:val="36"/>
              </w:rPr>
              <w:t xml:space="preserve">additional </w:t>
            </w:r>
          </w:p>
          <w:p w:rsidR="00E655E7" w:rsidRPr="000C0429" w:rsidRDefault="00E655E7" w:rsidP="00E655E7">
            <w:pPr>
              <w:ind w:left="113" w:right="113"/>
              <w:jc w:val="center"/>
              <w:rPr>
                <w:rFonts w:ascii="Calibri" w:hAnsi="Calibri"/>
                <w:color w:val="1F497D"/>
                <w:sz w:val="36"/>
                <w:szCs w:val="36"/>
              </w:rPr>
            </w:pPr>
            <w:r w:rsidRPr="000C0429">
              <w:rPr>
                <w:rFonts w:ascii="Calibri" w:hAnsi="Calibri"/>
                <w:color w:val="1F497D"/>
                <w:sz w:val="36"/>
                <w:szCs w:val="36"/>
              </w:rPr>
              <w:t>recommendations</w:t>
            </w:r>
          </w:p>
        </w:tc>
        <w:tc>
          <w:tcPr>
            <w:tcW w:w="4221" w:type="pct"/>
            <w:gridSpan w:val="2"/>
          </w:tcPr>
          <w:p w:rsidR="00E655E7" w:rsidRPr="004A7450" w:rsidRDefault="00E655E7" w:rsidP="00E655E7">
            <w:pPr>
              <w:ind w:left="122" w:right="236"/>
              <w:jc w:val="both"/>
              <w:rPr>
                <w:rFonts w:ascii="Calibri" w:hAnsi="Calibri"/>
                <w:color w:val="1F497D"/>
                <w:sz w:val="22"/>
                <w:szCs w:val="22"/>
              </w:rPr>
            </w:pPr>
            <w:r w:rsidRPr="004A7450">
              <w:rPr>
                <w:rFonts w:ascii="Calibri" w:hAnsi="Calibri"/>
                <w:color w:val="1F497D"/>
                <w:sz w:val="22"/>
                <w:szCs w:val="22"/>
              </w:rPr>
              <w:t>In addition to the above specific notes and comments, we have few general recommendation</w:t>
            </w:r>
            <w:r>
              <w:rPr>
                <w:rFonts w:ascii="Calibri" w:hAnsi="Calibri"/>
                <w:color w:val="1F497D"/>
                <w:sz w:val="22"/>
                <w:szCs w:val="22"/>
              </w:rPr>
              <w:t>s</w:t>
            </w:r>
            <w:r w:rsidRPr="004A7450">
              <w:rPr>
                <w:rFonts w:ascii="Calibri" w:hAnsi="Calibri"/>
                <w:color w:val="1F497D"/>
                <w:sz w:val="22"/>
                <w:szCs w:val="22"/>
              </w:rPr>
              <w:t xml:space="preserve"> in the Technical area which are:</w:t>
            </w:r>
          </w:p>
          <w:p w:rsidR="00E655E7" w:rsidRPr="00E655E7" w:rsidRDefault="00E655E7" w:rsidP="00E655E7">
            <w:pPr>
              <w:pStyle w:val="ListParagraph"/>
              <w:numPr>
                <w:ilvl w:val="0"/>
                <w:numId w:val="9"/>
              </w:numPr>
              <w:spacing w:after="240"/>
              <w:ind w:left="450" w:right="236"/>
              <w:jc w:val="both"/>
              <w:rPr>
                <w:color w:val="1F497D"/>
              </w:rPr>
            </w:pPr>
            <w:r w:rsidRPr="00E655E7">
              <w:rPr>
                <w:color w:val="1F497D"/>
              </w:rPr>
              <w:t xml:space="preserve">More influential institutions </w:t>
            </w:r>
            <w:r w:rsidRPr="00E655E7">
              <w:rPr>
                <w:color w:val="1F497D"/>
                <w:cs/>
              </w:rPr>
              <w:t>‎</w:t>
            </w:r>
            <w:r w:rsidRPr="00E655E7">
              <w:rPr>
                <w:color w:val="1F497D"/>
              </w:rPr>
              <w:t xml:space="preserve">should evaluate the </w:t>
            </w:r>
            <w:r w:rsidRPr="00E655E7">
              <w:rPr>
                <w:color w:val="1F497D"/>
                <w:cs/>
              </w:rPr>
              <w:t>‎</w:t>
            </w:r>
            <w:r w:rsidRPr="00E655E7">
              <w:rPr>
                <w:color w:val="1F497D"/>
              </w:rPr>
              <w:t xml:space="preserve">advantages vs. threats posed </w:t>
            </w:r>
            <w:r w:rsidRPr="00E655E7">
              <w:rPr>
                <w:color w:val="1F497D"/>
                <w:cs/>
              </w:rPr>
              <w:t>‎</w:t>
            </w:r>
            <w:r w:rsidRPr="00E655E7">
              <w:rPr>
                <w:color w:val="1F497D"/>
              </w:rPr>
              <w:t xml:space="preserve">by evolving technologies, and </w:t>
            </w:r>
            <w:r w:rsidRPr="00E655E7">
              <w:rPr>
                <w:color w:val="1F497D"/>
                <w:cs/>
              </w:rPr>
              <w:t>‎</w:t>
            </w:r>
            <w:r w:rsidRPr="00E655E7">
              <w:rPr>
                <w:color w:val="1F497D"/>
              </w:rPr>
              <w:t xml:space="preserve">working with the pioneers </w:t>
            </w:r>
            <w:r w:rsidRPr="00E655E7">
              <w:rPr>
                <w:color w:val="1F497D"/>
                <w:cs/>
              </w:rPr>
              <w:t>‎</w:t>
            </w:r>
            <w:r w:rsidRPr="00E655E7">
              <w:rPr>
                <w:color w:val="1F497D"/>
              </w:rPr>
              <w:t xml:space="preserve">and developers of these </w:t>
            </w:r>
            <w:r w:rsidRPr="00E655E7">
              <w:rPr>
                <w:color w:val="1F497D"/>
                <w:cs/>
              </w:rPr>
              <w:t>‎</w:t>
            </w:r>
            <w:r w:rsidRPr="00E655E7">
              <w:rPr>
                <w:color w:val="1F497D"/>
              </w:rPr>
              <w:t xml:space="preserve">technologies to integrate data </w:t>
            </w:r>
            <w:r w:rsidRPr="00E655E7">
              <w:rPr>
                <w:color w:val="1F497D"/>
                <w:cs/>
              </w:rPr>
              <w:t>‎</w:t>
            </w:r>
            <w:r w:rsidRPr="00E655E7">
              <w:rPr>
                <w:color w:val="1F497D"/>
              </w:rPr>
              <w:t>protection in from the start.</w:t>
            </w:r>
            <w:r w:rsidRPr="00E655E7">
              <w:rPr>
                <w:color w:val="1F497D"/>
                <w:cs/>
              </w:rPr>
              <w:t>‎</w:t>
            </w:r>
          </w:p>
          <w:p w:rsidR="00E655E7" w:rsidRPr="00E655E7" w:rsidRDefault="00E655E7" w:rsidP="0060777E">
            <w:pPr>
              <w:pStyle w:val="ListParagraph"/>
              <w:numPr>
                <w:ilvl w:val="0"/>
                <w:numId w:val="9"/>
              </w:numPr>
              <w:spacing w:after="240"/>
              <w:ind w:left="450" w:right="236"/>
              <w:jc w:val="both"/>
              <w:rPr>
                <w:color w:val="1F497D"/>
              </w:rPr>
            </w:pPr>
            <w:r w:rsidRPr="00E655E7">
              <w:rPr>
                <w:color w:val="1F497D"/>
              </w:rPr>
              <w:t>Moving away from the vender-buyer model, toward a more collaborative approach for dealing with cyber threats and development. Thus creating solutions better suited to the industry in question, and more ingrained into the fabric of the institution’s operations.</w:t>
            </w:r>
          </w:p>
          <w:p w:rsidR="00E655E7" w:rsidRPr="00E655E7" w:rsidRDefault="00E655E7" w:rsidP="00E655E7">
            <w:pPr>
              <w:pStyle w:val="ListParagraph"/>
              <w:numPr>
                <w:ilvl w:val="0"/>
                <w:numId w:val="9"/>
              </w:numPr>
              <w:spacing w:after="240"/>
              <w:ind w:left="450" w:right="236"/>
              <w:jc w:val="both"/>
              <w:rPr>
                <w:color w:val="1F497D"/>
              </w:rPr>
            </w:pPr>
            <w:r w:rsidRPr="00E655E7">
              <w:rPr>
                <w:color w:val="1F497D"/>
              </w:rPr>
              <w:t>It is highly recommended to dedicate a group to analyze the gap between current Security guidelines for IoT Platforms, Cloud Computing and any emerging technology to help all members to revise their regulations accordingly to reduce the gaps and harmonize international efforts towards new emerging technologies</w:t>
            </w:r>
          </w:p>
          <w:p w:rsidR="00E655E7" w:rsidRPr="00E655E7" w:rsidRDefault="00E655E7" w:rsidP="00E655E7">
            <w:pPr>
              <w:pStyle w:val="ListParagraph"/>
              <w:numPr>
                <w:ilvl w:val="0"/>
                <w:numId w:val="9"/>
              </w:numPr>
              <w:spacing w:after="240"/>
              <w:ind w:left="450" w:right="236"/>
              <w:jc w:val="both"/>
              <w:rPr>
                <w:color w:val="1F497D"/>
              </w:rPr>
            </w:pPr>
            <w:r w:rsidRPr="00E655E7">
              <w:rPr>
                <w:color w:val="1F497D"/>
              </w:rPr>
              <w:t>Share expertise on Digital Signature and Digital Identity frameworks, we recommend that EU countries should share their expertise on this subject.</w:t>
            </w:r>
          </w:p>
          <w:p w:rsidR="00E655E7" w:rsidRDefault="00E655E7" w:rsidP="00E655E7">
            <w:pPr>
              <w:pStyle w:val="ListParagraph"/>
              <w:numPr>
                <w:ilvl w:val="0"/>
                <w:numId w:val="9"/>
              </w:numPr>
              <w:spacing w:after="0"/>
              <w:ind w:left="450" w:right="236"/>
              <w:jc w:val="both"/>
              <w:rPr>
                <w:color w:val="1F497D"/>
              </w:rPr>
            </w:pPr>
            <w:r w:rsidRPr="00E655E7">
              <w:rPr>
                <w:color w:val="1F497D"/>
              </w:rPr>
              <w:t>Also data retention policies and instructions are different between member countries depending on factors that distinguish a particular country, like population, amount of traffic, number of licensed ISP companies and etc. Therefore the regulatory bodies that have already implemented such legislations can share their view on this issue.</w:t>
            </w:r>
          </w:p>
          <w:p w:rsidR="0060777E" w:rsidRDefault="0060777E" w:rsidP="0060777E">
            <w:pPr>
              <w:ind w:right="236"/>
              <w:jc w:val="both"/>
              <w:rPr>
                <w:color w:val="1F497D"/>
              </w:rPr>
            </w:pPr>
          </w:p>
          <w:p w:rsidR="0060777E" w:rsidRDefault="0060777E" w:rsidP="0060777E">
            <w:pPr>
              <w:ind w:right="236"/>
              <w:jc w:val="both"/>
              <w:rPr>
                <w:color w:val="1F497D"/>
              </w:rPr>
            </w:pPr>
          </w:p>
          <w:p w:rsidR="0060777E" w:rsidRPr="0060777E" w:rsidRDefault="0060777E" w:rsidP="0060777E">
            <w:pPr>
              <w:ind w:right="236"/>
              <w:jc w:val="both"/>
              <w:rPr>
                <w:color w:val="1F497D"/>
              </w:rPr>
            </w:pPr>
          </w:p>
        </w:tc>
      </w:tr>
      <w:tr w:rsidR="00E655E7" w:rsidTr="00E655E7">
        <w:trPr>
          <w:jc w:val="center"/>
        </w:trPr>
        <w:tc>
          <w:tcPr>
            <w:tcW w:w="5000" w:type="pct"/>
            <w:gridSpan w:val="4"/>
            <w:shd w:val="clear" w:color="auto" w:fill="DEEAF6" w:themeFill="accent1" w:themeFillTint="33"/>
            <w:tcMar>
              <w:top w:w="0" w:type="dxa"/>
              <w:left w:w="108" w:type="dxa"/>
              <w:bottom w:w="0" w:type="dxa"/>
              <w:right w:w="108" w:type="dxa"/>
            </w:tcMar>
          </w:tcPr>
          <w:p w:rsidR="00E655E7" w:rsidRPr="005E3A3E" w:rsidRDefault="00E655E7" w:rsidP="00E655E7">
            <w:pPr>
              <w:tabs>
                <w:tab w:val="left" w:pos="720"/>
                <w:tab w:val="center" w:pos="4562"/>
              </w:tabs>
              <w:rPr>
                <w:rFonts w:ascii="Calibri" w:hAnsi="Calibri"/>
                <w:b/>
                <w:bCs/>
                <w:color w:val="C00000"/>
                <w:sz w:val="36"/>
                <w:szCs w:val="36"/>
              </w:rPr>
            </w:pPr>
            <w:r w:rsidRPr="005E3A3E">
              <w:rPr>
                <w:rFonts w:ascii="Calibri" w:hAnsi="Calibri"/>
                <w:b/>
                <w:bCs/>
                <w:color w:val="C00000"/>
                <w:sz w:val="36"/>
                <w:szCs w:val="36"/>
              </w:rPr>
              <w:t>3-Organizational Structures</w:t>
            </w:r>
          </w:p>
        </w:tc>
      </w:tr>
      <w:tr w:rsidR="0060777E" w:rsidTr="00E655E7">
        <w:trPr>
          <w:trHeight w:val="107"/>
          <w:jc w:val="center"/>
        </w:trPr>
        <w:tc>
          <w:tcPr>
            <w:tcW w:w="263" w:type="pct"/>
            <w:tcMar>
              <w:top w:w="0" w:type="dxa"/>
              <w:left w:w="108" w:type="dxa"/>
              <w:bottom w:w="0" w:type="dxa"/>
              <w:right w:w="108" w:type="dxa"/>
            </w:tcMar>
          </w:tcPr>
          <w:p w:rsidR="0060777E" w:rsidRDefault="0060777E" w:rsidP="0060777E">
            <w:pPr>
              <w:spacing w:after="240"/>
              <w:jc w:val="center"/>
              <w:rPr>
                <w:rFonts w:ascii="Calibri" w:hAnsi="Calibri"/>
                <w:color w:val="1F497D"/>
                <w:sz w:val="22"/>
                <w:szCs w:val="22"/>
              </w:rPr>
            </w:pPr>
            <w:r>
              <w:rPr>
                <w:rFonts w:ascii="Calibri" w:hAnsi="Calibri"/>
                <w:color w:val="1F497D"/>
                <w:sz w:val="22"/>
                <w:szCs w:val="22"/>
              </w:rPr>
              <w:t>3</w:t>
            </w:r>
          </w:p>
        </w:tc>
        <w:tc>
          <w:tcPr>
            <w:tcW w:w="516" w:type="pct"/>
            <w:tcMar>
              <w:top w:w="0" w:type="dxa"/>
              <w:left w:w="108" w:type="dxa"/>
              <w:bottom w:w="0" w:type="dxa"/>
              <w:right w:w="108" w:type="dxa"/>
            </w:tcMar>
            <w:textDirection w:val="btLr"/>
            <w:vAlign w:val="center"/>
          </w:tcPr>
          <w:p w:rsidR="0060777E" w:rsidRPr="000C0429" w:rsidRDefault="0060777E" w:rsidP="0060777E">
            <w:pPr>
              <w:ind w:left="113" w:right="113"/>
              <w:jc w:val="center"/>
              <w:rPr>
                <w:rFonts w:ascii="Calibri" w:hAnsi="Calibri"/>
                <w:color w:val="1F497D"/>
                <w:sz w:val="36"/>
                <w:szCs w:val="36"/>
              </w:rPr>
            </w:pPr>
            <w:r w:rsidRPr="000C0429">
              <w:rPr>
                <w:rFonts w:ascii="Calibri" w:hAnsi="Calibri"/>
                <w:color w:val="1F497D"/>
                <w:sz w:val="36"/>
                <w:szCs w:val="36"/>
              </w:rPr>
              <w:t>additional recommendations</w:t>
            </w:r>
          </w:p>
        </w:tc>
        <w:tc>
          <w:tcPr>
            <w:tcW w:w="4221" w:type="pct"/>
            <w:gridSpan w:val="2"/>
          </w:tcPr>
          <w:p w:rsidR="0060777E" w:rsidRPr="00E655E7" w:rsidRDefault="0060777E" w:rsidP="0060777E">
            <w:pPr>
              <w:ind w:right="236"/>
              <w:jc w:val="both"/>
              <w:rPr>
                <w:color w:val="1F497D"/>
              </w:rPr>
            </w:pPr>
            <w:r w:rsidRPr="00E655E7">
              <w:rPr>
                <w:color w:val="1F497D"/>
              </w:rPr>
              <w:t>Regarding this work area, few recommendations would be sufficient such as:</w:t>
            </w:r>
          </w:p>
          <w:p w:rsidR="0060777E" w:rsidRPr="004A7450" w:rsidRDefault="0060777E" w:rsidP="0060777E">
            <w:pPr>
              <w:pStyle w:val="ListParagraph"/>
              <w:numPr>
                <w:ilvl w:val="0"/>
                <w:numId w:val="9"/>
              </w:numPr>
              <w:spacing w:after="240"/>
              <w:ind w:left="450" w:right="236"/>
              <w:jc w:val="both"/>
              <w:rPr>
                <w:color w:val="1F497D"/>
              </w:rPr>
            </w:pPr>
            <w:r w:rsidRPr="004A7450">
              <w:rPr>
                <w:color w:val="1F497D"/>
              </w:rPr>
              <w:t>Propose industry specific structures (e.g. Financial CERT, Medicine CERT), if possible. This would help narrow the scope of potential cyber-intelligence to that which is most relevant.</w:t>
            </w:r>
          </w:p>
          <w:p w:rsidR="0060777E" w:rsidRPr="004A7450" w:rsidRDefault="0060777E" w:rsidP="0060777E">
            <w:pPr>
              <w:pStyle w:val="ListParagraph"/>
              <w:numPr>
                <w:ilvl w:val="0"/>
                <w:numId w:val="9"/>
              </w:numPr>
              <w:spacing w:after="240"/>
              <w:ind w:left="450" w:right="236"/>
              <w:jc w:val="both"/>
              <w:rPr>
                <w:color w:val="1F497D"/>
              </w:rPr>
            </w:pPr>
            <w:r w:rsidRPr="004A7450">
              <w:rPr>
                <w:color w:val="1F497D"/>
              </w:rPr>
              <w:t>Standardize DRP, Risk Management, Risk Assessment and incident response for all regulatory bodies for member countries, share and harmonize knowledge.</w:t>
            </w:r>
          </w:p>
          <w:p w:rsidR="0060777E" w:rsidRPr="004A7450" w:rsidRDefault="0060777E" w:rsidP="0060777E">
            <w:pPr>
              <w:pStyle w:val="ListParagraph"/>
              <w:numPr>
                <w:ilvl w:val="0"/>
                <w:numId w:val="9"/>
              </w:numPr>
              <w:spacing w:after="240"/>
              <w:ind w:left="450" w:right="236"/>
              <w:jc w:val="both"/>
              <w:rPr>
                <w:color w:val="1F497D"/>
              </w:rPr>
            </w:pPr>
            <w:r w:rsidRPr="004A7450">
              <w:rPr>
                <w:color w:val="1F497D"/>
              </w:rPr>
              <w:lastRenderedPageBreak/>
              <w:t>dedicate a specialized group that emerges from HLEG or Study Group 17 (SG-17) that is a part of ITU-D, which should be assigned the task or research &amp; development for the impact of new technologies like the Internet of Things (IoT), Big Data, Artificial Intelligence (AI), on cyber security, and with membership of country members in order to follow up with the international best practices and recommendations</w:t>
            </w:r>
          </w:p>
          <w:p w:rsidR="0060777E" w:rsidRPr="004A7450" w:rsidRDefault="0060777E" w:rsidP="0060777E">
            <w:pPr>
              <w:pStyle w:val="ListParagraph"/>
              <w:numPr>
                <w:ilvl w:val="0"/>
                <w:numId w:val="9"/>
              </w:numPr>
              <w:spacing w:after="0"/>
              <w:ind w:left="450" w:right="236"/>
              <w:jc w:val="both"/>
              <w:rPr>
                <w:color w:val="1F497D"/>
              </w:rPr>
            </w:pPr>
            <w:r w:rsidRPr="004A7450">
              <w:rPr>
                <w:color w:val="1F497D"/>
              </w:rPr>
              <w:t>With regard to Working Group Three (WA3), Item (3,6) of the recommendations it is proposed to add to the text "The necessity of holding workshops and exchanging experiences on cybersecurity issues from the organizational aspects"</w:t>
            </w:r>
          </w:p>
        </w:tc>
      </w:tr>
      <w:tr w:rsidR="00E655E7" w:rsidTr="00E655E7">
        <w:trPr>
          <w:trHeight w:val="96"/>
          <w:jc w:val="center"/>
        </w:trPr>
        <w:tc>
          <w:tcPr>
            <w:tcW w:w="5000" w:type="pct"/>
            <w:gridSpan w:val="4"/>
            <w:shd w:val="clear" w:color="auto" w:fill="DEEAF6" w:themeFill="accent1" w:themeFillTint="33"/>
            <w:tcMar>
              <w:top w:w="0" w:type="dxa"/>
              <w:left w:w="108" w:type="dxa"/>
              <w:bottom w:w="0" w:type="dxa"/>
              <w:right w:w="108" w:type="dxa"/>
            </w:tcMar>
          </w:tcPr>
          <w:p w:rsidR="00E655E7" w:rsidRPr="005E3A3E" w:rsidRDefault="00E655E7" w:rsidP="00E655E7">
            <w:pPr>
              <w:tabs>
                <w:tab w:val="left" w:pos="720"/>
                <w:tab w:val="center" w:pos="4562"/>
              </w:tabs>
              <w:rPr>
                <w:rFonts w:ascii="Calibri" w:hAnsi="Calibri"/>
                <w:b/>
                <w:bCs/>
                <w:color w:val="C00000"/>
                <w:sz w:val="36"/>
                <w:szCs w:val="36"/>
              </w:rPr>
            </w:pPr>
            <w:r w:rsidRPr="005E3A3E">
              <w:rPr>
                <w:rFonts w:ascii="Calibri" w:hAnsi="Calibri"/>
                <w:b/>
                <w:bCs/>
                <w:color w:val="C00000"/>
                <w:sz w:val="36"/>
                <w:szCs w:val="36"/>
              </w:rPr>
              <w:lastRenderedPageBreak/>
              <w:t>4-Capacity Building</w:t>
            </w:r>
          </w:p>
        </w:tc>
      </w:tr>
      <w:tr w:rsidR="00E655E7" w:rsidTr="00E655E7">
        <w:trPr>
          <w:trHeight w:val="1781"/>
          <w:jc w:val="center"/>
        </w:trPr>
        <w:tc>
          <w:tcPr>
            <w:tcW w:w="263" w:type="pct"/>
            <w:tcMar>
              <w:top w:w="0" w:type="dxa"/>
              <w:left w:w="108" w:type="dxa"/>
              <w:bottom w:w="0" w:type="dxa"/>
              <w:right w:w="108" w:type="dxa"/>
            </w:tcMar>
          </w:tcPr>
          <w:p w:rsidR="00E655E7" w:rsidRDefault="00E655E7" w:rsidP="00E655E7">
            <w:pPr>
              <w:spacing w:after="240"/>
              <w:jc w:val="center"/>
              <w:rPr>
                <w:rFonts w:ascii="Calibri" w:hAnsi="Calibri"/>
                <w:color w:val="1F497D"/>
                <w:sz w:val="22"/>
                <w:szCs w:val="22"/>
              </w:rPr>
            </w:pPr>
            <w:r>
              <w:rPr>
                <w:rFonts w:ascii="Calibri" w:hAnsi="Calibri"/>
                <w:color w:val="1F497D"/>
                <w:sz w:val="22"/>
                <w:szCs w:val="22"/>
              </w:rPr>
              <w:t>4</w:t>
            </w:r>
          </w:p>
        </w:tc>
        <w:tc>
          <w:tcPr>
            <w:tcW w:w="516" w:type="pct"/>
            <w:tcMar>
              <w:top w:w="0" w:type="dxa"/>
              <w:left w:w="108" w:type="dxa"/>
              <w:bottom w:w="0" w:type="dxa"/>
              <w:right w:w="108" w:type="dxa"/>
            </w:tcMar>
            <w:textDirection w:val="btLr"/>
            <w:vAlign w:val="center"/>
          </w:tcPr>
          <w:p w:rsidR="00E655E7" w:rsidRPr="000C0429" w:rsidRDefault="00E655E7" w:rsidP="00E655E7">
            <w:pPr>
              <w:spacing w:after="240"/>
              <w:ind w:left="113" w:right="113"/>
              <w:jc w:val="center"/>
              <w:rPr>
                <w:rFonts w:ascii="Calibri" w:hAnsi="Calibri"/>
                <w:color w:val="1F497D"/>
                <w:sz w:val="32"/>
                <w:szCs w:val="32"/>
              </w:rPr>
            </w:pPr>
            <w:r w:rsidRPr="000C0429">
              <w:rPr>
                <w:rFonts w:ascii="Calibri" w:hAnsi="Calibri"/>
                <w:color w:val="1F497D"/>
                <w:sz w:val="32"/>
                <w:szCs w:val="32"/>
              </w:rPr>
              <w:t>additional recommendations</w:t>
            </w:r>
          </w:p>
        </w:tc>
        <w:tc>
          <w:tcPr>
            <w:tcW w:w="4221" w:type="pct"/>
            <w:gridSpan w:val="2"/>
          </w:tcPr>
          <w:p w:rsidR="00E655E7" w:rsidRDefault="00E655E7" w:rsidP="00E655E7">
            <w:pPr>
              <w:spacing w:after="240"/>
              <w:ind w:right="146"/>
              <w:jc w:val="both"/>
              <w:rPr>
                <w:rFonts w:ascii="Calibri" w:hAnsi="Calibri"/>
                <w:color w:val="1F497D"/>
                <w:sz w:val="22"/>
                <w:szCs w:val="22"/>
              </w:rPr>
            </w:pPr>
            <w:r w:rsidRPr="004A7450">
              <w:rPr>
                <w:rFonts w:ascii="Calibri" w:hAnsi="Calibri"/>
                <w:color w:val="1F497D"/>
                <w:sz w:val="22"/>
                <w:szCs w:val="22"/>
              </w:rPr>
              <w:t>we have few general recommendation</w:t>
            </w:r>
            <w:r>
              <w:rPr>
                <w:rFonts w:ascii="Calibri" w:hAnsi="Calibri"/>
                <w:color w:val="1F497D"/>
                <w:sz w:val="22"/>
                <w:szCs w:val="22"/>
              </w:rPr>
              <w:t>s</w:t>
            </w:r>
            <w:r w:rsidRPr="004A7450">
              <w:rPr>
                <w:rFonts w:ascii="Calibri" w:hAnsi="Calibri"/>
                <w:color w:val="1F497D"/>
                <w:sz w:val="22"/>
                <w:szCs w:val="22"/>
              </w:rPr>
              <w:t xml:space="preserve"> in the </w:t>
            </w:r>
            <w:r>
              <w:rPr>
                <w:rFonts w:ascii="Calibri" w:hAnsi="Calibri"/>
                <w:color w:val="1F497D"/>
                <w:sz w:val="22"/>
                <w:szCs w:val="22"/>
              </w:rPr>
              <w:t xml:space="preserve">capacity building </w:t>
            </w:r>
            <w:r w:rsidRPr="004A7450">
              <w:rPr>
                <w:rFonts w:ascii="Calibri" w:hAnsi="Calibri"/>
                <w:color w:val="1F497D"/>
                <w:sz w:val="22"/>
                <w:szCs w:val="22"/>
              </w:rPr>
              <w:t>area which are:</w:t>
            </w:r>
          </w:p>
          <w:p w:rsidR="00E655E7" w:rsidRPr="004A7450" w:rsidRDefault="00E655E7" w:rsidP="00E655E7">
            <w:pPr>
              <w:pStyle w:val="ListParagraph"/>
              <w:numPr>
                <w:ilvl w:val="0"/>
                <w:numId w:val="6"/>
              </w:numPr>
              <w:spacing w:after="240"/>
              <w:ind w:right="146"/>
              <w:jc w:val="both"/>
              <w:rPr>
                <w:color w:val="1F497D"/>
              </w:rPr>
            </w:pPr>
            <w:r w:rsidRPr="004A7450">
              <w:rPr>
                <w:color w:val="1F497D"/>
              </w:rPr>
              <w:t>ITU should conduct more Table Top Exercises and cyber drills to help CISRTs.</w:t>
            </w:r>
          </w:p>
          <w:p w:rsidR="00E655E7" w:rsidRPr="003E2F35" w:rsidRDefault="00E655E7" w:rsidP="00E655E7">
            <w:pPr>
              <w:pStyle w:val="ListParagraph"/>
              <w:numPr>
                <w:ilvl w:val="0"/>
                <w:numId w:val="6"/>
              </w:numPr>
              <w:spacing w:after="240"/>
              <w:ind w:right="146"/>
              <w:jc w:val="both"/>
              <w:rPr>
                <w:color w:val="1F497D"/>
              </w:rPr>
            </w:pPr>
            <w:r w:rsidRPr="003E2F35">
              <w:rPr>
                <w:color w:val="1F497D"/>
              </w:rPr>
              <w:t>Create a sort of Cybersecurity starter kit/program for new institutions that are relatively inexperienced in the field. Since nowadays, any institution, no matter how small, is at risk of cyber-attacks.</w:t>
            </w:r>
          </w:p>
          <w:p w:rsidR="00E655E7" w:rsidRPr="003E2F35" w:rsidRDefault="00E655E7" w:rsidP="00E655E7">
            <w:pPr>
              <w:pStyle w:val="ListParagraph"/>
              <w:numPr>
                <w:ilvl w:val="0"/>
                <w:numId w:val="6"/>
              </w:numPr>
              <w:spacing w:after="240"/>
              <w:ind w:right="146"/>
              <w:jc w:val="both"/>
              <w:rPr>
                <w:color w:val="1F497D"/>
              </w:rPr>
            </w:pPr>
            <w:r w:rsidRPr="003E2F35">
              <w:rPr>
                <w:color w:val="1F497D"/>
              </w:rPr>
              <w:t>Institutions should be sure to create well-defined and structured response plans, with appointed individuals and designated responsibilities.</w:t>
            </w:r>
          </w:p>
          <w:p w:rsidR="00E655E7" w:rsidRDefault="00E655E7" w:rsidP="00E655E7">
            <w:pPr>
              <w:pStyle w:val="ListParagraph"/>
              <w:numPr>
                <w:ilvl w:val="0"/>
                <w:numId w:val="6"/>
              </w:numPr>
              <w:spacing w:after="240"/>
              <w:ind w:right="146"/>
              <w:jc w:val="both"/>
              <w:rPr>
                <w:color w:val="1F497D"/>
              </w:rPr>
            </w:pPr>
            <w:r w:rsidRPr="005E3A3E">
              <w:rPr>
                <w:color w:val="1F497D"/>
              </w:rPr>
              <w:t>Provide an access portal for all regulatory bodies to share latest cyber security updates, threats and latest safe guards, and to notify members with any trans-country cyber-attacks.</w:t>
            </w:r>
          </w:p>
          <w:p w:rsidR="00E655E7" w:rsidRDefault="00E655E7" w:rsidP="00E655E7">
            <w:pPr>
              <w:pStyle w:val="ListParagraph"/>
              <w:numPr>
                <w:ilvl w:val="0"/>
                <w:numId w:val="6"/>
              </w:numPr>
              <w:spacing w:after="240"/>
              <w:ind w:right="146"/>
              <w:jc w:val="both"/>
              <w:rPr>
                <w:color w:val="1F497D"/>
              </w:rPr>
            </w:pPr>
            <w:r w:rsidRPr="00A2422C">
              <w:rPr>
                <w:color w:val="1F497D"/>
                <w:cs/>
              </w:rPr>
              <w:t>‎</w:t>
            </w:r>
            <w:r w:rsidRPr="00A2422C">
              <w:rPr>
                <w:color w:val="1F497D"/>
              </w:rPr>
              <w:t>juridical Training and awareness is a key factor to</w:t>
            </w:r>
            <w:r>
              <w:rPr>
                <w:color w:val="1F497D"/>
              </w:rPr>
              <w:t xml:space="preserve"> </w:t>
            </w:r>
            <w:r w:rsidRPr="00A2422C">
              <w:rPr>
                <w:color w:val="1F497D"/>
                <w:cs/>
              </w:rPr>
              <w:t>‎</w:t>
            </w:r>
            <w:r w:rsidRPr="00A2422C">
              <w:rPr>
                <w:color w:val="1F497D"/>
              </w:rPr>
              <w:t xml:space="preserve">implement the </w:t>
            </w:r>
            <w:r w:rsidRPr="00A2422C">
              <w:rPr>
                <w:color w:val="1F497D"/>
                <w:cs/>
              </w:rPr>
              <w:t>‎</w:t>
            </w:r>
            <w:r w:rsidRPr="00A2422C">
              <w:rPr>
                <w:color w:val="1F497D"/>
              </w:rPr>
              <w:t xml:space="preserve">Cybersecurity legislations. </w:t>
            </w:r>
            <w:r w:rsidRPr="00A2422C">
              <w:rPr>
                <w:color w:val="1F497D"/>
                <w:cs/>
              </w:rPr>
              <w:t>‎</w:t>
            </w:r>
            <w:r w:rsidRPr="00A2422C">
              <w:rPr>
                <w:color w:val="1F497D"/>
              </w:rPr>
              <w:t xml:space="preserve">So, Judges should have a </w:t>
            </w:r>
            <w:r w:rsidRPr="00A2422C">
              <w:rPr>
                <w:color w:val="1F497D"/>
                <w:cs/>
              </w:rPr>
              <w:t>‎</w:t>
            </w:r>
            <w:r w:rsidRPr="00A2422C">
              <w:rPr>
                <w:color w:val="1F497D"/>
              </w:rPr>
              <w:t xml:space="preserve">detailed view of disclosing </w:t>
            </w:r>
            <w:r w:rsidRPr="00A2422C">
              <w:rPr>
                <w:color w:val="1F497D"/>
                <w:cs/>
              </w:rPr>
              <w:t>‎</w:t>
            </w:r>
            <w:r w:rsidRPr="00A2422C">
              <w:rPr>
                <w:color w:val="1F497D"/>
              </w:rPr>
              <w:t xml:space="preserve">of sensitive information and </w:t>
            </w:r>
            <w:r w:rsidRPr="00A2422C">
              <w:rPr>
                <w:color w:val="1F497D"/>
                <w:cs/>
              </w:rPr>
              <w:t>‎</w:t>
            </w:r>
            <w:r w:rsidRPr="00A2422C">
              <w:rPr>
                <w:color w:val="1F497D"/>
              </w:rPr>
              <w:t xml:space="preserve">Technical background of </w:t>
            </w:r>
            <w:r w:rsidRPr="00A2422C">
              <w:rPr>
                <w:color w:val="1F497D"/>
                <w:cs/>
              </w:rPr>
              <w:t>‎</w:t>
            </w:r>
            <w:r w:rsidRPr="00A2422C">
              <w:rPr>
                <w:color w:val="1F497D"/>
              </w:rPr>
              <w:t>dealing with cybercrimes</w:t>
            </w:r>
          </w:p>
          <w:p w:rsidR="00E655E7" w:rsidRDefault="00E655E7" w:rsidP="00E655E7">
            <w:pPr>
              <w:pStyle w:val="ListParagraph"/>
              <w:numPr>
                <w:ilvl w:val="0"/>
                <w:numId w:val="6"/>
              </w:numPr>
              <w:spacing w:after="0"/>
              <w:ind w:right="146"/>
              <w:jc w:val="both"/>
              <w:rPr>
                <w:color w:val="1F497D"/>
              </w:rPr>
            </w:pPr>
            <w:r w:rsidRPr="005E3A3E">
              <w:rPr>
                <w:color w:val="1F497D"/>
              </w:rPr>
              <w:t>Allocate judicial chambers and trained judges to address issues related to cybersecurity and information security.</w:t>
            </w:r>
          </w:p>
          <w:p w:rsidR="0060777E" w:rsidRDefault="0060777E" w:rsidP="0060777E">
            <w:pPr>
              <w:ind w:right="146"/>
              <w:jc w:val="both"/>
              <w:rPr>
                <w:color w:val="1F497D"/>
              </w:rPr>
            </w:pPr>
          </w:p>
          <w:p w:rsidR="0060777E" w:rsidRDefault="0060777E" w:rsidP="0060777E">
            <w:pPr>
              <w:ind w:right="146"/>
              <w:jc w:val="both"/>
              <w:rPr>
                <w:color w:val="1F497D"/>
              </w:rPr>
            </w:pPr>
          </w:p>
          <w:p w:rsidR="0060777E" w:rsidRPr="0060777E" w:rsidRDefault="0060777E" w:rsidP="0060777E">
            <w:pPr>
              <w:ind w:right="146"/>
              <w:jc w:val="both"/>
              <w:rPr>
                <w:color w:val="1F497D"/>
              </w:rPr>
            </w:pPr>
          </w:p>
        </w:tc>
      </w:tr>
      <w:tr w:rsidR="00E655E7" w:rsidTr="00E655E7">
        <w:trPr>
          <w:trHeight w:val="96"/>
          <w:jc w:val="center"/>
        </w:trPr>
        <w:tc>
          <w:tcPr>
            <w:tcW w:w="5000" w:type="pct"/>
            <w:gridSpan w:val="4"/>
            <w:shd w:val="clear" w:color="auto" w:fill="DEEAF6" w:themeFill="accent1" w:themeFillTint="33"/>
            <w:tcMar>
              <w:top w:w="0" w:type="dxa"/>
              <w:left w:w="108" w:type="dxa"/>
              <w:bottom w:w="0" w:type="dxa"/>
              <w:right w:w="108" w:type="dxa"/>
            </w:tcMar>
          </w:tcPr>
          <w:p w:rsidR="00E655E7" w:rsidRPr="005E3A3E" w:rsidRDefault="00E655E7" w:rsidP="00E655E7">
            <w:pPr>
              <w:tabs>
                <w:tab w:val="left" w:pos="720"/>
                <w:tab w:val="center" w:pos="4562"/>
              </w:tabs>
              <w:rPr>
                <w:rFonts w:ascii="Calibri" w:hAnsi="Calibri"/>
                <w:b/>
                <w:bCs/>
                <w:color w:val="C00000"/>
                <w:sz w:val="36"/>
                <w:szCs w:val="36"/>
              </w:rPr>
            </w:pPr>
            <w:r w:rsidRPr="005E3A3E">
              <w:rPr>
                <w:rFonts w:ascii="Calibri" w:hAnsi="Calibri"/>
                <w:b/>
                <w:bCs/>
                <w:color w:val="C00000"/>
                <w:sz w:val="36"/>
                <w:szCs w:val="36"/>
              </w:rPr>
              <w:t>5-International Cooperation</w:t>
            </w:r>
          </w:p>
        </w:tc>
      </w:tr>
      <w:tr w:rsidR="00E655E7" w:rsidTr="00E655E7">
        <w:trPr>
          <w:trHeight w:val="96"/>
          <w:jc w:val="center"/>
        </w:trPr>
        <w:tc>
          <w:tcPr>
            <w:tcW w:w="263" w:type="pct"/>
            <w:tcMar>
              <w:top w:w="0" w:type="dxa"/>
              <w:left w:w="108" w:type="dxa"/>
              <w:bottom w:w="0" w:type="dxa"/>
              <w:right w:w="108" w:type="dxa"/>
            </w:tcMar>
          </w:tcPr>
          <w:p w:rsidR="00E655E7" w:rsidRDefault="00E655E7" w:rsidP="00E655E7">
            <w:pPr>
              <w:spacing w:after="240"/>
              <w:jc w:val="center"/>
              <w:rPr>
                <w:rFonts w:ascii="Calibri" w:hAnsi="Calibri"/>
                <w:color w:val="1F497D"/>
                <w:sz w:val="22"/>
                <w:szCs w:val="22"/>
              </w:rPr>
            </w:pPr>
            <w:r>
              <w:rPr>
                <w:rFonts w:ascii="Calibri" w:hAnsi="Calibri"/>
                <w:color w:val="1F497D"/>
                <w:sz w:val="22"/>
                <w:szCs w:val="22"/>
              </w:rPr>
              <w:t>5</w:t>
            </w:r>
          </w:p>
        </w:tc>
        <w:tc>
          <w:tcPr>
            <w:tcW w:w="516" w:type="pct"/>
            <w:tcMar>
              <w:top w:w="0" w:type="dxa"/>
              <w:left w:w="108" w:type="dxa"/>
              <w:bottom w:w="0" w:type="dxa"/>
              <w:right w:w="108" w:type="dxa"/>
            </w:tcMar>
            <w:textDirection w:val="btLr"/>
            <w:vAlign w:val="center"/>
          </w:tcPr>
          <w:p w:rsidR="00E655E7" w:rsidRPr="000C0429" w:rsidRDefault="00E655E7" w:rsidP="00E655E7">
            <w:pPr>
              <w:spacing w:after="240"/>
              <w:ind w:left="113" w:right="113"/>
              <w:jc w:val="center"/>
              <w:rPr>
                <w:rFonts w:ascii="Calibri" w:hAnsi="Calibri"/>
                <w:color w:val="1F497D"/>
                <w:sz w:val="32"/>
                <w:szCs w:val="32"/>
              </w:rPr>
            </w:pPr>
            <w:r w:rsidRPr="000C0429">
              <w:rPr>
                <w:rFonts w:ascii="Calibri" w:hAnsi="Calibri"/>
                <w:color w:val="1F497D"/>
                <w:sz w:val="32"/>
                <w:szCs w:val="32"/>
              </w:rPr>
              <w:t>additional recommendations</w:t>
            </w:r>
          </w:p>
        </w:tc>
        <w:tc>
          <w:tcPr>
            <w:tcW w:w="4221" w:type="pct"/>
            <w:gridSpan w:val="2"/>
          </w:tcPr>
          <w:p w:rsidR="00E655E7" w:rsidRDefault="00E655E7" w:rsidP="00E655E7">
            <w:pPr>
              <w:spacing w:after="240"/>
              <w:ind w:right="146"/>
              <w:jc w:val="both"/>
              <w:rPr>
                <w:rFonts w:ascii="Calibri" w:hAnsi="Calibri"/>
                <w:color w:val="1F497D"/>
                <w:sz w:val="22"/>
                <w:szCs w:val="22"/>
              </w:rPr>
            </w:pPr>
            <w:r>
              <w:rPr>
                <w:rFonts w:ascii="Calibri" w:hAnsi="Calibri"/>
                <w:color w:val="1F497D"/>
                <w:sz w:val="22"/>
                <w:szCs w:val="22"/>
              </w:rPr>
              <w:t>Regarding the international cooperation area, we have the following recommendations which are:</w:t>
            </w:r>
          </w:p>
          <w:p w:rsidR="00E655E7" w:rsidRPr="00E808DD" w:rsidRDefault="00E655E7" w:rsidP="00E655E7">
            <w:pPr>
              <w:pStyle w:val="ListParagraph"/>
              <w:numPr>
                <w:ilvl w:val="0"/>
                <w:numId w:val="7"/>
              </w:numPr>
              <w:spacing w:after="240"/>
              <w:ind w:right="146"/>
              <w:jc w:val="both"/>
              <w:rPr>
                <w:color w:val="1F497D"/>
              </w:rPr>
            </w:pPr>
            <w:r w:rsidRPr="00E808DD">
              <w:rPr>
                <w:color w:val="1F497D"/>
              </w:rPr>
              <w:t>There should be central body for national security and intelligence, so this body will be the institution with which the international community communicates and cooperates.</w:t>
            </w:r>
          </w:p>
          <w:p w:rsidR="00E655E7" w:rsidRPr="00E808DD" w:rsidRDefault="00E655E7" w:rsidP="00E655E7">
            <w:pPr>
              <w:pStyle w:val="ListParagraph"/>
              <w:numPr>
                <w:ilvl w:val="0"/>
                <w:numId w:val="7"/>
              </w:numPr>
              <w:spacing w:after="240"/>
              <w:ind w:right="146"/>
              <w:jc w:val="both"/>
              <w:rPr>
                <w:color w:val="1F497D"/>
              </w:rPr>
            </w:pPr>
            <w:r w:rsidRPr="00E808DD">
              <w:rPr>
                <w:color w:val="1F497D"/>
              </w:rPr>
              <w:t>There should be support for regulatory bodies members in terms of cyber security capacity building, training plans and international certifications required for all member countries.</w:t>
            </w:r>
          </w:p>
          <w:p w:rsidR="00E655E7" w:rsidRDefault="00E655E7" w:rsidP="00E655E7">
            <w:pPr>
              <w:pStyle w:val="ListParagraph"/>
              <w:numPr>
                <w:ilvl w:val="0"/>
                <w:numId w:val="7"/>
              </w:numPr>
              <w:spacing w:after="240"/>
              <w:ind w:right="146"/>
              <w:jc w:val="both"/>
              <w:rPr>
                <w:color w:val="1F497D"/>
              </w:rPr>
            </w:pPr>
            <w:r w:rsidRPr="00E808DD">
              <w:rPr>
                <w:color w:val="1F497D"/>
              </w:rPr>
              <w:t>Establish an annual meeting included within SG-17 and ITU-D to discuss and share innovations and the emerging technologies and international policies available.</w:t>
            </w:r>
          </w:p>
          <w:p w:rsidR="00E655E7" w:rsidRDefault="00E655E7" w:rsidP="00E655E7">
            <w:pPr>
              <w:pStyle w:val="ListParagraph"/>
              <w:numPr>
                <w:ilvl w:val="0"/>
                <w:numId w:val="7"/>
              </w:numPr>
              <w:spacing w:after="240"/>
              <w:ind w:right="146"/>
              <w:jc w:val="both"/>
              <w:rPr>
                <w:color w:val="1F497D"/>
              </w:rPr>
            </w:pPr>
            <w:r w:rsidRPr="005E3A3E">
              <w:rPr>
                <w:color w:val="1F497D"/>
              </w:rPr>
              <w:t>Reference to the United Nations General Assembly Resolution No.(A/55/593/63),of year 2001, in particular item 1(b), Law enforcement in member countries should include coordination in Trans-country Cyber Security Cases.</w:t>
            </w:r>
          </w:p>
          <w:p w:rsidR="00E655E7" w:rsidRPr="00E808DD" w:rsidRDefault="00E655E7" w:rsidP="00E655E7">
            <w:pPr>
              <w:pStyle w:val="ListParagraph"/>
              <w:numPr>
                <w:ilvl w:val="0"/>
                <w:numId w:val="7"/>
              </w:numPr>
              <w:spacing w:after="0"/>
              <w:jc w:val="both"/>
              <w:rPr>
                <w:color w:val="1F497D"/>
              </w:rPr>
            </w:pPr>
            <w:r w:rsidRPr="00E655E7">
              <w:rPr>
                <w:color w:val="1F497D"/>
              </w:rPr>
              <w:t>Making sure cybersecurity is part of the dialogue at the highest levels of policy making and government organizations.</w:t>
            </w:r>
          </w:p>
        </w:tc>
      </w:tr>
    </w:tbl>
    <w:p w:rsidR="00FB6B27" w:rsidRDefault="00FB6B27"/>
    <w:sectPr w:rsidR="00FB6B27" w:rsidSect="00E655E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D0B" w:rsidRDefault="008B5D0B" w:rsidP="00B45FCA">
      <w:r>
        <w:separator/>
      </w:r>
    </w:p>
  </w:endnote>
  <w:endnote w:type="continuationSeparator" w:id="0">
    <w:p w:rsidR="008B5D0B" w:rsidRDefault="008B5D0B" w:rsidP="00B4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D0B" w:rsidRDefault="008B5D0B" w:rsidP="00B45FCA">
      <w:r>
        <w:separator/>
      </w:r>
    </w:p>
  </w:footnote>
  <w:footnote w:type="continuationSeparator" w:id="0">
    <w:p w:rsidR="008B5D0B" w:rsidRDefault="008B5D0B" w:rsidP="00B45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3062B"/>
    <w:multiLevelType w:val="hybridMultilevel"/>
    <w:tmpl w:val="7C345EA6"/>
    <w:lvl w:ilvl="0" w:tplc="04090001">
      <w:start w:val="1"/>
      <w:numFmt w:val="bullet"/>
      <w:lvlText w:val=""/>
      <w:lvlJc w:val="left"/>
      <w:pPr>
        <w:ind w:left="471" w:hanging="360"/>
      </w:pPr>
      <w:rPr>
        <w:rFonts w:ascii="Symbol" w:hAnsi="Symbol"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1" w15:restartNumberingAfterBreak="0">
    <w:nsid w:val="21347E8F"/>
    <w:multiLevelType w:val="hybridMultilevel"/>
    <w:tmpl w:val="146A98FE"/>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 w15:restartNumberingAfterBreak="0">
    <w:nsid w:val="24C84B01"/>
    <w:multiLevelType w:val="hybridMultilevel"/>
    <w:tmpl w:val="508675BC"/>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3" w15:restartNumberingAfterBreak="0">
    <w:nsid w:val="312234AC"/>
    <w:multiLevelType w:val="multilevel"/>
    <w:tmpl w:val="B53EB45E"/>
    <w:numStyleLink w:val="Style1"/>
  </w:abstractNum>
  <w:abstractNum w:abstractNumId="4" w15:restartNumberingAfterBreak="0">
    <w:nsid w:val="3F2527FC"/>
    <w:multiLevelType w:val="hybridMultilevel"/>
    <w:tmpl w:val="56AEC88A"/>
    <w:lvl w:ilvl="0" w:tplc="04090001">
      <w:start w:val="1"/>
      <w:numFmt w:val="bullet"/>
      <w:lvlText w:val=""/>
      <w:lvlJc w:val="left"/>
      <w:pPr>
        <w:ind w:left="47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96E28"/>
    <w:multiLevelType w:val="multilevel"/>
    <w:tmpl w:val="B53EB45E"/>
    <w:styleLink w:val="Style1"/>
    <w:lvl w:ilvl="0">
      <w:start w:val="1"/>
      <w:numFmt w:val="bullet"/>
      <w:lvlText w:val=""/>
      <w:lvlJc w:val="left"/>
      <w:pPr>
        <w:ind w:left="720" w:hanging="360"/>
      </w:pPr>
      <w:rPr>
        <w:rFonts w:ascii="Wingdings" w:hAnsi="Wingdings" w:cs="Wingdings" w:hint="default"/>
        <w:color w:val="4472C4"/>
      </w:rPr>
    </w:lvl>
    <w:lvl w:ilvl="1">
      <w:start w:val="1"/>
      <w:numFmt w:val="bullet"/>
      <w:lvlText w:val="̻"/>
      <w:lvlJc w:val="left"/>
      <w:pPr>
        <w:ind w:left="1440" w:hanging="360"/>
      </w:pPr>
      <w:rPr>
        <w:rFonts w:ascii="Courier New" w:hAnsi="Courier New" w:cs="Courier New"/>
        <w:color w:val="4472C4"/>
        <w:position w:val="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34C57D1"/>
    <w:multiLevelType w:val="hybridMultilevel"/>
    <w:tmpl w:val="697292A2"/>
    <w:lvl w:ilvl="0" w:tplc="04090001">
      <w:start w:val="1"/>
      <w:numFmt w:val="bullet"/>
      <w:lvlText w:val=""/>
      <w:lvlJc w:val="left"/>
      <w:pPr>
        <w:ind w:left="471"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7" w15:restartNumberingAfterBreak="0">
    <w:nsid w:val="66C273DD"/>
    <w:multiLevelType w:val="hybridMultilevel"/>
    <w:tmpl w:val="652CB2AE"/>
    <w:lvl w:ilvl="0" w:tplc="04090001">
      <w:start w:val="1"/>
      <w:numFmt w:val="bullet"/>
      <w:lvlText w:val=""/>
      <w:lvlJc w:val="left"/>
      <w:pPr>
        <w:ind w:left="47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B276D"/>
    <w:multiLevelType w:val="hybridMultilevel"/>
    <w:tmpl w:val="5C2CA128"/>
    <w:lvl w:ilvl="0" w:tplc="04090001">
      <w:start w:val="1"/>
      <w:numFmt w:val="bullet"/>
      <w:lvlText w:val=""/>
      <w:lvlJc w:val="left"/>
      <w:pPr>
        <w:ind w:left="403" w:hanging="360"/>
      </w:pPr>
      <w:rPr>
        <w:rFonts w:ascii="Symbol" w:hAnsi="Symbol"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num w:numId="1">
    <w:abstractNumId w:val="3"/>
  </w:num>
  <w:num w:numId="2">
    <w:abstractNumId w:val="5"/>
  </w:num>
  <w:num w:numId="3">
    <w:abstractNumId w:val="8"/>
  </w:num>
  <w:num w:numId="4">
    <w:abstractNumId w:val="6"/>
  </w:num>
  <w:num w:numId="5">
    <w:abstractNumId w:val="4"/>
  </w:num>
  <w:num w:numId="6">
    <w:abstractNumId w:val="0"/>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C8C"/>
    <w:rsid w:val="000C0429"/>
    <w:rsid w:val="000D4FE6"/>
    <w:rsid w:val="00102960"/>
    <w:rsid w:val="002503A2"/>
    <w:rsid w:val="00254C18"/>
    <w:rsid w:val="003352AE"/>
    <w:rsid w:val="00352A4A"/>
    <w:rsid w:val="003B0D28"/>
    <w:rsid w:val="003C6E0B"/>
    <w:rsid w:val="003E2F35"/>
    <w:rsid w:val="003F634B"/>
    <w:rsid w:val="004723B4"/>
    <w:rsid w:val="004A7450"/>
    <w:rsid w:val="004B4C1B"/>
    <w:rsid w:val="005A59EB"/>
    <w:rsid w:val="005E3A3E"/>
    <w:rsid w:val="0060777E"/>
    <w:rsid w:val="006F4FA5"/>
    <w:rsid w:val="008B15C6"/>
    <w:rsid w:val="008B5D0B"/>
    <w:rsid w:val="008E7BF9"/>
    <w:rsid w:val="009E7EEC"/>
    <w:rsid w:val="00A10820"/>
    <w:rsid w:val="00A2422C"/>
    <w:rsid w:val="00AC6FE3"/>
    <w:rsid w:val="00B45FCA"/>
    <w:rsid w:val="00CA5D51"/>
    <w:rsid w:val="00D54C8C"/>
    <w:rsid w:val="00E655E7"/>
    <w:rsid w:val="00E808DD"/>
    <w:rsid w:val="00ED3587"/>
    <w:rsid w:val="00F368C3"/>
    <w:rsid w:val="00FB6B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2CB85C0-E672-430C-B09D-27344D56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A4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352A4A"/>
    <w:pPr>
      <w:autoSpaceDE w:val="0"/>
      <w:autoSpaceDN w:val="0"/>
    </w:pPr>
    <w:rPr>
      <w:rFonts w:ascii="Calibri" w:hAnsi="Calibri"/>
      <w:color w:val="000000"/>
    </w:rPr>
  </w:style>
  <w:style w:type="paragraph" w:styleId="ListParagraph">
    <w:name w:val="List Paragraph"/>
    <w:basedOn w:val="Normal"/>
    <w:uiPriority w:val="34"/>
    <w:qFormat/>
    <w:rsid w:val="005A59EB"/>
    <w:pPr>
      <w:spacing w:after="160" w:line="252" w:lineRule="auto"/>
      <w:ind w:left="720"/>
      <w:contextualSpacing/>
    </w:pPr>
    <w:rPr>
      <w:rFonts w:ascii="Calibri" w:hAnsi="Calibri"/>
      <w:sz w:val="22"/>
      <w:szCs w:val="22"/>
    </w:rPr>
  </w:style>
  <w:style w:type="numbering" w:customStyle="1" w:styleId="Style1">
    <w:name w:val="Style1"/>
    <w:uiPriority w:val="99"/>
    <w:rsid w:val="005A59EB"/>
    <w:pPr>
      <w:numPr>
        <w:numId w:val="2"/>
      </w:numPr>
    </w:pPr>
  </w:style>
  <w:style w:type="character" w:styleId="CommentReference">
    <w:name w:val="annotation reference"/>
    <w:basedOn w:val="DefaultParagraphFont"/>
    <w:uiPriority w:val="99"/>
    <w:semiHidden/>
    <w:unhideWhenUsed/>
    <w:rsid w:val="003352AE"/>
    <w:rPr>
      <w:sz w:val="16"/>
      <w:szCs w:val="16"/>
    </w:rPr>
  </w:style>
  <w:style w:type="paragraph" w:styleId="CommentText">
    <w:name w:val="annotation text"/>
    <w:basedOn w:val="Normal"/>
    <w:link w:val="CommentTextChar"/>
    <w:uiPriority w:val="99"/>
    <w:semiHidden/>
    <w:unhideWhenUsed/>
    <w:rsid w:val="003352AE"/>
    <w:rPr>
      <w:sz w:val="20"/>
      <w:szCs w:val="20"/>
    </w:rPr>
  </w:style>
  <w:style w:type="character" w:customStyle="1" w:styleId="CommentTextChar">
    <w:name w:val="Comment Text Char"/>
    <w:basedOn w:val="DefaultParagraphFont"/>
    <w:link w:val="CommentText"/>
    <w:uiPriority w:val="99"/>
    <w:semiHidden/>
    <w:rsid w:val="003352A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52AE"/>
    <w:rPr>
      <w:b/>
      <w:bCs/>
    </w:rPr>
  </w:style>
  <w:style w:type="character" w:customStyle="1" w:styleId="CommentSubjectChar">
    <w:name w:val="Comment Subject Char"/>
    <w:basedOn w:val="CommentTextChar"/>
    <w:link w:val="CommentSubject"/>
    <w:uiPriority w:val="99"/>
    <w:semiHidden/>
    <w:rsid w:val="003352A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352AE"/>
    <w:rPr>
      <w:rFonts w:ascii="Tahoma" w:hAnsi="Tahoma" w:cs="Tahoma"/>
      <w:sz w:val="16"/>
      <w:szCs w:val="16"/>
    </w:rPr>
  </w:style>
  <w:style w:type="character" w:customStyle="1" w:styleId="BalloonTextChar">
    <w:name w:val="Balloon Text Char"/>
    <w:basedOn w:val="DefaultParagraphFont"/>
    <w:link w:val="BalloonText"/>
    <w:uiPriority w:val="99"/>
    <w:semiHidden/>
    <w:rsid w:val="003352AE"/>
    <w:rPr>
      <w:rFonts w:ascii="Tahoma" w:hAnsi="Tahoma" w:cs="Tahoma"/>
      <w:sz w:val="16"/>
      <w:szCs w:val="16"/>
    </w:rPr>
  </w:style>
  <w:style w:type="character" w:styleId="Hyperlink">
    <w:name w:val="Hyperlink"/>
    <w:basedOn w:val="DefaultParagraphFont"/>
    <w:uiPriority w:val="99"/>
    <w:unhideWhenUsed/>
    <w:rsid w:val="004B4C1B"/>
    <w:rPr>
      <w:color w:val="0563C1" w:themeColor="hyperlink"/>
      <w:u w:val="single"/>
    </w:rPr>
  </w:style>
  <w:style w:type="paragraph" w:customStyle="1" w:styleId="Source">
    <w:name w:val="Source"/>
    <w:basedOn w:val="Normal"/>
    <w:rsid w:val="004B4C1B"/>
    <w:pPr>
      <w:spacing w:before="1200"/>
      <w:jc w:val="center"/>
    </w:pPr>
    <w:rPr>
      <w:rFonts w:asciiTheme="minorHAnsi" w:eastAsiaTheme="minorEastAsia" w:hAnsiTheme="minorHAnsi" w:cstheme="minorHAns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1104">
      <w:bodyDiv w:val="1"/>
      <w:marLeft w:val="0"/>
      <w:marRight w:val="0"/>
      <w:marTop w:val="0"/>
      <w:marBottom w:val="0"/>
      <w:divBdr>
        <w:top w:val="none" w:sz="0" w:space="0" w:color="auto"/>
        <w:left w:val="none" w:sz="0" w:space="0" w:color="auto"/>
        <w:bottom w:val="none" w:sz="0" w:space="0" w:color="auto"/>
        <w:right w:val="none" w:sz="0" w:space="0" w:color="auto"/>
      </w:divBdr>
    </w:div>
    <w:div w:id="233860140">
      <w:bodyDiv w:val="1"/>
      <w:marLeft w:val="0"/>
      <w:marRight w:val="0"/>
      <w:marTop w:val="0"/>
      <w:marBottom w:val="0"/>
      <w:divBdr>
        <w:top w:val="none" w:sz="0" w:space="0" w:color="auto"/>
        <w:left w:val="none" w:sz="0" w:space="0" w:color="auto"/>
        <w:bottom w:val="none" w:sz="0" w:space="0" w:color="auto"/>
        <w:right w:val="none" w:sz="0" w:space="0" w:color="auto"/>
      </w:divBdr>
    </w:div>
    <w:div w:id="249897751">
      <w:bodyDiv w:val="1"/>
      <w:marLeft w:val="0"/>
      <w:marRight w:val="0"/>
      <w:marTop w:val="0"/>
      <w:marBottom w:val="0"/>
      <w:divBdr>
        <w:top w:val="none" w:sz="0" w:space="0" w:color="auto"/>
        <w:left w:val="none" w:sz="0" w:space="0" w:color="auto"/>
        <w:bottom w:val="none" w:sz="0" w:space="0" w:color="auto"/>
        <w:right w:val="none" w:sz="0" w:space="0" w:color="auto"/>
      </w:divBdr>
    </w:div>
    <w:div w:id="613754233">
      <w:bodyDiv w:val="1"/>
      <w:marLeft w:val="0"/>
      <w:marRight w:val="0"/>
      <w:marTop w:val="0"/>
      <w:marBottom w:val="0"/>
      <w:divBdr>
        <w:top w:val="none" w:sz="0" w:space="0" w:color="auto"/>
        <w:left w:val="none" w:sz="0" w:space="0" w:color="auto"/>
        <w:bottom w:val="none" w:sz="0" w:space="0" w:color="auto"/>
        <w:right w:val="none" w:sz="0" w:space="0" w:color="auto"/>
      </w:divBdr>
    </w:div>
    <w:div w:id="654651762">
      <w:bodyDiv w:val="1"/>
      <w:marLeft w:val="0"/>
      <w:marRight w:val="0"/>
      <w:marTop w:val="0"/>
      <w:marBottom w:val="0"/>
      <w:divBdr>
        <w:top w:val="none" w:sz="0" w:space="0" w:color="auto"/>
        <w:left w:val="none" w:sz="0" w:space="0" w:color="auto"/>
        <w:bottom w:val="none" w:sz="0" w:space="0" w:color="auto"/>
        <w:right w:val="none" w:sz="0" w:space="0" w:color="auto"/>
      </w:divBdr>
    </w:div>
    <w:div w:id="958877099">
      <w:bodyDiv w:val="1"/>
      <w:marLeft w:val="0"/>
      <w:marRight w:val="0"/>
      <w:marTop w:val="0"/>
      <w:marBottom w:val="0"/>
      <w:divBdr>
        <w:top w:val="none" w:sz="0" w:space="0" w:color="auto"/>
        <w:left w:val="none" w:sz="0" w:space="0" w:color="auto"/>
        <w:bottom w:val="none" w:sz="0" w:space="0" w:color="auto"/>
        <w:right w:val="none" w:sz="0" w:space="0" w:color="auto"/>
      </w:divBdr>
    </w:div>
    <w:div w:id="1117717163">
      <w:bodyDiv w:val="1"/>
      <w:marLeft w:val="0"/>
      <w:marRight w:val="0"/>
      <w:marTop w:val="0"/>
      <w:marBottom w:val="0"/>
      <w:divBdr>
        <w:top w:val="none" w:sz="0" w:space="0" w:color="auto"/>
        <w:left w:val="none" w:sz="0" w:space="0" w:color="auto"/>
        <w:bottom w:val="none" w:sz="0" w:space="0" w:color="auto"/>
        <w:right w:val="none" w:sz="0" w:space="0" w:color="auto"/>
      </w:divBdr>
    </w:div>
    <w:div w:id="1179664176">
      <w:bodyDiv w:val="1"/>
      <w:marLeft w:val="0"/>
      <w:marRight w:val="0"/>
      <w:marTop w:val="0"/>
      <w:marBottom w:val="0"/>
      <w:divBdr>
        <w:top w:val="none" w:sz="0" w:space="0" w:color="auto"/>
        <w:left w:val="none" w:sz="0" w:space="0" w:color="auto"/>
        <w:bottom w:val="none" w:sz="0" w:space="0" w:color="auto"/>
        <w:right w:val="none" w:sz="0" w:space="0" w:color="auto"/>
      </w:divBdr>
    </w:div>
    <w:div w:id="1314601637">
      <w:bodyDiv w:val="1"/>
      <w:marLeft w:val="0"/>
      <w:marRight w:val="0"/>
      <w:marTop w:val="0"/>
      <w:marBottom w:val="0"/>
      <w:divBdr>
        <w:top w:val="none" w:sz="0" w:space="0" w:color="auto"/>
        <w:left w:val="none" w:sz="0" w:space="0" w:color="auto"/>
        <w:bottom w:val="none" w:sz="0" w:space="0" w:color="auto"/>
        <w:right w:val="none" w:sz="0" w:space="0" w:color="auto"/>
      </w:divBdr>
    </w:div>
    <w:div w:id="1915318286">
      <w:bodyDiv w:val="1"/>
      <w:marLeft w:val="0"/>
      <w:marRight w:val="0"/>
      <w:marTop w:val="0"/>
      <w:marBottom w:val="0"/>
      <w:divBdr>
        <w:top w:val="none" w:sz="0" w:space="0" w:color="auto"/>
        <w:left w:val="none" w:sz="0" w:space="0" w:color="auto"/>
        <w:bottom w:val="none" w:sz="0" w:space="0" w:color="auto"/>
        <w:right w:val="none" w:sz="0" w:space="0" w:color="auto"/>
      </w:divBdr>
    </w:div>
    <w:div w:id="2030570846">
      <w:bodyDiv w:val="1"/>
      <w:marLeft w:val="0"/>
      <w:marRight w:val="0"/>
      <w:marTop w:val="0"/>
      <w:marBottom w:val="0"/>
      <w:divBdr>
        <w:top w:val="none" w:sz="0" w:space="0" w:color="auto"/>
        <w:left w:val="none" w:sz="0" w:space="0" w:color="auto"/>
        <w:bottom w:val="none" w:sz="0" w:space="0" w:color="auto"/>
        <w:right w:val="none" w:sz="0" w:space="0" w:color="auto"/>
      </w:divBdr>
    </w:div>
    <w:div w:id="21342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2510</Words>
  <Characters>14307</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Lama al- Arabiat</dc:creator>
  <cp:lastModifiedBy>Janin, Patricia</cp:lastModifiedBy>
  <cp:revision>2</cp:revision>
  <dcterms:created xsi:type="dcterms:W3CDTF">2020-01-15T09:05:00Z</dcterms:created>
  <dcterms:modified xsi:type="dcterms:W3CDTF">2020-01-15T09:05:00Z</dcterms:modified>
</cp:coreProperties>
</file>