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22CB3" w14:paraId="60F98D9C" w14:textId="77777777">
        <w:trPr>
          <w:cantSplit/>
        </w:trPr>
        <w:tc>
          <w:tcPr>
            <w:tcW w:w="6912" w:type="dxa"/>
          </w:tcPr>
          <w:p w14:paraId="2DEC0F9D" w14:textId="77777777" w:rsidR="00093EEB" w:rsidRPr="00F22CB3" w:rsidRDefault="00D92832" w:rsidP="00D92832">
            <w:pPr>
              <w:spacing w:before="240"/>
              <w:rPr>
                <w:szCs w:val="24"/>
              </w:rPr>
            </w:pPr>
            <w:bookmarkStart w:id="0" w:name="dbluepink" w:colFirst="0" w:colLast="0"/>
            <w:r w:rsidRPr="00F22CB3">
              <w:rPr>
                <w:b/>
                <w:bCs/>
                <w:position w:val="6"/>
                <w:sz w:val="30"/>
                <w:szCs w:val="30"/>
              </w:rPr>
              <w:t xml:space="preserve">Grupo de Expertos sobre el Reglamento de las </w:t>
            </w:r>
            <w:r w:rsidRPr="00F22CB3">
              <w:rPr>
                <w:b/>
                <w:bCs/>
                <w:position w:val="6"/>
                <w:sz w:val="30"/>
                <w:szCs w:val="30"/>
              </w:rPr>
              <w:br/>
              <w:t>Telecomunicaciones Internacionales (GE-</w:t>
            </w:r>
            <w:proofErr w:type="spellStart"/>
            <w:r w:rsidRPr="00F22CB3">
              <w:rPr>
                <w:b/>
                <w:bCs/>
                <w:position w:val="6"/>
                <w:sz w:val="30"/>
                <w:szCs w:val="30"/>
              </w:rPr>
              <w:t>RTI</w:t>
            </w:r>
            <w:proofErr w:type="spellEnd"/>
            <w:r w:rsidRPr="00F22CB3">
              <w:rPr>
                <w:b/>
                <w:bCs/>
                <w:position w:val="6"/>
                <w:sz w:val="30"/>
                <w:szCs w:val="30"/>
              </w:rPr>
              <w:t>)</w:t>
            </w:r>
          </w:p>
        </w:tc>
        <w:tc>
          <w:tcPr>
            <w:tcW w:w="3261" w:type="dxa"/>
          </w:tcPr>
          <w:p w14:paraId="541FBF45" w14:textId="77777777" w:rsidR="00093EEB" w:rsidRPr="00F22CB3" w:rsidRDefault="00012E27" w:rsidP="00C85B97">
            <w:pPr>
              <w:spacing w:before="0"/>
              <w:rPr>
                <w:szCs w:val="24"/>
              </w:rPr>
            </w:pPr>
            <w:bookmarkStart w:id="1" w:name="ditulogo"/>
            <w:bookmarkEnd w:id="1"/>
            <w:r w:rsidRPr="00F22CB3">
              <w:rPr>
                <w:noProof/>
              </w:rPr>
              <w:drawing>
                <wp:inline distT="0" distB="0" distL="0" distR="0" wp14:anchorId="53B2549F" wp14:editId="7B6542A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F22CB3" w14:paraId="6EF93736" w14:textId="77777777">
        <w:trPr>
          <w:cantSplit/>
          <w:trHeight w:val="20"/>
        </w:trPr>
        <w:tc>
          <w:tcPr>
            <w:tcW w:w="10173" w:type="dxa"/>
            <w:gridSpan w:val="2"/>
            <w:tcBorders>
              <w:bottom w:val="single" w:sz="12" w:space="0" w:color="auto"/>
            </w:tcBorders>
          </w:tcPr>
          <w:p w14:paraId="60BA87D1" w14:textId="5E46631B" w:rsidR="00093EEB" w:rsidRPr="00F22CB3" w:rsidRDefault="00C33CD2" w:rsidP="00C33CD2">
            <w:pPr>
              <w:spacing w:before="0"/>
              <w:ind w:left="567" w:hanging="567"/>
              <w:rPr>
                <w:b/>
                <w:bCs/>
                <w:szCs w:val="24"/>
              </w:rPr>
            </w:pPr>
            <w:r w:rsidRPr="00F22CB3">
              <w:rPr>
                <w:b/>
                <w:bCs/>
                <w:szCs w:val="24"/>
              </w:rPr>
              <w:t>Tercera reunión – Reunión virtual, 17-18 de septiembre de 2020</w:t>
            </w:r>
          </w:p>
        </w:tc>
      </w:tr>
      <w:tr w:rsidR="00093EEB" w:rsidRPr="00F22CB3" w14:paraId="1B2A4EA6" w14:textId="77777777">
        <w:trPr>
          <w:cantSplit/>
          <w:trHeight w:val="20"/>
        </w:trPr>
        <w:tc>
          <w:tcPr>
            <w:tcW w:w="6912" w:type="dxa"/>
            <w:tcBorders>
              <w:top w:val="single" w:sz="12" w:space="0" w:color="auto"/>
            </w:tcBorders>
          </w:tcPr>
          <w:p w14:paraId="69C80E19" w14:textId="77777777" w:rsidR="00093EEB" w:rsidRPr="00F22CB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AD1BC1C" w14:textId="77777777" w:rsidR="00093EEB" w:rsidRPr="00F22CB3" w:rsidRDefault="00093EEB">
            <w:pPr>
              <w:spacing w:before="0"/>
              <w:rPr>
                <w:b/>
                <w:bCs/>
                <w:szCs w:val="24"/>
              </w:rPr>
            </w:pPr>
          </w:p>
        </w:tc>
      </w:tr>
      <w:tr w:rsidR="00093EEB" w:rsidRPr="00F22CB3" w14:paraId="04F92251" w14:textId="77777777">
        <w:trPr>
          <w:cantSplit/>
          <w:trHeight w:val="20"/>
        </w:trPr>
        <w:tc>
          <w:tcPr>
            <w:tcW w:w="6912" w:type="dxa"/>
            <w:shd w:val="clear" w:color="auto" w:fill="auto"/>
          </w:tcPr>
          <w:p w14:paraId="4117ECED" w14:textId="77777777" w:rsidR="00093EEB" w:rsidRPr="00F22CB3"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4DE929E5" w14:textId="5DC4D3EB" w:rsidR="00093EEB" w:rsidRPr="00F22CB3" w:rsidRDefault="00093EEB" w:rsidP="001F60AD">
            <w:pPr>
              <w:spacing w:before="0"/>
              <w:rPr>
                <w:b/>
                <w:bCs/>
                <w:szCs w:val="24"/>
              </w:rPr>
            </w:pPr>
            <w:r w:rsidRPr="00F22CB3">
              <w:rPr>
                <w:b/>
                <w:bCs/>
                <w:szCs w:val="24"/>
              </w:rPr>
              <w:t xml:space="preserve">Documento </w:t>
            </w:r>
            <w:proofErr w:type="spellStart"/>
            <w:r w:rsidR="00D92832" w:rsidRPr="00F22CB3">
              <w:rPr>
                <w:rFonts w:asciiTheme="minorHAnsi" w:hAnsiTheme="minorHAnsi" w:cs="Times New Roman Bold"/>
                <w:b/>
                <w:spacing w:val="-4"/>
              </w:rPr>
              <w:t>EG</w:t>
            </w:r>
            <w:proofErr w:type="spellEnd"/>
            <w:r w:rsidR="00D92832" w:rsidRPr="00F22CB3">
              <w:rPr>
                <w:rFonts w:asciiTheme="minorHAnsi" w:hAnsiTheme="minorHAnsi" w:cs="Times New Roman Bold"/>
                <w:b/>
                <w:spacing w:val="-4"/>
              </w:rPr>
              <w:t>-</w:t>
            </w:r>
            <w:proofErr w:type="spellStart"/>
            <w:r w:rsidR="00D92832" w:rsidRPr="00F22CB3">
              <w:rPr>
                <w:rFonts w:asciiTheme="minorHAnsi" w:hAnsiTheme="minorHAnsi" w:cs="Times New Roman Bold"/>
                <w:b/>
                <w:spacing w:val="-4"/>
              </w:rPr>
              <w:t>ITRs</w:t>
            </w:r>
            <w:proofErr w:type="spellEnd"/>
            <w:r w:rsidR="00D92832" w:rsidRPr="00F22CB3">
              <w:rPr>
                <w:rFonts w:asciiTheme="minorHAnsi" w:hAnsiTheme="minorHAnsi" w:cs="Times New Roman Bold"/>
                <w:b/>
                <w:spacing w:val="-4"/>
              </w:rPr>
              <w:t>-</w:t>
            </w:r>
            <w:r w:rsidR="00C33CD2" w:rsidRPr="00F22CB3">
              <w:rPr>
                <w:rFonts w:asciiTheme="minorHAnsi" w:hAnsiTheme="minorHAnsi" w:cs="Times New Roman Bold"/>
                <w:b/>
                <w:spacing w:val="-4"/>
              </w:rPr>
              <w:t>3</w:t>
            </w:r>
            <w:r w:rsidR="00D92832" w:rsidRPr="00F22CB3">
              <w:rPr>
                <w:rFonts w:asciiTheme="minorHAnsi" w:hAnsiTheme="minorHAnsi" w:cs="Times New Roman Bold"/>
                <w:b/>
                <w:spacing w:val="-4"/>
              </w:rPr>
              <w:t>/</w:t>
            </w:r>
            <w:r w:rsidR="00C33CD2" w:rsidRPr="00F22CB3">
              <w:rPr>
                <w:rFonts w:asciiTheme="minorHAnsi" w:hAnsiTheme="minorHAnsi" w:cs="Times New Roman Bold"/>
                <w:b/>
                <w:spacing w:val="-4"/>
              </w:rPr>
              <w:t>11</w:t>
            </w:r>
            <w:r w:rsidR="00D92832" w:rsidRPr="00F22CB3">
              <w:rPr>
                <w:rFonts w:asciiTheme="minorHAnsi" w:hAnsiTheme="minorHAnsi" w:cs="Times New Roman Bold"/>
                <w:b/>
                <w:spacing w:val="-4"/>
              </w:rPr>
              <w:t>-S</w:t>
            </w:r>
          </w:p>
        </w:tc>
      </w:tr>
      <w:tr w:rsidR="00093EEB" w:rsidRPr="00F22CB3" w14:paraId="3EE53D3B" w14:textId="77777777">
        <w:trPr>
          <w:cantSplit/>
          <w:trHeight w:val="20"/>
        </w:trPr>
        <w:tc>
          <w:tcPr>
            <w:tcW w:w="6912" w:type="dxa"/>
            <w:shd w:val="clear" w:color="auto" w:fill="auto"/>
          </w:tcPr>
          <w:p w14:paraId="64A63505" w14:textId="77777777" w:rsidR="00093EEB" w:rsidRPr="00F22CB3" w:rsidRDefault="00093EEB">
            <w:pPr>
              <w:shd w:val="solid" w:color="FFFFFF" w:fill="FFFFFF"/>
              <w:spacing w:before="0"/>
              <w:rPr>
                <w:smallCaps/>
                <w:szCs w:val="24"/>
              </w:rPr>
            </w:pPr>
            <w:bookmarkStart w:id="4" w:name="ddate" w:colFirst="1" w:colLast="1"/>
            <w:bookmarkEnd w:id="2"/>
            <w:bookmarkEnd w:id="3"/>
          </w:p>
        </w:tc>
        <w:tc>
          <w:tcPr>
            <w:tcW w:w="3261" w:type="dxa"/>
          </w:tcPr>
          <w:p w14:paraId="574CF87A" w14:textId="44FFE20A" w:rsidR="00093EEB" w:rsidRPr="00F22CB3" w:rsidRDefault="00C33CD2" w:rsidP="001F60AD">
            <w:pPr>
              <w:spacing w:before="0"/>
              <w:rPr>
                <w:b/>
                <w:bCs/>
                <w:szCs w:val="24"/>
              </w:rPr>
            </w:pPr>
            <w:r w:rsidRPr="00F22CB3">
              <w:rPr>
                <w:b/>
                <w:bCs/>
                <w:szCs w:val="24"/>
              </w:rPr>
              <w:t xml:space="preserve">7 de septiembre </w:t>
            </w:r>
            <w:r w:rsidR="00093EEB" w:rsidRPr="00F22CB3">
              <w:rPr>
                <w:b/>
                <w:bCs/>
                <w:szCs w:val="24"/>
              </w:rPr>
              <w:t>de 20</w:t>
            </w:r>
            <w:r w:rsidR="00C85B97" w:rsidRPr="00F22CB3">
              <w:rPr>
                <w:b/>
                <w:bCs/>
                <w:szCs w:val="24"/>
              </w:rPr>
              <w:t>20</w:t>
            </w:r>
          </w:p>
        </w:tc>
      </w:tr>
      <w:tr w:rsidR="00093EEB" w:rsidRPr="00F22CB3" w14:paraId="091B3EDE" w14:textId="77777777">
        <w:trPr>
          <w:cantSplit/>
          <w:trHeight w:val="20"/>
        </w:trPr>
        <w:tc>
          <w:tcPr>
            <w:tcW w:w="6912" w:type="dxa"/>
            <w:shd w:val="clear" w:color="auto" w:fill="auto"/>
          </w:tcPr>
          <w:p w14:paraId="7B6AE343" w14:textId="77777777" w:rsidR="00093EEB" w:rsidRPr="00F22CB3" w:rsidRDefault="00093EEB">
            <w:pPr>
              <w:shd w:val="solid" w:color="FFFFFF" w:fill="FFFFFF"/>
              <w:spacing w:before="0"/>
              <w:rPr>
                <w:smallCaps/>
                <w:szCs w:val="24"/>
              </w:rPr>
            </w:pPr>
            <w:bookmarkStart w:id="5" w:name="dorlang" w:colFirst="1" w:colLast="1"/>
            <w:bookmarkEnd w:id="4"/>
          </w:p>
        </w:tc>
        <w:tc>
          <w:tcPr>
            <w:tcW w:w="3261" w:type="dxa"/>
          </w:tcPr>
          <w:p w14:paraId="4E9D7195" w14:textId="77777777" w:rsidR="00093EEB" w:rsidRPr="00F22CB3" w:rsidRDefault="00093EEB" w:rsidP="00093EEB">
            <w:pPr>
              <w:spacing w:before="0"/>
              <w:rPr>
                <w:b/>
                <w:bCs/>
                <w:szCs w:val="24"/>
              </w:rPr>
            </w:pPr>
            <w:r w:rsidRPr="00F22CB3">
              <w:rPr>
                <w:b/>
                <w:bCs/>
                <w:szCs w:val="24"/>
              </w:rPr>
              <w:t>Original: inglés</w:t>
            </w:r>
          </w:p>
        </w:tc>
      </w:tr>
      <w:tr w:rsidR="00093EEB" w:rsidRPr="00F22CB3" w14:paraId="541473E8" w14:textId="77777777">
        <w:trPr>
          <w:cantSplit/>
        </w:trPr>
        <w:tc>
          <w:tcPr>
            <w:tcW w:w="10173" w:type="dxa"/>
            <w:gridSpan w:val="2"/>
          </w:tcPr>
          <w:p w14:paraId="7547870A" w14:textId="156F06EA" w:rsidR="00093EEB" w:rsidRPr="00F22CB3" w:rsidRDefault="00063256">
            <w:pPr>
              <w:pStyle w:val="Source"/>
            </w:pPr>
            <w:bookmarkStart w:id="6" w:name="dsource" w:colFirst="0" w:colLast="0"/>
            <w:bookmarkEnd w:id="0"/>
            <w:bookmarkEnd w:id="5"/>
            <w:r w:rsidRPr="00F22CB3">
              <w:t>Países Bajos</w:t>
            </w:r>
          </w:p>
        </w:tc>
      </w:tr>
      <w:tr w:rsidR="00093EEB" w:rsidRPr="00F22CB3" w14:paraId="77F7DA39" w14:textId="77777777">
        <w:trPr>
          <w:cantSplit/>
        </w:trPr>
        <w:tc>
          <w:tcPr>
            <w:tcW w:w="10173" w:type="dxa"/>
            <w:gridSpan w:val="2"/>
          </w:tcPr>
          <w:p w14:paraId="2FAF6D10" w14:textId="652EF5A3" w:rsidR="00093EEB" w:rsidRPr="00F22CB3" w:rsidRDefault="00A275AE">
            <w:pPr>
              <w:pStyle w:val="Title1"/>
            </w:pPr>
            <w:bookmarkStart w:id="7" w:name="dtitle1" w:colFirst="0" w:colLast="0"/>
            <w:bookmarkEnd w:id="6"/>
            <w:r w:rsidRPr="00F22CB3">
              <w:rPr>
                <w:bCs/>
              </w:rPr>
              <w:t xml:space="preserve">EXAMEN DEL </w:t>
            </w:r>
            <w:proofErr w:type="spellStart"/>
            <w:r w:rsidRPr="00F22CB3">
              <w:rPr>
                <w:bCs/>
              </w:rPr>
              <w:t>RTI</w:t>
            </w:r>
            <w:proofErr w:type="spellEnd"/>
            <w:r w:rsidRPr="00F22CB3">
              <w:rPr>
                <w:bCs/>
              </w:rPr>
              <w:t xml:space="preserve"> DISPOSICIÓN POR DISPOSICIÓN</w:t>
            </w:r>
          </w:p>
        </w:tc>
      </w:tr>
      <w:bookmarkEnd w:id="7"/>
    </w:tbl>
    <w:p w14:paraId="7A7BAD9F" w14:textId="77777777" w:rsidR="00726872" w:rsidRPr="00F22CB3" w:rsidRDefault="00726872" w:rsidP="00D92832"/>
    <w:p w14:paraId="07A4D655" w14:textId="02D8AE41" w:rsidR="00C33CD2" w:rsidRPr="00F22CB3" w:rsidRDefault="00063256" w:rsidP="00106902">
      <w:pPr>
        <w:spacing w:before="360" w:after="120"/>
        <w:rPr>
          <w:b/>
          <w:bCs/>
          <w:szCs w:val="24"/>
        </w:rPr>
      </w:pPr>
      <w:r w:rsidRPr="00F22CB3">
        <w:rPr>
          <w:b/>
          <w:bCs/>
          <w:szCs w:val="24"/>
        </w:rPr>
        <w:t>Introducción</w:t>
      </w:r>
    </w:p>
    <w:p w14:paraId="59BF38EB" w14:textId="0D1217EA" w:rsidR="00C33CD2" w:rsidRPr="00F22CB3" w:rsidRDefault="00063256" w:rsidP="00106902">
      <w:pPr>
        <w:spacing w:after="120"/>
        <w:rPr>
          <w:szCs w:val="24"/>
        </w:rPr>
      </w:pPr>
      <w:bookmarkStart w:id="8" w:name="lt_pId015"/>
      <w:r w:rsidRPr="00F22CB3">
        <w:rPr>
          <w:szCs w:val="24"/>
        </w:rPr>
        <w:t xml:space="preserve">Los Países Bajos se complacen en presentar al Grupo de Expertos sobre el </w:t>
      </w:r>
      <w:proofErr w:type="spellStart"/>
      <w:r w:rsidRPr="00F22CB3">
        <w:rPr>
          <w:szCs w:val="24"/>
        </w:rPr>
        <w:t>RTI</w:t>
      </w:r>
      <w:proofErr w:type="spellEnd"/>
      <w:r w:rsidRPr="00F22CB3">
        <w:rPr>
          <w:szCs w:val="24"/>
        </w:rPr>
        <w:t xml:space="preserve"> sus puntos de vista respecto de los Artículos 5 a 8 y del Apéndice 1 del </w:t>
      </w:r>
      <w:proofErr w:type="spellStart"/>
      <w:r w:rsidRPr="00F22CB3">
        <w:rPr>
          <w:szCs w:val="24"/>
        </w:rPr>
        <w:t>RTI</w:t>
      </w:r>
      <w:proofErr w:type="spellEnd"/>
      <w:r w:rsidRPr="00F22CB3">
        <w:rPr>
          <w:szCs w:val="24"/>
        </w:rPr>
        <w:t>, de acuerdo con lo dispuesto en el mandato y el orden del día de la tercera reunión del GE-</w:t>
      </w:r>
      <w:proofErr w:type="spellStart"/>
      <w:r w:rsidRPr="00F22CB3">
        <w:rPr>
          <w:szCs w:val="24"/>
        </w:rPr>
        <w:t>RTI</w:t>
      </w:r>
      <w:proofErr w:type="spellEnd"/>
      <w:r w:rsidRPr="00F22CB3">
        <w:rPr>
          <w:szCs w:val="24"/>
        </w:rPr>
        <w:t>.</w:t>
      </w:r>
      <w:bookmarkEnd w:id="8"/>
    </w:p>
    <w:p w14:paraId="17F77880" w14:textId="323CE90D" w:rsidR="00C33CD2" w:rsidRPr="00F22CB3" w:rsidRDefault="00063256" w:rsidP="00106902">
      <w:pPr>
        <w:spacing w:after="120"/>
        <w:rPr>
          <w:b/>
          <w:bCs/>
          <w:szCs w:val="24"/>
        </w:rPr>
      </w:pPr>
      <w:r w:rsidRPr="00F22CB3">
        <w:rPr>
          <w:b/>
          <w:bCs/>
          <w:szCs w:val="24"/>
        </w:rPr>
        <w:t>Discusión</w:t>
      </w:r>
    </w:p>
    <w:p w14:paraId="0BD673E9" w14:textId="4EC0703D" w:rsidR="00C33CD2" w:rsidRPr="00F22CB3" w:rsidRDefault="00063256" w:rsidP="00063256">
      <w:pPr>
        <w:spacing w:after="120"/>
        <w:rPr>
          <w:szCs w:val="24"/>
        </w:rPr>
      </w:pPr>
      <w:bookmarkStart w:id="9" w:name="lt_pId017"/>
      <w:r w:rsidRPr="00F22CB3">
        <w:rPr>
          <w:szCs w:val="24"/>
        </w:rPr>
        <w:t xml:space="preserve">En nuestra opinión, las disposiciones del </w:t>
      </w:r>
      <w:proofErr w:type="spellStart"/>
      <w:r w:rsidRPr="00F22CB3">
        <w:rPr>
          <w:szCs w:val="24"/>
        </w:rPr>
        <w:t>RTI</w:t>
      </w:r>
      <w:proofErr w:type="spellEnd"/>
      <w:r w:rsidRPr="00F22CB3">
        <w:rPr>
          <w:szCs w:val="24"/>
        </w:rPr>
        <w:t xml:space="preserve"> de 2012 no dan soporte a </w:t>
      </w:r>
      <w:r w:rsidR="00297836" w:rsidRPr="00F22CB3">
        <w:t>un mercado competitivo en el que los operadores planifican y prevén su</w:t>
      </w:r>
      <w:r w:rsidRPr="00F22CB3">
        <w:t>s</w:t>
      </w:r>
      <w:r w:rsidR="00297836" w:rsidRPr="00F22CB3">
        <w:t xml:space="preserve"> propio</w:t>
      </w:r>
      <w:r w:rsidRPr="00F22CB3">
        <w:t>s</w:t>
      </w:r>
      <w:r w:rsidR="00297836" w:rsidRPr="00F22CB3">
        <w:t xml:space="preserve"> </w:t>
      </w:r>
      <w:r w:rsidRPr="00F22CB3">
        <w:t xml:space="preserve">servicios y </w:t>
      </w:r>
      <w:r w:rsidR="00297836" w:rsidRPr="00F22CB3">
        <w:t>tráfico</w:t>
      </w:r>
      <w:r w:rsidRPr="00F22CB3">
        <w:t xml:space="preserve"> nacional e internacional. En este sentido, </w:t>
      </w:r>
      <w:bookmarkEnd w:id="9"/>
      <w:r w:rsidRPr="00F22CB3">
        <w:t xml:space="preserve">el </w:t>
      </w:r>
      <w:proofErr w:type="spellStart"/>
      <w:r w:rsidRPr="00F22CB3">
        <w:t>RTI</w:t>
      </w:r>
      <w:proofErr w:type="spellEnd"/>
      <w:r w:rsidRPr="00F22CB3">
        <w:t xml:space="preserve"> es incompatible con un mercado y un entorno reglamentario competitivos, a medida que estos evolucionas y se producen los avances tecnológicos. </w:t>
      </w:r>
      <w:r w:rsidRPr="00F22CB3">
        <w:rPr>
          <w:szCs w:val="24"/>
        </w:rPr>
        <w:t>L</w:t>
      </w:r>
      <w:r w:rsidR="00F22CB3" w:rsidRPr="00F22CB3">
        <w:rPr>
          <w:szCs w:val="24"/>
        </w:rPr>
        <w:t>a</w:t>
      </w:r>
      <w:r w:rsidRPr="00F22CB3">
        <w:rPr>
          <w:szCs w:val="24"/>
        </w:rPr>
        <w:t xml:space="preserve"> revisión del </w:t>
      </w:r>
      <w:proofErr w:type="spellStart"/>
      <w:r w:rsidRPr="00F22CB3">
        <w:rPr>
          <w:szCs w:val="24"/>
        </w:rPr>
        <w:t>RTI</w:t>
      </w:r>
      <w:proofErr w:type="spellEnd"/>
      <w:r w:rsidRPr="00F22CB3">
        <w:rPr>
          <w:szCs w:val="24"/>
        </w:rPr>
        <w:t xml:space="preserve"> de</w:t>
      </w:r>
      <w:r w:rsidR="00F22CB3" w:rsidRPr="00F22CB3">
        <w:rPr>
          <w:szCs w:val="24"/>
        </w:rPr>
        <w:t> </w:t>
      </w:r>
      <w:r w:rsidRPr="00F22CB3">
        <w:rPr>
          <w:szCs w:val="24"/>
        </w:rPr>
        <w:t>2012 para responder a estos acontecimientos no llevará a apoyar esta evolución, sino a limitarla.</w:t>
      </w:r>
    </w:p>
    <w:p w14:paraId="3D2967F8" w14:textId="479EB09F" w:rsidR="00C33CD2" w:rsidRPr="00F22CB3" w:rsidRDefault="00063256" w:rsidP="00106902">
      <w:pPr>
        <w:spacing w:after="120"/>
      </w:pPr>
      <w:r w:rsidRPr="00F22CB3">
        <w:rPr>
          <w:spacing w:val="-2"/>
          <w:szCs w:val="24"/>
        </w:rPr>
        <w:t>E</w:t>
      </w:r>
      <w:r w:rsidR="001031C0" w:rsidRPr="00F22CB3">
        <w:rPr>
          <w:spacing w:val="-2"/>
          <w:szCs w:val="24"/>
        </w:rPr>
        <w:t>l sector de las telecomunicaciones/TIC ha experimentado cambios radicales.</w:t>
      </w:r>
      <w:r w:rsidR="00C33CD2" w:rsidRPr="00F22CB3">
        <w:rPr>
          <w:szCs w:val="24"/>
        </w:rPr>
        <w:t xml:space="preserve"> </w:t>
      </w:r>
      <w:bookmarkStart w:id="10" w:name="lt_pId021"/>
      <w:r w:rsidRPr="00F22CB3">
        <w:t>Aunque en el pasado se adoptaron muchas</w:t>
      </w:r>
      <w:r w:rsidR="009C4F8E" w:rsidRPr="00F22CB3">
        <w:t xml:space="preserve"> disposiciones</w:t>
      </w:r>
      <w:r w:rsidRPr="00F22CB3">
        <w:t xml:space="preserve"> con buena intención y cumplieron su finalidad en el anterior enfoque monopolístico de las telecomunicaciones, las disposiciones, como parte de un instrumento con valor de tratado, no son adecuadas para adaptarse </w:t>
      </w:r>
      <w:r w:rsidR="009C4F8E" w:rsidRPr="00F22CB3">
        <w:t xml:space="preserve">al dinámico entorno de mercado y, si se aplican de forma estricta, pueden </w:t>
      </w:r>
      <w:r w:rsidR="00AE7C59" w:rsidRPr="00F22CB3">
        <w:t>desalentar</w:t>
      </w:r>
      <w:r w:rsidR="009C4F8E" w:rsidRPr="00F22CB3">
        <w:t xml:space="preserve"> la introducción de nuevos servicios esenciales para mejorar la asequibilidad y ampliar las opciones de los consumidores.</w:t>
      </w:r>
      <w:bookmarkEnd w:id="10"/>
    </w:p>
    <w:p w14:paraId="78866304" w14:textId="746D948F" w:rsidR="00C33CD2" w:rsidRPr="00F22CB3" w:rsidRDefault="009C4F8E" w:rsidP="001031C0">
      <w:bookmarkStart w:id="11" w:name="lt_pId022"/>
      <w:r w:rsidRPr="00F22CB3">
        <w:t xml:space="preserve">Creemos que los beneficios que las telecomunicaciones/TIC brindan a países de todo el mundo no se </w:t>
      </w:r>
      <w:r w:rsidR="00AE7C59" w:rsidRPr="00F22CB3">
        <w:t>ha</w:t>
      </w:r>
      <w:r w:rsidR="00F22CB3">
        <w:t>n</w:t>
      </w:r>
      <w:r w:rsidR="00AE7C59" w:rsidRPr="00F22CB3">
        <w:t xml:space="preserve"> basado únicamente en el</w:t>
      </w:r>
      <w:r w:rsidRPr="00F22CB3">
        <w:t xml:space="preserve"> </w:t>
      </w:r>
      <w:proofErr w:type="spellStart"/>
      <w:r w:rsidRPr="00F22CB3">
        <w:t>RTI</w:t>
      </w:r>
      <w:proofErr w:type="spellEnd"/>
      <w:r w:rsidRPr="00F22CB3">
        <w:t xml:space="preserve"> de 2012, </w:t>
      </w:r>
      <w:r w:rsidR="00AE7C59" w:rsidRPr="00F22CB3">
        <w:t>sino que durante los últimos años se han basado cada vez más en el carácter abierto y dinámico del mercado de telecomunicaciones.</w:t>
      </w:r>
      <w:bookmarkEnd w:id="11"/>
    </w:p>
    <w:p w14:paraId="5DC37E01" w14:textId="77777777" w:rsidR="001031C0" w:rsidRPr="00F22CB3" w:rsidRDefault="001031C0" w:rsidP="001031C0">
      <w:pPr>
        <w:spacing w:after="120"/>
        <w:rPr>
          <w:b/>
          <w:szCs w:val="24"/>
        </w:rPr>
      </w:pPr>
      <w:r w:rsidRPr="00F22CB3">
        <w:rPr>
          <w:b/>
          <w:szCs w:val="24"/>
        </w:rPr>
        <w:t>Resumen</w:t>
      </w:r>
    </w:p>
    <w:p w14:paraId="28DD54FD" w14:textId="094DE41F" w:rsidR="00C33CD2" w:rsidRPr="00F22CB3" w:rsidRDefault="001031C0" w:rsidP="001031C0">
      <w:pPr>
        <w:spacing w:after="120"/>
        <w:rPr>
          <w:bCs/>
        </w:rPr>
      </w:pPr>
      <w:r w:rsidRPr="00F22CB3">
        <w:rPr>
          <w:bCs/>
          <w:szCs w:val="24"/>
        </w:rPr>
        <w:t xml:space="preserve">Dada la naturaleza dinámica y competitiva del mercado de las telecomunicaciones y que el sector de las telecomunicaciones/TIC está cada vez más integrado en la economía digital más general, no está claro cómo un tratado inflexible como el </w:t>
      </w:r>
      <w:proofErr w:type="spellStart"/>
      <w:r w:rsidRPr="00F22CB3">
        <w:rPr>
          <w:bCs/>
          <w:szCs w:val="24"/>
        </w:rPr>
        <w:t>RTI</w:t>
      </w:r>
      <w:proofErr w:type="spellEnd"/>
      <w:r w:rsidRPr="00F22CB3">
        <w:rPr>
          <w:bCs/>
          <w:szCs w:val="24"/>
        </w:rPr>
        <w:t xml:space="preserve"> puede influir positivamente en el futuro crecimiento y la prosperidad del mercado de las telecomunicaciones internacionales.</w:t>
      </w:r>
    </w:p>
    <w:p w14:paraId="4E122DE6" w14:textId="36DA07A4" w:rsidR="00C33CD2" w:rsidRPr="00F22CB3" w:rsidRDefault="001031C0" w:rsidP="00106902">
      <w:pPr>
        <w:spacing w:after="120"/>
        <w:rPr>
          <w:szCs w:val="24"/>
        </w:rPr>
      </w:pPr>
      <w:bookmarkStart w:id="12" w:name="lt_pId025"/>
      <w:r w:rsidRPr="00F22CB3">
        <w:rPr>
          <w:szCs w:val="24"/>
        </w:rPr>
        <w:t xml:space="preserve">No estamos convencidos de que la adopción de nuevas disposiciones con carácter de tratado pueda ayudar a ningún país a crear un entorno propicio para atraer inversiones </w:t>
      </w:r>
      <w:r w:rsidR="00AE7C59" w:rsidRPr="00F22CB3">
        <w:rPr>
          <w:szCs w:val="24"/>
        </w:rPr>
        <w:t>ni a colmar una brecha digital allí donde aún persista.</w:t>
      </w:r>
      <w:bookmarkEnd w:id="12"/>
      <w:r w:rsidR="00C33CD2" w:rsidRPr="00F22CB3">
        <w:rPr>
          <w:szCs w:val="24"/>
        </w:rPr>
        <w:br w:type="page"/>
      </w:r>
    </w:p>
    <w:p w14:paraId="2A77AF0A" w14:textId="77777777" w:rsidR="00C33CD2" w:rsidRPr="00F22CB3" w:rsidRDefault="00C33CD2">
      <w:pPr>
        <w:rPr>
          <w:szCs w:val="24"/>
        </w:rPr>
        <w:sectPr w:rsidR="00C33CD2" w:rsidRPr="00F22CB3">
          <w:headerReference w:type="default" r:id="rId7"/>
          <w:footerReference w:type="default" r:id="rId8"/>
          <w:footerReference w:type="first" r:id="rId9"/>
          <w:pgSz w:w="11907" w:h="16834"/>
          <w:pgMar w:top="1418" w:right="1134" w:bottom="1418" w:left="1134" w:header="720" w:footer="720" w:gutter="0"/>
          <w:paperSrc w:first="15" w:other="15"/>
          <w:cols w:space="720"/>
          <w:titlePg/>
        </w:sectPr>
      </w:pPr>
    </w:p>
    <w:p w14:paraId="4C82EE58" w14:textId="02971E62" w:rsidR="00C33CD2" w:rsidRPr="00F22CB3" w:rsidRDefault="00C33CD2" w:rsidP="00331F81"/>
    <w:tbl>
      <w:tblPr>
        <w:tblW w:w="15653" w:type="dxa"/>
        <w:jc w:val="center"/>
        <w:tblBorders>
          <w:top w:val="nil"/>
          <w:left w:val="nil"/>
          <w:bottom w:val="nil"/>
          <w:right w:val="nil"/>
          <w:insideH w:val="nil"/>
          <w:insideV w:val="nil"/>
        </w:tblBorders>
        <w:tblLayout w:type="fixed"/>
        <w:tblLook w:val="0600" w:firstRow="0" w:lastRow="0" w:firstColumn="0" w:lastColumn="0" w:noHBand="1" w:noVBand="1"/>
      </w:tblPr>
      <w:tblGrid>
        <w:gridCol w:w="891"/>
        <w:gridCol w:w="3276"/>
        <w:gridCol w:w="3171"/>
        <w:gridCol w:w="3272"/>
        <w:gridCol w:w="3272"/>
        <w:gridCol w:w="1771"/>
      </w:tblGrid>
      <w:tr w:rsidR="001031C0" w:rsidRPr="00F22CB3" w14:paraId="79AECD68" w14:textId="77777777" w:rsidTr="001A436B">
        <w:trPr>
          <w:cantSplit/>
          <w:trHeight w:val="1134"/>
          <w:tblHeader/>
          <w:jc w:val="center"/>
        </w:trPr>
        <w:tc>
          <w:tcPr>
            <w:tcW w:w="891"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55FE8C65" w14:textId="3054DAD6" w:rsidR="001031C0" w:rsidRPr="00F22CB3" w:rsidRDefault="001031C0" w:rsidP="001031C0">
            <w:pPr>
              <w:pStyle w:val="Tablehead"/>
              <w:rPr>
                <w:rFonts w:cstheme="minorHAnsi"/>
                <w:sz w:val="20"/>
              </w:rPr>
            </w:pPr>
            <w:r w:rsidRPr="00F22CB3">
              <w:t>Artículo de 2012</w:t>
            </w:r>
          </w:p>
        </w:tc>
        <w:tc>
          <w:tcPr>
            <w:tcW w:w="3276"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215CE426" w14:textId="62CDCFF6" w:rsidR="001031C0" w:rsidRPr="00F22CB3" w:rsidRDefault="001031C0" w:rsidP="001031C0">
            <w:pPr>
              <w:pStyle w:val="Tablehead"/>
              <w:rPr>
                <w:rFonts w:cstheme="minorHAnsi"/>
                <w:sz w:val="20"/>
              </w:rPr>
            </w:pPr>
            <w:r w:rsidRPr="00F22CB3">
              <w:t>Párrafo y disposición</w:t>
            </w:r>
          </w:p>
        </w:tc>
        <w:tc>
          <w:tcPr>
            <w:tcW w:w="3171"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03A93709" w14:textId="593665AF" w:rsidR="001031C0" w:rsidRPr="00F22CB3" w:rsidRDefault="001031C0" w:rsidP="001031C0">
            <w:pPr>
              <w:pStyle w:val="Tablehead"/>
              <w:rPr>
                <w:rFonts w:cstheme="minorHAnsi"/>
                <w:sz w:val="20"/>
              </w:rPr>
            </w:pPr>
            <w:r w:rsidRPr="00F22CB3">
              <w:t xml:space="preserve">Párrafo y disposición </w:t>
            </w:r>
            <w:r w:rsidRPr="00F22CB3">
              <w:br/>
              <w:t>conexos de 1988</w:t>
            </w:r>
          </w:p>
        </w:tc>
        <w:tc>
          <w:tcPr>
            <w:tcW w:w="3272"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0DB114B6" w14:textId="570A69C9" w:rsidR="001031C0" w:rsidRPr="00F22CB3" w:rsidRDefault="001031C0" w:rsidP="001031C0">
            <w:pPr>
              <w:pStyle w:val="Tablehead"/>
              <w:rPr>
                <w:rFonts w:cstheme="minorHAnsi"/>
                <w:sz w:val="20"/>
              </w:rPr>
            </w:pPr>
            <w:r w:rsidRPr="00F22CB3">
              <w:t xml:space="preserve">Aplicabilidad para fomentar </w:t>
            </w:r>
            <w:r w:rsidRPr="00F22CB3">
              <w:br/>
              <w:t>la prestación y el desarrollo de redes y servicios</w:t>
            </w:r>
          </w:p>
        </w:tc>
        <w:tc>
          <w:tcPr>
            <w:tcW w:w="3272"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5D7445AF" w14:textId="3C928152" w:rsidR="001031C0" w:rsidRPr="00F22CB3" w:rsidRDefault="001031C0" w:rsidP="001031C0">
            <w:pPr>
              <w:pStyle w:val="Tablehead"/>
              <w:rPr>
                <w:rFonts w:cstheme="minorHAnsi"/>
                <w:sz w:val="20"/>
              </w:rPr>
            </w:pPr>
            <w:r w:rsidRPr="00F22CB3">
              <w:t>Flexibilidad para adaptarse a las nuevas tendencias y a los problemas emergentes</w:t>
            </w:r>
          </w:p>
        </w:tc>
        <w:tc>
          <w:tcPr>
            <w:tcW w:w="1771"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vAlign w:val="center"/>
          </w:tcPr>
          <w:p w14:paraId="50A233EC" w14:textId="26160E27" w:rsidR="001031C0" w:rsidRPr="00F22CB3" w:rsidRDefault="001031C0" w:rsidP="001031C0">
            <w:pPr>
              <w:pStyle w:val="Tablehead"/>
              <w:rPr>
                <w:rFonts w:cstheme="minorHAnsi"/>
                <w:sz w:val="20"/>
              </w:rPr>
            </w:pPr>
            <w:r w:rsidRPr="00F22CB3">
              <w:t>Resultado resumido</w:t>
            </w:r>
          </w:p>
        </w:tc>
      </w:tr>
      <w:tr w:rsidR="00C33CD2" w:rsidRPr="00F22CB3" w14:paraId="24B4EB3E" w14:textId="77777777" w:rsidTr="00331F81">
        <w:trPr>
          <w:cantSplit/>
          <w:trHeight w:val="540"/>
          <w:jc w:val="center"/>
        </w:trPr>
        <w:tc>
          <w:tcPr>
            <w:tcW w:w="891"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420B0578" w14:textId="77777777" w:rsidR="00C33CD2" w:rsidRPr="00F22CB3" w:rsidRDefault="00C33CD2">
            <w:pPr>
              <w:jc w:val="center"/>
              <w:rPr>
                <w:rFonts w:cstheme="minorHAnsi"/>
                <w:b/>
                <w:sz w:val="20"/>
              </w:rPr>
            </w:pPr>
          </w:p>
        </w:tc>
        <w:tc>
          <w:tcPr>
            <w:tcW w:w="3276"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BDD9BA5" w14:textId="50A56702" w:rsidR="00C33CD2" w:rsidRPr="00F22CB3" w:rsidRDefault="004F39AC">
            <w:pPr>
              <w:rPr>
                <w:rFonts w:cstheme="minorHAnsi"/>
                <w:b/>
                <w:sz w:val="20"/>
              </w:rPr>
            </w:pPr>
            <w:bookmarkStart w:id="13" w:name="lt_pId033"/>
            <w:r w:rsidRPr="00F22CB3">
              <w:rPr>
                <w:rFonts w:cstheme="minorHAnsi"/>
                <w:b/>
                <w:sz w:val="20"/>
              </w:rPr>
              <w:t>Artículo 5</w:t>
            </w:r>
            <w:r w:rsidR="00AE7C59" w:rsidRPr="00F22CB3">
              <w:rPr>
                <w:rFonts w:cstheme="minorHAnsi"/>
                <w:b/>
                <w:sz w:val="20"/>
              </w:rPr>
              <w:t>: S</w:t>
            </w:r>
            <w:r w:rsidRPr="00F22CB3">
              <w:rPr>
                <w:rFonts w:cstheme="minorHAnsi"/>
                <w:b/>
                <w:sz w:val="20"/>
              </w:rPr>
              <w:t>eguridad de la vida humana y prioridad de las telecomunicaciones</w:t>
            </w:r>
            <w:bookmarkEnd w:id="13"/>
          </w:p>
        </w:tc>
        <w:tc>
          <w:tcPr>
            <w:tcW w:w="3171"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FA8D49F" w14:textId="77777777" w:rsidR="00C33CD2" w:rsidRPr="00F22CB3" w:rsidRDefault="00C33CD2">
            <w:pPr>
              <w:jc w:val="center"/>
              <w:rPr>
                <w:rFonts w:cstheme="minorHAnsi"/>
                <w:b/>
                <w:sz w:val="20"/>
              </w:rPr>
            </w:pP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AF19CC5" w14:textId="77777777" w:rsidR="00C33CD2" w:rsidRPr="00F22CB3" w:rsidRDefault="00C33CD2">
            <w:pPr>
              <w:spacing w:before="60" w:after="60"/>
              <w:jc w:val="center"/>
              <w:rPr>
                <w:rFonts w:cstheme="minorHAnsi"/>
                <w:b/>
                <w:sz w:val="20"/>
              </w:rPr>
            </w:pP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2181692" w14:textId="77777777" w:rsidR="00C33CD2" w:rsidRPr="00F22CB3" w:rsidRDefault="00C33CD2">
            <w:pPr>
              <w:jc w:val="center"/>
              <w:rPr>
                <w:rFonts w:cstheme="minorHAnsi"/>
                <w:b/>
                <w:sz w:val="20"/>
              </w:rPr>
            </w:pPr>
          </w:p>
        </w:tc>
        <w:tc>
          <w:tcPr>
            <w:tcW w:w="1771"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126B32F" w14:textId="77777777" w:rsidR="00C33CD2" w:rsidRPr="00F22CB3" w:rsidRDefault="00C33CD2">
            <w:pPr>
              <w:jc w:val="center"/>
              <w:rPr>
                <w:rFonts w:cstheme="minorHAnsi"/>
                <w:b/>
                <w:sz w:val="20"/>
              </w:rPr>
            </w:pPr>
          </w:p>
        </w:tc>
      </w:tr>
      <w:tr w:rsidR="00C33CD2" w:rsidRPr="00F22CB3" w14:paraId="309A35A6"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BB162D8" w14:textId="77777777" w:rsidR="00C33CD2" w:rsidRPr="00F22CB3" w:rsidRDefault="00C33CD2">
            <w:pPr>
              <w:jc w:val="center"/>
              <w:rPr>
                <w:rFonts w:cstheme="minorHAnsi"/>
                <w:sz w:val="20"/>
              </w:rPr>
            </w:pPr>
            <w:r w:rsidRPr="00F22CB3">
              <w:rPr>
                <w:rFonts w:cstheme="minorHAnsi"/>
                <w:sz w:val="20"/>
              </w:rPr>
              <w:t>5.1</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6F29D095" w14:textId="4F83707F" w:rsidR="00C33CD2" w:rsidRPr="00F22CB3" w:rsidRDefault="00AE7C59">
            <w:pPr>
              <w:rPr>
                <w:rFonts w:cstheme="minorHAnsi"/>
                <w:sz w:val="20"/>
              </w:rPr>
            </w:pPr>
            <w:bookmarkStart w:id="14" w:name="lt_pId036"/>
            <w:r w:rsidRPr="00F22CB3">
              <w:rPr>
                <w:rFonts w:cstheme="minorHAnsi"/>
                <w:sz w:val="20"/>
              </w:rPr>
              <w:t>L</w:t>
            </w:r>
            <w:r w:rsidR="00A96D15" w:rsidRPr="00F22CB3">
              <w:rPr>
                <w:rFonts w:cstheme="minorHAnsi"/>
                <w:sz w:val="20"/>
              </w:rPr>
              <w:t>as telecomunicaciones para la seguridad de la vida</w:t>
            </w:r>
            <w:r w:rsidRPr="00F22CB3">
              <w:rPr>
                <w:rFonts w:cstheme="minorHAnsi"/>
                <w:sz w:val="20"/>
              </w:rPr>
              <w:t xml:space="preserve"> </w:t>
            </w:r>
            <w:r w:rsidR="00A96D15" w:rsidRPr="00F22CB3">
              <w:rPr>
                <w:rFonts w:cstheme="minorHAnsi"/>
                <w:sz w:val="20"/>
              </w:rPr>
              <w:t xml:space="preserve">tendrán pleno derecho a la transmisión y, donde sea técnicamente posible, tendrán prioridad </w:t>
            </w:r>
            <w:r w:rsidRPr="00F22CB3">
              <w:rPr>
                <w:rFonts w:cstheme="minorHAnsi"/>
                <w:sz w:val="20"/>
              </w:rPr>
              <w:t xml:space="preserve">absoluta </w:t>
            </w:r>
            <w:r w:rsidR="00A96D15" w:rsidRPr="00F22CB3">
              <w:rPr>
                <w:rFonts w:cstheme="minorHAnsi"/>
                <w:sz w:val="20"/>
              </w:rPr>
              <w:t xml:space="preserve">respecto </w:t>
            </w:r>
            <w:r w:rsidRPr="00F22CB3">
              <w:rPr>
                <w:rFonts w:cstheme="minorHAnsi"/>
                <w:sz w:val="20"/>
              </w:rPr>
              <w:t>de</w:t>
            </w:r>
            <w:r w:rsidR="00A96D15" w:rsidRPr="00F22CB3">
              <w:rPr>
                <w:rFonts w:cstheme="minorHAnsi"/>
                <w:sz w:val="20"/>
              </w:rPr>
              <w:t xml:space="preserve"> las </w:t>
            </w:r>
            <w:r w:rsidRPr="00F22CB3">
              <w:rPr>
                <w:rFonts w:cstheme="minorHAnsi"/>
                <w:sz w:val="20"/>
              </w:rPr>
              <w:t>demás</w:t>
            </w:r>
            <w:r w:rsidR="00A96D15" w:rsidRPr="00F22CB3">
              <w:rPr>
                <w:rFonts w:cstheme="minorHAnsi"/>
                <w:sz w:val="20"/>
              </w:rPr>
              <w:t xml:space="preserve"> telecomunicaciones</w:t>
            </w:r>
            <w:r w:rsidRPr="00F22CB3">
              <w:rPr>
                <w:rFonts w:cstheme="minorHAnsi"/>
                <w:sz w:val="20"/>
              </w:rPr>
              <w:t>,</w:t>
            </w:r>
            <w:r w:rsidR="00A96D15" w:rsidRPr="00F22CB3">
              <w:rPr>
                <w:rFonts w:cstheme="minorHAnsi"/>
                <w:sz w:val="20"/>
              </w:rPr>
              <w:t xml:space="preserve"> de acuerdo con los artículos pertinentes de la Constitución y el Convenio de la</w:t>
            </w:r>
            <w:r w:rsidR="00F22CB3">
              <w:rPr>
                <w:rFonts w:cstheme="minorHAnsi"/>
                <w:sz w:val="20"/>
              </w:rPr>
              <w:t> </w:t>
            </w:r>
            <w:r w:rsidR="00A96D15" w:rsidRPr="00F22CB3">
              <w:rPr>
                <w:rFonts w:cstheme="minorHAnsi"/>
                <w:sz w:val="20"/>
              </w:rPr>
              <w:t>UIT, y tomando debida nota de las Recomendaciones UIT-T pertinentes</w:t>
            </w:r>
            <w:bookmarkEnd w:id="14"/>
            <w:r w:rsidR="00541D2B" w:rsidRPr="00F22CB3">
              <w:rPr>
                <w:rFonts w:cstheme="minorHAnsi"/>
                <w:sz w:val="20"/>
              </w:rPr>
              <w:t>.</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3233D559"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EE4D19D" w14:textId="77777777" w:rsidR="002D3341" w:rsidRPr="00F22CB3" w:rsidRDefault="002D3341" w:rsidP="002D3341">
            <w:pPr>
              <w:rPr>
                <w:rFonts w:cstheme="minorHAnsi"/>
                <w:sz w:val="20"/>
              </w:rPr>
            </w:pPr>
            <w:r w:rsidRPr="00F22CB3">
              <w:rPr>
                <w:rFonts w:cstheme="minorHAnsi"/>
                <w:sz w:val="20"/>
              </w:rPr>
              <w:t>Esta disposición es aplicable a cualquier red o servicio.</w:t>
            </w:r>
          </w:p>
          <w:p w14:paraId="6D90BA59" w14:textId="6B4A4781" w:rsidR="00C33CD2" w:rsidRPr="00F22CB3" w:rsidRDefault="002D3341" w:rsidP="002D3341">
            <w:pPr>
              <w:rPr>
                <w:rFonts w:cstheme="minorHAnsi"/>
                <w:sz w:val="20"/>
              </w:rPr>
            </w:pPr>
            <w:r w:rsidRPr="00F22CB3">
              <w:rPr>
                <w:rFonts w:cstheme="minorHAnsi"/>
                <w:sz w:val="20"/>
              </w:rPr>
              <w:t>Ya se aborda en el artículo 40 de la Constitución.</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449DA99" w14:textId="56A010E9" w:rsidR="00C33CD2" w:rsidRPr="00F22CB3" w:rsidRDefault="002D3341" w:rsidP="00471878">
            <w:pPr>
              <w:rPr>
                <w:rFonts w:cstheme="minorHAnsi"/>
                <w:sz w:val="20"/>
              </w:rPr>
            </w:pPr>
            <w:r w:rsidRPr="00F22CB3">
              <w:rPr>
                <w:rFonts w:cstheme="minorHAnsi"/>
                <w:sz w:val="20"/>
              </w:rPr>
              <w:t>Esta disposición es parcialmente flexible, ya que no da soporte a los canales de comunicación que surjan en el futuro.</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0053F993" w14:textId="77777777" w:rsidR="00C33CD2" w:rsidRPr="00F22CB3" w:rsidRDefault="00C33CD2">
            <w:pPr>
              <w:rPr>
                <w:rFonts w:cstheme="minorHAnsi"/>
                <w:sz w:val="20"/>
              </w:rPr>
            </w:pPr>
          </w:p>
        </w:tc>
      </w:tr>
      <w:tr w:rsidR="00C33CD2" w:rsidRPr="00F22CB3" w14:paraId="4545BAFB"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708F275" w14:textId="77777777" w:rsidR="00C33CD2" w:rsidRPr="00F22CB3" w:rsidRDefault="00C33CD2">
            <w:pPr>
              <w:jc w:val="center"/>
              <w:rPr>
                <w:rFonts w:cstheme="minorHAnsi"/>
                <w:sz w:val="20"/>
              </w:rPr>
            </w:pPr>
            <w:r w:rsidRPr="00F22CB3">
              <w:rPr>
                <w:rFonts w:cstheme="minorHAnsi"/>
                <w:sz w:val="20"/>
              </w:rPr>
              <w:t>5.2</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1D4A2981" w14:textId="073E5880" w:rsidR="00C33CD2" w:rsidRPr="00F22CB3" w:rsidRDefault="00A96D15">
            <w:pPr>
              <w:rPr>
                <w:rFonts w:cstheme="minorHAnsi"/>
                <w:sz w:val="20"/>
              </w:rPr>
            </w:pPr>
            <w:bookmarkStart w:id="15" w:name="lt_pId041"/>
            <w:r w:rsidRPr="00F22CB3">
              <w:rPr>
                <w:rFonts w:cstheme="minorHAnsi"/>
                <w:sz w:val="20"/>
              </w:rPr>
              <w:t xml:space="preserve">Las telecomunicaciones de Estado, incluidas las relativas a la aplicación de ciertas disposiciones de la Carta de las Naciones Unidas, gozarán, en la medida en que sea técnicamente viable, de un derecho prioritario sobre las telecomunicaciones distintas de las mencionadas en el número 45 (5.1) </w:t>
            </w:r>
            <w:r w:rsidRPr="00F22CB3">
              <w:rPr>
                <w:rFonts w:cstheme="minorHAnsi"/>
                <w:i/>
                <w:iCs/>
                <w:sz w:val="20"/>
              </w:rPr>
              <w:t>supra</w:t>
            </w:r>
            <w:r w:rsidRPr="00F22CB3">
              <w:rPr>
                <w:rFonts w:cstheme="minorHAnsi"/>
                <w:sz w:val="20"/>
              </w:rPr>
              <w:t>, conforme a las disposiciones pertinentes de la Constitución y el Convenio y teniendo debidamente en cuenta las Recomendaciones UIT-T pertinentes.</w:t>
            </w:r>
            <w:bookmarkEnd w:id="15"/>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4126F9C7"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F491ED0" w14:textId="47BE4150" w:rsidR="00C33CD2" w:rsidRPr="00F22CB3" w:rsidRDefault="002D3341">
            <w:pPr>
              <w:rPr>
                <w:rFonts w:cstheme="minorHAnsi"/>
                <w:sz w:val="20"/>
              </w:rPr>
            </w:pPr>
            <w:bookmarkStart w:id="16" w:name="lt_pId042"/>
            <w:r w:rsidRPr="00F22CB3">
              <w:rPr>
                <w:rFonts w:cstheme="minorHAnsi"/>
                <w:sz w:val="20"/>
              </w:rPr>
              <w:t>Esta disposición es superflua, ya que las telecomunicaciones de Estado están cada vez más sujetas a la gestión del tráfico en la tecnología moderna de redes de telecomunicaciones.</w:t>
            </w:r>
            <w:bookmarkEnd w:id="16"/>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32FCB09" w14:textId="32E8070F" w:rsidR="00C33CD2" w:rsidRPr="00F22CB3" w:rsidRDefault="002D3341">
            <w:pPr>
              <w:rPr>
                <w:rFonts w:cs="Calibri"/>
              </w:rPr>
            </w:pPr>
            <w:bookmarkStart w:id="17" w:name="lt_pId043"/>
            <w:r w:rsidRPr="00F22CB3">
              <w:rPr>
                <w:rFonts w:cstheme="minorHAnsi"/>
                <w:sz w:val="20"/>
              </w:rPr>
              <w:t>Esta disposición es superflua, ya que las telecomunicaciones de Estado están cada vez más sujetas a la gestión del tráfico en la tecnología moderna de redes de telecomunicaciones</w:t>
            </w:r>
            <w:r w:rsidR="00C33CD2" w:rsidRPr="00F22CB3">
              <w:rPr>
                <w:rFonts w:cstheme="minorHAnsi"/>
                <w:sz w:val="20"/>
              </w:rPr>
              <w:t>.</w:t>
            </w:r>
            <w:bookmarkEnd w:id="17"/>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5B8CD7F5" w14:textId="77777777" w:rsidR="00C33CD2" w:rsidRPr="00F22CB3" w:rsidRDefault="00C33CD2">
            <w:pPr>
              <w:rPr>
                <w:rFonts w:cstheme="minorHAnsi"/>
                <w:sz w:val="20"/>
              </w:rPr>
            </w:pPr>
          </w:p>
        </w:tc>
      </w:tr>
      <w:tr w:rsidR="00C33CD2" w:rsidRPr="00F22CB3" w14:paraId="60EFD002" w14:textId="77777777" w:rsidTr="00331F81">
        <w:trPr>
          <w:cantSplit/>
          <w:trHeight w:val="130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F230C06" w14:textId="77777777" w:rsidR="00C33CD2" w:rsidRPr="00F22CB3" w:rsidRDefault="00C33CD2">
            <w:pPr>
              <w:jc w:val="center"/>
              <w:rPr>
                <w:rFonts w:cstheme="minorHAnsi"/>
                <w:sz w:val="20"/>
              </w:rPr>
            </w:pPr>
            <w:r w:rsidRPr="00F22CB3">
              <w:rPr>
                <w:rFonts w:cstheme="minorHAnsi"/>
                <w:sz w:val="20"/>
              </w:rPr>
              <w:lastRenderedPageBreak/>
              <w:t>5.3</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1E90F7AE" w14:textId="5EB2743A" w:rsidR="00C33CD2" w:rsidRPr="00F22CB3" w:rsidRDefault="00A96D15">
            <w:pPr>
              <w:rPr>
                <w:rFonts w:cstheme="minorHAnsi"/>
                <w:sz w:val="20"/>
              </w:rPr>
            </w:pPr>
            <w:r w:rsidRPr="00F22CB3">
              <w:rPr>
                <w:rFonts w:cstheme="minorHAnsi"/>
                <w:sz w:val="20"/>
              </w:rPr>
              <w:t>Las disposiciones que definen el orden de prioridad de cualquier otro servicio de telecomunicaciones se encuentran en las Recomendaciones UIT-T pertinentes.</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3A7A9C36"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CC7A0D5" w14:textId="616CC349" w:rsidR="00C33CD2" w:rsidRPr="00F22CB3" w:rsidRDefault="002D3341">
            <w:pPr>
              <w:rPr>
                <w:rFonts w:cstheme="minorHAnsi"/>
                <w:sz w:val="20"/>
              </w:rPr>
            </w:pPr>
            <w:bookmarkStart w:id="18" w:name="lt_pId046"/>
            <w:r w:rsidRPr="00F22CB3">
              <w:rPr>
                <w:rFonts w:cstheme="minorHAnsi"/>
                <w:sz w:val="20"/>
              </w:rPr>
              <w:t>Esta disposición es superflua ya que las Recomendaciones UIT-T se aplican por defecto.</w:t>
            </w:r>
            <w:bookmarkEnd w:id="18"/>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171BD5B" w14:textId="09DC24A7" w:rsidR="00C33CD2" w:rsidRPr="00F22CB3" w:rsidRDefault="002D3341">
            <w:pPr>
              <w:rPr>
                <w:rFonts w:cstheme="minorHAnsi"/>
                <w:sz w:val="20"/>
              </w:rPr>
            </w:pPr>
            <w:r w:rsidRPr="00F22CB3">
              <w:rPr>
                <w:rFonts w:cstheme="minorHAnsi"/>
                <w:sz w:val="20"/>
              </w:rPr>
              <w:t>Esta disposición es superflua ya que las Recomendaciones UIT-T se aplican por defecto.</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637A2BD1" w14:textId="77777777" w:rsidR="00C33CD2" w:rsidRPr="00F22CB3" w:rsidRDefault="00C33CD2">
            <w:pPr>
              <w:rPr>
                <w:rFonts w:cstheme="minorHAnsi"/>
                <w:sz w:val="20"/>
              </w:rPr>
            </w:pPr>
          </w:p>
        </w:tc>
      </w:tr>
      <w:tr w:rsidR="00C33CD2" w:rsidRPr="00F22CB3" w14:paraId="20186B79" w14:textId="77777777" w:rsidTr="00331F81">
        <w:trPr>
          <w:cantSplit/>
          <w:trHeight w:val="130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6B0BC9D2" w14:textId="77777777" w:rsidR="00C33CD2" w:rsidRPr="00F22CB3" w:rsidRDefault="00C33CD2">
            <w:pPr>
              <w:jc w:val="center"/>
              <w:rPr>
                <w:rFonts w:cstheme="minorHAnsi"/>
                <w:sz w:val="20"/>
              </w:rPr>
            </w:pPr>
            <w:r w:rsidRPr="00F22CB3">
              <w:rPr>
                <w:rFonts w:cstheme="minorHAnsi"/>
                <w:sz w:val="20"/>
              </w:rPr>
              <w:t>5.4</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3E4A691C" w14:textId="4A683081" w:rsidR="00C33CD2" w:rsidRPr="00F22CB3" w:rsidRDefault="00A96D15">
            <w:pPr>
              <w:rPr>
                <w:rFonts w:cstheme="minorHAnsi"/>
                <w:sz w:val="20"/>
              </w:rPr>
            </w:pPr>
            <w:r w:rsidRPr="00F22CB3">
              <w:rPr>
                <w:rFonts w:cstheme="minorHAnsi"/>
                <w:sz w:val="20"/>
              </w:rPr>
              <w:t>Los Estados Miembros deben alentar a las empresas de explotación autorizadas a informar oportuna y gratuitamente a todos los usuarios, incluidos los usuarios itinerantes, del número de llamada a los servicios de emergencia.</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47AF3FB2"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92B786A" w14:textId="248CC3D4" w:rsidR="00C33CD2" w:rsidRPr="00F22CB3" w:rsidRDefault="002D3341">
            <w:pPr>
              <w:rPr>
                <w:rFonts w:cstheme="minorHAnsi"/>
                <w:sz w:val="20"/>
              </w:rPr>
            </w:pPr>
            <w:r w:rsidRPr="00F22CB3">
              <w:rPr>
                <w:rFonts w:cstheme="minorHAnsi"/>
                <w:sz w:val="20"/>
              </w:rPr>
              <w:t>Esta disposición se basa en la tecnología de red existente, por lo que no es aplicable a las redes y servicios futuros que podrían integrar otros procesos para contactar con los servicios de emergencia</w:t>
            </w:r>
            <w:r w:rsidR="00ED71BB" w:rsidRPr="00F22CB3">
              <w:rPr>
                <w:rFonts w:cstheme="minorHAnsi"/>
                <w:sz w:val="20"/>
              </w:rPr>
              <w:t>.</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3B751CE" w14:textId="6F3EB0C8" w:rsidR="00C33CD2" w:rsidRPr="00F22CB3" w:rsidRDefault="002D3341">
            <w:pPr>
              <w:rPr>
                <w:rFonts w:cstheme="minorHAnsi"/>
                <w:sz w:val="20"/>
              </w:rPr>
            </w:pPr>
            <w:r w:rsidRPr="00F22CB3">
              <w:rPr>
                <w:rFonts w:cstheme="minorHAnsi"/>
                <w:sz w:val="20"/>
              </w:rPr>
              <w:t>Esta disposición no es flexible en el sentido de que las nuevas tendencias en materia de redes y servicios podrían dar lugar a otros procesos para ponerse en contacto con los servicios de emergencia.</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2AC9F067" w14:textId="77777777" w:rsidR="00C33CD2" w:rsidRPr="00F22CB3" w:rsidRDefault="00C33CD2">
            <w:pPr>
              <w:rPr>
                <w:rFonts w:cstheme="minorHAnsi"/>
                <w:sz w:val="20"/>
              </w:rPr>
            </w:pPr>
          </w:p>
        </w:tc>
      </w:tr>
      <w:tr w:rsidR="00C33CD2" w:rsidRPr="00F22CB3" w14:paraId="491933F8" w14:textId="77777777" w:rsidTr="00331F81">
        <w:trPr>
          <w:cantSplit/>
          <w:trHeight w:val="69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63DFC271" w14:textId="77777777" w:rsidR="00C33CD2" w:rsidRPr="00F22CB3" w:rsidRDefault="00C33CD2">
            <w:pPr>
              <w:jc w:val="center"/>
              <w:rPr>
                <w:rFonts w:cstheme="minorHAnsi"/>
                <w:sz w:val="20"/>
              </w:rPr>
            </w:pP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1A335FD1" w14:textId="7DD5E13E" w:rsidR="00C33CD2" w:rsidRPr="00F22CB3" w:rsidRDefault="00A96D15">
            <w:pPr>
              <w:rPr>
                <w:rFonts w:cstheme="minorHAnsi"/>
                <w:b/>
                <w:sz w:val="20"/>
              </w:rPr>
            </w:pPr>
            <w:r w:rsidRPr="00F22CB3">
              <w:rPr>
                <w:rFonts w:cstheme="minorHAnsi"/>
                <w:b/>
                <w:sz w:val="20"/>
              </w:rPr>
              <w:t>Artículo 6</w:t>
            </w:r>
            <w:r w:rsidR="00AE7C59" w:rsidRPr="00F22CB3">
              <w:rPr>
                <w:rFonts w:cstheme="minorHAnsi"/>
                <w:b/>
                <w:sz w:val="20"/>
              </w:rPr>
              <w:t>:</w:t>
            </w:r>
            <w:r w:rsidR="00C33CD2" w:rsidRPr="00F22CB3">
              <w:rPr>
                <w:rFonts w:cstheme="minorHAnsi"/>
                <w:b/>
                <w:sz w:val="20"/>
              </w:rPr>
              <w:t xml:space="preserve"> </w:t>
            </w:r>
            <w:r w:rsidRPr="00F22CB3">
              <w:rPr>
                <w:rFonts w:cstheme="minorHAnsi"/>
                <w:b/>
                <w:sz w:val="20"/>
              </w:rPr>
              <w:t>Seguridad y robustez de las redes</w:t>
            </w:r>
            <w:r w:rsidR="00C33CD2" w:rsidRPr="00F22CB3">
              <w:rPr>
                <w:rFonts w:cstheme="minorHAnsi"/>
                <w:b/>
                <w:sz w:val="20"/>
              </w:rPr>
              <w:t xml:space="preserve"> </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3FEF8495"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2BE0FAF"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06C9853" w14:textId="77777777" w:rsidR="00C33CD2" w:rsidRPr="00F22CB3" w:rsidRDefault="00C33CD2">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511C6345" w14:textId="77777777" w:rsidR="00C33CD2" w:rsidRPr="00F22CB3" w:rsidRDefault="00C33CD2">
            <w:pPr>
              <w:rPr>
                <w:rFonts w:cstheme="minorHAnsi"/>
                <w:sz w:val="20"/>
              </w:rPr>
            </w:pPr>
          </w:p>
        </w:tc>
      </w:tr>
      <w:tr w:rsidR="00C33CD2" w:rsidRPr="00F22CB3" w14:paraId="713DFA26" w14:textId="77777777" w:rsidTr="00331F81">
        <w:trPr>
          <w:cantSplit/>
          <w:trHeight w:val="4216"/>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66EB8C21" w14:textId="77777777" w:rsidR="00C33CD2" w:rsidRPr="00F22CB3" w:rsidRDefault="00C33CD2">
            <w:pPr>
              <w:jc w:val="center"/>
              <w:rPr>
                <w:rFonts w:cstheme="minorHAnsi"/>
                <w:sz w:val="20"/>
              </w:rPr>
            </w:pPr>
            <w:r w:rsidRPr="00F22CB3">
              <w:rPr>
                <w:rFonts w:cstheme="minorHAnsi"/>
                <w:sz w:val="20"/>
              </w:rPr>
              <w:t>6.1</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756BC26D" w14:textId="4B33431A" w:rsidR="00C33CD2" w:rsidRPr="00F22CB3" w:rsidRDefault="00CE76CA">
            <w:pPr>
              <w:rPr>
                <w:rFonts w:cstheme="minorHAnsi"/>
                <w:sz w:val="20"/>
              </w:rPr>
            </w:pPr>
            <w:r w:rsidRPr="00F22CB3">
              <w:rPr>
                <w:rFonts w:cstheme="minorHAnsi"/>
                <w:sz w:val="20"/>
              </w:rPr>
              <w:t>Los Estados Miembros procurarán garantizar, individual y colectivamente, la seguridad y robustez de las redes de telecomunicación internacionales a fin de lograr su utilización eficaz y evitar perjuicios técnicos a las mismas, así como el desarrollo armonioso de los servicios internacionales de telecomunicación ofrecidos al público.</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420EB3C7"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913AD96" w14:textId="463583BC" w:rsidR="00C33CD2" w:rsidRPr="00F22CB3" w:rsidRDefault="00A275AE">
            <w:bookmarkStart w:id="19" w:name="lt_pId056"/>
            <w:r w:rsidRPr="00F22CB3">
              <w:rPr>
                <w:rFonts w:cstheme="minorHAnsi"/>
                <w:sz w:val="20"/>
              </w:rPr>
              <w:t xml:space="preserve">No aplicable porque "los Estados Miembros procurarán </w:t>
            </w:r>
            <w:r w:rsidR="002D3341" w:rsidRPr="00F22CB3">
              <w:rPr>
                <w:rFonts w:cstheme="minorHAnsi"/>
                <w:sz w:val="20"/>
              </w:rPr>
              <w:t>garantizar</w:t>
            </w:r>
            <w:r w:rsidRPr="00F22CB3">
              <w:rPr>
                <w:rFonts w:cstheme="minorHAnsi"/>
                <w:sz w:val="20"/>
              </w:rPr>
              <w:t>" es una formulación inejecutable.</w:t>
            </w:r>
            <w:bookmarkEnd w:id="19"/>
            <w:r w:rsidR="00C33CD2" w:rsidRPr="00F22CB3">
              <w:rPr>
                <w:rFonts w:cstheme="minorHAnsi"/>
                <w:sz w:val="20"/>
              </w:rPr>
              <w:t xml:space="preserve"> </w:t>
            </w:r>
          </w:p>
          <w:p w14:paraId="12F73A99" w14:textId="457F79EF" w:rsidR="00C33CD2" w:rsidRPr="00F22CB3" w:rsidRDefault="002D3341" w:rsidP="00106902">
            <w:pPr>
              <w:rPr>
                <w:rFonts w:cstheme="minorHAnsi"/>
                <w:sz w:val="20"/>
              </w:rPr>
            </w:pPr>
            <w:r w:rsidRPr="00F22CB3">
              <w:rPr>
                <w:rFonts w:cstheme="minorHAnsi"/>
                <w:sz w:val="20"/>
              </w:rPr>
              <w:t>N</w:t>
            </w:r>
            <w:r w:rsidR="00650830" w:rsidRPr="00F22CB3">
              <w:rPr>
                <w:rFonts w:cstheme="minorHAnsi"/>
                <w:sz w:val="20"/>
              </w:rPr>
              <w:t xml:space="preserve">o está claro </w:t>
            </w:r>
            <w:r w:rsidRPr="00F22CB3">
              <w:rPr>
                <w:rFonts w:cstheme="minorHAnsi"/>
                <w:sz w:val="20"/>
              </w:rPr>
              <w:t>lo que</w:t>
            </w:r>
            <w:r w:rsidR="00650830" w:rsidRPr="00F22CB3">
              <w:rPr>
                <w:rFonts w:cstheme="minorHAnsi"/>
                <w:sz w:val="20"/>
              </w:rPr>
              <w:t xml:space="preserve"> deberían hacer los Estados Miembros</w:t>
            </w:r>
            <w:r w:rsidRPr="00F22CB3">
              <w:rPr>
                <w:rFonts w:cstheme="minorHAnsi"/>
                <w:sz w:val="20"/>
              </w:rPr>
              <w:t xml:space="preserve"> para garantizarlo</w:t>
            </w:r>
            <w:r w:rsidR="00650830" w:rsidRPr="00F22CB3">
              <w:rPr>
                <w:rFonts w:cstheme="minorHAnsi"/>
                <w:sz w:val="20"/>
              </w:rPr>
              <w:t xml:space="preserve">, puesto que </w:t>
            </w:r>
            <w:r w:rsidRPr="00F22CB3">
              <w:rPr>
                <w:rFonts w:cstheme="minorHAnsi"/>
                <w:sz w:val="20"/>
              </w:rPr>
              <w:t xml:space="preserve">el funcionamiento de las redes de telecomunicaciones en el moderno mercado de las telecomunicaciones </w:t>
            </w:r>
            <w:r w:rsidR="00650830" w:rsidRPr="00F22CB3">
              <w:rPr>
                <w:rFonts w:cstheme="minorHAnsi"/>
                <w:sz w:val="20"/>
              </w:rPr>
              <w:t>es principalmente responsabilidad del sector privado.</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18FB0A9" w14:textId="6E930C8B" w:rsidR="00C33CD2" w:rsidRPr="00F22CB3" w:rsidRDefault="002D3341">
            <w:pPr>
              <w:rPr>
                <w:rFonts w:cstheme="minorHAnsi"/>
                <w:sz w:val="20"/>
              </w:rPr>
            </w:pPr>
            <w:bookmarkStart w:id="20" w:name="lt_pId058"/>
            <w:r w:rsidRPr="00F22CB3">
              <w:rPr>
                <w:rFonts w:cstheme="minorHAnsi"/>
                <w:sz w:val="20"/>
              </w:rPr>
              <w:t xml:space="preserve">La seguridad y la robustez de las redes de telecomunicaciones internacionales residen en el moderno mercado de las telecomunicaciones y su implementación es efectuada en la mayoría </w:t>
            </w:r>
            <w:r w:rsidR="007014B0" w:rsidRPr="00F22CB3">
              <w:rPr>
                <w:rFonts w:cstheme="minorHAnsi"/>
                <w:sz w:val="20"/>
              </w:rPr>
              <w:t xml:space="preserve">de los casos </w:t>
            </w:r>
            <w:r w:rsidRPr="00F22CB3">
              <w:rPr>
                <w:rFonts w:cstheme="minorHAnsi"/>
                <w:sz w:val="20"/>
              </w:rPr>
              <w:t xml:space="preserve">por el sector privado, y </w:t>
            </w:r>
            <w:r w:rsidR="007014B0" w:rsidRPr="00F22CB3">
              <w:rPr>
                <w:rFonts w:cstheme="minorHAnsi"/>
                <w:sz w:val="20"/>
              </w:rPr>
              <w:t>se desarrollarán</w:t>
            </w:r>
            <w:r w:rsidRPr="00F22CB3">
              <w:rPr>
                <w:rFonts w:cstheme="minorHAnsi"/>
                <w:sz w:val="20"/>
              </w:rPr>
              <w:t xml:space="preserve"> con </w:t>
            </w:r>
            <w:r w:rsidR="007014B0" w:rsidRPr="00F22CB3">
              <w:rPr>
                <w:rFonts w:cstheme="minorHAnsi"/>
                <w:sz w:val="20"/>
              </w:rPr>
              <w:t>la evolución</w:t>
            </w:r>
            <w:r w:rsidRPr="00F22CB3">
              <w:rPr>
                <w:rFonts w:cstheme="minorHAnsi"/>
                <w:sz w:val="20"/>
              </w:rPr>
              <w:t xml:space="preserve"> de las redes y servicios</w:t>
            </w:r>
            <w:bookmarkEnd w:id="20"/>
            <w:r w:rsidR="00ED71BB" w:rsidRPr="00F22CB3">
              <w:rPr>
                <w:rFonts w:cstheme="minorHAnsi"/>
                <w:sz w:val="20"/>
              </w:rPr>
              <w:t>.</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70791C42" w14:textId="77777777" w:rsidR="00C33CD2" w:rsidRPr="00F22CB3" w:rsidRDefault="00C33CD2">
            <w:pPr>
              <w:rPr>
                <w:rFonts w:cstheme="minorHAnsi"/>
                <w:sz w:val="20"/>
              </w:rPr>
            </w:pPr>
          </w:p>
        </w:tc>
      </w:tr>
      <w:tr w:rsidR="00C33CD2" w:rsidRPr="00F22CB3" w14:paraId="5620F637" w14:textId="77777777" w:rsidTr="00331F81">
        <w:trPr>
          <w:cantSplit/>
          <w:trHeight w:val="707"/>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71B26C7A" w14:textId="77777777" w:rsidR="00C33CD2" w:rsidRPr="00F22CB3" w:rsidRDefault="00C33CD2">
            <w:pPr>
              <w:jc w:val="center"/>
              <w:rPr>
                <w:rFonts w:cstheme="minorHAnsi"/>
                <w:sz w:val="20"/>
              </w:rPr>
            </w:pP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64F87B14" w14:textId="08A2117E" w:rsidR="00C33CD2" w:rsidRPr="00F22CB3" w:rsidRDefault="00CE76CA">
            <w:pPr>
              <w:rPr>
                <w:rFonts w:cstheme="minorHAnsi"/>
                <w:sz w:val="20"/>
              </w:rPr>
            </w:pPr>
            <w:bookmarkStart w:id="21" w:name="lt_pId059"/>
            <w:r w:rsidRPr="00F22CB3">
              <w:rPr>
                <w:rFonts w:cstheme="minorHAnsi"/>
                <w:b/>
                <w:sz w:val="20"/>
              </w:rPr>
              <w:t>Artículo 7</w:t>
            </w:r>
            <w:r w:rsidR="00C33CD2" w:rsidRPr="00F22CB3">
              <w:rPr>
                <w:rFonts w:cstheme="minorHAnsi"/>
                <w:b/>
                <w:sz w:val="20"/>
              </w:rPr>
              <w:t>:</w:t>
            </w:r>
            <w:bookmarkEnd w:id="21"/>
            <w:r w:rsidR="00C33CD2" w:rsidRPr="00F22CB3">
              <w:rPr>
                <w:rFonts w:cstheme="minorHAnsi"/>
                <w:b/>
                <w:sz w:val="20"/>
              </w:rPr>
              <w:t xml:space="preserve"> </w:t>
            </w:r>
            <w:r w:rsidRPr="00F22CB3">
              <w:rPr>
                <w:rFonts w:cstheme="minorHAnsi"/>
                <w:b/>
                <w:sz w:val="20"/>
              </w:rPr>
              <w:t xml:space="preserve">Comunicaciones electrónicas masivas no solicitadas </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2B96AAB9"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E2049BB"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7B9728F" w14:textId="77777777" w:rsidR="00C33CD2" w:rsidRPr="00F22CB3" w:rsidRDefault="00C33CD2">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306CB9CF" w14:textId="77777777" w:rsidR="00C33CD2" w:rsidRPr="00F22CB3" w:rsidRDefault="00C33CD2">
            <w:pPr>
              <w:rPr>
                <w:rFonts w:cstheme="minorHAnsi"/>
                <w:sz w:val="20"/>
              </w:rPr>
            </w:pPr>
          </w:p>
        </w:tc>
      </w:tr>
      <w:tr w:rsidR="00C33CD2" w:rsidRPr="00F22CB3" w14:paraId="0C7710E9"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99288C7" w14:textId="77777777" w:rsidR="00C33CD2" w:rsidRPr="00F22CB3" w:rsidRDefault="00C33CD2">
            <w:pPr>
              <w:jc w:val="center"/>
              <w:rPr>
                <w:rFonts w:cstheme="minorHAnsi"/>
                <w:sz w:val="20"/>
              </w:rPr>
            </w:pPr>
            <w:r w:rsidRPr="00F22CB3">
              <w:rPr>
                <w:rFonts w:cstheme="minorHAnsi"/>
                <w:sz w:val="20"/>
              </w:rPr>
              <w:t>7.1</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15960A3F" w14:textId="4C85C878" w:rsidR="00C33CD2" w:rsidRPr="00F22CB3" w:rsidRDefault="00CE76CA">
            <w:pPr>
              <w:rPr>
                <w:rFonts w:cstheme="minorHAnsi"/>
                <w:sz w:val="20"/>
              </w:rPr>
            </w:pPr>
            <w:r w:rsidRPr="00F22CB3">
              <w:rPr>
                <w:rFonts w:cstheme="minorHAnsi"/>
                <w:sz w:val="20"/>
              </w:rPr>
              <w:t>Los Estados Miembros deben procurar tomar las medidas necesarias para evitar la propagación de comunicaciones electrónicas masivas no solicitadas y minimizar sus efectos en los servicios internacionales de telecomunicación.</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3813BF18"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896DC00" w14:textId="6C17C9B1" w:rsidR="00C33CD2" w:rsidRPr="00F22CB3" w:rsidRDefault="007014B0">
            <w:pPr>
              <w:rPr>
                <w:rFonts w:cstheme="minorHAnsi"/>
                <w:sz w:val="20"/>
              </w:rPr>
            </w:pPr>
            <w:bookmarkStart w:id="22" w:name="lt_pId063"/>
            <w:r w:rsidRPr="00F22CB3">
              <w:rPr>
                <w:rFonts w:cstheme="minorHAnsi"/>
                <w:sz w:val="20"/>
              </w:rPr>
              <w:t>La disposición está relacionada con la adopción de medidas a nivel nacional, por lo que no debe incluirse en un tratado internacional</w:t>
            </w:r>
            <w:r w:rsidR="00C33CD2" w:rsidRPr="00F22CB3">
              <w:rPr>
                <w:rFonts w:cstheme="minorHAnsi"/>
                <w:sz w:val="20"/>
              </w:rPr>
              <w:t>.</w:t>
            </w:r>
            <w:bookmarkEnd w:id="22"/>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E82D57F" w14:textId="646BE709" w:rsidR="00C33CD2" w:rsidRPr="00F22CB3" w:rsidRDefault="007014B0">
            <w:pPr>
              <w:rPr>
                <w:rFonts w:cstheme="minorHAnsi"/>
                <w:sz w:val="20"/>
              </w:rPr>
            </w:pPr>
            <w:r w:rsidRPr="00F22CB3">
              <w:rPr>
                <w:rFonts w:cstheme="minorHAnsi"/>
                <w:sz w:val="20"/>
              </w:rPr>
              <w:t>El fenómeno de las comunicaciones electrónicas masivas no solicitadas se está desarrollando rápidamente, junto con el mercado y los servicios de telecomunicaciones. El tipo de medidas que se consideren necesarias y quién deba tomarlas es algo que cambiará con el paso del tiempo. Por lo tanto, es posible que esta disposición no apoye este cambio.</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7C455FBF" w14:textId="77777777" w:rsidR="00C33CD2" w:rsidRPr="00F22CB3" w:rsidRDefault="00C33CD2">
            <w:pPr>
              <w:rPr>
                <w:rFonts w:cstheme="minorHAnsi"/>
                <w:sz w:val="20"/>
              </w:rPr>
            </w:pPr>
          </w:p>
        </w:tc>
      </w:tr>
      <w:tr w:rsidR="00C33CD2" w:rsidRPr="00F22CB3" w14:paraId="6F11C206"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ED06B1F" w14:textId="77777777" w:rsidR="00C33CD2" w:rsidRPr="00F22CB3" w:rsidRDefault="00C33CD2">
            <w:pPr>
              <w:jc w:val="center"/>
              <w:rPr>
                <w:rFonts w:cstheme="minorHAnsi"/>
                <w:sz w:val="20"/>
              </w:rPr>
            </w:pPr>
            <w:r w:rsidRPr="00F22CB3">
              <w:rPr>
                <w:rFonts w:cstheme="minorHAnsi"/>
                <w:sz w:val="20"/>
              </w:rPr>
              <w:t>7.2</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2CAA721C" w14:textId="25B158EE" w:rsidR="00C33CD2" w:rsidRPr="00F22CB3" w:rsidRDefault="00CE76CA">
            <w:pPr>
              <w:rPr>
                <w:rFonts w:cstheme="minorHAnsi"/>
                <w:sz w:val="20"/>
              </w:rPr>
            </w:pPr>
            <w:r w:rsidRPr="00F22CB3">
              <w:rPr>
                <w:rFonts w:cstheme="minorHAnsi"/>
                <w:sz w:val="20"/>
              </w:rPr>
              <w:t>Se alienta a los Estados Miembros a cooperar en ese sentido.</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21E85A97"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9E81218" w14:textId="68B221DB" w:rsidR="00C33CD2" w:rsidRPr="00F22CB3" w:rsidRDefault="007014B0">
            <w:pPr>
              <w:rPr>
                <w:rFonts w:cstheme="minorHAnsi"/>
                <w:sz w:val="20"/>
              </w:rPr>
            </w:pPr>
            <w:r w:rsidRPr="00F22CB3">
              <w:rPr>
                <w:rFonts w:cstheme="minorHAnsi"/>
                <w:sz w:val="20"/>
              </w:rPr>
              <w:t>Esta disposición es superflua, ya que los Estados Miembros ya están trabajando de acuerdo con las intenciones de la misión de la UIT.</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70B0840" w14:textId="505196F5" w:rsidR="00C33CD2" w:rsidRPr="00F22CB3" w:rsidRDefault="007014B0" w:rsidP="0063247A">
            <w:r w:rsidRPr="00F22CB3">
              <w:rPr>
                <w:rFonts w:cstheme="minorHAnsi"/>
                <w:sz w:val="20"/>
              </w:rPr>
              <w:t>En este caso, l</w:t>
            </w:r>
            <w:r w:rsidR="00650830" w:rsidRPr="00F22CB3">
              <w:rPr>
                <w:rFonts w:cstheme="minorHAnsi"/>
                <w:sz w:val="20"/>
              </w:rPr>
              <w:t xml:space="preserve">a cuestión de la "flexibilidad" es irrelevante, pues en esta disposición simplemente se enuncian </w:t>
            </w:r>
            <w:r w:rsidRPr="00F22CB3">
              <w:rPr>
                <w:rFonts w:cstheme="minorHAnsi"/>
                <w:sz w:val="20"/>
              </w:rPr>
              <w:t>intenciones</w:t>
            </w:r>
            <w:r w:rsidR="00650830" w:rsidRPr="00F22CB3">
              <w:rPr>
                <w:rFonts w:cstheme="minorHAnsi"/>
                <w:sz w:val="20"/>
              </w:rPr>
              <w:t xml:space="preserve"> de </w:t>
            </w:r>
            <w:r w:rsidRPr="00F22CB3">
              <w:rPr>
                <w:rFonts w:cstheme="minorHAnsi"/>
                <w:sz w:val="20"/>
              </w:rPr>
              <w:t xml:space="preserve">muy </w:t>
            </w:r>
            <w:r w:rsidR="00650830" w:rsidRPr="00F22CB3">
              <w:rPr>
                <w:rFonts w:cstheme="minorHAnsi"/>
                <w:sz w:val="20"/>
              </w:rPr>
              <w:t>alto nivel.</w:t>
            </w:r>
          </w:p>
          <w:p w14:paraId="4D483772" w14:textId="77777777" w:rsidR="00C33CD2" w:rsidRPr="00F22CB3" w:rsidRDefault="00C33CD2">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6683F318" w14:textId="77777777" w:rsidR="00C33CD2" w:rsidRPr="00F22CB3" w:rsidRDefault="00C33CD2">
            <w:pPr>
              <w:rPr>
                <w:rFonts w:cstheme="minorHAnsi"/>
                <w:sz w:val="20"/>
              </w:rPr>
            </w:pPr>
          </w:p>
        </w:tc>
      </w:tr>
      <w:tr w:rsidR="00C33CD2" w:rsidRPr="00F22CB3" w14:paraId="75BF883E" w14:textId="77777777" w:rsidTr="00331F81">
        <w:trPr>
          <w:cantSplit/>
          <w:trHeight w:val="476"/>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74D4603" w14:textId="77777777" w:rsidR="00C33CD2" w:rsidRPr="00F22CB3" w:rsidRDefault="00C33CD2">
            <w:pPr>
              <w:jc w:val="center"/>
              <w:rPr>
                <w:rFonts w:cstheme="minorHAnsi"/>
                <w:sz w:val="20"/>
              </w:rPr>
            </w:pP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0A838EE0" w14:textId="046E3724" w:rsidR="00C33CD2" w:rsidRPr="00F22CB3" w:rsidRDefault="00CE76CA">
            <w:pPr>
              <w:rPr>
                <w:rFonts w:cstheme="minorHAnsi"/>
                <w:b/>
                <w:sz w:val="20"/>
              </w:rPr>
            </w:pPr>
            <w:bookmarkStart w:id="23" w:name="lt_pId071"/>
            <w:r w:rsidRPr="00F22CB3">
              <w:rPr>
                <w:rFonts w:cstheme="minorHAnsi"/>
                <w:b/>
                <w:sz w:val="20"/>
              </w:rPr>
              <w:t>Artículo</w:t>
            </w:r>
            <w:r w:rsidR="00C33CD2" w:rsidRPr="00F22CB3">
              <w:rPr>
                <w:rFonts w:cstheme="minorHAnsi"/>
                <w:b/>
                <w:sz w:val="20"/>
              </w:rPr>
              <w:t xml:space="preserve"> 8:</w:t>
            </w:r>
            <w:bookmarkEnd w:id="23"/>
            <w:r w:rsidR="00C33CD2" w:rsidRPr="00F22CB3">
              <w:rPr>
                <w:rFonts w:cstheme="minorHAnsi"/>
                <w:b/>
                <w:sz w:val="20"/>
              </w:rPr>
              <w:t xml:space="preserve"> </w:t>
            </w:r>
            <w:r w:rsidRPr="00F22CB3">
              <w:rPr>
                <w:rFonts w:cstheme="minorHAnsi"/>
                <w:b/>
                <w:sz w:val="20"/>
              </w:rPr>
              <w:t>Tasación y contabilidad</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740CDA2C"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C1AD008"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BAB9B19" w14:textId="77777777" w:rsidR="00C33CD2" w:rsidRPr="00F22CB3" w:rsidRDefault="00C33CD2">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2169DFE8" w14:textId="77777777" w:rsidR="00C33CD2" w:rsidRPr="00F22CB3" w:rsidRDefault="00C33CD2">
            <w:pPr>
              <w:rPr>
                <w:rFonts w:cstheme="minorHAnsi"/>
                <w:sz w:val="20"/>
              </w:rPr>
            </w:pPr>
          </w:p>
        </w:tc>
      </w:tr>
      <w:tr w:rsidR="00C33CD2" w:rsidRPr="00F22CB3" w14:paraId="6459394A" w14:textId="77777777" w:rsidTr="00331F81">
        <w:trPr>
          <w:cantSplit/>
          <w:trHeight w:val="476"/>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FDA9EDE" w14:textId="77777777" w:rsidR="00C33CD2" w:rsidRPr="00F22CB3" w:rsidRDefault="00C33CD2">
            <w:pPr>
              <w:jc w:val="center"/>
              <w:rPr>
                <w:rFonts w:cstheme="minorHAnsi"/>
                <w:sz w:val="20"/>
              </w:rPr>
            </w:pP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110D9DAB" w14:textId="5EFC08D0" w:rsidR="00C33CD2" w:rsidRPr="00F22CB3" w:rsidRDefault="00C33CD2">
            <w:pPr>
              <w:rPr>
                <w:rFonts w:cstheme="minorHAnsi"/>
                <w:b/>
                <w:sz w:val="20"/>
              </w:rPr>
            </w:pPr>
            <w:r w:rsidRPr="00F22CB3">
              <w:rPr>
                <w:rFonts w:cstheme="minorHAnsi"/>
                <w:b/>
                <w:sz w:val="20"/>
              </w:rPr>
              <w:t xml:space="preserve">8.1 </w:t>
            </w:r>
            <w:r w:rsidR="00CE76CA" w:rsidRPr="00F22CB3">
              <w:rPr>
                <w:rFonts w:cstheme="minorHAnsi"/>
                <w:b/>
                <w:sz w:val="20"/>
              </w:rPr>
              <w:t>Acuerdos relativos a las telecomunicaciones internacionales</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526655A1"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AEFD748"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E22BE2C" w14:textId="77777777" w:rsidR="00C33CD2" w:rsidRPr="00F22CB3" w:rsidRDefault="00C33CD2">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35E66FBB" w14:textId="77777777" w:rsidR="00C33CD2" w:rsidRPr="00F22CB3" w:rsidRDefault="00C33CD2">
            <w:pPr>
              <w:rPr>
                <w:rFonts w:cstheme="minorHAnsi"/>
                <w:sz w:val="20"/>
              </w:rPr>
            </w:pPr>
          </w:p>
        </w:tc>
      </w:tr>
      <w:tr w:rsidR="00C33CD2" w:rsidRPr="00F22CB3" w14:paraId="390F26F4"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DF7BC5A" w14:textId="77777777" w:rsidR="00C33CD2" w:rsidRPr="00F22CB3" w:rsidRDefault="00C33CD2">
            <w:pPr>
              <w:jc w:val="center"/>
              <w:rPr>
                <w:rFonts w:cstheme="minorHAnsi"/>
                <w:sz w:val="20"/>
              </w:rPr>
            </w:pPr>
            <w:r w:rsidRPr="00F22CB3">
              <w:rPr>
                <w:rFonts w:cstheme="minorHAnsi"/>
                <w:sz w:val="20"/>
              </w:rPr>
              <w:t>8.1.1</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340194D3" w14:textId="2257466F" w:rsidR="00C33CD2" w:rsidRPr="00F22CB3" w:rsidRDefault="00CE76CA">
            <w:pPr>
              <w:rPr>
                <w:rFonts w:cstheme="minorHAnsi"/>
                <w:sz w:val="20"/>
              </w:rPr>
            </w:pPr>
            <w:r w:rsidRPr="00F22CB3">
              <w:rPr>
                <w:rFonts w:cstheme="minorHAnsi"/>
                <w:sz w:val="20"/>
              </w:rPr>
              <w:t>De acuerdo con la legislación nacional aplicable, los términos y condiciones de los acuerdos de prestación de servicios internacionales de telecomunicación podrán establecerse mediante acuerdos comerciales o en virtud de los principios relativos a las tasas de distribución establecidos de conformidad con la reglamentación nacional.</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3BB72B1C"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CFD9D72" w14:textId="5DEB1B36" w:rsidR="00C33CD2" w:rsidRPr="00F22CB3" w:rsidRDefault="00650830">
            <w:pPr>
              <w:rPr>
                <w:rFonts w:cstheme="minorHAnsi"/>
                <w:sz w:val="20"/>
              </w:rPr>
            </w:pPr>
            <w:r w:rsidRPr="00F22CB3">
              <w:rPr>
                <w:rFonts w:cstheme="minorHAnsi"/>
                <w:sz w:val="20"/>
              </w:rPr>
              <w:t>Se trata de un asunto que las empresas de explotación han de acordar mutuamente. No es necesario indicarlo en un tratado intergubernamental.</w:t>
            </w:r>
          </w:p>
          <w:p w14:paraId="288E1B2C" w14:textId="67A16B22" w:rsidR="00C33CD2" w:rsidRPr="00F22CB3" w:rsidRDefault="007014B0" w:rsidP="00471878">
            <w:pPr>
              <w:rPr>
                <w:rFonts w:cstheme="minorHAnsi"/>
                <w:sz w:val="20"/>
              </w:rPr>
            </w:pPr>
            <w:r w:rsidRPr="00F22CB3">
              <w:rPr>
                <w:rFonts w:cstheme="minorHAnsi"/>
                <w:sz w:val="20"/>
              </w:rPr>
              <w:t>Además, e</w:t>
            </w:r>
            <w:r w:rsidR="004064BD" w:rsidRPr="00F22CB3">
              <w:rPr>
                <w:rFonts w:cstheme="minorHAnsi"/>
                <w:sz w:val="20"/>
              </w:rPr>
              <w:t xml:space="preserve">sta disposición no es pertinente en un tratado internacional, puesto que </w:t>
            </w:r>
            <w:r w:rsidRPr="00F22CB3">
              <w:rPr>
                <w:rFonts w:cstheme="minorHAnsi"/>
                <w:sz w:val="20"/>
              </w:rPr>
              <w:t>se indica</w:t>
            </w:r>
            <w:r w:rsidR="004064BD" w:rsidRPr="00F22CB3">
              <w:rPr>
                <w:rFonts w:cstheme="minorHAnsi"/>
                <w:sz w:val="20"/>
              </w:rPr>
              <w:t xml:space="preserve"> "</w:t>
            </w:r>
            <w:r w:rsidRPr="00F22CB3">
              <w:rPr>
                <w:rFonts w:cstheme="minorHAnsi"/>
                <w:sz w:val="20"/>
              </w:rPr>
              <w:t xml:space="preserve">de acuerdo con </w:t>
            </w:r>
            <w:r w:rsidR="004064BD" w:rsidRPr="00F22CB3">
              <w:rPr>
                <w:rFonts w:cstheme="minorHAnsi"/>
                <w:sz w:val="20"/>
              </w:rPr>
              <w:t>legislación nacional".</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EB52B17" w14:textId="3697DD7B" w:rsidR="00C33CD2" w:rsidRPr="00F22CB3" w:rsidRDefault="00650830">
            <w:pPr>
              <w:rPr>
                <w:rFonts w:cstheme="minorHAnsi"/>
                <w:sz w:val="20"/>
              </w:rPr>
            </w:pPr>
            <w:r w:rsidRPr="00F22CB3">
              <w:rPr>
                <w:rFonts w:cstheme="minorHAnsi"/>
                <w:sz w:val="20"/>
              </w:rPr>
              <w:t xml:space="preserve">En el </w:t>
            </w:r>
            <w:r w:rsidR="007014B0" w:rsidRPr="00F22CB3">
              <w:rPr>
                <w:rFonts w:cstheme="minorHAnsi"/>
                <w:sz w:val="20"/>
              </w:rPr>
              <w:t xml:space="preserve">moderno </w:t>
            </w:r>
            <w:r w:rsidRPr="00F22CB3">
              <w:rPr>
                <w:rFonts w:cstheme="minorHAnsi"/>
                <w:sz w:val="20"/>
              </w:rPr>
              <w:t>mercado de telecomunicaciones</w:t>
            </w:r>
            <w:r w:rsidR="007014B0" w:rsidRPr="00F22CB3">
              <w:rPr>
                <w:rFonts w:cstheme="minorHAnsi"/>
                <w:sz w:val="20"/>
              </w:rPr>
              <w:t>, los acuerdos se alcanzan primordialmente entre empresas del sector privado.</w:t>
            </w:r>
          </w:p>
          <w:p w14:paraId="23A94540" w14:textId="296E8E78" w:rsidR="00C33CD2" w:rsidRPr="00F22CB3" w:rsidRDefault="007014B0" w:rsidP="000727C8">
            <w:pPr>
              <w:spacing w:before="360"/>
              <w:rPr>
                <w:rFonts w:cstheme="minorHAnsi"/>
                <w:sz w:val="20"/>
              </w:rPr>
            </w:pPr>
            <w:r w:rsidRPr="00F22CB3">
              <w:rPr>
                <w:rFonts w:cstheme="minorHAnsi"/>
                <w:sz w:val="20"/>
              </w:rPr>
              <w:t>Además, esta disposición no es pertinente en un tratado internacional, puesto que se indica "de acuerdo con legislación nacional".</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2FD27CEC" w14:textId="77777777" w:rsidR="00C33CD2" w:rsidRPr="00F22CB3" w:rsidRDefault="00C33CD2">
            <w:pPr>
              <w:rPr>
                <w:rFonts w:cstheme="minorHAnsi"/>
                <w:sz w:val="20"/>
              </w:rPr>
            </w:pPr>
          </w:p>
        </w:tc>
      </w:tr>
      <w:tr w:rsidR="00C33CD2" w:rsidRPr="00F22CB3" w14:paraId="11270CD8"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556217B" w14:textId="77777777" w:rsidR="00C33CD2" w:rsidRPr="00F22CB3" w:rsidRDefault="00C33CD2">
            <w:pPr>
              <w:jc w:val="center"/>
              <w:rPr>
                <w:rFonts w:cstheme="minorHAnsi"/>
                <w:sz w:val="20"/>
              </w:rPr>
            </w:pPr>
            <w:r w:rsidRPr="00F22CB3">
              <w:rPr>
                <w:rFonts w:cstheme="minorHAnsi"/>
                <w:sz w:val="20"/>
              </w:rPr>
              <w:t>8.1.2</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244F200F" w14:textId="0299C51B" w:rsidR="00C33CD2" w:rsidRPr="00F22CB3" w:rsidRDefault="00CE76CA">
            <w:pPr>
              <w:rPr>
                <w:rFonts w:cstheme="minorHAnsi"/>
                <w:sz w:val="20"/>
              </w:rPr>
            </w:pPr>
            <w:r w:rsidRPr="00F22CB3">
              <w:rPr>
                <w:rFonts w:cstheme="minorHAnsi"/>
                <w:sz w:val="20"/>
              </w:rPr>
              <w:t>Los Estados Miembros procurarán alentar la inversión en redes de telecomunicaciones internacionales y promover precios al por mayor competitivos para el tráfico transportado sobre dichas redes de telecomunicación.</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0A8DB805"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9D93FC0" w14:textId="469544E7" w:rsidR="00C33CD2" w:rsidRPr="00F22CB3" w:rsidRDefault="007014B0">
            <w:pPr>
              <w:rPr>
                <w:rFonts w:cstheme="minorHAnsi"/>
                <w:sz w:val="20"/>
              </w:rPr>
            </w:pPr>
            <w:r w:rsidRPr="00F22CB3">
              <w:rPr>
                <w:rFonts w:cstheme="minorHAnsi"/>
                <w:sz w:val="20"/>
              </w:rPr>
              <w:t>Esta disposición no es aplicable en un mercado de telecomunicaciones moderno, en el que las inversiones son decididas y realizadas por empresas privadas, lo que dará lugar a ventas al por mayor competitivas.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E6FA1D6" w14:textId="7623CF6A" w:rsidR="00C33CD2" w:rsidRPr="00F22CB3" w:rsidRDefault="007014B0" w:rsidP="007014B0">
            <w:pPr>
              <w:rPr>
                <w:rFonts w:cstheme="minorHAnsi"/>
                <w:sz w:val="20"/>
              </w:rPr>
            </w:pPr>
            <w:r w:rsidRPr="00F22CB3">
              <w:rPr>
                <w:rFonts w:cstheme="minorHAnsi"/>
                <w:sz w:val="20"/>
              </w:rPr>
              <w:t>En el moderno mercado de telecomunicaciones, las nuevas tendencias y las cuestiones emergentes se gestionan directamente entre las empresas de explotación por medio de acuerdos mutuos.</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3BA05699" w14:textId="77777777" w:rsidR="00C33CD2" w:rsidRPr="00F22CB3" w:rsidRDefault="00C33CD2">
            <w:pPr>
              <w:rPr>
                <w:rFonts w:cstheme="minorHAnsi"/>
                <w:sz w:val="20"/>
              </w:rPr>
            </w:pPr>
          </w:p>
        </w:tc>
      </w:tr>
      <w:tr w:rsidR="00C33CD2" w:rsidRPr="00F22CB3" w14:paraId="326CA670" w14:textId="77777777" w:rsidTr="00331F81">
        <w:trPr>
          <w:cantSplit/>
          <w:trHeight w:val="51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224651B" w14:textId="77777777" w:rsidR="00C33CD2" w:rsidRPr="00F22CB3" w:rsidRDefault="00C33CD2">
            <w:pPr>
              <w:jc w:val="center"/>
              <w:rPr>
                <w:rFonts w:cstheme="minorHAnsi"/>
                <w:sz w:val="20"/>
              </w:rPr>
            </w:pP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69477DD8" w14:textId="56D8FAE2" w:rsidR="00C33CD2" w:rsidRPr="00F22CB3" w:rsidRDefault="00C33CD2">
            <w:pPr>
              <w:rPr>
                <w:rFonts w:cstheme="minorHAnsi"/>
                <w:b/>
                <w:sz w:val="20"/>
              </w:rPr>
            </w:pPr>
            <w:r w:rsidRPr="00F22CB3">
              <w:rPr>
                <w:rFonts w:cstheme="minorHAnsi"/>
                <w:b/>
                <w:sz w:val="20"/>
              </w:rPr>
              <w:t xml:space="preserve">8.2 </w:t>
            </w:r>
            <w:r w:rsidR="000364E2" w:rsidRPr="00F22CB3">
              <w:rPr>
                <w:rFonts w:cstheme="minorHAnsi"/>
                <w:b/>
                <w:bCs/>
                <w:sz w:val="20"/>
              </w:rPr>
              <w:t>Principios relativos a las tasas de distribución</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76B3BAC8"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8117966"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16B29E1" w14:textId="77777777" w:rsidR="00C33CD2" w:rsidRPr="00F22CB3" w:rsidRDefault="00C33CD2">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07325ED4" w14:textId="77777777" w:rsidR="00C33CD2" w:rsidRPr="00F22CB3" w:rsidRDefault="00C33CD2">
            <w:pPr>
              <w:rPr>
                <w:rFonts w:cstheme="minorHAnsi"/>
                <w:sz w:val="20"/>
              </w:rPr>
            </w:pPr>
          </w:p>
        </w:tc>
      </w:tr>
      <w:tr w:rsidR="00C33CD2" w:rsidRPr="00F22CB3" w14:paraId="0E5C87E8"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0D39D73E" w14:textId="77777777" w:rsidR="00C33CD2" w:rsidRPr="00F22CB3" w:rsidRDefault="00C33CD2">
            <w:pPr>
              <w:jc w:val="center"/>
              <w:rPr>
                <w:rFonts w:cstheme="minorHAnsi"/>
                <w:sz w:val="20"/>
              </w:rPr>
            </w:pPr>
            <w:r w:rsidRPr="00F22CB3">
              <w:rPr>
                <w:rFonts w:cstheme="minorHAnsi"/>
                <w:sz w:val="20"/>
              </w:rPr>
              <w:t>8.2.1</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7F03185C" w14:textId="5D1DA729" w:rsidR="00C33CD2" w:rsidRPr="00F22CB3" w:rsidRDefault="000364E2">
            <w:pPr>
              <w:rPr>
                <w:rFonts w:cstheme="minorHAnsi"/>
                <w:sz w:val="20"/>
              </w:rPr>
            </w:pPr>
            <w:r w:rsidRPr="00F22CB3">
              <w:rPr>
                <w:rFonts w:cstheme="minorHAnsi"/>
                <w:sz w:val="20"/>
              </w:rPr>
              <w:t xml:space="preserve">Las disposiciones siguientes podrán ser de aplicación cuando los términos y condiciones de los acuerdos relativos a los servicios internacionales de telecomunicación se establezcan en virtud de los principios de las tasas de distribución, de conformidad con la reglamentación nacional. Dichas disposiciones no </w:t>
            </w:r>
            <w:proofErr w:type="gramStart"/>
            <w:r w:rsidRPr="00F22CB3">
              <w:rPr>
                <w:rFonts w:cstheme="minorHAnsi"/>
                <w:sz w:val="20"/>
              </w:rPr>
              <w:t>son de aplicación</w:t>
            </w:r>
            <w:proofErr w:type="gramEnd"/>
            <w:r w:rsidRPr="00F22CB3">
              <w:rPr>
                <w:rFonts w:cstheme="minorHAnsi"/>
                <w:sz w:val="20"/>
              </w:rPr>
              <w:t xml:space="preserve"> a los acuerdos establecidos mediante acuerdos comerciales.</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34CA77C6"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661A9D7" w14:textId="3F2814FF" w:rsidR="00C33CD2" w:rsidRPr="00F22CB3" w:rsidRDefault="007014B0">
            <w:pPr>
              <w:rPr>
                <w:rFonts w:cstheme="minorHAnsi"/>
                <w:sz w:val="20"/>
              </w:rPr>
            </w:pPr>
            <w:bookmarkStart w:id="24" w:name="lt_pId091"/>
            <w:r w:rsidRPr="00F22CB3">
              <w:rPr>
                <w:rFonts w:cstheme="minorHAnsi"/>
                <w:sz w:val="20"/>
              </w:rPr>
              <w:t>Esta disposición es de aplicación muy limitada, ya que no abarca los acuerdos comerciales, que son la mayoría de los acuerdos en el entorno de las telecomunicaciones modernas</w:t>
            </w:r>
            <w:r w:rsidR="00C33CD2" w:rsidRPr="00F22CB3">
              <w:rPr>
                <w:rFonts w:cstheme="minorHAnsi"/>
                <w:sz w:val="20"/>
              </w:rPr>
              <w:t>.</w:t>
            </w:r>
            <w:bookmarkEnd w:id="24"/>
          </w:p>
          <w:p w14:paraId="7BBD7ECF" w14:textId="6F99FD5C" w:rsidR="00C33CD2" w:rsidRPr="00F22CB3" w:rsidRDefault="007014B0">
            <w:pPr>
              <w:rPr>
                <w:rFonts w:cstheme="minorHAnsi"/>
                <w:sz w:val="20"/>
              </w:rPr>
            </w:pPr>
            <w:r w:rsidRPr="00F22CB3">
              <w:rPr>
                <w:rFonts w:cstheme="minorHAnsi"/>
                <w:sz w:val="20"/>
              </w:rPr>
              <w:t>Además, e</w:t>
            </w:r>
            <w:r w:rsidR="004064BD" w:rsidRPr="00F22CB3">
              <w:rPr>
                <w:rFonts w:cstheme="minorHAnsi"/>
                <w:sz w:val="20"/>
              </w:rPr>
              <w:t xml:space="preserve">sta disposición no es pertinente en un tratado internacional, puesto que se </w:t>
            </w:r>
            <w:r w:rsidR="001A436B" w:rsidRPr="00F22CB3">
              <w:rPr>
                <w:rFonts w:cstheme="minorHAnsi"/>
                <w:sz w:val="20"/>
              </w:rPr>
              <w:t>indica</w:t>
            </w:r>
            <w:r w:rsidR="004064BD" w:rsidRPr="00F22CB3">
              <w:rPr>
                <w:rFonts w:cstheme="minorHAnsi"/>
                <w:sz w:val="20"/>
              </w:rPr>
              <w:t xml:space="preserve"> </w:t>
            </w:r>
            <w:r w:rsidR="00ED71BB" w:rsidRPr="00F22CB3">
              <w:rPr>
                <w:rFonts w:cstheme="minorHAnsi"/>
                <w:sz w:val="20"/>
              </w:rPr>
              <w:t>"</w:t>
            </w:r>
            <w:r w:rsidR="001A436B" w:rsidRPr="00F22CB3">
              <w:rPr>
                <w:rFonts w:cstheme="minorHAnsi"/>
                <w:sz w:val="20"/>
              </w:rPr>
              <w:t>de conformidad con la reglamentación nacional</w:t>
            </w:r>
            <w:r w:rsidR="00ED71BB" w:rsidRPr="00F22CB3">
              <w:rPr>
                <w:rFonts w:cstheme="minorHAnsi"/>
                <w:sz w:val="20"/>
              </w:rPr>
              <w:t>"</w:t>
            </w:r>
            <w:r w:rsidR="001A436B" w:rsidRPr="00F22CB3">
              <w:rPr>
                <w:rFonts w:cstheme="minorHAnsi"/>
                <w:sz w:val="20"/>
              </w:rPr>
              <w:t>.</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FB6C602" w14:textId="5D20F4D8" w:rsidR="00C33CD2" w:rsidRPr="00F22CB3" w:rsidRDefault="001A436B">
            <w:pPr>
              <w:rPr>
                <w:rFonts w:cstheme="minorHAnsi"/>
                <w:sz w:val="20"/>
              </w:rPr>
            </w:pPr>
            <w:bookmarkStart w:id="25" w:name="lt_pId093"/>
            <w:r w:rsidRPr="00F22CB3">
              <w:rPr>
                <w:rFonts w:cstheme="minorHAnsi"/>
                <w:sz w:val="20"/>
              </w:rPr>
              <w:t>Esta disposición no es flexible, ya que no abarca los acuerdos comerciales, que son la mayoría de los acuerdos en el entorno de las telecomunicaciones modernas</w:t>
            </w:r>
            <w:r w:rsidR="00C33CD2" w:rsidRPr="00F22CB3">
              <w:rPr>
                <w:rFonts w:cstheme="minorHAnsi"/>
                <w:sz w:val="20"/>
              </w:rPr>
              <w:t>.</w:t>
            </w:r>
            <w:bookmarkEnd w:id="25"/>
          </w:p>
          <w:p w14:paraId="11D7097B" w14:textId="2B50FDAF" w:rsidR="00C33CD2" w:rsidRPr="00F22CB3" w:rsidRDefault="001A436B">
            <w:pPr>
              <w:rPr>
                <w:rFonts w:cs="Calibri"/>
              </w:rPr>
            </w:pPr>
            <w:r w:rsidRPr="00F22CB3">
              <w:rPr>
                <w:rFonts w:cstheme="minorHAnsi"/>
                <w:sz w:val="20"/>
              </w:rPr>
              <w:t xml:space="preserve">Además, esta disposición no es pertinente en un tratado internacional, puesto que se indica </w:t>
            </w:r>
            <w:r w:rsidR="00ED71BB" w:rsidRPr="00F22CB3">
              <w:rPr>
                <w:rFonts w:cstheme="minorHAnsi"/>
                <w:sz w:val="20"/>
              </w:rPr>
              <w:t>"</w:t>
            </w:r>
            <w:r w:rsidRPr="00F22CB3">
              <w:rPr>
                <w:rFonts w:cstheme="minorHAnsi"/>
                <w:sz w:val="20"/>
              </w:rPr>
              <w:t>de conformidad con la reglamentación nacional</w:t>
            </w:r>
            <w:r w:rsidR="00ED71BB" w:rsidRPr="00F22CB3">
              <w:rPr>
                <w:rFonts w:cstheme="minorHAnsi"/>
                <w:sz w:val="20"/>
              </w:rPr>
              <w:t>"</w:t>
            </w:r>
            <w:r w:rsidRPr="00F22CB3">
              <w:rPr>
                <w:rFonts w:cstheme="minorHAnsi"/>
                <w:sz w:val="20"/>
              </w:rPr>
              <w:t>.</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0193637E" w14:textId="77777777" w:rsidR="00C33CD2" w:rsidRPr="00F22CB3" w:rsidRDefault="00C33CD2">
            <w:pPr>
              <w:rPr>
                <w:rFonts w:cstheme="minorHAnsi"/>
                <w:sz w:val="20"/>
              </w:rPr>
            </w:pPr>
          </w:p>
        </w:tc>
      </w:tr>
      <w:tr w:rsidR="00C33CD2" w:rsidRPr="00F22CB3" w14:paraId="1CED3728"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0ED68C6D" w14:textId="77777777" w:rsidR="00C33CD2" w:rsidRPr="00F22CB3" w:rsidRDefault="00C33CD2">
            <w:pPr>
              <w:jc w:val="center"/>
              <w:rPr>
                <w:rFonts w:cstheme="minorHAnsi"/>
                <w:sz w:val="20"/>
              </w:rPr>
            </w:pPr>
            <w:r w:rsidRPr="00F22CB3">
              <w:rPr>
                <w:rFonts w:cstheme="minorHAnsi"/>
                <w:sz w:val="20"/>
              </w:rPr>
              <w:t>8.2.2</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57D5F8F7" w14:textId="41CB1DC0" w:rsidR="00C33CD2" w:rsidRPr="00F22CB3" w:rsidRDefault="000364E2">
            <w:pPr>
              <w:rPr>
                <w:rFonts w:cstheme="minorHAnsi"/>
                <w:sz w:val="20"/>
              </w:rPr>
            </w:pPr>
            <w:bookmarkStart w:id="26" w:name="lt_pId096"/>
            <w:r w:rsidRPr="00F22CB3">
              <w:rPr>
                <w:rFonts w:cstheme="minorHAnsi"/>
                <w:sz w:val="20"/>
              </w:rPr>
              <w:t>Para cada servicio correspondiente en una relación dada, las empresas de explotación autorizadas establecerán y revisarán por acuerdo mutuo las tasas de distribución aplicables entre ellas de conformidad con las disposiciones del Apéndice 1, habida cuenta de las Recomendaciones UIT-T pertinentes.</w:t>
            </w:r>
            <w:bookmarkEnd w:id="26"/>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46BD093D"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D1841B9" w14:textId="04B89F0E" w:rsidR="00C33CD2" w:rsidRPr="00F22CB3" w:rsidRDefault="001A436B" w:rsidP="001A436B">
            <w:pPr>
              <w:rPr>
                <w:rFonts w:cstheme="minorHAnsi"/>
                <w:sz w:val="20"/>
              </w:rPr>
            </w:pPr>
            <w:r w:rsidRPr="00F22CB3">
              <w:rPr>
                <w:rFonts w:cstheme="minorHAnsi"/>
                <w:sz w:val="20"/>
              </w:rPr>
              <w:t>Esta disposición es de aplicación muy limitada, ya que no abarca los acuerdos comerciales, que son la mayoría de los acuerdos en el entorno de las telecomunicaciones modernas.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69E4AE0" w14:textId="00F580F2" w:rsidR="00C33CD2" w:rsidRPr="00F22CB3" w:rsidRDefault="001A436B">
            <w:pPr>
              <w:rPr>
                <w:rFonts w:cstheme="minorHAnsi"/>
                <w:sz w:val="20"/>
              </w:rPr>
            </w:pPr>
            <w:r w:rsidRPr="00F22CB3">
              <w:rPr>
                <w:rFonts w:cstheme="minorHAnsi"/>
                <w:sz w:val="20"/>
              </w:rPr>
              <w:t>Esta disposición no es flexible, ya que no abarca los acuerdos comerciales, que son la mayoría de los acuerdos en el entorno de las telecomunicaciones modernas.</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01AB1FBD" w14:textId="77777777" w:rsidR="00C33CD2" w:rsidRPr="00F22CB3" w:rsidRDefault="00C33CD2">
            <w:pPr>
              <w:rPr>
                <w:rFonts w:cstheme="minorHAnsi"/>
                <w:sz w:val="20"/>
              </w:rPr>
            </w:pPr>
          </w:p>
        </w:tc>
      </w:tr>
      <w:tr w:rsidR="001A436B" w:rsidRPr="00F22CB3" w14:paraId="13691903"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5369B46D" w14:textId="77777777" w:rsidR="001A436B" w:rsidRPr="00F22CB3" w:rsidRDefault="001A436B" w:rsidP="001A436B">
            <w:pPr>
              <w:jc w:val="center"/>
              <w:rPr>
                <w:rFonts w:cstheme="minorHAnsi"/>
                <w:sz w:val="20"/>
              </w:rPr>
            </w:pPr>
            <w:r w:rsidRPr="00F22CB3">
              <w:rPr>
                <w:rFonts w:cstheme="minorHAnsi"/>
                <w:sz w:val="20"/>
              </w:rPr>
              <w:t>8.2.3</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193BA19A" w14:textId="7DC1A897" w:rsidR="001A436B" w:rsidRPr="00F22CB3" w:rsidRDefault="001A436B" w:rsidP="001A436B">
            <w:pPr>
              <w:rPr>
                <w:rFonts w:cstheme="minorHAnsi"/>
                <w:sz w:val="20"/>
              </w:rPr>
            </w:pPr>
            <w:r w:rsidRPr="00F22CB3">
              <w:rPr>
                <w:rFonts w:cstheme="minorHAnsi"/>
                <w:sz w:val="20"/>
              </w:rPr>
              <w:t>A menos que se acuerde otra cosa, las partes que participen en la prestación de servicios internacionales de telecomunicación lo harán de conformidad con las disposiciones pertinentes según se establece en los Apéndices 1 y 2.</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1FB348EB" w14:textId="77777777" w:rsidR="001A436B" w:rsidRPr="00F22CB3" w:rsidRDefault="001A436B" w:rsidP="001A436B">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C012D26" w14:textId="1F700E75" w:rsidR="001A436B" w:rsidRPr="00F22CB3" w:rsidRDefault="001A436B" w:rsidP="001A436B">
            <w:pPr>
              <w:rPr>
                <w:rFonts w:cstheme="minorHAnsi"/>
                <w:sz w:val="20"/>
              </w:rPr>
            </w:pPr>
            <w:r w:rsidRPr="00F22CB3">
              <w:rPr>
                <w:rFonts w:cstheme="minorHAnsi"/>
                <w:sz w:val="20"/>
              </w:rPr>
              <w:t>Esta disposición es de aplicación muy limitada, ya que no abarca los acuerdos comerciales, que son la mayoría de los acuerdos en el entorno de las telecomunicaciones modernas.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0AAB48A" w14:textId="65607DE8" w:rsidR="001A436B" w:rsidRPr="00F22CB3" w:rsidRDefault="001A436B" w:rsidP="001A436B">
            <w:pPr>
              <w:rPr>
                <w:rFonts w:cstheme="minorHAnsi"/>
                <w:sz w:val="20"/>
              </w:rPr>
            </w:pPr>
            <w:r w:rsidRPr="00F22CB3">
              <w:rPr>
                <w:rFonts w:cstheme="minorHAnsi"/>
                <w:sz w:val="20"/>
              </w:rPr>
              <w:t>Esta disposición no es flexible, ya que no abarca los acuerdos comerciales, que son la mayoría de los acuerdos en el entorno de las telecomunicaciones modernas.</w:t>
            </w:r>
          </w:p>
          <w:p w14:paraId="142DD31D" w14:textId="28E768C2" w:rsidR="001A436B" w:rsidRPr="00F22CB3" w:rsidRDefault="001A436B" w:rsidP="001A436B">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3D08BDE0" w14:textId="77777777" w:rsidR="001A436B" w:rsidRPr="00F22CB3" w:rsidRDefault="001A436B" w:rsidP="001A436B">
            <w:pPr>
              <w:rPr>
                <w:rFonts w:cstheme="minorHAnsi"/>
                <w:sz w:val="20"/>
              </w:rPr>
            </w:pPr>
          </w:p>
        </w:tc>
      </w:tr>
      <w:tr w:rsidR="001A436B" w:rsidRPr="00F22CB3" w14:paraId="49FDF9F5"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1F14B60" w14:textId="77777777" w:rsidR="001A436B" w:rsidRPr="00F22CB3" w:rsidRDefault="001A436B" w:rsidP="001A436B">
            <w:pPr>
              <w:jc w:val="center"/>
              <w:rPr>
                <w:rFonts w:cstheme="minorHAnsi"/>
                <w:sz w:val="20"/>
              </w:rPr>
            </w:pPr>
            <w:r w:rsidRPr="00F22CB3">
              <w:rPr>
                <w:rFonts w:cstheme="minorHAnsi"/>
                <w:sz w:val="20"/>
              </w:rPr>
              <w:t>8.2.4</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60E5800F" w14:textId="5ECA7695" w:rsidR="001A436B" w:rsidRPr="00F22CB3" w:rsidRDefault="001A436B" w:rsidP="001A436B">
            <w:pPr>
              <w:rPr>
                <w:rFonts w:cstheme="minorHAnsi"/>
                <w:sz w:val="20"/>
              </w:rPr>
            </w:pPr>
            <w:r w:rsidRPr="00F22CB3">
              <w:rPr>
                <w:rFonts w:cstheme="minorHAnsi"/>
                <w:sz w:val="20"/>
              </w:rPr>
              <w:t>En defecto de acuerdos particulares entre empresas de explotación autorizadas, la unidad monetaria empleada para fijar las tasas de distribución aplicables a los servicios internacionales de telecomunicación y para el establecimiento de las cuentas internacionales será:</w:t>
            </w:r>
          </w:p>
          <w:p w14:paraId="5F6EA5A6" w14:textId="234DCD7F" w:rsidR="001A436B" w:rsidRPr="00F22CB3" w:rsidRDefault="001A436B" w:rsidP="001A436B">
            <w:pPr>
              <w:rPr>
                <w:rFonts w:cstheme="minorHAnsi"/>
                <w:sz w:val="20"/>
              </w:rPr>
            </w:pPr>
            <w:r w:rsidRPr="00F22CB3">
              <w:rPr>
                <w:rFonts w:cstheme="minorHAnsi"/>
                <w:sz w:val="20"/>
              </w:rPr>
              <w:t>–</w:t>
            </w:r>
            <w:r w:rsidRPr="00F22CB3">
              <w:rPr>
                <w:rFonts w:cstheme="minorHAnsi"/>
                <w:sz w:val="20"/>
              </w:rPr>
              <w:tab/>
            </w:r>
            <w:bookmarkStart w:id="27" w:name="lt_pId106"/>
            <w:r w:rsidRPr="00F22CB3">
              <w:rPr>
                <w:rFonts w:cstheme="minorHAnsi"/>
                <w:sz w:val="20"/>
              </w:rPr>
              <w:t>la unidad monetaria del Fondo Monetario Internacional (FMI), actualmente el Derecho Especial de Giro (</w:t>
            </w:r>
            <w:proofErr w:type="spellStart"/>
            <w:r w:rsidRPr="00F22CB3">
              <w:rPr>
                <w:rFonts w:cstheme="minorHAnsi"/>
                <w:sz w:val="20"/>
              </w:rPr>
              <w:t>DEG</w:t>
            </w:r>
            <w:proofErr w:type="spellEnd"/>
            <w:r w:rsidRPr="00F22CB3">
              <w:rPr>
                <w:rFonts w:cstheme="minorHAnsi"/>
                <w:sz w:val="20"/>
              </w:rPr>
              <w:t>), definida por esta organización;</w:t>
            </w:r>
            <w:bookmarkEnd w:id="27"/>
          </w:p>
          <w:p w14:paraId="32D5C838" w14:textId="28412658" w:rsidR="001A436B" w:rsidRPr="00F22CB3" w:rsidRDefault="001A436B" w:rsidP="001A436B">
            <w:pPr>
              <w:rPr>
                <w:rFonts w:cstheme="minorHAnsi"/>
                <w:sz w:val="20"/>
              </w:rPr>
            </w:pPr>
            <w:r w:rsidRPr="00F22CB3">
              <w:rPr>
                <w:rFonts w:cstheme="minorHAnsi"/>
                <w:sz w:val="20"/>
              </w:rPr>
              <w:t>–</w:t>
            </w:r>
            <w:r w:rsidRPr="00F22CB3">
              <w:rPr>
                <w:rFonts w:cstheme="minorHAnsi"/>
                <w:sz w:val="20"/>
              </w:rPr>
              <w:tab/>
              <w:t>o divisas libremente convertibles u otras unidades monetarias acordadas entre las empresas de explotación autorizadas.</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4E6EC9EF" w14:textId="77777777" w:rsidR="001A436B" w:rsidRPr="00F22CB3" w:rsidRDefault="001A436B" w:rsidP="001A436B">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B45BB81" w14:textId="6A53B49E" w:rsidR="001A436B" w:rsidRPr="00F22CB3" w:rsidRDefault="001A436B" w:rsidP="001A436B">
            <w:pPr>
              <w:rPr>
                <w:rFonts w:cstheme="minorHAnsi"/>
                <w:sz w:val="20"/>
              </w:rPr>
            </w:pPr>
            <w:r w:rsidRPr="00F22CB3">
              <w:rPr>
                <w:rFonts w:cstheme="minorHAnsi"/>
                <w:sz w:val="20"/>
              </w:rPr>
              <w:t>Esta disposición es de aplicación muy limitada, ya que no abarca los acuerdos comerciales, que son la mayoría de los acuerdos en el entorno de las telecomunicaciones modernas.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9CA34C2" w14:textId="6668BE68" w:rsidR="001A436B" w:rsidRPr="00F22CB3" w:rsidRDefault="001A436B" w:rsidP="001A436B">
            <w:pPr>
              <w:rPr>
                <w:rFonts w:cstheme="minorHAnsi"/>
                <w:sz w:val="20"/>
              </w:rPr>
            </w:pPr>
            <w:r w:rsidRPr="00F22CB3">
              <w:rPr>
                <w:rFonts w:cstheme="minorHAnsi"/>
                <w:sz w:val="20"/>
              </w:rPr>
              <w:t>Esta disposición no es flexible, ya que no abarca los acuerdos comerciales, que son la mayoría de los acuerdos en el entorno de las telecomunicaciones modernas.</w:t>
            </w:r>
          </w:p>
          <w:p w14:paraId="0D370A00" w14:textId="2844FDD2" w:rsidR="001A436B" w:rsidRPr="00F22CB3" w:rsidRDefault="001A436B" w:rsidP="001A436B">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13875614" w14:textId="77777777" w:rsidR="001A436B" w:rsidRPr="00F22CB3" w:rsidRDefault="001A436B" w:rsidP="001A436B">
            <w:pPr>
              <w:rPr>
                <w:rFonts w:cstheme="minorHAnsi"/>
                <w:sz w:val="20"/>
              </w:rPr>
            </w:pPr>
          </w:p>
        </w:tc>
      </w:tr>
      <w:tr w:rsidR="001A436B" w:rsidRPr="00F22CB3" w14:paraId="2697A48A"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F6B0ACA" w14:textId="77777777" w:rsidR="001A436B" w:rsidRPr="00F22CB3" w:rsidRDefault="001A436B" w:rsidP="001A436B">
            <w:pPr>
              <w:jc w:val="center"/>
              <w:rPr>
                <w:rFonts w:cstheme="minorHAnsi"/>
                <w:sz w:val="20"/>
              </w:rPr>
            </w:pPr>
            <w:r w:rsidRPr="00F22CB3">
              <w:rPr>
                <w:rFonts w:cstheme="minorHAnsi"/>
                <w:sz w:val="20"/>
              </w:rPr>
              <w:t>8.2.5</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3889B89B" w14:textId="7B29D30A" w:rsidR="001A436B" w:rsidRPr="00F22CB3" w:rsidRDefault="001A436B" w:rsidP="001A436B">
            <w:pPr>
              <w:rPr>
                <w:rFonts w:cstheme="minorHAnsi"/>
                <w:sz w:val="20"/>
              </w:rPr>
            </w:pPr>
            <w:r w:rsidRPr="00F22CB3">
              <w:rPr>
                <w:rFonts w:cstheme="minorHAnsi"/>
                <w:sz w:val="20"/>
              </w:rPr>
              <w:t>En principio, las tasas que se imponen a los clientes por una misma prestación deberán ser idénticas en una relación determinada, cualquiera que sea la ruta internacional utilizada para esa comunicación. Los Estados Miembros deben evitar que en el establecimiento de dichas tasas exista una asimetría entre las tasas aplicables en cada sentido de una misma relación.</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167BE841" w14:textId="77777777" w:rsidR="001A436B" w:rsidRPr="00F22CB3" w:rsidRDefault="001A436B" w:rsidP="001A436B">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A89C634" w14:textId="0D7FA8B6" w:rsidR="001A436B" w:rsidRPr="00F22CB3" w:rsidRDefault="001A436B" w:rsidP="001A436B">
            <w:pPr>
              <w:rPr>
                <w:rFonts w:cstheme="minorHAnsi"/>
                <w:sz w:val="20"/>
              </w:rPr>
            </w:pPr>
            <w:r w:rsidRPr="00F22CB3">
              <w:rPr>
                <w:rFonts w:cstheme="minorHAnsi"/>
                <w:sz w:val="20"/>
              </w:rPr>
              <w:t>Esta disposición es de aplicación muy limitada, ya que no abarca los acuerdos comerciales, que son la mayoría de los acuerdos en el entorno de las telecomunicaciones modernas.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9D33F85" w14:textId="5B5D7DB6" w:rsidR="001A436B" w:rsidRPr="00F22CB3" w:rsidRDefault="001A436B" w:rsidP="001A436B">
            <w:pPr>
              <w:rPr>
                <w:rFonts w:cstheme="minorHAnsi"/>
                <w:sz w:val="20"/>
              </w:rPr>
            </w:pPr>
            <w:r w:rsidRPr="00F22CB3">
              <w:rPr>
                <w:rFonts w:cstheme="minorHAnsi"/>
                <w:sz w:val="20"/>
              </w:rPr>
              <w:t>Esta disposición no es flexible, ya que no abarca los acuerdos comerciales, que son la mayoría de los acuerdos en el entorno de las telecomunicaciones modernas.</w:t>
            </w:r>
          </w:p>
          <w:p w14:paraId="02858266" w14:textId="75780E8D" w:rsidR="001A436B" w:rsidRPr="00F22CB3" w:rsidRDefault="001A436B" w:rsidP="001A436B">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56E83DCC" w14:textId="77777777" w:rsidR="001A436B" w:rsidRPr="00F22CB3" w:rsidRDefault="001A436B" w:rsidP="001A436B">
            <w:pPr>
              <w:rPr>
                <w:rFonts w:cstheme="minorHAnsi"/>
                <w:sz w:val="20"/>
              </w:rPr>
            </w:pPr>
          </w:p>
        </w:tc>
      </w:tr>
      <w:tr w:rsidR="00C33CD2" w:rsidRPr="00F22CB3" w14:paraId="467551C3" w14:textId="77777777" w:rsidTr="00331F81">
        <w:trPr>
          <w:cantSplit/>
          <w:trHeight w:val="358"/>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28FFC0E" w14:textId="77777777" w:rsidR="00C33CD2" w:rsidRPr="00F22CB3" w:rsidRDefault="00C33CD2" w:rsidP="00AF1C77">
            <w:pPr>
              <w:keepNext/>
              <w:keepLines/>
              <w:jc w:val="center"/>
              <w:rPr>
                <w:rFonts w:cstheme="minorHAnsi"/>
                <w:sz w:val="20"/>
              </w:rPr>
            </w:pP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08C5683A" w14:textId="0C352DCA" w:rsidR="00C33CD2" w:rsidRPr="00F22CB3" w:rsidRDefault="00C33CD2" w:rsidP="00AF1C77">
            <w:pPr>
              <w:keepNext/>
              <w:keepLines/>
              <w:rPr>
                <w:rFonts w:cstheme="minorHAnsi"/>
                <w:b/>
                <w:sz w:val="20"/>
              </w:rPr>
            </w:pPr>
            <w:r w:rsidRPr="00F22CB3">
              <w:rPr>
                <w:rFonts w:cstheme="minorHAnsi"/>
                <w:b/>
                <w:sz w:val="20"/>
              </w:rPr>
              <w:t xml:space="preserve">8.3 </w:t>
            </w:r>
            <w:r w:rsidR="000364E2" w:rsidRPr="00F22CB3">
              <w:rPr>
                <w:rFonts w:cstheme="minorHAnsi"/>
                <w:b/>
                <w:bCs/>
                <w:sz w:val="20"/>
              </w:rPr>
              <w:t>Fiscalidad</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183C22F5"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615D915"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F35F0CB" w14:textId="77777777" w:rsidR="00C33CD2" w:rsidRPr="00F22CB3" w:rsidRDefault="00C33CD2">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73636061" w14:textId="77777777" w:rsidR="00C33CD2" w:rsidRPr="00F22CB3" w:rsidRDefault="00C33CD2">
            <w:pPr>
              <w:rPr>
                <w:rFonts w:cstheme="minorHAnsi"/>
                <w:sz w:val="20"/>
              </w:rPr>
            </w:pPr>
          </w:p>
        </w:tc>
      </w:tr>
      <w:tr w:rsidR="00C33CD2" w:rsidRPr="00F22CB3" w14:paraId="040ECB59"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DCE8EAB" w14:textId="77777777" w:rsidR="00C33CD2" w:rsidRPr="00F22CB3" w:rsidRDefault="00C33CD2">
            <w:pPr>
              <w:jc w:val="center"/>
              <w:rPr>
                <w:rFonts w:cstheme="minorHAnsi"/>
                <w:sz w:val="20"/>
              </w:rPr>
            </w:pPr>
            <w:r w:rsidRPr="00F22CB3">
              <w:rPr>
                <w:rFonts w:cstheme="minorHAnsi"/>
                <w:sz w:val="20"/>
              </w:rPr>
              <w:t>8.3.1</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1843EE05" w14:textId="27656FD7" w:rsidR="00C33CD2" w:rsidRPr="00F22CB3" w:rsidRDefault="00383B00">
            <w:pPr>
              <w:rPr>
                <w:rFonts w:cstheme="minorHAnsi"/>
                <w:sz w:val="20"/>
              </w:rPr>
            </w:pPr>
            <w:r w:rsidRPr="00F22CB3">
              <w:rPr>
                <w:rFonts w:cstheme="minorHAnsi"/>
                <w:sz w:val="20"/>
              </w:rPr>
              <w: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010EFCA1"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6FE528E" w14:textId="2CAC9878" w:rsidR="00C33CD2" w:rsidRPr="00F22CB3" w:rsidRDefault="001A436B">
            <w:pPr>
              <w:rPr>
                <w:rFonts w:cstheme="minorHAnsi"/>
                <w:sz w:val="20"/>
              </w:rPr>
            </w:pPr>
            <w:bookmarkStart w:id="28" w:name="lt_pId120"/>
            <w:r w:rsidRPr="00F22CB3">
              <w:rPr>
                <w:rFonts w:cstheme="minorHAnsi"/>
                <w:sz w:val="20"/>
              </w:rPr>
              <w:t>Esta disposición no es aplicable, ya que, con el desarrollo del entorno de las telecomunicaciones, no está claro si en el futuro existirá una cuestión como las circunstancias especiales.</w:t>
            </w:r>
            <w:bookmarkEnd w:id="28"/>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5B1CF8D" w14:textId="7461F5E7" w:rsidR="00C33CD2" w:rsidRPr="00F22CB3" w:rsidRDefault="001A436B">
            <w:pPr>
              <w:rPr>
                <w:rFonts w:cstheme="minorHAnsi"/>
                <w:sz w:val="20"/>
              </w:rPr>
            </w:pPr>
            <w:bookmarkStart w:id="29" w:name="lt_pId121"/>
            <w:r w:rsidRPr="00F22CB3">
              <w:rPr>
                <w:rFonts w:cstheme="minorHAnsi"/>
                <w:sz w:val="20"/>
              </w:rPr>
              <w:t>Esta disposición no es flexible ya que el desarrollo de las telecomunicaciones es impredecible y por lo tanto no está claro qué podría entenderse por circunstancias especiales en el futuro</w:t>
            </w:r>
            <w:r w:rsidR="00C33CD2" w:rsidRPr="00F22CB3">
              <w:rPr>
                <w:rFonts w:cstheme="minorHAnsi"/>
                <w:sz w:val="20"/>
              </w:rPr>
              <w:t>.</w:t>
            </w:r>
            <w:bookmarkEnd w:id="29"/>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217441D8" w14:textId="77777777" w:rsidR="00C33CD2" w:rsidRPr="00F22CB3" w:rsidRDefault="00C33CD2">
            <w:pPr>
              <w:rPr>
                <w:rFonts w:cstheme="minorHAnsi"/>
                <w:sz w:val="20"/>
              </w:rPr>
            </w:pPr>
          </w:p>
        </w:tc>
      </w:tr>
      <w:tr w:rsidR="00C33CD2" w:rsidRPr="00F22CB3" w14:paraId="1256371E" w14:textId="77777777" w:rsidTr="00331F81">
        <w:trPr>
          <w:cantSplit/>
          <w:trHeight w:val="35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69BBA92" w14:textId="77777777" w:rsidR="00C33CD2" w:rsidRPr="00F22CB3" w:rsidRDefault="00C33CD2">
            <w:pPr>
              <w:jc w:val="center"/>
              <w:rPr>
                <w:rFonts w:cstheme="minorHAnsi"/>
                <w:sz w:val="20"/>
              </w:rPr>
            </w:pP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5F515771" w14:textId="39D4D852" w:rsidR="00C33CD2" w:rsidRPr="00F22CB3" w:rsidRDefault="00C33CD2">
            <w:pPr>
              <w:rPr>
                <w:rFonts w:cstheme="minorHAnsi"/>
                <w:b/>
                <w:sz w:val="20"/>
              </w:rPr>
            </w:pPr>
            <w:r w:rsidRPr="00F22CB3">
              <w:rPr>
                <w:rFonts w:cstheme="minorHAnsi"/>
                <w:b/>
                <w:sz w:val="20"/>
              </w:rPr>
              <w:t xml:space="preserve">8.4 </w:t>
            </w:r>
            <w:r w:rsidR="00383B00" w:rsidRPr="00F22CB3">
              <w:rPr>
                <w:rFonts w:cstheme="minorHAnsi"/>
                <w:b/>
                <w:sz w:val="20"/>
              </w:rPr>
              <w:t>Telecomunicación de servicio</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4E94732D"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013591E"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14EB095" w14:textId="77777777" w:rsidR="00C33CD2" w:rsidRPr="00F22CB3" w:rsidRDefault="00C33CD2">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72D9386A" w14:textId="77777777" w:rsidR="00C33CD2" w:rsidRPr="00F22CB3" w:rsidRDefault="00C33CD2">
            <w:pPr>
              <w:rPr>
                <w:rFonts w:cstheme="minorHAnsi"/>
                <w:sz w:val="20"/>
              </w:rPr>
            </w:pPr>
          </w:p>
        </w:tc>
      </w:tr>
      <w:tr w:rsidR="00C33CD2" w:rsidRPr="00F22CB3" w14:paraId="488D9E85"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08D3013" w14:textId="77777777" w:rsidR="00C33CD2" w:rsidRPr="00F22CB3" w:rsidRDefault="00C33CD2">
            <w:pPr>
              <w:jc w:val="center"/>
              <w:rPr>
                <w:rFonts w:cstheme="minorHAnsi"/>
                <w:sz w:val="20"/>
              </w:rPr>
            </w:pPr>
            <w:r w:rsidRPr="00F22CB3">
              <w:rPr>
                <w:rFonts w:cstheme="minorHAnsi"/>
                <w:sz w:val="20"/>
              </w:rPr>
              <w:t>8.4.1</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137A08E5" w14:textId="22941DCC" w:rsidR="00C33CD2" w:rsidRPr="00F22CB3" w:rsidRDefault="00383B00">
            <w:pPr>
              <w:rPr>
                <w:rFonts w:cstheme="minorHAnsi"/>
                <w:sz w:val="20"/>
              </w:rPr>
            </w:pPr>
            <w:r w:rsidRPr="00F22CB3">
              <w:rPr>
                <w:rFonts w:cstheme="minorHAnsi"/>
                <w:sz w:val="20"/>
              </w:rPr>
              <w:t>Las empresas de explotación autorizadas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 autorizadas pueden proporcionar dichos servicios de telecomunicación de forma gratuita.</w:t>
            </w: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4BB3F150"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413146D" w14:textId="092F2A5D" w:rsidR="001A436B" w:rsidRPr="00F22CB3" w:rsidRDefault="001A436B">
            <w:pPr>
              <w:rPr>
                <w:rFonts w:cstheme="minorHAnsi"/>
                <w:sz w:val="20"/>
              </w:rPr>
            </w:pPr>
            <w:bookmarkStart w:id="30" w:name="lt_pId127"/>
            <w:r w:rsidRPr="00F22CB3">
              <w:rPr>
                <w:rFonts w:cstheme="minorHAnsi"/>
                <w:sz w:val="20"/>
              </w:rPr>
              <w:t>Esta disposición se refiere a las acciones que un organismo "podrá" realizar y, por lo tanto, no debe incluirse en un Tratado.</w:t>
            </w:r>
          </w:p>
          <w:bookmarkEnd w:id="30"/>
          <w:p w14:paraId="3B76435B" w14:textId="77777777" w:rsidR="00C33CD2" w:rsidRPr="00F22CB3" w:rsidRDefault="00C33CD2" w:rsidP="001A436B">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C65964A" w14:textId="6D23959A" w:rsidR="001A436B" w:rsidRPr="00F22CB3" w:rsidRDefault="001A436B" w:rsidP="001A436B">
            <w:pPr>
              <w:rPr>
                <w:rFonts w:cstheme="minorHAnsi"/>
                <w:sz w:val="20"/>
              </w:rPr>
            </w:pPr>
            <w:bookmarkStart w:id="31" w:name="lt_pId128"/>
            <w:r w:rsidRPr="00F22CB3">
              <w:rPr>
                <w:rFonts w:cstheme="minorHAnsi"/>
                <w:sz w:val="20"/>
              </w:rPr>
              <w:t>Esta disposición se refiere a las acciones que un organismo "podrá" realizar y, por lo tanto, no está clara en lo que atañe a su flexibilidad para adaptarse a las nuevas tendencias y a los problemas emergentes.</w:t>
            </w:r>
          </w:p>
          <w:bookmarkEnd w:id="31"/>
          <w:p w14:paraId="60457C2E" w14:textId="77777777" w:rsidR="00C33CD2" w:rsidRPr="00F22CB3" w:rsidRDefault="00C33CD2" w:rsidP="001A436B">
            <w:pPr>
              <w:rPr>
                <w:rFonts w:cstheme="minorHAnsi"/>
                <w:sz w:val="20"/>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64B9D783" w14:textId="77777777" w:rsidR="00C33CD2" w:rsidRPr="00F22CB3" w:rsidRDefault="00C33CD2">
            <w:pPr>
              <w:rPr>
                <w:rFonts w:cstheme="minorHAnsi"/>
                <w:sz w:val="20"/>
              </w:rPr>
            </w:pPr>
          </w:p>
        </w:tc>
      </w:tr>
      <w:tr w:rsidR="00C33CD2" w:rsidRPr="00F22CB3" w14:paraId="053A215E" w14:textId="77777777" w:rsidTr="00331F81">
        <w:trPr>
          <w:cantSplit/>
          <w:trHeight w:val="1320"/>
          <w:jc w:val="center"/>
        </w:trPr>
        <w:tc>
          <w:tcPr>
            <w:tcW w:w="891"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7C073DAA" w14:textId="77777777" w:rsidR="00C33CD2" w:rsidRPr="00F22CB3" w:rsidRDefault="00C33CD2">
            <w:pPr>
              <w:jc w:val="center"/>
              <w:rPr>
                <w:rFonts w:cstheme="minorHAnsi"/>
                <w:sz w:val="20"/>
              </w:rPr>
            </w:pPr>
            <w:r w:rsidRPr="00F22CB3">
              <w:rPr>
                <w:rFonts w:cstheme="minorHAnsi"/>
                <w:sz w:val="20"/>
              </w:rPr>
              <w:t>8.4.2</w:t>
            </w:r>
          </w:p>
        </w:tc>
        <w:tc>
          <w:tcPr>
            <w:tcW w:w="3276" w:type="dxa"/>
            <w:tcBorders>
              <w:top w:val="nil"/>
              <w:left w:val="nil"/>
              <w:bottom w:val="single" w:sz="8" w:space="0" w:color="000000"/>
              <w:right w:val="single" w:sz="8" w:space="0" w:color="000000"/>
            </w:tcBorders>
            <w:tcMar>
              <w:top w:w="56" w:type="dxa"/>
              <w:left w:w="56" w:type="dxa"/>
              <w:bottom w:w="56" w:type="dxa"/>
              <w:right w:w="56" w:type="dxa"/>
            </w:tcMar>
          </w:tcPr>
          <w:p w14:paraId="02E46BAB" w14:textId="77777777" w:rsidR="00C33CD2" w:rsidRPr="00F22CB3" w:rsidRDefault="00383B00">
            <w:pPr>
              <w:rPr>
                <w:rFonts w:cstheme="minorHAnsi"/>
                <w:sz w:val="20"/>
              </w:rPr>
            </w:pPr>
            <w:r w:rsidRPr="00F22CB3">
              <w:rPr>
                <w:rFonts w:cstheme="minorHAnsi"/>
                <w:sz w:val="20"/>
              </w:rPr>
              <w:t>Los principios generales de explotación, tasación y contabilidad aplicables a las telecomunicaciones de servicio deberían tener en cuenta las Recomendaciones UIT</w:t>
            </w:r>
            <w:r w:rsidRPr="00F22CB3">
              <w:rPr>
                <w:rFonts w:cstheme="minorHAnsi"/>
                <w:sz w:val="20"/>
              </w:rPr>
              <w:noBreakHyphen/>
              <w:t>T pertinentes.</w:t>
            </w:r>
          </w:p>
          <w:p w14:paraId="3CD58B6F" w14:textId="30E601EB" w:rsidR="001A436B" w:rsidRPr="00F22CB3" w:rsidRDefault="001A436B" w:rsidP="001A436B">
            <w:pPr>
              <w:jc w:val="right"/>
              <w:rPr>
                <w:rFonts w:cstheme="minorHAnsi"/>
                <w:sz w:val="20"/>
              </w:rPr>
            </w:pPr>
          </w:p>
        </w:tc>
        <w:tc>
          <w:tcPr>
            <w:tcW w:w="3171" w:type="dxa"/>
            <w:tcBorders>
              <w:top w:val="nil"/>
              <w:left w:val="nil"/>
              <w:bottom w:val="single" w:sz="8" w:space="0" w:color="000000"/>
              <w:right w:val="single" w:sz="8" w:space="0" w:color="000000"/>
            </w:tcBorders>
            <w:tcMar>
              <w:top w:w="56" w:type="dxa"/>
              <w:left w:w="56" w:type="dxa"/>
              <w:bottom w:w="56" w:type="dxa"/>
              <w:right w:w="56" w:type="dxa"/>
            </w:tcMar>
          </w:tcPr>
          <w:p w14:paraId="6752F1B8" w14:textId="77777777" w:rsidR="00C33CD2" w:rsidRPr="00F22CB3" w:rsidRDefault="00C33CD2">
            <w:pPr>
              <w:rPr>
                <w:rFonts w:cstheme="minorHAnsi"/>
                <w:sz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4101C39" w14:textId="64AEE606" w:rsidR="00C33CD2" w:rsidRPr="00F22CB3" w:rsidRDefault="001A436B">
            <w:pPr>
              <w:rPr>
                <w:rFonts w:cstheme="minorHAnsi"/>
                <w:sz w:val="20"/>
              </w:rPr>
            </w:pPr>
            <w:bookmarkStart w:id="32" w:name="lt_pId131"/>
            <w:r w:rsidRPr="00F22CB3">
              <w:rPr>
                <w:rFonts w:cstheme="minorHAnsi"/>
                <w:sz w:val="20"/>
              </w:rPr>
              <w:t>Esta disposición es bastante general y, por lo tanto, siempre aplicable</w:t>
            </w:r>
            <w:r w:rsidR="00C33CD2" w:rsidRPr="00F22CB3">
              <w:rPr>
                <w:rFonts w:cstheme="minorHAnsi"/>
                <w:sz w:val="20"/>
              </w:rPr>
              <w:t>.</w:t>
            </w:r>
            <w:bookmarkEnd w:id="32"/>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8A31375" w14:textId="789419CE" w:rsidR="00AF1C77" w:rsidRPr="00F22CB3" w:rsidRDefault="000456FB">
            <w:pPr>
              <w:rPr>
                <w:rFonts w:cstheme="minorHAnsi"/>
                <w:sz w:val="20"/>
              </w:rPr>
            </w:pPr>
            <w:r w:rsidRPr="00F22CB3">
              <w:rPr>
                <w:rFonts w:cstheme="minorHAnsi"/>
                <w:sz w:val="20"/>
              </w:rPr>
              <w:t>Esta disposición no es flexible.</w:t>
            </w:r>
          </w:p>
          <w:p w14:paraId="2917A4A1" w14:textId="24BB6D7E" w:rsidR="00C33CD2" w:rsidRPr="00F22CB3" w:rsidRDefault="004064BD">
            <w:pPr>
              <w:rPr>
                <w:rFonts w:cstheme="minorHAnsi"/>
                <w:sz w:val="20"/>
              </w:rPr>
            </w:pPr>
            <w:r w:rsidRPr="00F22CB3">
              <w:rPr>
                <w:rFonts w:cstheme="minorHAnsi"/>
                <w:sz w:val="20"/>
              </w:rPr>
              <w:t>No está claro cómo cumplir con esta disposición, porque es poco probable que haya Recomendaciones sobre las tendencias y problemas más recientes.</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0B1379F3" w14:textId="77777777" w:rsidR="00C33CD2" w:rsidRPr="00F22CB3" w:rsidRDefault="00C33CD2">
            <w:pPr>
              <w:rPr>
                <w:rFonts w:cstheme="minorHAnsi"/>
                <w:sz w:val="20"/>
              </w:rPr>
            </w:pPr>
          </w:p>
        </w:tc>
      </w:tr>
    </w:tbl>
    <w:p w14:paraId="12E76C17" w14:textId="5783424B" w:rsidR="00C33CD2" w:rsidRPr="00F22CB3" w:rsidRDefault="00F06E56" w:rsidP="001614D6">
      <w:bookmarkStart w:id="33" w:name="lt_pId134"/>
      <w:r w:rsidRPr="00F22CB3">
        <w:t>Nuestros puntos de vista sobre el Apéndice 1 ya se tratan en el análisis de los artículos 5 a 8, por lo que no se incluyen de nuevo para evitar duplicaciones.</w:t>
      </w:r>
      <w:bookmarkEnd w:id="33"/>
    </w:p>
    <w:p w14:paraId="619324A4" w14:textId="77777777" w:rsidR="0037734B" w:rsidRPr="00F22CB3" w:rsidRDefault="0037734B" w:rsidP="00411C49">
      <w:pPr>
        <w:pStyle w:val="Reasons"/>
      </w:pPr>
    </w:p>
    <w:p w14:paraId="64F188E8" w14:textId="77777777" w:rsidR="0037734B" w:rsidRPr="00F22CB3" w:rsidRDefault="0037734B">
      <w:pPr>
        <w:jc w:val="center"/>
      </w:pPr>
      <w:r w:rsidRPr="00F22CB3">
        <w:t>______________</w:t>
      </w:r>
    </w:p>
    <w:sectPr w:rsidR="0037734B" w:rsidRPr="00F22CB3" w:rsidSect="00A275AE">
      <w:headerReference w:type="default" r:id="rId10"/>
      <w:footerReference w:type="default" r:id="rId11"/>
      <w:headerReference w:type="first" r:id="rId12"/>
      <w:footerReference w:type="first" r:id="rId1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D2272" w14:textId="77777777" w:rsidR="00C33CD2" w:rsidRDefault="00C33CD2">
      <w:r>
        <w:separator/>
      </w:r>
    </w:p>
  </w:endnote>
  <w:endnote w:type="continuationSeparator" w:id="0">
    <w:p w14:paraId="405F5365" w14:textId="77777777" w:rsidR="00C33CD2" w:rsidRDefault="00C3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D685" w14:textId="59B2A99C" w:rsidR="00440381" w:rsidRPr="00A275AE" w:rsidRDefault="00440381" w:rsidP="00440381">
    <w:pPr>
      <w:pStyle w:val="Footer"/>
      <w:rPr>
        <w:szCs w:val="16"/>
        <w:lang w:val="en-GB"/>
      </w:rPr>
    </w:pPr>
    <w:r w:rsidRPr="00A275AE">
      <w:rPr>
        <w:szCs w:val="16"/>
      </w:rPr>
      <w:fldChar w:fldCharType="begin"/>
    </w:r>
    <w:r w:rsidRPr="00A275AE">
      <w:rPr>
        <w:szCs w:val="16"/>
        <w:lang w:val="en-GB"/>
      </w:rPr>
      <w:instrText xml:space="preserve"> FILENAME \p  \* MERGEFORMAT </w:instrText>
    </w:r>
    <w:r w:rsidRPr="00A275AE">
      <w:rPr>
        <w:szCs w:val="16"/>
      </w:rPr>
      <w:fldChar w:fldCharType="separate"/>
    </w:r>
    <w:r w:rsidR="001614D6">
      <w:rPr>
        <w:szCs w:val="16"/>
        <w:lang w:val="en-GB"/>
      </w:rPr>
      <w:t>P:\ESP\SG\CONSEIL\EG-ITR\EG-ITR-3\000\011S.docx</w:t>
    </w:r>
    <w:r w:rsidRPr="00A275AE">
      <w:rPr>
        <w:szCs w:val="16"/>
      </w:rPr>
      <w:fldChar w:fldCharType="end"/>
    </w:r>
    <w:r w:rsidRPr="00A275AE">
      <w:rPr>
        <w:szCs w:val="16"/>
        <w:lang w:val="en-GB"/>
      </w:rPr>
      <w:t xml:space="preserve"> (</w:t>
    </w:r>
    <w:r w:rsidR="00A275AE" w:rsidRPr="00A275AE">
      <w:rPr>
        <w:szCs w:val="16"/>
        <w:lang w:val="en-GB"/>
      </w:rPr>
      <w:t>476612</w:t>
    </w:r>
    <w:r w:rsidRPr="00A275AE">
      <w:rPr>
        <w:szCs w:val="16"/>
        <w:lang w:val="en-GB"/>
      </w:rPr>
      <w:t>)</w:t>
    </w:r>
    <w:r w:rsidR="00A275AE">
      <w:rPr>
        <w:szCs w:val="16"/>
        <w:lang w:val="en-GB"/>
      </w:rPr>
      <w:tab/>
    </w:r>
    <w:r w:rsidR="00A275AE">
      <w:rPr>
        <w:szCs w:val="16"/>
        <w:lang w:val="en-GB"/>
      </w:rPr>
      <w:tab/>
      <w:t>sm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2D47" w14:textId="1695C004" w:rsidR="00C33CD2" w:rsidRDefault="00C33CD2">
    <w:pPr>
      <w:spacing w:after="120"/>
      <w:jc w:val="center"/>
      <w:rPr>
        <w:lang w:val="es-ES"/>
      </w:rPr>
    </w:pPr>
    <w:r w:rsidRPr="00BC4690">
      <w:rPr>
        <w:lang w:val="es-ES"/>
      </w:rPr>
      <w:t xml:space="preserve">• </w:t>
    </w:r>
    <w:hyperlink r:id="rId1" w:history="1">
      <w:r w:rsidRPr="00BC4690">
        <w:rPr>
          <w:rStyle w:val="Hyperlink"/>
          <w:rFonts w:cstheme="minorHAnsi"/>
          <w:lang w:val="es-ES"/>
        </w:rPr>
        <w:t>http:</w:t>
      </w:r>
    </w:hyperlink>
    <w:hyperlink r:id="rId2" w:history="1">
      <w:r w:rsidRPr="00BC4690">
        <w:rPr>
          <w:rStyle w:val="Hyperlink"/>
          <w:rFonts w:cstheme="minorHAnsi"/>
          <w:lang w:val="es-ES"/>
        </w:rPr>
        <w:t>//</w:t>
      </w:r>
      <w:proofErr w:type="spellStart"/>
      <w:r w:rsidRPr="00BC4690">
        <w:rPr>
          <w:rStyle w:val="Hyperlink"/>
          <w:rFonts w:cstheme="minorHAnsi"/>
          <w:lang w:val="es-ES"/>
        </w:rPr>
        <w:t>www.itu.int</w:t>
      </w:r>
      <w:proofErr w:type="spellEnd"/>
      <w:r w:rsidRPr="00BC4690">
        <w:rPr>
          <w:rStyle w:val="Hyperlink"/>
          <w:rFonts w:cstheme="minorHAnsi"/>
          <w:lang w:val="es-ES"/>
        </w:rPr>
        <w:t>/</w:t>
      </w:r>
      <w:proofErr w:type="spellStart"/>
      <w:r w:rsidRPr="00BC4690">
        <w:rPr>
          <w:rStyle w:val="Hyperlink"/>
          <w:rFonts w:cstheme="minorHAnsi"/>
          <w:lang w:val="es-ES"/>
        </w:rPr>
        <w:t>council</w:t>
      </w:r>
      <w:proofErr w:type="spellEnd"/>
    </w:hyperlink>
    <w:r w:rsidRPr="00BC4690">
      <w:rPr>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C9AD" w14:textId="4466E573" w:rsidR="00501DAD" w:rsidRPr="00501DAD" w:rsidRDefault="00501DAD" w:rsidP="00501DAD">
    <w:pPr>
      <w:pStyle w:val="Footer"/>
      <w:rPr>
        <w:szCs w:val="16"/>
        <w:lang w:val="en-GB"/>
      </w:rPr>
    </w:pPr>
    <w:r w:rsidRPr="00501DAD">
      <w:rPr>
        <w:szCs w:val="16"/>
      </w:rPr>
      <w:fldChar w:fldCharType="begin"/>
    </w:r>
    <w:r w:rsidRPr="00501DAD">
      <w:rPr>
        <w:szCs w:val="16"/>
        <w:lang w:val="en-GB"/>
      </w:rPr>
      <w:instrText xml:space="preserve"> FILENAME \p  \* MERGEFORMAT </w:instrText>
    </w:r>
    <w:r w:rsidRPr="00501DAD">
      <w:rPr>
        <w:szCs w:val="16"/>
      </w:rPr>
      <w:fldChar w:fldCharType="separate"/>
    </w:r>
    <w:r w:rsidR="001614D6">
      <w:rPr>
        <w:szCs w:val="16"/>
        <w:lang w:val="en-GB"/>
      </w:rPr>
      <w:t>P:\ESP\SG\CONSEIL\EG-ITR\EG-ITR-3\000\011S.docx</w:t>
    </w:r>
    <w:r w:rsidRPr="00501DAD">
      <w:rPr>
        <w:szCs w:val="16"/>
      </w:rPr>
      <w:fldChar w:fldCharType="end"/>
    </w:r>
    <w:r w:rsidRPr="00501DAD">
      <w:rPr>
        <w:szCs w:val="16"/>
        <w:lang w:val="en-GB"/>
      </w:rPr>
      <w:t xml:space="preserve"> (476612)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C5B0F" w14:textId="732D6B84" w:rsidR="00760F1C" w:rsidRPr="00501DAD" w:rsidRDefault="00501DAD" w:rsidP="00501DAD">
    <w:pPr>
      <w:pStyle w:val="Footer"/>
      <w:rPr>
        <w:szCs w:val="16"/>
      </w:rPr>
    </w:pPr>
    <w:r w:rsidRPr="00501DAD">
      <w:rPr>
        <w:szCs w:val="16"/>
      </w:rPr>
      <w:fldChar w:fldCharType="begin"/>
    </w:r>
    <w:r w:rsidRPr="00501DAD">
      <w:rPr>
        <w:szCs w:val="16"/>
      </w:rPr>
      <w:instrText xml:space="preserve"> FILENAME \p  \* MERGEFORMAT </w:instrText>
    </w:r>
    <w:r w:rsidRPr="00501DAD">
      <w:rPr>
        <w:szCs w:val="16"/>
      </w:rPr>
      <w:fldChar w:fldCharType="separate"/>
    </w:r>
    <w:r w:rsidR="001614D6">
      <w:rPr>
        <w:szCs w:val="16"/>
      </w:rPr>
      <w:t>P:\ESP\SG\CONSEIL\EG-ITR\EG-ITR-3\000\011S.docx</w:t>
    </w:r>
    <w:r w:rsidRPr="00501DAD">
      <w:rPr>
        <w:szCs w:val="16"/>
      </w:rPr>
      <w:fldChar w:fldCharType="end"/>
    </w:r>
    <w:r w:rsidRPr="00501DAD">
      <w:rPr>
        <w:szCs w:val="16"/>
      </w:rPr>
      <w:t xml:space="preserve"> (476612)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38003" w14:textId="77777777" w:rsidR="00C33CD2" w:rsidRDefault="00C33CD2">
      <w:r>
        <w:t>____________________</w:t>
      </w:r>
    </w:p>
  </w:footnote>
  <w:footnote w:type="continuationSeparator" w:id="0">
    <w:p w14:paraId="48F64735" w14:textId="77777777" w:rsidR="00C33CD2" w:rsidRDefault="00C33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7262" w14:textId="2F9C63BE" w:rsidR="00C33CD2" w:rsidRDefault="00C33CD2" w:rsidP="001031C0">
    <w:pPr>
      <w:pStyle w:val="Header"/>
      <w:spacing w:after="120"/>
    </w:pPr>
    <w:r>
      <w:fldChar w:fldCharType="begin"/>
    </w:r>
    <w:r>
      <w:instrText xml:space="preserve"> PAGE   \* MERGEFORMAT </w:instrText>
    </w:r>
    <w:r>
      <w:fldChar w:fldCharType="separate"/>
    </w:r>
    <w:r>
      <w:t>2</w:t>
    </w:r>
    <w:r>
      <w:rPr>
        <w:noProof/>
      </w:rPr>
      <w:fldChar w:fldCharType="end"/>
    </w:r>
    <w:r>
      <w:rPr>
        <w:noProof/>
      </w:rPr>
      <w:br/>
      <w:t>EG-ITRs-3\11-S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EEB"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732DB7B1" w14:textId="6B3787E6" w:rsidR="00760F1C" w:rsidRDefault="00012E27" w:rsidP="00B8298E">
    <w:pPr>
      <w:pStyle w:val="Header"/>
      <w:rPr>
        <w:noProof/>
      </w:rPr>
    </w:pPr>
    <w:r>
      <w:rPr>
        <w:noProof/>
      </w:rPr>
      <w:t>EG-ITRs-</w:t>
    </w:r>
    <w:r w:rsidR="00A275AE">
      <w:rPr>
        <w:noProof/>
      </w:rPr>
      <w:t>3</w:t>
    </w:r>
    <w:r>
      <w:rPr>
        <w:noProof/>
      </w:rPr>
      <w:t>\</w:t>
    </w:r>
    <w:r w:rsidR="00A275AE">
      <w:rPr>
        <w:noProof/>
      </w:rPr>
      <w:t>11</w:t>
    </w:r>
    <w:r>
      <w:rPr>
        <w:noProof/>
      </w:rPr>
      <w:t>-S</w:t>
    </w:r>
  </w:p>
  <w:p w14:paraId="4C65617D" w14:textId="77777777" w:rsidR="001614D6" w:rsidRDefault="001614D6" w:rsidP="00B82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A3CC" w14:textId="77777777" w:rsidR="00501DAD" w:rsidRDefault="00501DAD" w:rsidP="00A275AE">
    <w:pPr>
      <w:pStyle w:val="Header"/>
    </w:pPr>
    <w:r>
      <w:fldChar w:fldCharType="begin"/>
    </w:r>
    <w:r>
      <w:instrText>PAGE</w:instrText>
    </w:r>
    <w:r>
      <w:fldChar w:fldCharType="separate"/>
    </w:r>
    <w:r>
      <w:t>4</w:t>
    </w:r>
    <w:r>
      <w:rPr>
        <w:noProof/>
      </w:rPr>
      <w:fldChar w:fldCharType="end"/>
    </w:r>
  </w:p>
  <w:p w14:paraId="48E5B2AF" w14:textId="77777777" w:rsidR="00501DAD" w:rsidRDefault="00501DAD" w:rsidP="00A275AE">
    <w:pPr>
      <w:pStyle w:val="Header"/>
    </w:pPr>
    <w:r>
      <w:rPr>
        <w:noProof/>
      </w:rPr>
      <w:t>EG-ITRs-3\11-S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D2"/>
    <w:rsid w:val="00012E27"/>
    <w:rsid w:val="000364E2"/>
    <w:rsid w:val="000456FB"/>
    <w:rsid w:val="00063256"/>
    <w:rsid w:val="000727C8"/>
    <w:rsid w:val="00093EEB"/>
    <w:rsid w:val="000B0D00"/>
    <w:rsid w:val="000B7C15"/>
    <w:rsid w:val="000D1D0F"/>
    <w:rsid w:val="000F5290"/>
    <w:rsid w:val="0010165C"/>
    <w:rsid w:val="001031C0"/>
    <w:rsid w:val="001304D3"/>
    <w:rsid w:val="00146BFB"/>
    <w:rsid w:val="001614D6"/>
    <w:rsid w:val="001A436B"/>
    <w:rsid w:val="001F14A2"/>
    <w:rsid w:val="001F60AD"/>
    <w:rsid w:val="00204510"/>
    <w:rsid w:val="002801AA"/>
    <w:rsid w:val="00297836"/>
    <w:rsid w:val="002C4676"/>
    <w:rsid w:val="002C70B0"/>
    <w:rsid w:val="002D3341"/>
    <w:rsid w:val="002D758E"/>
    <w:rsid w:val="002F3CC4"/>
    <w:rsid w:val="00331F81"/>
    <w:rsid w:val="0037734B"/>
    <w:rsid w:val="00383B00"/>
    <w:rsid w:val="004064BD"/>
    <w:rsid w:val="00440381"/>
    <w:rsid w:val="004A2ED9"/>
    <w:rsid w:val="004F39AC"/>
    <w:rsid w:val="00501DAD"/>
    <w:rsid w:val="00513630"/>
    <w:rsid w:val="005262CD"/>
    <w:rsid w:val="00541D2B"/>
    <w:rsid w:val="00560125"/>
    <w:rsid w:val="00585553"/>
    <w:rsid w:val="005B34D9"/>
    <w:rsid w:val="005D0CCF"/>
    <w:rsid w:val="005F410F"/>
    <w:rsid w:val="0060149A"/>
    <w:rsid w:val="00601924"/>
    <w:rsid w:val="006447EA"/>
    <w:rsid w:val="0064731F"/>
    <w:rsid w:val="00650830"/>
    <w:rsid w:val="006710F6"/>
    <w:rsid w:val="0067129F"/>
    <w:rsid w:val="006C1B56"/>
    <w:rsid w:val="006D4761"/>
    <w:rsid w:val="007014B0"/>
    <w:rsid w:val="00726872"/>
    <w:rsid w:val="00760F1C"/>
    <w:rsid w:val="007657F0"/>
    <w:rsid w:val="0077252D"/>
    <w:rsid w:val="007E5DD3"/>
    <w:rsid w:val="007F350B"/>
    <w:rsid w:val="00820BE4"/>
    <w:rsid w:val="008451E8"/>
    <w:rsid w:val="00913B9C"/>
    <w:rsid w:val="00956E77"/>
    <w:rsid w:val="009C4F8E"/>
    <w:rsid w:val="00A275AE"/>
    <w:rsid w:val="00A75543"/>
    <w:rsid w:val="00A96D15"/>
    <w:rsid w:val="00AA390C"/>
    <w:rsid w:val="00AD0A8E"/>
    <w:rsid w:val="00AE7C59"/>
    <w:rsid w:val="00AF1C77"/>
    <w:rsid w:val="00B0200A"/>
    <w:rsid w:val="00B574DB"/>
    <w:rsid w:val="00B826C2"/>
    <w:rsid w:val="00B8298E"/>
    <w:rsid w:val="00BA4764"/>
    <w:rsid w:val="00BC4690"/>
    <w:rsid w:val="00BD0723"/>
    <w:rsid w:val="00BD2518"/>
    <w:rsid w:val="00BF1D1C"/>
    <w:rsid w:val="00C06DF4"/>
    <w:rsid w:val="00C20C59"/>
    <w:rsid w:val="00C33CD2"/>
    <w:rsid w:val="00C55B1F"/>
    <w:rsid w:val="00C667D5"/>
    <w:rsid w:val="00C85B97"/>
    <w:rsid w:val="00CE76CA"/>
    <w:rsid w:val="00CF1A67"/>
    <w:rsid w:val="00D2750E"/>
    <w:rsid w:val="00D62446"/>
    <w:rsid w:val="00D92832"/>
    <w:rsid w:val="00DA4EA2"/>
    <w:rsid w:val="00DC3D3E"/>
    <w:rsid w:val="00DE2C90"/>
    <w:rsid w:val="00DE3B24"/>
    <w:rsid w:val="00E06003"/>
    <w:rsid w:val="00E06947"/>
    <w:rsid w:val="00E3592D"/>
    <w:rsid w:val="00E92DE8"/>
    <w:rsid w:val="00EB1212"/>
    <w:rsid w:val="00ED65AB"/>
    <w:rsid w:val="00ED71BB"/>
    <w:rsid w:val="00F06E56"/>
    <w:rsid w:val="00F07670"/>
    <w:rsid w:val="00F12850"/>
    <w:rsid w:val="00F22CB3"/>
    <w:rsid w:val="00F33BF4"/>
    <w:rsid w:val="00F70229"/>
    <w:rsid w:val="00F7105E"/>
    <w:rsid w:val="00F75F57"/>
    <w:rsid w:val="00F82FEE"/>
    <w:rsid w:val="00FF11BD"/>
    <w:rsid w:val="00FF36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D91518"/>
  <w15:docId w15:val="{0C6B1A11-0175-496F-AE59-8FD0464A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C33CD2"/>
    <w:rPr>
      <w:color w:val="605E5C"/>
      <w:shd w:val="clear" w:color="auto" w:fill="E1DFDD"/>
    </w:rPr>
  </w:style>
  <w:style w:type="character" w:customStyle="1" w:styleId="HeaderChar">
    <w:name w:val="Header Char"/>
    <w:basedOn w:val="DefaultParagraphFont"/>
    <w:link w:val="Header"/>
    <w:rsid w:val="00C33CD2"/>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council" TargetMode="External"/><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46</TotalTime>
  <Pages>9</Pages>
  <Words>2261</Words>
  <Characters>12848</Characters>
  <Application>Microsoft Office Word</Application>
  <DocSecurity>0</DocSecurity>
  <Lines>107</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15079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Spanish1</dc:creator>
  <cp:keywords>C2010, C10</cp:keywords>
  <dc:description>Documento C17/-S  Para: _x000d_Fecha del documento: enero de 2017_x000d_Registrado por ITU51009317 a 15:32:38 el 06/04/2017</dc:description>
  <cp:lastModifiedBy>Sidma Jeanneth</cp:lastModifiedBy>
  <cp:revision>16</cp:revision>
  <cp:lastPrinted>2006-03-24T09:51:00Z</cp:lastPrinted>
  <dcterms:created xsi:type="dcterms:W3CDTF">2020-09-09T23:52:00Z</dcterms:created>
  <dcterms:modified xsi:type="dcterms:W3CDTF">2020-09-10T08:16:00Z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