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7B4A61" w14:paraId="428BD285" w14:textId="77777777">
        <w:trPr>
          <w:cantSplit/>
        </w:trPr>
        <w:tc>
          <w:tcPr>
            <w:tcW w:w="6912" w:type="dxa"/>
          </w:tcPr>
          <w:p w14:paraId="38DD1B12" w14:textId="77777777" w:rsidR="00520F36" w:rsidRPr="007B4A61" w:rsidRDefault="00D837AA" w:rsidP="00630259">
            <w:pPr>
              <w:spacing w:before="240"/>
              <w:rPr>
                <w:lang w:val="fr-CH"/>
              </w:rPr>
            </w:pPr>
            <w:r w:rsidRPr="007B4A61">
              <w:rPr>
                <w:rFonts w:eastAsia="Calibri" w:cs="Calibri"/>
                <w:b/>
                <w:bCs/>
                <w:color w:val="000000"/>
                <w:position w:val="6"/>
                <w:sz w:val="30"/>
                <w:szCs w:val="30"/>
                <w:lang w:val="fr-CH"/>
              </w:rPr>
              <w:t>Groupe d'experts sur le Règlement des télécommunications internationales (EG</w:t>
            </w:r>
            <w:r w:rsidRPr="007B4A61">
              <w:rPr>
                <w:rFonts w:eastAsia="Calibri" w:cs="Calibri"/>
                <w:b/>
                <w:bCs/>
                <w:color w:val="000000"/>
                <w:position w:val="6"/>
                <w:sz w:val="30"/>
                <w:szCs w:val="30"/>
                <w:lang w:val="fr-CH"/>
              </w:rPr>
              <w:noBreakHyphen/>
              <w:t>RTI)</w:t>
            </w:r>
          </w:p>
        </w:tc>
        <w:tc>
          <w:tcPr>
            <w:tcW w:w="3261" w:type="dxa"/>
          </w:tcPr>
          <w:p w14:paraId="156443DB" w14:textId="77777777" w:rsidR="00520F36" w:rsidRPr="007B4A61" w:rsidRDefault="00B84194" w:rsidP="00630259">
            <w:pPr>
              <w:spacing w:before="0"/>
              <w:rPr>
                <w:lang w:val="fr-CH"/>
              </w:rPr>
            </w:pPr>
            <w:bookmarkStart w:id="0" w:name="ditulogo"/>
            <w:bookmarkEnd w:id="0"/>
            <w:r w:rsidRPr="007B4A61">
              <w:rPr>
                <w:noProof/>
                <w:lang w:val="fr-CH"/>
              </w:rPr>
              <w:drawing>
                <wp:inline distT="0" distB="0" distL="0" distR="0" wp14:anchorId="118D6651" wp14:editId="789ADD8E">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520F36" w:rsidRPr="007B4A61" w14:paraId="0B5EC607" w14:textId="77777777" w:rsidTr="00EF41DD">
        <w:trPr>
          <w:cantSplit/>
          <w:trHeight w:val="20"/>
        </w:trPr>
        <w:tc>
          <w:tcPr>
            <w:tcW w:w="6912" w:type="dxa"/>
            <w:tcBorders>
              <w:bottom w:val="single" w:sz="12" w:space="0" w:color="auto"/>
            </w:tcBorders>
            <w:vAlign w:val="center"/>
          </w:tcPr>
          <w:p w14:paraId="0918075F" w14:textId="32E61551" w:rsidR="00520F36" w:rsidRPr="007B4A61" w:rsidRDefault="00AE0E98" w:rsidP="00630259">
            <w:pPr>
              <w:spacing w:before="0"/>
              <w:rPr>
                <w:b/>
                <w:bCs/>
                <w:szCs w:val="24"/>
                <w:lang w:val="fr-CH"/>
              </w:rPr>
            </w:pPr>
            <w:r w:rsidRPr="007B4A61">
              <w:rPr>
                <w:b/>
                <w:bCs/>
                <w:szCs w:val="24"/>
                <w:lang w:val="fr-CH"/>
              </w:rPr>
              <w:t>Troisième réunion – Réunion virtuelle, 17-18 septembre 2020</w:t>
            </w:r>
          </w:p>
        </w:tc>
        <w:tc>
          <w:tcPr>
            <w:tcW w:w="3261" w:type="dxa"/>
            <w:tcBorders>
              <w:bottom w:val="single" w:sz="12" w:space="0" w:color="auto"/>
            </w:tcBorders>
          </w:tcPr>
          <w:p w14:paraId="79DF6CD3" w14:textId="77777777" w:rsidR="00520F36" w:rsidRPr="007B4A61" w:rsidRDefault="00520F36" w:rsidP="00630259">
            <w:pPr>
              <w:spacing w:before="0"/>
              <w:rPr>
                <w:b/>
                <w:bCs/>
                <w:lang w:val="fr-CH"/>
              </w:rPr>
            </w:pPr>
          </w:p>
        </w:tc>
      </w:tr>
      <w:tr w:rsidR="00520F36" w:rsidRPr="007B4A61" w14:paraId="29EAEB67" w14:textId="77777777">
        <w:trPr>
          <w:cantSplit/>
          <w:trHeight w:val="20"/>
        </w:trPr>
        <w:tc>
          <w:tcPr>
            <w:tcW w:w="6912" w:type="dxa"/>
            <w:tcBorders>
              <w:top w:val="single" w:sz="12" w:space="0" w:color="auto"/>
            </w:tcBorders>
          </w:tcPr>
          <w:p w14:paraId="4DDFB942" w14:textId="77777777" w:rsidR="00520F36" w:rsidRPr="007B4A61" w:rsidRDefault="00520F36" w:rsidP="00630259">
            <w:pPr>
              <w:spacing w:before="0"/>
              <w:rPr>
                <w:smallCaps/>
                <w:sz w:val="22"/>
                <w:lang w:val="fr-CH"/>
              </w:rPr>
            </w:pPr>
          </w:p>
        </w:tc>
        <w:tc>
          <w:tcPr>
            <w:tcW w:w="3261" w:type="dxa"/>
            <w:tcBorders>
              <w:top w:val="single" w:sz="12" w:space="0" w:color="auto"/>
            </w:tcBorders>
          </w:tcPr>
          <w:p w14:paraId="1AD2F418" w14:textId="77777777" w:rsidR="00520F36" w:rsidRPr="007B4A61" w:rsidRDefault="00520F36" w:rsidP="00630259">
            <w:pPr>
              <w:spacing w:before="0"/>
              <w:rPr>
                <w:b/>
                <w:bCs/>
                <w:lang w:val="fr-CH"/>
              </w:rPr>
            </w:pPr>
          </w:p>
        </w:tc>
      </w:tr>
      <w:tr w:rsidR="00520F36" w:rsidRPr="007B4A61" w14:paraId="318CEF9A" w14:textId="77777777">
        <w:trPr>
          <w:cantSplit/>
          <w:trHeight w:val="20"/>
        </w:trPr>
        <w:tc>
          <w:tcPr>
            <w:tcW w:w="6912" w:type="dxa"/>
            <w:vMerge w:val="restart"/>
          </w:tcPr>
          <w:p w14:paraId="3455881D" w14:textId="77777777" w:rsidR="00520F36" w:rsidRPr="007B4A61" w:rsidRDefault="00520F36" w:rsidP="00630259">
            <w:pPr>
              <w:spacing w:before="0"/>
              <w:rPr>
                <w:rFonts w:cs="Times"/>
                <w:b/>
                <w:bCs/>
                <w:szCs w:val="24"/>
                <w:lang w:val="fr-CH"/>
              </w:rPr>
            </w:pPr>
            <w:bookmarkStart w:id="1" w:name="dnum" w:colFirst="1" w:colLast="1"/>
            <w:bookmarkStart w:id="2" w:name="dmeeting" w:colFirst="0" w:colLast="0"/>
          </w:p>
        </w:tc>
        <w:tc>
          <w:tcPr>
            <w:tcW w:w="3261" w:type="dxa"/>
          </w:tcPr>
          <w:p w14:paraId="50539521" w14:textId="57D9B36B" w:rsidR="00520F36" w:rsidRPr="007B4A61" w:rsidRDefault="00520F36" w:rsidP="00630259">
            <w:pPr>
              <w:spacing w:before="0"/>
              <w:rPr>
                <w:b/>
                <w:bCs/>
                <w:lang w:val="fr-CH"/>
              </w:rPr>
            </w:pPr>
            <w:r w:rsidRPr="007B4A61">
              <w:rPr>
                <w:b/>
                <w:bCs/>
                <w:lang w:val="fr-CH"/>
              </w:rPr>
              <w:t xml:space="preserve">Document </w:t>
            </w:r>
            <w:r w:rsidR="00D837AA" w:rsidRPr="007B4A61">
              <w:rPr>
                <w:b/>
                <w:lang w:val="fr-CH"/>
              </w:rPr>
              <w:t>EG-ITRs</w:t>
            </w:r>
            <w:r w:rsidR="00F06D00" w:rsidRPr="007B4A61">
              <w:rPr>
                <w:b/>
                <w:lang w:val="fr-CH"/>
              </w:rPr>
              <w:t>-</w:t>
            </w:r>
            <w:r w:rsidR="00952CB0" w:rsidRPr="007B4A61">
              <w:rPr>
                <w:b/>
                <w:lang w:val="fr-CH"/>
              </w:rPr>
              <w:t>3</w:t>
            </w:r>
            <w:r w:rsidR="00D837AA" w:rsidRPr="007B4A61">
              <w:rPr>
                <w:b/>
                <w:lang w:val="fr-CH"/>
              </w:rPr>
              <w:t>/</w:t>
            </w:r>
            <w:r w:rsidR="00092569" w:rsidRPr="007B4A61">
              <w:rPr>
                <w:b/>
                <w:lang w:val="fr-CH"/>
              </w:rPr>
              <w:t>11</w:t>
            </w:r>
            <w:r w:rsidR="00D837AA" w:rsidRPr="007B4A61">
              <w:rPr>
                <w:b/>
                <w:lang w:val="fr-CH"/>
              </w:rPr>
              <w:t>-F</w:t>
            </w:r>
          </w:p>
        </w:tc>
      </w:tr>
      <w:tr w:rsidR="00520F36" w:rsidRPr="007B4A61" w14:paraId="03B7133F" w14:textId="77777777">
        <w:trPr>
          <w:cantSplit/>
          <w:trHeight w:val="20"/>
        </w:trPr>
        <w:tc>
          <w:tcPr>
            <w:tcW w:w="6912" w:type="dxa"/>
            <w:vMerge/>
          </w:tcPr>
          <w:p w14:paraId="06D0ADE8" w14:textId="77777777" w:rsidR="00520F36" w:rsidRPr="007B4A61" w:rsidRDefault="00520F36" w:rsidP="00630259">
            <w:pPr>
              <w:shd w:val="solid" w:color="FFFFFF" w:fill="FFFFFF"/>
              <w:spacing w:before="180"/>
              <w:rPr>
                <w:smallCaps/>
                <w:lang w:val="fr-CH"/>
              </w:rPr>
            </w:pPr>
            <w:bookmarkStart w:id="3" w:name="ddate" w:colFirst="1" w:colLast="1"/>
            <w:bookmarkEnd w:id="1"/>
            <w:bookmarkEnd w:id="2"/>
          </w:p>
        </w:tc>
        <w:tc>
          <w:tcPr>
            <w:tcW w:w="3261" w:type="dxa"/>
          </w:tcPr>
          <w:p w14:paraId="0EAC5149" w14:textId="01E17348" w:rsidR="00520F36" w:rsidRPr="007B4A61" w:rsidRDefault="00092569" w:rsidP="00630259">
            <w:pPr>
              <w:spacing w:before="0"/>
              <w:rPr>
                <w:b/>
                <w:bCs/>
                <w:lang w:val="fr-CH"/>
              </w:rPr>
            </w:pPr>
            <w:r w:rsidRPr="007B4A61">
              <w:rPr>
                <w:b/>
                <w:bCs/>
                <w:lang w:val="fr-CH"/>
              </w:rPr>
              <w:t>7</w:t>
            </w:r>
            <w:r w:rsidR="00C87A3E" w:rsidRPr="007B4A61">
              <w:rPr>
                <w:b/>
                <w:bCs/>
                <w:lang w:val="fr-CH"/>
              </w:rPr>
              <w:t xml:space="preserve"> septembre</w:t>
            </w:r>
            <w:r w:rsidR="00520F36" w:rsidRPr="007B4A61">
              <w:rPr>
                <w:b/>
                <w:bCs/>
                <w:lang w:val="fr-CH"/>
              </w:rPr>
              <w:t xml:space="preserve"> 20</w:t>
            </w:r>
            <w:r w:rsidR="00D06D06" w:rsidRPr="007B4A61">
              <w:rPr>
                <w:b/>
                <w:bCs/>
                <w:lang w:val="fr-CH"/>
              </w:rPr>
              <w:t>20</w:t>
            </w:r>
          </w:p>
        </w:tc>
      </w:tr>
      <w:tr w:rsidR="00520F36" w:rsidRPr="007B4A61" w14:paraId="47262EAA" w14:textId="77777777">
        <w:trPr>
          <w:cantSplit/>
          <w:trHeight w:val="20"/>
        </w:trPr>
        <w:tc>
          <w:tcPr>
            <w:tcW w:w="6912" w:type="dxa"/>
            <w:vMerge/>
          </w:tcPr>
          <w:p w14:paraId="216A146E" w14:textId="77777777" w:rsidR="00520F36" w:rsidRPr="007B4A61" w:rsidRDefault="00520F36" w:rsidP="00630259">
            <w:pPr>
              <w:shd w:val="solid" w:color="FFFFFF" w:fill="FFFFFF"/>
              <w:spacing w:before="180"/>
              <w:rPr>
                <w:smallCaps/>
                <w:lang w:val="fr-CH"/>
              </w:rPr>
            </w:pPr>
            <w:bookmarkStart w:id="4" w:name="dorlang" w:colFirst="1" w:colLast="1"/>
            <w:bookmarkEnd w:id="3"/>
          </w:p>
        </w:tc>
        <w:tc>
          <w:tcPr>
            <w:tcW w:w="3261" w:type="dxa"/>
          </w:tcPr>
          <w:p w14:paraId="7D9E90CE" w14:textId="77777777" w:rsidR="00520F36" w:rsidRPr="007B4A61" w:rsidRDefault="00520F36" w:rsidP="00630259">
            <w:pPr>
              <w:spacing w:before="0"/>
              <w:rPr>
                <w:b/>
                <w:bCs/>
                <w:lang w:val="fr-CH"/>
              </w:rPr>
            </w:pPr>
            <w:r w:rsidRPr="007B4A61">
              <w:rPr>
                <w:b/>
                <w:bCs/>
                <w:lang w:val="fr-CH"/>
              </w:rPr>
              <w:t>Original: anglais</w:t>
            </w:r>
          </w:p>
        </w:tc>
      </w:tr>
      <w:tr w:rsidR="00520F36" w:rsidRPr="007B4A61" w14:paraId="06A58C04" w14:textId="77777777">
        <w:trPr>
          <w:cantSplit/>
        </w:trPr>
        <w:tc>
          <w:tcPr>
            <w:tcW w:w="10173" w:type="dxa"/>
            <w:gridSpan w:val="2"/>
          </w:tcPr>
          <w:p w14:paraId="1ED9051A" w14:textId="7A6A615C" w:rsidR="00520F36" w:rsidRPr="007B4A61" w:rsidRDefault="00092569" w:rsidP="00630259">
            <w:pPr>
              <w:pStyle w:val="Source"/>
              <w:rPr>
                <w:lang w:val="fr-CH"/>
              </w:rPr>
            </w:pPr>
            <w:bookmarkStart w:id="5" w:name="dsource" w:colFirst="0" w:colLast="0"/>
            <w:bookmarkEnd w:id="4"/>
            <w:r w:rsidRPr="007B4A61">
              <w:rPr>
                <w:lang w:val="fr-CH"/>
              </w:rPr>
              <w:t>Pay</w:t>
            </w:r>
            <w:r w:rsidR="00F57DC0" w:rsidRPr="007B4A61">
              <w:rPr>
                <w:lang w:val="fr-CH"/>
              </w:rPr>
              <w:t>s</w:t>
            </w:r>
            <w:r w:rsidRPr="007B4A61">
              <w:rPr>
                <w:lang w:val="fr-CH"/>
              </w:rPr>
              <w:t>-Bas</w:t>
            </w:r>
          </w:p>
        </w:tc>
      </w:tr>
      <w:tr w:rsidR="00520F36" w:rsidRPr="007B4A61" w14:paraId="4F22276C" w14:textId="77777777">
        <w:trPr>
          <w:cantSplit/>
        </w:trPr>
        <w:tc>
          <w:tcPr>
            <w:tcW w:w="10173" w:type="dxa"/>
            <w:gridSpan w:val="2"/>
          </w:tcPr>
          <w:p w14:paraId="17F93991" w14:textId="095193C4" w:rsidR="00520F36" w:rsidRPr="007B4A61" w:rsidRDefault="00092569" w:rsidP="00630259">
            <w:pPr>
              <w:pStyle w:val="Title1"/>
              <w:rPr>
                <w:lang w:val="fr-CH"/>
              </w:rPr>
            </w:pPr>
            <w:bookmarkStart w:id="6" w:name="dtitle1" w:colFirst="0" w:colLast="0"/>
            <w:bookmarkEnd w:id="5"/>
            <w:r w:rsidRPr="007B4A61">
              <w:rPr>
                <w:lang w:val="fr-CH"/>
              </w:rPr>
              <w:t>examen de chacune des dispositions du RTI</w:t>
            </w:r>
          </w:p>
        </w:tc>
      </w:tr>
      <w:bookmarkEnd w:id="6"/>
    </w:tbl>
    <w:p w14:paraId="3315672A" w14:textId="741B7227" w:rsidR="00C87A3E" w:rsidRPr="007B4A61" w:rsidRDefault="00C87A3E" w:rsidP="00630259">
      <w:pPr>
        <w:spacing w:before="0"/>
        <w:rPr>
          <w:lang w:val="fr-CH"/>
        </w:rPr>
      </w:pPr>
    </w:p>
    <w:p w14:paraId="41A909CF" w14:textId="77777777" w:rsidR="00092569" w:rsidRPr="007B4A61" w:rsidRDefault="00092569" w:rsidP="00630259">
      <w:pPr>
        <w:pStyle w:val="Headingb"/>
        <w:rPr>
          <w:rFonts w:asciiTheme="minorHAnsi" w:hAnsiTheme="minorHAnsi"/>
          <w:lang w:val="fr-CH"/>
        </w:rPr>
      </w:pPr>
      <w:bookmarkStart w:id="7" w:name="lt_pId014"/>
      <w:r w:rsidRPr="007B4A61">
        <w:rPr>
          <w:lang w:val="fr-CH"/>
        </w:rPr>
        <w:t>Introduction</w:t>
      </w:r>
      <w:bookmarkEnd w:id="7"/>
    </w:p>
    <w:p w14:paraId="69153D54" w14:textId="16AECE2E" w:rsidR="00894048" w:rsidRPr="007B4A61" w:rsidRDefault="00894048" w:rsidP="00630259">
      <w:pPr>
        <w:rPr>
          <w:szCs w:val="24"/>
          <w:lang w:val="fr-CH"/>
        </w:rPr>
      </w:pPr>
      <w:bookmarkStart w:id="8" w:name="lt_pId015"/>
      <w:r w:rsidRPr="007B4A61">
        <w:rPr>
          <w:szCs w:val="24"/>
          <w:lang w:val="fr-CH"/>
        </w:rPr>
        <w:t>Les Pays-Bas ont l'honneur</w:t>
      </w:r>
      <w:r w:rsidR="007B4A61">
        <w:rPr>
          <w:szCs w:val="24"/>
          <w:lang w:val="fr-CH"/>
        </w:rPr>
        <w:t xml:space="preserve"> de soumettre au Groupe d'experts sur le RTI leurs points de vue concernant les Articles 5 à 8 et l'Appendice 1 du RTI, conformément au mandat du Groupe d'experts sur le RTI et au projet d'ordre du jour de la troisième réunion du Groupe.</w:t>
      </w:r>
    </w:p>
    <w:bookmarkEnd w:id="8"/>
    <w:p w14:paraId="51B48909" w14:textId="3B0499EB" w:rsidR="008B262B" w:rsidRPr="007B4A61" w:rsidRDefault="007B4A61" w:rsidP="00630259">
      <w:pPr>
        <w:pStyle w:val="Headingb"/>
        <w:rPr>
          <w:b w:val="0"/>
          <w:bCs/>
          <w:szCs w:val="24"/>
          <w:lang w:val="fr-CH"/>
        </w:rPr>
      </w:pPr>
      <w:r w:rsidRPr="005F420A">
        <w:rPr>
          <w:lang w:val="fr-CH"/>
        </w:rPr>
        <w:t>Examen</w:t>
      </w:r>
    </w:p>
    <w:p w14:paraId="17F56AAE" w14:textId="365FA3CA" w:rsidR="003110F3" w:rsidRDefault="003110F3" w:rsidP="00630259">
      <w:pPr>
        <w:rPr>
          <w:szCs w:val="24"/>
          <w:lang w:val="fr-CH"/>
        </w:rPr>
      </w:pPr>
      <w:r>
        <w:rPr>
          <w:szCs w:val="24"/>
          <w:lang w:val="fr-CH"/>
        </w:rPr>
        <w:t xml:space="preserve">Nous considérons que les dispositions du RTI dans sa version de 2012 n'appuient pas un marché ouvert à la concurrence où </w:t>
      </w:r>
      <w:r w:rsidRPr="00FF04C4">
        <w:rPr>
          <w:lang w:val="fr-CH"/>
        </w:rPr>
        <w:t>les opérateurs planifient et prévoient leur propre trafic</w:t>
      </w:r>
      <w:r>
        <w:rPr>
          <w:lang w:val="fr-CH"/>
        </w:rPr>
        <w:t xml:space="preserve"> et leurs propres services nationaux et internationaux. En ce sens, le RTI est incompatible avec des</w:t>
      </w:r>
      <w:r w:rsidRPr="003110F3">
        <w:rPr>
          <w:lang w:val="fr-CH"/>
        </w:rPr>
        <w:t xml:space="preserve"> environnement</w:t>
      </w:r>
      <w:r>
        <w:rPr>
          <w:lang w:val="fr-CH"/>
        </w:rPr>
        <w:t>s</w:t>
      </w:r>
      <w:r w:rsidRPr="003110F3">
        <w:rPr>
          <w:lang w:val="fr-CH"/>
        </w:rPr>
        <w:t xml:space="preserve"> commercia</w:t>
      </w:r>
      <w:r>
        <w:rPr>
          <w:lang w:val="fr-CH"/>
        </w:rPr>
        <w:t>ux</w:t>
      </w:r>
      <w:r w:rsidRPr="003110F3">
        <w:rPr>
          <w:lang w:val="fr-CH"/>
        </w:rPr>
        <w:t xml:space="preserve"> et réglementaire</w:t>
      </w:r>
      <w:r>
        <w:rPr>
          <w:lang w:val="fr-CH"/>
        </w:rPr>
        <w:t>s</w:t>
      </w:r>
      <w:r w:rsidRPr="003110F3">
        <w:rPr>
          <w:lang w:val="fr-CH"/>
        </w:rPr>
        <w:t xml:space="preserve"> favorisant la concurrence,</w:t>
      </w:r>
      <w:r>
        <w:rPr>
          <w:lang w:val="fr-CH"/>
        </w:rPr>
        <w:t xml:space="preserve"> qui</w:t>
      </w:r>
      <w:r w:rsidR="001B5299">
        <w:rPr>
          <w:lang w:val="fr-CH"/>
        </w:rPr>
        <w:t xml:space="preserve"> sont</w:t>
      </w:r>
      <w:r>
        <w:rPr>
          <w:lang w:val="fr-CH"/>
        </w:rPr>
        <w:t xml:space="preserve"> </w:t>
      </w:r>
      <w:r w:rsidR="001B5299">
        <w:rPr>
          <w:lang w:val="fr-CH"/>
        </w:rPr>
        <w:t>actuellement en pleine évolution</w:t>
      </w:r>
      <w:r>
        <w:rPr>
          <w:lang w:val="fr-CH"/>
        </w:rPr>
        <w:t xml:space="preserve">, </w:t>
      </w:r>
      <w:r w:rsidR="001B5299">
        <w:rPr>
          <w:lang w:val="fr-CH"/>
        </w:rPr>
        <w:t>comme le sont</w:t>
      </w:r>
      <w:r w:rsidRPr="003110F3">
        <w:rPr>
          <w:lang w:val="fr-CH"/>
        </w:rPr>
        <w:t xml:space="preserve"> les technologies.</w:t>
      </w:r>
      <w:r>
        <w:rPr>
          <w:lang w:val="fr-CH"/>
        </w:rPr>
        <w:t xml:space="preserve"> Réviser le RTI dans sa version de 2012 pour traiter de ces évolutions ne permettra pas de les appuyer</w:t>
      </w:r>
      <w:r w:rsidR="001B5299">
        <w:rPr>
          <w:lang w:val="fr-CH"/>
        </w:rPr>
        <w:t>,</w:t>
      </w:r>
      <w:r>
        <w:rPr>
          <w:lang w:val="fr-CH"/>
        </w:rPr>
        <w:t xml:space="preserve"> mais au contraire</w:t>
      </w:r>
      <w:r w:rsidR="001B5299">
        <w:rPr>
          <w:lang w:val="fr-CH"/>
        </w:rPr>
        <w:t>,</w:t>
      </w:r>
      <w:r>
        <w:rPr>
          <w:lang w:val="fr-CH"/>
        </w:rPr>
        <w:t xml:space="preserve"> les limitera.</w:t>
      </w:r>
    </w:p>
    <w:p w14:paraId="43EB1B46" w14:textId="7CBFFD55" w:rsidR="001B5299" w:rsidRDefault="001B5299" w:rsidP="00630259">
      <w:pPr>
        <w:spacing w:after="120"/>
        <w:rPr>
          <w:spacing w:val="-2"/>
          <w:szCs w:val="24"/>
          <w:lang w:val="fr-CH"/>
        </w:rPr>
      </w:pPr>
      <w:r>
        <w:rPr>
          <w:spacing w:val="-2"/>
          <w:szCs w:val="24"/>
          <w:lang w:val="fr-CH"/>
        </w:rPr>
        <w:t>L</w:t>
      </w:r>
      <w:r w:rsidRPr="001B5299">
        <w:rPr>
          <w:spacing w:val="-2"/>
          <w:szCs w:val="24"/>
          <w:lang w:val="fr-CH"/>
        </w:rPr>
        <w:t>'environnement des télécommunications/TIC a connu des changements profonds.</w:t>
      </w:r>
      <w:r>
        <w:rPr>
          <w:spacing w:val="-2"/>
          <w:szCs w:val="24"/>
          <w:lang w:val="fr-CH"/>
        </w:rPr>
        <w:t xml:space="preserve"> Même si de nombreuses dispositions avaient une finalité louable par le passé et ont permis d'atteindre les objectifs visés dans l'ancien environnement des télécommunication</w:t>
      </w:r>
      <w:r w:rsidR="00E232A1">
        <w:rPr>
          <w:spacing w:val="-2"/>
          <w:szCs w:val="24"/>
          <w:lang w:val="fr-CH"/>
        </w:rPr>
        <w:t>s</w:t>
      </w:r>
      <w:r>
        <w:rPr>
          <w:spacing w:val="-2"/>
          <w:szCs w:val="24"/>
          <w:lang w:val="fr-CH"/>
        </w:rPr>
        <w:t xml:space="preserve"> reposant sur des monopoles, des dispositions intégrées dans un traité ne permettent pas de tenir compte de l'évolution de l'environnement commercial et, lorsqu'elles sont appliquées de manière stricte, risquent d'avoir un effet dissuasif sur la mise en place de nouveaux services </w:t>
      </w:r>
      <w:r w:rsidRPr="001B5299">
        <w:rPr>
          <w:spacing w:val="-2"/>
          <w:szCs w:val="24"/>
          <w:lang w:val="fr-CH"/>
        </w:rPr>
        <w:t>qui sont essentiels pour améliorer l'accessibilité financière et les choix offerts aux consommateurs</w:t>
      </w:r>
      <w:r>
        <w:rPr>
          <w:spacing w:val="-2"/>
          <w:szCs w:val="24"/>
          <w:lang w:val="fr-CH"/>
        </w:rPr>
        <w:t>.</w:t>
      </w:r>
    </w:p>
    <w:p w14:paraId="2C6167C1" w14:textId="6C25ECC8" w:rsidR="001B5299" w:rsidRDefault="00E232A1" w:rsidP="00630259">
      <w:pPr>
        <w:spacing w:after="120"/>
        <w:rPr>
          <w:spacing w:val="-2"/>
          <w:szCs w:val="24"/>
          <w:lang w:val="fr-CH"/>
        </w:rPr>
      </w:pPr>
      <w:r>
        <w:rPr>
          <w:spacing w:val="-2"/>
          <w:szCs w:val="24"/>
          <w:lang w:val="fr-CH"/>
        </w:rPr>
        <w:t>Selon nous</w:t>
      </w:r>
      <w:r w:rsidR="00A845E9">
        <w:rPr>
          <w:spacing w:val="-2"/>
          <w:szCs w:val="24"/>
          <w:lang w:val="fr-CH"/>
        </w:rPr>
        <w:t>, si les pays du monde entier retirent des avantages des télécommunications/TIC, ce n'est pas grâce au seul RTI dans sa version de 2012, mais,</w:t>
      </w:r>
      <w:r w:rsidR="001B5299">
        <w:rPr>
          <w:spacing w:val="-2"/>
          <w:szCs w:val="24"/>
          <w:lang w:val="fr-CH"/>
        </w:rPr>
        <w:t xml:space="preserve"> </w:t>
      </w:r>
      <w:r w:rsidR="00A845E9">
        <w:rPr>
          <w:spacing w:val="-2"/>
          <w:szCs w:val="24"/>
          <w:lang w:val="fr-CH"/>
        </w:rPr>
        <w:t xml:space="preserve">de plus en plus ces dernières années, grâce à l'ouverture </w:t>
      </w:r>
      <w:r>
        <w:rPr>
          <w:spacing w:val="-2"/>
          <w:szCs w:val="24"/>
          <w:lang w:val="fr-CH"/>
        </w:rPr>
        <w:t xml:space="preserve">du marché des télécommunications </w:t>
      </w:r>
      <w:r w:rsidR="00A845E9">
        <w:rPr>
          <w:spacing w:val="-2"/>
          <w:szCs w:val="24"/>
          <w:lang w:val="fr-CH"/>
        </w:rPr>
        <w:t xml:space="preserve">et </w:t>
      </w:r>
      <w:r>
        <w:rPr>
          <w:spacing w:val="-2"/>
          <w:szCs w:val="24"/>
          <w:lang w:val="fr-CH"/>
        </w:rPr>
        <w:t>à son</w:t>
      </w:r>
      <w:r w:rsidR="00A845E9">
        <w:rPr>
          <w:spacing w:val="-2"/>
          <w:szCs w:val="24"/>
          <w:lang w:val="fr-CH"/>
        </w:rPr>
        <w:t xml:space="preserve"> dynamisme.</w:t>
      </w:r>
    </w:p>
    <w:p w14:paraId="12442704" w14:textId="77777777" w:rsidR="008B262B" w:rsidRPr="007B4A61" w:rsidRDefault="008B262B" w:rsidP="00630259">
      <w:pPr>
        <w:pStyle w:val="Headingb"/>
        <w:rPr>
          <w:lang w:val="fr-CH"/>
        </w:rPr>
      </w:pPr>
      <w:r w:rsidRPr="007B4A61">
        <w:rPr>
          <w:lang w:val="fr-CH"/>
        </w:rPr>
        <w:t>Résumé</w:t>
      </w:r>
    </w:p>
    <w:p w14:paraId="5B9992C0" w14:textId="77777777" w:rsidR="008B262B" w:rsidRPr="007B4A61" w:rsidRDefault="008B262B" w:rsidP="00630259">
      <w:pPr>
        <w:rPr>
          <w:szCs w:val="24"/>
          <w:lang w:val="fr-CH"/>
        </w:rPr>
      </w:pPr>
      <w:r w:rsidRPr="007B4A61">
        <w:rPr>
          <w:szCs w:val="24"/>
          <w:lang w:val="fr-CH"/>
        </w:rPr>
        <w:t>Compte tenu du caractère dynamique et concurrentiel du marché des communications et de l'intégration croissante du secteur des télécommunications/TIC dans l'économie numérique au sens large, il est difficile de dire si un instrument ayant valeur de traité rigide comme le RTI peut jouer un rôle positif pour promouvoir la croissance et la prospérité futures sur le marché des télécommunications internationales.</w:t>
      </w:r>
    </w:p>
    <w:p w14:paraId="16713F12" w14:textId="433835DC" w:rsidR="00571EEA" w:rsidRPr="007B4A61" w:rsidRDefault="008B262B" w:rsidP="00630259">
      <w:pPr>
        <w:rPr>
          <w:lang w:val="fr-CH"/>
        </w:rPr>
      </w:pPr>
      <w:r w:rsidRPr="007B4A61">
        <w:rPr>
          <w:lang w:val="fr-CH"/>
        </w:rPr>
        <w:t>Nous ne sommes pas certains que de nouvelles dispositions ayant valeur de traité aideraient les pays à créer des conditions propices aux investissements</w:t>
      </w:r>
      <w:r w:rsidR="00A845E9">
        <w:rPr>
          <w:lang w:val="fr-CH"/>
        </w:rPr>
        <w:t xml:space="preserve"> et à combler le retard en matière de numérique dans les régions concernées.</w:t>
      </w:r>
    </w:p>
    <w:p w14:paraId="5781E435" w14:textId="77777777" w:rsidR="00D0636B" w:rsidRPr="007B4A61" w:rsidRDefault="00D0636B" w:rsidP="00630259">
      <w:pPr>
        <w:rPr>
          <w:lang w:val="fr-CH"/>
        </w:rPr>
        <w:sectPr w:rsidR="00D0636B" w:rsidRPr="007B4A61" w:rsidSect="005C3890">
          <w:headerReference w:type="even" r:id="rId7"/>
          <w:headerReference w:type="default" r:id="rId8"/>
          <w:footerReference w:type="even" r:id="rId9"/>
          <w:footerReference w:type="default" r:id="rId10"/>
          <w:footerReference w:type="first" r:id="rId11"/>
          <w:pgSz w:w="11907" w:h="16840" w:code="9"/>
          <w:pgMar w:top="1418" w:right="1134" w:bottom="1418" w:left="1134" w:header="720" w:footer="720" w:gutter="0"/>
          <w:paperSrc w:first="261" w:other="261"/>
          <w:cols w:space="720"/>
          <w:titlePg/>
        </w:sectPr>
      </w:pPr>
    </w:p>
    <w:tbl>
      <w:tblPr>
        <w:tblpPr w:leftFromText="180" w:rightFromText="180" w:vertAnchor="text" w:tblpXSpec="center" w:tblpY="1"/>
        <w:tblOverlap w:val="never"/>
        <w:tblW w:w="15889" w:type="dxa"/>
        <w:tblBorders>
          <w:top w:val="nil"/>
          <w:left w:val="nil"/>
          <w:bottom w:val="nil"/>
          <w:right w:val="nil"/>
          <w:insideH w:val="nil"/>
          <w:insideV w:val="nil"/>
        </w:tblBorders>
        <w:tblLayout w:type="fixed"/>
        <w:tblLook w:val="0600" w:firstRow="0" w:lastRow="0" w:firstColumn="0" w:lastColumn="0" w:noHBand="1" w:noVBand="1"/>
      </w:tblPr>
      <w:tblGrid>
        <w:gridCol w:w="983"/>
        <w:gridCol w:w="4394"/>
        <w:gridCol w:w="2693"/>
        <w:gridCol w:w="3544"/>
        <w:gridCol w:w="3260"/>
        <w:gridCol w:w="1015"/>
      </w:tblGrid>
      <w:tr w:rsidR="00B74BBD" w:rsidRPr="007B4A61" w14:paraId="0EC13202" w14:textId="77777777" w:rsidTr="00630259">
        <w:trPr>
          <w:trHeight w:val="960"/>
          <w:tblHeader/>
        </w:trPr>
        <w:tc>
          <w:tcPr>
            <w:tcW w:w="983"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tcPr>
          <w:p w14:paraId="38BC3196" w14:textId="77777777" w:rsidR="00B74BBD" w:rsidRPr="007B4A61" w:rsidRDefault="00B74BBD" w:rsidP="00630259">
            <w:pPr>
              <w:pStyle w:val="Tablehead"/>
              <w:rPr>
                <w:lang w:val="fr-CH"/>
              </w:rPr>
            </w:pPr>
            <w:r w:rsidRPr="007B4A61">
              <w:rPr>
                <w:lang w:val="fr-CH"/>
              </w:rPr>
              <w:lastRenderedPageBreak/>
              <w:t>Article de la version de 2012</w:t>
            </w:r>
          </w:p>
        </w:tc>
        <w:tc>
          <w:tcPr>
            <w:tcW w:w="4394"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26C706A9" w14:textId="77777777" w:rsidR="00B74BBD" w:rsidRPr="007B4A61" w:rsidRDefault="00B74BBD" w:rsidP="00630259">
            <w:pPr>
              <w:pStyle w:val="Tablehead"/>
              <w:rPr>
                <w:lang w:val="fr-CH"/>
              </w:rPr>
            </w:pPr>
            <w:bookmarkStart w:id="9" w:name="lt_pId258"/>
            <w:r w:rsidRPr="007B4A61">
              <w:rPr>
                <w:lang w:val="fr-CH"/>
              </w:rPr>
              <w:t>Paragraphe et disposition</w:t>
            </w:r>
            <w:bookmarkEnd w:id="9"/>
          </w:p>
        </w:tc>
        <w:tc>
          <w:tcPr>
            <w:tcW w:w="2693"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3C573997" w14:textId="77777777" w:rsidR="00B74BBD" w:rsidRPr="007B4A61" w:rsidRDefault="00B74BBD" w:rsidP="00630259">
            <w:pPr>
              <w:pStyle w:val="Tablehead"/>
              <w:rPr>
                <w:lang w:val="fr-CH"/>
              </w:rPr>
            </w:pPr>
            <w:r w:rsidRPr="007B4A61">
              <w:rPr>
                <w:lang w:val="fr-CH"/>
              </w:rPr>
              <w:t>Paragraphe et disposition correspondants dans la version de 1988</w:t>
            </w:r>
          </w:p>
        </w:tc>
        <w:tc>
          <w:tcPr>
            <w:tcW w:w="3544"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79493888" w14:textId="77777777" w:rsidR="00B74BBD" w:rsidRPr="007B4A61" w:rsidRDefault="00B74BBD" w:rsidP="00630259">
            <w:pPr>
              <w:pStyle w:val="Tablehead"/>
              <w:rPr>
                <w:lang w:val="fr-CH"/>
              </w:rPr>
            </w:pPr>
            <w:r w:rsidRPr="007B4A61">
              <w:rPr>
                <w:lang w:val="fr-CH"/>
              </w:rPr>
              <w:t xml:space="preserve">Applicabilité pour ce qui est de favoriser la fourniture et le développement des réseaux </w:t>
            </w:r>
            <w:r w:rsidRPr="007B4A61">
              <w:rPr>
                <w:lang w:val="fr-CH"/>
              </w:rPr>
              <w:br/>
              <w:t>et des services</w:t>
            </w:r>
          </w:p>
        </w:tc>
        <w:tc>
          <w:tcPr>
            <w:tcW w:w="3260"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090AC214" w14:textId="77777777" w:rsidR="00B74BBD" w:rsidRPr="007B4A61" w:rsidRDefault="00B74BBD" w:rsidP="00630259">
            <w:pPr>
              <w:pStyle w:val="Tablehead"/>
              <w:rPr>
                <w:lang w:val="fr-CH"/>
              </w:rPr>
            </w:pPr>
            <w:r w:rsidRPr="007B4A61">
              <w:rPr>
                <w:lang w:val="fr-CH"/>
              </w:rPr>
              <w:t xml:space="preserve">Souplesse pour tenir compte des nouvelles tendances et des nouveaux problèmes </w:t>
            </w:r>
            <w:r w:rsidRPr="007B4A61">
              <w:rPr>
                <w:lang w:val="fr-CH"/>
              </w:rPr>
              <w:br/>
              <w:t>qui se font jour</w:t>
            </w:r>
          </w:p>
        </w:tc>
        <w:tc>
          <w:tcPr>
            <w:tcW w:w="1015"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7CC438BA" w14:textId="77777777" w:rsidR="00B74BBD" w:rsidRPr="007B4A61" w:rsidRDefault="00B74BBD" w:rsidP="00630259">
            <w:pPr>
              <w:pStyle w:val="Tablehead"/>
              <w:rPr>
                <w:lang w:val="fr-CH"/>
              </w:rPr>
            </w:pPr>
            <w:r w:rsidRPr="007B4A61">
              <w:rPr>
                <w:lang w:val="fr-CH"/>
              </w:rPr>
              <w:t>Résumé des résultats</w:t>
            </w:r>
          </w:p>
        </w:tc>
      </w:tr>
      <w:tr w:rsidR="0002223F" w:rsidRPr="007B4A61" w14:paraId="53336B58" w14:textId="77777777" w:rsidTr="00630259">
        <w:trPr>
          <w:cantSplit/>
          <w:trHeight w:val="1084"/>
        </w:trPr>
        <w:tc>
          <w:tcPr>
            <w:tcW w:w="98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24A822B6" w14:textId="1549BFDE" w:rsidR="00B74BBD" w:rsidRPr="007B4A61" w:rsidRDefault="00B74BBD" w:rsidP="00630259">
            <w:pPr>
              <w:pStyle w:val="Tabletext"/>
              <w:jc w:val="center"/>
              <w:rPr>
                <w:lang w:val="fr-CH"/>
              </w:rPr>
            </w:pPr>
          </w:p>
        </w:tc>
        <w:tc>
          <w:tcPr>
            <w:tcW w:w="4394"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61486B7E" w14:textId="55A7B231" w:rsidR="00B74BBD" w:rsidRPr="007B4A61" w:rsidRDefault="00F57DC0" w:rsidP="00630259">
            <w:pPr>
              <w:pStyle w:val="Tabletext"/>
              <w:rPr>
                <w:b/>
                <w:bCs/>
                <w:lang w:val="fr-CH"/>
              </w:rPr>
            </w:pPr>
            <w:r w:rsidRPr="007B4A61">
              <w:rPr>
                <w:b/>
                <w:bCs/>
                <w:lang w:val="fr-CH"/>
              </w:rPr>
              <w:t>Article 5: Sécurité de la vie humaine et priorité des télécommunications</w:t>
            </w:r>
          </w:p>
        </w:tc>
        <w:tc>
          <w:tcPr>
            <w:tcW w:w="2693"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3250B6A3" w14:textId="468508C2" w:rsidR="00B74BBD" w:rsidRPr="007B4A61" w:rsidRDefault="00B74BBD" w:rsidP="00630259">
            <w:pPr>
              <w:pStyle w:val="Tabletext"/>
              <w:rPr>
                <w:lang w:val="fr-CH"/>
              </w:rPr>
            </w:pPr>
          </w:p>
        </w:tc>
        <w:tc>
          <w:tcPr>
            <w:tcW w:w="3544"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676F1480" w14:textId="18DE2735" w:rsidR="00B74BBD" w:rsidRPr="007B4A61" w:rsidRDefault="00B74BBD" w:rsidP="00630259">
            <w:pPr>
              <w:pStyle w:val="Tabletext"/>
              <w:rPr>
                <w:lang w:val="fr-CH"/>
              </w:rPr>
            </w:pPr>
          </w:p>
        </w:tc>
        <w:tc>
          <w:tcPr>
            <w:tcW w:w="3260"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2B7257E1" w14:textId="62FCD758" w:rsidR="00B74BBD" w:rsidRPr="007B4A61" w:rsidRDefault="00B74BBD" w:rsidP="00630259">
            <w:pPr>
              <w:pStyle w:val="Tabletext"/>
              <w:rPr>
                <w:lang w:val="fr-CH"/>
              </w:rPr>
            </w:pPr>
          </w:p>
        </w:tc>
        <w:tc>
          <w:tcPr>
            <w:tcW w:w="1015"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5CA2235C" w14:textId="77777777" w:rsidR="00B74BBD" w:rsidRPr="007B4A61" w:rsidRDefault="00B74BBD" w:rsidP="00630259">
            <w:pPr>
              <w:pStyle w:val="Tabletext"/>
              <w:rPr>
                <w:lang w:val="fr-CH"/>
              </w:rPr>
            </w:pPr>
          </w:p>
        </w:tc>
      </w:tr>
      <w:tr w:rsidR="00CF4042" w:rsidRPr="007B4A61" w14:paraId="616BF245" w14:textId="77777777" w:rsidTr="00630259">
        <w:trPr>
          <w:cantSplit/>
          <w:trHeight w:val="1320"/>
        </w:trPr>
        <w:tc>
          <w:tcPr>
            <w:tcW w:w="98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7A52D699" w14:textId="05CA8C8C" w:rsidR="00CF4042" w:rsidRPr="007B4A61" w:rsidRDefault="00CF4042" w:rsidP="00630259">
            <w:pPr>
              <w:pStyle w:val="Tabletext"/>
              <w:jc w:val="center"/>
              <w:rPr>
                <w:lang w:val="fr-CH"/>
              </w:rPr>
            </w:pPr>
            <w:r w:rsidRPr="007B4A61">
              <w:rPr>
                <w:lang w:val="fr-CH"/>
              </w:rPr>
              <w:t>5.1</w:t>
            </w:r>
          </w:p>
        </w:tc>
        <w:tc>
          <w:tcPr>
            <w:tcW w:w="4394"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56FF94B5" w14:textId="467E80BF" w:rsidR="00CF4042" w:rsidRPr="007B4A61" w:rsidRDefault="00CF4042" w:rsidP="00630259">
            <w:pPr>
              <w:pStyle w:val="Tabletext"/>
              <w:rPr>
                <w:lang w:val="fr-CH"/>
              </w:rPr>
            </w:pPr>
            <w:r w:rsidRPr="007B4A61">
              <w:rPr>
                <w:lang w:val="fr-CH"/>
              </w:rPr>
              <w:t>Les télécommunications se rapportant à la sécurité de la vie humaine, telles que les télécommunications de détresse, bénéficient d'un droit absolu à la transmission et jouissent, dans la mesure où cela est techniquement possible, d'une priorité absolue sur toutes les autres télécommunications, conformément aux articles pertinents de la Constitution et de la Convention et compte dûment tenu des Recommandations UIT-T pertinentes.</w:t>
            </w:r>
          </w:p>
        </w:tc>
        <w:tc>
          <w:tcPr>
            <w:tcW w:w="2693"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25F8B79A" w14:textId="6E1592B9" w:rsidR="00CF4042" w:rsidRPr="007B4A61" w:rsidRDefault="00CF4042" w:rsidP="00630259">
            <w:pPr>
              <w:pStyle w:val="Tabletext"/>
              <w:rPr>
                <w:lang w:val="fr-CH"/>
              </w:rPr>
            </w:pPr>
          </w:p>
        </w:tc>
        <w:tc>
          <w:tcPr>
            <w:tcW w:w="3544"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6D15D746" w14:textId="59102209" w:rsidR="00F54A81" w:rsidRDefault="00F54A81" w:rsidP="00630259">
            <w:pPr>
              <w:pStyle w:val="Tabletext"/>
              <w:rPr>
                <w:lang w:val="fr-CH"/>
              </w:rPr>
            </w:pPr>
            <w:bookmarkStart w:id="10" w:name="lt_pId037"/>
            <w:r>
              <w:rPr>
                <w:lang w:val="fr-CH"/>
              </w:rPr>
              <w:t>Cette disposition est applicable à tout type de réseau ou de service.</w:t>
            </w:r>
          </w:p>
          <w:p w14:paraId="5AF6A6F5" w14:textId="77777777" w:rsidR="00630259" w:rsidRDefault="00630259" w:rsidP="00630259">
            <w:pPr>
              <w:pStyle w:val="Tabletext"/>
              <w:rPr>
                <w:lang w:val="fr-CH"/>
              </w:rPr>
            </w:pPr>
          </w:p>
          <w:p w14:paraId="51A84C3C" w14:textId="7E2D5AFA" w:rsidR="00CF4042" w:rsidRPr="007B4A61" w:rsidRDefault="00F54A81" w:rsidP="00630259">
            <w:pPr>
              <w:pStyle w:val="Tabletext"/>
              <w:rPr>
                <w:lang w:val="fr-CH"/>
              </w:rPr>
            </w:pPr>
            <w:bookmarkStart w:id="11" w:name="lt_pId038"/>
            <w:bookmarkEnd w:id="10"/>
            <w:r>
              <w:rPr>
                <w:lang w:val="fr-CH"/>
              </w:rPr>
              <w:t>Question déjà couverte par l'article</w:t>
            </w:r>
            <w:r w:rsidR="00590711">
              <w:rPr>
                <w:lang w:val="fr-CH"/>
              </w:rPr>
              <w:t> </w:t>
            </w:r>
            <w:r>
              <w:rPr>
                <w:lang w:val="fr-CH"/>
              </w:rPr>
              <w:t xml:space="preserve"> 40 de la</w:t>
            </w:r>
            <w:r w:rsidR="00CF4042" w:rsidRPr="007B4A61">
              <w:rPr>
                <w:lang w:val="fr-CH"/>
              </w:rPr>
              <w:t xml:space="preserve"> Constitution.</w:t>
            </w:r>
            <w:bookmarkEnd w:id="11"/>
          </w:p>
        </w:tc>
        <w:tc>
          <w:tcPr>
            <w:tcW w:w="3260"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408189F7" w14:textId="40ED8651" w:rsidR="00CF4042" w:rsidRPr="007B4A61" w:rsidRDefault="00F54A81" w:rsidP="00630259">
            <w:pPr>
              <w:pStyle w:val="Tabletext"/>
              <w:rPr>
                <w:lang w:val="fr-CH"/>
              </w:rPr>
            </w:pPr>
            <w:bookmarkStart w:id="12" w:name="lt_pId039"/>
            <w:r>
              <w:rPr>
                <w:lang w:val="fr-CH"/>
              </w:rPr>
              <w:t>Cette disposition n'offre pas toute la souplesse possible, étant donné qu'elle ne couvre pas les futurs canaux de communication.</w:t>
            </w:r>
            <w:bookmarkEnd w:id="12"/>
          </w:p>
        </w:tc>
        <w:tc>
          <w:tcPr>
            <w:tcW w:w="1015"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44969F59" w14:textId="77777777" w:rsidR="00CF4042" w:rsidRPr="007B4A61" w:rsidRDefault="00CF4042" w:rsidP="00630259">
            <w:pPr>
              <w:pStyle w:val="Tabletext"/>
              <w:rPr>
                <w:lang w:val="fr-CH"/>
              </w:rPr>
            </w:pPr>
          </w:p>
        </w:tc>
      </w:tr>
      <w:tr w:rsidR="009026BB" w:rsidRPr="007B4A61" w14:paraId="76391F4D" w14:textId="77777777" w:rsidTr="00630259">
        <w:trPr>
          <w:cantSplit/>
          <w:trHeight w:val="1320"/>
        </w:trPr>
        <w:tc>
          <w:tcPr>
            <w:tcW w:w="98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451998F0" w14:textId="24CBCB05" w:rsidR="009026BB" w:rsidRPr="007B4A61" w:rsidRDefault="009026BB" w:rsidP="00630259">
            <w:pPr>
              <w:pStyle w:val="Tabletext"/>
              <w:jc w:val="center"/>
              <w:rPr>
                <w:lang w:val="fr-CH"/>
              </w:rPr>
            </w:pPr>
            <w:r w:rsidRPr="007B4A61">
              <w:rPr>
                <w:lang w:val="fr-CH"/>
              </w:rPr>
              <w:t>5.2</w:t>
            </w:r>
          </w:p>
        </w:tc>
        <w:tc>
          <w:tcPr>
            <w:tcW w:w="4394"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020D0D87" w14:textId="393838E3" w:rsidR="009026BB" w:rsidRPr="007B4A61" w:rsidRDefault="009026BB" w:rsidP="00630259">
            <w:pPr>
              <w:pStyle w:val="Tabletext"/>
              <w:rPr>
                <w:lang w:val="fr-CH"/>
              </w:rPr>
            </w:pPr>
            <w:r w:rsidRPr="007B4A61">
              <w:rPr>
                <w:lang w:val="fr-CH"/>
              </w:rPr>
              <w:t>Les télécommunications d'Etat, y compris les télécommunications relatives à l'application de certaines dispositions de la Charte des Nations Unies, jouissent, dans la mesure où cela est techniquement possible, d'un droit de priorité sur toutes les télécommunications autres que celles mentionnées au numéro 45 (disposition 5.1) ci</w:t>
            </w:r>
            <w:r w:rsidRPr="007B4A61">
              <w:rPr>
                <w:lang w:val="fr-CH"/>
              </w:rPr>
              <w:noBreakHyphen/>
              <w:t>dessus, conformément aux dispositions pertinentes de la Constitution et de la Convention et compte dûment tenu des Recommandations UIT-T pertinentes.</w:t>
            </w:r>
          </w:p>
        </w:tc>
        <w:tc>
          <w:tcPr>
            <w:tcW w:w="2693"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49CC9B74" w14:textId="4CAAA716" w:rsidR="009026BB" w:rsidRPr="007B4A61" w:rsidRDefault="009026BB" w:rsidP="00630259">
            <w:pPr>
              <w:pStyle w:val="Tabletext"/>
              <w:rPr>
                <w:lang w:val="fr-CH"/>
              </w:rPr>
            </w:pPr>
          </w:p>
        </w:tc>
        <w:tc>
          <w:tcPr>
            <w:tcW w:w="3544"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49749FD0" w14:textId="5F7CF96F" w:rsidR="009026BB" w:rsidRPr="007B4A61" w:rsidRDefault="009026BB" w:rsidP="00630259">
            <w:pPr>
              <w:pStyle w:val="Tabletext"/>
              <w:rPr>
                <w:lang w:val="fr-CH"/>
              </w:rPr>
            </w:pPr>
            <w:bookmarkStart w:id="13" w:name="lt_pId042"/>
            <w:r>
              <w:rPr>
                <w:lang w:val="fr-CH"/>
              </w:rPr>
              <w:t>Cette disposition est inutile étant donné que les télécommunications d'État sont de plus en plus souvent soumises à la gestion du trafic dans le cadre de la technologie utilisée par les réseaux de télécommunication modernes.</w:t>
            </w:r>
            <w:r w:rsidRPr="007B4A61">
              <w:rPr>
                <w:lang w:val="fr-CH"/>
              </w:rPr>
              <w:t xml:space="preserve"> </w:t>
            </w:r>
            <w:bookmarkEnd w:id="13"/>
          </w:p>
        </w:tc>
        <w:tc>
          <w:tcPr>
            <w:tcW w:w="3260"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1A23C3E9" w14:textId="71804576" w:rsidR="009026BB" w:rsidRPr="007B4A61" w:rsidRDefault="009026BB" w:rsidP="00630259">
            <w:pPr>
              <w:pStyle w:val="Tabletext"/>
              <w:rPr>
                <w:lang w:val="fr-CH"/>
              </w:rPr>
            </w:pPr>
            <w:r>
              <w:rPr>
                <w:lang w:val="fr-CH"/>
              </w:rPr>
              <w:t>Cette disposition est inutile étant donné que les télécommunications d'État sont de plus en plus souvent soumises à la gestion du trafic dans le cadre de la technologie utilisée par les réseaux de télécommunication modernes.</w:t>
            </w:r>
            <w:r w:rsidRPr="007B4A61">
              <w:rPr>
                <w:lang w:val="fr-CH"/>
              </w:rPr>
              <w:t xml:space="preserve"> </w:t>
            </w:r>
          </w:p>
        </w:tc>
        <w:tc>
          <w:tcPr>
            <w:tcW w:w="1015"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691F70D9" w14:textId="77777777" w:rsidR="009026BB" w:rsidRPr="007B4A61" w:rsidRDefault="009026BB" w:rsidP="00630259">
            <w:pPr>
              <w:pStyle w:val="Tabletext"/>
              <w:rPr>
                <w:lang w:val="fr-CH"/>
              </w:rPr>
            </w:pPr>
          </w:p>
        </w:tc>
      </w:tr>
      <w:tr w:rsidR="009026BB" w:rsidRPr="007B4A61" w14:paraId="607470CE" w14:textId="77777777" w:rsidTr="00630259">
        <w:trPr>
          <w:cantSplit/>
          <w:trHeight w:val="1320"/>
        </w:trPr>
        <w:tc>
          <w:tcPr>
            <w:tcW w:w="98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21BD6A72" w14:textId="6042E268" w:rsidR="009026BB" w:rsidRPr="007B4A61" w:rsidRDefault="009026BB" w:rsidP="00630259">
            <w:pPr>
              <w:pStyle w:val="Tabletext"/>
              <w:jc w:val="center"/>
              <w:rPr>
                <w:lang w:val="fr-CH"/>
              </w:rPr>
            </w:pPr>
            <w:r w:rsidRPr="007B4A61">
              <w:rPr>
                <w:lang w:val="fr-CH"/>
              </w:rPr>
              <w:lastRenderedPageBreak/>
              <w:t>5.3</w:t>
            </w:r>
          </w:p>
        </w:tc>
        <w:tc>
          <w:tcPr>
            <w:tcW w:w="4394"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7AA965DC" w14:textId="3F2A992B" w:rsidR="009026BB" w:rsidRPr="007B4A61" w:rsidRDefault="009026BB" w:rsidP="00630259">
            <w:pPr>
              <w:pStyle w:val="Tabletext"/>
              <w:rPr>
                <w:lang w:val="fr-CH"/>
              </w:rPr>
            </w:pPr>
            <w:r w:rsidRPr="007B4A61">
              <w:rPr>
                <w:lang w:val="fr-CH"/>
              </w:rPr>
              <w:t>Les dispositions régissant la priorité de tous les autres services de télécommunication figurent dans les Recommandations UIT-T pertinentes.</w:t>
            </w:r>
          </w:p>
        </w:tc>
        <w:tc>
          <w:tcPr>
            <w:tcW w:w="2693"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4FB5AFF1" w14:textId="49D8D5C7" w:rsidR="009026BB" w:rsidRPr="007B4A61" w:rsidRDefault="009026BB" w:rsidP="00630259">
            <w:pPr>
              <w:pStyle w:val="Tabletext"/>
              <w:rPr>
                <w:lang w:val="fr-CH"/>
              </w:rPr>
            </w:pPr>
          </w:p>
        </w:tc>
        <w:tc>
          <w:tcPr>
            <w:tcW w:w="3544"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082B96AF" w14:textId="552FC57B" w:rsidR="009026BB" w:rsidRPr="007B4A61" w:rsidRDefault="009026BB" w:rsidP="00630259">
            <w:pPr>
              <w:pStyle w:val="Tabletext"/>
              <w:rPr>
                <w:lang w:val="fr-CH"/>
              </w:rPr>
            </w:pPr>
            <w:bookmarkStart w:id="14" w:name="lt_pId046"/>
            <w:r>
              <w:rPr>
                <w:lang w:val="fr-CH"/>
              </w:rPr>
              <w:t>Cette disposition est inutile étant donné que les Recommandations UIT-T sont la norme à appliquer par défaut.</w:t>
            </w:r>
            <w:bookmarkEnd w:id="14"/>
          </w:p>
        </w:tc>
        <w:tc>
          <w:tcPr>
            <w:tcW w:w="3260"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0B405ACB" w14:textId="1187F03F" w:rsidR="009026BB" w:rsidRPr="007B4A61" w:rsidRDefault="009026BB" w:rsidP="00630259">
            <w:pPr>
              <w:pStyle w:val="Tabletext"/>
              <w:rPr>
                <w:lang w:val="fr-CH"/>
              </w:rPr>
            </w:pPr>
            <w:r>
              <w:rPr>
                <w:lang w:val="fr-CH"/>
              </w:rPr>
              <w:t>Cette disposition est inutile étant donné que les Recommandations UIT-T sont la norme à appliquer par défaut.</w:t>
            </w:r>
          </w:p>
        </w:tc>
        <w:tc>
          <w:tcPr>
            <w:tcW w:w="1015"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3EE7DF75" w14:textId="77777777" w:rsidR="009026BB" w:rsidRPr="007B4A61" w:rsidRDefault="009026BB" w:rsidP="00630259">
            <w:pPr>
              <w:pStyle w:val="Tabletext"/>
              <w:rPr>
                <w:lang w:val="fr-CH"/>
              </w:rPr>
            </w:pPr>
          </w:p>
        </w:tc>
      </w:tr>
      <w:tr w:rsidR="00A9626E" w:rsidRPr="007B4A61" w14:paraId="57C228F2" w14:textId="77777777" w:rsidTr="00630259">
        <w:trPr>
          <w:cantSplit/>
          <w:trHeight w:val="1320"/>
        </w:trPr>
        <w:tc>
          <w:tcPr>
            <w:tcW w:w="98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5C62AD99" w14:textId="4F08EA93" w:rsidR="00A9626E" w:rsidRPr="007B4A61" w:rsidRDefault="00A9626E" w:rsidP="00630259">
            <w:pPr>
              <w:pStyle w:val="Tabletext"/>
              <w:jc w:val="center"/>
              <w:rPr>
                <w:lang w:val="fr-CH"/>
              </w:rPr>
            </w:pPr>
            <w:r w:rsidRPr="007B4A61">
              <w:rPr>
                <w:lang w:val="fr-CH"/>
              </w:rPr>
              <w:t>5.4</w:t>
            </w:r>
          </w:p>
        </w:tc>
        <w:tc>
          <w:tcPr>
            <w:tcW w:w="4394"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50AA9DA6" w14:textId="241BEAA9" w:rsidR="00A9626E" w:rsidRPr="007B4A61" w:rsidRDefault="00A9626E" w:rsidP="00630259">
            <w:pPr>
              <w:pStyle w:val="Tabletext"/>
              <w:rPr>
                <w:lang w:val="fr-CH"/>
              </w:rPr>
            </w:pPr>
            <w:r w:rsidRPr="007B4A61">
              <w:rPr>
                <w:lang w:val="fr-CH"/>
              </w:rPr>
              <w:t>Les Etats Membres devraient encourager les exploitations autorisées à informer tous les utilisateurs, y compris les utilisateurs itinérants, en temps utile et gratuitement, du numéro à utiliser pour les appels vers les services d'urgence.</w:t>
            </w:r>
          </w:p>
        </w:tc>
        <w:tc>
          <w:tcPr>
            <w:tcW w:w="2693"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3C6EC5B1" w14:textId="77777777" w:rsidR="00A9626E" w:rsidRPr="007B4A61" w:rsidRDefault="00A9626E" w:rsidP="00630259">
            <w:pPr>
              <w:pStyle w:val="Tabletext"/>
              <w:rPr>
                <w:lang w:val="fr-CH"/>
              </w:rPr>
            </w:pPr>
          </w:p>
        </w:tc>
        <w:tc>
          <w:tcPr>
            <w:tcW w:w="3544"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00A2EFB8" w14:textId="2337FCC3" w:rsidR="00A9626E" w:rsidRPr="007B4A61" w:rsidRDefault="009026BB" w:rsidP="00630259">
            <w:pPr>
              <w:pStyle w:val="Tabletext"/>
              <w:rPr>
                <w:szCs w:val="22"/>
                <w:lang w:val="fr-CH"/>
              </w:rPr>
            </w:pPr>
            <w:bookmarkStart w:id="15" w:name="lt_pId050"/>
            <w:r>
              <w:rPr>
                <w:rFonts w:cstheme="minorHAnsi"/>
                <w:szCs w:val="22"/>
                <w:lang w:val="fr-CH"/>
              </w:rPr>
              <w:t>Cette disposition s'appuie sur la technologie de réseau existante, et n'est donc pas applicable aux réseaux et services futurs qui pourraient faire appel à des procédures différentes pour entrer en contact avec les services d'urgence.</w:t>
            </w:r>
            <w:bookmarkEnd w:id="15"/>
          </w:p>
        </w:tc>
        <w:tc>
          <w:tcPr>
            <w:tcW w:w="3260"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05D32636" w14:textId="2DAD0418" w:rsidR="00A9626E" w:rsidRPr="007B4A61" w:rsidRDefault="009026BB" w:rsidP="00630259">
            <w:pPr>
              <w:pStyle w:val="Tabletext"/>
              <w:rPr>
                <w:szCs w:val="22"/>
                <w:lang w:val="fr-CH"/>
              </w:rPr>
            </w:pPr>
            <w:bookmarkStart w:id="16" w:name="lt_pId051"/>
            <w:r>
              <w:rPr>
                <w:rFonts w:cstheme="minorHAnsi"/>
                <w:szCs w:val="22"/>
                <w:lang w:val="fr-CH"/>
              </w:rPr>
              <w:t>Cette disposition n'offre pas la souplesse nécessaire car les évolutions futures des réseaux et des services pourraient aboutir à d'autres procédures pour entrer en contact avec les services d'urgence.</w:t>
            </w:r>
            <w:bookmarkEnd w:id="16"/>
          </w:p>
        </w:tc>
        <w:tc>
          <w:tcPr>
            <w:tcW w:w="1015"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106D9A39" w14:textId="77777777" w:rsidR="00A9626E" w:rsidRPr="007B4A61" w:rsidRDefault="00A9626E" w:rsidP="00630259">
            <w:pPr>
              <w:pStyle w:val="Tabletext"/>
              <w:rPr>
                <w:lang w:val="fr-CH"/>
              </w:rPr>
            </w:pPr>
          </w:p>
        </w:tc>
      </w:tr>
      <w:tr w:rsidR="00D755A8" w:rsidRPr="007B4A61" w14:paraId="196AD757" w14:textId="77777777" w:rsidTr="00630259">
        <w:trPr>
          <w:cantSplit/>
          <w:trHeight w:val="1320"/>
        </w:trPr>
        <w:tc>
          <w:tcPr>
            <w:tcW w:w="98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49EDD51C" w14:textId="77777777" w:rsidR="00D755A8" w:rsidRPr="007B4A61" w:rsidRDefault="00D755A8" w:rsidP="00630259">
            <w:pPr>
              <w:pStyle w:val="Tabletext"/>
              <w:jc w:val="center"/>
              <w:rPr>
                <w:lang w:val="fr-CH"/>
              </w:rPr>
            </w:pPr>
          </w:p>
        </w:tc>
        <w:tc>
          <w:tcPr>
            <w:tcW w:w="4394"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441576FA" w14:textId="016DEAA3" w:rsidR="00D755A8" w:rsidRPr="007B4A61" w:rsidRDefault="00F57DC0" w:rsidP="00630259">
            <w:pPr>
              <w:pStyle w:val="Tabletext"/>
              <w:rPr>
                <w:b/>
                <w:bCs/>
                <w:lang w:val="fr-CH"/>
              </w:rPr>
            </w:pPr>
            <w:bookmarkStart w:id="17" w:name="_Toc351716094"/>
            <w:r w:rsidRPr="007B4A61">
              <w:rPr>
                <w:b/>
                <w:bCs/>
                <w:lang w:val="fr-CH"/>
              </w:rPr>
              <w:t xml:space="preserve">Article 6: </w:t>
            </w:r>
            <w:r w:rsidR="00D755A8" w:rsidRPr="007B4A61">
              <w:rPr>
                <w:b/>
                <w:bCs/>
                <w:lang w:val="fr-CH"/>
              </w:rPr>
              <w:t>Sécurité et robustesse des réseaux</w:t>
            </w:r>
            <w:bookmarkEnd w:id="17"/>
          </w:p>
        </w:tc>
        <w:tc>
          <w:tcPr>
            <w:tcW w:w="2693"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06822C91" w14:textId="77777777" w:rsidR="00D755A8" w:rsidRPr="007B4A61" w:rsidRDefault="00D755A8" w:rsidP="00630259">
            <w:pPr>
              <w:pStyle w:val="Tabletext"/>
              <w:rPr>
                <w:lang w:val="fr-CH"/>
              </w:rPr>
            </w:pPr>
          </w:p>
        </w:tc>
        <w:tc>
          <w:tcPr>
            <w:tcW w:w="3544"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4AF45EB0" w14:textId="77777777" w:rsidR="00D755A8" w:rsidRPr="007B4A61" w:rsidRDefault="00D755A8" w:rsidP="00630259">
            <w:pPr>
              <w:pStyle w:val="Tabletext"/>
              <w:rPr>
                <w:lang w:val="fr-CH"/>
              </w:rPr>
            </w:pPr>
          </w:p>
        </w:tc>
        <w:tc>
          <w:tcPr>
            <w:tcW w:w="3260"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1BE15FA1" w14:textId="77777777" w:rsidR="00D755A8" w:rsidRPr="007B4A61" w:rsidRDefault="00D755A8" w:rsidP="00630259">
            <w:pPr>
              <w:pStyle w:val="Tabletext"/>
              <w:rPr>
                <w:lang w:val="fr-CH"/>
              </w:rPr>
            </w:pPr>
          </w:p>
        </w:tc>
        <w:tc>
          <w:tcPr>
            <w:tcW w:w="1015"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301E673A" w14:textId="77777777" w:rsidR="00D755A8" w:rsidRPr="007B4A61" w:rsidRDefault="00D755A8" w:rsidP="00630259">
            <w:pPr>
              <w:pStyle w:val="Tabletext"/>
              <w:rPr>
                <w:lang w:val="fr-CH"/>
              </w:rPr>
            </w:pPr>
          </w:p>
        </w:tc>
      </w:tr>
      <w:tr w:rsidR="00D755A8" w:rsidRPr="007B4A61" w14:paraId="238F9DE0" w14:textId="77777777" w:rsidTr="00630259">
        <w:trPr>
          <w:cantSplit/>
          <w:trHeight w:val="1320"/>
        </w:trPr>
        <w:tc>
          <w:tcPr>
            <w:tcW w:w="98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161DA7E5" w14:textId="2471873C" w:rsidR="00D755A8" w:rsidRPr="007B4A61" w:rsidRDefault="00994BA2" w:rsidP="00630259">
            <w:pPr>
              <w:pStyle w:val="Tabletext"/>
              <w:jc w:val="center"/>
              <w:rPr>
                <w:lang w:val="fr-CH"/>
              </w:rPr>
            </w:pPr>
            <w:r w:rsidRPr="007B4A61">
              <w:rPr>
                <w:lang w:val="fr-CH"/>
              </w:rPr>
              <w:t>6.1</w:t>
            </w:r>
          </w:p>
        </w:tc>
        <w:tc>
          <w:tcPr>
            <w:tcW w:w="4394"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0ABEC673" w14:textId="325DC723" w:rsidR="00D755A8" w:rsidRPr="007B4A61" w:rsidRDefault="00D755A8" w:rsidP="00630259">
            <w:pPr>
              <w:pStyle w:val="Tabletext"/>
              <w:rPr>
                <w:lang w:val="fr-CH"/>
              </w:rPr>
            </w:pPr>
            <w:r w:rsidRPr="007B4A61">
              <w:rPr>
                <w:lang w:val="fr-CH"/>
              </w:rPr>
              <w:t>Les Etats Membres s'efforcent, individuellement et collectivement, de garantir la sécurité et la robustesse des réseaux internationaux de télécommunication, en vue d'en assurer l'utilisation efficace et d'éviter que des préjudices techniques leur soient causés, et de garantir le développement harmonieux des services internationaux de télécommunication offerts au public.</w:t>
            </w:r>
          </w:p>
        </w:tc>
        <w:tc>
          <w:tcPr>
            <w:tcW w:w="2693"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53CFDD7A" w14:textId="77777777" w:rsidR="00D755A8" w:rsidRPr="007B4A61" w:rsidRDefault="00D755A8" w:rsidP="00630259">
            <w:pPr>
              <w:pStyle w:val="Tabletext"/>
              <w:rPr>
                <w:lang w:val="fr-CH"/>
              </w:rPr>
            </w:pPr>
          </w:p>
        </w:tc>
        <w:tc>
          <w:tcPr>
            <w:tcW w:w="3544"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4E44DA99" w14:textId="77777777" w:rsidR="00D755A8" w:rsidRPr="007B4A61" w:rsidRDefault="00896227" w:rsidP="00630259">
            <w:pPr>
              <w:pStyle w:val="Tabletext"/>
              <w:rPr>
                <w:lang w:val="fr-CH"/>
              </w:rPr>
            </w:pPr>
            <w:r w:rsidRPr="007B4A61">
              <w:rPr>
                <w:lang w:val="fr-CH"/>
              </w:rPr>
              <w:t>Cette disposition n'est pas applicable, étant donné que l'expression "Les Etats Membres s'efforcent de veiller" est impossible à appliquer.</w:t>
            </w:r>
          </w:p>
          <w:p w14:paraId="687077E5" w14:textId="0D437A64" w:rsidR="00896227" w:rsidRPr="007B4A61" w:rsidRDefault="00F16FFB" w:rsidP="00630259">
            <w:pPr>
              <w:pStyle w:val="Tabletext"/>
              <w:rPr>
                <w:lang w:val="fr-CH"/>
              </w:rPr>
            </w:pPr>
            <w:r>
              <w:rPr>
                <w:lang w:val="fr-CH"/>
              </w:rPr>
              <w:t>O</w:t>
            </w:r>
            <w:r w:rsidR="00896227" w:rsidRPr="007B4A61">
              <w:rPr>
                <w:lang w:val="fr-CH"/>
              </w:rPr>
              <w:t xml:space="preserve">n ne sait pas très bien comment les États Membres devraient garantir la fourniture de ces moyens, dans la mesure où </w:t>
            </w:r>
            <w:r>
              <w:rPr>
                <w:lang w:val="fr-CH"/>
              </w:rPr>
              <w:t>l'exploitation des réseaux de télécommunication sur le marché des télécommunications moderne</w:t>
            </w:r>
            <w:r w:rsidR="00896227" w:rsidRPr="007B4A61">
              <w:rPr>
                <w:lang w:val="fr-CH"/>
              </w:rPr>
              <w:t xml:space="preserve"> relève aujourd'hui essentiellement de la responsabilité du secteur privé.</w:t>
            </w:r>
          </w:p>
        </w:tc>
        <w:tc>
          <w:tcPr>
            <w:tcW w:w="3260"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3DB47F95" w14:textId="1E53329E" w:rsidR="00D755A8" w:rsidRPr="007B4A61" w:rsidRDefault="00F16FFB" w:rsidP="00630259">
            <w:pPr>
              <w:pStyle w:val="Tabletext"/>
              <w:rPr>
                <w:lang w:val="fr-CH"/>
              </w:rPr>
            </w:pPr>
            <w:bookmarkStart w:id="18" w:name="lt_pId058"/>
            <w:r>
              <w:rPr>
                <w:lang w:val="fr-CH"/>
              </w:rPr>
              <w:t>Sur le marché</w:t>
            </w:r>
            <w:r w:rsidR="00E232A1">
              <w:rPr>
                <w:lang w:val="fr-CH"/>
              </w:rPr>
              <w:t xml:space="preserve"> moderne </w:t>
            </w:r>
            <w:r>
              <w:rPr>
                <w:lang w:val="fr-CH"/>
              </w:rPr>
              <w:t>des télécommunications, la sécurité et la robustesse des réseaux internationaux de télécommunication sont assurées principalement par le secteur privé et se renforceront à mesure que les réseaux et les services se développeront.</w:t>
            </w:r>
            <w:bookmarkEnd w:id="18"/>
          </w:p>
        </w:tc>
        <w:tc>
          <w:tcPr>
            <w:tcW w:w="1015"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508F467A" w14:textId="77777777" w:rsidR="00D755A8" w:rsidRPr="007B4A61" w:rsidRDefault="00D755A8" w:rsidP="00630259">
            <w:pPr>
              <w:pStyle w:val="Tabletext"/>
              <w:rPr>
                <w:lang w:val="fr-CH"/>
              </w:rPr>
            </w:pPr>
          </w:p>
        </w:tc>
      </w:tr>
      <w:tr w:rsidR="00D755A8" w:rsidRPr="007B4A61" w14:paraId="58DF8F72" w14:textId="77777777" w:rsidTr="00630259">
        <w:trPr>
          <w:cantSplit/>
          <w:trHeight w:val="1320"/>
        </w:trPr>
        <w:tc>
          <w:tcPr>
            <w:tcW w:w="98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633494E6" w14:textId="3B42802A" w:rsidR="00D755A8" w:rsidRPr="007B4A61" w:rsidRDefault="00D755A8" w:rsidP="00630259">
            <w:pPr>
              <w:pStyle w:val="Tabletext"/>
              <w:keepNext/>
              <w:keepLines/>
              <w:jc w:val="center"/>
              <w:rPr>
                <w:lang w:val="fr-CH"/>
              </w:rPr>
            </w:pPr>
          </w:p>
        </w:tc>
        <w:tc>
          <w:tcPr>
            <w:tcW w:w="4394"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73412294" w14:textId="35FB5839" w:rsidR="00D755A8" w:rsidRPr="007B4A61" w:rsidRDefault="008D475D" w:rsidP="00630259">
            <w:pPr>
              <w:pStyle w:val="Tabletext"/>
              <w:keepNext/>
              <w:keepLines/>
              <w:rPr>
                <w:b/>
                <w:bCs/>
                <w:lang w:val="fr-CH"/>
              </w:rPr>
            </w:pPr>
            <w:bookmarkStart w:id="19" w:name="_Toc351716096"/>
            <w:r w:rsidRPr="007B4A61">
              <w:rPr>
                <w:b/>
                <w:bCs/>
                <w:lang w:val="fr-CH"/>
              </w:rPr>
              <w:t xml:space="preserve">Article 7: </w:t>
            </w:r>
            <w:r w:rsidR="00D755A8" w:rsidRPr="007B4A61">
              <w:rPr>
                <w:b/>
                <w:bCs/>
                <w:lang w:val="fr-CH"/>
              </w:rPr>
              <w:t>Communications électroniques non sollicitées envoyées en masse</w:t>
            </w:r>
            <w:bookmarkEnd w:id="19"/>
          </w:p>
        </w:tc>
        <w:tc>
          <w:tcPr>
            <w:tcW w:w="2693"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24D87E9B" w14:textId="77777777" w:rsidR="00D755A8" w:rsidRPr="007B4A61" w:rsidRDefault="00D755A8" w:rsidP="00630259">
            <w:pPr>
              <w:pStyle w:val="Tabletext"/>
              <w:keepNext/>
              <w:keepLines/>
              <w:rPr>
                <w:lang w:val="fr-CH"/>
              </w:rPr>
            </w:pPr>
          </w:p>
        </w:tc>
        <w:tc>
          <w:tcPr>
            <w:tcW w:w="3544"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207DB715" w14:textId="77777777" w:rsidR="00D755A8" w:rsidRPr="007B4A61" w:rsidRDefault="00D755A8" w:rsidP="00630259">
            <w:pPr>
              <w:pStyle w:val="Tabletext"/>
              <w:keepNext/>
              <w:keepLines/>
              <w:rPr>
                <w:lang w:val="fr-CH"/>
              </w:rPr>
            </w:pPr>
          </w:p>
        </w:tc>
        <w:tc>
          <w:tcPr>
            <w:tcW w:w="3260"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11E57201" w14:textId="77777777" w:rsidR="00D755A8" w:rsidRPr="007B4A61" w:rsidRDefault="00D755A8" w:rsidP="00630259">
            <w:pPr>
              <w:pStyle w:val="Tabletext"/>
              <w:keepNext/>
              <w:keepLines/>
              <w:rPr>
                <w:lang w:val="fr-CH"/>
              </w:rPr>
            </w:pPr>
          </w:p>
        </w:tc>
        <w:tc>
          <w:tcPr>
            <w:tcW w:w="1015"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2A534DE2" w14:textId="77777777" w:rsidR="00D755A8" w:rsidRPr="007B4A61" w:rsidRDefault="00D755A8" w:rsidP="00630259">
            <w:pPr>
              <w:pStyle w:val="Tabletext"/>
              <w:keepNext/>
              <w:keepLines/>
              <w:rPr>
                <w:lang w:val="fr-CH"/>
              </w:rPr>
            </w:pPr>
          </w:p>
        </w:tc>
      </w:tr>
      <w:tr w:rsidR="00E61555" w:rsidRPr="007B4A61" w14:paraId="6CAE1189" w14:textId="77777777" w:rsidTr="00630259">
        <w:trPr>
          <w:cantSplit/>
          <w:trHeight w:val="1320"/>
        </w:trPr>
        <w:tc>
          <w:tcPr>
            <w:tcW w:w="98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30516FD4" w14:textId="79E9F555" w:rsidR="00E61555" w:rsidRPr="007B4A61" w:rsidRDefault="00E61555" w:rsidP="00630259">
            <w:pPr>
              <w:pStyle w:val="Tabletext"/>
              <w:keepNext/>
              <w:keepLines/>
              <w:jc w:val="center"/>
              <w:rPr>
                <w:lang w:val="fr-CH"/>
              </w:rPr>
            </w:pPr>
            <w:r w:rsidRPr="007B4A61">
              <w:rPr>
                <w:lang w:val="fr-CH"/>
              </w:rPr>
              <w:t>7.1</w:t>
            </w:r>
          </w:p>
        </w:tc>
        <w:tc>
          <w:tcPr>
            <w:tcW w:w="4394"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3F3BDB9A" w14:textId="1F75A894" w:rsidR="00E61555" w:rsidRPr="007B4A61" w:rsidRDefault="00E61555" w:rsidP="00630259">
            <w:pPr>
              <w:pStyle w:val="Tabletext"/>
              <w:keepNext/>
              <w:keepLines/>
              <w:rPr>
                <w:lang w:val="fr-CH"/>
              </w:rPr>
            </w:pPr>
            <w:r w:rsidRPr="007B4A61">
              <w:rPr>
                <w:lang w:val="fr-CH"/>
              </w:rPr>
              <w:t>Les Etats Membres devraient s'efforcer de prendre les mesures nécessaires pour empêcher la propagation de communications électroniques non sollicitées envoyées en masse et en réduire autant que possible l'incidence sur les services internationaux de télécommunication.</w:t>
            </w:r>
          </w:p>
        </w:tc>
        <w:tc>
          <w:tcPr>
            <w:tcW w:w="2693"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766476A3" w14:textId="77777777" w:rsidR="00E61555" w:rsidRPr="007B4A61" w:rsidRDefault="00E61555" w:rsidP="00630259">
            <w:pPr>
              <w:pStyle w:val="Tabletext"/>
              <w:keepNext/>
              <w:keepLines/>
              <w:rPr>
                <w:lang w:val="fr-CH"/>
              </w:rPr>
            </w:pPr>
          </w:p>
        </w:tc>
        <w:tc>
          <w:tcPr>
            <w:tcW w:w="3544"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0728474D" w14:textId="11A7A1E7" w:rsidR="00E61555" w:rsidRPr="007B4A61" w:rsidRDefault="00F16FFB" w:rsidP="00630259">
            <w:pPr>
              <w:pStyle w:val="Tabletext"/>
              <w:keepNext/>
              <w:keepLines/>
              <w:rPr>
                <w:lang w:val="fr-CH"/>
              </w:rPr>
            </w:pPr>
            <w:bookmarkStart w:id="20" w:name="lt_pId063"/>
            <w:r>
              <w:rPr>
                <w:lang w:val="fr-CH"/>
              </w:rPr>
              <w:t>Cette disposition traite de l'adoption de mesures au niveau national, ce qui ne devrait pas figurer dans un traité international.</w:t>
            </w:r>
            <w:bookmarkEnd w:id="20"/>
            <w:r w:rsidR="00E61555" w:rsidRPr="007B4A61">
              <w:rPr>
                <w:lang w:val="fr-CH"/>
              </w:rPr>
              <w:t xml:space="preserve"> </w:t>
            </w:r>
          </w:p>
        </w:tc>
        <w:tc>
          <w:tcPr>
            <w:tcW w:w="3260"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2F4400A8" w14:textId="06748AF6" w:rsidR="00E61555" w:rsidRPr="007B4A61" w:rsidRDefault="00F16FFB" w:rsidP="00630259">
            <w:pPr>
              <w:pStyle w:val="Tabletext"/>
              <w:keepNext/>
              <w:keepLines/>
              <w:rPr>
                <w:lang w:val="fr-CH"/>
              </w:rPr>
            </w:pPr>
            <w:bookmarkStart w:id="21" w:name="lt_pId064"/>
            <w:r>
              <w:rPr>
                <w:lang w:val="fr-CH"/>
              </w:rPr>
              <w:t>Le phénomène des communications électroniques non sollicitées envoyées en masse connaît une évolution rapide, qui suit celle du marché et des services de télécommunication. Le type de mesures jugées nécessaires et les acteurs devant les adopter évolueront dans le temps. Cette disposition risque donc de ne pas permettre de s'adapter à cette évolution.</w:t>
            </w:r>
            <w:bookmarkEnd w:id="21"/>
            <w:r w:rsidR="00E61555" w:rsidRPr="007B4A61">
              <w:rPr>
                <w:lang w:val="fr-CH"/>
              </w:rPr>
              <w:t xml:space="preserve"> </w:t>
            </w:r>
          </w:p>
        </w:tc>
        <w:tc>
          <w:tcPr>
            <w:tcW w:w="1015"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5EDA02E6" w14:textId="77777777" w:rsidR="00E61555" w:rsidRPr="007B4A61" w:rsidRDefault="00E61555" w:rsidP="00630259">
            <w:pPr>
              <w:pStyle w:val="Tabletext"/>
              <w:keepNext/>
              <w:keepLines/>
              <w:rPr>
                <w:lang w:val="fr-CH"/>
              </w:rPr>
            </w:pPr>
          </w:p>
        </w:tc>
      </w:tr>
      <w:tr w:rsidR="00D755A8" w:rsidRPr="007B4A61" w14:paraId="16338C8D" w14:textId="77777777" w:rsidTr="00630259">
        <w:trPr>
          <w:cantSplit/>
          <w:trHeight w:val="1320"/>
        </w:trPr>
        <w:tc>
          <w:tcPr>
            <w:tcW w:w="98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5BE322DA" w14:textId="5A38422A" w:rsidR="00D755A8" w:rsidRPr="007B4A61" w:rsidRDefault="00994BA2" w:rsidP="00630259">
            <w:pPr>
              <w:pStyle w:val="Tabletext"/>
              <w:jc w:val="center"/>
              <w:rPr>
                <w:lang w:val="fr-CH"/>
              </w:rPr>
            </w:pPr>
            <w:r w:rsidRPr="007B4A61">
              <w:rPr>
                <w:lang w:val="fr-CH"/>
              </w:rPr>
              <w:t>7.2</w:t>
            </w:r>
          </w:p>
        </w:tc>
        <w:tc>
          <w:tcPr>
            <w:tcW w:w="4394"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33BCFA02" w14:textId="3B4F2637" w:rsidR="00D755A8" w:rsidRPr="007B4A61" w:rsidRDefault="00D755A8" w:rsidP="00630259">
            <w:pPr>
              <w:pStyle w:val="Tabletext"/>
              <w:rPr>
                <w:lang w:val="fr-CH"/>
              </w:rPr>
            </w:pPr>
            <w:r w:rsidRPr="007B4A61">
              <w:rPr>
                <w:lang w:val="fr-CH"/>
              </w:rPr>
              <w:t>Les Etats Membres sont encouragés à coopérer dans ce sens.</w:t>
            </w:r>
          </w:p>
        </w:tc>
        <w:tc>
          <w:tcPr>
            <w:tcW w:w="2693"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73CFFF62" w14:textId="77777777" w:rsidR="00D755A8" w:rsidRPr="007B4A61" w:rsidRDefault="00D755A8" w:rsidP="00630259">
            <w:pPr>
              <w:pStyle w:val="Tabletext"/>
              <w:rPr>
                <w:lang w:val="fr-CH"/>
              </w:rPr>
            </w:pPr>
          </w:p>
        </w:tc>
        <w:tc>
          <w:tcPr>
            <w:tcW w:w="3544"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0D853895" w14:textId="3DB3170A" w:rsidR="00D755A8" w:rsidRPr="007B4A61" w:rsidRDefault="00F16FFB" w:rsidP="00630259">
            <w:pPr>
              <w:pStyle w:val="Tabletext"/>
              <w:rPr>
                <w:lang w:val="fr-CH"/>
              </w:rPr>
            </w:pPr>
            <w:bookmarkStart w:id="22" w:name="lt_pId069"/>
            <w:r>
              <w:rPr>
                <w:lang w:val="fr-CH"/>
              </w:rPr>
              <w:t xml:space="preserve">Cette disposition est inutile, </w:t>
            </w:r>
            <w:r w:rsidR="00EC55D2">
              <w:rPr>
                <w:lang w:val="fr-CH"/>
              </w:rPr>
              <w:t>étant donné que</w:t>
            </w:r>
            <w:r>
              <w:rPr>
                <w:lang w:val="fr-CH"/>
              </w:rPr>
              <w:t xml:space="preserve"> les États Membres travaillent déjà conformément aux intentions visées dans le cadre de la mission de l'UIT.</w:t>
            </w:r>
            <w:bookmarkEnd w:id="22"/>
          </w:p>
        </w:tc>
        <w:tc>
          <w:tcPr>
            <w:tcW w:w="3260"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4AD867D9" w14:textId="143AECC1" w:rsidR="00D755A8" w:rsidRPr="007B4A61" w:rsidRDefault="00B25012" w:rsidP="00630259">
            <w:pPr>
              <w:pStyle w:val="Tabletext"/>
              <w:tabs>
                <w:tab w:val="left" w:pos="1110"/>
              </w:tabs>
              <w:rPr>
                <w:lang w:val="fr-CH"/>
              </w:rPr>
            </w:pPr>
            <w:bookmarkStart w:id="23" w:name="lt_pId097"/>
            <w:r w:rsidRPr="007B4A61">
              <w:rPr>
                <w:lang w:val="fr-CH"/>
              </w:rPr>
              <w:t>La question de la "souplesse" est sans objet en l'espèce, cette disposition énonçant simplement des intentions de très haut niveau.</w:t>
            </w:r>
            <w:bookmarkEnd w:id="23"/>
          </w:p>
        </w:tc>
        <w:tc>
          <w:tcPr>
            <w:tcW w:w="1015"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6B14C0C1" w14:textId="77777777" w:rsidR="00D755A8" w:rsidRPr="007B4A61" w:rsidRDefault="00D755A8" w:rsidP="00630259">
            <w:pPr>
              <w:pStyle w:val="Tabletext"/>
              <w:rPr>
                <w:lang w:val="fr-CH"/>
              </w:rPr>
            </w:pPr>
          </w:p>
        </w:tc>
      </w:tr>
    </w:tbl>
    <w:p w14:paraId="27878BF0" w14:textId="77777777" w:rsidR="00630259" w:rsidRDefault="00630259">
      <w:r>
        <w:br w:type="page"/>
      </w:r>
    </w:p>
    <w:tbl>
      <w:tblPr>
        <w:tblpPr w:leftFromText="180" w:rightFromText="180" w:vertAnchor="text" w:tblpXSpec="center" w:tblpY="1"/>
        <w:tblOverlap w:val="never"/>
        <w:tblW w:w="15889" w:type="dxa"/>
        <w:tblBorders>
          <w:top w:val="nil"/>
          <w:left w:val="nil"/>
          <w:bottom w:val="nil"/>
          <w:right w:val="nil"/>
          <w:insideH w:val="nil"/>
          <w:insideV w:val="nil"/>
        </w:tblBorders>
        <w:tblLayout w:type="fixed"/>
        <w:tblLook w:val="0600" w:firstRow="0" w:lastRow="0" w:firstColumn="0" w:lastColumn="0" w:noHBand="1" w:noVBand="1"/>
      </w:tblPr>
      <w:tblGrid>
        <w:gridCol w:w="983"/>
        <w:gridCol w:w="4394"/>
        <w:gridCol w:w="2693"/>
        <w:gridCol w:w="3544"/>
        <w:gridCol w:w="3260"/>
        <w:gridCol w:w="1015"/>
      </w:tblGrid>
      <w:tr w:rsidR="00D755A8" w:rsidRPr="007B4A61" w14:paraId="23EDA494" w14:textId="77777777" w:rsidTr="00630259">
        <w:trPr>
          <w:cantSplit/>
          <w:trHeight w:val="779"/>
        </w:trPr>
        <w:tc>
          <w:tcPr>
            <w:tcW w:w="98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5A8B61E7" w14:textId="74D842CC" w:rsidR="00D755A8" w:rsidRPr="007B4A61" w:rsidRDefault="00D755A8" w:rsidP="00630259">
            <w:pPr>
              <w:pStyle w:val="Tabletext"/>
              <w:jc w:val="center"/>
              <w:rPr>
                <w:lang w:val="fr-CH"/>
              </w:rPr>
            </w:pPr>
          </w:p>
        </w:tc>
        <w:tc>
          <w:tcPr>
            <w:tcW w:w="4394"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3037B595" w14:textId="41A87659" w:rsidR="00D755A8" w:rsidRPr="007B4A61" w:rsidRDefault="008D475D" w:rsidP="00630259">
            <w:pPr>
              <w:pStyle w:val="Tabletext"/>
              <w:rPr>
                <w:b/>
                <w:bCs/>
                <w:lang w:val="fr-CH"/>
              </w:rPr>
            </w:pPr>
            <w:bookmarkStart w:id="24" w:name="_Toc351716098"/>
            <w:r w:rsidRPr="007B4A61">
              <w:rPr>
                <w:b/>
                <w:bCs/>
                <w:lang w:val="fr-CH"/>
              </w:rPr>
              <w:t xml:space="preserve">Article 8: </w:t>
            </w:r>
            <w:r w:rsidR="00D755A8" w:rsidRPr="007B4A61">
              <w:rPr>
                <w:b/>
                <w:bCs/>
                <w:lang w:val="fr-CH"/>
              </w:rPr>
              <w:t>Tarification et comptabilité</w:t>
            </w:r>
            <w:bookmarkEnd w:id="24"/>
          </w:p>
        </w:tc>
        <w:tc>
          <w:tcPr>
            <w:tcW w:w="2693"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643DE6B9" w14:textId="77777777" w:rsidR="00D755A8" w:rsidRPr="007B4A61" w:rsidRDefault="00D755A8" w:rsidP="00630259">
            <w:pPr>
              <w:pStyle w:val="Tabletext"/>
              <w:rPr>
                <w:lang w:val="fr-CH"/>
              </w:rPr>
            </w:pPr>
          </w:p>
        </w:tc>
        <w:tc>
          <w:tcPr>
            <w:tcW w:w="3544"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35C93FFE" w14:textId="77777777" w:rsidR="00D755A8" w:rsidRPr="007B4A61" w:rsidRDefault="00D755A8" w:rsidP="00630259">
            <w:pPr>
              <w:pStyle w:val="Tabletext"/>
              <w:rPr>
                <w:lang w:val="fr-CH"/>
              </w:rPr>
            </w:pPr>
          </w:p>
        </w:tc>
        <w:tc>
          <w:tcPr>
            <w:tcW w:w="3260"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04A8C5A0" w14:textId="77777777" w:rsidR="00D755A8" w:rsidRPr="007B4A61" w:rsidRDefault="00D755A8" w:rsidP="00630259">
            <w:pPr>
              <w:pStyle w:val="Tabletext"/>
              <w:rPr>
                <w:lang w:val="fr-CH"/>
              </w:rPr>
            </w:pPr>
          </w:p>
        </w:tc>
        <w:tc>
          <w:tcPr>
            <w:tcW w:w="1015"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59B23023" w14:textId="77777777" w:rsidR="00D755A8" w:rsidRPr="007B4A61" w:rsidRDefault="00D755A8" w:rsidP="00630259">
            <w:pPr>
              <w:pStyle w:val="Tabletext"/>
              <w:rPr>
                <w:lang w:val="fr-CH"/>
              </w:rPr>
            </w:pPr>
          </w:p>
        </w:tc>
      </w:tr>
      <w:tr w:rsidR="00D755A8" w:rsidRPr="007B4A61" w14:paraId="15623BD2" w14:textId="77777777" w:rsidTr="00630259">
        <w:trPr>
          <w:cantSplit/>
          <w:trHeight w:val="865"/>
        </w:trPr>
        <w:tc>
          <w:tcPr>
            <w:tcW w:w="98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4E17ABAA" w14:textId="4838C35A" w:rsidR="00D755A8" w:rsidRPr="007B4A61" w:rsidRDefault="00994BA2" w:rsidP="00630259">
            <w:pPr>
              <w:pStyle w:val="Tabletext"/>
              <w:jc w:val="center"/>
              <w:rPr>
                <w:b/>
                <w:lang w:val="fr-CH"/>
              </w:rPr>
            </w:pPr>
            <w:r w:rsidRPr="007B4A61">
              <w:rPr>
                <w:b/>
                <w:lang w:val="fr-CH"/>
              </w:rPr>
              <w:t>8.1</w:t>
            </w:r>
          </w:p>
        </w:tc>
        <w:tc>
          <w:tcPr>
            <w:tcW w:w="4394"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7D217105" w14:textId="44AB248B" w:rsidR="00D755A8" w:rsidRPr="007B4A61" w:rsidRDefault="00DF3585" w:rsidP="00630259">
            <w:pPr>
              <w:pStyle w:val="Tabletext"/>
              <w:rPr>
                <w:lang w:val="fr-CH"/>
              </w:rPr>
            </w:pPr>
            <w:r w:rsidRPr="007B4A61">
              <w:rPr>
                <w:b/>
                <w:lang w:val="fr-CH"/>
              </w:rPr>
              <w:t>Arrangements concernant les télécommunications internationales</w:t>
            </w:r>
          </w:p>
        </w:tc>
        <w:tc>
          <w:tcPr>
            <w:tcW w:w="2693"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06F9CBF9" w14:textId="77777777" w:rsidR="00D755A8" w:rsidRPr="007B4A61" w:rsidRDefault="00D755A8" w:rsidP="00630259">
            <w:pPr>
              <w:pStyle w:val="Tabletext"/>
              <w:rPr>
                <w:lang w:val="fr-CH"/>
              </w:rPr>
            </w:pPr>
          </w:p>
        </w:tc>
        <w:tc>
          <w:tcPr>
            <w:tcW w:w="3544"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3812CC60" w14:textId="65FC5D6E" w:rsidR="00D755A8" w:rsidRPr="007B4A61" w:rsidRDefault="00D755A8" w:rsidP="00630259">
            <w:pPr>
              <w:pStyle w:val="Tabletext"/>
              <w:rPr>
                <w:lang w:val="fr-CH"/>
              </w:rPr>
            </w:pPr>
          </w:p>
        </w:tc>
        <w:tc>
          <w:tcPr>
            <w:tcW w:w="3260"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44374C33" w14:textId="0C678743" w:rsidR="00D755A8" w:rsidRPr="007B4A61" w:rsidRDefault="00D755A8" w:rsidP="00630259">
            <w:pPr>
              <w:pStyle w:val="Tabletext"/>
              <w:rPr>
                <w:lang w:val="fr-CH"/>
              </w:rPr>
            </w:pPr>
          </w:p>
        </w:tc>
        <w:tc>
          <w:tcPr>
            <w:tcW w:w="1015"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18732BC1" w14:textId="77777777" w:rsidR="00D755A8" w:rsidRPr="007B4A61" w:rsidRDefault="00D755A8" w:rsidP="00630259">
            <w:pPr>
              <w:pStyle w:val="Tabletext"/>
              <w:rPr>
                <w:lang w:val="fr-CH"/>
              </w:rPr>
            </w:pPr>
          </w:p>
        </w:tc>
      </w:tr>
      <w:tr w:rsidR="00D755A8" w:rsidRPr="007B4A61" w14:paraId="22BEC8A2" w14:textId="77777777" w:rsidTr="00630259">
        <w:trPr>
          <w:cantSplit/>
          <w:trHeight w:val="1320"/>
        </w:trPr>
        <w:tc>
          <w:tcPr>
            <w:tcW w:w="98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0D8ECA83" w14:textId="419CA556" w:rsidR="00D755A8" w:rsidRPr="007B4A61" w:rsidRDefault="003C41A4" w:rsidP="00630259">
            <w:pPr>
              <w:pStyle w:val="Tabletext"/>
              <w:jc w:val="center"/>
              <w:rPr>
                <w:lang w:val="fr-CH"/>
              </w:rPr>
            </w:pPr>
            <w:r w:rsidRPr="007B4A61">
              <w:rPr>
                <w:lang w:val="fr-CH"/>
              </w:rPr>
              <w:t>8.1.1</w:t>
            </w:r>
          </w:p>
        </w:tc>
        <w:tc>
          <w:tcPr>
            <w:tcW w:w="4394"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39FBBCC3" w14:textId="317FAE62" w:rsidR="00D755A8" w:rsidRPr="007B4A61" w:rsidRDefault="00DF3585" w:rsidP="00630259">
            <w:pPr>
              <w:pStyle w:val="Tabletext"/>
              <w:rPr>
                <w:lang w:val="fr-CH"/>
              </w:rPr>
            </w:pPr>
            <w:r w:rsidRPr="007B4A61">
              <w:rPr>
                <w:lang w:val="fr-CH"/>
              </w:rPr>
              <w:t>Sous réserve de la législation nationale applicable, les modalités et conditions des arrangements concernant des services internationaux de télécommunication peuvent être établies dans le cadre d'accords commerciaux ou en vertu des principes relatifs aux taxes de répartition établis conformément à la réglementation nationale.</w:t>
            </w:r>
          </w:p>
        </w:tc>
        <w:tc>
          <w:tcPr>
            <w:tcW w:w="2693"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09854F06" w14:textId="77777777" w:rsidR="00D755A8" w:rsidRPr="007B4A61" w:rsidRDefault="00D755A8" w:rsidP="00630259">
            <w:pPr>
              <w:pStyle w:val="Tabletext"/>
              <w:rPr>
                <w:lang w:val="fr-CH"/>
              </w:rPr>
            </w:pPr>
          </w:p>
        </w:tc>
        <w:tc>
          <w:tcPr>
            <w:tcW w:w="3544"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62D1326F" w14:textId="77777777" w:rsidR="00D755A8" w:rsidRPr="007B4A61" w:rsidRDefault="00B25012" w:rsidP="00630259">
            <w:pPr>
              <w:pStyle w:val="Tabletext"/>
              <w:rPr>
                <w:lang w:val="fr-CH"/>
              </w:rPr>
            </w:pPr>
            <w:bookmarkStart w:id="25" w:name="lt_pId261"/>
            <w:r w:rsidRPr="007B4A61">
              <w:rPr>
                <w:lang w:val="fr-CH"/>
              </w:rPr>
              <w:t>Cette question doit faire l'objet d'un accord mutuel entre les exploitations. Il n'est pas nécessaire de disposer d'un traité intergouvernemental pour</w:t>
            </w:r>
            <w:bookmarkStart w:id="26" w:name="lt_pId262"/>
            <w:bookmarkEnd w:id="25"/>
            <w:r w:rsidRPr="007B4A61">
              <w:rPr>
                <w:lang w:val="fr-CH"/>
              </w:rPr>
              <w:t xml:space="preserve"> fournir cette indication.</w:t>
            </w:r>
            <w:bookmarkEnd w:id="26"/>
          </w:p>
          <w:p w14:paraId="0E958571" w14:textId="696C6E57" w:rsidR="00B25012" w:rsidRPr="007B4A61" w:rsidRDefault="00B54A83" w:rsidP="00630259">
            <w:pPr>
              <w:pStyle w:val="Tabletext"/>
              <w:rPr>
                <w:lang w:val="fr-CH"/>
              </w:rPr>
            </w:pPr>
            <w:bookmarkStart w:id="27" w:name="lt_pId270"/>
            <w:r>
              <w:rPr>
                <w:lang w:val="fr-CH"/>
              </w:rPr>
              <w:t>De plus, c</w:t>
            </w:r>
            <w:r w:rsidR="00B25012" w:rsidRPr="007B4A61">
              <w:rPr>
                <w:lang w:val="fr-CH"/>
              </w:rPr>
              <w:t>ette disposition est sans objet dans un traité international, étant donné qu'elle utilise l'expression "conformément à la législation nationale"</w:t>
            </w:r>
            <w:bookmarkEnd w:id="27"/>
            <w:r w:rsidR="00B25012" w:rsidRPr="007B4A61">
              <w:rPr>
                <w:lang w:val="fr-CH"/>
              </w:rPr>
              <w:t>.</w:t>
            </w:r>
          </w:p>
          <w:p w14:paraId="5A3545E9" w14:textId="2ED6002B" w:rsidR="00B25012" w:rsidRPr="007B4A61" w:rsidRDefault="00B25012" w:rsidP="00630259">
            <w:pPr>
              <w:pStyle w:val="Tabletext"/>
              <w:rPr>
                <w:lang w:val="fr-CH"/>
              </w:rPr>
            </w:pPr>
          </w:p>
        </w:tc>
        <w:tc>
          <w:tcPr>
            <w:tcW w:w="326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25DD4215" w14:textId="77777777" w:rsidR="00D755A8" w:rsidRPr="007B4A61" w:rsidRDefault="00B25012" w:rsidP="00630259">
            <w:pPr>
              <w:pStyle w:val="Tabletext"/>
              <w:rPr>
                <w:lang w:val="fr-CH"/>
              </w:rPr>
            </w:pPr>
            <w:bookmarkStart w:id="28" w:name="lt_pId263"/>
            <w:r w:rsidRPr="007B4A61">
              <w:rPr>
                <w:lang w:val="fr-CH"/>
              </w:rPr>
              <w:t>Sur le marché actuel des télécommunications, l'acheminement fait l'objet pour l'essentiel d'un accord entre les entreprises du secteur privé.</w:t>
            </w:r>
            <w:bookmarkEnd w:id="28"/>
          </w:p>
          <w:p w14:paraId="48C7E658" w14:textId="01A446D4" w:rsidR="00464EE2" w:rsidRPr="007B4A61" w:rsidRDefault="00E232A1" w:rsidP="00630259">
            <w:pPr>
              <w:pStyle w:val="Tabletext"/>
              <w:rPr>
                <w:lang w:val="fr-CH"/>
              </w:rPr>
            </w:pPr>
            <w:r>
              <w:rPr>
                <w:lang w:val="fr-CH"/>
              </w:rPr>
              <w:t>De plus, c</w:t>
            </w:r>
            <w:r w:rsidR="00464EE2" w:rsidRPr="00B54A83">
              <w:rPr>
                <w:lang w:val="fr-CH"/>
              </w:rPr>
              <w:t>ette disposition est sans objet dans un traité international, étant donné qu'elle utilise l'expression "conformément à la législation nationale".</w:t>
            </w:r>
          </w:p>
        </w:tc>
        <w:tc>
          <w:tcPr>
            <w:tcW w:w="1015"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37DC8A9F" w14:textId="77777777" w:rsidR="00D755A8" w:rsidRPr="007B4A61" w:rsidRDefault="00D755A8" w:rsidP="00630259">
            <w:pPr>
              <w:pStyle w:val="Tabletext"/>
              <w:rPr>
                <w:lang w:val="fr-CH"/>
              </w:rPr>
            </w:pPr>
          </w:p>
        </w:tc>
      </w:tr>
      <w:tr w:rsidR="00D755A8" w:rsidRPr="007B4A61" w14:paraId="1E670FAD" w14:textId="77777777" w:rsidTr="00630259">
        <w:trPr>
          <w:cantSplit/>
          <w:trHeight w:val="1320"/>
        </w:trPr>
        <w:tc>
          <w:tcPr>
            <w:tcW w:w="98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47F5E931" w14:textId="419C598E" w:rsidR="00D755A8" w:rsidRPr="007B4A61" w:rsidRDefault="003C41A4" w:rsidP="00630259">
            <w:pPr>
              <w:pStyle w:val="Tabletext"/>
              <w:jc w:val="center"/>
              <w:rPr>
                <w:lang w:val="fr-CH"/>
              </w:rPr>
            </w:pPr>
            <w:r w:rsidRPr="007B4A61">
              <w:rPr>
                <w:lang w:val="fr-CH"/>
              </w:rPr>
              <w:t>8.1.2</w:t>
            </w:r>
          </w:p>
        </w:tc>
        <w:tc>
          <w:tcPr>
            <w:tcW w:w="4394"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3FFFC927" w14:textId="26246B57" w:rsidR="00D755A8" w:rsidRPr="007B4A61" w:rsidRDefault="00F776D7" w:rsidP="00630259">
            <w:pPr>
              <w:pStyle w:val="Tabletext"/>
              <w:rPr>
                <w:lang w:val="fr-CH"/>
              </w:rPr>
            </w:pPr>
            <w:r w:rsidRPr="007B4A61">
              <w:rPr>
                <w:lang w:val="fr-CH"/>
              </w:rPr>
              <w:t>Les Etats Membres s'efforcent d'encourager les investissements dans les réseaux internationaux de télécommunication et de promouvoir une tarification de gros concurrentielle pour le trafic acheminé sur ces réseaux de télécommunication.</w:t>
            </w:r>
          </w:p>
        </w:tc>
        <w:tc>
          <w:tcPr>
            <w:tcW w:w="2693"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52D4BA87" w14:textId="77777777" w:rsidR="00D755A8" w:rsidRPr="007B4A61" w:rsidRDefault="00D755A8" w:rsidP="00630259">
            <w:pPr>
              <w:pStyle w:val="Tabletext"/>
              <w:rPr>
                <w:lang w:val="fr-CH"/>
              </w:rPr>
            </w:pPr>
          </w:p>
        </w:tc>
        <w:tc>
          <w:tcPr>
            <w:tcW w:w="3544"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4604B352" w14:textId="7EE71B2F" w:rsidR="00D755A8" w:rsidRPr="007B4A61" w:rsidRDefault="001B7AF8" w:rsidP="00630259">
            <w:pPr>
              <w:pStyle w:val="Tabletext"/>
              <w:rPr>
                <w:lang w:val="fr-CH"/>
              </w:rPr>
            </w:pPr>
            <w:bookmarkStart w:id="29" w:name="lt_pId084"/>
            <w:r>
              <w:rPr>
                <w:lang w:val="fr-CH"/>
              </w:rPr>
              <w:t>Cette disposition n'est pas applicable avec un marché</w:t>
            </w:r>
            <w:r w:rsidR="00E232A1">
              <w:rPr>
                <w:lang w:val="fr-CH"/>
              </w:rPr>
              <w:t xml:space="preserve"> moderne </w:t>
            </w:r>
            <w:r>
              <w:rPr>
                <w:lang w:val="fr-CH"/>
              </w:rPr>
              <w:t xml:space="preserve">des télécommunications, </w:t>
            </w:r>
            <w:r w:rsidR="00E232A1">
              <w:rPr>
                <w:lang w:val="fr-CH"/>
              </w:rPr>
              <w:t>où</w:t>
            </w:r>
            <w:r>
              <w:rPr>
                <w:lang w:val="fr-CH"/>
              </w:rPr>
              <w:t xml:space="preserve"> les investissements sont décidés et faits par </w:t>
            </w:r>
            <w:r w:rsidR="007D6BC6">
              <w:rPr>
                <w:lang w:val="fr-CH"/>
              </w:rPr>
              <w:t>d</w:t>
            </w:r>
            <w:r>
              <w:rPr>
                <w:lang w:val="fr-CH"/>
              </w:rPr>
              <w:t xml:space="preserve">es entreprises privées, ce qui aboutit à </w:t>
            </w:r>
            <w:r w:rsidR="007D6BC6">
              <w:rPr>
                <w:lang w:val="fr-CH"/>
              </w:rPr>
              <w:t>des services</w:t>
            </w:r>
            <w:r>
              <w:rPr>
                <w:lang w:val="fr-CH"/>
              </w:rPr>
              <w:t xml:space="preserve"> de gros concurrentiel</w:t>
            </w:r>
            <w:r w:rsidR="007D6BC6">
              <w:rPr>
                <w:lang w:val="fr-CH"/>
              </w:rPr>
              <w:t>s</w:t>
            </w:r>
            <w:r>
              <w:rPr>
                <w:lang w:val="fr-CH"/>
              </w:rPr>
              <w:t>.</w:t>
            </w:r>
            <w:bookmarkEnd w:id="29"/>
          </w:p>
        </w:tc>
        <w:tc>
          <w:tcPr>
            <w:tcW w:w="3260"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3D60284E" w14:textId="62F06416" w:rsidR="00D755A8" w:rsidRPr="007B4A61" w:rsidRDefault="006B68A7" w:rsidP="00630259">
            <w:pPr>
              <w:pStyle w:val="Tabletext"/>
              <w:rPr>
                <w:lang w:val="fr-CH"/>
              </w:rPr>
            </w:pPr>
            <w:bookmarkStart w:id="30" w:name="lt_pId111"/>
            <w:r w:rsidRPr="007B4A61">
              <w:rPr>
                <w:lang w:val="fr-CH"/>
              </w:rPr>
              <w:t>Dans l'environnement moderne des télécommunications, les nouvelles tendances et les nouveaux problèmes qui se font jour</w:t>
            </w:r>
            <w:r w:rsidR="001B7AF8">
              <w:rPr>
                <w:lang w:val="fr-CH"/>
              </w:rPr>
              <w:t xml:space="preserve"> concernant les réseaux</w:t>
            </w:r>
            <w:r w:rsidRPr="007B4A61">
              <w:rPr>
                <w:lang w:val="fr-CH"/>
              </w:rPr>
              <w:t xml:space="preserve"> sont gérés directement dans le cadre d'accords mutuels entre exploitations</w:t>
            </w:r>
            <w:bookmarkEnd w:id="30"/>
          </w:p>
        </w:tc>
        <w:tc>
          <w:tcPr>
            <w:tcW w:w="1015"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2CF7182C" w14:textId="77777777" w:rsidR="00D755A8" w:rsidRPr="007B4A61" w:rsidRDefault="00D755A8" w:rsidP="00630259">
            <w:pPr>
              <w:pStyle w:val="Tabletext"/>
              <w:rPr>
                <w:lang w:val="fr-CH"/>
              </w:rPr>
            </w:pPr>
          </w:p>
        </w:tc>
      </w:tr>
    </w:tbl>
    <w:p w14:paraId="0A2E75FA" w14:textId="77777777" w:rsidR="00630259" w:rsidRDefault="00630259">
      <w:r>
        <w:br w:type="page"/>
      </w:r>
    </w:p>
    <w:tbl>
      <w:tblPr>
        <w:tblpPr w:leftFromText="180" w:rightFromText="180" w:vertAnchor="text" w:tblpXSpec="center" w:tblpY="1"/>
        <w:tblOverlap w:val="never"/>
        <w:tblW w:w="15889" w:type="dxa"/>
        <w:tblBorders>
          <w:top w:val="nil"/>
          <w:left w:val="nil"/>
          <w:bottom w:val="nil"/>
          <w:right w:val="nil"/>
          <w:insideH w:val="nil"/>
          <w:insideV w:val="nil"/>
        </w:tblBorders>
        <w:tblLayout w:type="fixed"/>
        <w:tblLook w:val="0600" w:firstRow="0" w:lastRow="0" w:firstColumn="0" w:lastColumn="0" w:noHBand="1" w:noVBand="1"/>
      </w:tblPr>
      <w:tblGrid>
        <w:gridCol w:w="983"/>
        <w:gridCol w:w="4394"/>
        <w:gridCol w:w="2693"/>
        <w:gridCol w:w="3544"/>
        <w:gridCol w:w="3260"/>
        <w:gridCol w:w="1015"/>
      </w:tblGrid>
      <w:tr w:rsidR="00F776D7" w:rsidRPr="007B4A61" w14:paraId="66BA5EF3" w14:textId="77777777" w:rsidTr="00630259">
        <w:trPr>
          <w:cantSplit/>
          <w:trHeight w:val="1320"/>
        </w:trPr>
        <w:tc>
          <w:tcPr>
            <w:tcW w:w="98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4CE201C0" w14:textId="16104B89" w:rsidR="00F776D7" w:rsidRPr="007B4A61" w:rsidRDefault="003C41A4" w:rsidP="00630259">
            <w:pPr>
              <w:pStyle w:val="Tabletext"/>
              <w:jc w:val="center"/>
              <w:rPr>
                <w:lang w:val="fr-CH"/>
              </w:rPr>
            </w:pPr>
            <w:r w:rsidRPr="007B4A61">
              <w:rPr>
                <w:b/>
                <w:bCs/>
                <w:lang w:val="fr-CH"/>
              </w:rPr>
              <w:lastRenderedPageBreak/>
              <w:t>8.2</w:t>
            </w:r>
          </w:p>
        </w:tc>
        <w:tc>
          <w:tcPr>
            <w:tcW w:w="4394"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156A07AE" w14:textId="5148719A" w:rsidR="00F776D7" w:rsidRPr="007B4A61" w:rsidRDefault="00F776D7" w:rsidP="00630259">
            <w:pPr>
              <w:pStyle w:val="Tabletext"/>
              <w:rPr>
                <w:lang w:val="fr-CH"/>
              </w:rPr>
            </w:pPr>
            <w:r w:rsidRPr="007B4A61">
              <w:rPr>
                <w:b/>
                <w:bCs/>
                <w:lang w:val="fr-CH"/>
              </w:rPr>
              <w:t>Principes applicables aux taxes de répartition</w:t>
            </w:r>
          </w:p>
        </w:tc>
        <w:tc>
          <w:tcPr>
            <w:tcW w:w="2693"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1FB56B64" w14:textId="77777777" w:rsidR="00F776D7" w:rsidRPr="007B4A61" w:rsidRDefault="00F776D7" w:rsidP="00630259">
            <w:pPr>
              <w:pStyle w:val="Tabletext"/>
              <w:rPr>
                <w:lang w:val="fr-CH"/>
              </w:rPr>
            </w:pPr>
          </w:p>
        </w:tc>
        <w:tc>
          <w:tcPr>
            <w:tcW w:w="3544"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0DE59241" w14:textId="77777777" w:rsidR="00F776D7" w:rsidRPr="007B4A61" w:rsidRDefault="00F776D7" w:rsidP="00630259">
            <w:pPr>
              <w:pStyle w:val="Tabletext"/>
              <w:rPr>
                <w:lang w:val="fr-CH"/>
              </w:rPr>
            </w:pPr>
          </w:p>
        </w:tc>
        <w:tc>
          <w:tcPr>
            <w:tcW w:w="3260"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3B28808F" w14:textId="77777777" w:rsidR="00F776D7" w:rsidRPr="007B4A61" w:rsidRDefault="00F776D7" w:rsidP="00630259">
            <w:pPr>
              <w:pStyle w:val="Tabletext"/>
              <w:rPr>
                <w:lang w:val="fr-CH"/>
              </w:rPr>
            </w:pPr>
          </w:p>
        </w:tc>
        <w:tc>
          <w:tcPr>
            <w:tcW w:w="1015"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1BD8C997" w14:textId="77777777" w:rsidR="00F776D7" w:rsidRPr="007B4A61" w:rsidRDefault="00F776D7" w:rsidP="00630259">
            <w:pPr>
              <w:pStyle w:val="Tabletext"/>
              <w:rPr>
                <w:lang w:val="fr-CH"/>
              </w:rPr>
            </w:pPr>
          </w:p>
        </w:tc>
      </w:tr>
      <w:tr w:rsidR="00F776D7" w:rsidRPr="007B4A61" w14:paraId="1DDA80AA" w14:textId="77777777" w:rsidTr="00630259">
        <w:trPr>
          <w:cantSplit/>
          <w:trHeight w:val="1320"/>
        </w:trPr>
        <w:tc>
          <w:tcPr>
            <w:tcW w:w="98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0CCDAA24" w14:textId="376898BC" w:rsidR="00F776D7" w:rsidRPr="007B4A61" w:rsidRDefault="003C41A4" w:rsidP="00630259">
            <w:pPr>
              <w:pStyle w:val="Tabletext"/>
              <w:jc w:val="center"/>
              <w:rPr>
                <w:lang w:val="fr-CH"/>
              </w:rPr>
            </w:pPr>
            <w:r w:rsidRPr="007B4A61">
              <w:rPr>
                <w:lang w:val="fr-CH"/>
              </w:rPr>
              <w:t>8.2.1</w:t>
            </w:r>
          </w:p>
        </w:tc>
        <w:tc>
          <w:tcPr>
            <w:tcW w:w="4394"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4904DCCD" w14:textId="42B827CF" w:rsidR="00F776D7" w:rsidRPr="007B4A61" w:rsidRDefault="00F776D7" w:rsidP="00630259">
            <w:pPr>
              <w:pStyle w:val="Tabletext"/>
              <w:rPr>
                <w:lang w:val="fr-CH"/>
              </w:rPr>
            </w:pPr>
            <w:r w:rsidRPr="007B4A61">
              <w:rPr>
                <w:lang w:val="fr-CH"/>
              </w:rPr>
              <w:t>Les dispositions suivantes peuvent s'appliquer lorsque les modalités et conditions des arrangements concernant des services internationaux de télécommunication sont établies en vertu des principes relatifs aux taxes de répartition établis conformément à la réglementation nationale. Ces dispositions ne s'appliquent pas aux arrangements établis dans le cadre d'accords commerciaux.</w:t>
            </w:r>
          </w:p>
        </w:tc>
        <w:tc>
          <w:tcPr>
            <w:tcW w:w="2693"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5A978760" w14:textId="77777777" w:rsidR="00F776D7" w:rsidRPr="007B4A61" w:rsidRDefault="00F776D7" w:rsidP="00630259">
            <w:pPr>
              <w:pStyle w:val="Tabletext"/>
              <w:rPr>
                <w:lang w:val="fr-CH"/>
              </w:rPr>
            </w:pPr>
          </w:p>
        </w:tc>
        <w:tc>
          <w:tcPr>
            <w:tcW w:w="3544"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39B1D7CD" w14:textId="5031D088" w:rsidR="00F776D7" w:rsidRPr="007B4A61" w:rsidRDefault="00AD4F17" w:rsidP="00630259">
            <w:pPr>
              <w:pStyle w:val="Tabletext"/>
              <w:rPr>
                <w:lang w:val="fr-CH"/>
              </w:rPr>
            </w:pPr>
            <w:bookmarkStart w:id="31" w:name="lt_pId091"/>
            <w:r>
              <w:rPr>
                <w:lang w:val="fr-CH"/>
              </w:rPr>
              <w:t>Cette disposition a une applicabilité très limitée, étant donné qu'elle ne couvre pas les accords commerciaux, lesquels constituent la majorité des accords conclus dans l'environnement moderne des télécommunications.</w:t>
            </w:r>
            <w:bookmarkEnd w:id="31"/>
          </w:p>
          <w:p w14:paraId="27B28D29" w14:textId="77777777" w:rsidR="008A55B3" w:rsidRDefault="008A55B3" w:rsidP="00630259">
            <w:pPr>
              <w:pStyle w:val="Tabletext"/>
              <w:rPr>
                <w:lang w:val="fr-CH"/>
              </w:rPr>
            </w:pPr>
          </w:p>
          <w:p w14:paraId="02316517" w14:textId="3BB4F1F1" w:rsidR="006B68A7" w:rsidRPr="007B4A61" w:rsidRDefault="003C388F" w:rsidP="00630259">
            <w:pPr>
              <w:pStyle w:val="Tabletext"/>
              <w:rPr>
                <w:lang w:val="fr-CH"/>
              </w:rPr>
            </w:pPr>
            <w:r>
              <w:rPr>
                <w:lang w:val="fr-CH"/>
              </w:rPr>
              <w:t>En outre, c</w:t>
            </w:r>
            <w:r w:rsidR="006B68A7" w:rsidRPr="007B4A61">
              <w:rPr>
                <w:lang w:val="fr-CH"/>
              </w:rPr>
              <w:t>ette disposition est sans objet dans un traité international, étant donné qu'elle utilise l'expression "conformément à la législation nationale".</w:t>
            </w:r>
          </w:p>
        </w:tc>
        <w:tc>
          <w:tcPr>
            <w:tcW w:w="3260"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7D04C099" w14:textId="4AD9D522" w:rsidR="00F776D7" w:rsidRPr="007B4A61" w:rsidRDefault="003C388F" w:rsidP="00630259">
            <w:pPr>
              <w:pStyle w:val="Tabletext"/>
              <w:rPr>
                <w:lang w:val="fr-CH"/>
              </w:rPr>
            </w:pPr>
            <w:bookmarkStart w:id="32" w:name="lt_pId093"/>
            <w:r>
              <w:rPr>
                <w:lang w:val="fr-CH"/>
              </w:rPr>
              <w:t>Cette disposition n'offre aucune souplesse étant donné qu'elle ne couvre pas les accords commerciaux, lesquels constituent la majorité des accords conclus dans l'environnement moderne des télécommunications</w:t>
            </w:r>
            <w:r w:rsidR="006B68A7" w:rsidRPr="007B4A61">
              <w:rPr>
                <w:lang w:val="fr-CH"/>
              </w:rPr>
              <w:t>.</w:t>
            </w:r>
            <w:bookmarkEnd w:id="32"/>
          </w:p>
          <w:p w14:paraId="3BFFD675" w14:textId="1F55ACC0" w:rsidR="006B68A7" w:rsidRPr="007B4A61" w:rsidRDefault="003C388F" w:rsidP="00630259">
            <w:pPr>
              <w:pStyle w:val="Tabletext"/>
              <w:rPr>
                <w:lang w:val="fr-CH"/>
              </w:rPr>
            </w:pPr>
            <w:r>
              <w:rPr>
                <w:lang w:val="fr-CH"/>
              </w:rPr>
              <w:t>En outre, c</w:t>
            </w:r>
            <w:r w:rsidRPr="007B4A61">
              <w:rPr>
                <w:lang w:val="fr-CH"/>
              </w:rPr>
              <w:t>ette disposition est sans objet dans un traité international, étant donné qu'elle utilise l'expression "conformément à la législation nationale".</w:t>
            </w:r>
          </w:p>
        </w:tc>
        <w:tc>
          <w:tcPr>
            <w:tcW w:w="1015"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60D31BB3" w14:textId="77777777" w:rsidR="00F776D7" w:rsidRPr="007B4A61" w:rsidRDefault="00F776D7" w:rsidP="00630259">
            <w:pPr>
              <w:pStyle w:val="Tabletext"/>
              <w:rPr>
                <w:lang w:val="fr-CH"/>
              </w:rPr>
            </w:pPr>
          </w:p>
        </w:tc>
      </w:tr>
      <w:tr w:rsidR="003C388F" w:rsidRPr="007B4A61" w14:paraId="38820E7B" w14:textId="77777777" w:rsidTr="00630259">
        <w:trPr>
          <w:cantSplit/>
          <w:trHeight w:val="1320"/>
        </w:trPr>
        <w:tc>
          <w:tcPr>
            <w:tcW w:w="98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68477D95" w14:textId="48B32324" w:rsidR="003C388F" w:rsidRPr="007B4A61" w:rsidRDefault="003C388F" w:rsidP="00630259">
            <w:pPr>
              <w:pStyle w:val="Tabletext"/>
              <w:jc w:val="center"/>
              <w:rPr>
                <w:lang w:val="fr-CH"/>
              </w:rPr>
            </w:pPr>
            <w:r w:rsidRPr="007B4A61">
              <w:rPr>
                <w:lang w:val="fr-CH"/>
              </w:rPr>
              <w:t>8.2.2</w:t>
            </w:r>
          </w:p>
        </w:tc>
        <w:tc>
          <w:tcPr>
            <w:tcW w:w="4394"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19A9BE4F" w14:textId="1B57FB04" w:rsidR="003C388F" w:rsidRPr="007B4A61" w:rsidRDefault="003C388F" w:rsidP="00630259">
            <w:pPr>
              <w:pStyle w:val="Tabletext"/>
              <w:rPr>
                <w:lang w:val="fr-CH"/>
              </w:rPr>
            </w:pPr>
            <w:r w:rsidRPr="007B4A61">
              <w:rPr>
                <w:lang w:val="fr-CH"/>
              </w:rPr>
              <w:t>Pour chaque service admis dans une relation donnée, les exploitations autorisées établissent et révisent, par accord mutuel, les taxes de répartition applicables entre elles, conformément aux dispositions de l'Appendice 1 et en tenant compte des Recommandations UIT-T pertinentes.</w:t>
            </w:r>
          </w:p>
        </w:tc>
        <w:tc>
          <w:tcPr>
            <w:tcW w:w="2693"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1FF695DF" w14:textId="495011E5" w:rsidR="003C388F" w:rsidRPr="007B4A61" w:rsidRDefault="003C388F" w:rsidP="00630259">
            <w:pPr>
              <w:pStyle w:val="Tabletext"/>
              <w:rPr>
                <w:lang w:val="fr-CH"/>
              </w:rPr>
            </w:pPr>
          </w:p>
        </w:tc>
        <w:tc>
          <w:tcPr>
            <w:tcW w:w="3544"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51E05631" w14:textId="28982194" w:rsidR="003C388F" w:rsidRPr="007B4A61" w:rsidRDefault="003C388F" w:rsidP="00630259">
            <w:pPr>
              <w:pStyle w:val="Tabletext"/>
              <w:rPr>
                <w:lang w:val="fr-CH"/>
              </w:rPr>
            </w:pPr>
            <w:r w:rsidRPr="00E079FF">
              <w:rPr>
                <w:lang w:val="fr-CH"/>
              </w:rPr>
              <w:t>Cette disposition a une applicabilité très limitée, étant donné qu'elle ne couvre pas les accords commerciaux, lesquels constituent la majorité des accords conclus dans l'environnement moderne des télécommunications.</w:t>
            </w:r>
          </w:p>
        </w:tc>
        <w:tc>
          <w:tcPr>
            <w:tcW w:w="3260"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265768E6" w14:textId="2062ACFB" w:rsidR="003C388F" w:rsidRPr="007B4A61" w:rsidRDefault="003C388F" w:rsidP="00630259">
            <w:pPr>
              <w:pStyle w:val="Tabletext"/>
              <w:rPr>
                <w:lang w:val="fr-CH"/>
              </w:rPr>
            </w:pPr>
            <w:r w:rsidRPr="00B24675">
              <w:rPr>
                <w:lang w:val="fr-CH"/>
              </w:rPr>
              <w:t>Cette disposition n'offre aucune souplesse étant donné qu'elle ne couvre pas les accords commerciaux, lesquels constituent la majorité des accords conclus dans l'environnement moderne des télécommunications.</w:t>
            </w:r>
          </w:p>
        </w:tc>
        <w:tc>
          <w:tcPr>
            <w:tcW w:w="1015"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026003E5" w14:textId="77777777" w:rsidR="003C388F" w:rsidRPr="007B4A61" w:rsidRDefault="003C388F" w:rsidP="00630259">
            <w:pPr>
              <w:pStyle w:val="Tabletext"/>
              <w:rPr>
                <w:lang w:val="fr-CH"/>
              </w:rPr>
            </w:pPr>
          </w:p>
        </w:tc>
      </w:tr>
      <w:tr w:rsidR="003C388F" w:rsidRPr="007B4A61" w14:paraId="7A911FFF" w14:textId="77777777" w:rsidTr="00630259">
        <w:trPr>
          <w:cantSplit/>
          <w:trHeight w:val="1320"/>
        </w:trPr>
        <w:tc>
          <w:tcPr>
            <w:tcW w:w="98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16CDE173" w14:textId="37E8D447" w:rsidR="003C388F" w:rsidRPr="007B4A61" w:rsidRDefault="003C388F" w:rsidP="00630259">
            <w:pPr>
              <w:pStyle w:val="Tabletext"/>
              <w:jc w:val="center"/>
              <w:rPr>
                <w:lang w:val="fr-CH"/>
              </w:rPr>
            </w:pPr>
            <w:r w:rsidRPr="007B4A61">
              <w:rPr>
                <w:lang w:val="fr-CH"/>
              </w:rPr>
              <w:t>8.2.3</w:t>
            </w:r>
          </w:p>
        </w:tc>
        <w:tc>
          <w:tcPr>
            <w:tcW w:w="4394"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734EBD55" w14:textId="7A246C46" w:rsidR="003C388F" w:rsidRPr="007B4A61" w:rsidRDefault="003C388F" w:rsidP="00630259">
            <w:pPr>
              <w:pStyle w:val="Tabletext"/>
              <w:rPr>
                <w:lang w:val="fr-CH"/>
              </w:rPr>
            </w:pPr>
            <w:r w:rsidRPr="007B4A61">
              <w:rPr>
                <w:lang w:val="fr-CH"/>
              </w:rPr>
              <w:t>A moins qu'il n'en soit convenu autrement, les parties qui fournissent des services internationaux de télécommunication se conforment aux dispositions pertinentes figurant dans les Appendices 1 et 2.</w:t>
            </w:r>
          </w:p>
        </w:tc>
        <w:tc>
          <w:tcPr>
            <w:tcW w:w="2693"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2EC26DCD" w14:textId="77777777" w:rsidR="003C388F" w:rsidRPr="007B4A61" w:rsidRDefault="003C388F" w:rsidP="00630259">
            <w:pPr>
              <w:pStyle w:val="Tabletext"/>
              <w:rPr>
                <w:lang w:val="fr-CH"/>
              </w:rPr>
            </w:pPr>
          </w:p>
        </w:tc>
        <w:tc>
          <w:tcPr>
            <w:tcW w:w="3544"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73FB1821" w14:textId="6F4CF4CB" w:rsidR="003C388F" w:rsidRPr="007B4A61" w:rsidRDefault="003C388F" w:rsidP="00630259">
            <w:pPr>
              <w:pStyle w:val="Tabletext"/>
              <w:rPr>
                <w:lang w:val="fr-CH"/>
              </w:rPr>
            </w:pPr>
            <w:r w:rsidRPr="00E079FF">
              <w:rPr>
                <w:lang w:val="fr-CH"/>
              </w:rPr>
              <w:t>Cette disposition a une applicabilité très limitée, étant donné qu'elle ne couvre pas les accords commerciaux, lesquels constituent la majorité des accords conclus dans l'environnement moderne des télécommunications.</w:t>
            </w:r>
          </w:p>
        </w:tc>
        <w:tc>
          <w:tcPr>
            <w:tcW w:w="3260"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02D98ED9" w14:textId="0EB9A175" w:rsidR="003C388F" w:rsidRPr="007B4A61" w:rsidRDefault="003C388F" w:rsidP="00630259">
            <w:pPr>
              <w:pStyle w:val="Tabletext"/>
              <w:rPr>
                <w:lang w:val="fr-CH"/>
              </w:rPr>
            </w:pPr>
            <w:r w:rsidRPr="00B24675">
              <w:rPr>
                <w:lang w:val="fr-CH"/>
              </w:rPr>
              <w:t>Cette disposition n'offre aucune souplesse étant donné qu'elle ne couvre pas les accords commerciaux, lesquels constituent la majorité des accords conclus dans l'environnement moderne des télécommunications.</w:t>
            </w:r>
          </w:p>
        </w:tc>
        <w:tc>
          <w:tcPr>
            <w:tcW w:w="1015"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6F49BAD3" w14:textId="77777777" w:rsidR="003C388F" w:rsidRPr="007B4A61" w:rsidRDefault="003C388F" w:rsidP="00630259">
            <w:pPr>
              <w:pStyle w:val="Tabletext"/>
              <w:rPr>
                <w:lang w:val="fr-CH"/>
              </w:rPr>
            </w:pPr>
          </w:p>
        </w:tc>
      </w:tr>
      <w:tr w:rsidR="003C388F" w:rsidRPr="007B4A61" w14:paraId="7D448BAF" w14:textId="77777777" w:rsidTr="00630259">
        <w:trPr>
          <w:cantSplit/>
          <w:trHeight w:val="1320"/>
        </w:trPr>
        <w:tc>
          <w:tcPr>
            <w:tcW w:w="98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18BFFE26" w14:textId="631499D2" w:rsidR="003C388F" w:rsidRPr="007B4A61" w:rsidRDefault="003C388F" w:rsidP="00630259">
            <w:pPr>
              <w:pStyle w:val="Tabletext"/>
              <w:jc w:val="center"/>
              <w:rPr>
                <w:lang w:val="fr-CH"/>
              </w:rPr>
            </w:pPr>
            <w:r w:rsidRPr="007B4A61">
              <w:rPr>
                <w:lang w:val="fr-CH"/>
              </w:rPr>
              <w:lastRenderedPageBreak/>
              <w:t>8.2.4</w:t>
            </w:r>
          </w:p>
        </w:tc>
        <w:tc>
          <w:tcPr>
            <w:tcW w:w="4394"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7E1C9388" w14:textId="285DF42B" w:rsidR="003C388F" w:rsidRPr="007B4A61" w:rsidRDefault="003C388F" w:rsidP="00630259">
            <w:pPr>
              <w:pStyle w:val="Tabletext"/>
              <w:rPr>
                <w:lang w:val="fr-CH"/>
              </w:rPr>
            </w:pPr>
            <w:r w:rsidRPr="007B4A61">
              <w:rPr>
                <w:lang w:val="fr-CH"/>
              </w:rPr>
              <w:t>En l'absence d'arrangements particuliers conclus entre exploitations autorisées, l'unité monétaire employée dans la composition des taxes de répartition pour les services internationaux de télécommunication et dans l'établissement des comptes internationaux est:</w:t>
            </w:r>
          </w:p>
          <w:p w14:paraId="2954B308" w14:textId="77777777" w:rsidR="003C388F" w:rsidRPr="007B4A61" w:rsidRDefault="003C388F" w:rsidP="00630259">
            <w:pPr>
              <w:pStyle w:val="Tabletext"/>
              <w:rPr>
                <w:lang w:val="fr-CH"/>
              </w:rPr>
            </w:pPr>
            <w:r w:rsidRPr="007B4A61">
              <w:rPr>
                <w:lang w:val="fr-CH"/>
              </w:rPr>
              <w:t>–</w:t>
            </w:r>
            <w:r w:rsidRPr="007B4A61">
              <w:rPr>
                <w:lang w:val="fr-CH"/>
              </w:rPr>
              <w:tab/>
              <w:t>soit l'unité monétaire du Fonds monétaire international (FMI), actuellement le Droit de tirage spécial (DTS), telle qu'elle est définie par cette organisation;</w:t>
            </w:r>
          </w:p>
          <w:p w14:paraId="1885C1B0" w14:textId="3164FFAA" w:rsidR="003C388F" w:rsidRPr="007B4A61" w:rsidRDefault="003C388F" w:rsidP="00630259">
            <w:pPr>
              <w:pStyle w:val="Tabletext"/>
              <w:rPr>
                <w:lang w:val="fr-CH"/>
              </w:rPr>
            </w:pPr>
            <w:r w:rsidRPr="007B4A61">
              <w:rPr>
                <w:lang w:val="fr-CH"/>
              </w:rPr>
              <w:t>–</w:t>
            </w:r>
            <w:r w:rsidRPr="007B4A61">
              <w:rPr>
                <w:lang w:val="fr-CH"/>
              </w:rPr>
              <w:tab/>
              <w:t>soit une monnaie librement convertible ou une autre unité monétaire convenue entre les exploitations autorisées.</w:t>
            </w:r>
          </w:p>
        </w:tc>
        <w:tc>
          <w:tcPr>
            <w:tcW w:w="2693"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5E643428" w14:textId="76D10DF1" w:rsidR="003C388F" w:rsidRPr="007B4A61" w:rsidRDefault="003C388F" w:rsidP="00630259">
            <w:pPr>
              <w:pStyle w:val="Tabletext"/>
              <w:spacing w:before="120"/>
              <w:rPr>
                <w:lang w:val="fr-CH"/>
              </w:rPr>
            </w:pPr>
          </w:p>
        </w:tc>
        <w:tc>
          <w:tcPr>
            <w:tcW w:w="3544"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4531DDB7" w14:textId="7657FB44" w:rsidR="003C388F" w:rsidRPr="007B4A61" w:rsidRDefault="003C388F" w:rsidP="00630259">
            <w:pPr>
              <w:pStyle w:val="Tabletext"/>
              <w:rPr>
                <w:lang w:val="fr-CH"/>
              </w:rPr>
            </w:pPr>
            <w:r w:rsidRPr="00E079FF">
              <w:rPr>
                <w:lang w:val="fr-CH"/>
              </w:rPr>
              <w:t>Cette disposition a une applicabilité très limitée, étant donné qu'elle ne couvre pas les accords commerciaux, lesquels constituent la majorité des accords conclus dans l'environnement moderne des télécommunications.</w:t>
            </w:r>
          </w:p>
        </w:tc>
        <w:tc>
          <w:tcPr>
            <w:tcW w:w="3260"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251380A3" w14:textId="2E55524B" w:rsidR="003C388F" w:rsidRPr="007B4A61" w:rsidRDefault="003C388F" w:rsidP="00630259">
            <w:pPr>
              <w:pStyle w:val="Tabletext"/>
              <w:rPr>
                <w:lang w:val="fr-CH"/>
              </w:rPr>
            </w:pPr>
            <w:r w:rsidRPr="00B24675">
              <w:rPr>
                <w:lang w:val="fr-CH"/>
              </w:rPr>
              <w:t>Cette disposition n'offre aucune souplesse étant donné qu'elle ne couvre pas les accords commerciaux, lesquels constituent la majorité des accords conclus dans l'environnement moderne des télécommunications.</w:t>
            </w:r>
          </w:p>
        </w:tc>
        <w:tc>
          <w:tcPr>
            <w:tcW w:w="1015"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783AA7CE" w14:textId="77777777" w:rsidR="003C388F" w:rsidRPr="007B4A61" w:rsidRDefault="003C388F" w:rsidP="00630259">
            <w:pPr>
              <w:pStyle w:val="Tabletext"/>
              <w:rPr>
                <w:lang w:val="fr-CH"/>
              </w:rPr>
            </w:pPr>
          </w:p>
        </w:tc>
      </w:tr>
      <w:tr w:rsidR="003C388F" w:rsidRPr="007B4A61" w14:paraId="2D7B93D7" w14:textId="77777777" w:rsidTr="00630259">
        <w:trPr>
          <w:cantSplit/>
          <w:trHeight w:val="1320"/>
        </w:trPr>
        <w:tc>
          <w:tcPr>
            <w:tcW w:w="98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16655EA1" w14:textId="35E15CCC" w:rsidR="003C388F" w:rsidRPr="007B4A61" w:rsidRDefault="003C388F" w:rsidP="00630259">
            <w:pPr>
              <w:pStyle w:val="Tabletext"/>
              <w:jc w:val="center"/>
              <w:rPr>
                <w:lang w:val="fr-CH"/>
              </w:rPr>
            </w:pPr>
            <w:r w:rsidRPr="007B4A61">
              <w:rPr>
                <w:lang w:val="fr-CH"/>
              </w:rPr>
              <w:t>8.2.5</w:t>
            </w:r>
          </w:p>
        </w:tc>
        <w:tc>
          <w:tcPr>
            <w:tcW w:w="4394"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49EBF1A6" w14:textId="21B1DAA6" w:rsidR="003C388F" w:rsidRPr="007B4A61" w:rsidRDefault="003C388F" w:rsidP="00630259">
            <w:pPr>
              <w:pStyle w:val="Tabletext"/>
              <w:rPr>
                <w:lang w:val="fr-CH"/>
              </w:rPr>
            </w:pPr>
            <w:r w:rsidRPr="007B4A61">
              <w:rPr>
                <w:lang w:val="fr-CH"/>
              </w:rPr>
              <w:t>Les frais perçus auprès des clients pour une communication particulière devraient, en principe, être identiques dans une relation donnée, quelle que soit la voie d'acheminement internationale utilisée pour cette communication. Dans l'établissement de ces frais, les Etats Membres devraient s'efforcer d'éviter qu'il n'existe une dissymétrie entre les frais applicables dans les deux sens d'une même relation.</w:t>
            </w:r>
          </w:p>
        </w:tc>
        <w:tc>
          <w:tcPr>
            <w:tcW w:w="2693"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7BA238C1" w14:textId="1FCB6525" w:rsidR="003C388F" w:rsidRPr="007B4A61" w:rsidRDefault="003C388F" w:rsidP="00630259">
            <w:pPr>
              <w:pStyle w:val="Tabletext"/>
              <w:rPr>
                <w:lang w:val="fr-CH"/>
              </w:rPr>
            </w:pPr>
          </w:p>
        </w:tc>
        <w:tc>
          <w:tcPr>
            <w:tcW w:w="3544"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196840F2" w14:textId="17477962" w:rsidR="003C388F" w:rsidRPr="007B4A61" w:rsidRDefault="003C388F" w:rsidP="00630259">
            <w:pPr>
              <w:pStyle w:val="Tabletext"/>
              <w:rPr>
                <w:lang w:val="fr-CH"/>
              </w:rPr>
            </w:pPr>
            <w:r w:rsidRPr="00E079FF">
              <w:rPr>
                <w:lang w:val="fr-CH"/>
              </w:rPr>
              <w:t>Cette disposition a une applicabilité très limitée, étant donné qu'elle ne couvre pas les accords commerciaux, lesquels constituent la majorité des accords conclus dans l'environnement moderne des télécommunications.</w:t>
            </w:r>
          </w:p>
        </w:tc>
        <w:tc>
          <w:tcPr>
            <w:tcW w:w="3260"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4F904F11" w14:textId="7595F53B" w:rsidR="003C388F" w:rsidRPr="007B4A61" w:rsidRDefault="003C388F" w:rsidP="00630259">
            <w:pPr>
              <w:pStyle w:val="Tabletext"/>
              <w:rPr>
                <w:lang w:val="fr-CH"/>
              </w:rPr>
            </w:pPr>
            <w:r>
              <w:rPr>
                <w:lang w:val="fr-CH"/>
              </w:rPr>
              <w:t>Cette disposition n'offre aucune souplesse étant donné qu'elle ne couvre pas les accords commerciaux, lesquels constituent la majorité des accords conclus dans l'environnement moderne des télécommunications</w:t>
            </w:r>
            <w:r w:rsidRPr="007B4A61">
              <w:rPr>
                <w:lang w:val="fr-CH"/>
              </w:rPr>
              <w:t>.</w:t>
            </w:r>
          </w:p>
        </w:tc>
        <w:tc>
          <w:tcPr>
            <w:tcW w:w="1015"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6E362021" w14:textId="77777777" w:rsidR="003C388F" w:rsidRPr="007B4A61" w:rsidRDefault="003C388F" w:rsidP="00630259">
            <w:pPr>
              <w:pStyle w:val="Tabletext"/>
              <w:rPr>
                <w:lang w:val="fr-CH"/>
              </w:rPr>
            </w:pPr>
          </w:p>
        </w:tc>
      </w:tr>
    </w:tbl>
    <w:p w14:paraId="06E67793" w14:textId="77777777" w:rsidR="00630259" w:rsidRDefault="00630259">
      <w:r>
        <w:br w:type="page"/>
      </w:r>
    </w:p>
    <w:tbl>
      <w:tblPr>
        <w:tblpPr w:leftFromText="180" w:rightFromText="180" w:vertAnchor="text" w:tblpXSpec="center" w:tblpY="1"/>
        <w:tblOverlap w:val="never"/>
        <w:tblW w:w="15889" w:type="dxa"/>
        <w:tblBorders>
          <w:top w:val="nil"/>
          <w:left w:val="nil"/>
          <w:bottom w:val="nil"/>
          <w:right w:val="nil"/>
          <w:insideH w:val="nil"/>
          <w:insideV w:val="nil"/>
        </w:tblBorders>
        <w:tblLayout w:type="fixed"/>
        <w:tblLook w:val="0600" w:firstRow="0" w:lastRow="0" w:firstColumn="0" w:lastColumn="0" w:noHBand="1" w:noVBand="1"/>
      </w:tblPr>
      <w:tblGrid>
        <w:gridCol w:w="983"/>
        <w:gridCol w:w="4394"/>
        <w:gridCol w:w="2693"/>
        <w:gridCol w:w="3544"/>
        <w:gridCol w:w="3260"/>
        <w:gridCol w:w="1015"/>
      </w:tblGrid>
      <w:tr w:rsidR="00F776D7" w:rsidRPr="007B4A61" w14:paraId="079D99AD" w14:textId="77777777" w:rsidTr="00630259">
        <w:trPr>
          <w:cantSplit/>
          <w:trHeight w:val="1063"/>
        </w:trPr>
        <w:tc>
          <w:tcPr>
            <w:tcW w:w="98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171DE6E4" w14:textId="3370BBEE" w:rsidR="00F776D7" w:rsidRPr="007B4A61" w:rsidRDefault="00BD4AC0" w:rsidP="00630259">
            <w:pPr>
              <w:pStyle w:val="Tabletext"/>
              <w:jc w:val="center"/>
              <w:rPr>
                <w:b/>
                <w:lang w:val="fr-CH"/>
              </w:rPr>
            </w:pPr>
            <w:r w:rsidRPr="007B4A61">
              <w:rPr>
                <w:b/>
                <w:lang w:val="fr-CH"/>
              </w:rPr>
              <w:lastRenderedPageBreak/>
              <w:t>8.3</w:t>
            </w:r>
          </w:p>
        </w:tc>
        <w:tc>
          <w:tcPr>
            <w:tcW w:w="4394"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712F79B7" w14:textId="26E20671" w:rsidR="00F776D7" w:rsidRPr="007B4A61" w:rsidRDefault="00180439" w:rsidP="00630259">
            <w:pPr>
              <w:pStyle w:val="Tabletext"/>
              <w:rPr>
                <w:lang w:val="fr-CH"/>
              </w:rPr>
            </w:pPr>
            <w:r w:rsidRPr="007B4A61">
              <w:rPr>
                <w:b/>
                <w:lang w:val="fr-CH"/>
              </w:rPr>
              <w:t>Imposition</w:t>
            </w:r>
          </w:p>
        </w:tc>
        <w:tc>
          <w:tcPr>
            <w:tcW w:w="2693"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455D46DC" w14:textId="77777777" w:rsidR="00F776D7" w:rsidRPr="007B4A61" w:rsidRDefault="00F776D7" w:rsidP="00630259">
            <w:pPr>
              <w:pStyle w:val="Tabletext"/>
              <w:rPr>
                <w:lang w:val="fr-CH"/>
              </w:rPr>
            </w:pPr>
          </w:p>
        </w:tc>
        <w:tc>
          <w:tcPr>
            <w:tcW w:w="3544"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2674369F" w14:textId="77777777" w:rsidR="00F776D7" w:rsidRPr="007B4A61" w:rsidRDefault="00F776D7" w:rsidP="00630259">
            <w:pPr>
              <w:pStyle w:val="Tabletext"/>
              <w:rPr>
                <w:lang w:val="fr-CH"/>
              </w:rPr>
            </w:pPr>
          </w:p>
        </w:tc>
        <w:tc>
          <w:tcPr>
            <w:tcW w:w="3260"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53603D4A" w14:textId="77777777" w:rsidR="00F776D7" w:rsidRPr="007B4A61" w:rsidRDefault="00F776D7" w:rsidP="00630259">
            <w:pPr>
              <w:pStyle w:val="Tabletext"/>
              <w:rPr>
                <w:lang w:val="fr-CH"/>
              </w:rPr>
            </w:pPr>
          </w:p>
        </w:tc>
        <w:tc>
          <w:tcPr>
            <w:tcW w:w="1015"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2E1C1D52" w14:textId="77777777" w:rsidR="00F776D7" w:rsidRPr="007B4A61" w:rsidRDefault="00F776D7" w:rsidP="00630259">
            <w:pPr>
              <w:pStyle w:val="Tabletext"/>
              <w:rPr>
                <w:lang w:val="fr-CH"/>
              </w:rPr>
            </w:pPr>
          </w:p>
        </w:tc>
      </w:tr>
      <w:tr w:rsidR="00983984" w:rsidRPr="007B4A61" w14:paraId="23613593" w14:textId="77777777" w:rsidTr="00630259">
        <w:trPr>
          <w:cantSplit/>
          <w:trHeight w:val="1320"/>
        </w:trPr>
        <w:tc>
          <w:tcPr>
            <w:tcW w:w="98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0D272012" w14:textId="480B52DD" w:rsidR="00983984" w:rsidRPr="007B4A61" w:rsidRDefault="00983984" w:rsidP="00630259">
            <w:pPr>
              <w:pStyle w:val="Tabletext"/>
              <w:jc w:val="center"/>
              <w:rPr>
                <w:lang w:val="fr-CH"/>
              </w:rPr>
            </w:pPr>
            <w:r w:rsidRPr="007B4A61">
              <w:rPr>
                <w:lang w:val="fr-CH"/>
              </w:rPr>
              <w:t>8.3.1</w:t>
            </w:r>
          </w:p>
        </w:tc>
        <w:tc>
          <w:tcPr>
            <w:tcW w:w="4394"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310612D4" w14:textId="7576C618" w:rsidR="00983984" w:rsidRPr="007B4A61" w:rsidRDefault="00983984" w:rsidP="00630259">
            <w:pPr>
              <w:pStyle w:val="Tabletext"/>
              <w:rPr>
                <w:lang w:val="fr-CH"/>
              </w:rPr>
            </w:pPr>
            <w:r w:rsidRPr="007B4A61">
              <w:rPr>
                <w:lang w:val="fr-CH"/>
              </w:rPr>
              <w:t>Quand la législation nationale d'un pays prévoit l'application d'une taxe fiscale sur les frais de perception pour les services internationaux de télécommunication, cette taxe n'est normalement perçue que pour les services internationaux facturés aux clients dans ce pays, à moins que d'autres arrangements soient conclus pour faire face à des circonstances spéciales.</w:t>
            </w:r>
          </w:p>
        </w:tc>
        <w:tc>
          <w:tcPr>
            <w:tcW w:w="2693"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510D2302" w14:textId="58F405F2" w:rsidR="00983984" w:rsidRPr="007B4A61" w:rsidRDefault="00983984" w:rsidP="00630259">
            <w:pPr>
              <w:pStyle w:val="Tabletext"/>
              <w:rPr>
                <w:lang w:val="fr-CH"/>
              </w:rPr>
            </w:pPr>
          </w:p>
        </w:tc>
        <w:tc>
          <w:tcPr>
            <w:tcW w:w="3544"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0004F552" w14:textId="0DF19BAC" w:rsidR="00983984" w:rsidRPr="007B4A61" w:rsidRDefault="00974BFC" w:rsidP="00630259">
            <w:pPr>
              <w:pStyle w:val="Tabletext"/>
              <w:rPr>
                <w:lang w:val="fr-CH"/>
              </w:rPr>
            </w:pPr>
            <w:bookmarkStart w:id="33" w:name="lt_pId120"/>
            <w:r>
              <w:rPr>
                <w:lang w:val="fr-CH"/>
              </w:rPr>
              <w:t xml:space="preserve">Cette disposition n'est pas applicable car, </w:t>
            </w:r>
            <w:r w:rsidR="006E746E">
              <w:rPr>
                <w:lang w:val="fr-CH"/>
              </w:rPr>
              <w:t>selon le</w:t>
            </w:r>
            <w:r>
              <w:rPr>
                <w:lang w:val="fr-CH"/>
              </w:rPr>
              <w:t xml:space="preserve"> développement de l'environnement des télécommunications, on ne sait pas s'il faudra faire face à des problèmes comme des circonstances spéciales dans le futur.</w:t>
            </w:r>
            <w:bookmarkEnd w:id="33"/>
          </w:p>
        </w:tc>
        <w:tc>
          <w:tcPr>
            <w:tcW w:w="3260"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59440C5A" w14:textId="625C74C7" w:rsidR="00983984" w:rsidRPr="007B4A61" w:rsidRDefault="00974BFC" w:rsidP="00630259">
            <w:pPr>
              <w:pStyle w:val="Tabletext"/>
              <w:tabs>
                <w:tab w:val="left" w:pos="945"/>
              </w:tabs>
              <w:rPr>
                <w:lang w:val="fr-CH"/>
              </w:rPr>
            </w:pPr>
            <w:bookmarkStart w:id="34" w:name="lt_pId121"/>
            <w:r>
              <w:rPr>
                <w:lang w:val="fr-CH"/>
              </w:rPr>
              <w:t>Cette di</w:t>
            </w:r>
            <w:r w:rsidR="00EF37AA">
              <w:rPr>
                <w:lang w:val="fr-CH"/>
              </w:rPr>
              <w:t>s</w:t>
            </w:r>
            <w:r>
              <w:rPr>
                <w:lang w:val="fr-CH"/>
              </w:rPr>
              <w:t xml:space="preserve">position </w:t>
            </w:r>
            <w:r w:rsidR="00512A2A">
              <w:rPr>
                <w:lang w:val="fr-CH"/>
              </w:rPr>
              <w:t>manque de souplesse étant donné qu'il n'est pas possible de prévoir le développement des télécommunications et que</w:t>
            </w:r>
            <w:r w:rsidR="006E746E">
              <w:rPr>
                <w:lang w:val="fr-CH"/>
              </w:rPr>
              <w:t>,</w:t>
            </w:r>
            <w:r w:rsidR="00512A2A">
              <w:rPr>
                <w:lang w:val="fr-CH"/>
              </w:rPr>
              <w:t xml:space="preserve"> pa</w:t>
            </w:r>
            <w:r w:rsidR="006E746E">
              <w:rPr>
                <w:lang w:val="fr-CH"/>
              </w:rPr>
              <w:t>r</w:t>
            </w:r>
            <w:r w:rsidR="00512A2A">
              <w:rPr>
                <w:lang w:val="fr-CH"/>
              </w:rPr>
              <w:t xml:space="preserve"> conséquent, on ne sait pas ce que l'on pourrait comprendre par circonstances spéciale</w:t>
            </w:r>
            <w:r w:rsidR="006E746E">
              <w:rPr>
                <w:lang w:val="fr-CH"/>
              </w:rPr>
              <w:t>s</w:t>
            </w:r>
            <w:r w:rsidR="00512A2A">
              <w:rPr>
                <w:lang w:val="fr-CH"/>
              </w:rPr>
              <w:t xml:space="preserve"> dans le futur.</w:t>
            </w:r>
            <w:bookmarkEnd w:id="34"/>
          </w:p>
        </w:tc>
        <w:tc>
          <w:tcPr>
            <w:tcW w:w="1015"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229AB011" w14:textId="77777777" w:rsidR="00983984" w:rsidRPr="007B4A61" w:rsidRDefault="00983984" w:rsidP="00630259">
            <w:pPr>
              <w:pStyle w:val="Tabletext"/>
              <w:rPr>
                <w:lang w:val="fr-CH"/>
              </w:rPr>
            </w:pPr>
          </w:p>
        </w:tc>
      </w:tr>
      <w:tr w:rsidR="00F776D7" w:rsidRPr="007B4A61" w14:paraId="5FF3D2A9" w14:textId="77777777" w:rsidTr="00630259">
        <w:trPr>
          <w:cantSplit/>
          <w:trHeight w:val="1071"/>
        </w:trPr>
        <w:tc>
          <w:tcPr>
            <w:tcW w:w="98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7AF3FC07" w14:textId="264BD407" w:rsidR="00F776D7" w:rsidRPr="007E2EE8" w:rsidRDefault="005518F2" w:rsidP="00630259">
            <w:pPr>
              <w:pStyle w:val="Tabletext"/>
              <w:jc w:val="center"/>
              <w:rPr>
                <w:bCs/>
                <w:szCs w:val="22"/>
                <w:lang w:val="fr-CH"/>
              </w:rPr>
            </w:pPr>
            <w:r w:rsidRPr="007E2EE8">
              <w:rPr>
                <w:rStyle w:val="Heading2Char"/>
                <w:bCs/>
                <w:sz w:val="22"/>
                <w:szCs w:val="22"/>
                <w:lang w:val="fr-CH"/>
              </w:rPr>
              <w:t>8.4</w:t>
            </w:r>
          </w:p>
        </w:tc>
        <w:tc>
          <w:tcPr>
            <w:tcW w:w="4394"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7D188E7A" w14:textId="32F5C15A" w:rsidR="00F776D7" w:rsidRPr="007E2EE8" w:rsidRDefault="00180439" w:rsidP="00630259">
            <w:pPr>
              <w:pStyle w:val="Tabletext"/>
              <w:rPr>
                <w:bCs/>
                <w:szCs w:val="22"/>
                <w:lang w:val="fr-CH"/>
              </w:rPr>
            </w:pPr>
            <w:r w:rsidRPr="007E2EE8">
              <w:rPr>
                <w:rStyle w:val="Heading2Char"/>
                <w:bCs/>
                <w:sz w:val="22"/>
                <w:szCs w:val="22"/>
                <w:lang w:val="fr-CH"/>
              </w:rPr>
              <w:t>Télécommunications de service</w:t>
            </w:r>
          </w:p>
        </w:tc>
        <w:tc>
          <w:tcPr>
            <w:tcW w:w="2693"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321EDAED" w14:textId="77777777" w:rsidR="00F776D7" w:rsidRPr="007B4A61" w:rsidRDefault="00F776D7" w:rsidP="00630259">
            <w:pPr>
              <w:pStyle w:val="Tabletext"/>
              <w:rPr>
                <w:lang w:val="fr-CH"/>
              </w:rPr>
            </w:pPr>
          </w:p>
        </w:tc>
        <w:tc>
          <w:tcPr>
            <w:tcW w:w="3544"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64C192A2" w14:textId="77777777" w:rsidR="00F776D7" w:rsidRPr="007B4A61" w:rsidRDefault="00F776D7" w:rsidP="00630259">
            <w:pPr>
              <w:pStyle w:val="Tabletext"/>
              <w:rPr>
                <w:lang w:val="fr-CH"/>
              </w:rPr>
            </w:pPr>
          </w:p>
        </w:tc>
        <w:tc>
          <w:tcPr>
            <w:tcW w:w="3260"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71233733" w14:textId="77777777" w:rsidR="00F776D7" w:rsidRPr="007B4A61" w:rsidRDefault="00F776D7" w:rsidP="00630259">
            <w:pPr>
              <w:pStyle w:val="Tabletext"/>
              <w:rPr>
                <w:lang w:val="fr-CH"/>
              </w:rPr>
            </w:pPr>
          </w:p>
        </w:tc>
        <w:tc>
          <w:tcPr>
            <w:tcW w:w="1015"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6F09A45F" w14:textId="77777777" w:rsidR="00F776D7" w:rsidRPr="007B4A61" w:rsidRDefault="00F776D7" w:rsidP="00630259">
            <w:pPr>
              <w:pStyle w:val="Tabletext"/>
              <w:rPr>
                <w:lang w:val="fr-CH"/>
              </w:rPr>
            </w:pPr>
          </w:p>
        </w:tc>
      </w:tr>
      <w:tr w:rsidR="00F776D7" w:rsidRPr="007B4A61" w14:paraId="7544D869" w14:textId="77777777" w:rsidTr="00630259">
        <w:trPr>
          <w:cantSplit/>
          <w:trHeight w:val="1320"/>
        </w:trPr>
        <w:tc>
          <w:tcPr>
            <w:tcW w:w="98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3B851593" w14:textId="1E60FC13" w:rsidR="00F776D7" w:rsidRPr="007B4A61" w:rsidRDefault="005518F2" w:rsidP="00630259">
            <w:pPr>
              <w:pStyle w:val="Tabletext"/>
              <w:jc w:val="center"/>
              <w:rPr>
                <w:lang w:val="fr-CH"/>
              </w:rPr>
            </w:pPr>
            <w:r w:rsidRPr="007B4A61">
              <w:rPr>
                <w:lang w:val="fr-CH"/>
              </w:rPr>
              <w:t>8.4.1</w:t>
            </w:r>
          </w:p>
        </w:tc>
        <w:tc>
          <w:tcPr>
            <w:tcW w:w="4394"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7B99732D" w14:textId="09B31935" w:rsidR="00F776D7" w:rsidRPr="007B4A61" w:rsidRDefault="00180439" w:rsidP="00630259">
            <w:pPr>
              <w:pStyle w:val="Tabletext"/>
              <w:rPr>
                <w:lang w:val="fr-CH"/>
              </w:rPr>
            </w:pPr>
            <w:r w:rsidRPr="007B4A61">
              <w:rPr>
                <w:lang w:val="fr-CH"/>
              </w:rPr>
              <w:t>Les exploitations autorisées peuvent en principe renoncer à inclure les télécommunications de service dans la comptabilité internationale, conformément aux dispositions pertinentes de la Constitution et de la Convention et du présent Règlement, et en tenant dûment compte de la nécessité de conclure des arrangements réciproques. Les exploitations autorisées peuvent fournir gratuitement des télécommunications de service.</w:t>
            </w:r>
          </w:p>
        </w:tc>
        <w:tc>
          <w:tcPr>
            <w:tcW w:w="2693"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48E49031" w14:textId="77777777" w:rsidR="00F776D7" w:rsidRPr="007B4A61" w:rsidRDefault="00F776D7" w:rsidP="00630259">
            <w:pPr>
              <w:pStyle w:val="Tabletext"/>
              <w:rPr>
                <w:lang w:val="fr-CH"/>
              </w:rPr>
            </w:pPr>
          </w:p>
        </w:tc>
        <w:tc>
          <w:tcPr>
            <w:tcW w:w="3544"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037C719C" w14:textId="097EEE0D" w:rsidR="00F776D7" w:rsidRPr="007B4A61" w:rsidRDefault="00512A2A" w:rsidP="00630259">
            <w:pPr>
              <w:pStyle w:val="Tabletext"/>
              <w:rPr>
                <w:lang w:val="fr-CH"/>
              </w:rPr>
            </w:pPr>
            <w:bookmarkStart w:id="35" w:name="lt_pId127"/>
            <w:r>
              <w:rPr>
                <w:lang w:val="fr-CH"/>
              </w:rPr>
              <w:t>Cette disposition traite de ce qu'une exploitation "peut" faire et ne devrait, par conséquent, pas figurer dans un traité.</w:t>
            </w:r>
            <w:bookmarkEnd w:id="35"/>
          </w:p>
        </w:tc>
        <w:tc>
          <w:tcPr>
            <w:tcW w:w="3260"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581F1DED" w14:textId="56F2EA00" w:rsidR="00F776D7" w:rsidRPr="007B4A61" w:rsidRDefault="00A6207F" w:rsidP="00630259">
            <w:pPr>
              <w:pStyle w:val="Tabletext"/>
              <w:rPr>
                <w:lang w:val="fr-CH"/>
              </w:rPr>
            </w:pPr>
            <w:bookmarkStart w:id="36" w:name="lt_pId128"/>
            <w:r>
              <w:rPr>
                <w:lang w:val="fr-CH"/>
              </w:rPr>
              <w:t>Cette disposition traite de ce qu'une exploitation "peut" faire et n'est</w:t>
            </w:r>
            <w:r w:rsidR="006E746E">
              <w:rPr>
                <w:lang w:val="fr-CH"/>
              </w:rPr>
              <w:t>,</w:t>
            </w:r>
            <w:r>
              <w:rPr>
                <w:lang w:val="fr-CH"/>
              </w:rPr>
              <w:t xml:space="preserve"> par conséquent</w:t>
            </w:r>
            <w:r w:rsidR="006E746E">
              <w:rPr>
                <w:lang w:val="fr-CH"/>
              </w:rPr>
              <w:t>,</w:t>
            </w:r>
            <w:r>
              <w:rPr>
                <w:lang w:val="fr-CH"/>
              </w:rPr>
              <w:t xml:space="preserve"> pas claire concernant la souplesse pour tenir compte </w:t>
            </w:r>
            <w:r w:rsidRPr="00A6207F">
              <w:rPr>
                <w:lang w:val="fr-CH"/>
              </w:rPr>
              <w:t>des nouvelles tendances et des nouveaux problèmes qui se font jour</w:t>
            </w:r>
            <w:r>
              <w:rPr>
                <w:lang w:val="fr-CH"/>
              </w:rPr>
              <w:t>.</w:t>
            </w:r>
            <w:bookmarkEnd w:id="36"/>
          </w:p>
        </w:tc>
        <w:tc>
          <w:tcPr>
            <w:tcW w:w="1015"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3CCBE60A" w14:textId="77777777" w:rsidR="00F776D7" w:rsidRPr="007B4A61" w:rsidRDefault="00F776D7" w:rsidP="00630259">
            <w:pPr>
              <w:pStyle w:val="Tabletext"/>
              <w:rPr>
                <w:lang w:val="fr-CH"/>
              </w:rPr>
            </w:pPr>
          </w:p>
        </w:tc>
      </w:tr>
      <w:tr w:rsidR="00F776D7" w:rsidRPr="007B4A61" w14:paraId="3789A5F1" w14:textId="77777777" w:rsidTr="00630259">
        <w:trPr>
          <w:cantSplit/>
          <w:trHeight w:val="1320"/>
        </w:trPr>
        <w:tc>
          <w:tcPr>
            <w:tcW w:w="98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393DD610" w14:textId="31003C10" w:rsidR="00F776D7" w:rsidRPr="007B4A61" w:rsidRDefault="005518F2" w:rsidP="00630259">
            <w:pPr>
              <w:pStyle w:val="Tabletext"/>
              <w:jc w:val="center"/>
              <w:rPr>
                <w:lang w:val="fr-CH"/>
              </w:rPr>
            </w:pPr>
            <w:r w:rsidRPr="007B4A61">
              <w:rPr>
                <w:lang w:val="fr-CH"/>
              </w:rPr>
              <w:lastRenderedPageBreak/>
              <w:t>8.4.2</w:t>
            </w:r>
          </w:p>
        </w:tc>
        <w:tc>
          <w:tcPr>
            <w:tcW w:w="4394"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144A0539" w14:textId="710CF95E" w:rsidR="00F776D7" w:rsidRPr="007B4A61" w:rsidRDefault="009D5FC6" w:rsidP="00630259">
            <w:pPr>
              <w:pStyle w:val="Tabletext"/>
              <w:rPr>
                <w:lang w:val="fr-CH"/>
              </w:rPr>
            </w:pPr>
            <w:r w:rsidRPr="007B4A61">
              <w:rPr>
                <w:lang w:val="fr-CH"/>
              </w:rPr>
              <w:t>Les principes généraux d'exploitation, de tarification et de comptabilité applicables aux télécommunications de service devraient tenir compte des Recommandations UIT</w:t>
            </w:r>
            <w:r w:rsidRPr="007B4A61">
              <w:rPr>
                <w:lang w:val="fr-CH"/>
              </w:rPr>
              <w:noBreakHyphen/>
              <w:t>T pertinentes.</w:t>
            </w:r>
          </w:p>
        </w:tc>
        <w:tc>
          <w:tcPr>
            <w:tcW w:w="2693"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76B71446" w14:textId="77777777" w:rsidR="00F776D7" w:rsidRPr="007B4A61" w:rsidRDefault="00F776D7" w:rsidP="00630259">
            <w:pPr>
              <w:pStyle w:val="Tabletext"/>
              <w:rPr>
                <w:lang w:val="fr-CH"/>
              </w:rPr>
            </w:pPr>
          </w:p>
        </w:tc>
        <w:tc>
          <w:tcPr>
            <w:tcW w:w="3544"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6891C6F3" w14:textId="310F7B7C" w:rsidR="00F776D7" w:rsidRPr="007B4A61" w:rsidRDefault="00A6207F" w:rsidP="00630259">
            <w:pPr>
              <w:pStyle w:val="Tabletext"/>
              <w:rPr>
                <w:lang w:val="fr-CH"/>
              </w:rPr>
            </w:pPr>
            <w:bookmarkStart w:id="37" w:name="lt_pId131"/>
            <w:r>
              <w:rPr>
                <w:lang w:val="fr-CH"/>
              </w:rPr>
              <w:t>Cette disposition est très générale et</w:t>
            </w:r>
            <w:r w:rsidR="006E746E">
              <w:rPr>
                <w:lang w:val="fr-CH"/>
              </w:rPr>
              <w:t>,</w:t>
            </w:r>
            <w:r>
              <w:rPr>
                <w:lang w:val="fr-CH"/>
              </w:rPr>
              <w:t xml:space="preserve"> par conséquent</w:t>
            </w:r>
            <w:r w:rsidR="006E746E">
              <w:rPr>
                <w:lang w:val="fr-CH"/>
              </w:rPr>
              <w:t>,</w:t>
            </w:r>
            <w:r>
              <w:rPr>
                <w:lang w:val="fr-CH"/>
              </w:rPr>
              <w:t xml:space="preserve"> toujours applicable.</w:t>
            </w:r>
            <w:bookmarkEnd w:id="37"/>
          </w:p>
        </w:tc>
        <w:tc>
          <w:tcPr>
            <w:tcW w:w="3260"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76DA5A44" w14:textId="77777777" w:rsidR="00F776D7" w:rsidRPr="007B4A61" w:rsidRDefault="0031507E" w:rsidP="00630259">
            <w:pPr>
              <w:pStyle w:val="Tabletext"/>
              <w:rPr>
                <w:lang w:val="fr-CH"/>
              </w:rPr>
            </w:pPr>
            <w:bookmarkStart w:id="38" w:name="lt_pId118"/>
            <w:r w:rsidRPr="007B4A61">
              <w:rPr>
                <w:lang w:val="fr-CH"/>
              </w:rPr>
              <w:t xml:space="preserve">Cette disposition manque de souplesse. </w:t>
            </w:r>
            <w:bookmarkEnd w:id="38"/>
          </w:p>
          <w:p w14:paraId="3B8A4C7E" w14:textId="4B337E4B" w:rsidR="0031507E" w:rsidRPr="007B4A61" w:rsidRDefault="0031507E" w:rsidP="00630259">
            <w:pPr>
              <w:pStyle w:val="Tabletext"/>
              <w:rPr>
                <w:lang w:val="fr-CH"/>
              </w:rPr>
            </w:pPr>
            <w:bookmarkStart w:id="39" w:name="lt_pId122"/>
            <w:r w:rsidRPr="007B4A61">
              <w:rPr>
                <w:lang w:val="fr-CH"/>
              </w:rPr>
              <w:t>On ne sait pas au juste comment se conformer à cette disposition, étant donné qu'il est peu probable qu'il existe des Recommandations relatives aux tendances les plus récentes et aux nouveaux problèmes qui se font jour</w:t>
            </w:r>
            <w:bookmarkEnd w:id="39"/>
            <w:r w:rsidRPr="007B4A61">
              <w:rPr>
                <w:lang w:val="fr-CH"/>
              </w:rPr>
              <w:t>.</w:t>
            </w:r>
          </w:p>
        </w:tc>
        <w:tc>
          <w:tcPr>
            <w:tcW w:w="1015" w:type="dxa"/>
            <w:tcBorders>
              <w:top w:val="single" w:sz="8" w:space="0" w:color="000000"/>
              <w:left w:val="nil"/>
              <w:bottom w:val="single" w:sz="8" w:space="0" w:color="000000"/>
              <w:right w:val="single" w:sz="8" w:space="0" w:color="000000"/>
            </w:tcBorders>
            <w:tcMar>
              <w:top w:w="56" w:type="dxa"/>
              <w:left w:w="56" w:type="dxa"/>
              <w:bottom w:w="56" w:type="dxa"/>
              <w:right w:w="56" w:type="dxa"/>
            </w:tcMar>
          </w:tcPr>
          <w:p w14:paraId="43A54D0C" w14:textId="77777777" w:rsidR="00F776D7" w:rsidRPr="007B4A61" w:rsidRDefault="00F776D7" w:rsidP="00630259">
            <w:pPr>
              <w:pStyle w:val="Tabletext"/>
              <w:rPr>
                <w:lang w:val="fr-CH"/>
              </w:rPr>
            </w:pPr>
          </w:p>
        </w:tc>
      </w:tr>
    </w:tbl>
    <w:p w14:paraId="09B8B9AB" w14:textId="4875F09A" w:rsidR="008D475D" w:rsidRPr="007B4A61" w:rsidRDefault="00A6207F" w:rsidP="00630259">
      <w:pPr>
        <w:ind w:left="-851"/>
        <w:rPr>
          <w:lang w:val="fr-CH"/>
        </w:rPr>
      </w:pPr>
      <w:bookmarkStart w:id="40" w:name="lt_pId134"/>
      <w:r>
        <w:rPr>
          <w:szCs w:val="24"/>
          <w:lang w:val="fr-CH"/>
        </w:rPr>
        <w:t>Nos points de vue concernant l'Appendice 1 sont déjà couverts par l'analyse des Articles 5 à 8 et ne sont donc pas à nouveau présentés pour éviter les répétitions.</w:t>
      </w:r>
      <w:bookmarkEnd w:id="40"/>
    </w:p>
    <w:p w14:paraId="7BE701F0" w14:textId="77777777" w:rsidR="00010A2F" w:rsidRPr="007B4A61" w:rsidRDefault="00010A2F" w:rsidP="00630259">
      <w:pPr>
        <w:rPr>
          <w:lang w:val="fr-CH"/>
        </w:rPr>
      </w:pPr>
    </w:p>
    <w:p w14:paraId="45D6DF3A" w14:textId="3AFCA7A8" w:rsidR="00B74BBD" w:rsidRPr="007B4A61" w:rsidRDefault="00584009" w:rsidP="00630259">
      <w:pPr>
        <w:jc w:val="center"/>
        <w:rPr>
          <w:lang w:val="fr-CH"/>
        </w:rPr>
      </w:pPr>
      <w:r w:rsidRPr="007B4A61">
        <w:rPr>
          <w:lang w:val="fr-CH"/>
        </w:rPr>
        <w:t>______________</w:t>
      </w:r>
    </w:p>
    <w:sectPr w:rsidR="00B74BBD" w:rsidRPr="007B4A61" w:rsidSect="00D0636B">
      <w:pgSz w:w="16840" w:h="11907" w:orient="landscape" w:code="9"/>
      <w:pgMar w:top="1134" w:right="1418" w:bottom="1134" w:left="1418" w:header="720" w:footer="720" w:gutter="0"/>
      <w:paperSrc w:first="261" w:other="26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5A10F" w14:textId="77777777" w:rsidR="00561F9B" w:rsidRDefault="00561F9B">
      <w:r>
        <w:separator/>
      </w:r>
    </w:p>
  </w:endnote>
  <w:endnote w:type="continuationSeparator" w:id="0">
    <w:p w14:paraId="628E2219" w14:textId="77777777" w:rsidR="00561F9B" w:rsidRDefault="00561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9FD22" w14:textId="6C0EA445" w:rsidR="00732045" w:rsidRPr="00474A8E" w:rsidRDefault="001A6508">
    <w:pPr>
      <w:pStyle w:val="Footer"/>
      <w:rPr>
        <w:lang w:val="en-US"/>
      </w:rPr>
    </w:pPr>
    <w:r>
      <w:fldChar w:fldCharType="begin"/>
    </w:r>
    <w:r w:rsidRPr="00474A8E">
      <w:rPr>
        <w:lang w:val="en-US"/>
      </w:rPr>
      <w:instrText xml:space="preserve"> FILENAME \p \* MERGEFORMAT </w:instrText>
    </w:r>
    <w:r>
      <w:fldChar w:fldCharType="separate"/>
    </w:r>
    <w:r w:rsidR="00474A8E">
      <w:rPr>
        <w:lang w:val="en-US"/>
      </w:rPr>
      <w:t>Q:\TEMPLATE\ITUOffice2007\POOL\POOL F - ITU\PF_EG-ITR.dotx</w:t>
    </w:r>
    <w:r>
      <w:fldChar w:fldCharType="end"/>
    </w:r>
    <w:r w:rsidR="00732045" w:rsidRPr="00474A8E">
      <w:rPr>
        <w:lang w:val="en-US"/>
      </w:rPr>
      <w:tab/>
    </w:r>
    <w:r w:rsidR="002F1B76">
      <w:fldChar w:fldCharType="begin"/>
    </w:r>
    <w:r w:rsidR="00732045">
      <w:instrText xml:space="preserve"> savedate \@ dd.MM.yy </w:instrText>
    </w:r>
    <w:r w:rsidR="002F1B76">
      <w:fldChar w:fldCharType="separate"/>
    </w:r>
    <w:r w:rsidR="00590711">
      <w:t>09.09.20</w:t>
    </w:r>
    <w:r w:rsidR="002F1B76">
      <w:fldChar w:fldCharType="end"/>
    </w:r>
    <w:r w:rsidR="00732045" w:rsidRPr="00474A8E">
      <w:rPr>
        <w:lang w:val="en-US"/>
      </w:rPr>
      <w:tab/>
    </w:r>
    <w:r w:rsidR="002F1B76">
      <w:fldChar w:fldCharType="begin"/>
    </w:r>
    <w:r w:rsidR="00732045">
      <w:instrText xml:space="preserve"> printdate \@ dd.MM.yy </w:instrText>
    </w:r>
    <w:r w:rsidR="002F1B76">
      <w:fldChar w:fldCharType="separate"/>
    </w:r>
    <w:r w:rsidR="00474A8E">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0FDCB" w14:textId="4596A868" w:rsidR="00732045" w:rsidRPr="00474A8E" w:rsidRDefault="001A6508" w:rsidP="00D837AA">
    <w:pPr>
      <w:pStyle w:val="Footer"/>
      <w:rPr>
        <w:lang w:val="en-US"/>
      </w:rPr>
    </w:pPr>
    <w:r>
      <w:fldChar w:fldCharType="begin"/>
    </w:r>
    <w:r w:rsidRPr="00474A8E">
      <w:rPr>
        <w:lang w:val="en-US"/>
      </w:rPr>
      <w:instrText xml:space="preserve"> FILENAME \p \* MERGEFORMAT </w:instrText>
    </w:r>
    <w:r>
      <w:fldChar w:fldCharType="separate"/>
    </w:r>
    <w:r w:rsidR="00FD5BDF">
      <w:rPr>
        <w:lang w:val="en-US"/>
      </w:rPr>
      <w:t>P:\FRA\SG\CONSEIL\EG-ITR\EG-ITR-3\000\011F.docx</w:t>
    </w:r>
    <w:r>
      <w:fldChar w:fldCharType="end"/>
    </w:r>
    <w:r w:rsidR="00C87A3E">
      <w:t xml:space="preserve"> (</w:t>
    </w:r>
    <w:r w:rsidR="00A86FA4">
      <w:t>476612</w:t>
    </w:r>
    <w:r w:rsidR="00C87A3E">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ADEE0"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5B12B" w14:textId="77777777" w:rsidR="00561F9B" w:rsidRDefault="00561F9B">
      <w:r>
        <w:t>____________________</w:t>
      </w:r>
    </w:p>
  </w:footnote>
  <w:footnote w:type="continuationSeparator" w:id="0">
    <w:p w14:paraId="5D65D16D" w14:textId="77777777" w:rsidR="00561F9B" w:rsidRDefault="00561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22333"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58D16A5"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64281" w14:textId="77777777" w:rsidR="00732045" w:rsidRDefault="00C27A7C" w:rsidP="00475FB3">
    <w:pPr>
      <w:pStyle w:val="Header"/>
    </w:pPr>
    <w:r>
      <w:fldChar w:fldCharType="begin"/>
    </w:r>
    <w:r>
      <w:instrText>PAGE</w:instrText>
    </w:r>
    <w:r>
      <w:fldChar w:fldCharType="separate"/>
    </w:r>
    <w:r w:rsidR="00B84194">
      <w:rPr>
        <w:noProof/>
      </w:rPr>
      <w:t>2</w:t>
    </w:r>
    <w:r>
      <w:rPr>
        <w:noProof/>
      </w:rPr>
      <w:fldChar w:fldCharType="end"/>
    </w:r>
  </w:p>
  <w:p w14:paraId="0FE2434E" w14:textId="46C02492" w:rsidR="00732045" w:rsidRDefault="00B84194" w:rsidP="0093234A">
    <w:pPr>
      <w:pStyle w:val="Header"/>
      <w:rPr>
        <w:noProof/>
      </w:rPr>
    </w:pPr>
    <w:r>
      <w:rPr>
        <w:noProof/>
      </w:rPr>
      <w:t>EG-ITRs-</w:t>
    </w:r>
    <w:r w:rsidR="00952CB0">
      <w:rPr>
        <w:noProof/>
      </w:rPr>
      <w:t>3</w:t>
    </w:r>
    <w:r>
      <w:rPr>
        <w:noProof/>
      </w:rPr>
      <w:t>\</w:t>
    </w:r>
    <w:r w:rsidR="002F2F61">
      <w:rPr>
        <w:noProof/>
      </w:rPr>
      <w:t>11</w:t>
    </w:r>
    <w:r>
      <w:rPr>
        <w:noProof/>
      </w:rPr>
      <w:t>-F</w:t>
    </w:r>
  </w:p>
  <w:p w14:paraId="30007E46" w14:textId="77777777" w:rsidR="0005042D" w:rsidRDefault="0005042D" w:rsidP="009323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F36"/>
    <w:rsid w:val="00010A2F"/>
    <w:rsid w:val="0002223F"/>
    <w:rsid w:val="0005042D"/>
    <w:rsid w:val="000706CB"/>
    <w:rsid w:val="000833E9"/>
    <w:rsid w:val="00092569"/>
    <w:rsid w:val="000B5BD1"/>
    <w:rsid w:val="000B7937"/>
    <w:rsid w:val="000C41AA"/>
    <w:rsid w:val="000D0D0A"/>
    <w:rsid w:val="000D27A2"/>
    <w:rsid w:val="000F0EA7"/>
    <w:rsid w:val="00103163"/>
    <w:rsid w:val="00107EA4"/>
    <w:rsid w:val="00115D93"/>
    <w:rsid w:val="001247A8"/>
    <w:rsid w:val="001251D8"/>
    <w:rsid w:val="001378C0"/>
    <w:rsid w:val="00180439"/>
    <w:rsid w:val="0018694A"/>
    <w:rsid w:val="001A3287"/>
    <w:rsid w:val="001A6508"/>
    <w:rsid w:val="001B5299"/>
    <w:rsid w:val="001B7AF8"/>
    <w:rsid w:val="001D23A3"/>
    <w:rsid w:val="001D4C31"/>
    <w:rsid w:val="001E4D21"/>
    <w:rsid w:val="00207CD1"/>
    <w:rsid w:val="002477A2"/>
    <w:rsid w:val="00263A51"/>
    <w:rsid w:val="00267E02"/>
    <w:rsid w:val="002A5D44"/>
    <w:rsid w:val="002E0BC4"/>
    <w:rsid w:val="002F1B76"/>
    <w:rsid w:val="002F2F61"/>
    <w:rsid w:val="003110F3"/>
    <w:rsid w:val="0031507E"/>
    <w:rsid w:val="003413FA"/>
    <w:rsid w:val="00353CCB"/>
    <w:rsid w:val="00355FF5"/>
    <w:rsid w:val="00361350"/>
    <w:rsid w:val="0039731D"/>
    <w:rsid w:val="003A3D8A"/>
    <w:rsid w:val="003B20C5"/>
    <w:rsid w:val="003C388F"/>
    <w:rsid w:val="003C41A4"/>
    <w:rsid w:val="003D4581"/>
    <w:rsid w:val="0040002C"/>
    <w:rsid w:val="004038CB"/>
    <w:rsid w:val="0040546F"/>
    <w:rsid w:val="0042404A"/>
    <w:rsid w:val="0042535D"/>
    <w:rsid w:val="0044618F"/>
    <w:rsid w:val="00464EE2"/>
    <w:rsid w:val="0046769A"/>
    <w:rsid w:val="00467927"/>
    <w:rsid w:val="00474A8E"/>
    <w:rsid w:val="00475FB3"/>
    <w:rsid w:val="004C37A9"/>
    <w:rsid w:val="004D1E67"/>
    <w:rsid w:val="004F259E"/>
    <w:rsid w:val="00511F1D"/>
    <w:rsid w:val="00512A2A"/>
    <w:rsid w:val="00512C4F"/>
    <w:rsid w:val="00520F36"/>
    <w:rsid w:val="0053178C"/>
    <w:rsid w:val="00532AC7"/>
    <w:rsid w:val="00540615"/>
    <w:rsid w:val="00540A6D"/>
    <w:rsid w:val="00546BAE"/>
    <w:rsid w:val="005518F2"/>
    <w:rsid w:val="00561F9B"/>
    <w:rsid w:val="00571EEA"/>
    <w:rsid w:val="00575417"/>
    <w:rsid w:val="005768E1"/>
    <w:rsid w:val="00584009"/>
    <w:rsid w:val="00590711"/>
    <w:rsid w:val="005C3890"/>
    <w:rsid w:val="005E0E78"/>
    <w:rsid w:val="005F420A"/>
    <w:rsid w:val="005F679C"/>
    <w:rsid w:val="005F7BFE"/>
    <w:rsid w:val="00600017"/>
    <w:rsid w:val="006235CA"/>
    <w:rsid w:val="00630259"/>
    <w:rsid w:val="006643AB"/>
    <w:rsid w:val="006B68A7"/>
    <w:rsid w:val="006B6FDF"/>
    <w:rsid w:val="006C5294"/>
    <w:rsid w:val="006E0356"/>
    <w:rsid w:val="006E746E"/>
    <w:rsid w:val="007210CD"/>
    <w:rsid w:val="00732045"/>
    <w:rsid w:val="007369DB"/>
    <w:rsid w:val="0077274A"/>
    <w:rsid w:val="007801E3"/>
    <w:rsid w:val="007956C2"/>
    <w:rsid w:val="007A187E"/>
    <w:rsid w:val="007B4A61"/>
    <w:rsid w:val="007C72C2"/>
    <w:rsid w:val="007D4436"/>
    <w:rsid w:val="007D6BC6"/>
    <w:rsid w:val="007E2EE8"/>
    <w:rsid w:val="007F257A"/>
    <w:rsid w:val="007F3665"/>
    <w:rsid w:val="00800037"/>
    <w:rsid w:val="0080409F"/>
    <w:rsid w:val="00852808"/>
    <w:rsid w:val="00861D73"/>
    <w:rsid w:val="00894048"/>
    <w:rsid w:val="00896227"/>
    <w:rsid w:val="008A4E87"/>
    <w:rsid w:val="008A55B3"/>
    <w:rsid w:val="008B262B"/>
    <w:rsid w:val="008C2465"/>
    <w:rsid w:val="008D475D"/>
    <w:rsid w:val="008D76E6"/>
    <w:rsid w:val="008E3B7A"/>
    <w:rsid w:val="009026BB"/>
    <w:rsid w:val="00917CCD"/>
    <w:rsid w:val="0092392D"/>
    <w:rsid w:val="0093234A"/>
    <w:rsid w:val="00937C48"/>
    <w:rsid w:val="00952CB0"/>
    <w:rsid w:val="0095493C"/>
    <w:rsid w:val="00974BFC"/>
    <w:rsid w:val="00983984"/>
    <w:rsid w:val="00994BA2"/>
    <w:rsid w:val="0099613D"/>
    <w:rsid w:val="009B3BDE"/>
    <w:rsid w:val="009C307F"/>
    <w:rsid w:val="009D5FC6"/>
    <w:rsid w:val="00A2113E"/>
    <w:rsid w:val="00A23A51"/>
    <w:rsid w:val="00A24607"/>
    <w:rsid w:val="00A25CD3"/>
    <w:rsid w:val="00A35947"/>
    <w:rsid w:val="00A52424"/>
    <w:rsid w:val="00A6207F"/>
    <w:rsid w:val="00A82767"/>
    <w:rsid w:val="00A845E9"/>
    <w:rsid w:val="00A86FA4"/>
    <w:rsid w:val="00A9626E"/>
    <w:rsid w:val="00AA13DA"/>
    <w:rsid w:val="00AA332F"/>
    <w:rsid w:val="00AA7BBB"/>
    <w:rsid w:val="00AB2F06"/>
    <w:rsid w:val="00AB6013"/>
    <w:rsid w:val="00AB64A8"/>
    <w:rsid w:val="00AC0266"/>
    <w:rsid w:val="00AC78F7"/>
    <w:rsid w:val="00AD0686"/>
    <w:rsid w:val="00AD24EC"/>
    <w:rsid w:val="00AD4F17"/>
    <w:rsid w:val="00AE0E98"/>
    <w:rsid w:val="00AE199F"/>
    <w:rsid w:val="00B044FE"/>
    <w:rsid w:val="00B25012"/>
    <w:rsid w:val="00B309F9"/>
    <w:rsid w:val="00B30A4F"/>
    <w:rsid w:val="00B32A34"/>
    <w:rsid w:val="00B32B60"/>
    <w:rsid w:val="00B35C5F"/>
    <w:rsid w:val="00B4063D"/>
    <w:rsid w:val="00B51173"/>
    <w:rsid w:val="00B54A83"/>
    <w:rsid w:val="00B56CBF"/>
    <w:rsid w:val="00B57C99"/>
    <w:rsid w:val="00B61619"/>
    <w:rsid w:val="00B74BBD"/>
    <w:rsid w:val="00B84194"/>
    <w:rsid w:val="00BB4545"/>
    <w:rsid w:val="00BD0AE4"/>
    <w:rsid w:val="00BD4AC0"/>
    <w:rsid w:val="00BD5873"/>
    <w:rsid w:val="00BF005D"/>
    <w:rsid w:val="00C04BE3"/>
    <w:rsid w:val="00C25D29"/>
    <w:rsid w:val="00C27A7C"/>
    <w:rsid w:val="00C65AF2"/>
    <w:rsid w:val="00C87A3E"/>
    <w:rsid w:val="00C93610"/>
    <w:rsid w:val="00CA08ED"/>
    <w:rsid w:val="00CA0B81"/>
    <w:rsid w:val="00CF183B"/>
    <w:rsid w:val="00CF4042"/>
    <w:rsid w:val="00D0636B"/>
    <w:rsid w:val="00D06D06"/>
    <w:rsid w:val="00D375CD"/>
    <w:rsid w:val="00D44E7C"/>
    <w:rsid w:val="00D553A2"/>
    <w:rsid w:val="00D755A8"/>
    <w:rsid w:val="00D774D3"/>
    <w:rsid w:val="00D837AA"/>
    <w:rsid w:val="00D904E8"/>
    <w:rsid w:val="00DA08C3"/>
    <w:rsid w:val="00DB5A3E"/>
    <w:rsid w:val="00DC22AA"/>
    <w:rsid w:val="00DC6FB3"/>
    <w:rsid w:val="00DF3585"/>
    <w:rsid w:val="00DF74DD"/>
    <w:rsid w:val="00E049A6"/>
    <w:rsid w:val="00E232A1"/>
    <w:rsid w:val="00E25AD0"/>
    <w:rsid w:val="00E61555"/>
    <w:rsid w:val="00E66390"/>
    <w:rsid w:val="00EB07BA"/>
    <w:rsid w:val="00EB3B39"/>
    <w:rsid w:val="00EB6350"/>
    <w:rsid w:val="00EC55D2"/>
    <w:rsid w:val="00EF37AA"/>
    <w:rsid w:val="00F06D00"/>
    <w:rsid w:val="00F15B57"/>
    <w:rsid w:val="00F16FFB"/>
    <w:rsid w:val="00F2640A"/>
    <w:rsid w:val="00F26BEF"/>
    <w:rsid w:val="00F427DB"/>
    <w:rsid w:val="00F50F90"/>
    <w:rsid w:val="00F54A81"/>
    <w:rsid w:val="00F57DC0"/>
    <w:rsid w:val="00F776D7"/>
    <w:rsid w:val="00FA5EB1"/>
    <w:rsid w:val="00FA7439"/>
    <w:rsid w:val="00FC4EC0"/>
    <w:rsid w:val="00FD12B9"/>
    <w:rsid w:val="00FD5BDF"/>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D2DD29B"/>
  <w15:docId w15:val="{5C7AAE53-B91A-4607-BCD6-C29D848F6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link w:val="Heading2Char"/>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ing2Char">
    <w:name w:val="Heading 2 Char"/>
    <w:basedOn w:val="DefaultParagraphFont"/>
    <w:link w:val="Heading2"/>
    <w:rsid w:val="00180439"/>
    <w:rPr>
      <w:rFonts w:ascii="Calibri" w:hAnsi="Calibri"/>
      <w:b/>
      <w:sz w:val="24"/>
      <w:lang w:val="fr-FR" w:eastAsia="en-US"/>
    </w:rPr>
  </w:style>
  <w:style w:type="character" w:customStyle="1" w:styleId="Artdef">
    <w:name w:val="Art_def"/>
    <w:rsid w:val="00467927"/>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964002">
      <w:bodyDiv w:val="1"/>
      <w:marLeft w:val="0"/>
      <w:marRight w:val="0"/>
      <w:marTop w:val="0"/>
      <w:marBottom w:val="0"/>
      <w:divBdr>
        <w:top w:val="none" w:sz="0" w:space="0" w:color="auto"/>
        <w:left w:val="none" w:sz="0" w:space="0" w:color="auto"/>
        <w:bottom w:val="none" w:sz="0" w:space="0" w:color="auto"/>
        <w:right w:val="none" w:sz="0" w:space="0" w:color="auto"/>
      </w:divBdr>
    </w:div>
    <w:div w:id="928343107">
      <w:bodyDiv w:val="1"/>
      <w:marLeft w:val="0"/>
      <w:marRight w:val="0"/>
      <w:marTop w:val="0"/>
      <w:marBottom w:val="0"/>
      <w:divBdr>
        <w:top w:val="none" w:sz="0" w:space="0" w:color="auto"/>
        <w:left w:val="none" w:sz="0" w:space="0" w:color="auto"/>
        <w:bottom w:val="none" w:sz="0" w:space="0" w:color="auto"/>
        <w:right w:val="none" w:sz="0" w:space="0" w:color="auto"/>
      </w:divBdr>
    </w:div>
    <w:div w:id="103916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2303</Words>
  <Characters>14261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16531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Margaret</dc:creator>
  <cp:keywords/>
  <dc:description/>
  <cp:lastModifiedBy>French</cp:lastModifiedBy>
  <cp:revision>12</cp:revision>
  <cp:lastPrinted>2000-07-18T08:55:00Z</cp:lastPrinted>
  <dcterms:created xsi:type="dcterms:W3CDTF">2020-09-09T10:32:00Z</dcterms:created>
  <dcterms:modified xsi:type="dcterms:W3CDTF">2020-09-09T12:31:00Z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