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B95B53" w14:paraId="14462BE0" w14:textId="77777777">
        <w:trPr>
          <w:cantSplit/>
        </w:trPr>
        <w:tc>
          <w:tcPr>
            <w:tcW w:w="6912" w:type="dxa"/>
          </w:tcPr>
          <w:p w14:paraId="36019BC9" w14:textId="77777777" w:rsidR="00093EEB" w:rsidRPr="00B95B53" w:rsidRDefault="00D92832" w:rsidP="00D92832">
            <w:pPr>
              <w:spacing w:before="240"/>
              <w:rPr>
                <w:szCs w:val="24"/>
                <w:lang w:val="es-ES_tradnl"/>
              </w:rPr>
            </w:pPr>
            <w:bookmarkStart w:id="0" w:name="dbluepink" w:colFirst="0" w:colLast="0"/>
            <w:r w:rsidRPr="00B95B53">
              <w:rPr>
                <w:b/>
                <w:bCs/>
                <w:sz w:val="30"/>
                <w:szCs w:val="30"/>
                <w:lang w:val="es-ES_tradnl"/>
              </w:rPr>
              <w:t xml:space="preserve">Grupo de Expertos sobre el Reglamento de las </w:t>
            </w:r>
            <w:r w:rsidRPr="00B95B53">
              <w:rPr>
                <w:b/>
                <w:bCs/>
                <w:sz w:val="30"/>
                <w:szCs w:val="30"/>
                <w:lang w:val="es-ES_tradnl"/>
              </w:rPr>
              <w:br/>
              <w:t>Telecomunicaciones Internacionales (GE-</w:t>
            </w:r>
            <w:proofErr w:type="spellStart"/>
            <w:r w:rsidRPr="00B95B53">
              <w:rPr>
                <w:b/>
                <w:bCs/>
                <w:sz w:val="30"/>
                <w:szCs w:val="30"/>
                <w:lang w:val="es-ES_tradnl"/>
              </w:rPr>
              <w:t>RTI</w:t>
            </w:r>
            <w:proofErr w:type="spellEnd"/>
            <w:r w:rsidRPr="00B95B53">
              <w:rPr>
                <w:b/>
                <w:bCs/>
                <w:sz w:val="30"/>
                <w:szCs w:val="30"/>
                <w:lang w:val="es-ES_tradnl"/>
              </w:rPr>
              <w:t>)</w:t>
            </w:r>
          </w:p>
        </w:tc>
        <w:tc>
          <w:tcPr>
            <w:tcW w:w="3261" w:type="dxa"/>
          </w:tcPr>
          <w:p w14:paraId="76C23A5E" w14:textId="77777777" w:rsidR="00093EEB" w:rsidRPr="00B95B53" w:rsidRDefault="00012E27" w:rsidP="00C85B97">
            <w:pPr>
              <w:spacing w:before="0"/>
              <w:rPr>
                <w:szCs w:val="24"/>
                <w:lang w:val="es-ES_tradnl"/>
              </w:rPr>
            </w:pPr>
            <w:bookmarkStart w:id="1" w:name="ditulogo"/>
            <w:bookmarkEnd w:id="1"/>
            <w:r w:rsidRPr="00B95B53">
              <w:rPr>
                <w:noProof/>
                <w:lang w:val="es-ES_tradnl"/>
              </w:rPr>
              <w:drawing>
                <wp:inline distT="0" distB="0" distL="0" distR="0" wp14:anchorId="38065009" wp14:editId="65393612">
                  <wp:extent cx="609600" cy="643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280" cy="664048"/>
                          </a:xfrm>
                          <a:prstGeom prst="rect">
                            <a:avLst/>
                          </a:prstGeom>
                        </pic:spPr>
                      </pic:pic>
                    </a:graphicData>
                  </a:graphic>
                </wp:inline>
              </w:drawing>
            </w:r>
          </w:p>
        </w:tc>
      </w:tr>
      <w:tr w:rsidR="009D0C5D" w:rsidRPr="00B95B53" w14:paraId="28CDDE24" w14:textId="77777777">
        <w:trPr>
          <w:cantSplit/>
          <w:trHeight w:val="20"/>
        </w:trPr>
        <w:tc>
          <w:tcPr>
            <w:tcW w:w="10173" w:type="dxa"/>
            <w:gridSpan w:val="2"/>
            <w:tcBorders>
              <w:bottom w:val="single" w:sz="12" w:space="0" w:color="auto"/>
            </w:tcBorders>
          </w:tcPr>
          <w:p w14:paraId="630DF070" w14:textId="77777777" w:rsidR="009D0C5D" w:rsidRPr="00B95B53" w:rsidRDefault="009D0C5D" w:rsidP="009D0C5D">
            <w:pPr>
              <w:spacing w:before="0"/>
              <w:rPr>
                <w:b/>
                <w:bCs/>
                <w:szCs w:val="24"/>
                <w:lang w:val="es-ES_tradnl"/>
              </w:rPr>
            </w:pPr>
            <w:r w:rsidRPr="00B95B53">
              <w:rPr>
                <w:b/>
                <w:color w:val="000000"/>
                <w:szCs w:val="24"/>
                <w:lang w:val="es-ES_tradnl"/>
              </w:rPr>
              <w:t xml:space="preserve">Tercera reunión </w:t>
            </w:r>
            <w:r w:rsidRPr="00B95B53">
              <w:rPr>
                <w:b/>
                <w:bCs/>
                <w:lang w:val="es-ES_tradnl"/>
              </w:rPr>
              <w:t>– Reunión virtual, 17-18 de septiembre de 2020</w:t>
            </w:r>
          </w:p>
        </w:tc>
      </w:tr>
      <w:tr w:rsidR="00093EEB" w:rsidRPr="00B95B53" w14:paraId="47255FAA" w14:textId="77777777">
        <w:trPr>
          <w:cantSplit/>
          <w:trHeight w:val="20"/>
        </w:trPr>
        <w:tc>
          <w:tcPr>
            <w:tcW w:w="6912" w:type="dxa"/>
            <w:tcBorders>
              <w:top w:val="single" w:sz="12" w:space="0" w:color="auto"/>
            </w:tcBorders>
          </w:tcPr>
          <w:p w14:paraId="7CCFE2AA" w14:textId="77777777" w:rsidR="00093EEB" w:rsidRPr="00B95B53" w:rsidRDefault="00093EEB">
            <w:pPr>
              <w:tabs>
                <w:tab w:val="clear" w:pos="2268"/>
                <w:tab w:val="left" w:pos="1560"/>
                <w:tab w:val="left" w:pos="2269"/>
                <w:tab w:val="left" w:pos="3544"/>
                <w:tab w:val="left" w:pos="3969"/>
              </w:tabs>
              <w:spacing w:before="0" w:line="240" w:lineRule="atLeast"/>
              <w:rPr>
                <w:b/>
                <w:smallCaps/>
                <w:szCs w:val="24"/>
                <w:lang w:val="es-ES_tradnl"/>
              </w:rPr>
            </w:pPr>
          </w:p>
        </w:tc>
        <w:tc>
          <w:tcPr>
            <w:tcW w:w="3261" w:type="dxa"/>
            <w:tcBorders>
              <w:top w:val="single" w:sz="12" w:space="0" w:color="auto"/>
            </w:tcBorders>
          </w:tcPr>
          <w:p w14:paraId="4E37A0EC" w14:textId="77777777" w:rsidR="00093EEB" w:rsidRPr="00B95B53" w:rsidRDefault="00093EEB">
            <w:pPr>
              <w:spacing w:before="0"/>
              <w:rPr>
                <w:b/>
                <w:bCs/>
                <w:szCs w:val="24"/>
                <w:lang w:val="es-ES_tradnl"/>
              </w:rPr>
            </w:pPr>
          </w:p>
        </w:tc>
      </w:tr>
      <w:tr w:rsidR="00093EEB" w:rsidRPr="00B95B53" w14:paraId="5CAD9F72" w14:textId="77777777">
        <w:trPr>
          <w:cantSplit/>
          <w:trHeight w:val="20"/>
        </w:trPr>
        <w:tc>
          <w:tcPr>
            <w:tcW w:w="6912" w:type="dxa"/>
            <w:shd w:val="clear" w:color="auto" w:fill="auto"/>
          </w:tcPr>
          <w:p w14:paraId="7FD3E61A" w14:textId="77777777" w:rsidR="00093EEB" w:rsidRPr="00B95B53" w:rsidRDefault="00093EEB">
            <w:pPr>
              <w:tabs>
                <w:tab w:val="clear" w:pos="2268"/>
                <w:tab w:val="left" w:pos="1560"/>
                <w:tab w:val="left" w:pos="2269"/>
                <w:tab w:val="left" w:pos="3544"/>
                <w:tab w:val="left" w:pos="3969"/>
              </w:tabs>
              <w:spacing w:before="0" w:line="240" w:lineRule="atLeast"/>
              <w:rPr>
                <w:rFonts w:cs="Times"/>
                <w:b/>
                <w:szCs w:val="24"/>
                <w:lang w:val="es-ES_tradnl"/>
              </w:rPr>
            </w:pPr>
            <w:bookmarkStart w:id="2" w:name="dnum" w:colFirst="1" w:colLast="1"/>
            <w:bookmarkStart w:id="3" w:name="dmeeting" w:colFirst="0" w:colLast="0"/>
          </w:p>
        </w:tc>
        <w:tc>
          <w:tcPr>
            <w:tcW w:w="3261" w:type="dxa"/>
          </w:tcPr>
          <w:p w14:paraId="7F2F827B" w14:textId="6FB7FF02" w:rsidR="00093EEB" w:rsidRPr="00B95B53" w:rsidRDefault="00093EEB" w:rsidP="001F60AD">
            <w:pPr>
              <w:spacing w:before="0"/>
              <w:rPr>
                <w:b/>
                <w:bCs/>
                <w:szCs w:val="24"/>
                <w:lang w:val="es-ES_tradnl"/>
              </w:rPr>
            </w:pPr>
            <w:r w:rsidRPr="00B95B53">
              <w:rPr>
                <w:b/>
                <w:bCs/>
                <w:szCs w:val="24"/>
                <w:lang w:val="es-ES_tradnl"/>
              </w:rPr>
              <w:t xml:space="preserve">Documento </w:t>
            </w:r>
            <w:proofErr w:type="spellStart"/>
            <w:r w:rsidRPr="00B95B53">
              <w:rPr>
                <w:rFonts w:asciiTheme="minorHAnsi" w:hAnsiTheme="minorHAnsi"/>
                <w:b/>
                <w:lang w:val="es-ES_tradnl"/>
              </w:rPr>
              <w:t>EG</w:t>
            </w:r>
            <w:proofErr w:type="spellEnd"/>
            <w:r w:rsidRPr="00B95B53">
              <w:rPr>
                <w:rFonts w:asciiTheme="minorHAnsi" w:hAnsiTheme="minorHAnsi"/>
                <w:b/>
                <w:lang w:val="es-ES_tradnl"/>
              </w:rPr>
              <w:t>-</w:t>
            </w:r>
            <w:proofErr w:type="spellStart"/>
            <w:r w:rsidRPr="00B95B53">
              <w:rPr>
                <w:rFonts w:asciiTheme="minorHAnsi" w:hAnsiTheme="minorHAnsi"/>
                <w:b/>
                <w:lang w:val="es-ES_tradnl"/>
              </w:rPr>
              <w:t>ITRs</w:t>
            </w:r>
            <w:proofErr w:type="spellEnd"/>
            <w:r w:rsidRPr="00B95B53">
              <w:rPr>
                <w:rFonts w:asciiTheme="minorHAnsi" w:hAnsiTheme="minorHAnsi"/>
                <w:b/>
                <w:lang w:val="es-ES_tradnl"/>
              </w:rPr>
              <w:t>-3/9-S</w:t>
            </w:r>
          </w:p>
        </w:tc>
      </w:tr>
      <w:tr w:rsidR="00093EEB" w:rsidRPr="00B95B53" w14:paraId="7752D05F" w14:textId="77777777">
        <w:trPr>
          <w:cantSplit/>
          <w:trHeight w:val="20"/>
        </w:trPr>
        <w:tc>
          <w:tcPr>
            <w:tcW w:w="6912" w:type="dxa"/>
            <w:shd w:val="clear" w:color="auto" w:fill="auto"/>
          </w:tcPr>
          <w:p w14:paraId="0BCAAE83" w14:textId="77777777" w:rsidR="00093EEB" w:rsidRPr="00B95B53" w:rsidRDefault="00093EEB">
            <w:pPr>
              <w:shd w:val="solid" w:color="FFFFFF" w:fill="FFFFFF"/>
              <w:spacing w:before="0"/>
              <w:rPr>
                <w:smallCaps/>
                <w:szCs w:val="24"/>
                <w:lang w:val="es-ES_tradnl"/>
              </w:rPr>
            </w:pPr>
            <w:bookmarkStart w:id="4" w:name="ddate" w:colFirst="1" w:colLast="1"/>
            <w:bookmarkEnd w:id="2"/>
            <w:bookmarkEnd w:id="3"/>
          </w:p>
        </w:tc>
        <w:tc>
          <w:tcPr>
            <w:tcW w:w="3261" w:type="dxa"/>
          </w:tcPr>
          <w:p w14:paraId="79957FC0" w14:textId="40A66022" w:rsidR="00093EEB" w:rsidRPr="00B95B53" w:rsidRDefault="00B71047" w:rsidP="001F60AD">
            <w:pPr>
              <w:spacing w:before="0"/>
              <w:rPr>
                <w:b/>
                <w:bCs/>
                <w:szCs w:val="24"/>
                <w:lang w:val="es-ES_tradnl"/>
              </w:rPr>
            </w:pPr>
            <w:r w:rsidRPr="00B95B53">
              <w:rPr>
                <w:b/>
                <w:bCs/>
                <w:szCs w:val="24"/>
                <w:lang w:val="es-ES_tradnl"/>
              </w:rPr>
              <w:t>3 de septiembre de 2020</w:t>
            </w:r>
          </w:p>
        </w:tc>
      </w:tr>
      <w:tr w:rsidR="00093EEB" w:rsidRPr="00B95B53" w14:paraId="1668EF9F" w14:textId="77777777">
        <w:trPr>
          <w:cantSplit/>
          <w:trHeight w:val="20"/>
        </w:trPr>
        <w:tc>
          <w:tcPr>
            <w:tcW w:w="6912" w:type="dxa"/>
            <w:shd w:val="clear" w:color="auto" w:fill="auto"/>
          </w:tcPr>
          <w:p w14:paraId="3F10D4CF" w14:textId="77777777" w:rsidR="00093EEB" w:rsidRPr="00B95B53" w:rsidRDefault="00093EEB">
            <w:pPr>
              <w:shd w:val="solid" w:color="FFFFFF" w:fill="FFFFFF"/>
              <w:spacing w:before="0"/>
              <w:rPr>
                <w:smallCaps/>
                <w:szCs w:val="24"/>
                <w:lang w:val="es-ES_tradnl"/>
              </w:rPr>
            </w:pPr>
            <w:bookmarkStart w:id="5" w:name="dorlang" w:colFirst="1" w:colLast="1"/>
            <w:bookmarkEnd w:id="4"/>
          </w:p>
        </w:tc>
        <w:tc>
          <w:tcPr>
            <w:tcW w:w="3261" w:type="dxa"/>
          </w:tcPr>
          <w:p w14:paraId="03C0CC44" w14:textId="77777777" w:rsidR="00093EEB" w:rsidRPr="00B95B53" w:rsidRDefault="00093EEB" w:rsidP="00093EEB">
            <w:pPr>
              <w:spacing w:before="0"/>
              <w:rPr>
                <w:b/>
                <w:bCs/>
                <w:szCs w:val="24"/>
                <w:lang w:val="es-ES_tradnl"/>
              </w:rPr>
            </w:pPr>
            <w:r w:rsidRPr="00B95B53">
              <w:rPr>
                <w:b/>
                <w:bCs/>
                <w:szCs w:val="24"/>
                <w:lang w:val="es-ES_tradnl"/>
              </w:rPr>
              <w:t>Original: inglés</w:t>
            </w:r>
          </w:p>
        </w:tc>
      </w:tr>
      <w:tr w:rsidR="00093EEB" w:rsidRPr="00B95B53" w14:paraId="48F03D27" w14:textId="77777777">
        <w:trPr>
          <w:cantSplit/>
        </w:trPr>
        <w:tc>
          <w:tcPr>
            <w:tcW w:w="10173" w:type="dxa"/>
            <w:gridSpan w:val="2"/>
          </w:tcPr>
          <w:p w14:paraId="52BD72F7" w14:textId="26033530" w:rsidR="00093EEB" w:rsidRPr="00B95B53" w:rsidRDefault="00B71047">
            <w:pPr>
              <w:pStyle w:val="Source"/>
              <w:rPr>
                <w:lang w:val="es-ES_tradnl"/>
              </w:rPr>
            </w:pPr>
            <w:bookmarkStart w:id="6" w:name="dsource" w:colFirst="0" w:colLast="0"/>
            <w:bookmarkEnd w:id="0"/>
            <w:bookmarkEnd w:id="5"/>
            <w:r w:rsidRPr="00B95B53">
              <w:rPr>
                <w:lang w:val="es-ES_tradnl"/>
              </w:rPr>
              <w:t>Reino Unido de Gran Bretaña e Irlanda del Norte</w:t>
            </w:r>
          </w:p>
        </w:tc>
      </w:tr>
      <w:tr w:rsidR="00093EEB" w:rsidRPr="00B95B53" w14:paraId="5F0609B4" w14:textId="77777777">
        <w:trPr>
          <w:cantSplit/>
        </w:trPr>
        <w:tc>
          <w:tcPr>
            <w:tcW w:w="10173" w:type="dxa"/>
            <w:gridSpan w:val="2"/>
          </w:tcPr>
          <w:p w14:paraId="4366EFB0" w14:textId="03BB5F59" w:rsidR="00093EEB" w:rsidRPr="00B95B53" w:rsidRDefault="00B71047">
            <w:pPr>
              <w:pStyle w:val="Title1"/>
              <w:rPr>
                <w:lang w:val="es-ES_tradnl"/>
              </w:rPr>
            </w:pPr>
            <w:bookmarkStart w:id="7" w:name="dtitle1" w:colFirst="0" w:colLast="0"/>
            <w:bookmarkEnd w:id="6"/>
            <w:r w:rsidRPr="00B95B53">
              <w:rPr>
                <w:lang w:val="es-ES_tradnl"/>
              </w:rPr>
              <w:t xml:space="preserve">EXAMEN DEL </w:t>
            </w:r>
            <w:proofErr w:type="spellStart"/>
            <w:r w:rsidRPr="00B95B53">
              <w:rPr>
                <w:lang w:val="es-ES_tradnl"/>
              </w:rPr>
              <w:t>RTI</w:t>
            </w:r>
            <w:proofErr w:type="spellEnd"/>
            <w:r w:rsidRPr="00B95B53">
              <w:rPr>
                <w:lang w:val="es-ES_tradnl"/>
              </w:rPr>
              <w:t xml:space="preserve"> DISPOSICIÓN POR DISPOSICIÓN</w:t>
            </w:r>
          </w:p>
        </w:tc>
      </w:tr>
    </w:tbl>
    <w:bookmarkEnd w:id="7"/>
    <w:p w14:paraId="05AF2545" w14:textId="300E9D60" w:rsidR="00726872" w:rsidRPr="00B95B53" w:rsidRDefault="00B71047" w:rsidP="00B71047">
      <w:pPr>
        <w:pStyle w:val="Normalaftertitle"/>
        <w:rPr>
          <w:lang w:val="es-ES_tradnl"/>
        </w:rPr>
      </w:pPr>
      <w:r w:rsidRPr="00B95B53">
        <w:rPr>
          <w:lang w:val="es-ES_tradnl"/>
        </w:rPr>
        <w:t xml:space="preserve">El Reino Unido se complace en presentar esta contribución a la tercera reunión del Grupo de Expertos sobre el </w:t>
      </w:r>
      <w:proofErr w:type="spellStart"/>
      <w:r w:rsidRPr="00B95B53">
        <w:rPr>
          <w:lang w:val="es-ES_tradnl"/>
        </w:rPr>
        <w:t>RTI</w:t>
      </w:r>
      <w:proofErr w:type="spellEnd"/>
      <w:r w:rsidRPr="00B95B53">
        <w:rPr>
          <w:lang w:val="es-ES_tradnl"/>
        </w:rPr>
        <w:t>. Agradecemos la invitación a presentar contribuciones para el examen del</w:t>
      </w:r>
      <w:r w:rsidR="005D4ED7" w:rsidRPr="00B95B53">
        <w:rPr>
          <w:lang w:val="es-ES_tradnl"/>
        </w:rPr>
        <w:t> </w:t>
      </w:r>
      <w:proofErr w:type="spellStart"/>
      <w:r w:rsidRPr="00B95B53">
        <w:rPr>
          <w:lang w:val="es-ES_tradnl"/>
        </w:rPr>
        <w:t>RTI</w:t>
      </w:r>
      <w:proofErr w:type="spellEnd"/>
      <w:r w:rsidRPr="00B95B53">
        <w:rPr>
          <w:lang w:val="es-ES_tradnl"/>
        </w:rPr>
        <w:t xml:space="preserve"> disposición por disposición, conforme al mandato del Grupo. La presente contribución abarca los </w:t>
      </w:r>
      <w:r w:rsidR="00B95B53">
        <w:rPr>
          <w:lang w:val="es-ES_tradnl"/>
        </w:rPr>
        <w:t>A</w:t>
      </w:r>
      <w:r w:rsidRPr="00B95B53">
        <w:rPr>
          <w:lang w:val="es-ES_tradnl"/>
        </w:rPr>
        <w:t xml:space="preserve">rtículos 5 a 8 del </w:t>
      </w:r>
      <w:proofErr w:type="spellStart"/>
      <w:r w:rsidRPr="00B95B53">
        <w:rPr>
          <w:lang w:val="es-ES_tradnl"/>
        </w:rPr>
        <w:t>RTI</w:t>
      </w:r>
      <w:proofErr w:type="spellEnd"/>
      <w:r w:rsidRPr="00B95B53">
        <w:rPr>
          <w:lang w:val="es-ES_tradnl"/>
        </w:rPr>
        <w:t xml:space="preserve">, no abarca el Apéndice 1 para evitar duplicaciones, dado que nuestras opiniones sobre el Apéndice 1 ya se reflejan en el análisis de las disposiciones del </w:t>
      </w:r>
      <w:proofErr w:type="spellStart"/>
      <w:r w:rsidRPr="00B95B53">
        <w:rPr>
          <w:lang w:val="es-ES_tradnl"/>
        </w:rPr>
        <w:t>RTI</w:t>
      </w:r>
      <w:proofErr w:type="spellEnd"/>
      <w:r w:rsidRPr="00B95B53">
        <w:rPr>
          <w:lang w:val="es-ES_tradnl"/>
        </w:rPr>
        <w:t>. Esperamos tratar este Cuadro en la tercera reunión del Grupo de Expertos.</w:t>
      </w:r>
    </w:p>
    <w:p w14:paraId="3AEFD09F" w14:textId="77777777" w:rsidR="005D4ED7" w:rsidRPr="00B95B53" w:rsidRDefault="005D4ED7" w:rsidP="005D4ED7">
      <w:pPr>
        <w:rPr>
          <w:lang w:val="es-ES_tradnl"/>
        </w:rPr>
      </w:pPr>
    </w:p>
    <w:p w14:paraId="6C2E2391" w14:textId="77777777" w:rsidR="00B71047" w:rsidRPr="00B95B53" w:rsidRDefault="00B71047" w:rsidP="00B71047">
      <w:pPr>
        <w:rPr>
          <w:lang w:val="es-ES_tradnl"/>
        </w:rPr>
      </w:pPr>
    </w:p>
    <w:p w14:paraId="0B2D49F2" w14:textId="77777777" w:rsidR="00B71047" w:rsidRPr="00B95B53" w:rsidRDefault="00B71047" w:rsidP="00B71047">
      <w:pPr>
        <w:rPr>
          <w:lang w:val="es-ES_tradnl"/>
        </w:rPr>
        <w:sectPr w:rsidR="00B71047" w:rsidRPr="00B95B53"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pPr>
    </w:p>
    <w:tbl>
      <w:tblPr>
        <w:tblW w:w="15653" w:type="dxa"/>
        <w:jc w:val="center"/>
        <w:tblBorders>
          <w:top w:val="nil"/>
          <w:left w:val="nil"/>
          <w:bottom w:val="nil"/>
          <w:right w:val="nil"/>
          <w:insideH w:val="nil"/>
          <w:insideV w:val="nil"/>
        </w:tblBorders>
        <w:tblLayout w:type="fixed"/>
        <w:tblLook w:val="0600" w:firstRow="0" w:lastRow="0" w:firstColumn="0" w:lastColumn="0" w:noHBand="1" w:noVBand="1"/>
      </w:tblPr>
      <w:tblGrid>
        <w:gridCol w:w="886"/>
        <w:gridCol w:w="3444"/>
        <w:gridCol w:w="3541"/>
        <w:gridCol w:w="3080"/>
        <w:gridCol w:w="3219"/>
        <w:gridCol w:w="1483"/>
      </w:tblGrid>
      <w:tr w:rsidR="00B71047" w:rsidRPr="00B95B53" w14:paraId="0A7FD91F" w14:textId="77777777" w:rsidTr="000901D3">
        <w:trPr>
          <w:tblHeade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center"/>
          </w:tcPr>
          <w:p w14:paraId="24EE31B4" w14:textId="749CF74B" w:rsidR="00B71047" w:rsidRPr="00AD5A14" w:rsidRDefault="00B71047" w:rsidP="00AD5A14">
            <w:pPr>
              <w:pStyle w:val="Tablehead"/>
            </w:pPr>
            <w:r w:rsidRPr="00AD5A14">
              <w:lastRenderedPageBreak/>
              <w:t>Artículo de 2012</w:t>
            </w:r>
          </w:p>
        </w:tc>
        <w:tc>
          <w:tcPr>
            <w:tcW w:w="3444"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450EC2C9" w14:textId="0B0049A0" w:rsidR="00B71047" w:rsidRPr="00AD5A14" w:rsidRDefault="00B71047" w:rsidP="00AD5A14">
            <w:pPr>
              <w:pStyle w:val="Tablehead"/>
            </w:pPr>
            <w:r w:rsidRPr="00AD5A14">
              <w:t>Párrafo y disposición</w:t>
            </w:r>
          </w:p>
        </w:tc>
        <w:tc>
          <w:tcPr>
            <w:tcW w:w="3541"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62536EF6" w14:textId="6FDB5196" w:rsidR="00B71047" w:rsidRPr="00AD5A14" w:rsidRDefault="00B71047" w:rsidP="00AD5A14">
            <w:pPr>
              <w:pStyle w:val="Tablehead"/>
            </w:pPr>
            <w:r w:rsidRPr="00AD5A14">
              <w:t xml:space="preserve">Párrafo y disposición </w:t>
            </w:r>
            <w:r w:rsidRPr="00AD5A14">
              <w:br/>
              <w:t>conexos de 1988</w:t>
            </w:r>
          </w:p>
        </w:tc>
        <w:tc>
          <w:tcPr>
            <w:tcW w:w="3080"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35D4BA52" w14:textId="228B3002" w:rsidR="00B71047" w:rsidRPr="00AD5A14" w:rsidRDefault="00B71047" w:rsidP="00AD5A14">
            <w:pPr>
              <w:pStyle w:val="Tablehead"/>
            </w:pPr>
            <w:r w:rsidRPr="00AD5A14">
              <w:t xml:space="preserve">Aplicabilidad para fomentar </w:t>
            </w:r>
            <w:r w:rsidRPr="00AD5A14">
              <w:br/>
              <w:t>la prestación y el desarrollo de redes y servicios</w:t>
            </w:r>
          </w:p>
        </w:tc>
        <w:tc>
          <w:tcPr>
            <w:tcW w:w="3219"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3CFCA54B" w14:textId="40445167" w:rsidR="00B71047" w:rsidRPr="00AD5A14" w:rsidRDefault="00B71047" w:rsidP="00AD5A14">
            <w:pPr>
              <w:pStyle w:val="Tablehead"/>
            </w:pPr>
            <w:r w:rsidRPr="00AD5A14">
              <w:t>Flexibilidad para adaptarse a las nuevas tendencias y a los problemas emergentes</w:t>
            </w:r>
          </w:p>
        </w:tc>
        <w:tc>
          <w:tcPr>
            <w:tcW w:w="1483"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435E0F5A" w14:textId="5C1F2D52" w:rsidR="00B71047" w:rsidRPr="00AD5A14" w:rsidRDefault="00B71047" w:rsidP="00AD5A14">
            <w:pPr>
              <w:pStyle w:val="Tablehead"/>
            </w:pPr>
            <w:r w:rsidRPr="00AD5A14">
              <w:t>Resultado resumido</w:t>
            </w:r>
          </w:p>
        </w:tc>
      </w:tr>
      <w:tr w:rsidR="00B71047" w:rsidRPr="00B95B53" w14:paraId="696A504E"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9438A" w14:textId="77777777" w:rsidR="00B71047" w:rsidRPr="00B95B53" w:rsidRDefault="00B71047" w:rsidP="007631C0">
            <w:pPr>
              <w:pStyle w:val="Tabletext"/>
              <w:rPr>
                <w:lang w:val="es-ES_tradnl"/>
              </w:rPr>
            </w:pP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B5D74" w14:textId="60841024" w:rsidR="00B71047" w:rsidRPr="00B95B53" w:rsidRDefault="00B71047" w:rsidP="007631C0">
            <w:pPr>
              <w:pStyle w:val="Tabletext"/>
              <w:rPr>
                <w:b/>
                <w:bCs/>
                <w:lang w:val="es-ES_tradnl"/>
              </w:rPr>
            </w:pPr>
            <w:r w:rsidRPr="00B95B53">
              <w:rPr>
                <w:b/>
                <w:bCs/>
                <w:lang w:val="es-ES_tradnl"/>
              </w:rPr>
              <w:t xml:space="preserve">Seguridad de la vida humana </w:t>
            </w:r>
            <w:r w:rsidR="00B95B53">
              <w:rPr>
                <w:b/>
                <w:bCs/>
                <w:lang w:val="es-ES_tradnl"/>
              </w:rPr>
              <w:br/>
            </w:r>
            <w:r w:rsidRPr="00B95B53">
              <w:rPr>
                <w:b/>
                <w:bCs/>
                <w:lang w:val="es-ES_tradnl"/>
              </w:rPr>
              <w:t>y prioridad</w:t>
            </w:r>
            <w:r w:rsidR="00B95B53">
              <w:rPr>
                <w:b/>
                <w:bCs/>
                <w:lang w:val="es-ES_tradnl"/>
              </w:rPr>
              <w:t xml:space="preserve"> </w:t>
            </w:r>
            <w:r w:rsidRPr="00B95B53">
              <w:rPr>
                <w:b/>
                <w:bCs/>
                <w:lang w:val="es-ES_tradnl"/>
              </w:rPr>
              <w:t>de las telecomunicaciones</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1626C0" w14:textId="206C6EB7" w:rsidR="00B71047" w:rsidRPr="00B95B53" w:rsidRDefault="00CB04CA" w:rsidP="007631C0">
            <w:pPr>
              <w:pStyle w:val="Tabletext"/>
              <w:rPr>
                <w:b/>
                <w:bCs/>
                <w:lang w:val="es-ES_tradnl"/>
              </w:rPr>
            </w:pPr>
            <w:r w:rsidRPr="00B95B53">
              <w:rPr>
                <w:b/>
                <w:bCs/>
                <w:lang w:val="es-ES_tradnl"/>
              </w:rPr>
              <w:t xml:space="preserve">Artículo 5: Seguridad de la vida humana y prioridad </w:t>
            </w:r>
            <w:r w:rsidRPr="00B95B53">
              <w:rPr>
                <w:b/>
                <w:bCs/>
                <w:lang w:val="es-ES_tradnl"/>
              </w:rPr>
              <w:br/>
              <w:t xml:space="preserve">de las telecomunicaciones </w:t>
            </w: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D97CA6" w14:textId="77777777" w:rsidR="00B71047" w:rsidRPr="00B95B53" w:rsidRDefault="00B71047" w:rsidP="007631C0">
            <w:pPr>
              <w:pStyle w:val="Tabletext"/>
              <w:rPr>
                <w:lang w:val="es-ES_tradnl"/>
              </w:rPr>
            </w:pPr>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D8FD188" w14:textId="77777777" w:rsidR="00B71047" w:rsidRPr="00B95B53" w:rsidRDefault="00B71047" w:rsidP="007631C0">
            <w:pPr>
              <w:pStyle w:val="Tabletext"/>
              <w:rPr>
                <w:lang w:val="es-ES_tradnl"/>
              </w:rPr>
            </w:pPr>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1663775" w14:textId="77777777" w:rsidR="00B71047" w:rsidRPr="00B95B53" w:rsidRDefault="00B71047" w:rsidP="007631C0">
            <w:pPr>
              <w:pStyle w:val="Tabletext"/>
              <w:rPr>
                <w:lang w:val="es-ES_tradnl"/>
              </w:rPr>
            </w:pPr>
          </w:p>
        </w:tc>
      </w:tr>
      <w:tr w:rsidR="00B71047" w:rsidRPr="00B95B53" w14:paraId="7AC67439"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7A125" w14:textId="77777777" w:rsidR="00B71047" w:rsidRPr="00B95B53" w:rsidRDefault="00B71047" w:rsidP="00B71047">
            <w:pPr>
              <w:pStyle w:val="Tabletext"/>
              <w:rPr>
                <w:lang w:val="es-ES_tradnl"/>
              </w:rPr>
            </w:pPr>
            <w:r w:rsidRPr="00B95B53">
              <w:rPr>
                <w:lang w:val="es-ES_tradnl"/>
              </w:rPr>
              <w:t>5.1</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DD5FF" w14:textId="0733EC1F" w:rsidR="00B71047" w:rsidRPr="00B95B53" w:rsidRDefault="00B71047" w:rsidP="00B71047">
            <w:pPr>
              <w:pStyle w:val="Tabletext"/>
              <w:rPr>
                <w:lang w:val="es-ES_tradnl"/>
              </w:rPr>
            </w:pPr>
            <w:r w:rsidRPr="00B95B53">
              <w:rPr>
                <w:lang w:val="es-ES_tradnl"/>
              </w:rPr>
              <w:t>Las telecomunicaciones relacionadas con la seguridad de la vida humana, como las telecomunicaciones de socorro, tendrán derecho absoluto a la transmisión y gozarán, en la medida en que sea técnicamente viable, de prioridad absoluta sobre todas las demás telecomunicaciones, conforme a los artículos pertinentes de la Constitución y el Convenio y teniendo debidamente en cuenta las Recomendaciones UIT-T pertinentes.</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9AB0AF6" w14:textId="766BD23B" w:rsidR="00B71047" w:rsidRPr="00B95B53" w:rsidRDefault="007631C0" w:rsidP="00B71047">
            <w:pPr>
              <w:pStyle w:val="Tabletext"/>
              <w:rPr>
                <w:lang w:val="es-ES_tradnl"/>
              </w:rPr>
            </w:pPr>
            <w:r w:rsidRPr="00B95B53">
              <w:rPr>
                <w:lang w:val="es-ES_tradnl"/>
              </w:rPr>
              <w:t>5.1</w:t>
            </w:r>
            <w:r w:rsidRPr="00B95B53">
              <w:rPr>
                <w:lang w:val="es-ES_tradnl"/>
              </w:rPr>
              <w:tab/>
              <w:t xml:space="preserve">Las telecomunicaciones relacionadas con la seguridad de la vida humana, como las telecomunicaciones de socorro, tendrán derecho absoluto a la transmisión y gozarán, en la medida en que sea técnicamente viable, de prioridad absoluta sobre todas las demás telecomunicaciones, conforme a los artículos pertinentes del Convenio y teniendo debidamente en cuenta las Recomendaciones pertinentes del </w:t>
            </w:r>
            <w:proofErr w:type="spellStart"/>
            <w:r w:rsidRPr="00B95B53">
              <w:rPr>
                <w:lang w:val="es-ES_tradnl"/>
              </w:rPr>
              <w:t>CCITT</w:t>
            </w:r>
            <w:proofErr w:type="spellEnd"/>
            <w:r w:rsidRPr="00B95B53">
              <w:rPr>
                <w:lang w:val="es-ES_tradnl"/>
              </w:rPr>
              <w:t>.</w:t>
            </w:r>
          </w:p>
        </w:tc>
        <w:tc>
          <w:tcPr>
            <w:tcW w:w="3080" w:type="dxa"/>
            <w:tcBorders>
              <w:top w:val="nil"/>
              <w:left w:val="nil"/>
              <w:bottom w:val="single" w:sz="8" w:space="0" w:color="000000"/>
              <w:right w:val="single" w:sz="8" w:space="0" w:color="000000"/>
            </w:tcBorders>
            <w:tcMar>
              <w:top w:w="56" w:type="dxa"/>
              <w:left w:w="56" w:type="dxa"/>
              <w:bottom w:w="56" w:type="dxa"/>
              <w:right w:w="56" w:type="dxa"/>
            </w:tcMar>
          </w:tcPr>
          <w:p w14:paraId="11D07502" w14:textId="456C1CA1" w:rsidR="00B71047" w:rsidRPr="00B95B53" w:rsidRDefault="00B71047" w:rsidP="00B71047">
            <w:pPr>
              <w:pStyle w:val="Tabletext"/>
              <w:rPr>
                <w:lang w:val="es-ES_tradnl"/>
              </w:rPr>
            </w:pPr>
            <w:bookmarkStart w:id="8" w:name="lt_pId032"/>
            <w:r w:rsidRPr="00B95B53">
              <w:rPr>
                <w:lang w:val="es-ES_tradnl"/>
              </w:rPr>
              <w:t>Es evidente que se trata de una cuestión de importancia crítica, pero no es directamente pertinente para fomentar la prestación y el desarrollo de redes y servicios.</w:t>
            </w:r>
            <w:bookmarkEnd w:id="8"/>
          </w:p>
          <w:p w14:paraId="3F379CDD" w14:textId="2845E46C" w:rsidR="00B71047" w:rsidRPr="00B95B53" w:rsidRDefault="00B71047" w:rsidP="00B71047">
            <w:pPr>
              <w:pStyle w:val="Tabletext"/>
              <w:rPr>
                <w:lang w:val="es-ES_tradnl"/>
              </w:rPr>
            </w:pPr>
            <w:bookmarkStart w:id="9" w:name="lt_pId033"/>
            <w:r w:rsidRPr="00B95B53">
              <w:rPr>
                <w:lang w:val="es-ES_tradnl"/>
              </w:rPr>
              <w:t xml:space="preserve">Además, ya está contemplado en el </w:t>
            </w:r>
            <w:r w:rsidR="00B95B53">
              <w:rPr>
                <w:lang w:val="es-ES_tradnl"/>
              </w:rPr>
              <w:t>A</w:t>
            </w:r>
            <w:r w:rsidRPr="00B95B53">
              <w:rPr>
                <w:lang w:val="es-ES_tradnl"/>
              </w:rPr>
              <w:t>rtículo 40 de la Constitución de la UIT.</w:t>
            </w:r>
            <w:bookmarkEnd w:id="9"/>
          </w:p>
        </w:tc>
        <w:tc>
          <w:tcPr>
            <w:tcW w:w="3219" w:type="dxa"/>
            <w:tcBorders>
              <w:top w:val="nil"/>
              <w:left w:val="nil"/>
              <w:bottom w:val="single" w:sz="8" w:space="0" w:color="000000"/>
              <w:right w:val="single" w:sz="8" w:space="0" w:color="000000"/>
            </w:tcBorders>
            <w:tcMar>
              <w:top w:w="56" w:type="dxa"/>
              <w:left w:w="56" w:type="dxa"/>
              <w:bottom w:w="56" w:type="dxa"/>
              <w:right w:w="56" w:type="dxa"/>
            </w:tcMar>
          </w:tcPr>
          <w:p w14:paraId="5FFA6D5C" w14:textId="6BDA3CDD" w:rsidR="00B71047" w:rsidRPr="00B95B53" w:rsidRDefault="00B71047" w:rsidP="00B71047">
            <w:pPr>
              <w:pStyle w:val="Tabletext"/>
              <w:rPr>
                <w:lang w:val="es-ES_tradnl"/>
              </w:rPr>
            </w:pPr>
            <w:bookmarkStart w:id="10" w:name="lt_pId034"/>
            <w:r w:rsidRPr="00B95B53">
              <w:rPr>
                <w:lang w:val="es-ES_tradnl"/>
              </w:rPr>
              <w:t xml:space="preserve">Existe el riesgo de que la referencia a </w:t>
            </w:r>
            <w:r w:rsidR="00993F77">
              <w:rPr>
                <w:lang w:val="es-ES_tradnl"/>
              </w:rPr>
              <w:t>R</w:t>
            </w:r>
            <w:r w:rsidRPr="00B95B53">
              <w:rPr>
                <w:lang w:val="es-ES_tradnl"/>
              </w:rPr>
              <w:t>ecomendaciones del</w:t>
            </w:r>
            <w:r w:rsidR="00B95B53">
              <w:rPr>
                <w:lang w:val="es-ES_tradnl"/>
              </w:rPr>
              <w:t> </w:t>
            </w:r>
            <w:r w:rsidRPr="00B95B53">
              <w:rPr>
                <w:lang w:val="es-ES_tradnl"/>
              </w:rPr>
              <w:t xml:space="preserve">UIT-T pueda parecer que califica la prioridad absoluta de las telecomunicaciones para la seguridad de la vida, dado que algunas </w:t>
            </w:r>
            <w:r w:rsidR="00993F77">
              <w:rPr>
                <w:lang w:val="es-ES_tradnl"/>
              </w:rPr>
              <w:t>R</w:t>
            </w:r>
            <w:r w:rsidRPr="00B95B53">
              <w:rPr>
                <w:lang w:val="es-ES_tradnl"/>
              </w:rPr>
              <w:t>ecomendaciones del</w:t>
            </w:r>
            <w:r w:rsidR="00B95B53">
              <w:rPr>
                <w:lang w:val="es-ES_tradnl"/>
              </w:rPr>
              <w:t> </w:t>
            </w:r>
            <w:r w:rsidRPr="00B95B53">
              <w:rPr>
                <w:lang w:val="es-ES_tradnl"/>
              </w:rPr>
              <w:t>UIT</w:t>
            </w:r>
            <w:r w:rsidR="00B95B53">
              <w:rPr>
                <w:lang w:val="es-ES_tradnl"/>
              </w:rPr>
              <w:noBreakHyphen/>
            </w:r>
            <w:r w:rsidRPr="00B95B53">
              <w:rPr>
                <w:lang w:val="es-ES_tradnl"/>
              </w:rPr>
              <w:t>T son redundantes.</w:t>
            </w:r>
            <w:bookmarkEnd w:id="10"/>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54247BA" w14:textId="77777777" w:rsidR="00B71047" w:rsidRPr="00B95B53" w:rsidRDefault="00B71047" w:rsidP="00B71047">
            <w:pPr>
              <w:pStyle w:val="Tabletext"/>
              <w:rPr>
                <w:lang w:val="es-ES_tradnl"/>
              </w:rPr>
            </w:pPr>
          </w:p>
        </w:tc>
      </w:tr>
      <w:tr w:rsidR="00B71047" w:rsidRPr="00B95B53" w14:paraId="3499272E"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9DC1" w14:textId="77777777" w:rsidR="00B71047" w:rsidRPr="00B95B53" w:rsidRDefault="00B71047" w:rsidP="00B71047">
            <w:pPr>
              <w:pStyle w:val="Tabletext"/>
              <w:rPr>
                <w:lang w:val="es-ES_tradnl"/>
              </w:rPr>
            </w:pPr>
            <w:r w:rsidRPr="00B95B53">
              <w:rPr>
                <w:lang w:val="es-ES_tradnl"/>
              </w:rPr>
              <w:t>5.2</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1B016" w14:textId="2B2A43AE" w:rsidR="00B71047" w:rsidRPr="00B95B53" w:rsidRDefault="00CB04CA" w:rsidP="00B71047">
            <w:pPr>
              <w:pStyle w:val="Tabletext"/>
              <w:rPr>
                <w:lang w:val="es-ES_tradnl"/>
              </w:rPr>
            </w:pPr>
            <w:r w:rsidRPr="00B95B53">
              <w:rPr>
                <w:lang w:val="es-ES_tradnl"/>
              </w:rPr>
              <w:t xml:space="preserve">Las telecomunicaciones de Estado, incluidas las relativas a la aplicación de ciertas disposiciones de la Carta de las Naciones Unidas, gozarán, en la medida en que sea técnicamente viable, de un derecho prioritario sobre las telecomunicaciones distintas de las mencionadas en el número 39 (5.1) </w:t>
            </w:r>
            <w:r w:rsidRPr="00B95B53">
              <w:rPr>
                <w:i/>
                <w:iCs/>
                <w:lang w:val="es-ES_tradnl"/>
              </w:rPr>
              <w:t>supra</w:t>
            </w:r>
            <w:r w:rsidRPr="00B95B53">
              <w:rPr>
                <w:lang w:val="es-ES_tradnl"/>
              </w:rPr>
              <w:t xml:space="preserve">, conforme a las disposiciones pertinentes de la </w:t>
            </w:r>
            <w:r w:rsidRPr="00B95B53">
              <w:rPr>
                <w:lang w:val="es-ES_tradnl"/>
              </w:rPr>
              <w:lastRenderedPageBreak/>
              <w:t>Constitución y el Convenio y teniendo debidamente en cuenta las Recomendaciones UIT-T pertinentes.</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90FD2D3" w14:textId="0E0CF6C9" w:rsidR="00B71047" w:rsidRPr="00B95B53" w:rsidRDefault="007631C0" w:rsidP="00B71047">
            <w:pPr>
              <w:pStyle w:val="Tabletext"/>
              <w:rPr>
                <w:lang w:val="es-ES_tradnl"/>
              </w:rPr>
            </w:pPr>
            <w:r w:rsidRPr="00B95B53">
              <w:rPr>
                <w:lang w:val="es-ES_tradnl"/>
              </w:rPr>
              <w:lastRenderedPageBreak/>
              <w:t>5.2</w:t>
            </w:r>
            <w:r w:rsidRPr="00B95B53">
              <w:rPr>
                <w:lang w:val="es-ES_tradnl"/>
              </w:rPr>
              <w:tab/>
              <w:t xml:space="preserve">Las telecomunicaciones de Estado, comprendidas las relativas a la aplicación de ciertas disposiciones de la Carta de las Naciones Unidas, gozarán, en la medida de lo posible, de un derecho prioritario sobre las telecomunicaciones distintas de las mencionadas en el número 39, conforme a las disposiciones pertinentes del Convenio y teniendo </w:t>
            </w:r>
            <w:r w:rsidRPr="00B95B53">
              <w:rPr>
                <w:lang w:val="es-ES_tradnl"/>
              </w:rPr>
              <w:lastRenderedPageBreak/>
              <w:t xml:space="preserve">debidamente en cuenta las Recomendaciones pertinentes del </w:t>
            </w:r>
            <w:proofErr w:type="spellStart"/>
            <w:r w:rsidRPr="00B95B53">
              <w:rPr>
                <w:lang w:val="es-ES_tradnl"/>
              </w:rPr>
              <w:t>CCITT</w:t>
            </w:r>
            <w:proofErr w:type="spellEnd"/>
            <w:r w:rsidRPr="00B95B53">
              <w:rPr>
                <w:lang w:val="es-ES_tradnl"/>
              </w:rPr>
              <w:t>.</w:t>
            </w: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17D3E1" w14:textId="12D09102" w:rsidR="00B71047" w:rsidRPr="00B95B53" w:rsidRDefault="00B71047" w:rsidP="00B71047">
            <w:pPr>
              <w:pStyle w:val="Tabletext"/>
              <w:rPr>
                <w:lang w:val="es-ES_tradnl"/>
              </w:rPr>
            </w:pPr>
            <w:bookmarkStart w:id="11" w:name="lt_pId040"/>
            <w:r w:rsidRPr="00B95B53">
              <w:rPr>
                <w:lang w:val="es-ES_tradnl"/>
              </w:rPr>
              <w:lastRenderedPageBreak/>
              <w:t>Esto no es pertinente para fomentar la prestación y el desarrollo de redes y servicios.</w:t>
            </w:r>
            <w:bookmarkEnd w:id="11"/>
            <w:r w:rsidRPr="00B95B53">
              <w:rPr>
                <w:lang w:val="es-ES_tradnl"/>
              </w:rPr>
              <w:t xml:space="preserve"> </w:t>
            </w:r>
            <w:bookmarkStart w:id="12" w:name="lt_pId041"/>
            <w:r w:rsidRPr="00B95B53">
              <w:rPr>
                <w:lang w:val="es-ES_tradnl"/>
              </w:rPr>
              <w:t xml:space="preserve">Ya está cubierto por el </w:t>
            </w:r>
            <w:r w:rsidR="00B95B53">
              <w:rPr>
                <w:lang w:val="es-ES_tradnl"/>
              </w:rPr>
              <w:t>A</w:t>
            </w:r>
            <w:r w:rsidRPr="00B95B53">
              <w:rPr>
                <w:lang w:val="es-ES_tradnl"/>
              </w:rPr>
              <w:t>rtículo</w:t>
            </w:r>
            <w:r w:rsidR="00B95B53">
              <w:rPr>
                <w:lang w:val="es-ES_tradnl"/>
              </w:rPr>
              <w:t> </w:t>
            </w:r>
            <w:r w:rsidRPr="00B95B53">
              <w:rPr>
                <w:lang w:val="es-ES_tradnl"/>
              </w:rPr>
              <w:t>41 de la Constitución de la UIT.</w:t>
            </w:r>
            <w:bookmarkEnd w:id="12"/>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0280F70" w14:textId="285630FE" w:rsidR="00B71047" w:rsidRPr="00B95B53" w:rsidRDefault="00B71047" w:rsidP="00B71047">
            <w:pPr>
              <w:pStyle w:val="Tabletext"/>
              <w:rPr>
                <w:lang w:val="es-ES_tradnl"/>
              </w:rPr>
            </w:pPr>
            <w:bookmarkStart w:id="13" w:name="lt_pId042"/>
            <w:r w:rsidRPr="00B95B53">
              <w:rPr>
                <w:lang w:val="es-ES_tradnl"/>
              </w:rPr>
              <w:t>No está claro exactamente qué significa "en la medida de lo posible" en un contexto en el que la tecnología se está desarrollando muy rápidamente.</w:t>
            </w:r>
            <w:bookmarkEnd w:id="13"/>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BE53E70" w14:textId="77777777" w:rsidR="00B71047" w:rsidRPr="00B95B53" w:rsidRDefault="00B71047" w:rsidP="00B71047">
            <w:pPr>
              <w:pStyle w:val="Tabletext"/>
              <w:rPr>
                <w:lang w:val="es-ES_tradnl"/>
              </w:rPr>
            </w:pPr>
          </w:p>
        </w:tc>
      </w:tr>
      <w:tr w:rsidR="00B71047" w:rsidRPr="00B95B53" w14:paraId="3E5C43DF"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0D70A" w14:textId="77777777" w:rsidR="00B71047" w:rsidRPr="00B95B53" w:rsidRDefault="00B71047" w:rsidP="00B71047">
            <w:pPr>
              <w:pStyle w:val="Tabletext"/>
              <w:rPr>
                <w:lang w:val="es-ES_tradnl"/>
              </w:rPr>
            </w:pPr>
            <w:r w:rsidRPr="00B95B53">
              <w:rPr>
                <w:lang w:val="es-ES_tradnl"/>
              </w:rPr>
              <w:t>5.3</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697D6" w14:textId="680AE2D6" w:rsidR="00B71047" w:rsidRPr="00B95B53" w:rsidRDefault="00CB04CA" w:rsidP="00B71047">
            <w:pPr>
              <w:pStyle w:val="Tabletext"/>
              <w:rPr>
                <w:lang w:val="es-ES_tradnl"/>
              </w:rPr>
            </w:pPr>
            <w:r w:rsidRPr="00B95B53">
              <w:rPr>
                <w:lang w:val="es-ES_tradnl"/>
              </w:rPr>
              <w:t>Las disposiciones que definen el orden de prioridad de cualquier otro servicio de telecomunicaciones se encuentran en las Recomendaciones UIT-T pertinentes.</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5C07124" w14:textId="373345CA" w:rsidR="00B71047" w:rsidRPr="00B95B53" w:rsidRDefault="007631C0" w:rsidP="00B71047">
            <w:pPr>
              <w:pStyle w:val="Tabletext"/>
              <w:rPr>
                <w:lang w:val="es-ES_tradnl"/>
              </w:rPr>
            </w:pPr>
            <w:r w:rsidRPr="00B95B53">
              <w:rPr>
                <w:lang w:val="es-ES_tradnl"/>
              </w:rPr>
              <w:t>5.3</w:t>
            </w:r>
            <w:r w:rsidRPr="00B95B53">
              <w:rPr>
                <w:lang w:val="es-ES_tradnl"/>
              </w:rPr>
              <w:tab/>
              <w:t xml:space="preserve">El orden de prioridad de todas las demás telecomunicaciones se regirá por lo dispuesto en las Recomendaciones pertinentes del </w:t>
            </w:r>
            <w:proofErr w:type="spellStart"/>
            <w:r w:rsidRPr="00B95B53">
              <w:rPr>
                <w:lang w:val="es-ES_tradnl"/>
              </w:rPr>
              <w:t>CCITT</w:t>
            </w:r>
            <w:proofErr w:type="spellEnd"/>
            <w:r w:rsidRPr="00B95B53">
              <w:rPr>
                <w:lang w:val="es-ES_tradnl"/>
              </w:rPr>
              <w:t>.</w:t>
            </w: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2C15390" w14:textId="032EEE36" w:rsidR="00B71047" w:rsidRPr="00B95B53" w:rsidRDefault="00B71047" w:rsidP="00B71047">
            <w:pPr>
              <w:pStyle w:val="Tabletext"/>
              <w:rPr>
                <w:lang w:val="es-ES_tradnl"/>
              </w:rPr>
            </w:pPr>
            <w:bookmarkStart w:id="14" w:name="lt_pId048"/>
            <w:r w:rsidRPr="00B95B53">
              <w:rPr>
                <w:lang w:val="es-ES_tradnl"/>
              </w:rPr>
              <w:t xml:space="preserve">No está claro lo que significa "regir" en este sentido porque en el </w:t>
            </w:r>
            <w:r w:rsidR="00B95B53" w:rsidRPr="001B1823">
              <w:rPr>
                <w:lang w:val="es-ES_tradnl"/>
              </w:rPr>
              <w:t>A</w:t>
            </w:r>
            <w:r w:rsidRPr="001B1823">
              <w:rPr>
                <w:lang w:val="es-ES_tradnl"/>
              </w:rPr>
              <w:t>rtículo 1.4 se</w:t>
            </w:r>
            <w:r w:rsidRPr="00B95B53">
              <w:rPr>
                <w:lang w:val="es-ES_tradnl"/>
              </w:rPr>
              <w:t xml:space="preserve"> indica que las Recomendaciones del UIT-T no tienen la misma condición jurídica que estas Resoluciones.</w:t>
            </w:r>
            <w:bookmarkEnd w:id="14"/>
            <w:r w:rsidRPr="00B95B53">
              <w:rPr>
                <w:lang w:val="es-ES_tradnl"/>
              </w:rPr>
              <w:t xml:space="preserve"> </w:t>
            </w:r>
            <w:bookmarkStart w:id="15" w:name="lt_pId049"/>
            <w:r w:rsidRPr="00B95B53">
              <w:rPr>
                <w:lang w:val="es-ES_tradnl"/>
              </w:rPr>
              <w:t xml:space="preserve">No está claro cuáles son las </w:t>
            </w:r>
            <w:r w:rsidR="00993F77" w:rsidRPr="001B1823">
              <w:rPr>
                <w:lang w:val="es-ES_tradnl"/>
              </w:rPr>
              <w:t>R</w:t>
            </w:r>
            <w:r w:rsidRPr="001B1823">
              <w:rPr>
                <w:lang w:val="es-ES_tradnl"/>
              </w:rPr>
              <w:t>ecomendaciones "pertinentes".</w:t>
            </w:r>
            <w:bookmarkEnd w:id="15"/>
            <w:r w:rsidRPr="001B1823">
              <w:rPr>
                <w:lang w:val="es-ES_tradnl"/>
              </w:rPr>
              <w:t xml:space="preserve"> </w:t>
            </w:r>
            <w:bookmarkStart w:id="16" w:name="lt_pId050"/>
            <w:r w:rsidRPr="001B1823">
              <w:rPr>
                <w:lang w:val="es-ES_tradnl"/>
              </w:rPr>
              <w:t>Esas</w:t>
            </w:r>
            <w:r w:rsidRPr="00B95B53">
              <w:rPr>
                <w:lang w:val="es-ES_tradnl"/>
              </w:rPr>
              <w:t xml:space="preserve"> incertidumbres podrían obstaculizar la prestación y el desarrollo de redes y servicios.</w:t>
            </w:r>
            <w:bookmarkEnd w:id="16"/>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DAF7ADA" w14:textId="6113AE54" w:rsidR="00B71047" w:rsidRPr="00B95B53" w:rsidRDefault="00BB4E0D" w:rsidP="00B71047">
            <w:pPr>
              <w:pStyle w:val="Tabletext"/>
              <w:rPr>
                <w:lang w:val="es-ES_tradnl"/>
              </w:rPr>
            </w:pPr>
            <w:bookmarkStart w:id="17" w:name="lt_pId051"/>
            <w:r w:rsidRPr="00B95B53">
              <w:rPr>
                <w:lang w:val="es-ES_tradnl"/>
              </w:rPr>
              <w:t>Cada año hay muchas nuevas Recomendaciones UIT-T.</w:t>
            </w:r>
            <w:bookmarkEnd w:id="17"/>
            <w:r w:rsidRPr="00B95B53">
              <w:rPr>
                <w:lang w:val="es-ES_tradnl"/>
              </w:rPr>
              <w:t xml:space="preserve"> Eso significa también que hay gran cantidad de Recomendaciones redundantes</w:t>
            </w:r>
            <w:bookmarkStart w:id="18" w:name="lt_pId053"/>
            <w:r w:rsidRPr="00B95B53">
              <w:rPr>
                <w:lang w:val="es-ES_tradnl"/>
              </w:rPr>
              <w:t>.</w:t>
            </w:r>
            <w:r w:rsidRPr="00B95B53">
              <w:rPr>
                <w:b/>
                <w:lang w:val="es-ES_tradnl"/>
              </w:rPr>
              <w:t xml:space="preserve"> </w:t>
            </w:r>
            <w:r w:rsidRPr="00B95B53">
              <w:rPr>
                <w:lang w:val="es-ES_tradnl"/>
              </w:rPr>
              <w:t xml:space="preserve">En esa disposición se propone que los Estados Miembros sigan aplicando esas </w:t>
            </w:r>
            <w:r w:rsidR="00993F77" w:rsidRPr="001B1823">
              <w:rPr>
                <w:lang w:val="es-ES_tradnl"/>
              </w:rPr>
              <w:t>R</w:t>
            </w:r>
            <w:r w:rsidRPr="001B1823">
              <w:rPr>
                <w:lang w:val="es-ES_tradnl"/>
              </w:rPr>
              <w:t>eco</w:t>
            </w:r>
            <w:r w:rsidRPr="00B95B53">
              <w:rPr>
                <w:lang w:val="es-ES_tradnl"/>
              </w:rPr>
              <w:t>mendaciones redundantes, lo que podría afectar a la flexibilidad para dar cabida a nuevas tendencias.</w:t>
            </w:r>
            <w:bookmarkEnd w:id="18"/>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008D83D" w14:textId="77777777" w:rsidR="00B71047" w:rsidRPr="00B95B53" w:rsidRDefault="00B71047" w:rsidP="00B71047">
            <w:pPr>
              <w:pStyle w:val="Tabletext"/>
              <w:rPr>
                <w:lang w:val="es-ES_tradnl"/>
              </w:rPr>
            </w:pPr>
          </w:p>
        </w:tc>
      </w:tr>
      <w:tr w:rsidR="00B71047" w:rsidRPr="00B95B53" w14:paraId="352079F1"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4A630" w14:textId="77777777" w:rsidR="00B71047" w:rsidRPr="00B95B53" w:rsidRDefault="00B71047" w:rsidP="00AD5A14">
            <w:pPr>
              <w:pStyle w:val="Tabletext"/>
              <w:rPr>
                <w:lang w:val="es-ES_tradnl"/>
              </w:rPr>
            </w:pPr>
            <w:r w:rsidRPr="00B95B53">
              <w:rPr>
                <w:lang w:val="es-ES_tradnl"/>
              </w:rPr>
              <w:t>5.4</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87A05" w14:textId="77777777" w:rsidR="00B71047" w:rsidRPr="00B95B53" w:rsidRDefault="00CB04CA" w:rsidP="00B71047">
            <w:pPr>
              <w:pStyle w:val="Tabletext"/>
              <w:rPr>
                <w:lang w:val="es-ES_tradnl"/>
              </w:rPr>
            </w:pPr>
            <w:r w:rsidRPr="00B95B53">
              <w:rPr>
                <w:lang w:val="es-ES_tradnl"/>
              </w:rPr>
              <w:t>Los Estados Miembros deben alentar a las empresas de explotación autorizadas a informar oportuna y gratuitamente a todos los usuarios, incluidos los usuarios itinerantes, del número de llamada a los servicios de emergencia.</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BDF1F2" w14:textId="77777777" w:rsidR="00B71047" w:rsidRPr="00B95B53" w:rsidRDefault="00B71047" w:rsidP="00B71047">
            <w:pPr>
              <w:pStyle w:val="Tabletext"/>
              <w:rPr>
                <w:lang w:val="es-ES_tradnl"/>
              </w:rPr>
            </w:pPr>
          </w:p>
        </w:tc>
        <w:tc>
          <w:tcPr>
            <w:tcW w:w="3080" w:type="dxa"/>
            <w:tcBorders>
              <w:top w:val="nil"/>
              <w:left w:val="nil"/>
              <w:bottom w:val="single" w:sz="8" w:space="0" w:color="000000"/>
              <w:right w:val="single" w:sz="8" w:space="0" w:color="000000"/>
            </w:tcBorders>
            <w:tcMar>
              <w:top w:w="56" w:type="dxa"/>
              <w:left w:w="56" w:type="dxa"/>
              <w:bottom w:w="56" w:type="dxa"/>
              <w:right w:w="56" w:type="dxa"/>
            </w:tcMar>
          </w:tcPr>
          <w:p w14:paraId="79C9B0AC" w14:textId="478D5E1B" w:rsidR="00B71047" w:rsidRPr="00B95B53" w:rsidRDefault="00B71047" w:rsidP="00B71047">
            <w:pPr>
              <w:pStyle w:val="Tabletext"/>
              <w:rPr>
                <w:lang w:val="es-ES_tradnl"/>
              </w:rPr>
            </w:pPr>
            <w:bookmarkStart w:id="19" w:name="lt_pId056"/>
            <w:r w:rsidRPr="00B95B53">
              <w:rPr>
                <w:lang w:val="es-ES_tradnl"/>
              </w:rPr>
              <w:t>"Debería alentar" no es aplicable.</w:t>
            </w:r>
            <w:bookmarkEnd w:id="19"/>
          </w:p>
        </w:tc>
        <w:tc>
          <w:tcPr>
            <w:tcW w:w="3219" w:type="dxa"/>
            <w:tcBorders>
              <w:top w:val="nil"/>
              <w:left w:val="nil"/>
              <w:bottom w:val="single" w:sz="8" w:space="0" w:color="000000"/>
              <w:right w:val="single" w:sz="8" w:space="0" w:color="000000"/>
            </w:tcBorders>
            <w:tcMar>
              <w:top w:w="56" w:type="dxa"/>
              <w:left w:w="56" w:type="dxa"/>
              <w:bottom w:w="56" w:type="dxa"/>
              <w:right w:w="56" w:type="dxa"/>
            </w:tcMar>
          </w:tcPr>
          <w:p w14:paraId="498BAFF2" w14:textId="77777777" w:rsidR="00B71047" w:rsidRPr="00B95B53" w:rsidRDefault="00B71047" w:rsidP="00B71047">
            <w:pPr>
              <w:pStyle w:val="Tabletext"/>
              <w:rPr>
                <w:lang w:val="es-ES_tradnl"/>
              </w:rPr>
            </w:pPr>
            <w:bookmarkStart w:id="20" w:name="lt_pId057"/>
            <w:r w:rsidRPr="00B95B53">
              <w:rPr>
                <w:lang w:val="es-ES_tradnl"/>
              </w:rPr>
              <w:t>Esta disposición no es pertinente para las nuevas tendencias.</w:t>
            </w:r>
            <w:bookmarkEnd w:id="20"/>
            <w:r w:rsidRPr="00B95B53">
              <w:rPr>
                <w:lang w:val="es-ES_tradnl"/>
              </w:rPr>
              <w:t xml:space="preserve"> </w:t>
            </w:r>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EE9A9B7" w14:textId="77777777" w:rsidR="00B71047" w:rsidRPr="00B95B53" w:rsidRDefault="00B71047" w:rsidP="00B71047">
            <w:pPr>
              <w:pStyle w:val="Tabletext"/>
              <w:rPr>
                <w:lang w:val="es-ES_tradnl"/>
              </w:rPr>
            </w:pPr>
          </w:p>
        </w:tc>
      </w:tr>
      <w:tr w:rsidR="00B71047" w:rsidRPr="00B95B53" w14:paraId="5C2264F5"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2EFB0" w14:textId="77777777" w:rsidR="00B71047" w:rsidRPr="00B95B53" w:rsidRDefault="00B71047" w:rsidP="00993F77">
            <w:pPr>
              <w:pStyle w:val="Tabletext"/>
              <w:keepNext/>
              <w:rPr>
                <w:lang w:val="es-ES_tradnl"/>
              </w:rPr>
            </w:pP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2044F" w14:textId="25F4ECD8" w:rsidR="00B71047" w:rsidRPr="00B95B53" w:rsidRDefault="00CB04CA" w:rsidP="00B71047">
            <w:pPr>
              <w:pStyle w:val="Tabletext"/>
              <w:rPr>
                <w:b/>
                <w:lang w:val="es-ES_tradnl"/>
              </w:rPr>
            </w:pPr>
            <w:r w:rsidRPr="00B95B53">
              <w:rPr>
                <w:b/>
                <w:lang w:val="es-ES_tradnl"/>
              </w:rPr>
              <w:t>Seguridad y robustez de las redes</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4CC2E93" w14:textId="77777777" w:rsidR="00B71047" w:rsidRPr="00B95B53" w:rsidRDefault="00B71047" w:rsidP="00B71047">
            <w:pPr>
              <w:pStyle w:val="Tabletext"/>
              <w:rPr>
                <w:b/>
                <w:lang w:val="es-ES_tradnl"/>
              </w:rPr>
            </w:pP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823C279" w14:textId="77777777" w:rsidR="00B71047" w:rsidRPr="00B95B53" w:rsidRDefault="00B71047" w:rsidP="00B71047">
            <w:pPr>
              <w:pStyle w:val="Tabletext"/>
              <w:rPr>
                <w:lang w:val="es-ES_tradnl"/>
              </w:rPr>
            </w:pPr>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EE88C92" w14:textId="77777777" w:rsidR="00B71047" w:rsidRPr="00B95B53" w:rsidRDefault="00B71047" w:rsidP="00B71047">
            <w:pPr>
              <w:pStyle w:val="Tabletext"/>
              <w:rPr>
                <w:lang w:val="es-ES_tradnl"/>
              </w:rPr>
            </w:pPr>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A65BD77" w14:textId="77777777" w:rsidR="00B71047" w:rsidRPr="00B95B53" w:rsidRDefault="00B71047" w:rsidP="00B71047">
            <w:pPr>
              <w:pStyle w:val="Tabletext"/>
              <w:rPr>
                <w:lang w:val="es-ES_tradnl"/>
              </w:rPr>
            </w:pPr>
          </w:p>
        </w:tc>
      </w:tr>
      <w:tr w:rsidR="00B71047" w:rsidRPr="00B95B53" w14:paraId="4E050B28"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7E5F8" w14:textId="77777777" w:rsidR="00B71047" w:rsidRPr="00B95B53" w:rsidRDefault="00B71047" w:rsidP="00B71047">
            <w:pPr>
              <w:pStyle w:val="Tabletext"/>
              <w:rPr>
                <w:lang w:val="es-ES_tradnl"/>
              </w:rPr>
            </w:pPr>
            <w:r w:rsidRPr="00B95B53">
              <w:rPr>
                <w:lang w:val="es-ES_tradnl"/>
              </w:rPr>
              <w:t>6.1</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E2234" w14:textId="03B184E5" w:rsidR="00B71047" w:rsidRPr="00B95B53" w:rsidRDefault="00CB04CA" w:rsidP="00B71047">
            <w:pPr>
              <w:pStyle w:val="Tabletext"/>
              <w:rPr>
                <w:lang w:val="es-ES_tradnl"/>
              </w:rPr>
            </w:pPr>
            <w:r w:rsidRPr="00B95B53">
              <w:rPr>
                <w:lang w:val="es-ES_tradnl"/>
              </w:rPr>
              <w:t>Los Estados Miembros procurarán garantizar, individual y colectivamente, la seguridad y robustez de las redes de telecomunicación internacionales a fin de lograr su utilización eficaz y evitar perjuicios técnicos a las mismas, así como el desarrollo armonioso de los servicios internacionales de telecomunicación ofrecidos al público.</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C2E6D4" w14:textId="77777777" w:rsidR="00B71047" w:rsidRPr="00B95B53" w:rsidRDefault="00B71047" w:rsidP="00B71047">
            <w:pPr>
              <w:pStyle w:val="Tabletext"/>
              <w:rPr>
                <w:lang w:val="es-ES_tradnl"/>
              </w:rPr>
            </w:pPr>
          </w:p>
        </w:tc>
        <w:tc>
          <w:tcPr>
            <w:tcW w:w="3080" w:type="dxa"/>
            <w:tcBorders>
              <w:top w:val="nil"/>
              <w:left w:val="nil"/>
              <w:bottom w:val="single" w:sz="8" w:space="0" w:color="000000"/>
              <w:right w:val="single" w:sz="8" w:space="0" w:color="000000"/>
            </w:tcBorders>
            <w:tcMar>
              <w:top w:w="56" w:type="dxa"/>
              <w:left w:w="56" w:type="dxa"/>
              <w:bottom w:w="56" w:type="dxa"/>
              <w:right w:w="56" w:type="dxa"/>
            </w:tcMar>
          </w:tcPr>
          <w:p w14:paraId="591E26DC" w14:textId="5F740C88" w:rsidR="00B71047" w:rsidRDefault="00B71047" w:rsidP="00B71047">
            <w:pPr>
              <w:pStyle w:val="Tabletext"/>
              <w:rPr>
                <w:lang w:val="es-ES_tradnl"/>
              </w:rPr>
            </w:pPr>
            <w:bookmarkStart w:id="21" w:name="lt_pId061"/>
            <w:r w:rsidRPr="00B95B53">
              <w:rPr>
                <w:lang w:val="es-ES_tradnl"/>
              </w:rPr>
              <w:t>"Procurar garantizar" es algo que no se puede hacer cumplir desde un punto de vista jurídico y que no añade ni permite nada que los Estados Miembros no pudieran hacer ya.</w:t>
            </w:r>
            <w:bookmarkEnd w:id="21"/>
            <w:r w:rsidRPr="00B95B53">
              <w:rPr>
                <w:lang w:val="es-ES_tradnl"/>
              </w:rPr>
              <w:t xml:space="preserve"> </w:t>
            </w:r>
            <w:bookmarkStart w:id="22" w:name="lt_pId062"/>
            <w:r w:rsidRPr="00B95B53">
              <w:rPr>
                <w:lang w:val="es-ES_tradnl"/>
              </w:rPr>
              <w:t>Por lo tanto, no ayuda a "fomentar la prestación y el desarrollo de redes y servicios".</w:t>
            </w:r>
            <w:bookmarkEnd w:id="22"/>
          </w:p>
          <w:p w14:paraId="02119779" w14:textId="77777777" w:rsidR="00993F77" w:rsidRPr="00B95B53" w:rsidRDefault="00993F77" w:rsidP="00B71047">
            <w:pPr>
              <w:pStyle w:val="Tabletext"/>
              <w:rPr>
                <w:lang w:val="es-ES_tradnl"/>
              </w:rPr>
            </w:pPr>
          </w:p>
          <w:p w14:paraId="04A29CD9" w14:textId="2F606D2C" w:rsidR="00B71047" w:rsidRPr="00B95B53" w:rsidRDefault="00B71047" w:rsidP="00B71047">
            <w:pPr>
              <w:pStyle w:val="Tabletext"/>
              <w:rPr>
                <w:lang w:val="es-ES_tradnl"/>
              </w:rPr>
            </w:pPr>
            <w:bookmarkStart w:id="23" w:name="lt_pId063"/>
            <w:r w:rsidRPr="00B95B53">
              <w:rPr>
                <w:lang w:val="es-ES_tradnl"/>
              </w:rPr>
              <w:t>No está claro qué significa "armonioso" en este contexto.</w:t>
            </w:r>
            <w:bookmarkEnd w:id="23"/>
            <w:r w:rsidRPr="00B95B53">
              <w:rPr>
                <w:lang w:val="es-ES_tradnl"/>
              </w:rPr>
              <w:t xml:space="preserve"> </w:t>
            </w:r>
            <w:bookmarkStart w:id="24" w:name="lt_pId064"/>
            <w:r w:rsidRPr="00B95B53">
              <w:rPr>
                <w:lang w:val="es-ES_tradnl"/>
              </w:rPr>
              <w:t>¿Se refiere a la interoperabilidad?</w:t>
            </w:r>
            <w:bookmarkEnd w:id="24"/>
            <w:r w:rsidRPr="00B95B53">
              <w:rPr>
                <w:lang w:val="es-ES_tradnl"/>
              </w:rPr>
              <w:t xml:space="preserve"> </w:t>
            </w:r>
            <w:bookmarkStart w:id="25" w:name="lt_pId065"/>
            <w:r w:rsidRPr="00B95B53">
              <w:rPr>
                <w:lang w:val="es-ES_tradnl"/>
              </w:rPr>
              <w:t>¿O a la sostenibilidad económica? ¿O al consenso político?</w:t>
            </w:r>
            <w:bookmarkEnd w:id="25"/>
            <w:r w:rsidRPr="00B95B53">
              <w:rPr>
                <w:lang w:val="es-ES_tradnl"/>
              </w:rPr>
              <w:t xml:space="preserve"> </w:t>
            </w:r>
            <w:bookmarkStart w:id="26" w:name="lt_pId066"/>
            <w:r w:rsidRPr="00B95B53">
              <w:rPr>
                <w:lang w:val="es-ES_tradnl"/>
              </w:rPr>
              <w:t>¿O a otra cosa?</w:t>
            </w:r>
            <w:bookmarkEnd w:id="26"/>
            <w:r w:rsidRPr="00B95B53">
              <w:rPr>
                <w:lang w:val="es-ES_tradnl"/>
              </w:rPr>
              <w:t xml:space="preserve"> </w:t>
            </w:r>
            <w:bookmarkStart w:id="27" w:name="lt_pId067"/>
            <w:r w:rsidRPr="00B95B53">
              <w:rPr>
                <w:lang w:val="es-ES_tradnl"/>
              </w:rPr>
              <w:t>Esa posible confusión podría obstaculizar la inversión.</w:t>
            </w:r>
            <w:bookmarkEnd w:id="27"/>
          </w:p>
        </w:tc>
        <w:tc>
          <w:tcPr>
            <w:tcW w:w="3219" w:type="dxa"/>
            <w:tcBorders>
              <w:top w:val="nil"/>
              <w:left w:val="nil"/>
              <w:bottom w:val="single" w:sz="8" w:space="0" w:color="000000"/>
              <w:right w:val="single" w:sz="8" w:space="0" w:color="000000"/>
            </w:tcBorders>
            <w:tcMar>
              <w:top w:w="56" w:type="dxa"/>
              <w:left w:w="56" w:type="dxa"/>
              <w:bottom w:w="56" w:type="dxa"/>
              <w:right w:w="56" w:type="dxa"/>
            </w:tcMar>
          </w:tcPr>
          <w:p w14:paraId="1416F184" w14:textId="0606A24F" w:rsidR="00B71047" w:rsidRPr="00B95B53" w:rsidRDefault="00B71047" w:rsidP="00B71047">
            <w:pPr>
              <w:pStyle w:val="Tabletext"/>
              <w:rPr>
                <w:lang w:val="es-ES_tradnl"/>
              </w:rPr>
            </w:pPr>
            <w:bookmarkStart w:id="28" w:name="lt_pId068"/>
            <w:r w:rsidRPr="00B95B53">
              <w:rPr>
                <w:lang w:val="es-ES_tradnl"/>
              </w:rPr>
              <w:t>"Procurar garantizar" es algo que no se puede hacer cumplir desde un punto de vista jurídico.</w:t>
            </w:r>
            <w:bookmarkEnd w:id="28"/>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F3C0E7F" w14:textId="77777777" w:rsidR="00B71047" w:rsidRPr="00B95B53" w:rsidRDefault="00B71047" w:rsidP="00B71047">
            <w:pPr>
              <w:pStyle w:val="Tabletext"/>
              <w:rPr>
                <w:lang w:val="es-ES_tradnl"/>
              </w:rPr>
            </w:pPr>
          </w:p>
        </w:tc>
      </w:tr>
      <w:tr w:rsidR="00B71047" w:rsidRPr="00B95B53" w14:paraId="5F8B973A"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9E263" w14:textId="77777777" w:rsidR="00B71047" w:rsidRPr="00B95B53" w:rsidRDefault="00B71047" w:rsidP="00993F77">
            <w:pPr>
              <w:pStyle w:val="Tabletext"/>
              <w:keepNext/>
              <w:rPr>
                <w:lang w:val="es-ES_tradnl"/>
              </w:rPr>
            </w:pP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EB62C" w14:textId="314492E6" w:rsidR="00B71047" w:rsidRPr="00B95B53" w:rsidRDefault="00CB04CA" w:rsidP="00B71047">
            <w:pPr>
              <w:pStyle w:val="Tabletext"/>
              <w:rPr>
                <w:b/>
                <w:lang w:val="es-ES_tradnl"/>
              </w:rPr>
            </w:pPr>
            <w:r w:rsidRPr="00B95B53">
              <w:rPr>
                <w:b/>
                <w:lang w:val="es-ES_tradnl"/>
              </w:rPr>
              <w:t>Comunicaciones electrónicas masivas no solicitadas</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55F9765" w14:textId="77777777" w:rsidR="00B71047" w:rsidRPr="00B95B53" w:rsidRDefault="00B71047" w:rsidP="00B71047">
            <w:pPr>
              <w:pStyle w:val="Tabletext"/>
              <w:rPr>
                <w:lang w:val="es-ES_tradnl"/>
              </w:rPr>
            </w:pP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F3FB643" w14:textId="77777777" w:rsidR="00B71047" w:rsidRPr="00B95B53" w:rsidRDefault="00B71047" w:rsidP="00B71047">
            <w:pPr>
              <w:pStyle w:val="Tabletext"/>
              <w:rPr>
                <w:lang w:val="es-ES_tradnl"/>
              </w:rPr>
            </w:pPr>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A400780" w14:textId="77777777" w:rsidR="00B71047" w:rsidRPr="00B95B53" w:rsidRDefault="00B71047" w:rsidP="00B71047">
            <w:pPr>
              <w:pStyle w:val="Tabletext"/>
              <w:rPr>
                <w:lang w:val="es-ES_tradnl"/>
              </w:rPr>
            </w:pPr>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56C8733" w14:textId="77777777" w:rsidR="00B71047" w:rsidRPr="00B95B53" w:rsidRDefault="00B71047" w:rsidP="00B71047">
            <w:pPr>
              <w:pStyle w:val="Tabletext"/>
              <w:rPr>
                <w:lang w:val="es-ES_tradnl"/>
              </w:rPr>
            </w:pPr>
          </w:p>
        </w:tc>
      </w:tr>
      <w:tr w:rsidR="00B71047" w:rsidRPr="00B95B53" w14:paraId="3B1A6AE4"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574E6" w14:textId="77777777" w:rsidR="00B71047" w:rsidRPr="00B95B53" w:rsidRDefault="00B71047" w:rsidP="00993F77">
            <w:pPr>
              <w:pStyle w:val="Tabletext"/>
              <w:keepNext/>
              <w:keepLines/>
              <w:rPr>
                <w:lang w:val="es-ES_tradnl"/>
              </w:rPr>
            </w:pPr>
            <w:r w:rsidRPr="00B95B53">
              <w:rPr>
                <w:lang w:val="es-ES_tradnl"/>
              </w:rPr>
              <w:t>7.1</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25373" w14:textId="2495C6CA" w:rsidR="00B71047" w:rsidRPr="00B95B53" w:rsidRDefault="00CB04CA" w:rsidP="00B71047">
            <w:pPr>
              <w:pStyle w:val="Tabletext"/>
              <w:rPr>
                <w:lang w:val="es-ES_tradnl"/>
              </w:rPr>
            </w:pPr>
            <w:r w:rsidRPr="00B95B53">
              <w:rPr>
                <w:lang w:val="es-ES_tradnl"/>
              </w:rPr>
              <w:t>Los Estados Miembros deben procurar tomar las medidas necesarias para evitar la propagación de comunicaciones electrónicas masivas no solicitadas y minimizar sus efectos en los servicios internacionales de telecomunicación.</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D84FF3" w14:textId="77777777" w:rsidR="00B71047" w:rsidRPr="00B95B53" w:rsidRDefault="00B71047" w:rsidP="00B71047">
            <w:pPr>
              <w:pStyle w:val="Tabletext"/>
              <w:rPr>
                <w:lang w:val="es-ES_tradnl"/>
              </w:rPr>
            </w:pPr>
          </w:p>
        </w:tc>
        <w:tc>
          <w:tcPr>
            <w:tcW w:w="3080" w:type="dxa"/>
            <w:tcBorders>
              <w:top w:val="nil"/>
              <w:left w:val="nil"/>
              <w:bottom w:val="single" w:sz="8" w:space="0" w:color="000000"/>
              <w:right w:val="single" w:sz="8" w:space="0" w:color="000000"/>
            </w:tcBorders>
            <w:tcMar>
              <w:top w:w="56" w:type="dxa"/>
              <w:left w:w="56" w:type="dxa"/>
              <w:bottom w:w="56" w:type="dxa"/>
              <w:right w:w="56" w:type="dxa"/>
            </w:tcMar>
          </w:tcPr>
          <w:p w14:paraId="3A7FE9B4" w14:textId="2045DE7C" w:rsidR="00B71047" w:rsidRPr="00B95B53" w:rsidRDefault="00B71047" w:rsidP="00B71047">
            <w:pPr>
              <w:pStyle w:val="Tabletext"/>
              <w:rPr>
                <w:lang w:val="es-ES_tradnl"/>
              </w:rPr>
            </w:pPr>
            <w:bookmarkStart w:id="29" w:name="lt_pId072"/>
            <w:r w:rsidRPr="00B95B53">
              <w:rPr>
                <w:lang w:val="es-ES_tradnl"/>
              </w:rPr>
              <w:t>Esta disposición no contribuye en nada a fomentar la prestación y el desarrollo de redes y servicios.</w:t>
            </w:r>
            <w:bookmarkEnd w:id="29"/>
            <w:r w:rsidRPr="00B95B53">
              <w:rPr>
                <w:lang w:val="es-ES_tradnl"/>
              </w:rPr>
              <w:t xml:space="preserve"> </w:t>
            </w:r>
            <w:bookmarkStart w:id="30" w:name="lt_pId073"/>
            <w:r w:rsidRPr="00B95B53">
              <w:rPr>
                <w:lang w:val="es-ES_tradnl"/>
              </w:rPr>
              <w:t>En el mejor de los casos no hace nada en absoluto.</w:t>
            </w:r>
            <w:bookmarkEnd w:id="30"/>
            <w:r w:rsidRPr="00B95B53">
              <w:rPr>
                <w:lang w:val="es-ES_tradnl"/>
              </w:rPr>
              <w:t xml:space="preserve"> </w:t>
            </w:r>
            <w:bookmarkStart w:id="31" w:name="lt_pId074"/>
            <w:r w:rsidRPr="00B95B53">
              <w:rPr>
                <w:lang w:val="es-ES_tradnl"/>
              </w:rPr>
              <w:t>En el peor de ellos, alienta al Estado a aumentar la carga reglamentaria para los proveedores de servicios.</w:t>
            </w:r>
            <w:bookmarkEnd w:id="31"/>
          </w:p>
        </w:tc>
        <w:tc>
          <w:tcPr>
            <w:tcW w:w="3219" w:type="dxa"/>
            <w:tcBorders>
              <w:top w:val="nil"/>
              <w:left w:val="nil"/>
              <w:bottom w:val="single" w:sz="8" w:space="0" w:color="000000"/>
              <w:right w:val="single" w:sz="8" w:space="0" w:color="000000"/>
            </w:tcBorders>
            <w:tcMar>
              <w:top w:w="56" w:type="dxa"/>
              <w:left w:w="56" w:type="dxa"/>
              <w:bottom w:w="56" w:type="dxa"/>
              <w:right w:w="56" w:type="dxa"/>
            </w:tcMar>
          </w:tcPr>
          <w:p w14:paraId="583582B8" w14:textId="2569C022" w:rsidR="00B71047" w:rsidRPr="00B95B53" w:rsidRDefault="00B71047" w:rsidP="00B71047">
            <w:pPr>
              <w:pStyle w:val="Tabletext"/>
              <w:rPr>
                <w:lang w:val="es-ES_tradnl"/>
              </w:rPr>
            </w:pPr>
            <w:bookmarkStart w:id="32" w:name="lt_pId075"/>
            <w:r w:rsidRPr="00B95B53">
              <w:rPr>
                <w:lang w:val="es-ES_tradnl"/>
              </w:rPr>
              <w:t>Las comunicaciones electrónicas masivas no solicitadas son un área compleja y en rápido movimiento con la que los proveedores de servicios del sector privado llevan trabajando mucho tiempo.</w:t>
            </w:r>
            <w:bookmarkEnd w:id="32"/>
            <w:r w:rsidRPr="00B95B53">
              <w:rPr>
                <w:lang w:val="es-ES_tradnl"/>
              </w:rPr>
              <w:t xml:space="preserve"> </w:t>
            </w:r>
            <w:bookmarkStart w:id="33" w:name="lt_pId076"/>
            <w:r w:rsidRPr="00B95B53">
              <w:rPr>
                <w:lang w:val="es-ES_tradnl"/>
              </w:rPr>
              <w:t xml:space="preserve">Lo que los Estados Miembros consideran "medidas necesarias" en un momento dado, pueden suponer un obstáculo para los proveedores de servicios del </w:t>
            </w:r>
            <w:r w:rsidRPr="001B1823">
              <w:rPr>
                <w:lang w:val="es-ES_tradnl"/>
              </w:rPr>
              <w:t>sector privado que trabajan en ese ámbito.</w:t>
            </w:r>
            <w:bookmarkEnd w:id="33"/>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7E4AF01" w14:textId="77777777" w:rsidR="00B71047" w:rsidRPr="00B95B53" w:rsidRDefault="00B71047" w:rsidP="00B71047">
            <w:pPr>
              <w:pStyle w:val="Tabletext"/>
              <w:rPr>
                <w:lang w:val="es-ES_tradnl"/>
              </w:rPr>
            </w:pPr>
          </w:p>
        </w:tc>
      </w:tr>
      <w:tr w:rsidR="00B71047" w:rsidRPr="00B95B53" w14:paraId="1F870B9E"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38923" w14:textId="77777777" w:rsidR="00B71047" w:rsidRPr="00B95B53" w:rsidRDefault="00B71047" w:rsidP="00B71047">
            <w:pPr>
              <w:pStyle w:val="Tabletext"/>
              <w:rPr>
                <w:lang w:val="es-ES_tradnl"/>
              </w:rPr>
            </w:pPr>
            <w:r w:rsidRPr="00B95B53">
              <w:rPr>
                <w:lang w:val="es-ES_tradnl"/>
              </w:rPr>
              <w:t>7.2</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0FB86" w14:textId="1F185599" w:rsidR="00B71047" w:rsidRPr="00B95B53" w:rsidRDefault="00CB04CA" w:rsidP="00B71047">
            <w:pPr>
              <w:pStyle w:val="Tabletext"/>
              <w:rPr>
                <w:lang w:val="es-ES_tradnl"/>
              </w:rPr>
            </w:pPr>
            <w:r w:rsidRPr="00B95B53">
              <w:rPr>
                <w:lang w:val="es-ES_tradnl"/>
              </w:rPr>
              <w:t>Se alienta a los Estados Miembros a cooperar en ese sentido.</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2E2E9B" w14:textId="77777777" w:rsidR="00B71047" w:rsidRPr="00B95B53" w:rsidRDefault="00B71047" w:rsidP="00B71047">
            <w:pPr>
              <w:pStyle w:val="Tabletext"/>
              <w:rPr>
                <w:lang w:val="es-ES_tradnl"/>
              </w:rPr>
            </w:pP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4BEAB95" w14:textId="77777777" w:rsidR="00B71047" w:rsidRPr="00B95B53" w:rsidRDefault="00B71047" w:rsidP="00B71047">
            <w:pPr>
              <w:pStyle w:val="Tabletext"/>
              <w:rPr>
                <w:lang w:val="es-ES_tradnl"/>
              </w:rPr>
            </w:pPr>
            <w:bookmarkStart w:id="34" w:name="lt_pId079"/>
            <w:r w:rsidRPr="00B95B53">
              <w:rPr>
                <w:lang w:val="es-ES_tradnl"/>
              </w:rPr>
              <w:t>Se trata de algo que no se puede hacer cumplir desde un punto de vista jurídico y que no añade ni permite nada que los Estados Miembros no pudieran hacer ya.</w:t>
            </w:r>
            <w:bookmarkEnd w:id="34"/>
            <w:r w:rsidRPr="00B95B53">
              <w:rPr>
                <w:lang w:val="es-ES_tradnl"/>
              </w:rPr>
              <w:t xml:space="preserve"> </w:t>
            </w:r>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1C91A3E" w14:textId="0C6A3E6B" w:rsidR="00B71047" w:rsidRPr="00B95B53" w:rsidRDefault="00B71047" w:rsidP="00B71047">
            <w:pPr>
              <w:pStyle w:val="Tabletext"/>
              <w:rPr>
                <w:lang w:val="es-ES_tradnl"/>
              </w:rPr>
            </w:pPr>
            <w:bookmarkStart w:id="35" w:name="lt_pId080"/>
            <w:r w:rsidRPr="00B95B53">
              <w:rPr>
                <w:lang w:val="es-ES_tradnl"/>
              </w:rPr>
              <w:t>No dice nada de los agentes del sector privado que serán los primeros en responder a los problemas tecnológicos que se planteen.</w:t>
            </w:r>
            <w:bookmarkEnd w:id="35"/>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B008F52" w14:textId="77777777" w:rsidR="00B71047" w:rsidRPr="00B95B53" w:rsidRDefault="00B71047" w:rsidP="00B71047">
            <w:pPr>
              <w:pStyle w:val="Tabletext"/>
              <w:rPr>
                <w:lang w:val="es-ES_tradnl"/>
              </w:rPr>
            </w:pPr>
          </w:p>
        </w:tc>
      </w:tr>
      <w:tr w:rsidR="00B71047" w:rsidRPr="00B95B53" w14:paraId="1F806C12"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5632C" w14:textId="77777777" w:rsidR="00B71047" w:rsidRPr="00B95B53" w:rsidRDefault="00B71047" w:rsidP="00B521E2">
            <w:pPr>
              <w:pStyle w:val="Tabletext"/>
              <w:keepNext/>
              <w:rPr>
                <w:lang w:val="es-ES_tradnl"/>
              </w:rPr>
            </w:pP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A605C" w14:textId="50AEFCF5" w:rsidR="00B71047" w:rsidRPr="00B95B53" w:rsidRDefault="00CB04CA" w:rsidP="00B521E2">
            <w:pPr>
              <w:pStyle w:val="Tabletext"/>
              <w:keepNext/>
              <w:rPr>
                <w:b/>
                <w:lang w:val="es-ES_tradnl"/>
              </w:rPr>
            </w:pPr>
            <w:r w:rsidRPr="00B95B53">
              <w:rPr>
                <w:b/>
                <w:lang w:val="es-ES_tradnl"/>
              </w:rPr>
              <w:t>Tasación y contabilidad</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B5F66F0" w14:textId="77777777" w:rsidR="00B71047" w:rsidRPr="00B95B53" w:rsidRDefault="00B71047" w:rsidP="00B71047">
            <w:pPr>
              <w:pStyle w:val="Tabletext"/>
              <w:rPr>
                <w:lang w:val="es-ES_tradnl"/>
              </w:rPr>
            </w:pP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5FCE3E6" w14:textId="77777777" w:rsidR="00B71047" w:rsidRPr="00B95B53" w:rsidRDefault="00B71047" w:rsidP="00B71047">
            <w:pPr>
              <w:pStyle w:val="Tabletext"/>
              <w:rPr>
                <w:lang w:val="es-ES_tradnl"/>
              </w:rPr>
            </w:pPr>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1BFB8CE" w14:textId="77777777" w:rsidR="00B71047" w:rsidRPr="00B95B53" w:rsidRDefault="00B71047" w:rsidP="00B71047">
            <w:pPr>
              <w:pStyle w:val="Tabletext"/>
              <w:rPr>
                <w:lang w:val="es-ES_tradnl"/>
              </w:rPr>
            </w:pPr>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321B743" w14:textId="77777777" w:rsidR="00B71047" w:rsidRPr="00B95B53" w:rsidRDefault="00B71047" w:rsidP="00B71047">
            <w:pPr>
              <w:pStyle w:val="Tabletext"/>
              <w:rPr>
                <w:lang w:val="es-ES_tradnl"/>
              </w:rPr>
            </w:pPr>
          </w:p>
        </w:tc>
      </w:tr>
      <w:tr w:rsidR="00B71047" w:rsidRPr="00B95B53" w14:paraId="705F5CF3"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EA324" w14:textId="77777777" w:rsidR="00B71047" w:rsidRPr="00B95B53" w:rsidRDefault="00B71047" w:rsidP="003242D5">
            <w:pPr>
              <w:pStyle w:val="Tabletext"/>
              <w:keepNext/>
              <w:keepLines/>
              <w:rPr>
                <w:lang w:val="es-ES_tradnl"/>
              </w:rPr>
            </w:pPr>
            <w:r w:rsidRPr="00B95B53">
              <w:rPr>
                <w:lang w:val="es-ES_tradnl"/>
              </w:rPr>
              <w:t>8.1</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5632F" w14:textId="3D652C73" w:rsidR="00B71047" w:rsidRPr="00B95B53" w:rsidRDefault="00CB04CA" w:rsidP="00B71047">
            <w:pPr>
              <w:pStyle w:val="Tabletext"/>
              <w:rPr>
                <w:b/>
                <w:lang w:val="es-ES_tradnl"/>
              </w:rPr>
            </w:pPr>
            <w:r w:rsidRPr="00B95B53">
              <w:rPr>
                <w:b/>
                <w:lang w:val="es-ES_tradnl"/>
              </w:rPr>
              <w:t>Acuerdos relativos a las telecomunicaciones internacionales</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3AEA61" w14:textId="77777777" w:rsidR="00B71047" w:rsidRPr="00B95B53" w:rsidRDefault="00B71047" w:rsidP="00B71047">
            <w:pPr>
              <w:pStyle w:val="Tabletext"/>
              <w:rPr>
                <w:lang w:val="es-ES_tradnl"/>
              </w:rPr>
            </w:pP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F3E38B8" w14:textId="77777777" w:rsidR="00B71047" w:rsidRPr="00B95B53" w:rsidRDefault="00B71047" w:rsidP="00B71047">
            <w:pPr>
              <w:pStyle w:val="Tabletext"/>
              <w:rPr>
                <w:lang w:val="es-ES_tradnl"/>
              </w:rPr>
            </w:pPr>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112CE7F" w14:textId="77777777" w:rsidR="00B71047" w:rsidRPr="00B95B53" w:rsidRDefault="00B71047" w:rsidP="00B71047">
            <w:pPr>
              <w:pStyle w:val="Tabletext"/>
              <w:rPr>
                <w:lang w:val="es-ES_tradnl"/>
              </w:rPr>
            </w:pPr>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988CE4E" w14:textId="77777777" w:rsidR="00B71047" w:rsidRPr="00B95B53" w:rsidRDefault="00B71047" w:rsidP="00B71047">
            <w:pPr>
              <w:pStyle w:val="Tabletext"/>
              <w:rPr>
                <w:lang w:val="es-ES_tradnl"/>
              </w:rPr>
            </w:pPr>
          </w:p>
        </w:tc>
      </w:tr>
      <w:tr w:rsidR="00B71047" w:rsidRPr="00B95B53" w14:paraId="78B52B4F"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DD595" w14:textId="77777777" w:rsidR="00B71047" w:rsidRPr="00B95B53" w:rsidRDefault="00B71047" w:rsidP="00B71047">
            <w:pPr>
              <w:pStyle w:val="Tabletext"/>
              <w:rPr>
                <w:lang w:val="es-ES_tradnl"/>
              </w:rPr>
            </w:pPr>
            <w:r w:rsidRPr="00B95B53">
              <w:rPr>
                <w:lang w:val="es-ES_tradnl"/>
              </w:rPr>
              <w:t>8.1.1</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77FFC" w14:textId="32B2C132" w:rsidR="00B71047" w:rsidRPr="00B95B53" w:rsidRDefault="00CB04CA" w:rsidP="00B71047">
            <w:pPr>
              <w:pStyle w:val="Tabletext"/>
              <w:rPr>
                <w:lang w:val="es-ES_tradnl"/>
              </w:rPr>
            </w:pPr>
            <w:r w:rsidRPr="00B95B53">
              <w:rPr>
                <w:lang w:val="es-ES_tradnl"/>
              </w:rPr>
              <w:t>De acuerdo con la legislación nacional aplicable, los términos y condiciones de los acuerdos de prestación de servicios internacionales de telecomunicación podrán establecerse mediante acuerdos comerciales o en virtud de los principios relativos a las tasas de distribución establecidos de conformidad con la reglamentación nacional.</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E75ABA1" w14:textId="77777777" w:rsidR="00B71047" w:rsidRPr="00B95B53" w:rsidRDefault="00B71047" w:rsidP="00B71047">
            <w:pPr>
              <w:pStyle w:val="Tabletext"/>
              <w:rPr>
                <w:lang w:val="es-ES_tradnl"/>
              </w:rPr>
            </w:pP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3462B75" w14:textId="27E0C249" w:rsidR="00B71047" w:rsidRPr="00B95B53" w:rsidRDefault="00B71047" w:rsidP="00B71047">
            <w:pPr>
              <w:pStyle w:val="Tabletext"/>
              <w:rPr>
                <w:lang w:val="es-ES_tradnl"/>
              </w:rPr>
            </w:pPr>
            <w:bookmarkStart w:id="36" w:name="lt_pId086"/>
            <w:r w:rsidRPr="00B95B53">
              <w:rPr>
                <w:lang w:val="es-ES_tradnl"/>
              </w:rPr>
              <w:t>Esta disposición no añade necesariamente más obligaciones de las que ya figuran en las leyes internas de los Estados Miembros, por lo que no puede decirse que fomente la prestación y el desarrollo de redes y servicios.</w:t>
            </w:r>
            <w:bookmarkEnd w:id="36"/>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5FE1DE5" w14:textId="6D8E62A0" w:rsidR="00B71047" w:rsidRPr="00B95B53" w:rsidRDefault="00B71047" w:rsidP="00B71047">
            <w:pPr>
              <w:pStyle w:val="Tabletext"/>
              <w:rPr>
                <w:lang w:val="es-ES_tradnl"/>
              </w:rPr>
            </w:pPr>
            <w:bookmarkStart w:id="37" w:name="lt_pId087"/>
            <w:r w:rsidRPr="00B95B53">
              <w:rPr>
                <w:lang w:val="es-ES_tradnl"/>
              </w:rPr>
              <w:t xml:space="preserve">Es concebible </w:t>
            </w:r>
            <w:r w:rsidR="003242D5" w:rsidRPr="00B95B53">
              <w:rPr>
                <w:lang w:val="es-ES_tradnl"/>
              </w:rPr>
              <w:t>que,</w:t>
            </w:r>
            <w:r w:rsidRPr="00B95B53">
              <w:rPr>
                <w:lang w:val="es-ES_tradnl"/>
              </w:rPr>
              <w:t xml:space="preserve"> en el futuro, a medida que se desarrollen acuerdos internacionales de servicios de telecomunicaciones, sus términos y condiciones puedan establecerse mediante medios distintos de "acuerdos comerciales o en virtud de los principios relativos a las tasas de distribución".</w:t>
            </w:r>
            <w:bookmarkEnd w:id="37"/>
            <w:r w:rsidRPr="00B95B53">
              <w:rPr>
                <w:lang w:val="es-ES_tradnl"/>
              </w:rPr>
              <w:t xml:space="preserve"> </w:t>
            </w:r>
            <w:bookmarkStart w:id="38" w:name="lt_pId088"/>
            <w:r w:rsidRPr="00B95B53">
              <w:rPr>
                <w:lang w:val="es-ES_tradnl"/>
              </w:rPr>
              <w:t>Esto limita esa posibilidad.</w:t>
            </w:r>
            <w:bookmarkEnd w:id="38"/>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0CD8D5E" w14:textId="77777777" w:rsidR="00B71047" w:rsidRPr="00B95B53" w:rsidRDefault="00B71047" w:rsidP="00B71047">
            <w:pPr>
              <w:pStyle w:val="Tabletext"/>
              <w:rPr>
                <w:lang w:val="es-ES_tradnl"/>
              </w:rPr>
            </w:pPr>
          </w:p>
        </w:tc>
      </w:tr>
      <w:tr w:rsidR="00B71047" w:rsidRPr="00B95B53" w14:paraId="2735FFE0"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B5F92" w14:textId="77777777" w:rsidR="00B71047" w:rsidRPr="00B95B53" w:rsidRDefault="00B71047" w:rsidP="00B71047">
            <w:pPr>
              <w:pStyle w:val="Tabletext"/>
              <w:rPr>
                <w:lang w:val="es-ES_tradnl"/>
              </w:rPr>
            </w:pPr>
            <w:r w:rsidRPr="001B1823">
              <w:rPr>
                <w:lang w:val="es-ES_tradnl"/>
              </w:rPr>
              <w:t>8.1.2</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E5734" w14:textId="7199F9FF" w:rsidR="00B71047" w:rsidRPr="00B95B53" w:rsidRDefault="00CB04CA" w:rsidP="00B71047">
            <w:pPr>
              <w:pStyle w:val="Tabletext"/>
              <w:rPr>
                <w:lang w:val="es-ES_tradnl"/>
              </w:rPr>
            </w:pPr>
            <w:r w:rsidRPr="00B95B53">
              <w:rPr>
                <w:lang w:val="es-ES_tradnl"/>
              </w:rPr>
              <w:t>Los Estados Miembros procurarán alentar la inversión en redes de telecomunicaciones internacionales y promover precios al por mayor competitivos para el tráfico transportado sobre dichas redes de telecomunicación.</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48446B3" w14:textId="77777777" w:rsidR="00B71047" w:rsidRPr="00B95B53" w:rsidRDefault="00B71047" w:rsidP="00B71047">
            <w:pPr>
              <w:pStyle w:val="Tabletext"/>
              <w:rPr>
                <w:lang w:val="es-ES_tradnl"/>
              </w:rPr>
            </w:pP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1990E95" w14:textId="442DC100" w:rsidR="00B71047" w:rsidRDefault="00B71047" w:rsidP="00B71047">
            <w:pPr>
              <w:pStyle w:val="Tabletext"/>
              <w:rPr>
                <w:lang w:val="es-ES_tradnl"/>
              </w:rPr>
            </w:pPr>
            <w:bookmarkStart w:id="39" w:name="lt_pId091"/>
            <w:r w:rsidRPr="001B1823">
              <w:rPr>
                <w:lang w:val="es-ES_tradnl"/>
              </w:rPr>
              <w:t>La frase</w:t>
            </w:r>
            <w:r w:rsidRPr="00B95B53">
              <w:rPr>
                <w:lang w:val="es-ES_tradnl"/>
              </w:rPr>
              <w:t xml:space="preserve"> "Los Estados Miembros procurarán alentar la inversión" hace que esta disposición no pueda hacerse cumplir.</w:t>
            </w:r>
            <w:bookmarkEnd w:id="39"/>
          </w:p>
          <w:p w14:paraId="2A51E981" w14:textId="77777777" w:rsidR="00BF5E84" w:rsidRPr="00B95B53" w:rsidRDefault="00BF5E84" w:rsidP="00B71047">
            <w:pPr>
              <w:pStyle w:val="Tabletext"/>
              <w:rPr>
                <w:lang w:val="es-ES_tradnl"/>
              </w:rPr>
            </w:pPr>
          </w:p>
          <w:p w14:paraId="7C66B51B" w14:textId="5C36C0B3" w:rsidR="00B71047" w:rsidRPr="00B95B53" w:rsidRDefault="00B71047" w:rsidP="00BF5E84">
            <w:pPr>
              <w:pStyle w:val="Tabletext"/>
              <w:keepLines/>
              <w:rPr>
                <w:lang w:val="es-ES_tradnl"/>
              </w:rPr>
            </w:pPr>
            <w:bookmarkStart w:id="40" w:name="lt_pId092"/>
            <w:r w:rsidRPr="00B95B53">
              <w:rPr>
                <w:lang w:val="es-ES_tradnl"/>
              </w:rPr>
              <w:lastRenderedPageBreak/>
              <w:t>En cualquier caso, todos los Estados Miembros son conscientes de que invertir en redes internacionales de telecomunicaciones es algo beneficioso, independientemente de que figuren en este tratado.</w:t>
            </w:r>
            <w:bookmarkEnd w:id="40"/>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B3ED0B0" w14:textId="77A3ECA2" w:rsidR="00B71047" w:rsidRPr="00B95B53" w:rsidRDefault="00B71047" w:rsidP="00B71047">
            <w:pPr>
              <w:pStyle w:val="Tabletext"/>
              <w:rPr>
                <w:lang w:val="es-ES_tradnl"/>
              </w:rPr>
            </w:pPr>
            <w:bookmarkStart w:id="41" w:name="lt_pId093"/>
            <w:r w:rsidRPr="00B95B53">
              <w:rPr>
                <w:lang w:val="es-ES_tradnl"/>
              </w:rPr>
              <w:lastRenderedPageBreak/>
              <w:t>No se trata de algo directamente pertinente, pero existe tal vez el riesgo de que al centrarse en la inversión en redes de telecomunicaciones internacionales se descuiden otras esferas emergentes.</w:t>
            </w:r>
            <w:bookmarkEnd w:id="41"/>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3D8976E" w14:textId="77777777" w:rsidR="00B71047" w:rsidRPr="00B95B53" w:rsidRDefault="00B71047" w:rsidP="00B71047">
            <w:pPr>
              <w:pStyle w:val="Tabletext"/>
              <w:rPr>
                <w:lang w:val="es-ES_tradnl"/>
              </w:rPr>
            </w:pPr>
          </w:p>
        </w:tc>
      </w:tr>
      <w:tr w:rsidR="00B71047" w:rsidRPr="00B95B53" w14:paraId="0EF55A71"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5EE98" w14:textId="77777777" w:rsidR="00B71047" w:rsidRPr="00B95B53" w:rsidRDefault="00B71047" w:rsidP="00B71047">
            <w:pPr>
              <w:pStyle w:val="Tabletext"/>
              <w:rPr>
                <w:lang w:val="es-ES_tradnl"/>
              </w:rPr>
            </w:pPr>
            <w:r w:rsidRPr="00B95B53">
              <w:rPr>
                <w:lang w:val="es-ES_tradnl"/>
              </w:rPr>
              <w:t>8.2</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F1C3A" w14:textId="39A09CE2" w:rsidR="00B71047" w:rsidRPr="00B95B53" w:rsidRDefault="00CB04CA" w:rsidP="00B71047">
            <w:pPr>
              <w:pStyle w:val="Tabletext"/>
              <w:rPr>
                <w:b/>
                <w:lang w:val="es-ES_tradnl"/>
              </w:rPr>
            </w:pPr>
            <w:r w:rsidRPr="00B95B53">
              <w:rPr>
                <w:b/>
                <w:lang w:val="es-ES_tradnl"/>
              </w:rPr>
              <w:t>Principios relativos a las tasas de distribución</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BAAC332" w14:textId="77777777" w:rsidR="00B71047" w:rsidRPr="00B95B53" w:rsidRDefault="00B71047" w:rsidP="00B71047">
            <w:pPr>
              <w:pStyle w:val="Tabletext"/>
              <w:rPr>
                <w:b/>
                <w:lang w:val="es-ES_tradnl"/>
              </w:rPr>
            </w:pP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10F451B" w14:textId="77777777" w:rsidR="00B71047" w:rsidRPr="00B95B53" w:rsidRDefault="00B71047" w:rsidP="00B71047">
            <w:pPr>
              <w:pStyle w:val="Tabletext"/>
              <w:rPr>
                <w:lang w:val="es-ES_tradnl"/>
              </w:rPr>
            </w:pPr>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1DB04E3" w14:textId="77777777" w:rsidR="00B71047" w:rsidRPr="00B95B53" w:rsidRDefault="00B71047" w:rsidP="00B71047">
            <w:pPr>
              <w:pStyle w:val="Tabletext"/>
              <w:rPr>
                <w:lang w:val="es-ES_tradnl"/>
              </w:rPr>
            </w:pPr>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A573768" w14:textId="77777777" w:rsidR="00B71047" w:rsidRPr="00B95B53" w:rsidRDefault="00B71047" w:rsidP="00B71047">
            <w:pPr>
              <w:pStyle w:val="Tabletext"/>
              <w:rPr>
                <w:lang w:val="es-ES_tradnl"/>
              </w:rPr>
            </w:pPr>
          </w:p>
        </w:tc>
      </w:tr>
      <w:tr w:rsidR="00B71047" w:rsidRPr="00B95B53" w14:paraId="5B246559"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B5A5E" w14:textId="77777777" w:rsidR="00B71047" w:rsidRPr="00B95B53" w:rsidRDefault="00B71047" w:rsidP="00B71047">
            <w:pPr>
              <w:pStyle w:val="Tabletext"/>
              <w:rPr>
                <w:lang w:val="es-ES_tradnl"/>
              </w:rPr>
            </w:pP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6C6A0" w14:textId="39C9FCE9" w:rsidR="00B71047" w:rsidRPr="00B95B53" w:rsidRDefault="00CB04CA" w:rsidP="00B71047">
            <w:pPr>
              <w:pStyle w:val="Tabletext"/>
              <w:rPr>
                <w:b/>
                <w:lang w:val="es-ES_tradnl"/>
              </w:rPr>
            </w:pPr>
            <w:r w:rsidRPr="00B95B53">
              <w:rPr>
                <w:b/>
                <w:lang w:val="es-ES_tradnl"/>
              </w:rPr>
              <w:t>Términos y condiciones</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5ED958" w14:textId="3DA0DD36" w:rsidR="00B71047" w:rsidRPr="00B95B53" w:rsidRDefault="00B71047" w:rsidP="00B71047">
            <w:pPr>
              <w:pStyle w:val="Tabletext"/>
              <w:rPr>
                <w:b/>
                <w:lang w:val="es-ES_tradnl"/>
              </w:rPr>
            </w:pPr>
            <w:bookmarkStart w:id="42" w:name="lt_pId097"/>
            <w:r w:rsidRPr="00B95B53">
              <w:rPr>
                <w:b/>
                <w:lang w:val="es-ES_tradnl"/>
              </w:rPr>
              <w:t xml:space="preserve">Artículo 6: </w:t>
            </w:r>
            <w:bookmarkEnd w:id="42"/>
            <w:r w:rsidRPr="00B95B53">
              <w:rPr>
                <w:b/>
                <w:lang w:val="es-ES_tradnl"/>
              </w:rPr>
              <w:t>Tasación y contabilidad</w:t>
            </w: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CC4CA0D" w14:textId="77777777" w:rsidR="00B71047" w:rsidRPr="00B95B53" w:rsidRDefault="00B71047" w:rsidP="00B71047">
            <w:pPr>
              <w:pStyle w:val="Tabletext"/>
              <w:rPr>
                <w:lang w:val="es-ES_tradnl"/>
              </w:rPr>
            </w:pPr>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8840B2" w14:textId="77777777" w:rsidR="00B71047" w:rsidRPr="00B95B53" w:rsidRDefault="00B71047" w:rsidP="00B71047">
            <w:pPr>
              <w:pStyle w:val="Tabletext"/>
              <w:rPr>
                <w:lang w:val="es-ES_tradnl"/>
              </w:rPr>
            </w:pPr>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A26BCC4" w14:textId="77777777" w:rsidR="00B71047" w:rsidRPr="00B95B53" w:rsidRDefault="00B71047" w:rsidP="00B71047">
            <w:pPr>
              <w:pStyle w:val="Tabletext"/>
              <w:rPr>
                <w:lang w:val="es-ES_tradnl"/>
              </w:rPr>
            </w:pPr>
          </w:p>
        </w:tc>
      </w:tr>
      <w:tr w:rsidR="00B71047" w:rsidRPr="00B95B53" w14:paraId="13C84627"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0DF60" w14:textId="77777777" w:rsidR="00B71047" w:rsidRPr="00B95B53" w:rsidRDefault="00B71047" w:rsidP="00B71047">
            <w:pPr>
              <w:pStyle w:val="Tabletext"/>
              <w:rPr>
                <w:lang w:val="es-ES_tradnl"/>
              </w:rPr>
            </w:pPr>
            <w:r w:rsidRPr="00B95B53">
              <w:rPr>
                <w:lang w:val="es-ES_tradnl"/>
              </w:rPr>
              <w:t>8.2.1</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629C3" w14:textId="0625352A" w:rsidR="00B71047" w:rsidRPr="00B95B53" w:rsidRDefault="00CB04CA" w:rsidP="00B71047">
            <w:pPr>
              <w:pStyle w:val="Tabletext"/>
              <w:rPr>
                <w:lang w:val="es-ES_tradnl"/>
              </w:rPr>
            </w:pPr>
            <w:r w:rsidRPr="00B95B53">
              <w:rPr>
                <w:lang w:val="es-ES_tradnl"/>
              </w:rPr>
              <w:t>Las disposiciones siguientes podrán ser de aplicación cuando los términos y condiciones de los acuerdos relativos a los servicios internacionales de telecomunicación se establezcan en virtud de los principios de las tasas de distribución, de conformidad con la reglamentación nacional. Dichas disposiciones no son de aplicación a los acuerdos establecidos mediante acuerdos comerciales.</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ECCE70B" w14:textId="77777777" w:rsidR="00B71047" w:rsidRPr="00B95B53" w:rsidRDefault="00B71047" w:rsidP="00B71047">
            <w:pPr>
              <w:pStyle w:val="Tabletext"/>
              <w:rPr>
                <w:lang w:val="es-ES_tradnl"/>
              </w:rPr>
            </w:pP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5C87C97" w14:textId="6FF045E7" w:rsidR="00B71047" w:rsidRDefault="00B71047" w:rsidP="00B71047">
            <w:pPr>
              <w:pStyle w:val="Tabletext"/>
              <w:rPr>
                <w:lang w:val="es-ES_tradnl"/>
              </w:rPr>
            </w:pPr>
            <w:bookmarkStart w:id="43" w:name="lt_pId101"/>
            <w:r w:rsidRPr="00B95B53">
              <w:rPr>
                <w:lang w:val="es-ES_tradnl"/>
              </w:rPr>
              <w:t>Se trata de algo que no se puede hacer cumplir.</w:t>
            </w:r>
            <w:bookmarkEnd w:id="43"/>
            <w:r w:rsidRPr="00B95B53">
              <w:rPr>
                <w:lang w:val="es-ES_tradnl"/>
              </w:rPr>
              <w:t xml:space="preserve"> </w:t>
            </w:r>
            <w:bookmarkStart w:id="44" w:name="lt_pId102"/>
            <w:r w:rsidRPr="00B95B53">
              <w:rPr>
                <w:lang w:val="es-ES_tradnl"/>
              </w:rPr>
              <w:t>"Las disposiciones siguientes podrán ser de aplicación" es un lenguaje muy endeble, por lo que es poco probable que pueda ayudar en el desarrollo de redes.</w:t>
            </w:r>
            <w:bookmarkEnd w:id="44"/>
          </w:p>
          <w:p w14:paraId="6FB6A2AE" w14:textId="77777777" w:rsidR="003A6D56" w:rsidRPr="00B95B53" w:rsidRDefault="003A6D56" w:rsidP="00B71047">
            <w:pPr>
              <w:pStyle w:val="Tabletext"/>
              <w:rPr>
                <w:lang w:val="es-ES_tradnl"/>
              </w:rPr>
            </w:pPr>
          </w:p>
          <w:p w14:paraId="41EA750F" w14:textId="4C8BDF7A" w:rsidR="00B71047" w:rsidRPr="00B95B53" w:rsidRDefault="00B71047" w:rsidP="00B71047">
            <w:pPr>
              <w:pStyle w:val="Tabletext"/>
              <w:rPr>
                <w:lang w:val="es-ES_tradnl"/>
              </w:rPr>
            </w:pPr>
            <w:bookmarkStart w:id="45" w:name="lt_pId103"/>
            <w:r w:rsidRPr="00B95B53">
              <w:rPr>
                <w:lang w:val="es-ES_tradnl"/>
              </w:rPr>
              <w:t>No está claro que sea necesario ya que casi todas las telecomunicaciones internacionales se establecen mediante acuerdos comerciales.</w:t>
            </w:r>
            <w:bookmarkEnd w:id="45"/>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A99A1B4" w14:textId="2D092550" w:rsidR="00B71047" w:rsidRPr="00B95B53" w:rsidRDefault="00B71047" w:rsidP="00B71047">
            <w:pPr>
              <w:pStyle w:val="Tabletext"/>
              <w:rPr>
                <w:lang w:val="es-ES_tradnl"/>
              </w:rPr>
            </w:pPr>
            <w:bookmarkStart w:id="46" w:name="lt_pId104"/>
            <w:r w:rsidRPr="00B95B53">
              <w:rPr>
                <w:lang w:val="es-ES_tradnl"/>
              </w:rPr>
              <w:t>Los arreglos se celebran cada vez más mediante acuerdos comerciales, pero esta disposición no aborda este tema.</w:t>
            </w:r>
            <w:bookmarkEnd w:id="46"/>
            <w:r w:rsidRPr="00B95B53">
              <w:rPr>
                <w:lang w:val="es-ES_tradnl"/>
              </w:rPr>
              <w:t xml:space="preserve"> </w:t>
            </w:r>
            <w:bookmarkStart w:id="47" w:name="lt_pId105"/>
            <w:r w:rsidRPr="00B95B53">
              <w:rPr>
                <w:lang w:val="es-ES_tradnl"/>
              </w:rPr>
              <w:t>Esta disposición disminuirá la capacidad de esos acuerdos para abordar nuevas cuestiones.</w:t>
            </w:r>
            <w:bookmarkEnd w:id="47"/>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2DD6DC0" w14:textId="77777777" w:rsidR="00B71047" w:rsidRPr="00B95B53" w:rsidRDefault="00B71047" w:rsidP="00B71047">
            <w:pPr>
              <w:pStyle w:val="Tabletext"/>
              <w:rPr>
                <w:lang w:val="es-ES_tradnl"/>
              </w:rPr>
            </w:pPr>
          </w:p>
        </w:tc>
      </w:tr>
      <w:tr w:rsidR="00B71047" w:rsidRPr="00B95B53" w14:paraId="26FCF064"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81320" w14:textId="77777777" w:rsidR="00B71047" w:rsidRPr="00B95B53" w:rsidRDefault="00B71047" w:rsidP="00B71047">
            <w:pPr>
              <w:pStyle w:val="Tabletext"/>
              <w:rPr>
                <w:lang w:val="es-ES_tradnl"/>
              </w:rPr>
            </w:pPr>
            <w:r w:rsidRPr="00B95B53">
              <w:rPr>
                <w:lang w:val="es-ES_tradnl"/>
              </w:rPr>
              <w:lastRenderedPageBreak/>
              <w:t>8.2.2</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254A4" w14:textId="3DC7CF94" w:rsidR="00B71047" w:rsidRPr="00B95B53" w:rsidRDefault="00CB04CA" w:rsidP="00B71047">
            <w:pPr>
              <w:pStyle w:val="Tabletext"/>
              <w:rPr>
                <w:lang w:val="es-ES_tradnl"/>
              </w:rPr>
            </w:pPr>
            <w:r w:rsidRPr="00B95B53">
              <w:rPr>
                <w:lang w:val="es-ES_tradnl"/>
              </w:rPr>
              <w:t>Para cada servicio correspondiente en una relación dada, las empresas de explotación autorizadas establecerán y revisarán por acuerdo mutuo las tasas de distribución aplicables entre ellas de conformidad con las disposiciones del Apéndice 1, habida cuenta de las Recomendaciones UIT-T pertinentes.</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2B60340" w14:textId="4951038E" w:rsidR="00B71047" w:rsidRPr="00B95B53" w:rsidRDefault="00CB04CA" w:rsidP="00B71047">
            <w:pPr>
              <w:pStyle w:val="Tabletext"/>
              <w:rPr>
                <w:lang w:val="es-ES_tradnl"/>
              </w:rPr>
            </w:pPr>
            <w:r w:rsidRPr="00B95B53">
              <w:rPr>
                <w:lang w:val="es-ES_tradnl"/>
              </w:rPr>
              <w:t>6.2</w:t>
            </w:r>
            <w:r w:rsidRPr="00B95B53">
              <w:rPr>
                <w:lang w:val="es-ES_tradnl"/>
              </w:rPr>
              <w:tab/>
              <w:t>Tasas de distribución</w:t>
            </w:r>
          </w:p>
          <w:p w14:paraId="4F68ADE0" w14:textId="7F9E92CF" w:rsidR="00B71047" w:rsidRPr="00B95B53" w:rsidRDefault="00CB04CA" w:rsidP="00FA7C2B">
            <w:pPr>
              <w:pStyle w:val="Tabletext"/>
              <w:rPr>
                <w:lang w:val="es-ES_tradnl"/>
              </w:rPr>
            </w:pPr>
            <w:r w:rsidRPr="00B95B53">
              <w:rPr>
                <w:lang w:val="es-ES_tradnl"/>
              </w:rPr>
              <w:t>6.2.1</w:t>
            </w:r>
            <w:r w:rsidRPr="00B95B53">
              <w:rPr>
                <w:lang w:val="es-ES_tradnl"/>
              </w:rPr>
              <w:tab/>
              <w:t>Para cada servicio admitido en una relación dada, las administracione</w:t>
            </w:r>
            <w:r w:rsidR="00FA7C2B" w:rsidRPr="00B95B53">
              <w:rPr>
                <w:lang w:val="es-ES_tradnl"/>
              </w:rPr>
              <w:t xml:space="preserve">s* </w:t>
            </w:r>
            <w:r w:rsidRPr="00B95B53">
              <w:rPr>
                <w:lang w:val="es-ES_tradnl"/>
              </w:rPr>
              <w:t>establecerán y revisarán por acuerdo mutuo las tasas de distribución aplicables entre ellas de conformidad con las disposiciones del Apéndice 1, habida cuenta de las Recomendaciones pertinentes del</w:t>
            </w:r>
            <w:r w:rsidR="001B1823">
              <w:rPr>
                <w:lang w:val="es-ES_tradnl"/>
              </w:rPr>
              <w:t> </w:t>
            </w:r>
            <w:proofErr w:type="spellStart"/>
            <w:r w:rsidRPr="00B95B53">
              <w:rPr>
                <w:lang w:val="es-ES_tradnl"/>
              </w:rPr>
              <w:t>CCITT</w:t>
            </w:r>
            <w:proofErr w:type="spellEnd"/>
            <w:r w:rsidRPr="00B95B53">
              <w:rPr>
                <w:lang w:val="es-ES_tradnl"/>
              </w:rPr>
              <w:t xml:space="preserve"> y de la evolución de los costes correspondientes.</w:t>
            </w: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DE33CCB" w14:textId="77777777" w:rsidR="00B71047" w:rsidRPr="00B95B53" w:rsidRDefault="00B71047" w:rsidP="00B71047">
            <w:pPr>
              <w:pStyle w:val="Tabletext"/>
              <w:rPr>
                <w:lang w:val="es-ES_tradnl"/>
              </w:rPr>
            </w:pPr>
            <w:bookmarkStart w:id="48" w:name="lt_pId115"/>
            <w:r w:rsidRPr="00B95B53">
              <w:rPr>
                <w:lang w:val="es-ES_tradnl"/>
              </w:rPr>
              <w:t>Se trata de algo que las empresas de explotación ya hacen de forma comercial y que, en gran medida, es irrelevante para la prestación y el desarrollo de redes y servicios.</w:t>
            </w:r>
            <w:bookmarkEnd w:id="48"/>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A03075" w14:textId="5595D2D8" w:rsidR="00B71047" w:rsidRDefault="00B71047" w:rsidP="00B71047">
            <w:pPr>
              <w:pStyle w:val="Tabletext"/>
              <w:rPr>
                <w:lang w:val="es-ES_tradnl"/>
              </w:rPr>
            </w:pPr>
            <w:bookmarkStart w:id="49" w:name="lt_pId116"/>
            <w:r w:rsidRPr="00B95B53">
              <w:rPr>
                <w:lang w:val="es-ES_tradnl"/>
              </w:rPr>
              <w:t>En el entorno de las telecomunicaciones modernas, las empresas de explotación ya hacen eso de forma comercial, cuando es necesario.</w:t>
            </w:r>
            <w:bookmarkEnd w:id="49"/>
          </w:p>
          <w:p w14:paraId="6FC69DCE" w14:textId="77777777" w:rsidR="003A6D56" w:rsidRPr="00B95B53" w:rsidRDefault="003A6D56" w:rsidP="00B71047">
            <w:pPr>
              <w:pStyle w:val="Tabletext"/>
              <w:rPr>
                <w:lang w:val="es-ES_tradnl"/>
              </w:rPr>
            </w:pPr>
          </w:p>
          <w:p w14:paraId="5FBD6478" w14:textId="77777777" w:rsidR="00B71047" w:rsidRPr="00B95B53" w:rsidRDefault="00B71047" w:rsidP="00B71047">
            <w:pPr>
              <w:pStyle w:val="Tabletext"/>
              <w:rPr>
                <w:lang w:val="es-ES_tradnl"/>
              </w:rPr>
            </w:pPr>
            <w:bookmarkStart w:id="50" w:name="lt_pId117"/>
            <w:r w:rsidRPr="00B95B53">
              <w:rPr>
                <w:lang w:val="es-ES_tradnl"/>
              </w:rPr>
              <w:t>Exigir a las empresas de explotación que establezcan y revisen las tasas de contabilidad podría obstaculizar la innovación.</w:t>
            </w:r>
            <w:bookmarkEnd w:id="50"/>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FC440F5" w14:textId="77777777" w:rsidR="00B71047" w:rsidRPr="00B95B53" w:rsidRDefault="00B71047" w:rsidP="00B71047">
            <w:pPr>
              <w:pStyle w:val="Tabletext"/>
              <w:rPr>
                <w:lang w:val="es-ES_tradnl"/>
              </w:rPr>
            </w:pPr>
          </w:p>
        </w:tc>
      </w:tr>
      <w:tr w:rsidR="00B71047" w:rsidRPr="00B95B53" w14:paraId="35FC7F17"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EE9B2" w14:textId="77777777" w:rsidR="00B71047" w:rsidRPr="00B95B53" w:rsidRDefault="00B71047" w:rsidP="00B71047">
            <w:pPr>
              <w:pStyle w:val="Tabletext"/>
              <w:rPr>
                <w:lang w:val="es-ES_tradnl"/>
              </w:rPr>
            </w:pPr>
            <w:r w:rsidRPr="00B95B53">
              <w:rPr>
                <w:lang w:val="es-ES_tradnl"/>
              </w:rPr>
              <w:t>8.2.3</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8226F" w14:textId="57F66C81" w:rsidR="00B71047" w:rsidRPr="00B95B53" w:rsidRDefault="00CB04CA" w:rsidP="00B71047">
            <w:pPr>
              <w:pStyle w:val="Tabletext"/>
              <w:rPr>
                <w:lang w:val="es-ES_tradnl"/>
              </w:rPr>
            </w:pPr>
            <w:r w:rsidRPr="00B95B53">
              <w:rPr>
                <w:lang w:val="es-ES_tradnl"/>
              </w:rPr>
              <w:t>A menos que se acuerde otra cosa, las partes que participen en la prestación de servicios internacionales de telecomunicación lo harán de conformidad con las disposiciones pertinentes según se establece en los Apéndices 1 y 2.</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ACDF52F" w14:textId="77777777" w:rsidR="00B71047" w:rsidRPr="00B95B53" w:rsidRDefault="00B71047" w:rsidP="00B71047">
            <w:pPr>
              <w:pStyle w:val="Tabletext"/>
              <w:rPr>
                <w:lang w:val="es-ES_tradnl"/>
              </w:rPr>
            </w:pP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A43E576" w14:textId="77777777" w:rsidR="00B71047" w:rsidRPr="00B95B53" w:rsidRDefault="00B71047" w:rsidP="00B71047">
            <w:pPr>
              <w:pStyle w:val="Tabletext"/>
              <w:rPr>
                <w:lang w:val="es-ES_tradnl"/>
              </w:rPr>
            </w:pPr>
            <w:bookmarkStart w:id="51" w:name="lt_pId120"/>
            <w:r w:rsidRPr="00B95B53">
              <w:rPr>
                <w:lang w:val="es-ES_tradnl"/>
              </w:rPr>
              <w:t>Se trata de algo que las empresas de explotación ya hacen de forma comercial y que, en gran medida, es irrelevante para la prestación y el desarrollo de redes y servicios.</w:t>
            </w:r>
            <w:bookmarkEnd w:id="51"/>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9C6D474" w14:textId="01C7FDDB" w:rsidR="00B71047" w:rsidRDefault="00B71047" w:rsidP="00B71047">
            <w:pPr>
              <w:pStyle w:val="Tabletext"/>
              <w:rPr>
                <w:lang w:val="es-ES_tradnl"/>
              </w:rPr>
            </w:pPr>
            <w:bookmarkStart w:id="52" w:name="lt_pId121"/>
            <w:r w:rsidRPr="00B95B53">
              <w:rPr>
                <w:lang w:val="es-ES_tradnl"/>
              </w:rPr>
              <w:t>En el entorno de las telecomunicaciones modernas, las empresas de explotación ya hacen eso de forma comercial, cuando es necesario.</w:t>
            </w:r>
            <w:bookmarkEnd w:id="52"/>
          </w:p>
          <w:p w14:paraId="7062596D" w14:textId="77777777" w:rsidR="003A6D56" w:rsidRPr="00B95B53" w:rsidRDefault="003A6D56" w:rsidP="00B71047">
            <w:pPr>
              <w:pStyle w:val="Tabletext"/>
              <w:rPr>
                <w:lang w:val="es-ES_tradnl"/>
              </w:rPr>
            </w:pPr>
          </w:p>
          <w:p w14:paraId="0933A808" w14:textId="31A0D2E9" w:rsidR="00B71047" w:rsidRPr="00B95B53" w:rsidRDefault="00B71047" w:rsidP="00B71047">
            <w:pPr>
              <w:pStyle w:val="Tabletext"/>
              <w:rPr>
                <w:lang w:val="es-ES_tradnl"/>
              </w:rPr>
            </w:pPr>
            <w:bookmarkStart w:id="53" w:name="lt_pId122"/>
            <w:r w:rsidRPr="00B95B53">
              <w:rPr>
                <w:lang w:val="es-ES_tradnl"/>
              </w:rPr>
              <w:t>Esta disposición podría obstaculizar la innovación.</w:t>
            </w:r>
            <w:bookmarkEnd w:id="53"/>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DC1FC65" w14:textId="77777777" w:rsidR="00B71047" w:rsidRPr="00B95B53" w:rsidRDefault="00B71047" w:rsidP="00B71047">
            <w:pPr>
              <w:pStyle w:val="Tabletext"/>
              <w:rPr>
                <w:lang w:val="es-ES_tradnl"/>
              </w:rPr>
            </w:pPr>
          </w:p>
        </w:tc>
      </w:tr>
      <w:tr w:rsidR="00B71047" w:rsidRPr="00B95B53" w14:paraId="2F416435"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46B60" w14:textId="77777777" w:rsidR="00B71047" w:rsidRPr="00B95B53" w:rsidRDefault="00B71047" w:rsidP="00B71047">
            <w:pPr>
              <w:pStyle w:val="Tabletext"/>
              <w:rPr>
                <w:lang w:val="es-ES_tradnl"/>
              </w:rPr>
            </w:pPr>
            <w:r w:rsidRPr="00B95B53">
              <w:rPr>
                <w:lang w:val="es-ES_tradnl"/>
              </w:rPr>
              <w:t>8.2.4</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8096E" w14:textId="11E83019" w:rsidR="00B71047" w:rsidRPr="00B95B53" w:rsidRDefault="00CB04CA" w:rsidP="00B71047">
            <w:pPr>
              <w:pStyle w:val="Tabletext"/>
              <w:rPr>
                <w:lang w:val="es-ES_tradnl"/>
              </w:rPr>
            </w:pPr>
            <w:r w:rsidRPr="00B95B53">
              <w:rPr>
                <w:lang w:val="es-ES_tradnl"/>
              </w:rPr>
              <w:t xml:space="preserve">En defecto de acuerdos particulares entre empresas de explotación autorizadas, la unidad monetaria empleada para fijar las tasas de distribución aplicables a los servicios internacionales de </w:t>
            </w:r>
            <w:r w:rsidRPr="00B95B53">
              <w:rPr>
                <w:lang w:val="es-ES_tradnl"/>
              </w:rPr>
              <w:lastRenderedPageBreak/>
              <w:t>telecomunicación y para el establecimiento de las cuentas internacionales será:</w:t>
            </w:r>
          </w:p>
          <w:p w14:paraId="3ADEE444" w14:textId="77777777" w:rsidR="00CB04CA" w:rsidRPr="00B95B53" w:rsidRDefault="00CB04CA" w:rsidP="00CB04CA">
            <w:pPr>
              <w:pStyle w:val="Tabletext"/>
              <w:rPr>
                <w:lang w:val="es-ES_tradnl"/>
              </w:rPr>
            </w:pPr>
            <w:r w:rsidRPr="00B95B53">
              <w:rPr>
                <w:lang w:val="es-ES_tradnl"/>
              </w:rPr>
              <w:t>–</w:t>
            </w:r>
            <w:r w:rsidRPr="00B95B53">
              <w:rPr>
                <w:lang w:val="es-ES_tradnl"/>
              </w:rPr>
              <w:tab/>
              <w:t>la unidad monetaria del Fondo Monetario Internacional (FMI), actualmente el Derecho Especial de Giro (</w:t>
            </w:r>
            <w:proofErr w:type="spellStart"/>
            <w:r w:rsidRPr="00B95B53">
              <w:rPr>
                <w:lang w:val="es-ES_tradnl"/>
              </w:rPr>
              <w:t>DEG</w:t>
            </w:r>
            <w:proofErr w:type="spellEnd"/>
            <w:r w:rsidRPr="00B95B53">
              <w:rPr>
                <w:lang w:val="es-ES_tradnl"/>
              </w:rPr>
              <w:t>), definida por esta organización;</w:t>
            </w:r>
          </w:p>
          <w:p w14:paraId="7E854CC5" w14:textId="2E11CD7C" w:rsidR="00B71047" w:rsidRPr="00B95B53" w:rsidRDefault="00CB04CA" w:rsidP="00B71047">
            <w:pPr>
              <w:pStyle w:val="Tabletext"/>
              <w:rPr>
                <w:lang w:val="es-ES_tradnl"/>
              </w:rPr>
            </w:pPr>
            <w:r w:rsidRPr="00B95B53">
              <w:rPr>
                <w:lang w:val="es-ES_tradnl"/>
              </w:rPr>
              <w:t>–</w:t>
            </w:r>
            <w:r w:rsidRPr="00B95B53">
              <w:rPr>
                <w:lang w:val="es-ES_tradnl"/>
              </w:rPr>
              <w:tab/>
              <w:t>o divisas libremente convertibles u otras unidades monetarias acordadas entre las empresas de explotación autorizadas.</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ADF29EF" w14:textId="701081BA" w:rsidR="00B71047" w:rsidRPr="00B95B53" w:rsidRDefault="00F610E3" w:rsidP="00B71047">
            <w:pPr>
              <w:pStyle w:val="Tabletext"/>
              <w:rPr>
                <w:lang w:val="es-ES_tradnl"/>
              </w:rPr>
            </w:pPr>
            <w:r w:rsidRPr="00B95B53">
              <w:rPr>
                <w:lang w:val="es-ES_tradnl"/>
              </w:rPr>
              <w:lastRenderedPageBreak/>
              <w:t>6.3</w:t>
            </w:r>
            <w:r w:rsidRPr="00B95B53">
              <w:rPr>
                <w:lang w:val="es-ES_tradnl"/>
              </w:rPr>
              <w:tab/>
              <w:t>Unidad monetaria</w:t>
            </w:r>
          </w:p>
          <w:p w14:paraId="05E64871" w14:textId="31D8E2BB" w:rsidR="00F610E3" w:rsidRPr="00B95B53" w:rsidRDefault="00F610E3" w:rsidP="00F610E3">
            <w:pPr>
              <w:pStyle w:val="Tabletext"/>
              <w:rPr>
                <w:lang w:val="es-ES_tradnl"/>
              </w:rPr>
            </w:pPr>
            <w:r w:rsidRPr="00B95B53">
              <w:rPr>
                <w:lang w:val="es-ES_tradnl"/>
              </w:rPr>
              <w:t>6.3.1</w:t>
            </w:r>
            <w:r w:rsidRPr="00B95B53">
              <w:rPr>
                <w:lang w:val="es-ES_tradnl"/>
              </w:rPr>
              <w:tab/>
              <w:t>En defecto de arreglos particulares entre las administraciones</w:t>
            </w:r>
            <w:r w:rsidR="00FA7C2B" w:rsidRPr="00B95B53">
              <w:rPr>
                <w:lang w:val="es-ES_tradnl"/>
              </w:rPr>
              <w:t>*</w:t>
            </w:r>
            <w:r w:rsidRPr="00B95B53">
              <w:rPr>
                <w:lang w:val="es-ES_tradnl"/>
              </w:rPr>
              <w:t xml:space="preserve">, la unidad monetaria empleada para fijar las tasas de distribución aplicables a los </w:t>
            </w:r>
            <w:r w:rsidRPr="00B95B53">
              <w:rPr>
                <w:lang w:val="es-ES_tradnl"/>
              </w:rPr>
              <w:lastRenderedPageBreak/>
              <w:t>servicios internacionales de telecomunicación y para el establecimiento de las cuentas internacionales será:</w:t>
            </w:r>
          </w:p>
          <w:p w14:paraId="186613D8" w14:textId="77777777" w:rsidR="00F610E3" w:rsidRPr="00B95B53" w:rsidRDefault="00F610E3" w:rsidP="00F610E3">
            <w:pPr>
              <w:pStyle w:val="Tabletext"/>
              <w:rPr>
                <w:lang w:val="es-ES_tradnl"/>
              </w:rPr>
            </w:pPr>
            <w:r w:rsidRPr="00B95B53">
              <w:rPr>
                <w:lang w:val="es-ES_tradnl"/>
              </w:rPr>
              <w:t>–</w:t>
            </w:r>
            <w:r w:rsidRPr="00B95B53">
              <w:rPr>
                <w:lang w:val="es-ES_tradnl"/>
              </w:rPr>
              <w:tab/>
              <w:t>la unidad monetaria del Fondo Monetario Internacional (FMI), actualmente el Derecho Especial de Giro (</w:t>
            </w:r>
            <w:proofErr w:type="spellStart"/>
            <w:r w:rsidRPr="00B95B53">
              <w:rPr>
                <w:lang w:val="es-ES_tradnl"/>
              </w:rPr>
              <w:t>DEG</w:t>
            </w:r>
            <w:proofErr w:type="spellEnd"/>
            <w:r w:rsidRPr="00B95B53">
              <w:rPr>
                <w:lang w:val="es-ES_tradnl"/>
              </w:rPr>
              <w:t>), definida por esta organización;</w:t>
            </w:r>
          </w:p>
          <w:p w14:paraId="1F1415B8" w14:textId="2E9C899E" w:rsidR="00F610E3" w:rsidRDefault="00F610E3" w:rsidP="00F610E3">
            <w:pPr>
              <w:pStyle w:val="Tabletext"/>
              <w:rPr>
                <w:lang w:val="es-ES_tradnl"/>
              </w:rPr>
            </w:pPr>
            <w:r w:rsidRPr="00B95B53">
              <w:rPr>
                <w:lang w:val="es-ES_tradnl"/>
              </w:rPr>
              <w:t>–</w:t>
            </w:r>
            <w:r w:rsidRPr="00B95B53">
              <w:rPr>
                <w:lang w:val="es-ES_tradnl"/>
              </w:rPr>
              <w:tab/>
              <w:t xml:space="preserve">o el franco oro, que equivale a 1/3,061 </w:t>
            </w:r>
            <w:proofErr w:type="spellStart"/>
            <w:r w:rsidRPr="00B95B53">
              <w:rPr>
                <w:lang w:val="es-ES_tradnl"/>
              </w:rPr>
              <w:t>DEG</w:t>
            </w:r>
            <w:proofErr w:type="spellEnd"/>
            <w:r w:rsidRPr="00B95B53">
              <w:rPr>
                <w:lang w:val="es-ES_tradnl"/>
              </w:rPr>
              <w:t>.</w:t>
            </w:r>
          </w:p>
          <w:p w14:paraId="46583F0D" w14:textId="77777777" w:rsidR="003A6D56" w:rsidRPr="00B95B53" w:rsidRDefault="003A6D56" w:rsidP="00F610E3">
            <w:pPr>
              <w:pStyle w:val="Tabletext"/>
              <w:rPr>
                <w:lang w:val="es-ES_tradnl"/>
              </w:rPr>
            </w:pPr>
          </w:p>
          <w:p w14:paraId="06ABE0AE" w14:textId="4B1A9564" w:rsidR="00B71047" w:rsidRPr="00B95B53" w:rsidRDefault="00F610E3" w:rsidP="00FA7C2B">
            <w:pPr>
              <w:pStyle w:val="Tabletext"/>
              <w:rPr>
                <w:lang w:val="es-ES_tradnl"/>
              </w:rPr>
            </w:pPr>
            <w:r w:rsidRPr="00B95B53">
              <w:rPr>
                <w:lang w:val="es-ES_tradnl"/>
              </w:rPr>
              <w:t>6.3.2</w:t>
            </w:r>
            <w:r w:rsidRPr="00B95B53">
              <w:rPr>
                <w:lang w:val="es-ES_tradnl"/>
              </w:rPr>
              <w:tab/>
              <w:t>De conformidad con las disposiciones pertinentes del Convenio Internacional de Telecomunicaciones, esta disposición no obsta a la posibilidad de concertar arreglos bilaterales entre administracione</w:t>
            </w:r>
            <w:r w:rsidR="00FA7C2B" w:rsidRPr="00B95B53">
              <w:rPr>
                <w:lang w:val="es-ES_tradnl"/>
              </w:rPr>
              <w:t>s*</w:t>
            </w:r>
            <w:r w:rsidRPr="00B95B53">
              <w:rPr>
                <w:lang w:val="es-ES_tradnl"/>
              </w:rPr>
              <w:t xml:space="preserve"> para la fijación de coeficientes mutuamente aceptables entre la unidad monetaria del FMI y el franco oro.</w:t>
            </w: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D72664" w14:textId="77777777" w:rsidR="00B71047" w:rsidRPr="00B95B53" w:rsidRDefault="00B71047" w:rsidP="00B71047">
            <w:pPr>
              <w:pStyle w:val="Tabletext"/>
              <w:rPr>
                <w:lang w:val="es-ES_tradnl"/>
              </w:rPr>
            </w:pPr>
            <w:bookmarkStart w:id="54" w:name="lt_pId138"/>
            <w:r w:rsidRPr="00B95B53">
              <w:rPr>
                <w:lang w:val="es-ES_tradnl"/>
              </w:rPr>
              <w:lastRenderedPageBreak/>
              <w:t>Se trata de algo que las empresas de explotación ya hacen de forma comercial y que, en gran medida, es irrelevante para la prestación y el desarrollo de redes y servicios.</w:t>
            </w:r>
            <w:bookmarkEnd w:id="54"/>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AE88020" w14:textId="77777777" w:rsidR="00B71047" w:rsidRPr="00B95B53" w:rsidRDefault="00B71047" w:rsidP="00B71047">
            <w:pPr>
              <w:pStyle w:val="Tabletext"/>
              <w:rPr>
                <w:lang w:val="es-ES_tradnl"/>
              </w:rPr>
            </w:pPr>
            <w:bookmarkStart w:id="55" w:name="lt_pId139"/>
            <w:r w:rsidRPr="00B95B53">
              <w:rPr>
                <w:lang w:val="es-ES_tradnl"/>
              </w:rPr>
              <w:t>En el entorno de las telecomunicaciones modernas, las empresas de explotación ya hacen eso de forma comercial, cuando es necesario.</w:t>
            </w:r>
            <w:bookmarkEnd w:id="55"/>
          </w:p>
          <w:p w14:paraId="38793C4D" w14:textId="080DA483" w:rsidR="00B71047" w:rsidRPr="00B95B53" w:rsidRDefault="00B71047" w:rsidP="00B71047">
            <w:pPr>
              <w:pStyle w:val="Tabletext"/>
              <w:rPr>
                <w:lang w:val="es-ES_tradnl"/>
              </w:rPr>
            </w:pPr>
            <w:bookmarkStart w:id="56" w:name="lt_pId140"/>
            <w:r w:rsidRPr="00B95B53">
              <w:rPr>
                <w:lang w:val="es-ES_tradnl"/>
              </w:rPr>
              <w:lastRenderedPageBreak/>
              <w:t>Esta disposición podría obstaculizar la innovación.</w:t>
            </w:r>
            <w:bookmarkEnd w:id="56"/>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E0B36C8" w14:textId="77777777" w:rsidR="00B71047" w:rsidRPr="00B95B53" w:rsidRDefault="00B71047" w:rsidP="00B71047">
            <w:pPr>
              <w:pStyle w:val="Tabletext"/>
              <w:rPr>
                <w:lang w:val="es-ES_tradnl"/>
              </w:rPr>
            </w:pPr>
          </w:p>
        </w:tc>
      </w:tr>
      <w:tr w:rsidR="00B71047" w:rsidRPr="00B95B53" w14:paraId="1AC3A2D0"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E1F04" w14:textId="77777777" w:rsidR="00B71047" w:rsidRPr="00B95B53" w:rsidRDefault="00B71047" w:rsidP="00B71047">
            <w:pPr>
              <w:pStyle w:val="Tabletext"/>
              <w:rPr>
                <w:lang w:val="es-ES_tradnl"/>
              </w:rPr>
            </w:pP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8CD86" w14:textId="77777777" w:rsidR="00B71047" w:rsidRPr="00B95B53" w:rsidRDefault="00B71047" w:rsidP="00B71047">
            <w:pPr>
              <w:pStyle w:val="Tabletext"/>
              <w:rPr>
                <w:lang w:val="es-ES_tradnl"/>
              </w:rPr>
            </w:pP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2144E6" w14:textId="3F1791AB" w:rsidR="00B71047" w:rsidRPr="00B95B53" w:rsidRDefault="00F610E3" w:rsidP="00B71047">
            <w:pPr>
              <w:pStyle w:val="Tabletext"/>
              <w:rPr>
                <w:lang w:val="es-ES_tradnl"/>
              </w:rPr>
            </w:pPr>
            <w:r w:rsidRPr="00B95B53">
              <w:rPr>
                <w:lang w:val="es-ES_tradnl"/>
              </w:rPr>
              <w:t>6.4</w:t>
            </w:r>
            <w:r w:rsidRPr="00B95B53">
              <w:rPr>
                <w:lang w:val="es-ES_tradnl"/>
              </w:rPr>
              <w:tab/>
              <w:t>Establecimiento de las cuentas y liquidación de los saldos de las cuentas</w:t>
            </w:r>
          </w:p>
          <w:p w14:paraId="449A6B85" w14:textId="567E1931" w:rsidR="00B71047" w:rsidRPr="00B95B53" w:rsidRDefault="00F610E3" w:rsidP="00FA7C2B">
            <w:pPr>
              <w:pStyle w:val="Tabletext"/>
              <w:rPr>
                <w:lang w:val="es-ES_tradnl"/>
              </w:rPr>
            </w:pPr>
            <w:r w:rsidRPr="00B95B53">
              <w:rPr>
                <w:lang w:val="es-ES_tradnl"/>
              </w:rPr>
              <w:lastRenderedPageBreak/>
              <w:t>6.4.1</w:t>
            </w:r>
            <w:r w:rsidRPr="00B95B53">
              <w:rPr>
                <w:lang w:val="es-ES_tradnl"/>
              </w:rPr>
              <w:tab/>
              <w:t>A menos que se acuerde otra cosa, las administraciones</w:t>
            </w:r>
            <w:r w:rsidR="00FA7C2B" w:rsidRPr="00B95B53">
              <w:rPr>
                <w:lang w:val="es-ES_tradnl"/>
              </w:rPr>
              <w:t>*</w:t>
            </w:r>
            <w:r w:rsidRPr="00B95B53">
              <w:rPr>
                <w:lang w:val="es-ES_tradnl"/>
              </w:rPr>
              <w:t xml:space="preserve"> deberán aplicar las disposiciones pertinentes que figuran en los Apéndices 1 y 2.</w:t>
            </w:r>
          </w:p>
        </w:tc>
        <w:tc>
          <w:tcPr>
            <w:tcW w:w="3080" w:type="dxa"/>
            <w:tcBorders>
              <w:top w:val="nil"/>
              <w:left w:val="nil"/>
              <w:bottom w:val="single" w:sz="8" w:space="0" w:color="000000"/>
              <w:right w:val="single" w:sz="8" w:space="0" w:color="000000"/>
            </w:tcBorders>
            <w:tcMar>
              <w:top w:w="56" w:type="dxa"/>
              <w:left w:w="56" w:type="dxa"/>
              <w:bottom w:w="56" w:type="dxa"/>
              <w:right w:w="56" w:type="dxa"/>
            </w:tcMar>
          </w:tcPr>
          <w:p w14:paraId="731BB457" w14:textId="7D4EC06F" w:rsidR="00B71047" w:rsidRPr="00B95B53" w:rsidRDefault="00216A7E" w:rsidP="00B71047">
            <w:pPr>
              <w:pStyle w:val="Tabletext"/>
              <w:rPr>
                <w:lang w:val="es-ES_tradnl"/>
              </w:rPr>
            </w:pPr>
            <w:proofErr w:type="spellStart"/>
            <w:r w:rsidRPr="00B95B53">
              <w:rPr>
                <w:lang w:val="es-ES_tradnl"/>
              </w:rPr>
              <w:lastRenderedPageBreak/>
              <w:t>NA</w:t>
            </w:r>
            <w:proofErr w:type="spellEnd"/>
            <w:r w:rsidRPr="00B95B53">
              <w:rPr>
                <w:lang w:val="es-ES_tradnl"/>
              </w:rPr>
              <w:t xml:space="preserve"> – no figura en el </w:t>
            </w:r>
            <w:proofErr w:type="spellStart"/>
            <w:r w:rsidRPr="00B95B53">
              <w:rPr>
                <w:lang w:val="es-ES_tradnl"/>
              </w:rPr>
              <w:t>RTI</w:t>
            </w:r>
            <w:proofErr w:type="spellEnd"/>
            <w:r w:rsidRPr="00B95B53">
              <w:rPr>
                <w:lang w:val="es-ES_tradnl"/>
              </w:rPr>
              <w:t xml:space="preserve"> 2012</w:t>
            </w:r>
          </w:p>
        </w:tc>
        <w:tc>
          <w:tcPr>
            <w:tcW w:w="3219" w:type="dxa"/>
            <w:tcBorders>
              <w:top w:val="nil"/>
              <w:left w:val="nil"/>
              <w:bottom w:val="single" w:sz="8" w:space="0" w:color="000000"/>
              <w:right w:val="single" w:sz="8" w:space="0" w:color="000000"/>
            </w:tcBorders>
            <w:tcMar>
              <w:top w:w="56" w:type="dxa"/>
              <w:left w:w="56" w:type="dxa"/>
              <w:bottom w:w="56" w:type="dxa"/>
              <w:right w:w="56" w:type="dxa"/>
            </w:tcMar>
          </w:tcPr>
          <w:p w14:paraId="08E26472" w14:textId="3F85DBD5" w:rsidR="00B71047" w:rsidRPr="00B95B53" w:rsidRDefault="00216A7E" w:rsidP="00B71047">
            <w:pPr>
              <w:pStyle w:val="Tabletext"/>
              <w:rPr>
                <w:lang w:val="es-ES_tradnl"/>
              </w:rPr>
            </w:pPr>
            <w:proofErr w:type="spellStart"/>
            <w:r w:rsidRPr="00B95B53">
              <w:rPr>
                <w:lang w:val="es-ES_tradnl"/>
              </w:rPr>
              <w:t>NA</w:t>
            </w:r>
            <w:proofErr w:type="spellEnd"/>
            <w:r w:rsidRPr="00B95B53">
              <w:rPr>
                <w:lang w:val="es-ES_tradnl"/>
              </w:rPr>
              <w:t xml:space="preserve"> – no figura en el </w:t>
            </w:r>
            <w:proofErr w:type="spellStart"/>
            <w:r w:rsidRPr="00B95B53">
              <w:rPr>
                <w:lang w:val="es-ES_tradnl"/>
              </w:rPr>
              <w:t>RTI</w:t>
            </w:r>
            <w:proofErr w:type="spellEnd"/>
            <w:r w:rsidRPr="00B95B53">
              <w:rPr>
                <w:lang w:val="es-ES_tradnl"/>
              </w:rPr>
              <w:t xml:space="preserve"> 2012</w:t>
            </w:r>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034202F" w14:textId="77777777" w:rsidR="00B71047" w:rsidRPr="00B95B53" w:rsidRDefault="00B71047" w:rsidP="00B71047">
            <w:pPr>
              <w:pStyle w:val="Tabletext"/>
              <w:rPr>
                <w:lang w:val="es-ES_tradnl"/>
              </w:rPr>
            </w:pPr>
          </w:p>
        </w:tc>
      </w:tr>
      <w:tr w:rsidR="00B71047" w:rsidRPr="00B95B53" w14:paraId="74326D76"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9C33A" w14:textId="77777777" w:rsidR="00B71047" w:rsidRPr="00B95B53" w:rsidRDefault="00B71047" w:rsidP="00B71047">
            <w:pPr>
              <w:pStyle w:val="Tabletext"/>
              <w:rPr>
                <w:lang w:val="es-ES_tradnl"/>
              </w:rPr>
            </w:pP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74B7" w14:textId="77777777" w:rsidR="00B71047" w:rsidRPr="00B95B53" w:rsidRDefault="00B71047" w:rsidP="00B71047">
            <w:pPr>
              <w:pStyle w:val="Tabletext"/>
              <w:rPr>
                <w:lang w:val="es-ES_tradnl"/>
              </w:rPr>
            </w:pP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13178DC" w14:textId="4277A898" w:rsidR="00B71047" w:rsidRDefault="00F610E3" w:rsidP="00B71047">
            <w:pPr>
              <w:pStyle w:val="Tabletext"/>
              <w:rPr>
                <w:lang w:val="es-ES_tradnl"/>
              </w:rPr>
            </w:pPr>
            <w:r w:rsidRPr="00B95B53">
              <w:rPr>
                <w:lang w:val="es-ES_tradnl"/>
              </w:rPr>
              <w:t>6.5</w:t>
            </w:r>
            <w:r w:rsidRPr="00B95B53">
              <w:rPr>
                <w:lang w:val="es-ES_tradnl"/>
              </w:rPr>
              <w:tab/>
              <w:t>Telecomunicaciones de servicio y telecomunicaciones privilegiadas</w:t>
            </w:r>
          </w:p>
          <w:p w14:paraId="038BA504" w14:textId="77777777" w:rsidR="003A6D56" w:rsidRPr="00B95B53" w:rsidRDefault="003A6D56" w:rsidP="00B71047">
            <w:pPr>
              <w:pStyle w:val="Tabletext"/>
              <w:rPr>
                <w:lang w:val="es-ES_tradnl"/>
              </w:rPr>
            </w:pPr>
          </w:p>
          <w:p w14:paraId="109F268B" w14:textId="1F463D1B" w:rsidR="00B71047" w:rsidRPr="00B95B53" w:rsidRDefault="00F610E3" w:rsidP="00FA7C2B">
            <w:pPr>
              <w:pStyle w:val="Tabletext"/>
              <w:rPr>
                <w:lang w:val="es-ES_tradnl"/>
              </w:rPr>
            </w:pPr>
            <w:r w:rsidRPr="00B95B53">
              <w:rPr>
                <w:lang w:val="es-ES_tradnl"/>
              </w:rPr>
              <w:t>6.5.1</w:t>
            </w:r>
            <w:r w:rsidRPr="00B95B53">
              <w:rPr>
                <w:lang w:val="es-ES_tradnl"/>
              </w:rPr>
              <w:tab/>
              <w:t>Las administraciones</w:t>
            </w:r>
            <w:r w:rsidR="00FA7C2B" w:rsidRPr="00B95B53">
              <w:rPr>
                <w:lang w:val="es-ES_tradnl"/>
              </w:rPr>
              <w:t>*</w:t>
            </w:r>
            <w:r w:rsidRPr="00B95B53">
              <w:rPr>
                <w:lang w:val="es-ES_tradnl"/>
              </w:rPr>
              <w:t>deberán aplicar las disposiciones pertinentes que figuran en el Apéndice 3.</w:t>
            </w:r>
          </w:p>
        </w:tc>
        <w:tc>
          <w:tcPr>
            <w:tcW w:w="3080" w:type="dxa"/>
            <w:tcBorders>
              <w:top w:val="nil"/>
              <w:left w:val="nil"/>
              <w:bottom w:val="single" w:sz="8" w:space="0" w:color="000000"/>
              <w:right w:val="single" w:sz="8" w:space="0" w:color="000000"/>
            </w:tcBorders>
            <w:tcMar>
              <w:top w:w="56" w:type="dxa"/>
              <w:left w:w="56" w:type="dxa"/>
              <w:bottom w:w="56" w:type="dxa"/>
              <w:right w:w="56" w:type="dxa"/>
            </w:tcMar>
          </w:tcPr>
          <w:p w14:paraId="4496663B" w14:textId="617A7404" w:rsidR="00B71047" w:rsidRPr="00B95B53" w:rsidRDefault="00216A7E" w:rsidP="00B71047">
            <w:pPr>
              <w:pStyle w:val="Tabletext"/>
              <w:rPr>
                <w:lang w:val="es-ES_tradnl"/>
              </w:rPr>
            </w:pPr>
            <w:proofErr w:type="spellStart"/>
            <w:r w:rsidRPr="00B95B53">
              <w:rPr>
                <w:lang w:val="es-ES_tradnl"/>
              </w:rPr>
              <w:t>NA</w:t>
            </w:r>
            <w:proofErr w:type="spellEnd"/>
            <w:r w:rsidRPr="00B95B53">
              <w:rPr>
                <w:lang w:val="es-ES_tradnl"/>
              </w:rPr>
              <w:t xml:space="preserve"> – no figura en el </w:t>
            </w:r>
            <w:proofErr w:type="spellStart"/>
            <w:r w:rsidRPr="00B95B53">
              <w:rPr>
                <w:lang w:val="es-ES_tradnl"/>
              </w:rPr>
              <w:t>RTI</w:t>
            </w:r>
            <w:proofErr w:type="spellEnd"/>
            <w:r w:rsidRPr="00B95B53">
              <w:rPr>
                <w:lang w:val="es-ES_tradnl"/>
              </w:rPr>
              <w:t xml:space="preserve"> 2012</w:t>
            </w:r>
          </w:p>
        </w:tc>
        <w:tc>
          <w:tcPr>
            <w:tcW w:w="3219" w:type="dxa"/>
            <w:tcBorders>
              <w:top w:val="nil"/>
              <w:left w:val="nil"/>
              <w:bottom w:val="single" w:sz="8" w:space="0" w:color="000000"/>
              <w:right w:val="single" w:sz="8" w:space="0" w:color="000000"/>
            </w:tcBorders>
            <w:tcMar>
              <w:top w:w="56" w:type="dxa"/>
              <w:left w:w="56" w:type="dxa"/>
              <w:bottom w:w="56" w:type="dxa"/>
              <w:right w:w="56" w:type="dxa"/>
            </w:tcMar>
          </w:tcPr>
          <w:p w14:paraId="58DCC710" w14:textId="7127DB5E" w:rsidR="00B71047" w:rsidRPr="00B95B53" w:rsidRDefault="00216A7E" w:rsidP="00B71047">
            <w:pPr>
              <w:pStyle w:val="Tabletext"/>
              <w:rPr>
                <w:lang w:val="es-ES_tradnl"/>
              </w:rPr>
            </w:pPr>
            <w:proofErr w:type="spellStart"/>
            <w:r w:rsidRPr="00B95B53">
              <w:rPr>
                <w:lang w:val="es-ES_tradnl"/>
              </w:rPr>
              <w:t>NA</w:t>
            </w:r>
            <w:proofErr w:type="spellEnd"/>
            <w:r w:rsidRPr="00B95B53">
              <w:rPr>
                <w:lang w:val="es-ES_tradnl"/>
              </w:rPr>
              <w:t xml:space="preserve"> – no figura en el </w:t>
            </w:r>
            <w:proofErr w:type="spellStart"/>
            <w:r w:rsidRPr="00B95B53">
              <w:rPr>
                <w:lang w:val="es-ES_tradnl"/>
              </w:rPr>
              <w:t>RTI</w:t>
            </w:r>
            <w:proofErr w:type="spellEnd"/>
            <w:r w:rsidRPr="00B95B53">
              <w:rPr>
                <w:lang w:val="es-ES_tradnl"/>
              </w:rPr>
              <w:t xml:space="preserve"> 2012</w:t>
            </w:r>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8CDA4A7" w14:textId="77777777" w:rsidR="00B71047" w:rsidRPr="00B95B53" w:rsidRDefault="00B71047" w:rsidP="00B71047">
            <w:pPr>
              <w:pStyle w:val="Tabletext"/>
              <w:rPr>
                <w:lang w:val="es-ES_tradnl"/>
              </w:rPr>
            </w:pPr>
          </w:p>
        </w:tc>
      </w:tr>
      <w:tr w:rsidR="00B71047" w:rsidRPr="00B95B53" w14:paraId="592D869B"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E3D0E" w14:textId="77777777" w:rsidR="00B71047" w:rsidRPr="00B95B53" w:rsidRDefault="00B71047" w:rsidP="00B71047">
            <w:pPr>
              <w:pStyle w:val="Tabletext"/>
              <w:rPr>
                <w:lang w:val="es-ES_tradnl"/>
              </w:rPr>
            </w:pP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91F39" w14:textId="1CA187DF" w:rsidR="00B71047" w:rsidRPr="00B95B53" w:rsidRDefault="00CB04CA" w:rsidP="00B71047">
            <w:pPr>
              <w:pStyle w:val="Tabletext"/>
              <w:rPr>
                <w:lang w:val="es-ES_tradnl"/>
              </w:rPr>
            </w:pPr>
            <w:r w:rsidRPr="00B95B53">
              <w:rPr>
                <w:lang w:val="es-ES_tradnl"/>
              </w:rPr>
              <w:t>Tasas de percepción</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F4F9F14" w14:textId="298CEF75" w:rsidR="00B71047" w:rsidRDefault="00F610E3" w:rsidP="00B71047">
            <w:pPr>
              <w:pStyle w:val="Tabletext"/>
              <w:rPr>
                <w:lang w:val="es-ES_tradnl"/>
              </w:rPr>
            </w:pPr>
            <w:r w:rsidRPr="00B95B53">
              <w:rPr>
                <w:lang w:val="es-ES_tradnl"/>
              </w:rPr>
              <w:t>6.1</w:t>
            </w:r>
            <w:r w:rsidRPr="00B95B53">
              <w:rPr>
                <w:lang w:val="es-ES_tradnl"/>
              </w:rPr>
              <w:tab/>
              <w:t>Tasas de percepción</w:t>
            </w:r>
          </w:p>
          <w:p w14:paraId="1ECB2396" w14:textId="77777777" w:rsidR="001B1823" w:rsidRPr="00B95B53" w:rsidRDefault="001B1823" w:rsidP="00B71047">
            <w:pPr>
              <w:pStyle w:val="Tabletext"/>
              <w:rPr>
                <w:lang w:val="es-ES_tradnl"/>
              </w:rPr>
            </w:pPr>
          </w:p>
          <w:p w14:paraId="6475A976" w14:textId="7221014A" w:rsidR="00B71047" w:rsidRPr="00B95B53" w:rsidRDefault="00F610E3" w:rsidP="00FA7C2B">
            <w:pPr>
              <w:pStyle w:val="Tabletext"/>
              <w:rPr>
                <w:lang w:val="es-ES_tradnl"/>
              </w:rPr>
            </w:pPr>
            <w:r w:rsidRPr="00B95B53">
              <w:rPr>
                <w:lang w:val="es-ES_tradnl"/>
              </w:rPr>
              <w:t>6.1.1</w:t>
            </w:r>
            <w:r w:rsidRPr="00B95B53">
              <w:rPr>
                <w:lang w:val="es-ES_tradnl"/>
              </w:rPr>
              <w:tab/>
              <w:t>Cada administración</w:t>
            </w:r>
            <w:r w:rsidR="00FA7C2B" w:rsidRPr="00B95B53">
              <w:rPr>
                <w:lang w:val="es-ES_tradnl"/>
              </w:rPr>
              <w:t>*</w:t>
            </w:r>
            <w:r w:rsidRPr="00B95B53">
              <w:rPr>
                <w:lang w:val="es-ES_tradnl"/>
              </w:rPr>
              <w:t>establecerá, de conformidad con la legislación nacional aplicable, las tasas que ha de percibir de sus clientes. La fijación del nivel de estas tasas es un asunto de índole nacional; sin embargo, al establecerlas, las administraciones</w:t>
            </w:r>
            <w:r w:rsidR="00FA7C2B" w:rsidRPr="00B95B53">
              <w:rPr>
                <w:lang w:val="es-ES_tradnl"/>
              </w:rPr>
              <w:t xml:space="preserve">* </w:t>
            </w:r>
            <w:r w:rsidRPr="00B95B53">
              <w:rPr>
                <w:lang w:val="es-ES_tradnl"/>
              </w:rPr>
              <w:t xml:space="preserve">procurarán que no haya una disimetría demasiado grande entre las </w:t>
            </w:r>
            <w:r w:rsidRPr="00B95B53">
              <w:rPr>
                <w:lang w:val="es-ES_tradnl"/>
              </w:rPr>
              <w:lastRenderedPageBreak/>
              <w:t>tasas de percepción aplicables en los dos sentidos de una misma relación.</w:t>
            </w:r>
          </w:p>
        </w:tc>
        <w:tc>
          <w:tcPr>
            <w:tcW w:w="3080" w:type="dxa"/>
            <w:tcBorders>
              <w:top w:val="nil"/>
              <w:left w:val="nil"/>
              <w:bottom w:val="single" w:sz="8" w:space="0" w:color="000000"/>
              <w:right w:val="single" w:sz="8" w:space="0" w:color="000000"/>
            </w:tcBorders>
            <w:tcMar>
              <w:top w:w="56" w:type="dxa"/>
              <w:left w:w="56" w:type="dxa"/>
              <w:bottom w:w="56" w:type="dxa"/>
              <w:right w:w="56" w:type="dxa"/>
            </w:tcMar>
          </w:tcPr>
          <w:p w14:paraId="10F30AB5" w14:textId="24671201" w:rsidR="00B71047" w:rsidRPr="00B95B53" w:rsidRDefault="00216A7E" w:rsidP="00B71047">
            <w:pPr>
              <w:pStyle w:val="Tabletext"/>
              <w:rPr>
                <w:lang w:val="es-ES_tradnl"/>
              </w:rPr>
            </w:pPr>
            <w:proofErr w:type="spellStart"/>
            <w:r w:rsidRPr="00B95B53">
              <w:rPr>
                <w:lang w:val="es-ES_tradnl"/>
              </w:rPr>
              <w:lastRenderedPageBreak/>
              <w:t>NA</w:t>
            </w:r>
            <w:proofErr w:type="spellEnd"/>
            <w:r w:rsidRPr="00B95B53">
              <w:rPr>
                <w:lang w:val="es-ES_tradnl"/>
              </w:rPr>
              <w:t xml:space="preserve"> – no figura en el </w:t>
            </w:r>
            <w:proofErr w:type="spellStart"/>
            <w:r w:rsidRPr="00B95B53">
              <w:rPr>
                <w:lang w:val="es-ES_tradnl"/>
              </w:rPr>
              <w:t>RTI</w:t>
            </w:r>
            <w:proofErr w:type="spellEnd"/>
            <w:r w:rsidRPr="00B95B53">
              <w:rPr>
                <w:lang w:val="es-ES_tradnl"/>
              </w:rPr>
              <w:t xml:space="preserve"> 2012</w:t>
            </w:r>
          </w:p>
        </w:tc>
        <w:tc>
          <w:tcPr>
            <w:tcW w:w="3219" w:type="dxa"/>
            <w:tcBorders>
              <w:top w:val="nil"/>
              <w:left w:val="nil"/>
              <w:bottom w:val="single" w:sz="8" w:space="0" w:color="000000"/>
              <w:right w:val="single" w:sz="8" w:space="0" w:color="000000"/>
            </w:tcBorders>
            <w:tcMar>
              <w:top w:w="56" w:type="dxa"/>
              <w:left w:w="56" w:type="dxa"/>
              <w:bottom w:w="56" w:type="dxa"/>
              <w:right w:w="56" w:type="dxa"/>
            </w:tcMar>
          </w:tcPr>
          <w:p w14:paraId="56EE7860" w14:textId="1BD64DCA" w:rsidR="00B71047" w:rsidRPr="00B95B53" w:rsidRDefault="00216A7E" w:rsidP="00B71047">
            <w:pPr>
              <w:pStyle w:val="Tabletext"/>
              <w:rPr>
                <w:lang w:val="es-ES_tradnl"/>
              </w:rPr>
            </w:pPr>
            <w:proofErr w:type="spellStart"/>
            <w:r w:rsidRPr="00B95B53">
              <w:rPr>
                <w:lang w:val="es-ES_tradnl"/>
              </w:rPr>
              <w:t>NA</w:t>
            </w:r>
            <w:proofErr w:type="spellEnd"/>
            <w:r w:rsidRPr="00B95B53">
              <w:rPr>
                <w:lang w:val="es-ES_tradnl"/>
              </w:rPr>
              <w:t xml:space="preserve"> – no figura en el </w:t>
            </w:r>
            <w:proofErr w:type="spellStart"/>
            <w:r w:rsidRPr="00B95B53">
              <w:rPr>
                <w:lang w:val="es-ES_tradnl"/>
              </w:rPr>
              <w:t>RTI</w:t>
            </w:r>
            <w:proofErr w:type="spellEnd"/>
            <w:r w:rsidRPr="00B95B53">
              <w:rPr>
                <w:lang w:val="es-ES_tradnl"/>
              </w:rPr>
              <w:t xml:space="preserve"> 2012</w:t>
            </w:r>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58CE4AD" w14:textId="77777777" w:rsidR="00B71047" w:rsidRPr="00B95B53" w:rsidRDefault="00B71047" w:rsidP="00B71047">
            <w:pPr>
              <w:pStyle w:val="Tabletext"/>
              <w:rPr>
                <w:lang w:val="es-ES_tradnl"/>
              </w:rPr>
            </w:pPr>
          </w:p>
        </w:tc>
      </w:tr>
      <w:tr w:rsidR="00B71047" w:rsidRPr="00B95B53" w14:paraId="36B27EBC"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1C645" w14:textId="77777777" w:rsidR="00B71047" w:rsidRPr="00B95B53" w:rsidRDefault="00B71047" w:rsidP="00B71047">
            <w:pPr>
              <w:pStyle w:val="Tabletext"/>
              <w:rPr>
                <w:lang w:val="es-ES_tradnl"/>
              </w:rPr>
            </w:pPr>
            <w:r w:rsidRPr="00B95B53">
              <w:rPr>
                <w:lang w:val="es-ES_tradnl"/>
              </w:rPr>
              <w:t>8.2.5</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0165C" w14:textId="3673E74C" w:rsidR="00B71047" w:rsidRPr="00B95B53" w:rsidRDefault="00CB04CA" w:rsidP="00B71047">
            <w:pPr>
              <w:pStyle w:val="Tabletext"/>
              <w:rPr>
                <w:lang w:val="es-ES_tradnl"/>
              </w:rPr>
            </w:pPr>
            <w:r w:rsidRPr="00B95B53">
              <w:rPr>
                <w:lang w:val="es-ES_tradnl"/>
              </w:rPr>
              <w:t>En principio, las tasas que se imponen a los clientes por una misma prestación deberán ser idénticas en una relación determinada, cualquiera que sea la ruta internacional utilizada para esa comunicación. Los Estados Miembros deben evitar que en el establecimiento de dichas tasas exista una asimetría entre las tasas aplicables en cada sentido de una misma relación.</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6AF180" w14:textId="4339A3B5" w:rsidR="00B71047" w:rsidRPr="00B95B53" w:rsidRDefault="00F610E3" w:rsidP="00FA7C2B">
            <w:pPr>
              <w:pStyle w:val="Tabletext"/>
              <w:rPr>
                <w:lang w:val="es-ES_tradnl"/>
              </w:rPr>
            </w:pPr>
            <w:r w:rsidRPr="00B95B53">
              <w:rPr>
                <w:lang w:val="es-ES_tradnl"/>
              </w:rPr>
              <w:t>6.1.2</w:t>
            </w:r>
            <w:r w:rsidRPr="00B95B53">
              <w:rPr>
                <w:lang w:val="es-ES_tradnl"/>
              </w:rPr>
              <w:tab/>
              <w:t>En principio, la tasa que una administración</w:t>
            </w:r>
            <w:r w:rsidR="00FA7C2B" w:rsidRPr="00B95B53">
              <w:rPr>
                <w:lang w:val="es-ES_tradnl"/>
              </w:rPr>
              <w:t>*</w:t>
            </w:r>
            <w:r w:rsidRPr="00B95B53">
              <w:rPr>
                <w:lang w:val="es-ES_tradnl"/>
              </w:rPr>
              <w:t xml:space="preserve"> ha de percibir de los clientes por una misma prestación deberá ser idéntica en una relación determinada, cualquiera que sea la ruta elegida por esta administración</w:t>
            </w:r>
            <w:r w:rsidR="00FA7C2B" w:rsidRPr="00B95B53">
              <w:rPr>
                <w:lang w:val="es-ES_tradnl"/>
              </w:rPr>
              <w:t>*</w:t>
            </w:r>
            <w:r w:rsidRPr="00B95B53">
              <w:rPr>
                <w:lang w:val="es-ES_tradnl"/>
              </w:rPr>
              <w:t xml:space="preserve"> o empresa(s) privada(s) de explotación reconocida(s)</w:t>
            </w: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BF5F04" w14:textId="77777777" w:rsidR="00B71047" w:rsidRPr="00B95B53" w:rsidRDefault="00B71047" w:rsidP="00B71047">
            <w:pPr>
              <w:pStyle w:val="Tabletext"/>
              <w:rPr>
                <w:lang w:val="es-ES_tradnl"/>
              </w:rPr>
            </w:pPr>
            <w:bookmarkStart w:id="57" w:name="lt_pId171"/>
            <w:r w:rsidRPr="00B95B53">
              <w:rPr>
                <w:lang w:val="es-ES_tradnl"/>
              </w:rPr>
              <w:t>"En principio" y "deben evitar" implican que se trata de una disposición que no se puede hacer cumplir.</w:t>
            </w:r>
            <w:bookmarkEnd w:id="57"/>
            <w:r w:rsidRPr="00B95B53">
              <w:rPr>
                <w:lang w:val="es-ES_tradnl"/>
              </w:rPr>
              <w:t xml:space="preserve"> </w:t>
            </w:r>
            <w:bookmarkStart w:id="58" w:name="lt_pId172"/>
            <w:r w:rsidRPr="00B95B53">
              <w:rPr>
                <w:lang w:val="es-ES_tradnl"/>
              </w:rPr>
              <w:t>En todo caso,</w:t>
            </w:r>
            <w:bookmarkEnd w:id="58"/>
            <w:r w:rsidRPr="00B95B53">
              <w:rPr>
                <w:lang w:val="es-ES_tradnl"/>
              </w:rPr>
              <w:t xml:space="preserve"> </w:t>
            </w:r>
            <w:bookmarkStart w:id="59" w:name="lt_pId173"/>
            <w:r w:rsidRPr="00B95B53">
              <w:rPr>
                <w:lang w:val="es-ES_tradnl"/>
              </w:rPr>
              <w:t>se trata de algo que las empresas de explotación ya hacen de forma comercial y que, en gran medida, es irrelevante para la prestación y el desarrollo de redes y servicios.</w:t>
            </w:r>
            <w:bookmarkEnd w:id="59"/>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30D0704" w14:textId="29F4CCC5" w:rsidR="00B71047" w:rsidRPr="00B95B53" w:rsidRDefault="00B71047" w:rsidP="00B71047">
            <w:pPr>
              <w:pStyle w:val="Tabletext"/>
              <w:rPr>
                <w:lang w:val="es-ES_tradnl"/>
              </w:rPr>
            </w:pPr>
            <w:bookmarkStart w:id="60" w:name="lt_pId174"/>
            <w:r w:rsidRPr="00B95B53">
              <w:rPr>
                <w:lang w:val="es-ES_tradnl"/>
              </w:rPr>
              <w:t>En el entorno de las telecomunicaciones modernas, las empresas de explotación ya hacen eso de forma comercial, cuando es necesario.</w:t>
            </w:r>
            <w:bookmarkEnd w:id="60"/>
          </w:p>
          <w:p w14:paraId="15D2E5A5" w14:textId="773B5EE1" w:rsidR="00B71047" w:rsidRPr="00B95B53" w:rsidRDefault="00B71047" w:rsidP="00B71047">
            <w:pPr>
              <w:pStyle w:val="Tabletext"/>
              <w:rPr>
                <w:lang w:val="es-ES_tradnl"/>
              </w:rPr>
            </w:pPr>
            <w:bookmarkStart w:id="61" w:name="lt_pId175"/>
            <w:r w:rsidRPr="00B95B53">
              <w:rPr>
                <w:lang w:val="es-ES_tradnl"/>
              </w:rPr>
              <w:t>Esta disposición podría obstaculizar la innovación.</w:t>
            </w:r>
            <w:bookmarkEnd w:id="61"/>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6C09F77" w14:textId="77777777" w:rsidR="00B71047" w:rsidRPr="00B95B53" w:rsidRDefault="00B71047" w:rsidP="00B71047">
            <w:pPr>
              <w:pStyle w:val="Tabletext"/>
              <w:rPr>
                <w:lang w:val="es-ES_tradnl"/>
              </w:rPr>
            </w:pPr>
          </w:p>
        </w:tc>
      </w:tr>
      <w:tr w:rsidR="00B71047" w:rsidRPr="00B95B53" w14:paraId="6D64CD7E"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4B85A" w14:textId="77777777" w:rsidR="00B71047" w:rsidRPr="00B95B53" w:rsidRDefault="00B71047" w:rsidP="00B71047">
            <w:pPr>
              <w:pStyle w:val="Tabletext"/>
              <w:rPr>
                <w:lang w:val="es-ES_tradnl"/>
              </w:rPr>
            </w:pPr>
            <w:r w:rsidRPr="00B95B53">
              <w:rPr>
                <w:lang w:val="es-ES_tradnl"/>
              </w:rPr>
              <w:t>8.3</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14E87" w14:textId="3AF7D9E0" w:rsidR="00B71047" w:rsidRPr="00B95B53" w:rsidRDefault="00CB04CA" w:rsidP="00B71047">
            <w:pPr>
              <w:pStyle w:val="Tabletext"/>
              <w:rPr>
                <w:b/>
                <w:lang w:val="es-ES_tradnl"/>
              </w:rPr>
            </w:pPr>
            <w:r w:rsidRPr="00B95B53">
              <w:rPr>
                <w:b/>
                <w:lang w:val="es-ES_tradnl"/>
              </w:rPr>
              <w:t>Fiscalidad</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AFE785E" w14:textId="77777777" w:rsidR="00B71047" w:rsidRPr="00B95B53" w:rsidRDefault="00B71047" w:rsidP="00B71047">
            <w:pPr>
              <w:pStyle w:val="Tabletext"/>
              <w:rPr>
                <w:lang w:val="es-ES_tradnl"/>
              </w:rPr>
            </w:pP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F5C9A7E" w14:textId="77777777" w:rsidR="00B71047" w:rsidRPr="00B95B53" w:rsidRDefault="00B71047" w:rsidP="00B71047">
            <w:pPr>
              <w:pStyle w:val="Tabletext"/>
              <w:rPr>
                <w:lang w:val="es-ES_tradnl"/>
              </w:rPr>
            </w:pPr>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E9FC6A3" w14:textId="77777777" w:rsidR="00B71047" w:rsidRPr="00B95B53" w:rsidRDefault="00B71047" w:rsidP="00B71047">
            <w:pPr>
              <w:pStyle w:val="Tabletext"/>
              <w:rPr>
                <w:lang w:val="es-ES_tradnl"/>
              </w:rPr>
            </w:pPr>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2944696" w14:textId="77777777" w:rsidR="00B71047" w:rsidRPr="00B95B53" w:rsidRDefault="00B71047" w:rsidP="00B71047">
            <w:pPr>
              <w:pStyle w:val="Tabletext"/>
              <w:rPr>
                <w:lang w:val="es-ES_tradnl"/>
              </w:rPr>
            </w:pPr>
          </w:p>
        </w:tc>
      </w:tr>
      <w:tr w:rsidR="00B71047" w:rsidRPr="00B95B53" w14:paraId="1B2E2F84"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5548" w14:textId="77777777" w:rsidR="00B71047" w:rsidRPr="00B95B53" w:rsidRDefault="00B71047" w:rsidP="00B71047">
            <w:pPr>
              <w:pStyle w:val="Tabletext"/>
              <w:rPr>
                <w:lang w:val="es-ES_tradnl"/>
              </w:rPr>
            </w:pPr>
            <w:r w:rsidRPr="00B95B53">
              <w:rPr>
                <w:lang w:val="es-ES_tradnl"/>
              </w:rPr>
              <w:t>8.3.1</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08465" w14:textId="4BD2057E" w:rsidR="00B71047" w:rsidRPr="00B95B53" w:rsidRDefault="00CB04CA" w:rsidP="00B71047">
            <w:pPr>
              <w:pStyle w:val="Tabletext"/>
              <w:rPr>
                <w:lang w:val="es-ES_tradnl"/>
              </w:rPr>
            </w:pPr>
            <w:r w:rsidRPr="00B95B53">
              <w:rPr>
                <w:lang w:val="es-ES_tradnl"/>
              </w:rPr>
              <w:t xml:space="preserve">Cuando en la legislación nacional de un país se prevea la aplicación de un impuesto sobre la tasa de percepción por los servicios internacionales de telecomunicación, ese impuesto sólo se recaudará normalmente por los servicios internacionales de telecomunicación facturados a los </w:t>
            </w:r>
            <w:r w:rsidRPr="00B95B53">
              <w:rPr>
                <w:lang w:val="es-ES_tradnl"/>
              </w:rPr>
              <w:lastRenderedPageBreak/>
              <w:t>clientes de ese país, a menos que se concierten otros acuerdos para hacer frente a circunstancias especiales.</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3F74AB2" w14:textId="516EBBF1" w:rsidR="00B71047" w:rsidRPr="00B95B53" w:rsidRDefault="00F610E3" w:rsidP="00B71047">
            <w:pPr>
              <w:pStyle w:val="Tabletext"/>
              <w:rPr>
                <w:lang w:val="es-ES_tradnl"/>
              </w:rPr>
            </w:pPr>
            <w:r w:rsidRPr="00B95B53">
              <w:rPr>
                <w:lang w:val="es-ES_tradnl"/>
              </w:rPr>
              <w:lastRenderedPageBreak/>
              <w:t>6.1.3</w:t>
            </w:r>
            <w:r w:rsidRPr="00B95B53">
              <w:rPr>
                <w:lang w:val="es-ES_tradnl"/>
              </w:rPr>
              <w:tab/>
              <w:t xml:space="preserve">Cuando en la legislación nacional de un país se prevea la aplicación de una tasa fiscal sobre la tasa de percepción por los servicios internacionales de telecomunicación, esa tasa fiscal sólo se percibirá normalmente por los servicios internacionales de telecomunicación facturados a los clientes de ese país, a </w:t>
            </w:r>
            <w:r w:rsidRPr="00B95B53">
              <w:rPr>
                <w:lang w:val="es-ES_tradnl"/>
              </w:rPr>
              <w:lastRenderedPageBreak/>
              <w:t>menos que se concierten otros arreglos para hacer frente a circunstancias especiales.</w:t>
            </w: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0F994B5" w14:textId="0D9BB82A" w:rsidR="00B71047" w:rsidRPr="00B95B53" w:rsidRDefault="00B71047" w:rsidP="00B71047">
            <w:pPr>
              <w:pStyle w:val="Tabletext"/>
              <w:rPr>
                <w:lang w:val="es-ES_tradnl"/>
              </w:rPr>
            </w:pPr>
            <w:bookmarkStart w:id="62" w:name="lt_pId184"/>
            <w:r w:rsidRPr="00B95B53">
              <w:rPr>
                <w:lang w:val="es-ES_tradnl"/>
              </w:rPr>
              <w:lastRenderedPageBreak/>
              <w:t>No se define lo que constituye "circunstancias especiales", lo que supone una incertidumbre normativa.</w:t>
            </w:r>
            <w:bookmarkEnd w:id="62"/>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1CAE24F" w14:textId="77777777" w:rsidR="00B71047" w:rsidRPr="00B95B53" w:rsidRDefault="00B71047" w:rsidP="00B71047">
            <w:pPr>
              <w:pStyle w:val="Tabletext"/>
              <w:rPr>
                <w:lang w:val="es-ES_tradnl"/>
              </w:rPr>
            </w:pPr>
            <w:bookmarkStart w:id="63" w:name="lt_pId185"/>
            <w:r w:rsidRPr="00B95B53">
              <w:rPr>
                <w:lang w:val="es-ES_tradnl"/>
              </w:rPr>
              <w:t>No se define lo que constituye "circunstancias especiales", lo que supone una incertidumbre normativa.</w:t>
            </w:r>
            <w:bookmarkEnd w:id="63"/>
            <w:r w:rsidRPr="00B95B53">
              <w:rPr>
                <w:lang w:val="es-ES_tradnl"/>
              </w:rPr>
              <w:t xml:space="preserve"> </w:t>
            </w:r>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F58C298" w14:textId="77777777" w:rsidR="00B71047" w:rsidRPr="00B95B53" w:rsidRDefault="00B71047" w:rsidP="00B71047">
            <w:pPr>
              <w:pStyle w:val="Tabletext"/>
              <w:rPr>
                <w:lang w:val="es-ES_tradnl"/>
              </w:rPr>
            </w:pPr>
          </w:p>
        </w:tc>
      </w:tr>
      <w:tr w:rsidR="00B71047" w:rsidRPr="00B95B53" w14:paraId="49496EA5"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19CD0" w14:textId="77777777" w:rsidR="00B71047" w:rsidRPr="00B95B53" w:rsidRDefault="00B71047" w:rsidP="00B71047">
            <w:pPr>
              <w:pStyle w:val="Tabletext"/>
              <w:rPr>
                <w:lang w:val="es-ES_tradnl"/>
              </w:rPr>
            </w:pPr>
            <w:r w:rsidRPr="00B95B53">
              <w:rPr>
                <w:lang w:val="es-ES_tradnl"/>
              </w:rPr>
              <w:t>8.4</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9CACD" w14:textId="6DD3626A" w:rsidR="00B71047" w:rsidRPr="00B95B53" w:rsidRDefault="00CB04CA" w:rsidP="00B71047">
            <w:pPr>
              <w:pStyle w:val="Tabletext"/>
              <w:rPr>
                <w:b/>
                <w:lang w:val="es-ES_tradnl"/>
              </w:rPr>
            </w:pPr>
            <w:r w:rsidRPr="00B95B53">
              <w:rPr>
                <w:b/>
                <w:lang w:val="es-ES_tradnl"/>
              </w:rPr>
              <w:t>Telecomunicación de servicio</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8F6023F" w14:textId="77777777" w:rsidR="00B71047" w:rsidRPr="00B95B53" w:rsidRDefault="00B71047" w:rsidP="00B71047">
            <w:pPr>
              <w:pStyle w:val="Tabletext"/>
              <w:rPr>
                <w:lang w:val="es-ES_tradnl"/>
              </w:rPr>
            </w:pP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0C11AAE" w14:textId="77777777" w:rsidR="00B71047" w:rsidRPr="00B95B53" w:rsidRDefault="00B71047" w:rsidP="00B71047">
            <w:pPr>
              <w:pStyle w:val="Tabletext"/>
              <w:rPr>
                <w:lang w:val="es-ES_tradnl"/>
              </w:rPr>
            </w:pPr>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B295F59" w14:textId="77777777" w:rsidR="00B71047" w:rsidRPr="00B95B53" w:rsidRDefault="00B71047" w:rsidP="00B71047">
            <w:pPr>
              <w:pStyle w:val="Tabletext"/>
              <w:rPr>
                <w:lang w:val="es-ES_tradnl"/>
              </w:rPr>
            </w:pPr>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D3BC6E1" w14:textId="77777777" w:rsidR="00B71047" w:rsidRPr="00B95B53" w:rsidRDefault="00B71047" w:rsidP="00B71047">
            <w:pPr>
              <w:pStyle w:val="Tabletext"/>
              <w:rPr>
                <w:lang w:val="es-ES_tradnl"/>
              </w:rPr>
            </w:pPr>
          </w:p>
        </w:tc>
      </w:tr>
      <w:tr w:rsidR="00B71047" w:rsidRPr="00B95B53" w14:paraId="1112FC80"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67FAB" w14:textId="77777777" w:rsidR="00B71047" w:rsidRPr="00B95B53" w:rsidRDefault="00B71047" w:rsidP="00B71047">
            <w:pPr>
              <w:pStyle w:val="Tabletext"/>
              <w:rPr>
                <w:lang w:val="es-ES_tradnl"/>
              </w:rPr>
            </w:pPr>
            <w:r w:rsidRPr="00B95B53">
              <w:rPr>
                <w:lang w:val="es-ES_tradnl"/>
              </w:rPr>
              <w:t>8.4.1</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C80C9" w14:textId="77A865B1" w:rsidR="00B71047" w:rsidRPr="00B95B53" w:rsidRDefault="00CB04CA" w:rsidP="00B71047">
            <w:pPr>
              <w:pStyle w:val="Tabletext"/>
              <w:rPr>
                <w:lang w:val="es-ES_tradnl"/>
              </w:rPr>
            </w:pPr>
            <w:r w:rsidRPr="00B95B53">
              <w:rPr>
                <w:lang w:val="es-ES_tradnl"/>
              </w:rPr>
              <w:t>Las empresas de explotación autorizadas podrán en principio renunciar a incluir las telecomunicaciones de servicio en la contabilidad internacional, de conformidad con las disposiciones pertinentes de la Constitución y el Convenio de la Unión Internacional de Telecomunicaciones y del presente Reglamento, y teniendo debidamente en cuenta la necesidad de establecer acuerdos recíprocos. Las empresas de explotación autorizadas pueden proporcionar dichos servicios de telecomunicación de forma gratuita.</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DE58BAA" w14:textId="77777777" w:rsidR="00B71047" w:rsidRPr="00B95B53" w:rsidRDefault="00B71047" w:rsidP="00B71047">
            <w:pPr>
              <w:pStyle w:val="Tabletext"/>
              <w:rPr>
                <w:lang w:val="es-ES_tradnl"/>
              </w:rPr>
            </w:pPr>
          </w:p>
        </w:tc>
        <w:tc>
          <w:tcPr>
            <w:tcW w:w="3080" w:type="dxa"/>
            <w:tcBorders>
              <w:top w:val="nil"/>
              <w:left w:val="nil"/>
              <w:bottom w:val="single" w:sz="8" w:space="0" w:color="000000"/>
              <w:right w:val="single" w:sz="8" w:space="0" w:color="000000"/>
            </w:tcBorders>
            <w:tcMar>
              <w:top w:w="56" w:type="dxa"/>
              <w:left w:w="56" w:type="dxa"/>
              <w:bottom w:w="56" w:type="dxa"/>
              <w:right w:w="56" w:type="dxa"/>
            </w:tcMar>
          </w:tcPr>
          <w:p w14:paraId="4A2BE122" w14:textId="3BB3C644" w:rsidR="00B71047" w:rsidRPr="00B95B53" w:rsidRDefault="00B71047" w:rsidP="00B71047">
            <w:pPr>
              <w:pStyle w:val="Tabletext"/>
              <w:rPr>
                <w:lang w:val="es-ES_tradnl"/>
              </w:rPr>
            </w:pPr>
            <w:bookmarkStart w:id="64" w:name="lt_pId191"/>
            <w:r w:rsidRPr="00B95B53">
              <w:rPr>
                <w:lang w:val="es-ES_tradnl"/>
              </w:rPr>
              <w:t>Esta disposición no facilita el desarrollo de redes y servicios, dado que se trata de un ámbito ya acordado entre las empresas de explotación.</w:t>
            </w:r>
            <w:bookmarkEnd w:id="64"/>
            <w:r w:rsidRPr="00B95B53">
              <w:rPr>
                <w:lang w:val="es-ES_tradnl"/>
              </w:rPr>
              <w:t xml:space="preserve"> </w:t>
            </w:r>
            <w:bookmarkStart w:id="65" w:name="lt_pId192"/>
            <w:r w:rsidRPr="00B95B53">
              <w:rPr>
                <w:lang w:val="es-ES_tradnl"/>
              </w:rPr>
              <w:t>Simplemente señala que pueden seguir haciendo lo que ya estaban haciendo.</w:t>
            </w:r>
            <w:bookmarkEnd w:id="65"/>
          </w:p>
        </w:tc>
        <w:tc>
          <w:tcPr>
            <w:tcW w:w="3219" w:type="dxa"/>
            <w:tcBorders>
              <w:top w:val="nil"/>
              <w:left w:val="nil"/>
              <w:bottom w:val="single" w:sz="8" w:space="0" w:color="000000"/>
              <w:right w:val="single" w:sz="8" w:space="0" w:color="000000"/>
            </w:tcBorders>
            <w:tcMar>
              <w:top w:w="56" w:type="dxa"/>
              <w:left w:w="56" w:type="dxa"/>
              <w:bottom w:w="56" w:type="dxa"/>
              <w:right w:w="56" w:type="dxa"/>
            </w:tcMar>
          </w:tcPr>
          <w:p w14:paraId="457FA7ED" w14:textId="7AC9E129" w:rsidR="00B71047" w:rsidRPr="00B95B53" w:rsidRDefault="00B71047" w:rsidP="00B71047">
            <w:pPr>
              <w:pStyle w:val="Tabletext"/>
              <w:rPr>
                <w:lang w:val="es-ES_tradnl"/>
              </w:rPr>
            </w:pPr>
            <w:bookmarkStart w:id="66" w:name="lt_pId193"/>
            <w:r w:rsidRPr="00B95B53">
              <w:rPr>
                <w:lang w:val="es-ES_tradnl"/>
              </w:rPr>
              <w:t>En esta disposición (y en otras) se supone que todas las empresas de explotación deben estar autorizadas, pero es posible que esto deje de ser así en el futuro.</w:t>
            </w:r>
            <w:bookmarkEnd w:id="66"/>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D5A0231" w14:textId="77777777" w:rsidR="00B71047" w:rsidRPr="00B95B53" w:rsidRDefault="00B71047" w:rsidP="00B71047">
            <w:pPr>
              <w:pStyle w:val="Tabletext"/>
              <w:rPr>
                <w:lang w:val="es-ES_tradnl"/>
              </w:rPr>
            </w:pPr>
          </w:p>
        </w:tc>
      </w:tr>
      <w:tr w:rsidR="00B71047" w:rsidRPr="00B95B53" w14:paraId="25FC1990" w14:textId="77777777" w:rsidTr="000901D3">
        <w:trPr>
          <w:jc w:val="center"/>
        </w:trPr>
        <w:tc>
          <w:tcPr>
            <w:tcW w:w="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D8727" w14:textId="77777777" w:rsidR="00B71047" w:rsidRPr="00B95B53" w:rsidRDefault="00B71047" w:rsidP="001B1823">
            <w:pPr>
              <w:pStyle w:val="Tabletext"/>
              <w:keepNext/>
              <w:rPr>
                <w:lang w:val="es-ES_tradnl"/>
              </w:rPr>
            </w:pPr>
            <w:r w:rsidRPr="00B95B53">
              <w:rPr>
                <w:lang w:val="es-ES_tradnl"/>
              </w:rPr>
              <w:lastRenderedPageBreak/>
              <w:t>8.4.2</w:t>
            </w:r>
          </w:p>
        </w:tc>
        <w:tc>
          <w:tcPr>
            <w:tcW w:w="3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6B60A" w14:textId="7FE14104" w:rsidR="00B71047" w:rsidRPr="00B95B53" w:rsidRDefault="00CB04CA" w:rsidP="00B71047">
            <w:pPr>
              <w:pStyle w:val="Tabletext"/>
              <w:rPr>
                <w:lang w:val="es-ES_tradnl"/>
              </w:rPr>
            </w:pPr>
            <w:r w:rsidRPr="00B95B53">
              <w:rPr>
                <w:lang w:val="es-ES_tradnl"/>
              </w:rPr>
              <w:t>Los principios generales de explotación, tasación y contabilidad aplicables a las telecomunicaciones de servicio deberían tener en cuenta las Recomendaciones UIT</w:t>
            </w:r>
            <w:r w:rsidRPr="00B95B53">
              <w:rPr>
                <w:lang w:val="es-ES_tradnl"/>
              </w:rPr>
              <w:noBreakHyphen/>
              <w:t>T pertinentes.</w:t>
            </w:r>
          </w:p>
        </w:tc>
        <w:tc>
          <w:tcPr>
            <w:tcW w:w="35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1E2736D" w14:textId="77777777" w:rsidR="00B71047" w:rsidRPr="00B95B53" w:rsidRDefault="00B71047" w:rsidP="00B71047">
            <w:pPr>
              <w:pStyle w:val="Tabletext"/>
              <w:rPr>
                <w:lang w:val="es-ES_tradnl"/>
              </w:rPr>
            </w:pPr>
          </w:p>
        </w:tc>
        <w:tc>
          <w:tcPr>
            <w:tcW w:w="30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72F59D" w14:textId="4EAAA2A8" w:rsidR="00B71047" w:rsidRPr="00B95B53" w:rsidRDefault="00B71047" w:rsidP="00B71047">
            <w:pPr>
              <w:pStyle w:val="Tabletext"/>
              <w:rPr>
                <w:lang w:val="es-ES_tradnl"/>
              </w:rPr>
            </w:pPr>
            <w:bookmarkStart w:id="67" w:name="lt_pId196"/>
            <w:r w:rsidRPr="00B95B53">
              <w:rPr>
                <w:lang w:val="es-ES_tradnl"/>
              </w:rPr>
              <w:t>Esta disposición puede obstaculizar el desarrollo de redes y servicios ya que se trata de un ámbito ya acordado entre las empresas de explotación, por lo que exigir que en sus operaciones se tengan en cuenta las Recomendaciones pertinentes del UIT-T aumenta su carga reglamentaria.</w:t>
            </w:r>
            <w:bookmarkEnd w:id="67"/>
            <w:r w:rsidRPr="00B95B53">
              <w:rPr>
                <w:lang w:val="es-ES_tradnl"/>
              </w:rPr>
              <w:t xml:space="preserve"> </w:t>
            </w:r>
            <w:bookmarkStart w:id="68" w:name="lt_pId197"/>
            <w:r w:rsidRPr="00B95B53">
              <w:rPr>
                <w:lang w:val="es-ES_tradnl"/>
              </w:rPr>
              <w:t xml:space="preserve">Tampoco está claro qué </w:t>
            </w:r>
            <w:r w:rsidR="00993F77" w:rsidRPr="001B1823">
              <w:rPr>
                <w:lang w:val="es-ES_tradnl"/>
              </w:rPr>
              <w:t>R</w:t>
            </w:r>
            <w:r w:rsidRPr="00B95B53">
              <w:rPr>
                <w:lang w:val="es-ES_tradnl"/>
              </w:rPr>
              <w:t>ecomendaciones del UIT-T son "pertinentes".</w:t>
            </w:r>
            <w:bookmarkEnd w:id="68"/>
          </w:p>
        </w:tc>
        <w:tc>
          <w:tcPr>
            <w:tcW w:w="32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04559C9" w14:textId="1BCB4347" w:rsidR="00B71047" w:rsidRPr="00B95B53" w:rsidRDefault="00B71047" w:rsidP="00B71047">
            <w:pPr>
              <w:pStyle w:val="Tabletext"/>
              <w:rPr>
                <w:lang w:val="es-ES_tradnl"/>
              </w:rPr>
            </w:pPr>
            <w:bookmarkStart w:id="69" w:name="lt_pId198"/>
            <w:r w:rsidRPr="00B95B53">
              <w:rPr>
                <w:lang w:val="es-ES_tradnl"/>
              </w:rPr>
              <w:t>Falta flexibilidad: aunque se generan nuevas Recomendaciones para abordar las cuestiones que van apareciendo, no está claro que puedan ignorarse Recomendaciones anticuadas del</w:t>
            </w:r>
            <w:r w:rsidR="001B1823">
              <w:rPr>
                <w:lang w:val="es-ES_tradnl"/>
              </w:rPr>
              <w:t> </w:t>
            </w:r>
            <w:r w:rsidRPr="00B95B53">
              <w:rPr>
                <w:lang w:val="es-ES_tradnl"/>
              </w:rPr>
              <w:t>UIT-T.</w:t>
            </w:r>
            <w:bookmarkEnd w:id="69"/>
            <w:r w:rsidRPr="00B95B53">
              <w:rPr>
                <w:lang w:val="es-ES_tradnl"/>
              </w:rPr>
              <w:t xml:space="preserve"> </w:t>
            </w:r>
          </w:p>
        </w:tc>
        <w:tc>
          <w:tcPr>
            <w:tcW w:w="1483"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F922E03" w14:textId="77777777" w:rsidR="00B71047" w:rsidRPr="00B95B53" w:rsidRDefault="00B71047" w:rsidP="00B71047">
            <w:pPr>
              <w:pStyle w:val="Tabletext"/>
              <w:rPr>
                <w:lang w:val="es-ES_tradnl"/>
              </w:rPr>
            </w:pPr>
          </w:p>
        </w:tc>
      </w:tr>
    </w:tbl>
    <w:p w14:paraId="5B4FB4C9" w14:textId="77777777" w:rsidR="00B71047" w:rsidRPr="00B95B53" w:rsidRDefault="00B71047" w:rsidP="00411C49">
      <w:pPr>
        <w:pStyle w:val="Reasons"/>
        <w:rPr>
          <w:lang w:val="es-ES_tradnl"/>
        </w:rPr>
      </w:pPr>
    </w:p>
    <w:p w14:paraId="1BD77C42" w14:textId="77777777" w:rsidR="00B71047" w:rsidRPr="00B95B53" w:rsidRDefault="00B71047">
      <w:pPr>
        <w:jc w:val="center"/>
        <w:rPr>
          <w:lang w:val="es-ES_tradnl"/>
        </w:rPr>
      </w:pPr>
      <w:r w:rsidRPr="00B95B53">
        <w:rPr>
          <w:lang w:val="es-ES_tradnl"/>
        </w:rPr>
        <w:t>______________</w:t>
      </w:r>
    </w:p>
    <w:sectPr w:rsidR="00B71047" w:rsidRPr="00B95B53" w:rsidSect="00B71047">
      <w:headerReference w:type="first" r:id="rId12"/>
      <w:footerReference w:type="first" r:id="rId13"/>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D9EF4" w14:textId="77777777" w:rsidR="00803F4A" w:rsidRDefault="00803F4A">
      <w:r>
        <w:separator/>
      </w:r>
    </w:p>
  </w:endnote>
  <w:endnote w:type="continuationSeparator" w:id="0">
    <w:p w14:paraId="4FD1095F" w14:textId="77777777" w:rsidR="00803F4A" w:rsidRDefault="0080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D686" w14:textId="4EB15902" w:rsidR="005D4ED7" w:rsidRPr="005D4ED7" w:rsidRDefault="005D4ED7" w:rsidP="005D4ED7">
    <w:pPr>
      <w:pStyle w:val="Footer"/>
      <w:rPr>
        <w:lang w:val="en-GB"/>
      </w:rPr>
    </w:pPr>
    <w:r w:rsidRPr="005D4ED7">
      <w:rPr>
        <w:lang w:val="en-GB"/>
      </w:rPr>
      <w:fldChar w:fldCharType="begin"/>
    </w:r>
    <w:r w:rsidRPr="005D4ED7">
      <w:rPr>
        <w:lang w:val="en-GB"/>
      </w:rPr>
      <w:instrText xml:space="preserve"> FILENAME \p  \* MERGEFORMAT </w:instrText>
    </w:r>
    <w:r w:rsidRPr="005D4ED7">
      <w:rPr>
        <w:lang w:val="en-GB"/>
      </w:rPr>
      <w:fldChar w:fldCharType="separate"/>
    </w:r>
    <w:r w:rsidR="00331F2A">
      <w:rPr>
        <w:lang w:val="en-GB"/>
      </w:rPr>
      <w:t>P:\ESP\SG\CONSEIL\EG-ITR\EG-ITR-3\000\009S.docx</w:t>
    </w:r>
    <w:r w:rsidRPr="005D4ED7">
      <w:rPr>
        <w:lang w:val="en-GB"/>
      </w:rPr>
      <w:fldChar w:fldCharType="end"/>
    </w:r>
    <w:r w:rsidRPr="005D4ED7">
      <w:rPr>
        <w:lang w:val="en-GB"/>
      </w:rPr>
      <w:t xml:space="preserve"> (</w:t>
    </w:r>
    <w:r>
      <w:rPr>
        <w:lang w:val="en-GB"/>
      </w:rPr>
      <w:t>476495</w:t>
    </w:r>
    <w:r w:rsidRPr="005D4ED7">
      <w:rPr>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B0BFE"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09F40" w14:textId="7FCC4F00" w:rsidR="005D4ED7" w:rsidRPr="005D4ED7" w:rsidRDefault="005D4ED7" w:rsidP="005D4ED7">
    <w:pPr>
      <w:pStyle w:val="Footer"/>
      <w:rPr>
        <w:lang w:val="en-GB"/>
      </w:rPr>
    </w:pPr>
    <w:r w:rsidRPr="005D4ED7">
      <w:rPr>
        <w:lang w:val="en-GB"/>
      </w:rPr>
      <w:fldChar w:fldCharType="begin"/>
    </w:r>
    <w:r w:rsidRPr="005D4ED7">
      <w:rPr>
        <w:lang w:val="en-GB"/>
      </w:rPr>
      <w:instrText xml:space="preserve"> FILENAME \p  \* MERGEFORMAT </w:instrText>
    </w:r>
    <w:r w:rsidRPr="005D4ED7">
      <w:rPr>
        <w:lang w:val="en-GB"/>
      </w:rPr>
      <w:fldChar w:fldCharType="separate"/>
    </w:r>
    <w:r w:rsidR="00331F2A">
      <w:rPr>
        <w:lang w:val="en-GB"/>
      </w:rPr>
      <w:t>P:\ESP\SG\CONSEIL\EG-ITR\EG-ITR-3\000\009S.docx</w:t>
    </w:r>
    <w:r w:rsidRPr="005D4ED7">
      <w:rPr>
        <w:lang w:val="en-GB"/>
      </w:rPr>
      <w:fldChar w:fldCharType="end"/>
    </w:r>
    <w:r w:rsidRPr="005D4ED7">
      <w:rPr>
        <w:lang w:val="en-GB"/>
      </w:rPr>
      <w:t xml:space="preserve"> (</w:t>
    </w:r>
    <w:r>
      <w:rPr>
        <w:lang w:val="en-GB"/>
      </w:rPr>
      <w:t>476495</w:t>
    </w:r>
    <w:r w:rsidRPr="005D4ED7">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8782F" w14:textId="77777777" w:rsidR="00803F4A" w:rsidRDefault="00803F4A">
      <w:r>
        <w:t>____________________</w:t>
      </w:r>
    </w:p>
  </w:footnote>
  <w:footnote w:type="continuationSeparator" w:id="0">
    <w:p w14:paraId="6A9EEB84" w14:textId="77777777" w:rsidR="00803F4A" w:rsidRDefault="00803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2929" w14:textId="77777777" w:rsidR="00760F1C" w:rsidRDefault="000B7C15" w:rsidP="007657F0">
    <w:pPr>
      <w:pStyle w:val="Header"/>
    </w:pPr>
    <w:r>
      <w:fldChar w:fldCharType="begin"/>
    </w:r>
    <w:r>
      <w:instrText>PAGE</w:instrText>
    </w:r>
    <w:r>
      <w:fldChar w:fldCharType="separate"/>
    </w:r>
    <w:r w:rsidR="00FA7C2B">
      <w:rPr>
        <w:noProof/>
      </w:rPr>
      <w:t>12</w:t>
    </w:r>
    <w:r>
      <w:fldChar w:fldCharType="end"/>
    </w:r>
  </w:p>
  <w:p w14:paraId="7A7ED558" w14:textId="3DCC250D" w:rsidR="00760F1C" w:rsidRDefault="00012E27" w:rsidP="00B8298E">
    <w:pPr>
      <w:pStyle w:val="Header"/>
    </w:pPr>
    <w:proofErr w:type="spellStart"/>
    <w:r>
      <w:t>EG</w:t>
    </w:r>
    <w:proofErr w:type="spellEnd"/>
    <w:r>
      <w:t>-</w:t>
    </w:r>
    <w:proofErr w:type="spellStart"/>
    <w:r>
      <w:t>ITRs</w:t>
    </w:r>
    <w:proofErr w:type="spellEnd"/>
    <w:r>
      <w:t>-3\9-S</w:t>
    </w:r>
  </w:p>
  <w:p w14:paraId="5BB62B21" w14:textId="77777777" w:rsidR="005D4ED7" w:rsidRDefault="005D4ED7" w:rsidP="005D4E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B5F0" w14:textId="77777777" w:rsidR="00B71047" w:rsidRDefault="00B71047" w:rsidP="00B71047">
    <w:pPr>
      <w:pStyle w:val="Header"/>
    </w:pPr>
    <w:r>
      <w:fldChar w:fldCharType="begin"/>
    </w:r>
    <w:r>
      <w:instrText>PAGE</w:instrText>
    </w:r>
    <w:r>
      <w:fldChar w:fldCharType="separate"/>
    </w:r>
    <w:r w:rsidR="00FA7C2B">
      <w:rPr>
        <w:noProof/>
      </w:rPr>
      <w:t>2</w:t>
    </w:r>
    <w:r>
      <w:fldChar w:fldCharType="end"/>
    </w:r>
  </w:p>
  <w:p w14:paraId="27E589C9" w14:textId="77777777" w:rsidR="00B71047" w:rsidRDefault="00B71047">
    <w:pPr>
      <w:pStyle w:val="Header"/>
    </w:pPr>
    <w:r>
      <w:t>EG-ITRs-3\9-S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462DD"/>
    <w:multiLevelType w:val="multilevel"/>
    <w:tmpl w:val="EB408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47"/>
    <w:rsid w:val="00012E27"/>
    <w:rsid w:val="000901D3"/>
    <w:rsid w:val="00093EEB"/>
    <w:rsid w:val="000B0D00"/>
    <w:rsid w:val="000B7C15"/>
    <w:rsid w:val="000D1D0F"/>
    <w:rsid w:val="000F5290"/>
    <w:rsid w:val="0010165C"/>
    <w:rsid w:val="001304D3"/>
    <w:rsid w:val="00146BFB"/>
    <w:rsid w:val="001B1823"/>
    <w:rsid w:val="001F14A2"/>
    <w:rsid w:val="001F60AD"/>
    <w:rsid w:val="00216A7E"/>
    <w:rsid w:val="002801AA"/>
    <w:rsid w:val="002C4676"/>
    <w:rsid w:val="002C70B0"/>
    <w:rsid w:val="002F3CC4"/>
    <w:rsid w:val="003242D5"/>
    <w:rsid w:val="00331F2A"/>
    <w:rsid w:val="003A6D56"/>
    <w:rsid w:val="00513630"/>
    <w:rsid w:val="005262CD"/>
    <w:rsid w:val="00560125"/>
    <w:rsid w:val="00585553"/>
    <w:rsid w:val="005B34D9"/>
    <w:rsid w:val="005D0CCF"/>
    <w:rsid w:val="005D4ED7"/>
    <w:rsid w:val="005F410F"/>
    <w:rsid w:val="0060149A"/>
    <w:rsid w:val="00601924"/>
    <w:rsid w:val="006447EA"/>
    <w:rsid w:val="0064731F"/>
    <w:rsid w:val="006710F6"/>
    <w:rsid w:val="0067129F"/>
    <w:rsid w:val="006C1B56"/>
    <w:rsid w:val="006D4761"/>
    <w:rsid w:val="00726872"/>
    <w:rsid w:val="00760F1C"/>
    <w:rsid w:val="007631C0"/>
    <w:rsid w:val="007657F0"/>
    <w:rsid w:val="0077252D"/>
    <w:rsid w:val="007E5DD3"/>
    <w:rsid w:val="007F350B"/>
    <w:rsid w:val="00803F4A"/>
    <w:rsid w:val="00820BE4"/>
    <w:rsid w:val="008451E8"/>
    <w:rsid w:val="00913B9C"/>
    <w:rsid w:val="00956E77"/>
    <w:rsid w:val="00993F77"/>
    <w:rsid w:val="009D0C5D"/>
    <w:rsid w:val="00AA0AD5"/>
    <w:rsid w:val="00AA390C"/>
    <w:rsid w:val="00AD5A14"/>
    <w:rsid w:val="00B0200A"/>
    <w:rsid w:val="00B167EA"/>
    <w:rsid w:val="00B521E2"/>
    <w:rsid w:val="00B574DB"/>
    <w:rsid w:val="00B71047"/>
    <w:rsid w:val="00B826C2"/>
    <w:rsid w:val="00B8298E"/>
    <w:rsid w:val="00B95B53"/>
    <w:rsid w:val="00BA4764"/>
    <w:rsid w:val="00BB4E0D"/>
    <w:rsid w:val="00BD0723"/>
    <w:rsid w:val="00BD2518"/>
    <w:rsid w:val="00BF1D1C"/>
    <w:rsid w:val="00BF5E84"/>
    <w:rsid w:val="00C20C59"/>
    <w:rsid w:val="00C55B1F"/>
    <w:rsid w:val="00C85B97"/>
    <w:rsid w:val="00CB04CA"/>
    <w:rsid w:val="00CF1A67"/>
    <w:rsid w:val="00D2750E"/>
    <w:rsid w:val="00D62446"/>
    <w:rsid w:val="00D92832"/>
    <w:rsid w:val="00DA4EA2"/>
    <w:rsid w:val="00DC3D3E"/>
    <w:rsid w:val="00DE2C90"/>
    <w:rsid w:val="00DE3B24"/>
    <w:rsid w:val="00E06947"/>
    <w:rsid w:val="00E3592D"/>
    <w:rsid w:val="00E92DE8"/>
    <w:rsid w:val="00EB1212"/>
    <w:rsid w:val="00ED65AB"/>
    <w:rsid w:val="00F12850"/>
    <w:rsid w:val="00F33BF4"/>
    <w:rsid w:val="00F610E3"/>
    <w:rsid w:val="00F70229"/>
    <w:rsid w:val="00F7105E"/>
    <w:rsid w:val="00F75F57"/>
    <w:rsid w:val="00F82FEE"/>
    <w:rsid w:val="00FA7C2B"/>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B9E631"/>
  <w15:docId w15:val="{2F55500F-3010-405C-ACC0-283D981F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s-E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rPr>
  </w:style>
  <w:style w:type="character" w:customStyle="1" w:styleId="UnresolvedMention1">
    <w:name w:val="Unresolved Mention1"/>
    <w:basedOn w:val="DefaultParagraphFont"/>
    <w:uiPriority w:val="99"/>
    <w:semiHidden/>
    <w:unhideWhenUsed/>
    <w:rsid w:val="00B71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07531">
      <w:bodyDiv w:val="1"/>
      <w:marLeft w:val="0"/>
      <w:marRight w:val="0"/>
      <w:marTop w:val="0"/>
      <w:marBottom w:val="0"/>
      <w:divBdr>
        <w:top w:val="none" w:sz="0" w:space="0" w:color="auto"/>
        <w:left w:val="none" w:sz="0" w:space="0" w:color="auto"/>
        <w:bottom w:val="none" w:sz="0" w:space="0" w:color="auto"/>
        <w:right w:val="none" w:sz="0" w:space="0" w:color="auto"/>
      </w:divBdr>
    </w:div>
    <w:div w:id="536704862">
      <w:bodyDiv w:val="1"/>
      <w:marLeft w:val="0"/>
      <w:marRight w:val="0"/>
      <w:marTop w:val="0"/>
      <w:marBottom w:val="0"/>
      <w:divBdr>
        <w:top w:val="none" w:sz="0" w:space="0" w:color="auto"/>
        <w:left w:val="none" w:sz="0" w:space="0" w:color="auto"/>
        <w:bottom w:val="none" w:sz="0" w:space="0" w:color="auto"/>
        <w:right w:val="none" w:sz="0" w:space="0" w:color="auto"/>
      </w:divBdr>
    </w:div>
    <w:div w:id="11396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EG-I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AF750-5D1B-4C95-9043-5D49710E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PS_EG-ITR.dotx</Template>
  <TotalTime>69</TotalTime>
  <Pages>13</Pages>
  <Words>2721</Words>
  <Characters>15537</Characters>
  <Application>Microsoft Office Word</Application>
  <DocSecurity>0</DocSecurity>
  <Lines>129</Lines>
  <Paragraphs>36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18222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Spanish83</dc:creator>
  <cp:keywords>C2010, C10</cp:keywords>
  <dc:description>Documento C17/-S  Para: _x000d_Fecha del documento: enero de 2017_x000d_Registrado por ITU51009317 a 15:32:38 el 06/04/2017</dc:description>
  <cp:lastModifiedBy>Sidma Jeanneth</cp:lastModifiedBy>
  <cp:revision>8</cp:revision>
  <cp:lastPrinted>2006-03-24T09:51:00Z</cp:lastPrinted>
  <dcterms:created xsi:type="dcterms:W3CDTF">2020-09-10T13:39:00Z</dcterms:created>
  <dcterms:modified xsi:type="dcterms:W3CDTF">2020-09-10T15:01:00Z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