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345"/>
        <w:gridCol w:w="3492"/>
      </w:tblGrid>
      <w:tr w:rsidR="00923A1B" w14:paraId="4A8D975B" w14:textId="77777777" w:rsidTr="002238C4">
        <w:trPr>
          <w:cantSplit/>
          <w:trHeight w:val="851"/>
        </w:trPr>
        <w:tc>
          <w:tcPr>
            <w:tcW w:w="6345" w:type="dxa"/>
            <w:vAlign w:val="center"/>
          </w:tcPr>
          <w:p w14:paraId="108DD2F9" w14:textId="77777777" w:rsidR="00923A1B" w:rsidRPr="003737DE" w:rsidRDefault="000854C6" w:rsidP="005A03EE">
            <w:pPr>
              <w:shd w:val="solid" w:color="FFFFFF" w:fill="FFFFFF"/>
              <w:spacing w:after="0"/>
              <w:rPr>
                <w:rFonts w:cs="Times"/>
                <w:b/>
              </w:rPr>
            </w:pPr>
            <w:r>
              <w:rPr>
                <w:rFonts w:cs="Times"/>
                <w:b/>
                <w:sz w:val="32"/>
                <w:szCs w:val="32"/>
              </w:rPr>
              <w:t>Expert Group on the International</w:t>
            </w:r>
            <w:r>
              <w:rPr>
                <w:rFonts w:cs="Times"/>
                <w:b/>
                <w:sz w:val="32"/>
                <w:szCs w:val="32"/>
              </w:rPr>
              <w:br/>
              <w:t>Telecommunication Regulations (EG-ITRs)</w:t>
            </w:r>
          </w:p>
        </w:tc>
        <w:tc>
          <w:tcPr>
            <w:tcW w:w="3492" w:type="dxa"/>
          </w:tcPr>
          <w:p w14:paraId="2BE35055" w14:textId="77777777" w:rsidR="00923A1B" w:rsidRDefault="00B36E39" w:rsidP="005A03EE">
            <w:pPr>
              <w:pStyle w:val="dnum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drawing>
                <wp:inline distT="0" distB="0" distL="0" distR="0" wp14:anchorId="2EA3745D" wp14:editId="4FB3DDF7">
                  <wp:extent cx="609600" cy="64328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0" cy="66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14:paraId="5ABD03A0" w14:textId="77777777" w:rsidTr="00923A1B">
        <w:trPr>
          <w:cantSplit/>
          <w:trHeight w:val="20"/>
        </w:trPr>
        <w:tc>
          <w:tcPr>
            <w:tcW w:w="6345" w:type="dxa"/>
            <w:tcBorders>
              <w:bottom w:val="single" w:sz="12" w:space="0" w:color="auto"/>
            </w:tcBorders>
          </w:tcPr>
          <w:p w14:paraId="34F46D07" w14:textId="3F5F03F3" w:rsidR="00923A1B" w:rsidRPr="003737DE" w:rsidRDefault="00421602" w:rsidP="005A03EE">
            <w:pPr>
              <w:shd w:val="solid" w:color="FFFFFF" w:fill="FFFFFF"/>
              <w:spacing w:after="0"/>
              <w:rPr>
                <w:rFonts w:cs="Times"/>
                <w:b/>
              </w:rPr>
            </w:pPr>
            <w:r>
              <w:rPr>
                <w:b/>
                <w:bCs/>
                <w:sz w:val="24"/>
                <w:szCs w:val="40"/>
              </w:rPr>
              <w:t>Third</w:t>
            </w:r>
            <w:r w:rsidR="000854C6">
              <w:rPr>
                <w:b/>
                <w:bCs/>
                <w:sz w:val="24"/>
                <w:szCs w:val="40"/>
              </w:rPr>
              <w:t xml:space="preserve"> meeting </w:t>
            </w:r>
            <w:r w:rsidR="00AF0751" w:rsidRPr="00790F2A">
              <w:rPr>
                <w:b/>
                <w:bCs/>
                <w:szCs w:val="24"/>
              </w:rPr>
              <w:t xml:space="preserve">– </w:t>
            </w:r>
            <w:r w:rsidR="00AF0751" w:rsidRPr="00AF0751">
              <w:rPr>
                <w:b/>
                <w:bCs/>
                <w:sz w:val="24"/>
                <w:szCs w:val="40"/>
              </w:rPr>
              <w:t>Virtual meeting, 17-18 September 2020</w:t>
            </w:r>
          </w:p>
        </w:tc>
        <w:tc>
          <w:tcPr>
            <w:tcW w:w="3492" w:type="dxa"/>
            <w:tcBorders>
              <w:bottom w:val="single" w:sz="12" w:space="0" w:color="auto"/>
            </w:tcBorders>
          </w:tcPr>
          <w:p w14:paraId="20077FC2" w14:textId="77777777" w:rsidR="00923A1B" w:rsidRDefault="00923A1B" w:rsidP="005A03EE">
            <w:pPr>
              <w:pStyle w:val="dnum"/>
              <w:framePr w:hSpace="0" w:wrap="auto" w:vAnchor="margin" w:hAnchor="text" w:yAlign="inline"/>
              <w:spacing w:after="0"/>
              <w:rPr>
                <w:rFonts w:ascii="Verdana" w:hAnsi="Verdana"/>
              </w:rPr>
            </w:pPr>
          </w:p>
        </w:tc>
      </w:tr>
      <w:tr w:rsidR="00923A1B" w:rsidRPr="00F5094D" w14:paraId="3917F08D" w14:textId="77777777" w:rsidTr="00923A1B">
        <w:trPr>
          <w:cantSplit/>
          <w:trHeight w:val="138"/>
        </w:trPr>
        <w:tc>
          <w:tcPr>
            <w:tcW w:w="6345" w:type="dxa"/>
            <w:tcBorders>
              <w:top w:val="single" w:sz="12" w:space="0" w:color="auto"/>
            </w:tcBorders>
          </w:tcPr>
          <w:p w14:paraId="2040FC46" w14:textId="77777777" w:rsidR="00923A1B" w:rsidRDefault="00923A1B" w:rsidP="005A03EE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492" w:type="dxa"/>
            <w:tcBorders>
              <w:top w:val="single" w:sz="12" w:space="0" w:color="auto"/>
            </w:tcBorders>
          </w:tcPr>
          <w:p w14:paraId="781AD986" w14:textId="77777777" w:rsidR="00923A1B" w:rsidRPr="00F5094D" w:rsidRDefault="00923A1B" w:rsidP="005A03EE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923A1B" w:rsidRPr="00C03DBE" w14:paraId="252B3F10" w14:textId="77777777" w:rsidTr="00923A1B">
        <w:trPr>
          <w:cantSplit/>
          <w:trHeight w:val="138"/>
        </w:trPr>
        <w:tc>
          <w:tcPr>
            <w:tcW w:w="6345" w:type="dxa"/>
          </w:tcPr>
          <w:p w14:paraId="66742943" w14:textId="77777777" w:rsidR="00923A1B" w:rsidRPr="002238C4" w:rsidRDefault="00923A1B" w:rsidP="005A03E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2" w:type="dxa"/>
          </w:tcPr>
          <w:p w14:paraId="115FD997" w14:textId="4D7E3AE4" w:rsidR="00923A1B" w:rsidRPr="002238C4" w:rsidRDefault="00923A1B" w:rsidP="005A03EE">
            <w:pPr>
              <w:spacing w:after="0"/>
              <w:rPr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2238C4">
              <w:rPr>
                <w:b/>
                <w:bCs/>
                <w:sz w:val="24"/>
                <w:szCs w:val="24"/>
                <w:lang w:val="es-ES"/>
              </w:rPr>
              <w:t>Document</w:t>
            </w:r>
            <w:proofErr w:type="spellEnd"/>
            <w:r w:rsidRPr="002238C4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854C6">
              <w:rPr>
                <w:b/>
                <w:bCs/>
                <w:sz w:val="24"/>
                <w:szCs w:val="24"/>
                <w:lang w:val="es-ES"/>
              </w:rPr>
              <w:t>EG-ITRs</w:t>
            </w:r>
            <w:r w:rsidR="003A4012">
              <w:rPr>
                <w:b/>
                <w:bCs/>
                <w:sz w:val="24"/>
                <w:szCs w:val="24"/>
                <w:lang w:val="es-ES"/>
              </w:rPr>
              <w:t>-</w:t>
            </w:r>
            <w:r w:rsidR="00585299">
              <w:rPr>
                <w:b/>
                <w:bCs/>
                <w:sz w:val="24"/>
                <w:szCs w:val="24"/>
                <w:lang w:val="es-ES"/>
              </w:rPr>
              <w:t>3</w:t>
            </w:r>
            <w:r w:rsidR="000854C6">
              <w:rPr>
                <w:b/>
                <w:bCs/>
                <w:sz w:val="24"/>
                <w:szCs w:val="24"/>
                <w:lang w:val="es-ES"/>
              </w:rPr>
              <w:t>\</w:t>
            </w:r>
            <w:r w:rsidR="00585299">
              <w:rPr>
                <w:b/>
                <w:bCs/>
                <w:sz w:val="24"/>
                <w:szCs w:val="24"/>
                <w:lang w:val="es-ES"/>
              </w:rPr>
              <w:t>8</w:t>
            </w:r>
            <w:r w:rsidR="000854C6">
              <w:rPr>
                <w:b/>
                <w:bCs/>
                <w:sz w:val="24"/>
                <w:szCs w:val="24"/>
                <w:lang w:val="es-ES"/>
              </w:rPr>
              <w:t>-E</w:t>
            </w:r>
          </w:p>
        </w:tc>
      </w:tr>
      <w:tr w:rsidR="00923A1B" w:rsidRPr="003737DE" w14:paraId="11D14D11" w14:textId="77777777" w:rsidTr="00923A1B">
        <w:trPr>
          <w:cantSplit/>
          <w:trHeight w:val="138"/>
        </w:trPr>
        <w:tc>
          <w:tcPr>
            <w:tcW w:w="6345" w:type="dxa"/>
          </w:tcPr>
          <w:p w14:paraId="071F0E0D" w14:textId="77777777" w:rsidR="00923A1B" w:rsidRDefault="00923A1B" w:rsidP="005A03EE">
            <w:pPr>
              <w:shd w:val="solid" w:color="FFFFFF" w:fill="FFFFFF"/>
              <w:spacing w:after="0"/>
              <w:ind w:right="284"/>
              <w:rPr>
                <w:lang w:val="es-ES"/>
              </w:rPr>
            </w:pPr>
          </w:p>
        </w:tc>
        <w:tc>
          <w:tcPr>
            <w:tcW w:w="3492" w:type="dxa"/>
          </w:tcPr>
          <w:p w14:paraId="4D6AB5E7" w14:textId="42481E50" w:rsidR="00923A1B" w:rsidRPr="002238C4" w:rsidRDefault="00585299" w:rsidP="005A03EE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September</w:t>
            </w:r>
            <w:r w:rsidR="000854C6">
              <w:rPr>
                <w:b/>
                <w:sz w:val="24"/>
                <w:szCs w:val="24"/>
              </w:rPr>
              <w:t xml:space="preserve"> </w:t>
            </w:r>
            <w:r w:rsidR="003A4012">
              <w:rPr>
                <w:b/>
                <w:sz w:val="24"/>
                <w:szCs w:val="24"/>
              </w:rPr>
              <w:t>2020</w:t>
            </w:r>
          </w:p>
        </w:tc>
      </w:tr>
      <w:tr w:rsidR="00923A1B" w:rsidRPr="003737DE" w14:paraId="0149CE58" w14:textId="77777777" w:rsidTr="00923A1B">
        <w:trPr>
          <w:cantSplit/>
          <w:trHeight w:val="138"/>
        </w:trPr>
        <w:tc>
          <w:tcPr>
            <w:tcW w:w="6345" w:type="dxa"/>
          </w:tcPr>
          <w:p w14:paraId="2586391A" w14:textId="77777777" w:rsidR="00923A1B" w:rsidRDefault="00923A1B" w:rsidP="005A03EE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492" w:type="dxa"/>
          </w:tcPr>
          <w:p w14:paraId="29496F91" w14:textId="77777777" w:rsidR="00923A1B" w:rsidRPr="002238C4" w:rsidRDefault="003A4012" w:rsidP="005A03EE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Original: </w:t>
            </w:r>
            <w:r w:rsidR="00421602">
              <w:rPr>
                <w:b/>
                <w:sz w:val="24"/>
                <w:szCs w:val="24"/>
              </w:rPr>
              <w:t>English</w:t>
            </w:r>
          </w:p>
        </w:tc>
      </w:tr>
      <w:tr w:rsidR="000854C6" w:rsidRPr="003737DE" w14:paraId="7BD8CC40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077DB015" w14:textId="29C9EBD5" w:rsidR="000854C6" w:rsidRDefault="00421602" w:rsidP="005A03EE">
            <w:pPr>
              <w:pStyle w:val="Source"/>
            </w:pPr>
            <w:r>
              <w:t>Egypt</w:t>
            </w:r>
            <w:r w:rsidR="00DD1B84">
              <w:t xml:space="preserve"> and Saudi Arabia</w:t>
            </w:r>
          </w:p>
        </w:tc>
      </w:tr>
      <w:tr w:rsidR="000854C6" w:rsidRPr="003737DE" w14:paraId="4D8657CC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4AEEFDAB" w14:textId="4269184E" w:rsidR="00421602" w:rsidRPr="00421602" w:rsidRDefault="007B31F1" w:rsidP="00585299">
            <w:pPr>
              <w:pStyle w:val="Title1"/>
            </w:pPr>
            <w:r>
              <w:t>proposal on how to make discussions move forward</w:t>
            </w:r>
          </w:p>
        </w:tc>
      </w:tr>
    </w:tbl>
    <w:p w14:paraId="35E2FC4F" w14:textId="77777777" w:rsidR="007B1D13" w:rsidRDefault="007B1D13" w:rsidP="00FE6963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Since the beginning of the review process of the ITRs, </w:t>
      </w:r>
      <w:r w:rsidR="00FE6963">
        <w:rPr>
          <w:sz w:val="24"/>
          <w:szCs w:val="24"/>
        </w:rPr>
        <w:t>we</w:t>
      </w:r>
      <w:r w:rsidR="00DD1B84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been an active participant.  We were active members in the preparatory process of WCIT-12, and have participated in all its</w:t>
      </w:r>
      <w:r w:rsidR="00C87F0A">
        <w:rPr>
          <w:sz w:val="24"/>
          <w:szCs w:val="24"/>
        </w:rPr>
        <w:t xml:space="preserve"> Council Working Group meetings, and regional</w:t>
      </w:r>
      <w:r>
        <w:rPr>
          <w:sz w:val="24"/>
          <w:szCs w:val="24"/>
        </w:rPr>
        <w:t xml:space="preserve"> preparatory meetings.  </w:t>
      </w:r>
    </w:p>
    <w:p w14:paraId="5FF63C50" w14:textId="77777777" w:rsidR="00271B7B" w:rsidRDefault="007B1D13" w:rsidP="0005516E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05516E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participated in WCIT-12, as well as the </w:t>
      </w:r>
      <w:r w:rsidR="00EE3FF7">
        <w:rPr>
          <w:sz w:val="24"/>
          <w:szCs w:val="24"/>
        </w:rPr>
        <w:t>2016-2018</w:t>
      </w:r>
      <w:r>
        <w:rPr>
          <w:sz w:val="24"/>
          <w:szCs w:val="24"/>
        </w:rPr>
        <w:t xml:space="preserve"> EG-ITRs and in many cases have tried to show compromises to reach common grounds.  It seems to us, however, that the way discussions have been going, especially in the 2</w:t>
      </w:r>
      <w:r w:rsidRPr="007B1D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meeting of EG-ITRs, which took place in February 2020, will not </w:t>
      </w:r>
      <w:r w:rsidR="0005516E">
        <w:rPr>
          <w:sz w:val="24"/>
          <w:szCs w:val="24"/>
        </w:rPr>
        <w:t xml:space="preserve">help in achieving </w:t>
      </w:r>
      <w:r w:rsidR="0005516E" w:rsidRPr="00BF24E8">
        <w:rPr>
          <w:sz w:val="24"/>
          <w:szCs w:val="24"/>
        </w:rPr>
        <w:t>EG-ITRs'</w:t>
      </w:r>
      <w:r>
        <w:rPr>
          <w:sz w:val="24"/>
          <w:szCs w:val="24"/>
        </w:rPr>
        <w:t xml:space="preserve"> objective</w:t>
      </w:r>
      <w:r w:rsidR="0005516E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0474AC32" w14:textId="3A2B903A" w:rsidR="007B1D13" w:rsidRDefault="0005516E" w:rsidP="00B24F81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All</w:t>
      </w:r>
      <w:r w:rsidR="007B1D13">
        <w:rPr>
          <w:sz w:val="24"/>
          <w:szCs w:val="24"/>
        </w:rPr>
        <w:t xml:space="preserve"> members of the group </w:t>
      </w:r>
      <w:r>
        <w:rPr>
          <w:sz w:val="24"/>
          <w:szCs w:val="24"/>
        </w:rPr>
        <w:t xml:space="preserve">have </w:t>
      </w:r>
      <w:r w:rsidR="007B1D13">
        <w:rPr>
          <w:sz w:val="24"/>
          <w:szCs w:val="24"/>
        </w:rPr>
        <w:t>agree</w:t>
      </w:r>
      <w:r>
        <w:rPr>
          <w:sz w:val="24"/>
          <w:szCs w:val="24"/>
        </w:rPr>
        <w:t>d</w:t>
      </w:r>
      <w:r w:rsidR="007B1D13">
        <w:rPr>
          <w:sz w:val="24"/>
          <w:szCs w:val="24"/>
        </w:rPr>
        <w:t xml:space="preserve"> on the points mandated to us by the </w:t>
      </w:r>
      <w:proofErr w:type="spellStart"/>
      <w:r w:rsidR="00B24F81">
        <w:rPr>
          <w:sz w:val="24"/>
          <w:szCs w:val="24"/>
        </w:rPr>
        <w:t>ToR</w:t>
      </w:r>
      <w:proofErr w:type="spellEnd"/>
      <w:r w:rsidR="007B1D13">
        <w:rPr>
          <w:sz w:val="24"/>
          <w:szCs w:val="24"/>
        </w:rPr>
        <w:t xml:space="preserve">, </w:t>
      </w:r>
      <w:r w:rsidR="00C87F0A">
        <w:rPr>
          <w:sz w:val="24"/>
          <w:szCs w:val="24"/>
        </w:rPr>
        <w:t>namely</w:t>
      </w:r>
      <w:r w:rsidR="007B1D13">
        <w:rPr>
          <w:sz w:val="24"/>
          <w:szCs w:val="24"/>
        </w:rPr>
        <w:t xml:space="preserve"> to “undertake a provision by provision examination of the ITRs, focusing on the 2012 ITRs, taking into account new trends in telecommuni</w:t>
      </w:r>
      <w:r w:rsidR="00585299">
        <w:rPr>
          <w:sz w:val="24"/>
          <w:szCs w:val="24"/>
        </w:rPr>
        <w:t>c</w:t>
      </w:r>
      <w:r w:rsidR="007B1D13">
        <w:rPr>
          <w:sz w:val="24"/>
          <w:szCs w:val="24"/>
        </w:rPr>
        <w:t xml:space="preserve">ations/ICT and emerging issues in international telecommunications/ICT environment”. </w:t>
      </w:r>
    </w:p>
    <w:p w14:paraId="0AFEB98F" w14:textId="77777777" w:rsidR="009F374A" w:rsidRDefault="00271B7B" w:rsidP="00B24F81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However, the way the course of discussion</w:t>
      </w:r>
      <w:r w:rsidR="009F374A">
        <w:rPr>
          <w:sz w:val="24"/>
          <w:szCs w:val="24"/>
        </w:rPr>
        <w:t xml:space="preserve"> in previous meetings was going resembles that of the previous Expert Group. Instead of focusing on the micro-analysis as mandated in the </w:t>
      </w:r>
      <w:proofErr w:type="spellStart"/>
      <w:r w:rsidR="00B24F81">
        <w:rPr>
          <w:sz w:val="24"/>
          <w:szCs w:val="24"/>
        </w:rPr>
        <w:t>ToR</w:t>
      </w:r>
      <w:proofErr w:type="spellEnd"/>
      <w:r w:rsidR="00B24F81">
        <w:rPr>
          <w:sz w:val="24"/>
          <w:szCs w:val="24"/>
        </w:rPr>
        <w:t xml:space="preserve"> </w:t>
      </w:r>
      <w:r w:rsidR="009F374A">
        <w:rPr>
          <w:sz w:val="24"/>
          <w:szCs w:val="24"/>
        </w:rPr>
        <w:t>– the provision by provision examination – discussions have moved to the macro-</w:t>
      </w:r>
      <w:r w:rsidR="00C87F0A">
        <w:rPr>
          <w:sz w:val="24"/>
          <w:szCs w:val="24"/>
        </w:rPr>
        <w:t>level</w:t>
      </w:r>
      <w:r w:rsidR="009F374A">
        <w:rPr>
          <w:sz w:val="24"/>
          <w:szCs w:val="24"/>
        </w:rPr>
        <w:t xml:space="preserve">, where many </w:t>
      </w:r>
      <w:r w:rsidR="00C87F0A">
        <w:rPr>
          <w:sz w:val="24"/>
          <w:szCs w:val="24"/>
        </w:rPr>
        <w:t>have started again discussing</w:t>
      </w:r>
      <w:r w:rsidR="009F374A">
        <w:rPr>
          <w:sz w:val="24"/>
          <w:szCs w:val="24"/>
        </w:rPr>
        <w:t xml:space="preserve"> the ITRs as a whole</w:t>
      </w:r>
      <w:r w:rsidR="00C87F0A">
        <w:rPr>
          <w:sz w:val="24"/>
          <w:szCs w:val="24"/>
        </w:rPr>
        <w:t xml:space="preserve">, with the view that they are not suitable or not applicable today. </w:t>
      </w:r>
    </w:p>
    <w:p w14:paraId="692149AF" w14:textId="77777777" w:rsidR="009F374A" w:rsidRDefault="009F374A" w:rsidP="008E5459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Accordingly, </w:t>
      </w:r>
      <w:r w:rsidR="00B24F81">
        <w:rPr>
          <w:sz w:val="24"/>
          <w:szCs w:val="24"/>
        </w:rPr>
        <w:t xml:space="preserve">we are afraid </w:t>
      </w:r>
      <w:r>
        <w:rPr>
          <w:sz w:val="24"/>
          <w:szCs w:val="24"/>
        </w:rPr>
        <w:t xml:space="preserve">that </w:t>
      </w:r>
      <w:r w:rsidR="00271B7B">
        <w:rPr>
          <w:sz w:val="24"/>
          <w:szCs w:val="24"/>
        </w:rPr>
        <w:t>the group would</w:t>
      </w:r>
      <w:r>
        <w:rPr>
          <w:sz w:val="24"/>
          <w:szCs w:val="24"/>
        </w:rPr>
        <w:t xml:space="preserve"> not</w:t>
      </w:r>
      <w:r w:rsidR="00271B7B">
        <w:rPr>
          <w:sz w:val="24"/>
          <w:szCs w:val="24"/>
        </w:rPr>
        <w:t xml:space="preserve"> achieve </w:t>
      </w:r>
      <w:r>
        <w:rPr>
          <w:sz w:val="24"/>
          <w:szCs w:val="24"/>
        </w:rPr>
        <w:t>constructive results this way</w:t>
      </w:r>
      <w:r w:rsidR="00B24F81">
        <w:rPr>
          <w:sz w:val="24"/>
          <w:szCs w:val="24"/>
        </w:rPr>
        <w:t xml:space="preserve"> and the discussion will deviate from the </w:t>
      </w:r>
      <w:r w:rsidR="008E5459">
        <w:rPr>
          <w:sz w:val="24"/>
          <w:szCs w:val="24"/>
        </w:rPr>
        <w:t>group's scope</w:t>
      </w:r>
      <w:r>
        <w:rPr>
          <w:sz w:val="24"/>
          <w:szCs w:val="24"/>
        </w:rPr>
        <w:t xml:space="preserve">. </w:t>
      </w:r>
    </w:p>
    <w:p w14:paraId="3D14BB41" w14:textId="77777777" w:rsidR="009F374A" w:rsidRDefault="009F374A" w:rsidP="005A03EE">
      <w:pPr>
        <w:snapToGrid w:val="0"/>
        <w:spacing w:after="120" w:line="240" w:lineRule="auto"/>
        <w:rPr>
          <w:sz w:val="24"/>
          <w:szCs w:val="24"/>
        </w:rPr>
      </w:pPr>
    </w:p>
    <w:p w14:paraId="5F60900B" w14:textId="77777777" w:rsidR="007B31F1" w:rsidRDefault="007B31F1" w:rsidP="005A03EE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Our proposal is divided into two aspects:</w:t>
      </w:r>
    </w:p>
    <w:p w14:paraId="1682D143" w14:textId="77777777" w:rsidR="007B31F1" w:rsidRDefault="007B31F1" w:rsidP="005A03EE">
      <w:pPr>
        <w:pStyle w:val="ListParagraph"/>
        <w:numPr>
          <w:ilvl w:val="0"/>
          <w:numId w:val="21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Focus on the micro-analysis not macro with the intention to come up with solutions</w:t>
      </w:r>
      <w:r w:rsidR="00653722">
        <w:rPr>
          <w:sz w:val="24"/>
          <w:szCs w:val="24"/>
        </w:rPr>
        <w:t>.</w:t>
      </w:r>
    </w:p>
    <w:p w14:paraId="03DE95D3" w14:textId="77777777" w:rsidR="00985567" w:rsidRDefault="00DE0445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653722">
        <w:rPr>
          <w:sz w:val="24"/>
          <w:szCs w:val="24"/>
        </w:rPr>
        <w:t xml:space="preserve">provision by provision examination of the articles some </w:t>
      </w:r>
      <w:r w:rsidR="008E5459">
        <w:rPr>
          <w:sz w:val="24"/>
          <w:szCs w:val="24"/>
        </w:rPr>
        <w:t xml:space="preserve">members </w:t>
      </w:r>
      <w:r w:rsidR="00653722">
        <w:rPr>
          <w:sz w:val="24"/>
          <w:szCs w:val="24"/>
        </w:rPr>
        <w:t xml:space="preserve">were of the view that an international treaty is not effective in promoting the development of telecommunications/ICTs. Moreover, in such analyses, almost none of the provisions were found applicable or flexible. </w:t>
      </w:r>
    </w:p>
    <w:p w14:paraId="0D266EA3" w14:textId="77777777" w:rsidR="00975B32" w:rsidRDefault="00985567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During WCIT-12 </w:t>
      </w:r>
      <w:r w:rsidR="00975B32">
        <w:rPr>
          <w:sz w:val="24"/>
          <w:szCs w:val="24"/>
        </w:rPr>
        <w:t xml:space="preserve">there were </w:t>
      </w:r>
      <w:r>
        <w:rPr>
          <w:sz w:val="24"/>
          <w:szCs w:val="24"/>
        </w:rPr>
        <w:t xml:space="preserve">89 Member States </w:t>
      </w:r>
      <w:r w:rsidR="00975B32">
        <w:rPr>
          <w:sz w:val="24"/>
          <w:szCs w:val="24"/>
        </w:rPr>
        <w:t xml:space="preserve">that </w:t>
      </w:r>
      <w:r>
        <w:rPr>
          <w:sz w:val="24"/>
          <w:szCs w:val="24"/>
        </w:rPr>
        <w:t>signed this treaty</w:t>
      </w:r>
      <w:r w:rsidR="00975B32">
        <w:rPr>
          <w:sz w:val="24"/>
          <w:szCs w:val="24"/>
        </w:rPr>
        <w:t xml:space="preserve">, which means that these Member States, found the treaty flexible and applicable.  Thus, even if several </w:t>
      </w:r>
      <w:r w:rsidR="008E5459">
        <w:rPr>
          <w:sz w:val="24"/>
          <w:szCs w:val="24"/>
        </w:rPr>
        <w:t xml:space="preserve">members </w:t>
      </w:r>
      <w:r w:rsidR="00975B32">
        <w:rPr>
          <w:sz w:val="24"/>
          <w:szCs w:val="24"/>
        </w:rPr>
        <w:t xml:space="preserve">did not sign the treaty, there must be some provisions that are flexible, and applicable. </w:t>
      </w:r>
      <w:r w:rsidR="00C87F0A">
        <w:rPr>
          <w:sz w:val="24"/>
          <w:szCs w:val="24"/>
        </w:rPr>
        <w:t xml:space="preserve">It is very difficult that every provision is not valid. </w:t>
      </w:r>
    </w:p>
    <w:p w14:paraId="166F126C" w14:textId="77777777" w:rsidR="00900AAE" w:rsidRDefault="00900AAE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realize how difficult this discussion is, especially with the divergence of views between the different members.  At the same time, we believe that we will not </w:t>
      </w:r>
      <w:r w:rsidR="00C87F0A">
        <w:rPr>
          <w:sz w:val="24"/>
          <w:szCs w:val="24"/>
        </w:rPr>
        <w:t>yield</w:t>
      </w:r>
      <w:r>
        <w:rPr>
          <w:sz w:val="24"/>
          <w:szCs w:val="24"/>
        </w:rPr>
        <w:t xml:space="preserve"> constructive </w:t>
      </w:r>
      <w:r w:rsidR="00C87F0A">
        <w:rPr>
          <w:sz w:val="24"/>
          <w:szCs w:val="24"/>
        </w:rPr>
        <w:t>results</w:t>
      </w:r>
      <w:r>
        <w:rPr>
          <w:sz w:val="24"/>
          <w:szCs w:val="24"/>
        </w:rPr>
        <w:t xml:space="preserve"> if discussions focus on the ITRs as a whole, and not on a provision by provision analysis.  </w:t>
      </w:r>
    </w:p>
    <w:p w14:paraId="3E227D58" w14:textId="77777777" w:rsidR="00975B32" w:rsidRDefault="00900AAE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8E5459">
        <w:rPr>
          <w:sz w:val="24"/>
          <w:szCs w:val="24"/>
        </w:rPr>
        <w:t xml:space="preserve">our </w:t>
      </w:r>
      <w:r w:rsidR="00975B32">
        <w:rPr>
          <w:sz w:val="24"/>
          <w:szCs w:val="24"/>
        </w:rPr>
        <w:t xml:space="preserve">view </w:t>
      </w:r>
      <w:r w:rsidR="008E5459">
        <w:rPr>
          <w:sz w:val="24"/>
          <w:szCs w:val="24"/>
        </w:rPr>
        <w:t xml:space="preserve">is </w:t>
      </w:r>
      <w:r w:rsidR="00975B32">
        <w:rPr>
          <w:sz w:val="24"/>
          <w:szCs w:val="24"/>
        </w:rPr>
        <w:t>that provisions can be divided as follows:</w:t>
      </w:r>
    </w:p>
    <w:p w14:paraId="4C2F7714" w14:textId="77777777" w:rsidR="00975B32" w:rsidRDefault="00975B32" w:rsidP="005A03EE">
      <w:pPr>
        <w:pStyle w:val="ListParagraph"/>
        <w:numPr>
          <w:ilvl w:val="0"/>
          <w:numId w:val="23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Some provisions that are valid</w:t>
      </w:r>
    </w:p>
    <w:p w14:paraId="53F81980" w14:textId="77777777" w:rsidR="00975B32" w:rsidRDefault="00975B32" w:rsidP="005A03EE">
      <w:pPr>
        <w:pStyle w:val="ListParagraph"/>
        <w:numPr>
          <w:ilvl w:val="0"/>
          <w:numId w:val="23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Some provisions that are not valid</w:t>
      </w:r>
    </w:p>
    <w:p w14:paraId="6FF7182B" w14:textId="77777777" w:rsidR="00975B32" w:rsidRDefault="00975B32" w:rsidP="005A03EE">
      <w:pPr>
        <w:pStyle w:val="ListParagraph"/>
        <w:numPr>
          <w:ilvl w:val="0"/>
          <w:numId w:val="23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Some provisions that need to be amended to be suitable to the new trends in telecommunications/ICTs</w:t>
      </w:r>
    </w:p>
    <w:p w14:paraId="75670D33" w14:textId="77777777" w:rsidR="00975B32" w:rsidRDefault="00975B32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also of the view that </w:t>
      </w:r>
      <w:r w:rsidR="00C87F0A">
        <w:rPr>
          <w:sz w:val="24"/>
          <w:szCs w:val="24"/>
        </w:rPr>
        <w:t xml:space="preserve">the </w:t>
      </w:r>
      <w:r>
        <w:rPr>
          <w:sz w:val="24"/>
          <w:szCs w:val="24"/>
        </w:rPr>
        <w:t>third group of provisions</w:t>
      </w:r>
      <w:r w:rsidR="00C87F0A">
        <w:rPr>
          <w:sz w:val="24"/>
          <w:szCs w:val="24"/>
        </w:rPr>
        <w:t xml:space="preserve"> – the provisions </w:t>
      </w:r>
      <w:r w:rsidR="00C601DF">
        <w:rPr>
          <w:sz w:val="24"/>
          <w:szCs w:val="24"/>
        </w:rPr>
        <w:t xml:space="preserve">which </w:t>
      </w:r>
      <w:r w:rsidR="00C87F0A">
        <w:rPr>
          <w:sz w:val="24"/>
          <w:szCs w:val="24"/>
        </w:rPr>
        <w:t xml:space="preserve">need some work and amendment –is going to be </w:t>
      </w:r>
      <w:r>
        <w:rPr>
          <w:sz w:val="24"/>
          <w:szCs w:val="24"/>
        </w:rPr>
        <w:t xml:space="preserve">most prevalent </w:t>
      </w:r>
      <w:r w:rsidR="00C87F0A">
        <w:rPr>
          <w:sz w:val="24"/>
          <w:szCs w:val="24"/>
        </w:rPr>
        <w:t>in the ITRs.</w:t>
      </w:r>
    </w:p>
    <w:p w14:paraId="0D7246CE" w14:textId="77777777" w:rsidR="00CD7130" w:rsidRDefault="00975B32" w:rsidP="00BF24E8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So, in order to be able to move forward with </w:t>
      </w:r>
      <w:r w:rsidR="00C601DF" w:rsidRPr="00C601DF">
        <w:rPr>
          <w:sz w:val="24"/>
          <w:szCs w:val="24"/>
        </w:rPr>
        <w:t>EG-ITRs</w:t>
      </w:r>
      <w:r w:rsidR="00C601DF" w:rsidRPr="00C601DF" w:rsidDel="00C60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duties, we believe that in our analysis, we must highlight the provisions that need amendment and make suggestions – from a concept point of view- on how these provisions should be changed. </w:t>
      </w:r>
    </w:p>
    <w:p w14:paraId="74130840" w14:textId="3448E074" w:rsidR="00975B32" w:rsidRPr="00975B32" w:rsidRDefault="00975B32" w:rsidP="005A03EE">
      <w:pPr>
        <w:snapToGrid w:val="0"/>
        <w:spacing w:after="120" w:line="240" w:lineRule="auto"/>
        <w:ind w:left="567"/>
        <w:rPr>
          <w:sz w:val="24"/>
          <w:szCs w:val="24"/>
        </w:rPr>
      </w:pPr>
    </w:p>
    <w:p w14:paraId="19308107" w14:textId="77777777" w:rsidR="007B31F1" w:rsidRDefault="007B31F1" w:rsidP="005A03EE">
      <w:pPr>
        <w:pStyle w:val="ListParagraph"/>
        <w:numPr>
          <w:ilvl w:val="0"/>
          <w:numId w:val="21"/>
        </w:num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ITRs should apply to Member States</w:t>
      </w:r>
    </w:p>
    <w:p w14:paraId="74D2B418" w14:textId="77777777" w:rsidR="007B31F1" w:rsidRDefault="00CD7130">
      <w:pPr>
        <w:snapToGrid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C601DF">
        <w:rPr>
          <w:sz w:val="24"/>
          <w:szCs w:val="24"/>
        </w:rPr>
        <w:t>issue presented during the 2</w:t>
      </w:r>
      <w:r w:rsidR="00C601DF" w:rsidRPr="007B1D13">
        <w:rPr>
          <w:sz w:val="24"/>
          <w:szCs w:val="24"/>
          <w:vertAlign w:val="superscript"/>
        </w:rPr>
        <w:t>nd</w:t>
      </w:r>
      <w:r w:rsidR="00C601DF">
        <w:rPr>
          <w:sz w:val="24"/>
          <w:szCs w:val="24"/>
        </w:rPr>
        <w:t xml:space="preserve"> meeting of EG-ITRs </w:t>
      </w:r>
      <w:r w:rsidR="00C601DF" w:rsidRPr="00C601DF" w:rsidDel="00C60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that the 1988 ITRs addressed state-owned companies, and therefore, </w:t>
      </w:r>
      <w:r w:rsidR="002A6AF8">
        <w:rPr>
          <w:sz w:val="24"/>
          <w:szCs w:val="24"/>
        </w:rPr>
        <w:t xml:space="preserve">at the time </w:t>
      </w:r>
      <w:r>
        <w:rPr>
          <w:sz w:val="24"/>
          <w:szCs w:val="24"/>
        </w:rPr>
        <w:t>the government was the service provider. Today, the telecommunications/ICT environment has changed with the privatization of the telecom companies</w:t>
      </w:r>
      <w:r w:rsidR="00900AAE">
        <w:rPr>
          <w:sz w:val="24"/>
          <w:szCs w:val="24"/>
        </w:rPr>
        <w:t xml:space="preserve"> and the involvement of multiple stakeholders in the governance process, as Brazil adequately explained in their contribution to the first meeting of this group.</w:t>
      </w:r>
      <w:r w:rsidR="00C601DF">
        <w:rPr>
          <w:sz w:val="24"/>
          <w:szCs w:val="24"/>
        </w:rPr>
        <w:t xml:space="preserve"> Therefore</w:t>
      </w:r>
      <w:r w:rsidR="00900AAE">
        <w:rPr>
          <w:sz w:val="24"/>
          <w:szCs w:val="24"/>
        </w:rPr>
        <w:t xml:space="preserve">, </w:t>
      </w:r>
      <w:r w:rsidR="00C601DF">
        <w:rPr>
          <w:sz w:val="24"/>
          <w:szCs w:val="24"/>
        </w:rPr>
        <w:t>some members belie</w:t>
      </w:r>
      <w:r w:rsidR="00035EA7">
        <w:rPr>
          <w:sz w:val="24"/>
          <w:szCs w:val="24"/>
        </w:rPr>
        <w:t>ve</w:t>
      </w:r>
      <w:r w:rsidR="00C601DF">
        <w:rPr>
          <w:sz w:val="24"/>
          <w:szCs w:val="24"/>
        </w:rPr>
        <w:t xml:space="preserve"> that </w:t>
      </w:r>
      <w:r w:rsidR="00E764D2">
        <w:rPr>
          <w:sz w:val="24"/>
          <w:szCs w:val="24"/>
        </w:rPr>
        <w:t xml:space="preserve">it's </w:t>
      </w:r>
      <w:r>
        <w:rPr>
          <w:sz w:val="24"/>
          <w:szCs w:val="24"/>
        </w:rPr>
        <w:t xml:space="preserve">difficult to have a treaty addressed to Member States </w:t>
      </w:r>
      <w:r w:rsidR="00900AAE">
        <w:rPr>
          <w:sz w:val="24"/>
          <w:szCs w:val="24"/>
        </w:rPr>
        <w:t xml:space="preserve">that </w:t>
      </w:r>
      <w:r>
        <w:rPr>
          <w:sz w:val="24"/>
          <w:szCs w:val="24"/>
        </w:rPr>
        <w:t>enforce</w:t>
      </w:r>
      <w:r w:rsidR="00900AAE">
        <w:rPr>
          <w:sz w:val="24"/>
          <w:szCs w:val="24"/>
        </w:rPr>
        <w:t>s</w:t>
      </w:r>
      <w:r>
        <w:rPr>
          <w:sz w:val="24"/>
          <w:szCs w:val="24"/>
        </w:rPr>
        <w:t xml:space="preserve"> rules</w:t>
      </w:r>
      <w:r w:rsidR="00900AAE">
        <w:rPr>
          <w:sz w:val="24"/>
          <w:szCs w:val="24"/>
        </w:rPr>
        <w:t xml:space="preserve"> and regulations</w:t>
      </w:r>
      <w:r>
        <w:rPr>
          <w:sz w:val="24"/>
          <w:szCs w:val="24"/>
        </w:rPr>
        <w:t xml:space="preserve"> on private companies. </w:t>
      </w:r>
    </w:p>
    <w:p w14:paraId="5253F2A8" w14:textId="77777777" w:rsidR="0043410B" w:rsidRDefault="00E764D2" w:rsidP="00BF24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However, it should be clear that all stakeholders have an important role to adopt the ITRs, where Member States have the leading role in implementing the ITRs </w:t>
      </w:r>
      <w:r w:rsidR="0049619D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="0049619D">
        <w:rPr>
          <w:sz w:val="24"/>
          <w:szCs w:val="24"/>
        </w:rPr>
        <w:t xml:space="preserve">involvement and commitment of the </w:t>
      </w:r>
      <w:r>
        <w:rPr>
          <w:sz w:val="24"/>
          <w:szCs w:val="24"/>
        </w:rPr>
        <w:t>private sector</w:t>
      </w:r>
      <w:r w:rsidR="0049619D">
        <w:rPr>
          <w:sz w:val="24"/>
          <w:szCs w:val="24"/>
        </w:rPr>
        <w:t xml:space="preserve">. As </w:t>
      </w:r>
      <w:r w:rsidR="0043410B">
        <w:rPr>
          <w:sz w:val="24"/>
          <w:szCs w:val="24"/>
        </w:rPr>
        <w:t xml:space="preserve">for example, </w:t>
      </w:r>
      <w:r w:rsidR="0049619D">
        <w:rPr>
          <w:sz w:val="24"/>
          <w:szCs w:val="24"/>
        </w:rPr>
        <w:t>with</w:t>
      </w:r>
      <w:r w:rsidR="0043410B">
        <w:rPr>
          <w:sz w:val="24"/>
          <w:szCs w:val="24"/>
        </w:rPr>
        <w:t xml:space="preserve"> the</w:t>
      </w:r>
      <w:r w:rsidR="0049619D">
        <w:rPr>
          <w:sz w:val="24"/>
          <w:szCs w:val="24"/>
        </w:rPr>
        <w:t xml:space="preserve"> Radio Regulations</w:t>
      </w:r>
      <w:r w:rsidR="00633F76">
        <w:rPr>
          <w:sz w:val="24"/>
          <w:szCs w:val="24"/>
        </w:rPr>
        <w:t xml:space="preserve">, where the </w:t>
      </w:r>
      <w:r w:rsidR="0049619D" w:rsidRPr="0049619D">
        <w:rPr>
          <w:sz w:val="24"/>
          <w:szCs w:val="24"/>
        </w:rPr>
        <w:t>provisions</w:t>
      </w:r>
      <w:r w:rsidR="00633F76">
        <w:rPr>
          <w:sz w:val="24"/>
          <w:szCs w:val="24"/>
        </w:rPr>
        <w:t xml:space="preserve"> are</w:t>
      </w:r>
      <w:r w:rsidR="0049619D" w:rsidRPr="0049619D">
        <w:rPr>
          <w:sz w:val="24"/>
          <w:szCs w:val="24"/>
        </w:rPr>
        <w:t xml:space="preserve"> binding</w:t>
      </w:r>
      <w:r w:rsidR="00633F76">
        <w:rPr>
          <w:sz w:val="24"/>
          <w:szCs w:val="24"/>
        </w:rPr>
        <w:t xml:space="preserve"> </w:t>
      </w:r>
      <w:r w:rsidR="00467332">
        <w:rPr>
          <w:sz w:val="24"/>
          <w:szCs w:val="24"/>
        </w:rPr>
        <w:t xml:space="preserve">on all Member States </w:t>
      </w:r>
      <w:r w:rsidR="00467332" w:rsidRPr="00467332">
        <w:rPr>
          <w:sz w:val="24"/>
          <w:szCs w:val="24"/>
        </w:rPr>
        <w:t>to carry out the</w:t>
      </w:r>
      <w:r w:rsidR="00467332">
        <w:rPr>
          <w:sz w:val="24"/>
          <w:szCs w:val="24"/>
        </w:rPr>
        <w:t>ir roles and responsibilities with the commitment of private sector</w:t>
      </w:r>
      <w:r w:rsidR="00467332" w:rsidRPr="00467332">
        <w:rPr>
          <w:sz w:val="24"/>
          <w:szCs w:val="24"/>
        </w:rPr>
        <w:t xml:space="preserve"> </w:t>
      </w:r>
      <w:r w:rsidR="00467332">
        <w:rPr>
          <w:sz w:val="24"/>
          <w:szCs w:val="24"/>
        </w:rPr>
        <w:t>in applying these provisions to the end user.</w:t>
      </w:r>
    </w:p>
    <w:p w14:paraId="7990ED45" w14:textId="77777777" w:rsidR="0043410B" w:rsidRDefault="0043410B" w:rsidP="00BF24E8">
      <w:pPr>
        <w:spacing w:after="0" w:line="240" w:lineRule="auto"/>
        <w:rPr>
          <w:sz w:val="24"/>
          <w:szCs w:val="24"/>
        </w:rPr>
      </w:pPr>
    </w:p>
    <w:p w14:paraId="47EB72E4" w14:textId="77777777" w:rsidR="00AB2815" w:rsidRPr="004A29FF" w:rsidRDefault="00AB2815" w:rsidP="00BF24E8">
      <w:pPr>
        <w:spacing w:after="0" w:line="240" w:lineRule="auto"/>
        <w:jc w:val="center"/>
        <w:rPr>
          <w:sz w:val="24"/>
          <w:szCs w:val="24"/>
        </w:rPr>
      </w:pPr>
      <w:r w:rsidRPr="004A29FF">
        <w:rPr>
          <w:sz w:val="24"/>
          <w:szCs w:val="24"/>
        </w:rPr>
        <w:t>____________________</w:t>
      </w:r>
    </w:p>
    <w:sectPr w:rsidR="00AB2815" w:rsidRPr="004A29FF" w:rsidSect="004D1851">
      <w:head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3D2AF" w14:textId="77777777" w:rsidR="00D72014" w:rsidRDefault="00D72014">
      <w:r>
        <w:separator/>
      </w:r>
    </w:p>
  </w:endnote>
  <w:endnote w:type="continuationSeparator" w:id="0">
    <w:p w14:paraId="123ADE9B" w14:textId="77777777" w:rsidR="00D72014" w:rsidRDefault="00D7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4809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71FD3" w14:textId="77777777" w:rsidR="00D72014" w:rsidRDefault="00D72014">
      <w:r>
        <w:t>____________________</w:t>
      </w:r>
    </w:p>
  </w:footnote>
  <w:footnote w:type="continuationSeparator" w:id="0">
    <w:p w14:paraId="1FE86559" w14:textId="77777777" w:rsidR="00D72014" w:rsidRDefault="00D7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6C71" w14:textId="49278AF7" w:rsidR="00542BAB" w:rsidRDefault="00542BAB" w:rsidP="003A4012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BF24E8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0854C6">
      <w:rPr>
        <w:noProof/>
      </w:rPr>
      <w:t>EG-ITRs</w:t>
    </w:r>
    <w:r w:rsidR="003A4012">
      <w:rPr>
        <w:noProof/>
      </w:rPr>
      <w:t>-</w:t>
    </w:r>
    <w:r w:rsidR="00585299">
      <w:rPr>
        <w:noProof/>
      </w:rPr>
      <w:t>3</w:t>
    </w:r>
    <w:r w:rsidR="000854C6">
      <w:rPr>
        <w:noProof/>
      </w:rPr>
      <w:t>\</w:t>
    </w:r>
    <w:r w:rsidR="00585299">
      <w:rPr>
        <w:noProof/>
      </w:rPr>
      <w:t>8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627C"/>
    <w:multiLevelType w:val="hybridMultilevel"/>
    <w:tmpl w:val="DCD091AE"/>
    <w:lvl w:ilvl="0" w:tplc="B0B0F9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12819"/>
    <w:multiLevelType w:val="hybridMultilevel"/>
    <w:tmpl w:val="F17E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77F2510"/>
    <w:multiLevelType w:val="hybridMultilevel"/>
    <w:tmpl w:val="F3606B0C"/>
    <w:lvl w:ilvl="0" w:tplc="AC70B6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4"/>
  </w:num>
  <w:num w:numId="5">
    <w:abstractNumId w:val="22"/>
  </w:num>
  <w:num w:numId="6">
    <w:abstractNumId w:val="12"/>
  </w:num>
  <w:num w:numId="7">
    <w:abstractNumId w:val="21"/>
  </w:num>
  <w:num w:numId="8">
    <w:abstractNumId w:val="18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6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609D"/>
    <w:rsid w:val="000209D4"/>
    <w:rsid w:val="00030247"/>
    <w:rsid w:val="0003420F"/>
    <w:rsid w:val="00035EA7"/>
    <w:rsid w:val="0005516E"/>
    <w:rsid w:val="0005540C"/>
    <w:rsid w:val="00063016"/>
    <w:rsid w:val="00066DF5"/>
    <w:rsid w:val="00076AF6"/>
    <w:rsid w:val="00083635"/>
    <w:rsid w:val="000854C6"/>
    <w:rsid w:val="00085CF2"/>
    <w:rsid w:val="000915E5"/>
    <w:rsid w:val="000B1705"/>
    <w:rsid w:val="000C0529"/>
    <w:rsid w:val="000C2903"/>
    <w:rsid w:val="000C2F74"/>
    <w:rsid w:val="000C37C9"/>
    <w:rsid w:val="000C64DB"/>
    <w:rsid w:val="000D75B2"/>
    <w:rsid w:val="001121F5"/>
    <w:rsid w:val="00140CE1"/>
    <w:rsid w:val="00143690"/>
    <w:rsid w:val="00144165"/>
    <w:rsid w:val="0016020C"/>
    <w:rsid w:val="00171F42"/>
    <w:rsid w:val="0017539C"/>
    <w:rsid w:val="00175AC2"/>
    <w:rsid w:val="0017609F"/>
    <w:rsid w:val="00195328"/>
    <w:rsid w:val="001C628E"/>
    <w:rsid w:val="001E0F7B"/>
    <w:rsid w:val="001F4FF7"/>
    <w:rsid w:val="002119FD"/>
    <w:rsid w:val="002130E0"/>
    <w:rsid w:val="00221C8F"/>
    <w:rsid w:val="002238C4"/>
    <w:rsid w:val="0023016B"/>
    <w:rsid w:val="0025471D"/>
    <w:rsid w:val="00256D0F"/>
    <w:rsid w:val="00257BDE"/>
    <w:rsid w:val="00265875"/>
    <w:rsid w:val="002667C5"/>
    <w:rsid w:val="00271B7B"/>
    <w:rsid w:val="0027303B"/>
    <w:rsid w:val="0028109B"/>
    <w:rsid w:val="00293DE5"/>
    <w:rsid w:val="00295397"/>
    <w:rsid w:val="002A6AF8"/>
    <w:rsid w:val="002B1870"/>
    <w:rsid w:val="002B1F58"/>
    <w:rsid w:val="002C1C7A"/>
    <w:rsid w:val="002C5285"/>
    <w:rsid w:val="002D1E7F"/>
    <w:rsid w:val="002D494F"/>
    <w:rsid w:val="0030160F"/>
    <w:rsid w:val="0032195E"/>
    <w:rsid w:val="00322D0D"/>
    <w:rsid w:val="00326D48"/>
    <w:rsid w:val="0033276E"/>
    <w:rsid w:val="00337854"/>
    <w:rsid w:val="00337CE2"/>
    <w:rsid w:val="003439CB"/>
    <w:rsid w:val="003662CE"/>
    <w:rsid w:val="003735DF"/>
    <w:rsid w:val="0037461E"/>
    <w:rsid w:val="00375F3C"/>
    <w:rsid w:val="0038108D"/>
    <w:rsid w:val="00384DD6"/>
    <w:rsid w:val="0039110F"/>
    <w:rsid w:val="003914A7"/>
    <w:rsid w:val="003942D4"/>
    <w:rsid w:val="003958A8"/>
    <w:rsid w:val="003A4012"/>
    <w:rsid w:val="003A71C2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21602"/>
    <w:rsid w:val="00431D9E"/>
    <w:rsid w:val="00433805"/>
    <w:rsid w:val="00433CE8"/>
    <w:rsid w:val="0043410B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17B3"/>
    <w:rsid w:val="0046438A"/>
    <w:rsid w:val="004648CF"/>
    <w:rsid w:val="00467332"/>
    <w:rsid w:val="00480571"/>
    <w:rsid w:val="004841B7"/>
    <w:rsid w:val="00490E72"/>
    <w:rsid w:val="004921C8"/>
    <w:rsid w:val="0049335F"/>
    <w:rsid w:val="0049619D"/>
    <w:rsid w:val="004A29FF"/>
    <w:rsid w:val="004A45DD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273C9"/>
    <w:rsid w:val="00542AE7"/>
    <w:rsid w:val="00542BAB"/>
    <w:rsid w:val="00544CA6"/>
    <w:rsid w:val="005467AE"/>
    <w:rsid w:val="005471D2"/>
    <w:rsid w:val="00564FBC"/>
    <w:rsid w:val="0057569B"/>
    <w:rsid w:val="00582442"/>
    <w:rsid w:val="0058499C"/>
    <w:rsid w:val="00585299"/>
    <w:rsid w:val="005A03EE"/>
    <w:rsid w:val="005A3B8A"/>
    <w:rsid w:val="005B4351"/>
    <w:rsid w:val="005C37A0"/>
    <w:rsid w:val="005D32DC"/>
    <w:rsid w:val="005D6131"/>
    <w:rsid w:val="005F2D25"/>
    <w:rsid w:val="005F40A4"/>
    <w:rsid w:val="00605347"/>
    <w:rsid w:val="00633F76"/>
    <w:rsid w:val="006535F1"/>
    <w:rsid w:val="00653722"/>
    <w:rsid w:val="0065557D"/>
    <w:rsid w:val="00662984"/>
    <w:rsid w:val="006716BB"/>
    <w:rsid w:val="006771E7"/>
    <w:rsid w:val="006B6DCC"/>
    <w:rsid w:val="006B7318"/>
    <w:rsid w:val="006D3B24"/>
    <w:rsid w:val="006D3B29"/>
    <w:rsid w:val="00733B71"/>
    <w:rsid w:val="00741793"/>
    <w:rsid w:val="0075051B"/>
    <w:rsid w:val="00763E73"/>
    <w:rsid w:val="00782C0B"/>
    <w:rsid w:val="00790142"/>
    <w:rsid w:val="007901DA"/>
    <w:rsid w:val="00794D34"/>
    <w:rsid w:val="007A34B1"/>
    <w:rsid w:val="007B1D13"/>
    <w:rsid w:val="007B31F1"/>
    <w:rsid w:val="007C116C"/>
    <w:rsid w:val="007C2E8B"/>
    <w:rsid w:val="007D134F"/>
    <w:rsid w:val="007D7FD5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B4A6A"/>
    <w:rsid w:val="008C7E27"/>
    <w:rsid w:val="008E3733"/>
    <w:rsid w:val="008E5459"/>
    <w:rsid w:val="008F1108"/>
    <w:rsid w:val="008F3912"/>
    <w:rsid w:val="00900AAE"/>
    <w:rsid w:val="00915A48"/>
    <w:rsid w:val="00917052"/>
    <w:rsid w:val="009173EF"/>
    <w:rsid w:val="00923A1B"/>
    <w:rsid w:val="00926B92"/>
    <w:rsid w:val="00932906"/>
    <w:rsid w:val="00933CC0"/>
    <w:rsid w:val="00944BC2"/>
    <w:rsid w:val="00956425"/>
    <w:rsid w:val="00961B0B"/>
    <w:rsid w:val="00975B32"/>
    <w:rsid w:val="00985567"/>
    <w:rsid w:val="00987D95"/>
    <w:rsid w:val="00996E42"/>
    <w:rsid w:val="009A4E24"/>
    <w:rsid w:val="009A56C8"/>
    <w:rsid w:val="009B38C3"/>
    <w:rsid w:val="009C6A0F"/>
    <w:rsid w:val="009D629C"/>
    <w:rsid w:val="009E17BD"/>
    <w:rsid w:val="009F374A"/>
    <w:rsid w:val="00A04CEC"/>
    <w:rsid w:val="00A23893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83502"/>
    <w:rsid w:val="00AB2815"/>
    <w:rsid w:val="00AB393C"/>
    <w:rsid w:val="00AC393D"/>
    <w:rsid w:val="00AF0751"/>
    <w:rsid w:val="00AF6E49"/>
    <w:rsid w:val="00B02F0E"/>
    <w:rsid w:val="00B04A67"/>
    <w:rsid w:val="00B0583C"/>
    <w:rsid w:val="00B24F81"/>
    <w:rsid w:val="00B36E39"/>
    <w:rsid w:val="00B40A81"/>
    <w:rsid w:val="00B447F3"/>
    <w:rsid w:val="00B44910"/>
    <w:rsid w:val="00B47B8F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6810"/>
    <w:rsid w:val="00BE2640"/>
    <w:rsid w:val="00BE30A1"/>
    <w:rsid w:val="00BF24E8"/>
    <w:rsid w:val="00BF27F0"/>
    <w:rsid w:val="00BF7E6B"/>
    <w:rsid w:val="00C01189"/>
    <w:rsid w:val="00C03DBE"/>
    <w:rsid w:val="00C10E06"/>
    <w:rsid w:val="00C11946"/>
    <w:rsid w:val="00C374DE"/>
    <w:rsid w:val="00C37D85"/>
    <w:rsid w:val="00C413A2"/>
    <w:rsid w:val="00C47AD4"/>
    <w:rsid w:val="00C52D81"/>
    <w:rsid w:val="00C55198"/>
    <w:rsid w:val="00C601DF"/>
    <w:rsid w:val="00C664FA"/>
    <w:rsid w:val="00C8040F"/>
    <w:rsid w:val="00C87F0A"/>
    <w:rsid w:val="00CA6393"/>
    <w:rsid w:val="00CB18FF"/>
    <w:rsid w:val="00CC5EF0"/>
    <w:rsid w:val="00CD0C08"/>
    <w:rsid w:val="00CD7130"/>
    <w:rsid w:val="00CE03FB"/>
    <w:rsid w:val="00CE433C"/>
    <w:rsid w:val="00CF33F3"/>
    <w:rsid w:val="00D00FA2"/>
    <w:rsid w:val="00D0338D"/>
    <w:rsid w:val="00D06183"/>
    <w:rsid w:val="00D20948"/>
    <w:rsid w:val="00D22C42"/>
    <w:rsid w:val="00D3608E"/>
    <w:rsid w:val="00D65041"/>
    <w:rsid w:val="00D72014"/>
    <w:rsid w:val="00D9148E"/>
    <w:rsid w:val="00D945E6"/>
    <w:rsid w:val="00DA51F3"/>
    <w:rsid w:val="00DD1B84"/>
    <w:rsid w:val="00DE0445"/>
    <w:rsid w:val="00DE2B20"/>
    <w:rsid w:val="00DF0F5D"/>
    <w:rsid w:val="00E00F7D"/>
    <w:rsid w:val="00E10E80"/>
    <w:rsid w:val="00E124F0"/>
    <w:rsid w:val="00E378C5"/>
    <w:rsid w:val="00E60F04"/>
    <w:rsid w:val="00E7480D"/>
    <w:rsid w:val="00E764D2"/>
    <w:rsid w:val="00E8113B"/>
    <w:rsid w:val="00E9013A"/>
    <w:rsid w:val="00EA48F9"/>
    <w:rsid w:val="00EB0D6F"/>
    <w:rsid w:val="00EB2232"/>
    <w:rsid w:val="00EB52A2"/>
    <w:rsid w:val="00EC1A42"/>
    <w:rsid w:val="00EC5337"/>
    <w:rsid w:val="00EE2A3B"/>
    <w:rsid w:val="00EE3FF7"/>
    <w:rsid w:val="00F2150A"/>
    <w:rsid w:val="00F231D8"/>
    <w:rsid w:val="00F44ED7"/>
    <w:rsid w:val="00F46C5F"/>
    <w:rsid w:val="00F54A63"/>
    <w:rsid w:val="00F56D59"/>
    <w:rsid w:val="00F70098"/>
    <w:rsid w:val="00F856EC"/>
    <w:rsid w:val="00F94A63"/>
    <w:rsid w:val="00F96CA1"/>
    <w:rsid w:val="00FB7596"/>
    <w:rsid w:val="00FC08D9"/>
    <w:rsid w:val="00FD60B3"/>
    <w:rsid w:val="00FE1048"/>
    <w:rsid w:val="00FE4077"/>
    <w:rsid w:val="00FE5B10"/>
    <w:rsid w:val="00FE6963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D35B1C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2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852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85299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25471D"/>
    <w:pPr>
      <w:spacing w:before="480" w:after="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f33a761d0977584808d69aa2fcb1e3f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7bfef7ca1e367f5bb2d62984669dbb2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09600-7C5D-48C6-B5B8-46E9CC570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C179C-9BFA-4EDB-96E7-9089FCA17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FD361-57E9-4D14-9E91-2CAEBE4D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50B736-356C-4BED-8811-AD6E31395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1379 - ITRs</vt:lpstr>
    </vt:vector>
  </TitlesOfParts>
  <Manager>General Secretariat - Pool</Manager>
  <Company>International Telecommunication Union (ITU)</Company>
  <LinksUpToDate>false</LinksUpToDate>
  <CharactersWithSpaces>4461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1379 - ITRs</dc:title>
  <dc:subject>Council 2016</dc:subject>
  <dc:creator>Brouard, Ricarda</dc:creator>
  <cp:keywords>TITUS Classification: TITUS_PRIVATE</cp:keywords>
  <dc:description/>
  <cp:lastModifiedBy>Janin, Patricia</cp:lastModifiedBy>
  <cp:revision>3</cp:revision>
  <cp:lastPrinted>2000-07-18T13:30:00Z</cp:lastPrinted>
  <dcterms:created xsi:type="dcterms:W3CDTF">2020-09-04T05:58:00Z</dcterms:created>
  <dcterms:modified xsi:type="dcterms:W3CDTF">2020-09-04T05:58:00Z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0x0101001E46BE2403204D4E844191C3480CD35B</vt:lpwstr>
  </property>
  <property fmtid="{D5CDD505-2E9C-101B-9397-08002B2CF9AE}" pid="9" name="TitusGUID">
    <vt:lpwstr>55bf812f-2d2e-4d06-ac77-ed14c11c222b</vt:lpwstr>
  </property>
  <property fmtid="{D5CDD505-2E9C-101B-9397-08002B2CF9AE}" pid="10" name="CLASSIFICATION">
    <vt:lpwstr>TITUS_PRIVATE</vt:lpwstr>
  </property>
  <property fmtid="{D5CDD505-2E9C-101B-9397-08002B2CF9AE}" pid="11" name="OriginatingUser">
    <vt:lpwstr>mrumayh</vt:lpwstr>
  </property>
</Properties>
</file>