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4A7C1B" w14:paraId="529AF9D2" w14:textId="77777777">
        <w:trPr>
          <w:cantSplit/>
        </w:trPr>
        <w:tc>
          <w:tcPr>
            <w:tcW w:w="6912" w:type="dxa"/>
          </w:tcPr>
          <w:p w14:paraId="7E69899F" w14:textId="77777777" w:rsidR="00520F36" w:rsidRPr="004A7C1B" w:rsidRDefault="00D837AA" w:rsidP="00C30A3E">
            <w:pPr>
              <w:spacing w:before="240"/>
              <w:rPr>
                <w:lang w:val="fr-CH"/>
              </w:rPr>
            </w:pPr>
            <w:r w:rsidRPr="004A7C1B">
              <w:rPr>
                <w:rFonts w:eastAsia="Calibri" w:cs="Calibri"/>
                <w:b/>
                <w:bCs/>
                <w:color w:val="000000"/>
                <w:position w:val="6"/>
                <w:sz w:val="30"/>
                <w:szCs w:val="30"/>
                <w:lang w:val="fr-CH"/>
              </w:rPr>
              <w:t>Groupe d'experts sur le Règlement des télécommunications internationales (EG</w:t>
            </w:r>
            <w:r w:rsidRPr="004A7C1B">
              <w:rPr>
                <w:rFonts w:eastAsia="Calibri" w:cs="Calibri"/>
                <w:b/>
                <w:bCs/>
                <w:color w:val="000000"/>
                <w:position w:val="6"/>
                <w:sz w:val="30"/>
                <w:szCs w:val="30"/>
                <w:lang w:val="fr-CH"/>
              </w:rPr>
              <w:noBreakHyphen/>
              <w:t>RTI)</w:t>
            </w:r>
          </w:p>
        </w:tc>
        <w:tc>
          <w:tcPr>
            <w:tcW w:w="3261" w:type="dxa"/>
          </w:tcPr>
          <w:p w14:paraId="31D1A45B" w14:textId="77777777" w:rsidR="00520F36" w:rsidRPr="004A7C1B" w:rsidRDefault="00B84194" w:rsidP="00C30A3E">
            <w:pPr>
              <w:spacing w:before="0"/>
              <w:rPr>
                <w:lang w:val="fr-CH"/>
              </w:rPr>
            </w:pPr>
            <w:bookmarkStart w:id="0" w:name="ditulogo"/>
            <w:bookmarkEnd w:id="0"/>
            <w:r w:rsidRPr="004A7C1B">
              <w:rPr>
                <w:noProof/>
                <w:lang w:val="fr-CH"/>
              </w:rPr>
              <w:drawing>
                <wp:inline distT="0" distB="0" distL="0" distR="0" wp14:anchorId="19DBA296" wp14:editId="19F9238B">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520F36" w:rsidRPr="004A7C1B" w14:paraId="5629C1A4" w14:textId="77777777" w:rsidTr="00EF41DD">
        <w:trPr>
          <w:cantSplit/>
          <w:trHeight w:val="20"/>
        </w:trPr>
        <w:tc>
          <w:tcPr>
            <w:tcW w:w="6912" w:type="dxa"/>
            <w:tcBorders>
              <w:bottom w:val="single" w:sz="12" w:space="0" w:color="auto"/>
            </w:tcBorders>
            <w:vAlign w:val="center"/>
          </w:tcPr>
          <w:p w14:paraId="1E6EC110" w14:textId="53155F62" w:rsidR="00520F36" w:rsidRPr="004A7C1B" w:rsidRDefault="00250825" w:rsidP="00C30A3E">
            <w:pPr>
              <w:spacing w:before="0"/>
              <w:rPr>
                <w:b/>
                <w:bCs/>
                <w:szCs w:val="24"/>
                <w:lang w:val="fr-CH"/>
              </w:rPr>
            </w:pPr>
            <w:r w:rsidRPr="004A7C1B">
              <w:rPr>
                <w:b/>
                <w:bCs/>
                <w:szCs w:val="24"/>
                <w:lang w:val="fr-CH"/>
              </w:rPr>
              <w:t>Troisième</w:t>
            </w:r>
            <w:r w:rsidR="00D06D06" w:rsidRPr="004A7C1B">
              <w:rPr>
                <w:b/>
                <w:bCs/>
                <w:szCs w:val="24"/>
                <w:lang w:val="fr-CH"/>
              </w:rPr>
              <w:t xml:space="preserve"> </w:t>
            </w:r>
            <w:r w:rsidR="00D837AA" w:rsidRPr="004A7C1B">
              <w:rPr>
                <w:b/>
                <w:bCs/>
                <w:szCs w:val="24"/>
                <w:lang w:val="fr-CH"/>
              </w:rPr>
              <w:t>réunion –</w:t>
            </w:r>
            <w:r w:rsidR="00F06D00" w:rsidRPr="004A7C1B">
              <w:rPr>
                <w:b/>
                <w:bCs/>
                <w:szCs w:val="24"/>
                <w:lang w:val="fr-CH"/>
              </w:rPr>
              <w:t xml:space="preserve"> </w:t>
            </w:r>
            <w:r w:rsidRPr="003E4384">
              <w:rPr>
                <w:b/>
                <w:bCs/>
                <w:szCs w:val="24"/>
                <w:lang w:val="fr-CH"/>
              </w:rPr>
              <w:t>Réunion virtuelle</w:t>
            </w:r>
            <w:r w:rsidR="00D837AA" w:rsidRPr="004A7C1B">
              <w:rPr>
                <w:b/>
                <w:bCs/>
                <w:szCs w:val="24"/>
                <w:lang w:val="fr-CH"/>
              </w:rPr>
              <w:t xml:space="preserve">, </w:t>
            </w:r>
            <w:r w:rsidR="00D06D06" w:rsidRPr="004A7C1B">
              <w:rPr>
                <w:b/>
                <w:bCs/>
                <w:szCs w:val="24"/>
                <w:lang w:val="fr-CH"/>
              </w:rPr>
              <w:t>1</w:t>
            </w:r>
            <w:r w:rsidRPr="004A7C1B">
              <w:rPr>
                <w:b/>
                <w:bCs/>
                <w:szCs w:val="24"/>
                <w:lang w:val="fr-CH"/>
              </w:rPr>
              <w:t>7</w:t>
            </w:r>
            <w:r w:rsidR="00D837AA" w:rsidRPr="004A7C1B">
              <w:rPr>
                <w:b/>
                <w:bCs/>
                <w:szCs w:val="24"/>
                <w:lang w:val="fr-CH"/>
              </w:rPr>
              <w:t>-</w:t>
            </w:r>
            <w:r w:rsidR="00D06D06" w:rsidRPr="004A7C1B">
              <w:rPr>
                <w:b/>
                <w:bCs/>
                <w:szCs w:val="24"/>
                <w:lang w:val="fr-CH"/>
              </w:rPr>
              <w:t>1</w:t>
            </w:r>
            <w:r w:rsidRPr="004A7C1B">
              <w:rPr>
                <w:b/>
                <w:bCs/>
                <w:szCs w:val="24"/>
                <w:lang w:val="fr-CH"/>
              </w:rPr>
              <w:t>8</w:t>
            </w:r>
            <w:r w:rsidR="00D837AA" w:rsidRPr="004A7C1B">
              <w:rPr>
                <w:b/>
                <w:bCs/>
                <w:szCs w:val="24"/>
                <w:lang w:val="fr-CH"/>
              </w:rPr>
              <w:t xml:space="preserve"> </w:t>
            </w:r>
            <w:r w:rsidRPr="004A7C1B">
              <w:rPr>
                <w:b/>
                <w:bCs/>
                <w:szCs w:val="24"/>
                <w:lang w:val="fr-CH"/>
              </w:rPr>
              <w:t>septembre</w:t>
            </w:r>
            <w:r w:rsidR="00D837AA" w:rsidRPr="004A7C1B">
              <w:rPr>
                <w:b/>
                <w:bCs/>
                <w:szCs w:val="24"/>
                <w:lang w:val="fr-CH"/>
              </w:rPr>
              <w:t xml:space="preserve"> 20</w:t>
            </w:r>
            <w:r w:rsidR="00D06D06" w:rsidRPr="004A7C1B">
              <w:rPr>
                <w:b/>
                <w:bCs/>
                <w:szCs w:val="24"/>
                <w:lang w:val="fr-CH"/>
              </w:rPr>
              <w:t>20</w:t>
            </w:r>
          </w:p>
        </w:tc>
        <w:tc>
          <w:tcPr>
            <w:tcW w:w="3261" w:type="dxa"/>
            <w:tcBorders>
              <w:bottom w:val="single" w:sz="12" w:space="0" w:color="auto"/>
            </w:tcBorders>
          </w:tcPr>
          <w:p w14:paraId="19F13923" w14:textId="77777777" w:rsidR="00520F36" w:rsidRPr="004A7C1B" w:rsidRDefault="00520F36" w:rsidP="00C30A3E">
            <w:pPr>
              <w:spacing w:before="0"/>
              <w:rPr>
                <w:b/>
                <w:bCs/>
                <w:lang w:val="fr-CH"/>
              </w:rPr>
            </w:pPr>
          </w:p>
        </w:tc>
      </w:tr>
      <w:tr w:rsidR="00520F36" w:rsidRPr="004A7C1B" w14:paraId="35395F22" w14:textId="77777777">
        <w:trPr>
          <w:cantSplit/>
          <w:trHeight w:val="20"/>
        </w:trPr>
        <w:tc>
          <w:tcPr>
            <w:tcW w:w="6912" w:type="dxa"/>
            <w:tcBorders>
              <w:top w:val="single" w:sz="12" w:space="0" w:color="auto"/>
            </w:tcBorders>
          </w:tcPr>
          <w:p w14:paraId="1AF686D3" w14:textId="77777777" w:rsidR="00520F36" w:rsidRPr="004A7C1B" w:rsidRDefault="00520F36" w:rsidP="00C30A3E">
            <w:pPr>
              <w:spacing w:before="0"/>
              <w:rPr>
                <w:smallCaps/>
                <w:sz w:val="22"/>
                <w:lang w:val="fr-CH"/>
              </w:rPr>
            </w:pPr>
          </w:p>
        </w:tc>
        <w:tc>
          <w:tcPr>
            <w:tcW w:w="3261" w:type="dxa"/>
            <w:tcBorders>
              <w:top w:val="single" w:sz="12" w:space="0" w:color="auto"/>
            </w:tcBorders>
          </w:tcPr>
          <w:p w14:paraId="7E9F02BF" w14:textId="77777777" w:rsidR="00520F36" w:rsidRPr="004A7C1B" w:rsidRDefault="00520F36" w:rsidP="00C30A3E">
            <w:pPr>
              <w:spacing w:before="0"/>
              <w:rPr>
                <w:b/>
                <w:bCs/>
                <w:lang w:val="fr-CH"/>
              </w:rPr>
            </w:pPr>
          </w:p>
        </w:tc>
      </w:tr>
      <w:tr w:rsidR="00520F36" w:rsidRPr="004A7C1B" w14:paraId="7C148C71" w14:textId="77777777">
        <w:trPr>
          <w:cantSplit/>
          <w:trHeight w:val="20"/>
        </w:trPr>
        <w:tc>
          <w:tcPr>
            <w:tcW w:w="6912" w:type="dxa"/>
            <w:vMerge w:val="restart"/>
          </w:tcPr>
          <w:p w14:paraId="75037E07" w14:textId="77777777" w:rsidR="00520F36" w:rsidRPr="004A7C1B" w:rsidRDefault="00520F36" w:rsidP="00C30A3E">
            <w:pPr>
              <w:spacing w:before="0"/>
              <w:rPr>
                <w:rFonts w:cs="Times"/>
                <w:b/>
                <w:bCs/>
                <w:szCs w:val="24"/>
                <w:lang w:val="fr-CH"/>
              </w:rPr>
            </w:pPr>
            <w:bookmarkStart w:id="1" w:name="dnum" w:colFirst="1" w:colLast="1"/>
            <w:bookmarkStart w:id="2" w:name="dmeeting" w:colFirst="0" w:colLast="0"/>
          </w:p>
        </w:tc>
        <w:tc>
          <w:tcPr>
            <w:tcW w:w="3261" w:type="dxa"/>
          </w:tcPr>
          <w:p w14:paraId="2206DB37" w14:textId="3BA40D74" w:rsidR="00520F36" w:rsidRPr="004A7C1B" w:rsidRDefault="00520F36" w:rsidP="00C30A3E">
            <w:pPr>
              <w:spacing w:before="0"/>
              <w:rPr>
                <w:b/>
                <w:bCs/>
                <w:lang w:val="fr-CH"/>
              </w:rPr>
            </w:pPr>
            <w:r w:rsidRPr="004A7C1B">
              <w:rPr>
                <w:b/>
                <w:bCs/>
                <w:lang w:val="fr-CH"/>
              </w:rPr>
              <w:t xml:space="preserve">Document </w:t>
            </w:r>
            <w:r w:rsidR="00D837AA" w:rsidRPr="004A7C1B">
              <w:rPr>
                <w:b/>
                <w:lang w:val="fr-CH"/>
              </w:rPr>
              <w:t>EG-ITRs</w:t>
            </w:r>
            <w:r w:rsidR="00F06D00" w:rsidRPr="004A7C1B">
              <w:rPr>
                <w:b/>
                <w:lang w:val="fr-CH"/>
              </w:rPr>
              <w:t>-</w:t>
            </w:r>
            <w:r w:rsidR="00250825" w:rsidRPr="004A7C1B">
              <w:rPr>
                <w:b/>
                <w:lang w:val="fr-CH"/>
              </w:rPr>
              <w:t>3</w:t>
            </w:r>
            <w:r w:rsidR="00D837AA" w:rsidRPr="004A7C1B">
              <w:rPr>
                <w:b/>
                <w:lang w:val="fr-CH"/>
              </w:rPr>
              <w:t>/</w:t>
            </w:r>
            <w:r w:rsidR="00F812BF" w:rsidRPr="004A7C1B">
              <w:rPr>
                <w:b/>
                <w:lang w:val="fr-CH"/>
              </w:rPr>
              <w:t>4</w:t>
            </w:r>
            <w:r w:rsidR="00D837AA" w:rsidRPr="004A7C1B">
              <w:rPr>
                <w:b/>
                <w:lang w:val="fr-CH"/>
              </w:rPr>
              <w:t>-F</w:t>
            </w:r>
          </w:p>
        </w:tc>
      </w:tr>
      <w:tr w:rsidR="00520F36" w:rsidRPr="004A7C1B" w14:paraId="33160612" w14:textId="77777777">
        <w:trPr>
          <w:cantSplit/>
          <w:trHeight w:val="20"/>
        </w:trPr>
        <w:tc>
          <w:tcPr>
            <w:tcW w:w="6912" w:type="dxa"/>
            <w:vMerge/>
          </w:tcPr>
          <w:p w14:paraId="3B5CC57C" w14:textId="77777777" w:rsidR="00520F36" w:rsidRPr="004A7C1B" w:rsidRDefault="00520F36" w:rsidP="00C30A3E">
            <w:pPr>
              <w:shd w:val="solid" w:color="FFFFFF" w:fill="FFFFFF"/>
              <w:spacing w:before="180"/>
              <w:rPr>
                <w:smallCaps/>
                <w:lang w:val="fr-CH"/>
              </w:rPr>
            </w:pPr>
            <w:bookmarkStart w:id="3" w:name="ddate" w:colFirst="1" w:colLast="1"/>
            <w:bookmarkEnd w:id="1"/>
            <w:bookmarkEnd w:id="2"/>
          </w:p>
        </w:tc>
        <w:tc>
          <w:tcPr>
            <w:tcW w:w="3261" w:type="dxa"/>
          </w:tcPr>
          <w:p w14:paraId="7110F864" w14:textId="64F11215" w:rsidR="00520F36" w:rsidRPr="004A7C1B" w:rsidRDefault="00250825" w:rsidP="00C30A3E">
            <w:pPr>
              <w:spacing w:before="0"/>
              <w:rPr>
                <w:b/>
                <w:bCs/>
                <w:lang w:val="fr-CH"/>
              </w:rPr>
            </w:pPr>
            <w:r w:rsidRPr="004A7C1B">
              <w:rPr>
                <w:b/>
                <w:bCs/>
                <w:lang w:val="fr-CH"/>
              </w:rPr>
              <w:t xml:space="preserve">3 septembre </w:t>
            </w:r>
            <w:r w:rsidR="00520F36" w:rsidRPr="004A7C1B">
              <w:rPr>
                <w:b/>
                <w:bCs/>
                <w:lang w:val="fr-CH"/>
              </w:rPr>
              <w:t>20</w:t>
            </w:r>
            <w:r w:rsidR="00D06D06" w:rsidRPr="004A7C1B">
              <w:rPr>
                <w:b/>
                <w:bCs/>
                <w:lang w:val="fr-CH"/>
              </w:rPr>
              <w:t>20</w:t>
            </w:r>
          </w:p>
        </w:tc>
      </w:tr>
      <w:tr w:rsidR="00520F36" w:rsidRPr="004A7C1B" w14:paraId="41C23F0E" w14:textId="77777777">
        <w:trPr>
          <w:cantSplit/>
          <w:trHeight w:val="20"/>
        </w:trPr>
        <w:tc>
          <w:tcPr>
            <w:tcW w:w="6912" w:type="dxa"/>
            <w:vMerge/>
          </w:tcPr>
          <w:p w14:paraId="6EF3B02F" w14:textId="77777777" w:rsidR="00520F36" w:rsidRPr="004A7C1B" w:rsidRDefault="00520F36" w:rsidP="00C30A3E">
            <w:pPr>
              <w:shd w:val="solid" w:color="FFFFFF" w:fill="FFFFFF"/>
              <w:spacing w:before="180"/>
              <w:rPr>
                <w:smallCaps/>
                <w:lang w:val="fr-CH"/>
              </w:rPr>
            </w:pPr>
            <w:bookmarkStart w:id="4" w:name="dorlang" w:colFirst="1" w:colLast="1"/>
            <w:bookmarkEnd w:id="3"/>
          </w:p>
        </w:tc>
        <w:tc>
          <w:tcPr>
            <w:tcW w:w="3261" w:type="dxa"/>
          </w:tcPr>
          <w:p w14:paraId="15BAFE80" w14:textId="77777777" w:rsidR="00520F36" w:rsidRPr="004A7C1B" w:rsidRDefault="00520F36" w:rsidP="00C30A3E">
            <w:pPr>
              <w:spacing w:before="0"/>
              <w:rPr>
                <w:b/>
                <w:bCs/>
                <w:lang w:val="fr-CH"/>
              </w:rPr>
            </w:pPr>
            <w:r w:rsidRPr="004A7C1B">
              <w:rPr>
                <w:b/>
                <w:bCs/>
                <w:lang w:val="fr-CH"/>
              </w:rPr>
              <w:t>Original: anglais</w:t>
            </w:r>
          </w:p>
        </w:tc>
      </w:tr>
      <w:tr w:rsidR="00520F36" w:rsidRPr="004A7C1B" w14:paraId="3106E87D" w14:textId="77777777">
        <w:trPr>
          <w:cantSplit/>
        </w:trPr>
        <w:tc>
          <w:tcPr>
            <w:tcW w:w="10173" w:type="dxa"/>
            <w:gridSpan w:val="2"/>
          </w:tcPr>
          <w:p w14:paraId="53F9CBA9" w14:textId="0CE57F4F" w:rsidR="00520F36" w:rsidRPr="004A7C1B" w:rsidRDefault="00F812BF" w:rsidP="00C30A3E">
            <w:pPr>
              <w:pStyle w:val="Source"/>
              <w:rPr>
                <w:lang w:val="fr-CH"/>
              </w:rPr>
            </w:pPr>
            <w:bookmarkStart w:id="5" w:name="dsource" w:colFirst="0" w:colLast="0"/>
            <w:bookmarkEnd w:id="4"/>
            <w:r w:rsidRPr="004A7C1B">
              <w:rPr>
                <w:lang w:val="fr-CH"/>
              </w:rPr>
              <w:t>Mexique</w:t>
            </w:r>
          </w:p>
        </w:tc>
      </w:tr>
      <w:tr w:rsidR="00520F36" w:rsidRPr="004A7C1B" w14:paraId="53AFA573" w14:textId="77777777">
        <w:trPr>
          <w:cantSplit/>
        </w:trPr>
        <w:tc>
          <w:tcPr>
            <w:tcW w:w="10173" w:type="dxa"/>
            <w:gridSpan w:val="2"/>
          </w:tcPr>
          <w:p w14:paraId="7111D1EF" w14:textId="3A1CFA49" w:rsidR="00520F36" w:rsidRPr="004A7C1B" w:rsidRDefault="004A7C1B" w:rsidP="00C30A3E">
            <w:pPr>
              <w:pStyle w:val="Title1"/>
              <w:rPr>
                <w:lang w:val="fr-CH"/>
              </w:rPr>
            </w:pPr>
            <w:bookmarkStart w:id="6" w:name="lt_pId013"/>
            <w:bookmarkStart w:id="7" w:name="dtitle1" w:colFirst="0" w:colLast="0"/>
            <w:bookmarkEnd w:id="5"/>
            <w:r w:rsidRPr="004A7C1B">
              <w:rPr>
                <w:bCs/>
                <w:lang w:val="fr-CH"/>
              </w:rPr>
              <w:t xml:space="preserve">point de vue du mexique </w:t>
            </w:r>
            <w:r w:rsidR="00AB1B74">
              <w:rPr>
                <w:bCs/>
                <w:lang w:val="fr-CH"/>
              </w:rPr>
              <w:t>pour</w:t>
            </w:r>
            <w:r w:rsidRPr="004A7C1B">
              <w:rPr>
                <w:bCs/>
                <w:lang w:val="fr-CH"/>
              </w:rPr>
              <w:t xml:space="preserve"> la 3ème réunion du groupe d'experts sur le règlement des télécommunications internationales (EG-rti)</w:t>
            </w:r>
            <w:bookmarkEnd w:id="6"/>
          </w:p>
        </w:tc>
      </w:tr>
      <w:bookmarkEnd w:id="7"/>
    </w:tbl>
    <w:p w14:paraId="146B0EB6" w14:textId="0F4F8BF2" w:rsidR="00D837AA" w:rsidRPr="004A7C1B" w:rsidRDefault="00D837AA" w:rsidP="00C30A3E">
      <w:pPr>
        <w:rPr>
          <w:lang w:val="fr-CH"/>
        </w:rPr>
      </w:pPr>
    </w:p>
    <w:p w14:paraId="129F71A1" w14:textId="77777777" w:rsidR="00250825" w:rsidRPr="004A7C1B" w:rsidRDefault="00250825" w:rsidP="00C30A3E">
      <w:pPr>
        <w:pStyle w:val="Headingb"/>
        <w:rPr>
          <w:lang w:val="fr-CH"/>
        </w:rPr>
      </w:pPr>
      <w:bookmarkStart w:id="8" w:name="lt_pId015"/>
      <w:r w:rsidRPr="004A7C1B">
        <w:rPr>
          <w:lang w:val="fr-CH"/>
        </w:rPr>
        <w:t>Introduction</w:t>
      </w:r>
      <w:bookmarkEnd w:id="8"/>
    </w:p>
    <w:p w14:paraId="123350B1" w14:textId="775C39A8" w:rsidR="004A7C1B" w:rsidRPr="004A7C1B" w:rsidRDefault="004A7C1B" w:rsidP="00C30A3E">
      <w:pPr>
        <w:rPr>
          <w:lang w:val="fr-CH"/>
        </w:rPr>
      </w:pPr>
      <w:r w:rsidRPr="004A7C1B">
        <w:rPr>
          <w:lang w:val="fr-CH"/>
        </w:rPr>
        <w:t>Compte tenu du programme de travail défini par le Groupe d'experts en vue de mener à bien sa mission, le Mexique présente</w:t>
      </w:r>
      <w:r>
        <w:rPr>
          <w:lang w:val="fr-CH"/>
        </w:rPr>
        <w:t xml:space="preserve"> son point de vue concernant certain</w:t>
      </w:r>
      <w:r w:rsidR="003A0E4B">
        <w:rPr>
          <w:lang w:val="fr-CH"/>
        </w:rPr>
        <w:t>e</w:t>
      </w:r>
      <w:r>
        <w:rPr>
          <w:lang w:val="fr-CH"/>
        </w:rPr>
        <w:t xml:space="preserve">s des </w:t>
      </w:r>
      <w:r w:rsidR="003A0E4B">
        <w:rPr>
          <w:lang w:val="fr-CH"/>
        </w:rPr>
        <w:t>dispositions</w:t>
      </w:r>
      <w:r>
        <w:rPr>
          <w:lang w:val="fr-CH"/>
        </w:rPr>
        <w:t xml:space="preserve"> qui seront examiné</w:t>
      </w:r>
      <w:r w:rsidR="003A0E4B">
        <w:rPr>
          <w:lang w:val="fr-CH"/>
        </w:rPr>
        <w:t>e</w:t>
      </w:r>
      <w:r>
        <w:rPr>
          <w:lang w:val="fr-CH"/>
        </w:rPr>
        <w:t>s à la réunion.</w:t>
      </w:r>
    </w:p>
    <w:p w14:paraId="233F6E09" w14:textId="58E2A297" w:rsidR="00F812BF" w:rsidRPr="004A7C1B" w:rsidRDefault="004A7C1B" w:rsidP="00C30A3E">
      <w:pPr>
        <w:pStyle w:val="Headingb"/>
        <w:rPr>
          <w:lang w:val="fr-CH"/>
        </w:rPr>
      </w:pPr>
      <w:r>
        <w:rPr>
          <w:lang w:val="fr-CH"/>
        </w:rPr>
        <w:t>Point de vue du Mexique</w:t>
      </w:r>
    </w:p>
    <w:p w14:paraId="1A25D302" w14:textId="74D68708" w:rsidR="00F812BF" w:rsidRPr="004A7C1B" w:rsidRDefault="00F812BF" w:rsidP="00C30A3E">
      <w:pPr>
        <w:rPr>
          <w:lang w:val="fr-CH"/>
        </w:rPr>
      </w:pPr>
      <w:r w:rsidRPr="004A7C1B">
        <w:rPr>
          <w:lang w:val="fr-CH"/>
        </w:rPr>
        <w:t xml:space="preserve">Le Mexique </w:t>
      </w:r>
      <w:r w:rsidR="004A7C1B">
        <w:rPr>
          <w:lang w:val="fr-CH"/>
        </w:rPr>
        <w:t xml:space="preserve">réitère son point de vue exposé précédemment, à savoir qu'il </w:t>
      </w:r>
      <w:r w:rsidRPr="004A7C1B">
        <w:rPr>
          <w:lang w:val="fr-CH"/>
        </w:rPr>
        <w:t xml:space="preserve">considère que certaines dispositions demeurent en vigueur dans l'environnement international du secteur des télécommunications, étant donné qu'elles favorisent </w:t>
      </w:r>
      <w:r w:rsidR="004A7C1B">
        <w:rPr>
          <w:lang w:val="fr-CH"/>
        </w:rPr>
        <w:t>une plus grande</w:t>
      </w:r>
      <w:r w:rsidRPr="004A7C1B">
        <w:rPr>
          <w:lang w:val="fr-CH"/>
        </w:rPr>
        <w:t xml:space="preserve"> cohérence réglementaire et se traduisent par une certaine sécurité dans le domaine des télécommunications internationales.</w:t>
      </w:r>
    </w:p>
    <w:p w14:paraId="482E87A5" w14:textId="110EC25E" w:rsidR="00F812BF" w:rsidRPr="004A7C1B" w:rsidRDefault="00F812BF" w:rsidP="00C30A3E">
      <w:pPr>
        <w:rPr>
          <w:lang w:val="fr-CH"/>
        </w:rPr>
      </w:pPr>
      <w:r w:rsidRPr="004A7C1B">
        <w:rPr>
          <w:lang w:val="fr-CH"/>
        </w:rPr>
        <w:t xml:space="preserve">Par exemple, pour les questions relatives à la sécurité et à la robustesse des réseaux, le RTI prévoit que les États Membres ont l'obligation, individuellement et collectivement, de garantir la sécurité et la robustesse des réseaux et doivent s'efforcer de garantir le développement harmonieux des services offerts au public. S'agissant de l'accessibilité, le RTI dispose que les États Membres devraient promouvoir l'accès des personnes handicapées aux services internationaux de télécommunication. Au sujet de l'itinérance, le RTI indique que les États s'efforcent de promouvoir la concurrence et </w:t>
      </w:r>
      <w:r w:rsidR="003A0E4B">
        <w:rPr>
          <w:lang w:val="fr-CH"/>
        </w:rPr>
        <w:t>d'</w:t>
      </w:r>
      <w:r w:rsidRPr="004A7C1B">
        <w:rPr>
          <w:lang w:val="fr-CH"/>
        </w:rPr>
        <w:t>encourager la coopération afin de limiter les frais d'itinérance encourus par inadvertance dans les zones frontalières.</w:t>
      </w:r>
    </w:p>
    <w:p w14:paraId="79B211B5" w14:textId="32EA9456" w:rsidR="00F812BF" w:rsidRPr="004A7C1B" w:rsidRDefault="003A0E4B" w:rsidP="00C30A3E">
      <w:pPr>
        <w:spacing w:after="120"/>
        <w:rPr>
          <w:lang w:val="fr-CH"/>
        </w:rPr>
      </w:pPr>
      <w:r>
        <w:rPr>
          <w:lang w:val="fr-CH"/>
        </w:rPr>
        <w:t>Toutefois, il est important de tenir compte du fait que certaines dispositions existent déjà dans d'autres instruments de l'UIT</w:t>
      </w:r>
      <w:r w:rsidR="00AB1B74">
        <w:rPr>
          <w:lang w:val="fr-CH"/>
        </w:rPr>
        <w:t>, ce qui doit</w:t>
      </w:r>
      <w:r>
        <w:rPr>
          <w:lang w:val="fr-CH"/>
        </w:rPr>
        <w:t xml:space="preserve"> </w:t>
      </w:r>
      <w:r w:rsidR="00AB1B74">
        <w:rPr>
          <w:lang w:val="fr-CH"/>
        </w:rPr>
        <w:t>faire l'objet d'un examen</w:t>
      </w:r>
      <w:r>
        <w:rPr>
          <w:lang w:val="fr-CH"/>
        </w:rPr>
        <w:t xml:space="preserve"> afin d'éviter les répétitions, en particulier en ce qui concerne les points suivants:</w:t>
      </w:r>
    </w:p>
    <w:tbl>
      <w:tblPr>
        <w:tblStyle w:val="TableGrid"/>
        <w:tblW w:w="9776" w:type="dxa"/>
        <w:tblLook w:val="04A0" w:firstRow="1" w:lastRow="0" w:firstColumn="1" w:lastColumn="0" w:noHBand="0" w:noVBand="1"/>
      </w:tblPr>
      <w:tblGrid>
        <w:gridCol w:w="4957"/>
        <w:gridCol w:w="4677"/>
        <w:gridCol w:w="142"/>
      </w:tblGrid>
      <w:tr w:rsidR="00F812BF" w:rsidRPr="004A7C1B" w14:paraId="4D9D9807" w14:textId="77777777" w:rsidTr="00C65ABD">
        <w:trPr>
          <w:gridAfter w:val="1"/>
          <w:wAfter w:w="142" w:type="dxa"/>
        </w:trPr>
        <w:tc>
          <w:tcPr>
            <w:tcW w:w="4957" w:type="dxa"/>
          </w:tcPr>
          <w:p w14:paraId="16E011CF" w14:textId="77777777" w:rsidR="00A96EEA" w:rsidRPr="004A7C1B" w:rsidRDefault="003149F6" w:rsidP="00C30A3E">
            <w:pPr>
              <w:rPr>
                <w:rFonts w:cstheme="minorHAnsi"/>
                <w:lang w:val="fr-CH"/>
              </w:rPr>
            </w:pPr>
            <w:r w:rsidRPr="004A7C1B">
              <w:rPr>
                <w:rFonts w:cstheme="minorHAnsi"/>
                <w:lang w:val="fr-CH"/>
              </w:rPr>
              <w:t>ARTICLE 5</w:t>
            </w:r>
          </w:p>
          <w:p w14:paraId="225A7D79" w14:textId="6DBA15B7" w:rsidR="00F812BF" w:rsidRPr="004A7C1B" w:rsidRDefault="003149F6" w:rsidP="00C30A3E">
            <w:pPr>
              <w:rPr>
                <w:rFonts w:cstheme="minorHAnsi"/>
                <w:lang w:val="fr-CH"/>
              </w:rPr>
            </w:pPr>
            <w:r w:rsidRPr="004A7C1B">
              <w:rPr>
                <w:rFonts w:cstheme="minorHAnsi"/>
                <w:lang w:val="fr-CH"/>
              </w:rPr>
              <w:t>Sécurité de la vie humaine et priorité des télécommunications</w:t>
            </w:r>
          </w:p>
          <w:p w14:paraId="14830BA5" w14:textId="552EC67B" w:rsidR="00F812BF" w:rsidRPr="004A7C1B" w:rsidRDefault="003149F6" w:rsidP="00C30A3E">
            <w:pPr>
              <w:rPr>
                <w:rFonts w:cstheme="minorHAnsi"/>
                <w:lang w:val="fr-CH"/>
              </w:rPr>
            </w:pPr>
            <w:r w:rsidRPr="004A7C1B">
              <w:rPr>
                <w:rFonts w:cstheme="minorHAnsi"/>
                <w:lang w:val="fr-CH"/>
              </w:rPr>
              <w:t>5.1</w:t>
            </w:r>
            <w:r w:rsidRPr="004A7C1B">
              <w:rPr>
                <w:rFonts w:cstheme="minorHAnsi"/>
                <w:lang w:val="fr-CH"/>
              </w:rPr>
              <w:tab/>
              <w:t xml:space="preserve">Les télécommunications se rapportant à la sécurité de la vie humaine, telles que les télécommunications de détresse, bénéficient d'un droit absolu à la transmission et jouissent, dans la mesure où cela est techniquement </w:t>
            </w:r>
            <w:r w:rsidRPr="004A7C1B">
              <w:rPr>
                <w:rFonts w:cstheme="minorHAnsi"/>
                <w:lang w:val="fr-CH"/>
              </w:rPr>
              <w:lastRenderedPageBreak/>
              <w:t>possible, d'une priorité absolue sur toutes les autres télécommunications, conformément aux articles pertinents de la Constitution et de la Convention et compte dûment tenu des Recommandations UIT-T pertinentes.</w:t>
            </w:r>
          </w:p>
          <w:p w14:paraId="110F5248" w14:textId="53269384" w:rsidR="00F812BF" w:rsidRPr="004A7C1B" w:rsidRDefault="003149F6" w:rsidP="00C30A3E">
            <w:pPr>
              <w:rPr>
                <w:rFonts w:cstheme="minorHAnsi"/>
                <w:lang w:val="fr-CH"/>
              </w:rPr>
            </w:pPr>
            <w:r w:rsidRPr="004A7C1B">
              <w:rPr>
                <w:rFonts w:cstheme="minorHAnsi"/>
                <w:lang w:val="fr-CH"/>
              </w:rPr>
              <w:t>5.2</w:t>
            </w:r>
            <w:r w:rsidRPr="004A7C1B">
              <w:rPr>
                <w:rFonts w:cstheme="minorHAnsi"/>
                <w:lang w:val="fr-CH"/>
              </w:rPr>
              <w:tab/>
              <w:t>Les télécommunications d'</w:t>
            </w:r>
            <w:r w:rsidR="009A195A" w:rsidRPr="004A7C1B">
              <w:rPr>
                <w:rFonts w:cstheme="minorHAnsi"/>
                <w:lang w:val="fr-CH"/>
              </w:rPr>
              <w:t>État</w:t>
            </w:r>
            <w:r w:rsidRPr="004A7C1B">
              <w:rPr>
                <w:rFonts w:cstheme="minorHAnsi"/>
                <w:lang w:val="fr-CH"/>
              </w:rPr>
              <w:t>, y compris les télécommunications relatives à l'application de certaines dispositions de la Charte des Nations Unies, jouissent, dans la mesure où cela est techniquement possible, d'un droit de priorité sur toutes les télécommunications autres que celles mentionnées au numéro 45 (disposition 5.1) ci</w:t>
            </w:r>
            <w:r w:rsidRPr="004A7C1B">
              <w:rPr>
                <w:rFonts w:cstheme="minorHAnsi"/>
                <w:lang w:val="fr-CH"/>
              </w:rPr>
              <w:noBreakHyphen/>
              <w:t>dessus, conformément aux dispositions pertinentes de la Constitution et de la Convention et compte dûment tenu des Recommandations UIT-T pertinentes.</w:t>
            </w:r>
          </w:p>
          <w:p w14:paraId="555C1A87" w14:textId="270CEE61" w:rsidR="00F812BF" w:rsidRPr="004A7C1B" w:rsidRDefault="003149F6" w:rsidP="00C30A3E">
            <w:pPr>
              <w:rPr>
                <w:rFonts w:cstheme="minorHAnsi"/>
                <w:lang w:val="fr-CH"/>
              </w:rPr>
            </w:pPr>
            <w:r w:rsidRPr="004A7C1B">
              <w:rPr>
                <w:rFonts w:cstheme="minorHAnsi"/>
                <w:lang w:val="fr-CH"/>
              </w:rPr>
              <w:t>5.3</w:t>
            </w:r>
            <w:r w:rsidRPr="004A7C1B">
              <w:rPr>
                <w:rFonts w:cstheme="minorHAnsi"/>
                <w:lang w:val="fr-CH"/>
              </w:rPr>
              <w:tab/>
              <w:t>Les dispositions régissant la priorité de tous les autres services de télécommunication figurent dans les Recommandations UIT-T pertinentes.</w:t>
            </w:r>
          </w:p>
          <w:p w14:paraId="49728469" w14:textId="290B9AC0" w:rsidR="00F812BF" w:rsidRPr="004A7C1B" w:rsidRDefault="003149F6" w:rsidP="00C30A3E">
            <w:pPr>
              <w:spacing w:after="120"/>
              <w:rPr>
                <w:rFonts w:cstheme="minorHAnsi"/>
                <w:lang w:val="fr-CH"/>
              </w:rPr>
            </w:pPr>
            <w:r w:rsidRPr="004A7C1B">
              <w:rPr>
                <w:rFonts w:cstheme="minorHAnsi"/>
                <w:lang w:val="fr-CH"/>
              </w:rPr>
              <w:t>5.4</w:t>
            </w:r>
            <w:r w:rsidRPr="004A7C1B">
              <w:rPr>
                <w:rFonts w:cstheme="minorHAnsi"/>
                <w:lang w:val="fr-CH"/>
              </w:rPr>
              <w:tab/>
              <w:t xml:space="preserve">Les </w:t>
            </w:r>
            <w:r w:rsidR="009A195A" w:rsidRPr="004A7C1B">
              <w:rPr>
                <w:rFonts w:cstheme="minorHAnsi"/>
                <w:lang w:val="fr-CH"/>
              </w:rPr>
              <w:t>États</w:t>
            </w:r>
            <w:r w:rsidRPr="004A7C1B">
              <w:rPr>
                <w:rFonts w:cstheme="minorHAnsi"/>
                <w:lang w:val="fr-CH"/>
              </w:rPr>
              <w:t xml:space="preserve"> Membres devraient encourager les exploitations autorisées à informer tous les utilisateurs, y compris les utilisateurs itinérants, en temps utile et gratuitement, du numéro à utiliser pour les appels vers les services d'urgence.</w:t>
            </w:r>
          </w:p>
        </w:tc>
        <w:tc>
          <w:tcPr>
            <w:tcW w:w="4677" w:type="dxa"/>
          </w:tcPr>
          <w:p w14:paraId="494E820A" w14:textId="0C3617FF" w:rsidR="00F812BF" w:rsidRPr="004A7C1B" w:rsidRDefault="00C57D78" w:rsidP="00C30A3E">
            <w:pPr>
              <w:rPr>
                <w:rFonts w:cstheme="minorHAnsi"/>
                <w:lang w:val="fr-CH"/>
              </w:rPr>
            </w:pPr>
            <w:r>
              <w:rPr>
                <w:rFonts w:cstheme="minorHAnsi"/>
                <w:lang w:val="fr-CH"/>
              </w:rPr>
              <w:lastRenderedPageBreak/>
              <w:t xml:space="preserve">Cet article est considéré comme applicable pour ce qui est </w:t>
            </w:r>
            <w:r w:rsidRPr="00C57D78">
              <w:rPr>
                <w:rFonts w:cstheme="minorHAnsi"/>
                <w:lang w:val="fr-CH"/>
              </w:rPr>
              <w:t>de favoriser la fourniture et le développement des réseaux et des services</w:t>
            </w:r>
            <w:r>
              <w:rPr>
                <w:rFonts w:cstheme="minorHAnsi"/>
                <w:lang w:val="fr-CH"/>
              </w:rPr>
              <w:t xml:space="preserve"> internationaux de télécommunication</w:t>
            </w:r>
            <w:r w:rsidR="00AB1B74">
              <w:rPr>
                <w:rFonts w:cstheme="minorHAnsi"/>
                <w:lang w:val="fr-CH"/>
              </w:rPr>
              <w:t>/TIC</w:t>
            </w:r>
            <w:r>
              <w:rPr>
                <w:rFonts w:cstheme="minorHAnsi"/>
                <w:lang w:val="fr-CH"/>
              </w:rPr>
              <w:t xml:space="preserve">; il offre en </w:t>
            </w:r>
            <w:r w:rsidR="00AB1B74">
              <w:rPr>
                <w:rFonts w:cstheme="minorHAnsi"/>
                <w:lang w:val="fr-CH"/>
              </w:rPr>
              <w:t>outre</w:t>
            </w:r>
            <w:r>
              <w:rPr>
                <w:rFonts w:cstheme="minorHAnsi"/>
                <w:lang w:val="fr-CH"/>
              </w:rPr>
              <w:t xml:space="preserve"> la souplesse nécessaire pour tenir compte des nouvelles tendances dans le domaine des télécommunications/TIC.</w:t>
            </w:r>
          </w:p>
          <w:p w14:paraId="289F56DB" w14:textId="77777777" w:rsidR="00C57D78" w:rsidRDefault="00C57D78" w:rsidP="00C30A3E">
            <w:pPr>
              <w:rPr>
                <w:rFonts w:cstheme="minorHAnsi"/>
                <w:lang w:val="fr-CH"/>
              </w:rPr>
            </w:pPr>
            <w:r>
              <w:rPr>
                <w:rFonts w:cstheme="minorHAnsi"/>
                <w:lang w:val="fr-CH"/>
              </w:rPr>
              <w:lastRenderedPageBreak/>
              <w:t>Toutefois, il doit être tenu compte du fait que la Constitution, par son article 40, établit la priorité des télécommunications se rapportant à la sécurité de la vie humaine.</w:t>
            </w:r>
          </w:p>
          <w:p w14:paraId="5D3EEC49" w14:textId="795374C4" w:rsidR="00C57D78" w:rsidRPr="004A7C1B" w:rsidRDefault="00601CF9" w:rsidP="00C30A3E">
            <w:pPr>
              <w:rPr>
                <w:rFonts w:cstheme="minorHAnsi"/>
                <w:lang w:val="fr-CH"/>
              </w:rPr>
            </w:pPr>
            <w:r>
              <w:rPr>
                <w:rFonts w:cstheme="minorHAnsi"/>
                <w:lang w:val="fr-CH"/>
              </w:rPr>
              <w:t>D'autre part</w:t>
            </w:r>
            <w:r w:rsidR="00C57D78">
              <w:rPr>
                <w:rFonts w:cstheme="minorHAnsi"/>
                <w:lang w:val="fr-CH"/>
              </w:rPr>
              <w:t>, les spécifications concernant l'ordre de priorité sont défini</w:t>
            </w:r>
            <w:r>
              <w:rPr>
                <w:rFonts w:cstheme="minorHAnsi"/>
                <w:lang w:val="fr-CH"/>
              </w:rPr>
              <w:t>e</w:t>
            </w:r>
            <w:r w:rsidR="00C57D78">
              <w:rPr>
                <w:rFonts w:cstheme="minorHAnsi"/>
                <w:lang w:val="fr-CH"/>
              </w:rPr>
              <w:t>s dans les Recommandations UIT</w:t>
            </w:r>
            <w:r w:rsidR="00010D59">
              <w:rPr>
                <w:rFonts w:cstheme="minorHAnsi"/>
                <w:lang w:val="fr-CH"/>
              </w:rPr>
              <w:t>-</w:t>
            </w:r>
            <w:r w:rsidR="00C57D78">
              <w:rPr>
                <w:rFonts w:cstheme="minorHAnsi"/>
                <w:lang w:val="fr-CH"/>
              </w:rPr>
              <w:t>T.</w:t>
            </w:r>
          </w:p>
          <w:p w14:paraId="163A1753" w14:textId="014765EE" w:rsidR="00F812BF" w:rsidRPr="004A7C1B" w:rsidRDefault="00F812BF" w:rsidP="00C30A3E">
            <w:pPr>
              <w:rPr>
                <w:rFonts w:cstheme="minorHAnsi"/>
                <w:lang w:val="fr-CH"/>
              </w:rPr>
            </w:pPr>
          </w:p>
        </w:tc>
      </w:tr>
      <w:tr w:rsidR="00F812BF" w:rsidRPr="004A7C1B" w14:paraId="55EF8674" w14:textId="77777777" w:rsidTr="00C65ABD">
        <w:tc>
          <w:tcPr>
            <w:tcW w:w="4957" w:type="dxa"/>
          </w:tcPr>
          <w:p w14:paraId="606D46F3" w14:textId="77777777" w:rsidR="00A96EEA" w:rsidRPr="004A7C1B" w:rsidRDefault="003149F6" w:rsidP="00C30A3E">
            <w:pPr>
              <w:rPr>
                <w:rFonts w:cstheme="minorHAnsi"/>
                <w:lang w:val="fr-CH"/>
              </w:rPr>
            </w:pPr>
            <w:r w:rsidRPr="004A7C1B">
              <w:rPr>
                <w:rFonts w:cstheme="minorHAnsi"/>
                <w:lang w:val="fr-CH"/>
              </w:rPr>
              <w:lastRenderedPageBreak/>
              <w:t>ARTICLE 6</w:t>
            </w:r>
          </w:p>
          <w:p w14:paraId="2DEFB17C" w14:textId="0790FE02" w:rsidR="00F812BF" w:rsidRPr="004A7C1B" w:rsidRDefault="003149F6" w:rsidP="00C30A3E">
            <w:pPr>
              <w:rPr>
                <w:rFonts w:cstheme="minorHAnsi"/>
                <w:lang w:val="fr-CH"/>
              </w:rPr>
            </w:pPr>
            <w:r w:rsidRPr="004A7C1B">
              <w:rPr>
                <w:rFonts w:cstheme="minorHAnsi"/>
                <w:lang w:val="fr-CH"/>
              </w:rPr>
              <w:t>Sécurité et robustesse des réseaux</w:t>
            </w:r>
          </w:p>
          <w:p w14:paraId="33010557" w14:textId="168291CC" w:rsidR="00F812BF" w:rsidRPr="004A7C1B" w:rsidRDefault="007D2CE3" w:rsidP="00C30A3E">
            <w:pPr>
              <w:rPr>
                <w:rFonts w:cstheme="minorHAnsi"/>
                <w:lang w:val="fr-CH"/>
              </w:rPr>
            </w:pPr>
            <w:r w:rsidRPr="004A7C1B">
              <w:rPr>
                <w:rFonts w:cstheme="minorHAnsi"/>
                <w:lang w:val="fr-CH"/>
              </w:rPr>
              <w:t>6.1</w:t>
            </w:r>
            <w:r w:rsidRPr="004A7C1B">
              <w:rPr>
                <w:rFonts w:cstheme="minorHAnsi"/>
                <w:lang w:val="fr-CH"/>
              </w:rPr>
              <w:tab/>
              <w:t xml:space="preserve">Les </w:t>
            </w:r>
            <w:r w:rsidR="009A195A" w:rsidRPr="004A7C1B">
              <w:rPr>
                <w:rFonts w:cstheme="minorHAnsi"/>
                <w:lang w:val="fr-CH"/>
              </w:rPr>
              <w:t>États</w:t>
            </w:r>
            <w:r w:rsidRPr="004A7C1B">
              <w:rPr>
                <w:rFonts w:cstheme="minorHAnsi"/>
                <w:lang w:val="fr-CH"/>
              </w:rPr>
              <w:t xml:space="preserve"> Membres s'efforcent, individuellement et collectivement, de garantir la sécurité et la robustesse des réseaux internationaux de télécommunication, en vue d'en assurer l'utilisation efficace et d'éviter que des préjudices techniques leur soient causés, et de garantir le développement harmonieux des services internationaux de télécommunication offerts au public.</w:t>
            </w:r>
          </w:p>
        </w:tc>
        <w:tc>
          <w:tcPr>
            <w:tcW w:w="4819" w:type="dxa"/>
            <w:gridSpan w:val="2"/>
          </w:tcPr>
          <w:p w14:paraId="4936AA54" w14:textId="4454D96D" w:rsidR="00F812BF" w:rsidRPr="004A7C1B" w:rsidRDefault="00C57D78" w:rsidP="00C30A3E">
            <w:pPr>
              <w:rPr>
                <w:rFonts w:cstheme="minorHAnsi"/>
                <w:lang w:val="fr-CH"/>
              </w:rPr>
            </w:pPr>
            <w:r>
              <w:rPr>
                <w:rFonts w:cstheme="minorHAnsi"/>
                <w:lang w:val="fr-CH"/>
              </w:rPr>
              <w:t xml:space="preserve">Cet article est considéré comme applicable pour ce qui est </w:t>
            </w:r>
            <w:r w:rsidRPr="00C57D78">
              <w:rPr>
                <w:rFonts w:cstheme="minorHAnsi"/>
                <w:lang w:val="fr-CH"/>
              </w:rPr>
              <w:t>de favoriser la fourniture et le développement des réseaux et des services</w:t>
            </w:r>
            <w:r>
              <w:rPr>
                <w:rFonts w:cstheme="minorHAnsi"/>
                <w:lang w:val="fr-CH"/>
              </w:rPr>
              <w:t xml:space="preserve"> internationaux de télécommunication</w:t>
            </w:r>
            <w:r w:rsidR="001C7D52">
              <w:rPr>
                <w:rFonts w:cstheme="minorHAnsi"/>
                <w:lang w:val="fr-CH"/>
              </w:rPr>
              <w:t>/TIC</w:t>
            </w:r>
            <w:r>
              <w:rPr>
                <w:rFonts w:cstheme="minorHAnsi"/>
                <w:lang w:val="fr-CH"/>
              </w:rPr>
              <w:t xml:space="preserve"> dans la mesure où il indique uniquement l'obligation qui incombe aux États Membres de garantir la sécurité et la robustesse des réseaux de télécommunication.</w:t>
            </w:r>
          </w:p>
          <w:p w14:paraId="68EC8D24" w14:textId="1F60C520" w:rsidR="00F812BF" w:rsidRPr="004A7C1B" w:rsidRDefault="00C57D78" w:rsidP="00C30A3E">
            <w:pPr>
              <w:spacing w:after="120"/>
              <w:rPr>
                <w:rFonts w:cstheme="minorHAnsi"/>
                <w:lang w:val="fr-CH"/>
              </w:rPr>
            </w:pPr>
            <w:r>
              <w:rPr>
                <w:rFonts w:cstheme="minorHAnsi"/>
                <w:lang w:val="fr-CH"/>
              </w:rPr>
              <w:t xml:space="preserve">Bien que la Constitution de l'UIT contienne une disposition intitulée </w:t>
            </w:r>
            <w:r w:rsidR="00010D59">
              <w:rPr>
                <w:rFonts w:cstheme="minorHAnsi"/>
                <w:lang w:val="fr-CH"/>
              </w:rPr>
              <w:t>"</w:t>
            </w:r>
            <w:r>
              <w:rPr>
                <w:rFonts w:cstheme="minorHAnsi"/>
                <w:lang w:val="fr-CH"/>
              </w:rPr>
              <w:t>É</w:t>
            </w:r>
            <w:r w:rsidRPr="00C57D78">
              <w:rPr>
                <w:rFonts w:cstheme="minorHAnsi"/>
                <w:lang w:val="fr-CH"/>
              </w:rPr>
              <w:t>tablissement, exploitation et sauvegarde des voies et des installations de télécommunication</w:t>
            </w:r>
            <w:r w:rsidR="00010D59">
              <w:rPr>
                <w:rFonts w:cstheme="minorHAnsi"/>
                <w:lang w:val="fr-CH"/>
              </w:rPr>
              <w:t>"</w:t>
            </w:r>
            <w:r>
              <w:rPr>
                <w:rFonts w:cstheme="minorHAnsi"/>
                <w:lang w:val="fr-CH"/>
              </w:rPr>
              <w:t>, celle</w:t>
            </w:r>
            <w:r w:rsidR="00010D59">
              <w:rPr>
                <w:rFonts w:cstheme="minorHAnsi"/>
                <w:lang w:val="fr-CH"/>
              </w:rPr>
              <w:noBreakHyphen/>
            </w:r>
            <w:r>
              <w:rPr>
                <w:rFonts w:cstheme="minorHAnsi"/>
                <w:lang w:val="fr-CH"/>
              </w:rPr>
              <w:t>ci ne traite pas explicitement de la sécurité et de la robustesse des réseaux internationaux de télécommunication. En outre, il existe plusieurs recommandations et résolutions sur cette question qui fournissent des lignes directrices en la matière.</w:t>
            </w:r>
          </w:p>
        </w:tc>
      </w:tr>
      <w:tr w:rsidR="00F812BF" w:rsidRPr="004A7C1B" w14:paraId="2638EC47" w14:textId="77777777" w:rsidTr="00C65ABD">
        <w:tc>
          <w:tcPr>
            <w:tcW w:w="4957" w:type="dxa"/>
          </w:tcPr>
          <w:p w14:paraId="04FF5CA6" w14:textId="77777777" w:rsidR="00A96EEA" w:rsidRPr="004A7C1B" w:rsidRDefault="003149F6" w:rsidP="00C30A3E">
            <w:pPr>
              <w:rPr>
                <w:rFonts w:cstheme="minorHAnsi"/>
                <w:lang w:val="fr-CH"/>
              </w:rPr>
            </w:pPr>
            <w:r w:rsidRPr="004A7C1B">
              <w:rPr>
                <w:rFonts w:cstheme="minorHAnsi"/>
                <w:lang w:val="fr-CH"/>
              </w:rPr>
              <w:lastRenderedPageBreak/>
              <w:t>ARTICLE 7</w:t>
            </w:r>
          </w:p>
          <w:p w14:paraId="55DD96B2" w14:textId="6C01329B" w:rsidR="003149F6" w:rsidRPr="004A7C1B" w:rsidRDefault="003149F6" w:rsidP="00C30A3E">
            <w:pPr>
              <w:rPr>
                <w:rFonts w:cstheme="minorHAnsi"/>
                <w:lang w:val="fr-CH"/>
              </w:rPr>
            </w:pPr>
            <w:r w:rsidRPr="004A7C1B">
              <w:rPr>
                <w:rFonts w:cstheme="minorHAnsi"/>
                <w:lang w:val="fr-CH"/>
              </w:rPr>
              <w:t xml:space="preserve">Communications électroniques non sollicitées envoyées en masse </w:t>
            </w:r>
          </w:p>
          <w:p w14:paraId="235AD4C0" w14:textId="66A6820C" w:rsidR="007D2CE3" w:rsidRPr="004A7C1B" w:rsidRDefault="007D2CE3" w:rsidP="00C30A3E">
            <w:pPr>
              <w:rPr>
                <w:rFonts w:cstheme="minorHAnsi"/>
                <w:lang w:val="fr-CH"/>
              </w:rPr>
            </w:pPr>
            <w:r w:rsidRPr="004A7C1B">
              <w:rPr>
                <w:rFonts w:cstheme="minorHAnsi"/>
                <w:lang w:val="fr-CH"/>
              </w:rPr>
              <w:t>7.1</w:t>
            </w:r>
            <w:r w:rsidRPr="004A7C1B">
              <w:rPr>
                <w:rFonts w:cstheme="minorHAnsi"/>
                <w:lang w:val="fr-CH"/>
              </w:rPr>
              <w:tab/>
              <w:t xml:space="preserve">Les </w:t>
            </w:r>
            <w:r w:rsidR="009A195A" w:rsidRPr="004A7C1B">
              <w:rPr>
                <w:rFonts w:cstheme="minorHAnsi"/>
                <w:lang w:val="fr-CH"/>
              </w:rPr>
              <w:t>États</w:t>
            </w:r>
            <w:r w:rsidRPr="004A7C1B">
              <w:rPr>
                <w:rFonts w:cstheme="minorHAnsi"/>
                <w:lang w:val="fr-CH"/>
              </w:rPr>
              <w:t xml:space="preserve"> Membres devraient s'efforcer de prendre les mesures nécessaires pour empêcher la propagation de communications électroniques non sollicitées envoyées en masse et en réduire autant que possible l'incidence sur les services internationaux de télécommunication.</w:t>
            </w:r>
          </w:p>
          <w:p w14:paraId="78782C07" w14:textId="225EC394" w:rsidR="00F812BF" w:rsidRPr="004A7C1B" w:rsidRDefault="007D2CE3" w:rsidP="00C30A3E">
            <w:pPr>
              <w:spacing w:after="120"/>
              <w:rPr>
                <w:rFonts w:cstheme="minorHAnsi"/>
                <w:lang w:val="fr-CH"/>
              </w:rPr>
            </w:pPr>
            <w:r w:rsidRPr="004A7C1B">
              <w:rPr>
                <w:rFonts w:cstheme="minorHAnsi"/>
                <w:lang w:val="fr-CH"/>
              </w:rPr>
              <w:t>7.2</w:t>
            </w:r>
            <w:r w:rsidRPr="004A7C1B">
              <w:rPr>
                <w:rFonts w:cstheme="minorHAnsi"/>
                <w:lang w:val="fr-CH"/>
              </w:rPr>
              <w:tab/>
              <w:t xml:space="preserve">Les </w:t>
            </w:r>
            <w:r w:rsidR="009A195A" w:rsidRPr="004A7C1B">
              <w:rPr>
                <w:rFonts w:cstheme="minorHAnsi"/>
                <w:lang w:val="fr-CH"/>
              </w:rPr>
              <w:t>États</w:t>
            </w:r>
            <w:r w:rsidRPr="004A7C1B">
              <w:rPr>
                <w:rFonts w:cstheme="minorHAnsi"/>
                <w:lang w:val="fr-CH"/>
              </w:rPr>
              <w:t xml:space="preserve"> Membres sont encouragés à coopérer dans ce sens.</w:t>
            </w:r>
          </w:p>
        </w:tc>
        <w:tc>
          <w:tcPr>
            <w:tcW w:w="4819" w:type="dxa"/>
            <w:gridSpan w:val="2"/>
          </w:tcPr>
          <w:p w14:paraId="353DFDA8" w14:textId="20D8FCEC" w:rsidR="00F812BF" w:rsidRPr="004A7C1B" w:rsidRDefault="00AB1B74" w:rsidP="00C30A3E">
            <w:pPr>
              <w:rPr>
                <w:rFonts w:cstheme="minorHAnsi"/>
                <w:lang w:val="fr-CH"/>
              </w:rPr>
            </w:pPr>
            <w:r>
              <w:rPr>
                <w:rFonts w:cstheme="minorHAnsi"/>
                <w:lang w:val="fr-CH"/>
              </w:rPr>
              <w:t xml:space="preserve">Bien que la Constitution et la Convention </w:t>
            </w:r>
            <w:r w:rsidR="00014C29">
              <w:rPr>
                <w:rFonts w:cstheme="minorHAnsi"/>
                <w:lang w:val="fr-CH"/>
              </w:rPr>
              <w:t>n</w:t>
            </w:r>
            <w:r>
              <w:rPr>
                <w:rFonts w:cstheme="minorHAnsi"/>
                <w:lang w:val="fr-CH"/>
              </w:rPr>
              <w:t>e contienne</w:t>
            </w:r>
            <w:r w:rsidR="00014C29">
              <w:rPr>
                <w:rFonts w:cstheme="minorHAnsi"/>
                <w:lang w:val="fr-CH"/>
              </w:rPr>
              <w:t>nt</w:t>
            </w:r>
            <w:r>
              <w:rPr>
                <w:rFonts w:cstheme="minorHAnsi"/>
                <w:lang w:val="fr-CH"/>
              </w:rPr>
              <w:t xml:space="preserve"> pas de dispositions spécifiques sur ce sujet, il convient de tenir compte du fait qu'il existe des résolutions et des recommandations de l'UIT sur cette question et </w:t>
            </w:r>
            <w:r w:rsidR="00014C29">
              <w:rPr>
                <w:rFonts w:cstheme="minorHAnsi"/>
                <w:lang w:val="fr-CH"/>
              </w:rPr>
              <w:t>que celles-ci</w:t>
            </w:r>
            <w:r>
              <w:rPr>
                <w:rFonts w:cstheme="minorHAnsi"/>
                <w:lang w:val="fr-CH"/>
              </w:rPr>
              <w:t xml:space="preserve"> offre</w:t>
            </w:r>
            <w:r w:rsidR="00014C29">
              <w:rPr>
                <w:rFonts w:cstheme="minorHAnsi"/>
                <w:lang w:val="fr-CH"/>
              </w:rPr>
              <w:t>nt</w:t>
            </w:r>
            <w:r>
              <w:rPr>
                <w:rFonts w:cstheme="minorHAnsi"/>
                <w:lang w:val="fr-CH"/>
              </w:rPr>
              <w:t xml:space="preserve"> davantage de souplesse </w:t>
            </w:r>
            <w:r w:rsidR="000F3417">
              <w:rPr>
                <w:rFonts w:cstheme="minorHAnsi"/>
                <w:lang w:val="fr-CH"/>
              </w:rPr>
              <w:t>en termes d'adaptation et de mise à jour</w:t>
            </w:r>
            <w:r>
              <w:rPr>
                <w:rFonts w:cstheme="minorHAnsi"/>
                <w:lang w:val="fr-CH"/>
              </w:rPr>
              <w:t xml:space="preserve"> en fonction de l'évolution technologique.</w:t>
            </w:r>
          </w:p>
        </w:tc>
      </w:tr>
    </w:tbl>
    <w:p w14:paraId="06CDAB37" w14:textId="5E772801" w:rsidR="00F812BF" w:rsidRPr="004A7C1B" w:rsidRDefault="00F812BF" w:rsidP="00D42161">
      <w:pPr>
        <w:pStyle w:val="Headingb"/>
        <w:spacing w:before="240"/>
        <w:rPr>
          <w:lang w:val="fr-CH"/>
        </w:rPr>
      </w:pPr>
      <w:r w:rsidRPr="004A7C1B">
        <w:rPr>
          <w:lang w:val="fr-CH"/>
        </w:rPr>
        <w:t>Conclusions</w:t>
      </w:r>
    </w:p>
    <w:p w14:paraId="7D224550" w14:textId="62164364" w:rsidR="00F812BF" w:rsidRPr="004A7C1B" w:rsidRDefault="00AB1B74" w:rsidP="00C30A3E">
      <w:pPr>
        <w:rPr>
          <w:lang w:val="fr-CH"/>
        </w:rPr>
      </w:pPr>
      <w:r>
        <w:rPr>
          <w:rFonts w:cstheme="minorHAnsi"/>
          <w:lang w:val="fr-CH"/>
        </w:rPr>
        <w:t>On estime que les obligations établies en vertu du RTI visent uniquement à permettre l'application de mesures liées aux objectifs des articles. Par conséquent, le RTI n'offre pas d'éléments techniques ou juridiques supplémentaires par rapport à la Constitution de l'UIT ou aux Recommandations et Résolutions qui offre</w:t>
      </w:r>
      <w:r w:rsidR="000F3417">
        <w:rPr>
          <w:rFonts w:cstheme="minorHAnsi"/>
          <w:lang w:val="fr-CH"/>
        </w:rPr>
        <w:t>nt</w:t>
      </w:r>
      <w:r>
        <w:rPr>
          <w:rFonts w:cstheme="minorHAnsi"/>
          <w:lang w:val="fr-CH"/>
        </w:rPr>
        <w:t xml:space="preserve"> une plus grande souplesse </w:t>
      </w:r>
      <w:r w:rsidR="000F3417">
        <w:rPr>
          <w:rFonts w:cstheme="minorHAnsi"/>
          <w:lang w:val="fr-CH"/>
        </w:rPr>
        <w:t xml:space="preserve">en termes </w:t>
      </w:r>
      <w:r>
        <w:rPr>
          <w:rFonts w:cstheme="minorHAnsi"/>
          <w:lang w:val="fr-CH"/>
        </w:rPr>
        <w:t xml:space="preserve">d'adaptation et </w:t>
      </w:r>
      <w:r w:rsidR="000F3417">
        <w:rPr>
          <w:rFonts w:cstheme="minorHAnsi"/>
          <w:lang w:val="fr-CH"/>
        </w:rPr>
        <w:t>de mise à jour</w:t>
      </w:r>
      <w:r>
        <w:rPr>
          <w:rFonts w:cstheme="minorHAnsi"/>
          <w:lang w:val="fr-CH"/>
        </w:rPr>
        <w:t xml:space="preserve"> </w:t>
      </w:r>
      <w:r w:rsidR="000F3417">
        <w:rPr>
          <w:rFonts w:cstheme="minorHAnsi"/>
          <w:lang w:val="fr-CH"/>
        </w:rPr>
        <w:t>pour suivre</w:t>
      </w:r>
      <w:r>
        <w:rPr>
          <w:rFonts w:cstheme="minorHAnsi"/>
          <w:lang w:val="fr-CH"/>
        </w:rPr>
        <w:t xml:space="preserve"> l'évolution constante du secteur des télécommunications.</w:t>
      </w:r>
    </w:p>
    <w:p w14:paraId="55F7AD3A" w14:textId="77777777" w:rsidR="00752906" w:rsidRPr="004A7C1B" w:rsidRDefault="00752906" w:rsidP="00C30A3E">
      <w:pPr>
        <w:pStyle w:val="Reasons"/>
        <w:rPr>
          <w:lang w:val="fr-CH"/>
        </w:rPr>
      </w:pPr>
    </w:p>
    <w:p w14:paraId="6D56111E" w14:textId="15046CE9" w:rsidR="00571EEA" w:rsidRPr="004A7C1B" w:rsidRDefault="00752906" w:rsidP="00C30A3E">
      <w:pPr>
        <w:jc w:val="center"/>
        <w:rPr>
          <w:lang w:val="fr-CH"/>
        </w:rPr>
      </w:pPr>
      <w:r w:rsidRPr="004A7C1B">
        <w:rPr>
          <w:lang w:val="fr-CH"/>
        </w:rPr>
        <w:t>______________</w:t>
      </w:r>
    </w:p>
    <w:sectPr w:rsidR="00571EEA" w:rsidRPr="004A7C1B"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531F" w14:textId="77777777" w:rsidR="00F76C3A" w:rsidRDefault="00F76C3A">
      <w:r>
        <w:separator/>
      </w:r>
    </w:p>
  </w:endnote>
  <w:endnote w:type="continuationSeparator" w:id="0">
    <w:p w14:paraId="7F579103" w14:textId="77777777" w:rsidR="00F76C3A" w:rsidRDefault="00F7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9AA3" w14:textId="215575E1" w:rsidR="00732045" w:rsidRPr="00474A8E" w:rsidRDefault="001A6508">
    <w:pPr>
      <w:pStyle w:val="Footer"/>
      <w:rPr>
        <w:lang w:val="en-US"/>
      </w:rPr>
    </w:pPr>
    <w:r>
      <w:fldChar w:fldCharType="begin"/>
    </w:r>
    <w:r w:rsidRPr="00474A8E">
      <w:rPr>
        <w:lang w:val="en-US"/>
      </w:rPr>
      <w:instrText xml:space="preserve"> FILENAME \p \* MERGEFORMAT </w:instrText>
    </w:r>
    <w:r>
      <w:fldChar w:fldCharType="separate"/>
    </w:r>
    <w:r w:rsidR="00250825">
      <w:rPr>
        <w:lang w:val="en-US"/>
      </w:rPr>
      <w:t>Document4</w:t>
    </w:r>
    <w:r>
      <w:fldChar w:fldCharType="end"/>
    </w:r>
    <w:r w:rsidR="00732045" w:rsidRPr="00474A8E">
      <w:rPr>
        <w:lang w:val="en-US"/>
      </w:rPr>
      <w:tab/>
    </w:r>
    <w:r w:rsidR="002F1B76">
      <w:fldChar w:fldCharType="begin"/>
    </w:r>
    <w:r w:rsidR="00732045">
      <w:instrText xml:space="preserve"> savedate \@ dd.MM.yy </w:instrText>
    </w:r>
    <w:r w:rsidR="002F1B76">
      <w:fldChar w:fldCharType="separate"/>
    </w:r>
    <w:r w:rsidR="003E4384">
      <w:t>04.09.20</w:t>
    </w:r>
    <w:r w:rsidR="002F1B76">
      <w:fldChar w:fldCharType="end"/>
    </w:r>
    <w:r w:rsidR="00732045" w:rsidRPr="00474A8E">
      <w:rPr>
        <w:lang w:val="en-US"/>
      </w:rPr>
      <w:tab/>
    </w:r>
    <w:r w:rsidR="002F1B76">
      <w:fldChar w:fldCharType="begin"/>
    </w:r>
    <w:r w:rsidR="00732045">
      <w:instrText xml:space="preserve"> printdate \@ dd.MM.yy </w:instrText>
    </w:r>
    <w:r w:rsidR="002F1B76">
      <w:fldChar w:fldCharType="separate"/>
    </w:r>
    <w:r w:rsidR="00250825">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1908" w14:textId="6B1D6D8B" w:rsidR="00732045" w:rsidRPr="00474A8E" w:rsidRDefault="001A6508" w:rsidP="00D837AA">
    <w:pPr>
      <w:pStyle w:val="Footer"/>
      <w:rPr>
        <w:lang w:val="en-US"/>
      </w:rPr>
    </w:pPr>
    <w:r>
      <w:fldChar w:fldCharType="begin"/>
    </w:r>
    <w:r w:rsidRPr="00474A8E">
      <w:rPr>
        <w:lang w:val="en-US"/>
      </w:rPr>
      <w:instrText xml:space="preserve"> FILENAME \p \* MERGEFORMAT </w:instrText>
    </w:r>
    <w:r>
      <w:fldChar w:fldCharType="separate"/>
    </w:r>
    <w:r w:rsidR="00010D59">
      <w:rPr>
        <w:lang w:val="en-US"/>
      </w:rPr>
      <w:t>P:\FRA\SG\CONSEIL\EG-ITR\EG-ITR-3\000\004F.docx</w:t>
    </w:r>
    <w:r>
      <w:fldChar w:fldCharType="end"/>
    </w:r>
    <w:r w:rsidR="009E42FD">
      <w:t xml:space="preserve"> (</w:t>
    </w:r>
    <w:r w:rsidR="00B17519">
      <w:t>476486</w:t>
    </w:r>
    <w:r w:rsidR="009E42F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936B"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1EEB" w14:textId="77777777" w:rsidR="00F76C3A" w:rsidRDefault="00F76C3A">
      <w:r>
        <w:t>____________________</w:t>
      </w:r>
    </w:p>
  </w:footnote>
  <w:footnote w:type="continuationSeparator" w:id="0">
    <w:p w14:paraId="3F4A97E0" w14:textId="77777777" w:rsidR="00F76C3A" w:rsidRDefault="00F7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C9B0"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72C830D6"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D274" w14:textId="77777777" w:rsidR="00732045" w:rsidRDefault="00C27A7C" w:rsidP="00475FB3">
    <w:pPr>
      <w:pStyle w:val="Header"/>
    </w:pPr>
    <w:r>
      <w:fldChar w:fldCharType="begin"/>
    </w:r>
    <w:r>
      <w:instrText>PAGE</w:instrText>
    </w:r>
    <w:r>
      <w:fldChar w:fldCharType="separate"/>
    </w:r>
    <w:r w:rsidR="00B84194">
      <w:rPr>
        <w:noProof/>
      </w:rPr>
      <w:t>2</w:t>
    </w:r>
    <w:r>
      <w:rPr>
        <w:noProof/>
      </w:rPr>
      <w:fldChar w:fldCharType="end"/>
    </w:r>
  </w:p>
  <w:p w14:paraId="31B4A7C6" w14:textId="6E97BDC1" w:rsidR="00732045" w:rsidRDefault="00B84194" w:rsidP="0093234A">
    <w:pPr>
      <w:pStyle w:val="Header"/>
    </w:pPr>
    <w:r>
      <w:rPr>
        <w:noProof/>
      </w:rPr>
      <w:t>EG-ITRs-</w:t>
    </w:r>
    <w:r w:rsidR="009E42FD">
      <w:rPr>
        <w:noProof/>
      </w:rPr>
      <w:t>3</w:t>
    </w:r>
    <w:r>
      <w:rPr>
        <w:noProof/>
      </w:rPr>
      <w:t>\</w:t>
    </w:r>
    <w:r w:rsidR="00F812BF">
      <w:rPr>
        <w:noProof/>
      </w:rPr>
      <w:t>4</w:t>
    </w:r>
    <w:r>
      <w:rPr>
        <w:noProof/>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DF4A61-DFAE-4FBF-96CB-64493CDC324B}"/>
    <w:docVar w:name="dgnword-eventsink" w:val="2265986466224"/>
  </w:docVars>
  <w:rsids>
    <w:rsidRoot w:val="00250825"/>
    <w:rsid w:val="00010D59"/>
    <w:rsid w:val="00014C29"/>
    <w:rsid w:val="000D0D0A"/>
    <w:rsid w:val="000F3417"/>
    <w:rsid w:val="00103163"/>
    <w:rsid w:val="00115D93"/>
    <w:rsid w:val="001247A8"/>
    <w:rsid w:val="001378C0"/>
    <w:rsid w:val="0018694A"/>
    <w:rsid w:val="001A3287"/>
    <w:rsid w:val="001A6508"/>
    <w:rsid w:val="001C7D52"/>
    <w:rsid w:val="001D4607"/>
    <w:rsid w:val="001D4C31"/>
    <w:rsid w:val="001E4D21"/>
    <w:rsid w:val="00207CD1"/>
    <w:rsid w:val="002477A2"/>
    <w:rsid w:val="00250825"/>
    <w:rsid w:val="00263A51"/>
    <w:rsid w:val="00267E02"/>
    <w:rsid w:val="002A5D44"/>
    <w:rsid w:val="002D0251"/>
    <w:rsid w:val="002E0BC4"/>
    <w:rsid w:val="002F1B76"/>
    <w:rsid w:val="003149F6"/>
    <w:rsid w:val="00355FF5"/>
    <w:rsid w:val="00361350"/>
    <w:rsid w:val="003A0E4B"/>
    <w:rsid w:val="003E4384"/>
    <w:rsid w:val="004038CB"/>
    <w:rsid w:val="0040546F"/>
    <w:rsid w:val="0042404A"/>
    <w:rsid w:val="0042535D"/>
    <w:rsid w:val="0044618F"/>
    <w:rsid w:val="0046769A"/>
    <w:rsid w:val="00474A8E"/>
    <w:rsid w:val="00475FB3"/>
    <w:rsid w:val="004A7C1B"/>
    <w:rsid w:val="004C37A9"/>
    <w:rsid w:val="004F259E"/>
    <w:rsid w:val="00511F1D"/>
    <w:rsid w:val="00520F36"/>
    <w:rsid w:val="00540615"/>
    <w:rsid w:val="00540A6D"/>
    <w:rsid w:val="00552089"/>
    <w:rsid w:val="00571EEA"/>
    <w:rsid w:val="00575417"/>
    <w:rsid w:val="005768E1"/>
    <w:rsid w:val="005C3890"/>
    <w:rsid w:val="005F7BFE"/>
    <w:rsid w:val="00600017"/>
    <w:rsid w:val="00601CF9"/>
    <w:rsid w:val="006235CA"/>
    <w:rsid w:val="006643AB"/>
    <w:rsid w:val="007210CD"/>
    <w:rsid w:val="00732045"/>
    <w:rsid w:val="007369DB"/>
    <w:rsid w:val="0074692E"/>
    <w:rsid w:val="00752906"/>
    <w:rsid w:val="007956C2"/>
    <w:rsid w:val="007A187E"/>
    <w:rsid w:val="007C72C2"/>
    <w:rsid w:val="007D2CE3"/>
    <w:rsid w:val="007D4436"/>
    <w:rsid w:val="007F257A"/>
    <w:rsid w:val="007F3665"/>
    <w:rsid w:val="00800037"/>
    <w:rsid w:val="008477F5"/>
    <w:rsid w:val="00852808"/>
    <w:rsid w:val="00861D73"/>
    <w:rsid w:val="008A4E87"/>
    <w:rsid w:val="008D76E6"/>
    <w:rsid w:val="0092392D"/>
    <w:rsid w:val="0093234A"/>
    <w:rsid w:val="0099613D"/>
    <w:rsid w:val="009A195A"/>
    <w:rsid w:val="009B3BDE"/>
    <w:rsid w:val="009C307F"/>
    <w:rsid w:val="009E42FD"/>
    <w:rsid w:val="00A2113E"/>
    <w:rsid w:val="00A23A51"/>
    <w:rsid w:val="00A24607"/>
    <w:rsid w:val="00A25CD3"/>
    <w:rsid w:val="00A82767"/>
    <w:rsid w:val="00A96EEA"/>
    <w:rsid w:val="00AA332F"/>
    <w:rsid w:val="00AA7BBB"/>
    <w:rsid w:val="00AB1B74"/>
    <w:rsid w:val="00AB64A8"/>
    <w:rsid w:val="00AC0266"/>
    <w:rsid w:val="00AD24EC"/>
    <w:rsid w:val="00B17519"/>
    <w:rsid w:val="00B309F9"/>
    <w:rsid w:val="00B32B60"/>
    <w:rsid w:val="00B61619"/>
    <w:rsid w:val="00B84194"/>
    <w:rsid w:val="00BB4545"/>
    <w:rsid w:val="00BD5873"/>
    <w:rsid w:val="00C04BE3"/>
    <w:rsid w:val="00C25D29"/>
    <w:rsid w:val="00C27A7C"/>
    <w:rsid w:val="00C30A3E"/>
    <w:rsid w:val="00C57D78"/>
    <w:rsid w:val="00C65ABD"/>
    <w:rsid w:val="00C93610"/>
    <w:rsid w:val="00CA08ED"/>
    <w:rsid w:val="00CF183B"/>
    <w:rsid w:val="00D06D06"/>
    <w:rsid w:val="00D375CD"/>
    <w:rsid w:val="00D42161"/>
    <w:rsid w:val="00D553A2"/>
    <w:rsid w:val="00D774D3"/>
    <w:rsid w:val="00D837AA"/>
    <w:rsid w:val="00D904E8"/>
    <w:rsid w:val="00DA08C3"/>
    <w:rsid w:val="00DB5A3E"/>
    <w:rsid w:val="00DC22AA"/>
    <w:rsid w:val="00DF74DD"/>
    <w:rsid w:val="00E25AD0"/>
    <w:rsid w:val="00EB6350"/>
    <w:rsid w:val="00F06D00"/>
    <w:rsid w:val="00F15B57"/>
    <w:rsid w:val="00F427DB"/>
    <w:rsid w:val="00F76C3A"/>
    <w:rsid w:val="00F812BF"/>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0123B8"/>
  <w15:docId w15:val="{12FE360A-3AB4-4637-B796-0E80032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uiPriority w:val="39"/>
    <w:rsid w:val="00F812B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CBCA-688C-49FA-A3F2-3F873261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PF_EG-ITR.dotx</Template>
  <TotalTime>13</TotalTime>
  <Pages>3</Pages>
  <Words>895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6329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French</cp:lastModifiedBy>
  <cp:revision>5</cp:revision>
  <cp:lastPrinted>2000-07-18T08:55:00Z</cp:lastPrinted>
  <dcterms:created xsi:type="dcterms:W3CDTF">2020-09-07T05:43:00Z</dcterms:created>
  <dcterms:modified xsi:type="dcterms:W3CDTF">2020-09-07T05:56:00Z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