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345"/>
        <w:gridCol w:w="3492"/>
      </w:tblGrid>
      <w:tr w:rsidR="00923A1B" w14:paraId="6E1681AE" w14:textId="77777777" w:rsidTr="002238C4">
        <w:trPr>
          <w:cantSplit/>
          <w:trHeight w:val="851"/>
        </w:trPr>
        <w:tc>
          <w:tcPr>
            <w:tcW w:w="6345" w:type="dxa"/>
            <w:vAlign w:val="center"/>
          </w:tcPr>
          <w:p w14:paraId="29D32417" w14:textId="4125AF84" w:rsidR="00923A1B" w:rsidRPr="008755F6" w:rsidRDefault="000854C6" w:rsidP="003A4012">
            <w:pPr>
              <w:shd w:val="solid" w:color="FFFFFF" w:fill="FFFFFF"/>
              <w:spacing w:after="0"/>
              <w:rPr>
                <w:rFonts w:cs="Times"/>
                <w:b/>
                <w:lang w:val="en-US"/>
              </w:rPr>
            </w:pPr>
            <w:r w:rsidRPr="008755F6">
              <w:rPr>
                <w:rFonts w:cs="Times"/>
                <w:b/>
                <w:sz w:val="32"/>
                <w:szCs w:val="32"/>
                <w:lang w:val="en-US"/>
              </w:rPr>
              <w:t>Expert Group on the International</w:t>
            </w:r>
            <w:r w:rsidRPr="008755F6">
              <w:rPr>
                <w:rFonts w:cs="Times"/>
                <w:b/>
                <w:sz w:val="32"/>
                <w:szCs w:val="32"/>
                <w:lang w:val="en-US"/>
              </w:rPr>
              <w:br/>
              <w:t>Telecommunication Regulations (EG-ITRs)</w:t>
            </w:r>
          </w:p>
        </w:tc>
        <w:tc>
          <w:tcPr>
            <w:tcW w:w="3492" w:type="dxa"/>
          </w:tcPr>
          <w:p w14:paraId="241C55DB" w14:textId="785EB79F" w:rsidR="00923A1B" w:rsidRDefault="00B36E39" w:rsidP="0025471D">
            <w:pPr>
              <w:pStyle w:val="dnum"/>
              <w:framePr w:hSpace="0" w:wrap="auto" w:vAnchor="margin" w:hAnchor="text" w:yAlign="inline"/>
              <w:spacing w:after="0"/>
            </w:pPr>
            <w:r>
              <w:rPr>
                <w:noProof/>
                <w:lang w:eastAsia="es-MX"/>
              </w:rPr>
              <w:drawing>
                <wp:inline distT="0" distB="0" distL="0" distR="0" wp14:anchorId="64B7344A" wp14:editId="212D89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14:paraId="42C1BC8B" w14:textId="77777777" w:rsidTr="00923A1B">
        <w:trPr>
          <w:cantSplit/>
          <w:trHeight w:val="20"/>
        </w:trPr>
        <w:tc>
          <w:tcPr>
            <w:tcW w:w="6345" w:type="dxa"/>
            <w:tcBorders>
              <w:bottom w:val="single" w:sz="12" w:space="0" w:color="auto"/>
            </w:tcBorders>
          </w:tcPr>
          <w:p w14:paraId="7079E938" w14:textId="025FA8D5" w:rsidR="00923A1B" w:rsidRPr="003737DE" w:rsidRDefault="00FE6145" w:rsidP="003A4012">
            <w:pPr>
              <w:shd w:val="solid" w:color="FFFFFF" w:fill="FFFFFF"/>
              <w:spacing w:after="0"/>
              <w:rPr>
                <w:rFonts w:cs="Times"/>
                <w:b/>
              </w:rPr>
            </w:pPr>
            <w:r>
              <w:rPr>
                <w:b/>
                <w:bCs/>
                <w:sz w:val="24"/>
                <w:szCs w:val="40"/>
              </w:rPr>
              <w:t xml:space="preserve">Third meeting - </w:t>
            </w:r>
            <w:r w:rsidRPr="002238C4">
              <w:rPr>
                <w:b/>
                <w:bCs/>
                <w:sz w:val="24"/>
                <w:szCs w:val="40"/>
              </w:rPr>
              <w:t xml:space="preserve">Geneva, </w:t>
            </w:r>
            <w:r>
              <w:rPr>
                <w:b/>
                <w:bCs/>
                <w:sz w:val="24"/>
                <w:szCs w:val="40"/>
              </w:rPr>
              <w:t>17-18 September</w:t>
            </w:r>
            <w:r w:rsidRPr="002238C4">
              <w:rPr>
                <w:b/>
                <w:bCs/>
                <w:sz w:val="24"/>
                <w:szCs w:val="40"/>
              </w:rPr>
              <w:t xml:space="preserve"> 20</w:t>
            </w:r>
            <w:r>
              <w:rPr>
                <w:b/>
                <w:bCs/>
                <w:sz w:val="24"/>
                <w:szCs w:val="40"/>
              </w:rPr>
              <w:t>20</w:t>
            </w:r>
          </w:p>
        </w:tc>
        <w:tc>
          <w:tcPr>
            <w:tcW w:w="3492" w:type="dxa"/>
            <w:tcBorders>
              <w:bottom w:val="single" w:sz="12" w:space="0" w:color="auto"/>
            </w:tcBorders>
          </w:tcPr>
          <w:p w14:paraId="0FF4F0AC" w14:textId="77777777" w:rsidR="00923A1B" w:rsidRDefault="00923A1B" w:rsidP="0025471D">
            <w:pPr>
              <w:pStyle w:val="dnum"/>
              <w:framePr w:hSpace="0" w:wrap="auto" w:vAnchor="margin" w:hAnchor="text" w:yAlign="inline"/>
              <w:spacing w:after="0"/>
              <w:rPr>
                <w:rFonts w:ascii="Verdana" w:hAnsi="Verdana"/>
              </w:rPr>
            </w:pPr>
          </w:p>
        </w:tc>
      </w:tr>
      <w:tr w:rsidR="00923A1B" w:rsidRPr="00F5094D" w14:paraId="406D6FB1" w14:textId="77777777" w:rsidTr="00923A1B">
        <w:trPr>
          <w:cantSplit/>
          <w:trHeight w:val="138"/>
        </w:trPr>
        <w:tc>
          <w:tcPr>
            <w:tcW w:w="6345" w:type="dxa"/>
            <w:tcBorders>
              <w:top w:val="single" w:sz="12" w:space="0" w:color="auto"/>
            </w:tcBorders>
          </w:tcPr>
          <w:p w14:paraId="1D6AF3F8" w14:textId="77777777" w:rsidR="00923A1B" w:rsidRDefault="00923A1B" w:rsidP="0025471D">
            <w:pPr>
              <w:shd w:val="solid" w:color="FFFFFF" w:fill="FFFFFF"/>
              <w:spacing w:after="0"/>
              <w:ind w:right="284"/>
            </w:pPr>
          </w:p>
        </w:tc>
        <w:tc>
          <w:tcPr>
            <w:tcW w:w="3492" w:type="dxa"/>
            <w:tcBorders>
              <w:top w:val="single" w:sz="12" w:space="0" w:color="auto"/>
            </w:tcBorders>
          </w:tcPr>
          <w:p w14:paraId="2B1E31E9"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E36215" w14:paraId="1BBCA794" w14:textId="77777777" w:rsidTr="00923A1B">
        <w:trPr>
          <w:cantSplit/>
          <w:trHeight w:val="138"/>
        </w:trPr>
        <w:tc>
          <w:tcPr>
            <w:tcW w:w="6345" w:type="dxa"/>
          </w:tcPr>
          <w:p w14:paraId="4162AE0B" w14:textId="31302F2B" w:rsidR="00923A1B" w:rsidRPr="002238C4" w:rsidRDefault="00923A1B" w:rsidP="0025471D">
            <w:pPr>
              <w:spacing w:after="0"/>
              <w:rPr>
                <w:b/>
                <w:bCs/>
                <w:sz w:val="24"/>
                <w:szCs w:val="24"/>
              </w:rPr>
            </w:pPr>
          </w:p>
        </w:tc>
        <w:tc>
          <w:tcPr>
            <w:tcW w:w="3492" w:type="dxa"/>
          </w:tcPr>
          <w:p w14:paraId="01BBC68C" w14:textId="7CF3EF04" w:rsidR="00923A1B" w:rsidRPr="002238C4" w:rsidRDefault="00923A1B" w:rsidP="000854C6">
            <w:pPr>
              <w:spacing w:after="0"/>
              <w:rPr>
                <w:b/>
                <w:bCs/>
                <w:sz w:val="24"/>
                <w:szCs w:val="24"/>
                <w:lang w:val="es-ES"/>
              </w:rPr>
            </w:pPr>
            <w:proofErr w:type="spellStart"/>
            <w:r w:rsidRPr="002238C4">
              <w:rPr>
                <w:b/>
                <w:bCs/>
                <w:sz w:val="24"/>
                <w:szCs w:val="24"/>
                <w:lang w:val="es-ES"/>
              </w:rPr>
              <w:t>Document</w:t>
            </w:r>
            <w:proofErr w:type="spellEnd"/>
            <w:r w:rsidRPr="002238C4">
              <w:rPr>
                <w:b/>
                <w:bCs/>
                <w:sz w:val="24"/>
                <w:szCs w:val="24"/>
                <w:lang w:val="es-ES"/>
              </w:rPr>
              <w:t xml:space="preserve"> </w:t>
            </w:r>
            <w:r w:rsidR="000854C6">
              <w:rPr>
                <w:b/>
                <w:bCs/>
                <w:sz w:val="24"/>
                <w:szCs w:val="24"/>
                <w:lang w:val="es-ES"/>
              </w:rPr>
              <w:t>EG-ITRs</w:t>
            </w:r>
            <w:r w:rsidR="003A4012">
              <w:rPr>
                <w:b/>
                <w:bCs/>
                <w:sz w:val="24"/>
                <w:szCs w:val="24"/>
                <w:lang w:val="es-ES"/>
              </w:rPr>
              <w:t>-</w:t>
            </w:r>
            <w:r w:rsidR="00FE6145">
              <w:rPr>
                <w:b/>
                <w:bCs/>
                <w:sz w:val="24"/>
                <w:szCs w:val="24"/>
                <w:lang w:val="es-ES"/>
              </w:rPr>
              <w:t>3</w:t>
            </w:r>
            <w:r w:rsidR="000854C6">
              <w:rPr>
                <w:b/>
                <w:bCs/>
                <w:sz w:val="24"/>
                <w:szCs w:val="24"/>
                <w:lang w:val="es-ES"/>
              </w:rPr>
              <w:t>\</w:t>
            </w:r>
            <w:r w:rsidR="00FE6145">
              <w:rPr>
                <w:b/>
                <w:bCs/>
                <w:sz w:val="24"/>
                <w:szCs w:val="24"/>
                <w:lang w:val="es-ES"/>
              </w:rPr>
              <w:t>4</w:t>
            </w:r>
            <w:r w:rsidR="000854C6">
              <w:rPr>
                <w:b/>
                <w:bCs/>
                <w:sz w:val="24"/>
                <w:szCs w:val="24"/>
                <w:lang w:val="es-ES"/>
              </w:rPr>
              <w:t>-E</w:t>
            </w:r>
          </w:p>
        </w:tc>
      </w:tr>
      <w:tr w:rsidR="00923A1B" w:rsidRPr="003737DE" w14:paraId="100AEFFF" w14:textId="77777777" w:rsidTr="00923A1B">
        <w:trPr>
          <w:cantSplit/>
          <w:trHeight w:val="138"/>
        </w:trPr>
        <w:tc>
          <w:tcPr>
            <w:tcW w:w="6345" w:type="dxa"/>
          </w:tcPr>
          <w:p w14:paraId="2F758D85" w14:textId="77777777" w:rsidR="00923A1B" w:rsidRDefault="00923A1B" w:rsidP="0025471D">
            <w:pPr>
              <w:shd w:val="solid" w:color="FFFFFF" w:fill="FFFFFF"/>
              <w:spacing w:after="0"/>
              <w:ind w:right="284"/>
              <w:rPr>
                <w:lang w:val="es-ES"/>
              </w:rPr>
            </w:pPr>
          </w:p>
        </w:tc>
        <w:tc>
          <w:tcPr>
            <w:tcW w:w="3492" w:type="dxa"/>
          </w:tcPr>
          <w:p w14:paraId="4BC2ED00" w14:textId="11C16B7E" w:rsidR="00923A1B" w:rsidRPr="002238C4" w:rsidRDefault="00FE6145" w:rsidP="003A4012">
            <w:pPr>
              <w:tabs>
                <w:tab w:val="left" w:pos="851"/>
              </w:tabs>
              <w:spacing w:after="0"/>
              <w:ind w:right="284"/>
              <w:rPr>
                <w:b/>
                <w:sz w:val="24"/>
                <w:szCs w:val="24"/>
              </w:rPr>
            </w:pPr>
            <w:r>
              <w:rPr>
                <w:b/>
                <w:sz w:val="24"/>
                <w:szCs w:val="24"/>
              </w:rPr>
              <w:t>3 September</w:t>
            </w:r>
            <w:r w:rsidR="000854C6">
              <w:rPr>
                <w:b/>
                <w:sz w:val="24"/>
                <w:szCs w:val="24"/>
              </w:rPr>
              <w:t xml:space="preserve"> </w:t>
            </w:r>
            <w:r w:rsidR="003A4012">
              <w:rPr>
                <w:b/>
                <w:sz w:val="24"/>
                <w:szCs w:val="24"/>
              </w:rPr>
              <w:t>2020</w:t>
            </w:r>
          </w:p>
        </w:tc>
      </w:tr>
      <w:tr w:rsidR="00923A1B" w:rsidRPr="003737DE" w14:paraId="71FD0A17" w14:textId="77777777" w:rsidTr="00923A1B">
        <w:trPr>
          <w:cantSplit/>
          <w:trHeight w:val="138"/>
        </w:trPr>
        <w:tc>
          <w:tcPr>
            <w:tcW w:w="6345" w:type="dxa"/>
          </w:tcPr>
          <w:p w14:paraId="0EA5B8B2" w14:textId="77777777" w:rsidR="00923A1B" w:rsidRDefault="00923A1B" w:rsidP="0025471D">
            <w:pPr>
              <w:shd w:val="solid" w:color="FFFFFF" w:fill="FFFFFF"/>
              <w:spacing w:after="0"/>
              <w:ind w:right="284"/>
            </w:pPr>
          </w:p>
        </w:tc>
        <w:tc>
          <w:tcPr>
            <w:tcW w:w="3492" w:type="dxa"/>
          </w:tcPr>
          <w:p w14:paraId="06AB3AD7" w14:textId="07E64CD2" w:rsidR="00923A1B" w:rsidRPr="002238C4" w:rsidRDefault="003A4012" w:rsidP="0025471D">
            <w:pPr>
              <w:tabs>
                <w:tab w:val="left" w:pos="851"/>
              </w:tabs>
              <w:spacing w:after="0"/>
              <w:ind w:right="284"/>
              <w:rPr>
                <w:b/>
                <w:sz w:val="24"/>
                <w:szCs w:val="24"/>
              </w:rPr>
            </w:pPr>
            <w:r>
              <w:rPr>
                <w:b/>
                <w:sz w:val="24"/>
                <w:szCs w:val="24"/>
              </w:rPr>
              <w:t xml:space="preserve">Original: </w:t>
            </w:r>
            <w:r w:rsidR="00FE6145">
              <w:rPr>
                <w:b/>
                <w:sz w:val="24"/>
                <w:szCs w:val="24"/>
              </w:rPr>
              <w:t>English</w:t>
            </w:r>
          </w:p>
        </w:tc>
      </w:tr>
      <w:tr w:rsidR="000854C6" w:rsidRPr="003737DE" w14:paraId="2CF60B2A" w14:textId="77777777" w:rsidTr="00372CD6">
        <w:trPr>
          <w:cantSplit/>
          <w:trHeight w:val="138"/>
        </w:trPr>
        <w:tc>
          <w:tcPr>
            <w:tcW w:w="9837" w:type="dxa"/>
            <w:gridSpan w:val="2"/>
          </w:tcPr>
          <w:p w14:paraId="2B7E725C" w14:textId="00B8D2EB" w:rsidR="000854C6" w:rsidRDefault="008755F6" w:rsidP="000854C6">
            <w:pPr>
              <w:pStyle w:val="Source"/>
            </w:pPr>
            <w:r>
              <w:t>Mexico</w:t>
            </w:r>
          </w:p>
        </w:tc>
      </w:tr>
      <w:tr w:rsidR="000854C6" w:rsidRPr="008755F6" w14:paraId="27824CBA" w14:textId="77777777" w:rsidTr="00372CD6">
        <w:trPr>
          <w:cantSplit/>
          <w:trHeight w:val="138"/>
        </w:trPr>
        <w:tc>
          <w:tcPr>
            <w:tcW w:w="9837" w:type="dxa"/>
            <w:gridSpan w:val="2"/>
          </w:tcPr>
          <w:p w14:paraId="11774442" w14:textId="6A324BE4" w:rsidR="000854C6" w:rsidRPr="008755F6" w:rsidRDefault="008755F6" w:rsidP="008755F6">
            <w:pPr>
              <w:pStyle w:val="Title1"/>
              <w:rPr>
                <w:lang w:val="en-US"/>
              </w:rPr>
            </w:pPr>
            <w:r>
              <w:rPr>
                <w:lang w:val="en-US"/>
              </w:rPr>
              <w:t xml:space="preserve">MEXICO´S </w:t>
            </w:r>
            <w:r w:rsidRPr="008755F6">
              <w:rPr>
                <w:lang w:val="en-US"/>
              </w:rPr>
              <w:t>Points of view for the 3rd Meeting of the Expert Group on the International Telecommunication Regulations (EG - ITRs)</w:t>
            </w:r>
          </w:p>
        </w:tc>
      </w:tr>
    </w:tbl>
    <w:p w14:paraId="143B484F" w14:textId="77777777" w:rsidR="008755F6" w:rsidRPr="00FE6145" w:rsidRDefault="008755F6" w:rsidP="008755F6">
      <w:pPr>
        <w:jc w:val="both"/>
        <w:rPr>
          <w:rFonts w:cstheme="minorHAnsi"/>
          <w:lang w:val="en-US"/>
        </w:rPr>
      </w:pPr>
    </w:p>
    <w:p w14:paraId="55042AC9" w14:textId="0435F23B" w:rsidR="008755F6" w:rsidRPr="00FE6145" w:rsidRDefault="008755F6" w:rsidP="008755F6">
      <w:pPr>
        <w:jc w:val="both"/>
        <w:rPr>
          <w:rFonts w:cstheme="minorHAnsi"/>
          <w:b/>
          <w:lang w:val="en-US"/>
        </w:rPr>
      </w:pPr>
      <w:r w:rsidRPr="00FE6145">
        <w:rPr>
          <w:rFonts w:cstheme="minorHAnsi"/>
          <w:b/>
          <w:lang w:val="en-US"/>
        </w:rPr>
        <w:t>Introduction</w:t>
      </w:r>
    </w:p>
    <w:p w14:paraId="45B34577" w14:textId="37C4CFDD" w:rsidR="008755F6" w:rsidRPr="00FE6145" w:rsidRDefault="008755F6" w:rsidP="008755F6">
      <w:pPr>
        <w:jc w:val="both"/>
        <w:rPr>
          <w:rFonts w:cstheme="minorHAnsi"/>
          <w:lang w:val="en-US"/>
        </w:rPr>
      </w:pPr>
      <w:r w:rsidRPr="00FE6145">
        <w:rPr>
          <w:rFonts w:cstheme="minorHAnsi"/>
          <w:lang w:val="en-US"/>
        </w:rPr>
        <w:t xml:space="preserve">Taking into consideration the Work Plan defined by this Experts Group for the fulfillment of its mandate, Mexico presents some points of view regarding </w:t>
      </w:r>
      <w:r w:rsidR="007C0160" w:rsidRPr="00FE6145">
        <w:rPr>
          <w:rFonts w:cstheme="minorHAnsi"/>
          <w:lang w:val="en-US"/>
        </w:rPr>
        <w:t>some of the</w:t>
      </w:r>
      <w:r w:rsidRPr="00FE6145">
        <w:rPr>
          <w:rFonts w:cstheme="minorHAnsi"/>
          <w:lang w:val="en-US"/>
        </w:rPr>
        <w:t xml:space="preserve"> elements that will be discussed at this meeting.</w:t>
      </w:r>
    </w:p>
    <w:p w14:paraId="146710D4" w14:textId="0A293661" w:rsidR="007C0160" w:rsidRPr="00FE6145" w:rsidRDefault="007C0160" w:rsidP="008755F6">
      <w:pPr>
        <w:jc w:val="both"/>
        <w:rPr>
          <w:rFonts w:cstheme="minorHAnsi"/>
          <w:b/>
          <w:lang w:val="en-US"/>
        </w:rPr>
      </w:pPr>
      <w:r w:rsidRPr="00FE6145">
        <w:rPr>
          <w:rFonts w:cstheme="minorHAnsi"/>
          <w:b/>
          <w:lang w:val="en-US"/>
        </w:rPr>
        <w:t>Mexico’s points of view</w:t>
      </w:r>
    </w:p>
    <w:p w14:paraId="097CCF6F" w14:textId="47752903" w:rsidR="008755F6" w:rsidRPr="00FE6145" w:rsidRDefault="008755F6" w:rsidP="008755F6">
      <w:pPr>
        <w:jc w:val="both"/>
        <w:rPr>
          <w:rFonts w:cstheme="minorHAnsi"/>
          <w:lang w:val="en-US"/>
        </w:rPr>
      </w:pPr>
      <w:r w:rsidRPr="00FE6145">
        <w:rPr>
          <w:rFonts w:cstheme="minorHAnsi"/>
          <w:lang w:val="en-US"/>
        </w:rPr>
        <w:t xml:space="preserve">Mexico reiterates its </w:t>
      </w:r>
      <w:r w:rsidR="007C0160" w:rsidRPr="00FE6145">
        <w:rPr>
          <w:rFonts w:cstheme="minorHAnsi"/>
          <w:lang w:val="en-US"/>
        </w:rPr>
        <w:t xml:space="preserve">previous </w:t>
      </w:r>
      <w:r w:rsidRPr="00FE6145">
        <w:rPr>
          <w:rFonts w:cstheme="minorHAnsi"/>
          <w:lang w:val="en-US"/>
        </w:rPr>
        <w:t xml:space="preserve">opinion that </w:t>
      </w:r>
      <w:r w:rsidR="007C0160" w:rsidRPr="00FE6145">
        <w:rPr>
          <w:rFonts w:cstheme="minorHAnsi"/>
          <w:lang w:val="en-US"/>
        </w:rPr>
        <w:t>establishes that</w:t>
      </w:r>
      <w:r w:rsidRPr="00FE6145">
        <w:rPr>
          <w:rFonts w:cstheme="minorHAnsi"/>
          <w:lang w:val="en-US"/>
        </w:rPr>
        <w:t xml:space="preserve"> there are elements that continue to be in force in the international environment of the telecommunications sector, as they promote greater regulatory coherence and provide certainty to international telecommunications.</w:t>
      </w:r>
    </w:p>
    <w:p w14:paraId="142E89B4" w14:textId="7CD0204F" w:rsidR="008755F6" w:rsidRPr="00FE6145" w:rsidRDefault="008755F6" w:rsidP="008755F6">
      <w:pPr>
        <w:jc w:val="both"/>
        <w:rPr>
          <w:rFonts w:cstheme="minorHAnsi"/>
          <w:lang w:val="en-US"/>
        </w:rPr>
      </w:pPr>
      <w:r w:rsidRPr="00FE6145">
        <w:rPr>
          <w:rFonts w:cstheme="minorHAnsi"/>
          <w:lang w:val="en-US"/>
        </w:rPr>
        <w:t xml:space="preserve">For example, </w:t>
      </w:r>
      <w:r w:rsidR="007C0160" w:rsidRPr="00FE6145">
        <w:rPr>
          <w:rFonts w:cstheme="minorHAnsi"/>
          <w:lang w:val="en-US"/>
        </w:rPr>
        <w:t>regarding</w:t>
      </w:r>
      <w:r w:rsidRPr="00FE6145">
        <w:rPr>
          <w:rFonts w:cstheme="minorHAnsi"/>
          <w:lang w:val="en-US"/>
        </w:rPr>
        <w:t xml:space="preserve"> the security and robustness of the networks, the ITRs establishes that the security and robustness of international telecommunications networks is an obligation, individual and collective, of the Member States, which will ensure the development harmonious of the services offered to the public. Regarding accessibility, the ITRs indicates that Member States should promote access for persons with disabilities to international telecommunications services. In relation to roaming, the ITRs stipulates that States will seek to promote competition and promote cooperation in order to reduce the costs of unintentional roaming in border areas.</w:t>
      </w:r>
    </w:p>
    <w:p w14:paraId="58657097" w14:textId="4C82A26F" w:rsidR="008755F6" w:rsidRPr="00FE6145" w:rsidRDefault="008755F6" w:rsidP="008755F6">
      <w:pPr>
        <w:jc w:val="both"/>
        <w:rPr>
          <w:rFonts w:cstheme="minorHAnsi"/>
          <w:lang w:val="en-US"/>
        </w:rPr>
      </w:pPr>
      <w:r w:rsidRPr="00FE6145">
        <w:rPr>
          <w:rFonts w:cstheme="minorHAnsi"/>
          <w:lang w:val="en-US"/>
        </w:rPr>
        <w:t xml:space="preserve">However, it is important to </w:t>
      </w:r>
      <w:proofErr w:type="gramStart"/>
      <w:r w:rsidRPr="00FE6145">
        <w:rPr>
          <w:rFonts w:cstheme="minorHAnsi"/>
          <w:lang w:val="en-US"/>
        </w:rPr>
        <w:t>take into account</w:t>
      </w:r>
      <w:proofErr w:type="gramEnd"/>
      <w:r w:rsidRPr="00FE6145">
        <w:rPr>
          <w:rFonts w:cstheme="minorHAnsi"/>
          <w:lang w:val="en-US"/>
        </w:rPr>
        <w:t xml:space="preserve"> that certain elements are already contemplated in other ITU instruments, which must be considered in order to avoid duplication </w:t>
      </w:r>
      <w:r w:rsidR="007C0160" w:rsidRPr="00FE6145">
        <w:rPr>
          <w:rFonts w:cstheme="minorHAnsi"/>
          <w:lang w:val="en-US"/>
        </w:rPr>
        <w:t>of</w:t>
      </w:r>
      <w:r w:rsidRPr="00FE6145">
        <w:rPr>
          <w:rFonts w:cstheme="minorHAnsi"/>
          <w:lang w:val="en-US"/>
        </w:rPr>
        <w:t xml:space="preserve"> them, especially regarding the following points:</w:t>
      </w:r>
    </w:p>
    <w:p w14:paraId="469D4585" w14:textId="77777777" w:rsidR="008755F6" w:rsidRPr="00FE6145" w:rsidRDefault="008755F6" w:rsidP="008755F6">
      <w:pPr>
        <w:jc w:val="both"/>
        <w:rPr>
          <w:rFonts w:cstheme="minorHAnsi"/>
          <w:lang w:val="en-US"/>
        </w:rPr>
      </w:pPr>
    </w:p>
    <w:tbl>
      <w:tblPr>
        <w:tblStyle w:val="TableGrid"/>
        <w:tblW w:w="0" w:type="auto"/>
        <w:tblLook w:val="04A0" w:firstRow="1" w:lastRow="0" w:firstColumn="1" w:lastColumn="0" w:noHBand="0" w:noVBand="1"/>
      </w:tblPr>
      <w:tblGrid>
        <w:gridCol w:w="4414"/>
        <w:gridCol w:w="4414"/>
      </w:tblGrid>
      <w:tr w:rsidR="008755F6" w:rsidRPr="00FE6145" w14:paraId="12685A03" w14:textId="77777777" w:rsidTr="00C674CB">
        <w:tc>
          <w:tcPr>
            <w:tcW w:w="4414" w:type="dxa"/>
          </w:tcPr>
          <w:p w14:paraId="1A80D20A" w14:textId="77777777" w:rsidR="008755F6" w:rsidRPr="00FE6145" w:rsidRDefault="008755F6" w:rsidP="00C674CB">
            <w:pPr>
              <w:jc w:val="both"/>
              <w:rPr>
                <w:rFonts w:cstheme="minorHAnsi"/>
                <w:lang w:val="en-US"/>
              </w:rPr>
            </w:pPr>
            <w:r w:rsidRPr="00FE6145">
              <w:rPr>
                <w:rFonts w:cstheme="minorHAnsi"/>
                <w:lang w:val="en-US"/>
              </w:rPr>
              <w:t xml:space="preserve">ARTICLE 5 Safety of life and priority of telecommunications </w:t>
            </w:r>
          </w:p>
          <w:p w14:paraId="5B06917D" w14:textId="77777777" w:rsidR="008755F6" w:rsidRPr="00FE6145" w:rsidRDefault="008755F6" w:rsidP="00C674CB">
            <w:pPr>
              <w:jc w:val="both"/>
              <w:rPr>
                <w:rFonts w:cstheme="minorHAnsi"/>
                <w:lang w:val="en-US"/>
              </w:rPr>
            </w:pPr>
          </w:p>
          <w:p w14:paraId="260849AB" w14:textId="77777777" w:rsidR="008755F6" w:rsidRPr="00FE6145" w:rsidRDefault="008755F6" w:rsidP="00C674CB">
            <w:pPr>
              <w:jc w:val="both"/>
              <w:rPr>
                <w:rFonts w:cstheme="minorHAnsi"/>
                <w:lang w:val="en-US"/>
              </w:rPr>
            </w:pPr>
            <w:r w:rsidRPr="00FE6145">
              <w:rPr>
                <w:rFonts w:cstheme="minorHAnsi"/>
                <w:lang w:val="en-US"/>
              </w:rPr>
              <w:t xml:space="preserve">5.1 Safety-of-life telecommunications, such as distress telecommunications, shall be entitled to transmission as of right and, where technically practicable, have absolute priority over all other telecommunications, in </w:t>
            </w:r>
            <w:r w:rsidRPr="00FE6145">
              <w:rPr>
                <w:rFonts w:cstheme="minorHAnsi"/>
                <w:lang w:val="en-US"/>
              </w:rPr>
              <w:lastRenderedPageBreak/>
              <w:t>accordance with the relevant articles of the Constitution and the Convention and taking due account of the relevant ITU-T Recommendations.</w:t>
            </w:r>
          </w:p>
          <w:p w14:paraId="26FEF61F" w14:textId="77777777" w:rsidR="008755F6" w:rsidRPr="00FE6145" w:rsidRDefault="008755F6" w:rsidP="00C674CB">
            <w:pPr>
              <w:jc w:val="both"/>
              <w:rPr>
                <w:rFonts w:cstheme="minorHAnsi"/>
                <w:lang w:val="en-US"/>
              </w:rPr>
            </w:pPr>
          </w:p>
          <w:p w14:paraId="1E34C44D" w14:textId="77777777" w:rsidR="008755F6" w:rsidRPr="00FE6145" w:rsidRDefault="008755F6" w:rsidP="00C674CB">
            <w:pPr>
              <w:jc w:val="both"/>
              <w:rPr>
                <w:rFonts w:cstheme="minorHAnsi"/>
                <w:lang w:val="en-US"/>
              </w:rPr>
            </w:pPr>
            <w:r w:rsidRPr="00FE6145">
              <w:rPr>
                <w:rFonts w:cstheme="minorHAnsi"/>
                <w:lang w:val="en-US"/>
              </w:rPr>
              <w:t xml:space="preserve">5.2 Government telecommunications, including telecommunications relative to the application of certain provisions of the United Nations Charter, shall, where technically practicable, enjoy priority over telecommunications other than those referred to in No. 45 (5.1) above, in accordance with the relevant provisions of the Constitution and the Convention and taking due account of the relevant ITU-T Recommendations. </w:t>
            </w:r>
          </w:p>
          <w:p w14:paraId="695B8AEC" w14:textId="77777777" w:rsidR="008755F6" w:rsidRPr="00FE6145" w:rsidRDefault="008755F6" w:rsidP="00C674CB">
            <w:pPr>
              <w:jc w:val="both"/>
              <w:rPr>
                <w:rFonts w:cstheme="minorHAnsi"/>
                <w:lang w:val="en-US"/>
              </w:rPr>
            </w:pPr>
          </w:p>
          <w:p w14:paraId="77ED6E7A" w14:textId="77777777" w:rsidR="008755F6" w:rsidRPr="00FE6145" w:rsidRDefault="008755F6" w:rsidP="00C674CB">
            <w:pPr>
              <w:jc w:val="both"/>
              <w:rPr>
                <w:rFonts w:cstheme="minorHAnsi"/>
                <w:lang w:val="en-US"/>
              </w:rPr>
            </w:pPr>
            <w:r w:rsidRPr="00FE6145">
              <w:rPr>
                <w:rFonts w:cstheme="minorHAnsi"/>
                <w:lang w:val="en-US"/>
              </w:rPr>
              <w:t xml:space="preserve">5.3 The provisions governing the priority enjoyed by any other telecommunication services are contained in the relevant ITU-T Recommendations. </w:t>
            </w:r>
          </w:p>
          <w:p w14:paraId="6AB429FD" w14:textId="77777777" w:rsidR="008755F6" w:rsidRPr="00FE6145" w:rsidRDefault="008755F6" w:rsidP="00C674CB">
            <w:pPr>
              <w:jc w:val="both"/>
              <w:rPr>
                <w:rFonts w:cstheme="minorHAnsi"/>
                <w:lang w:val="en-US"/>
              </w:rPr>
            </w:pPr>
          </w:p>
          <w:p w14:paraId="1CBBCFDD" w14:textId="77777777" w:rsidR="008755F6" w:rsidRPr="00FE6145" w:rsidRDefault="008755F6" w:rsidP="00C674CB">
            <w:pPr>
              <w:jc w:val="both"/>
              <w:rPr>
                <w:rFonts w:cstheme="minorHAnsi"/>
                <w:lang w:val="en-US"/>
              </w:rPr>
            </w:pPr>
            <w:r w:rsidRPr="00FE6145">
              <w:rPr>
                <w:rFonts w:cstheme="minorHAnsi"/>
                <w:lang w:val="en-US"/>
              </w:rPr>
              <w:t>5.4 Member States should encourage authorized operating agencies to inform all users, including roaming users, in good time and free of charge,</w:t>
            </w:r>
          </w:p>
        </w:tc>
        <w:tc>
          <w:tcPr>
            <w:tcW w:w="4414" w:type="dxa"/>
          </w:tcPr>
          <w:p w14:paraId="6C221BE9" w14:textId="77777777" w:rsidR="008755F6" w:rsidRPr="00FE6145" w:rsidRDefault="008755F6" w:rsidP="00C674CB">
            <w:pPr>
              <w:jc w:val="both"/>
              <w:rPr>
                <w:rFonts w:cstheme="minorHAnsi"/>
                <w:lang w:val="en-US"/>
              </w:rPr>
            </w:pPr>
            <w:r w:rsidRPr="00FE6145">
              <w:rPr>
                <w:rFonts w:cstheme="minorHAnsi"/>
                <w:lang w:val="en-US"/>
              </w:rPr>
              <w:lastRenderedPageBreak/>
              <w:t>This article is considered applicable to promote the provision and development of international telecommunications / ICT networks and services; it also has the flexibility to accommodate new trends in telecommunications / ICT.</w:t>
            </w:r>
          </w:p>
          <w:p w14:paraId="7395B68C" w14:textId="77777777" w:rsidR="008755F6" w:rsidRPr="00FE6145" w:rsidRDefault="008755F6" w:rsidP="00C674CB">
            <w:pPr>
              <w:jc w:val="both"/>
              <w:rPr>
                <w:rFonts w:cstheme="minorHAnsi"/>
                <w:lang w:val="en-US"/>
              </w:rPr>
            </w:pPr>
            <w:r w:rsidRPr="00FE6145">
              <w:rPr>
                <w:rFonts w:cstheme="minorHAnsi"/>
                <w:lang w:val="en-US"/>
              </w:rPr>
              <w:t xml:space="preserve">However, it must be </w:t>
            </w:r>
            <w:proofErr w:type="gramStart"/>
            <w:r w:rsidRPr="00FE6145">
              <w:rPr>
                <w:rFonts w:cstheme="minorHAnsi"/>
                <w:lang w:val="en-US"/>
              </w:rPr>
              <w:t>taken into account</w:t>
            </w:r>
            <w:proofErr w:type="gramEnd"/>
            <w:r w:rsidRPr="00FE6145">
              <w:rPr>
                <w:rFonts w:cstheme="minorHAnsi"/>
                <w:lang w:val="en-US"/>
              </w:rPr>
              <w:t xml:space="preserve"> that the Constitution, in its Article 40, establishes </w:t>
            </w:r>
            <w:r w:rsidRPr="00FE6145">
              <w:rPr>
                <w:rFonts w:cstheme="minorHAnsi"/>
                <w:lang w:val="en-US"/>
              </w:rPr>
              <w:lastRenderedPageBreak/>
              <w:t>the priority of telecommunications related to the safety of human life.</w:t>
            </w:r>
          </w:p>
          <w:p w14:paraId="51891145" w14:textId="77777777" w:rsidR="008755F6" w:rsidRPr="00FE6145" w:rsidRDefault="008755F6" w:rsidP="00C674CB">
            <w:pPr>
              <w:jc w:val="both"/>
              <w:rPr>
                <w:rFonts w:cstheme="minorHAnsi"/>
                <w:lang w:val="en-US"/>
              </w:rPr>
            </w:pPr>
            <w:r w:rsidRPr="00FE6145">
              <w:rPr>
                <w:rFonts w:cstheme="minorHAnsi"/>
                <w:lang w:val="en-US"/>
              </w:rPr>
              <w:t>On the other hand, the specifications regarding the order of priority are defined in the ITU-T Recommendations.</w:t>
            </w:r>
          </w:p>
        </w:tc>
      </w:tr>
      <w:tr w:rsidR="008755F6" w:rsidRPr="00FE6145" w14:paraId="7928664F" w14:textId="77777777" w:rsidTr="00C674CB">
        <w:tc>
          <w:tcPr>
            <w:tcW w:w="4414" w:type="dxa"/>
          </w:tcPr>
          <w:p w14:paraId="4851E5AE" w14:textId="77777777" w:rsidR="008755F6" w:rsidRPr="00FE6145" w:rsidRDefault="008755F6" w:rsidP="00C674CB">
            <w:pPr>
              <w:jc w:val="both"/>
              <w:rPr>
                <w:rFonts w:cstheme="minorHAnsi"/>
                <w:lang w:val="en-US"/>
              </w:rPr>
            </w:pPr>
          </w:p>
          <w:p w14:paraId="08E50DB8" w14:textId="77777777" w:rsidR="008755F6" w:rsidRPr="00FE6145" w:rsidRDefault="008755F6" w:rsidP="00C674CB">
            <w:pPr>
              <w:jc w:val="both"/>
              <w:rPr>
                <w:rFonts w:cstheme="minorHAnsi"/>
                <w:lang w:val="en-US"/>
              </w:rPr>
            </w:pPr>
            <w:r w:rsidRPr="00FE6145">
              <w:rPr>
                <w:rFonts w:cstheme="minorHAnsi"/>
                <w:lang w:val="en-US"/>
              </w:rPr>
              <w:t xml:space="preserve">ARTICLE 6 </w:t>
            </w:r>
          </w:p>
          <w:p w14:paraId="564C0696" w14:textId="77777777" w:rsidR="008755F6" w:rsidRPr="00FE6145" w:rsidRDefault="008755F6" w:rsidP="00C674CB">
            <w:pPr>
              <w:jc w:val="both"/>
              <w:rPr>
                <w:rFonts w:cstheme="minorHAnsi"/>
                <w:lang w:val="en-US"/>
              </w:rPr>
            </w:pPr>
            <w:r w:rsidRPr="00FE6145">
              <w:rPr>
                <w:rFonts w:cstheme="minorHAnsi"/>
                <w:lang w:val="en-US"/>
              </w:rPr>
              <w:t>Security and robustness of networks</w:t>
            </w:r>
          </w:p>
          <w:p w14:paraId="3DA591EB" w14:textId="77777777" w:rsidR="008755F6" w:rsidRPr="00FE6145" w:rsidRDefault="008755F6" w:rsidP="00C674CB">
            <w:pPr>
              <w:jc w:val="both"/>
              <w:rPr>
                <w:rFonts w:cstheme="minorHAnsi"/>
                <w:lang w:val="en-US"/>
              </w:rPr>
            </w:pPr>
          </w:p>
          <w:p w14:paraId="13DBADA7" w14:textId="77777777" w:rsidR="008755F6" w:rsidRPr="00FE6145" w:rsidRDefault="008755F6" w:rsidP="00C674CB">
            <w:pPr>
              <w:jc w:val="both"/>
              <w:rPr>
                <w:rFonts w:cstheme="minorHAnsi"/>
                <w:lang w:val="en-US"/>
              </w:rPr>
            </w:pPr>
            <w:r w:rsidRPr="00FE6145">
              <w:rPr>
                <w:rFonts w:cstheme="minorHAnsi"/>
                <w:lang w:val="en-US"/>
              </w:rPr>
              <w:t xml:space="preserve">6.1 Member States shall individually and collectively </w:t>
            </w:r>
            <w:proofErr w:type="spellStart"/>
            <w:r w:rsidRPr="00FE6145">
              <w:rPr>
                <w:rFonts w:cstheme="minorHAnsi"/>
                <w:lang w:val="en-US"/>
              </w:rPr>
              <w:t>endeavour</w:t>
            </w:r>
            <w:proofErr w:type="spellEnd"/>
            <w:r w:rsidRPr="00FE6145">
              <w:rPr>
                <w:rFonts w:cstheme="minorHAnsi"/>
                <w:lang w:val="en-US"/>
              </w:rPr>
              <w:t xml:space="preserve"> to ensure the security and robustness of international telecommunication networks in order to achieve effective use thereof and avoidance of technical harm thereto, as well as the harmonious development of international telecommunication services offered to the public.</w:t>
            </w:r>
          </w:p>
        </w:tc>
        <w:tc>
          <w:tcPr>
            <w:tcW w:w="4414" w:type="dxa"/>
          </w:tcPr>
          <w:p w14:paraId="6DA1ABDE" w14:textId="77777777" w:rsidR="008755F6" w:rsidRPr="00FE6145" w:rsidRDefault="008755F6" w:rsidP="00C674CB">
            <w:pPr>
              <w:jc w:val="both"/>
              <w:rPr>
                <w:rFonts w:cstheme="minorHAnsi"/>
                <w:lang w:val="en-US"/>
              </w:rPr>
            </w:pPr>
            <w:r w:rsidRPr="00FE6145">
              <w:rPr>
                <w:rFonts w:cstheme="minorHAnsi"/>
                <w:lang w:val="en-US"/>
              </w:rPr>
              <w:t>This article is considered applicable to promote the provision and development of international telecommunication / ICT networks and services since it only indicates the obligation of Member States to ensure the security and robustness of telecommunication networks.</w:t>
            </w:r>
          </w:p>
          <w:p w14:paraId="6E4B596F" w14:textId="77777777" w:rsidR="008755F6" w:rsidRPr="00FE6145" w:rsidRDefault="008755F6" w:rsidP="00C674CB">
            <w:pPr>
              <w:jc w:val="both"/>
              <w:rPr>
                <w:rFonts w:cstheme="minorHAnsi"/>
                <w:lang w:val="en-US"/>
              </w:rPr>
            </w:pPr>
          </w:p>
          <w:p w14:paraId="5BB2E5D8" w14:textId="6BE020D1" w:rsidR="008755F6" w:rsidRPr="00FE6145" w:rsidRDefault="008755F6" w:rsidP="00006AA1">
            <w:pPr>
              <w:jc w:val="both"/>
              <w:rPr>
                <w:rFonts w:cstheme="minorHAnsi"/>
                <w:lang w:val="en-US"/>
              </w:rPr>
            </w:pPr>
            <w:r w:rsidRPr="00FE6145">
              <w:rPr>
                <w:rFonts w:cstheme="minorHAnsi"/>
                <w:lang w:val="en-US"/>
              </w:rPr>
              <w:t xml:space="preserve">Although the Constitution of the ITU contains a provision </w:t>
            </w:r>
            <w:r w:rsidR="00006AA1" w:rsidRPr="00FE6145">
              <w:rPr>
                <w:rFonts w:cstheme="minorHAnsi"/>
                <w:lang w:val="en-US"/>
              </w:rPr>
              <w:t>related</w:t>
            </w:r>
            <w:r w:rsidRPr="00FE6145">
              <w:rPr>
                <w:rFonts w:cstheme="minorHAnsi"/>
                <w:lang w:val="en-US"/>
              </w:rPr>
              <w:t xml:space="preserve"> to the “Establishment, operation and protection of telecommunication channels and facilities”, this provision does not explicitly </w:t>
            </w:r>
            <w:r w:rsidR="00006AA1" w:rsidRPr="00FE6145">
              <w:rPr>
                <w:rFonts w:cstheme="minorHAnsi"/>
                <w:lang w:val="en-US"/>
              </w:rPr>
              <w:t>talk</w:t>
            </w:r>
            <w:r w:rsidRPr="00FE6145">
              <w:rPr>
                <w:rFonts w:cstheme="minorHAnsi"/>
                <w:lang w:val="en-US"/>
              </w:rPr>
              <w:t xml:space="preserve"> </w:t>
            </w:r>
            <w:r w:rsidR="00006AA1" w:rsidRPr="00FE6145">
              <w:rPr>
                <w:rFonts w:cstheme="minorHAnsi"/>
                <w:lang w:val="en-US"/>
              </w:rPr>
              <w:t>about</w:t>
            </w:r>
            <w:r w:rsidRPr="00FE6145">
              <w:rPr>
                <w:rFonts w:cstheme="minorHAnsi"/>
                <w:lang w:val="en-US"/>
              </w:rPr>
              <w:t xml:space="preserve"> the security and robustness of international telecommunication networks. In addition, there are multiple recommendations and resolutions on this issue that provide guidelines for addressing this issue.</w:t>
            </w:r>
          </w:p>
        </w:tc>
      </w:tr>
      <w:tr w:rsidR="008755F6" w:rsidRPr="00FE6145" w14:paraId="0E6C3F82" w14:textId="77777777" w:rsidTr="00C674CB">
        <w:tc>
          <w:tcPr>
            <w:tcW w:w="4414" w:type="dxa"/>
          </w:tcPr>
          <w:p w14:paraId="1DE9D28C" w14:textId="77777777" w:rsidR="008755F6" w:rsidRPr="00FE6145" w:rsidRDefault="008755F6" w:rsidP="00C674CB">
            <w:pPr>
              <w:jc w:val="both"/>
              <w:rPr>
                <w:rFonts w:cstheme="minorHAnsi"/>
                <w:lang w:val="en-US"/>
              </w:rPr>
            </w:pPr>
          </w:p>
          <w:p w14:paraId="2E3F036D" w14:textId="77777777" w:rsidR="008755F6" w:rsidRPr="00FE6145" w:rsidRDefault="008755F6" w:rsidP="00C674CB">
            <w:pPr>
              <w:jc w:val="both"/>
              <w:rPr>
                <w:rFonts w:cstheme="minorHAnsi"/>
                <w:lang w:val="en-US"/>
              </w:rPr>
            </w:pPr>
            <w:r w:rsidRPr="00FE6145">
              <w:rPr>
                <w:rFonts w:cstheme="minorHAnsi"/>
                <w:lang w:val="en-US"/>
              </w:rPr>
              <w:t xml:space="preserve">ARTICLE 7 </w:t>
            </w:r>
          </w:p>
          <w:p w14:paraId="427339C6" w14:textId="77777777" w:rsidR="008755F6" w:rsidRPr="00FE6145" w:rsidRDefault="008755F6" w:rsidP="00C674CB">
            <w:pPr>
              <w:jc w:val="both"/>
              <w:rPr>
                <w:rFonts w:cstheme="minorHAnsi"/>
                <w:lang w:val="en-US"/>
              </w:rPr>
            </w:pPr>
            <w:r w:rsidRPr="00FE6145">
              <w:rPr>
                <w:rFonts w:cstheme="minorHAnsi"/>
                <w:lang w:val="en-US"/>
              </w:rPr>
              <w:t xml:space="preserve">Unsolicited bulk electronic communications </w:t>
            </w:r>
          </w:p>
          <w:p w14:paraId="597C3E37" w14:textId="77777777" w:rsidR="008755F6" w:rsidRPr="00FE6145" w:rsidRDefault="008755F6" w:rsidP="00C674CB">
            <w:pPr>
              <w:jc w:val="both"/>
              <w:rPr>
                <w:rFonts w:cstheme="minorHAnsi"/>
                <w:lang w:val="en-US"/>
              </w:rPr>
            </w:pPr>
            <w:r w:rsidRPr="00FE6145">
              <w:rPr>
                <w:rFonts w:cstheme="minorHAnsi"/>
                <w:lang w:val="en-US"/>
              </w:rPr>
              <w:t xml:space="preserve">7.1 Member States should </w:t>
            </w:r>
            <w:proofErr w:type="spellStart"/>
            <w:r w:rsidRPr="00FE6145">
              <w:rPr>
                <w:rFonts w:cstheme="minorHAnsi"/>
                <w:lang w:val="en-US"/>
              </w:rPr>
              <w:t>endeavour</w:t>
            </w:r>
            <w:proofErr w:type="spellEnd"/>
            <w:r w:rsidRPr="00FE6145">
              <w:rPr>
                <w:rFonts w:cstheme="minorHAnsi"/>
                <w:lang w:val="en-US"/>
              </w:rPr>
              <w:t xml:space="preserve"> to take necessary measures to prevent the propagation of unsolicited bulk electronic communications and minimize its impact on international telecommunication services. </w:t>
            </w:r>
          </w:p>
          <w:p w14:paraId="0E6BA34B" w14:textId="77777777" w:rsidR="008755F6" w:rsidRPr="00FE6145" w:rsidRDefault="008755F6" w:rsidP="00C674CB">
            <w:pPr>
              <w:jc w:val="both"/>
              <w:rPr>
                <w:rFonts w:cstheme="minorHAnsi"/>
                <w:lang w:val="en-US"/>
              </w:rPr>
            </w:pPr>
          </w:p>
          <w:p w14:paraId="52642985" w14:textId="77777777" w:rsidR="008755F6" w:rsidRPr="00FE6145" w:rsidRDefault="008755F6" w:rsidP="00C674CB">
            <w:pPr>
              <w:jc w:val="both"/>
              <w:rPr>
                <w:rFonts w:cstheme="minorHAnsi"/>
                <w:lang w:val="en-US"/>
              </w:rPr>
            </w:pPr>
            <w:r w:rsidRPr="00FE6145">
              <w:rPr>
                <w:rFonts w:cstheme="minorHAnsi"/>
                <w:lang w:val="en-US"/>
              </w:rPr>
              <w:t>7.2 Member States are encouraged to cooperate in that sense.</w:t>
            </w:r>
          </w:p>
        </w:tc>
        <w:tc>
          <w:tcPr>
            <w:tcW w:w="4414" w:type="dxa"/>
          </w:tcPr>
          <w:p w14:paraId="6799B2C6" w14:textId="77777777" w:rsidR="008755F6" w:rsidRPr="00FE6145" w:rsidRDefault="008755F6" w:rsidP="00C674CB">
            <w:pPr>
              <w:jc w:val="both"/>
              <w:rPr>
                <w:rFonts w:cstheme="minorHAnsi"/>
                <w:lang w:val="en-US"/>
              </w:rPr>
            </w:pPr>
            <w:r w:rsidRPr="00FE6145">
              <w:rPr>
                <w:rFonts w:cstheme="minorHAnsi"/>
                <w:lang w:val="en-US"/>
              </w:rPr>
              <w:t>Although the Constitution and the Convention do not contain specific provisions on this subject, it should be taken into account that there are resolutions and recommendations of the ITU that consider it and which have greater flexibility to adapt and update according to technological changes.</w:t>
            </w:r>
          </w:p>
        </w:tc>
      </w:tr>
    </w:tbl>
    <w:p w14:paraId="69CD0F14" w14:textId="77777777" w:rsidR="008755F6" w:rsidRPr="00FE6145" w:rsidRDefault="008755F6" w:rsidP="008755F6">
      <w:pPr>
        <w:jc w:val="both"/>
        <w:rPr>
          <w:rFonts w:cstheme="minorHAnsi"/>
          <w:lang w:val="en-US"/>
        </w:rPr>
      </w:pPr>
    </w:p>
    <w:p w14:paraId="7AC85C96" w14:textId="77777777" w:rsidR="008755F6" w:rsidRPr="00FE6145" w:rsidRDefault="008755F6" w:rsidP="008755F6">
      <w:pPr>
        <w:jc w:val="both"/>
        <w:rPr>
          <w:rFonts w:cstheme="minorHAnsi"/>
          <w:b/>
          <w:lang w:val="en-US"/>
        </w:rPr>
      </w:pPr>
      <w:r w:rsidRPr="00FE6145">
        <w:rPr>
          <w:rFonts w:cstheme="minorHAnsi"/>
          <w:b/>
          <w:lang w:val="en-US"/>
        </w:rPr>
        <w:t>Conclusions:</w:t>
      </w:r>
    </w:p>
    <w:p w14:paraId="049AE32F" w14:textId="3C7C7A87" w:rsidR="000854C6" w:rsidRPr="00FE6145" w:rsidRDefault="008755F6" w:rsidP="00BF1DDD">
      <w:pPr>
        <w:jc w:val="both"/>
        <w:rPr>
          <w:rFonts w:cstheme="minorHAnsi"/>
          <w:sz w:val="24"/>
          <w:szCs w:val="24"/>
          <w:lang w:val="en-US"/>
        </w:rPr>
      </w:pPr>
      <w:r w:rsidRPr="00FE6145">
        <w:rPr>
          <w:rFonts w:cstheme="minorHAnsi"/>
          <w:lang w:val="en-US"/>
        </w:rPr>
        <w:t xml:space="preserve">It is considered that </w:t>
      </w:r>
      <w:r w:rsidR="00006AA1" w:rsidRPr="00FE6145">
        <w:rPr>
          <w:rFonts w:cstheme="minorHAnsi"/>
          <w:lang w:val="en-US"/>
        </w:rPr>
        <w:t>the obligations established in the RTI only seek the application of measures related to the objective of the articles. Therefore, it does not offer additional technical or legal elements to those provided for the ITU Constitution</w:t>
      </w:r>
      <w:r w:rsidRPr="00FE6145">
        <w:rPr>
          <w:rFonts w:cstheme="minorHAnsi"/>
          <w:lang w:val="en-US"/>
        </w:rPr>
        <w:t>, or in Recommendations and Resolutions that allow greater flexibility to adapt and update to the constant evolution of the telecommunications sector.</w:t>
      </w:r>
    </w:p>
    <w:p w14:paraId="67EB18E0" w14:textId="35F49F95" w:rsidR="00AB2815" w:rsidRPr="00FE6145" w:rsidRDefault="00AB2815" w:rsidP="00AB2815">
      <w:pPr>
        <w:spacing w:before="840"/>
        <w:jc w:val="center"/>
        <w:rPr>
          <w:rFonts w:cstheme="minorHAnsi"/>
          <w:sz w:val="24"/>
          <w:szCs w:val="24"/>
        </w:rPr>
      </w:pPr>
      <w:r w:rsidRPr="00FE6145">
        <w:rPr>
          <w:rFonts w:cstheme="minorHAnsi"/>
          <w:sz w:val="24"/>
          <w:szCs w:val="24"/>
        </w:rPr>
        <w:t>____________________</w:t>
      </w:r>
    </w:p>
    <w:sectPr w:rsidR="00AB2815" w:rsidRPr="00FE6145"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E05CE" w14:textId="77777777" w:rsidR="00991BDF" w:rsidRDefault="00991BDF">
      <w:r>
        <w:separator/>
      </w:r>
    </w:p>
  </w:endnote>
  <w:endnote w:type="continuationSeparator" w:id="0">
    <w:p w14:paraId="6CAE34BA" w14:textId="77777777" w:rsidR="00991BDF" w:rsidRDefault="0099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56A29" w14:textId="77777777" w:rsidR="00991BDF" w:rsidRDefault="00991BDF">
      <w:r>
        <w:t>____________________</w:t>
      </w:r>
    </w:p>
  </w:footnote>
  <w:footnote w:type="continuationSeparator" w:id="0">
    <w:p w14:paraId="622D5F23" w14:textId="77777777" w:rsidR="00991BDF" w:rsidRDefault="0099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970D" w14:textId="61388E16" w:rsidR="00542BAB" w:rsidRDefault="00542BAB" w:rsidP="003A4012">
    <w:pPr>
      <w:pStyle w:val="Header"/>
      <w:spacing w:after="120"/>
    </w:pPr>
    <w:r>
      <w:fldChar w:fldCharType="begin"/>
    </w:r>
    <w:r>
      <w:instrText xml:space="preserve"> PAGE   \* MERGEFORMAT </w:instrText>
    </w:r>
    <w:r>
      <w:fldChar w:fldCharType="separate"/>
    </w:r>
    <w:r w:rsidR="00BF1DDD">
      <w:rPr>
        <w:noProof/>
      </w:rPr>
      <w:t>2</w:t>
    </w:r>
    <w:r>
      <w:rPr>
        <w:noProof/>
      </w:rPr>
      <w:fldChar w:fldCharType="end"/>
    </w:r>
    <w:r>
      <w:rPr>
        <w:noProof/>
      </w:rPr>
      <w:br/>
    </w:r>
    <w:r w:rsidR="000854C6">
      <w:rPr>
        <w:noProof/>
      </w:rPr>
      <w:t>EG-ITRs</w:t>
    </w:r>
    <w:r w:rsidR="003A4012">
      <w:rPr>
        <w:noProof/>
      </w:rPr>
      <w:t>-</w:t>
    </w:r>
    <w:r w:rsidR="00FE6145">
      <w:rPr>
        <w:noProof/>
      </w:rPr>
      <w:t>3</w:t>
    </w:r>
    <w:r w:rsidR="000854C6">
      <w:rPr>
        <w:noProof/>
      </w:rPr>
      <w:t>\</w:t>
    </w:r>
    <w:r w:rsidR="00FE6145">
      <w:rPr>
        <w:noProof/>
      </w:rPr>
      <w:t>4</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19"/>
  </w:num>
  <w:num w:numId="6">
    <w:abstractNumId w:val="12"/>
  </w:num>
  <w:num w:numId="7">
    <w:abstractNumId w:val="18"/>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06AA1"/>
    <w:rsid w:val="00030247"/>
    <w:rsid w:val="0003420F"/>
    <w:rsid w:val="0005540C"/>
    <w:rsid w:val="00063016"/>
    <w:rsid w:val="00066DF5"/>
    <w:rsid w:val="00076AF6"/>
    <w:rsid w:val="00083635"/>
    <w:rsid w:val="000854C6"/>
    <w:rsid w:val="00085CF2"/>
    <w:rsid w:val="000915E5"/>
    <w:rsid w:val="000B1705"/>
    <w:rsid w:val="000C0529"/>
    <w:rsid w:val="000C2903"/>
    <w:rsid w:val="000C2F74"/>
    <w:rsid w:val="000C37C9"/>
    <w:rsid w:val="000D75B2"/>
    <w:rsid w:val="001121F5"/>
    <w:rsid w:val="00140CE1"/>
    <w:rsid w:val="00143690"/>
    <w:rsid w:val="00144165"/>
    <w:rsid w:val="0016020C"/>
    <w:rsid w:val="00171F42"/>
    <w:rsid w:val="0017539C"/>
    <w:rsid w:val="00175AC2"/>
    <w:rsid w:val="0017609F"/>
    <w:rsid w:val="00195328"/>
    <w:rsid w:val="001C628E"/>
    <w:rsid w:val="001E0F7B"/>
    <w:rsid w:val="001F4FF7"/>
    <w:rsid w:val="002119FD"/>
    <w:rsid w:val="002130E0"/>
    <w:rsid w:val="00221C8F"/>
    <w:rsid w:val="002238C4"/>
    <w:rsid w:val="0025471D"/>
    <w:rsid w:val="00256D0F"/>
    <w:rsid w:val="00257BDE"/>
    <w:rsid w:val="00265875"/>
    <w:rsid w:val="002667C5"/>
    <w:rsid w:val="0027303B"/>
    <w:rsid w:val="0028109B"/>
    <w:rsid w:val="00293DE5"/>
    <w:rsid w:val="00295397"/>
    <w:rsid w:val="002B1870"/>
    <w:rsid w:val="002B1F58"/>
    <w:rsid w:val="002C1C7A"/>
    <w:rsid w:val="002C5285"/>
    <w:rsid w:val="002D1E7F"/>
    <w:rsid w:val="002D494F"/>
    <w:rsid w:val="0030160F"/>
    <w:rsid w:val="0032195E"/>
    <w:rsid w:val="00322D0D"/>
    <w:rsid w:val="00326D48"/>
    <w:rsid w:val="0033276E"/>
    <w:rsid w:val="00337854"/>
    <w:rsid w:val="00337CE2"/>
    <w:rsid w:val="003439CB"/>
    <w:rsid w:val="003662CE"/>
    <w:rsid w:val="003735DF"/>
    <w:rsid w:val="0037461E"/>
    <w:rsid w:val="00375F3C"/>
    <w:rsid w:val="0038108D"/>
    <w:rsid w:val="00384DD6"/>
    <w:rsid w:val="0039110F"/>
    <w:rsid w:val="003914A7"/>
    <w:rsid w:val="003942D4"/>
    <w:rsid w:val="003958A8"/>
    <w:rsid w:val="003A4012"/>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6DCC"/>
    <w:rsid w:val="006B7318"/>
    <w:rsid w:val="006D3B24"/>
    <w:rsid w:val="006D3B29"/>
    <w:rsid w:val="00733B71"/>
    <w:rsid w:val="00741793"/>
    <w:rsid w:val="0075051B"/>
    <w:rsid w:val="00763E73"/>
    <w:rsid w:val="00782C0B"/>
    <w:rsid w:val="00790142"/>
    <w:rsid w:val="007901DA"/>
    <w:rsid w:val="00794D34"/>
    <w:rsid w:val="007A34B1"/>
    <w:rsid w:val="007C0160"/>
    <w:rsid w:val="007C116C"/>
    <w:rsid w:val="007C2E8B"/>
    <w:rsid w:val="007D134F"/>
    <w:rsid w:val="007D7FD5"/>
    <w:rsid w:val="00813E5E"/>
    <w:rsid w:val="0081547A"/>
    <w:rsid w:val="00820BAF"/>
    <w:rsid w:val="0083581B"/>
    <w:rsid w:val="00855BA7"/>
    <w:rsid w:val="00864AFF"/>
    <w:rsid w:val="008662BD"/>
    <w:rsid w:val="008755F6"/>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44BC2"/>
    <w:rsid w:val="00961B0B"/>
    <w:rsid w:val="00987D95"/>
    <w:rsid w:val="00991BDF"/>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B2815"/>
    <w:rsid w:val="00AB393C"/>
    <w:rsid w:val="00AC393D"/>
    <w:rsid w:val="00AF6E49"/>
    <w:rsid w:val="00B04A67"/>
    <w:rsid w:val="00B0583C"/>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1DDD"/>
    <w:rsid w:val="00BF27F0"/>
    <w:rsid w:val="00C01189"/>
    <w:rsid w:val="00C03DBE"/>
    <w:rsid w:val="00C10E06"/>
    <w:rsid w:val="00C11946"/>
    <w:rsid w:val="00C374DE"/>
    <w:rsid w:val="00C37D85"/>
    <w:rsid w:val="00C413A2"/>
    <w:rsid w:val="00C47AD4"/>
    <w:rsid w:val="00C52D81"/>
    <w:rsid w:val="00C55198"/>
    <w:rsid w:val="00C664FA"/>
    <w:rsid w:val="00C8040F"/>
    <w:rsid w:val="00CA6393"/>
    <w:rsid w:val="00CB18FF"/>
    <w:rsid w:val="00CC5EF0"/>
    <w:rsid w:val="00CD0C08"/>
    <w:rsid w:val="00CE03FB"/>
    <w:rsid w:val="00CE433C"/>
    <w:rsid w:val="00CF33F3"/>
    <w:rsid w:val="00D00FA2"/>
    <w:rsid w:val="00D0338D"/>
    <w:rsid w:val="00D06183"/>
    <w:rsid w:val="00D22C42"/>
    <w:rsid w:val="00D3608E"/>
    <w:rsid w:val="00D65041"/>
    <w:rsid w:val="00D9148E"/>
    <w:rsid w:val="00D945E6"/>
    <w:rsid w:val="00DA51F3"/>
    <w:rsid w:val="00DE2B20"/>
    <w:rsid w:val="00DF0F5D"/>
    <w:rsid w:val="00E00F7D"/>
    <w:rsid w:val="00E10E80"/>
    <w:rsid w:val="00E124F0"/>
    <w:rsid w:val="00E36215"/>
    <w:rsid w:val="00E378C5"/>
    <w:rsid w:val="00E60F04"/>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70098"/>
    <w:rsid w:val="00F856EC"/>
    <w:rsid w:val="00F94A63"/>
    <w:rsid w:val="00F96CA1"/>
    <w:rsid w:val="00FB7596"/>
    <w:rsid w:val="00FC08D9"/>
    <w:rsid w:val="00FD60B3"/>
    <w:rsid w:val="00FE1048"/>
    <w:rsid w:val="00FE4077"/>
    <w:rsid w:val="00FE6145"/>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215"/>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E362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6215"/>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9736B1-32A8-4690-B498-0113CA82B375}">
  <ds:schemaRefs>
    <ds:schemaRef ds:uri="http://schemas.openxmlformats.org/officeDocument/2006/bibliography"/>
  </ds:schemaRefs>
</ds:datastoreItem>
</file>

<file path=customXml/itemProps2.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3.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FD361-57E9-4D14-9E91-2CAEBE4DDBFE}">
  <ds:schemaRefs>
    <ds:schemaRef ds:uri="http://schemas.microsoft.com/office/2006/metadata/properties"/>
    <ds:schemaRef ds:uri="http://purl.org/dc/terms/"/>
    <ds:schemaRef ds:uri="1aaea1ea-72e4-4374-b05e-72e2f16fb7ae"/>
    <ds:schemaRef ds:uri="http://schemas.microsoft.com/sharepoint/v3"/>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768</Words>
  <Characters>4732</Characters>
  <Application>Microsoft Office Word</Application>
  <DocSecurity>4</DocSecurity>
  <Lines>39</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 1379 - ITRs</vt:lpstr>
      <vt:lpstr>R 1379 - ITRs</vt:lpstr>
    </vt:vector>
  </TitlesOfParts>
  <Manager>General Secretariat - Pool</Manager>
  <Company>International Telecommunication Union (ITU)</Company>
  <LinksUpToDate>false</LinksUpToDate>
  <CharactersWithSpaces>5490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Mexico´s points of view for the 3rd meeting of the Expert Group on the International Telecommunication Regulations (EG - ITRS)</dc:title>
  <dc:subject>Council 2016</dc:subject>
  <dc:creator>Brouard, Ricarda</dc:creator>
  <cp:keywords>C2020, C20</cp:keywords>
  <dc:description/>
  <cp:lastModifiedBy>Brouard, Ricarda</cp:lastModifiedBy>
  <cp:revision>2</cp:revision>
  <cp:lastPrinted>2000-07-18T13:30:00Z</cp:lastPrinted>
  <dcterms:created xsi:type="dcterms:W3CDTF">2020-09-03T13:25:00Z</dcterms:created>
  <dcterms:modified xsi:type="dcterms:W3CDTF">2020-09-03T13:25:00Z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