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79FB9BCF" w14:textId="77777777">
        <w:trPr>
          <w:cantSplit/>
        </w:trPr>
        <w:tc>
          <w:tcPr>
            <w:tcW w:w="6912" w:type="dxa"/>
          </w:tcPr>
          <w:p w14:paraId="7C5544ED" w14:textId="77777777" w:rsidR="00093EEB" w:rsidRPr="000B0D00" w:rsidRDefault="00D92832" w:rsidP="00D92832">
            <w:pPr>
              <w:spacing w:before="240"/>
              <w:rPr>
                <w:szCs w:val="24"/>
              </w:rPr>
            </w:pPr>
            <w:bookmarkStart w:id="0" w:name="dbluepink" w:colFirst="0" w:colLast="0"/>
            <w:r w:rsidRPr="00AA22E2">
              <w:rPr>
                <w:b/>
                <w:bCs/>
                <w:position w:val="6"/>
                <w:sz w:val="30"/>
                <w:szCs w:val="30"/>
              </w:rPr>
              <w:t xml:space="preserve">Grupo de Expertos sobre el Reglamento de las </w:t>
            </w:r>
            <w:r w:rsidRPr="00AA22E2">
              <w:rPr>
                <w:b/>
                <w:bCs/>
                <w:position w:val="6"/>
                <w:sz w:val="30"/>
                <w:szCs w:val="30"/>
              </w:rPr>
              <w:br/>
              <w:t>Telecomunicaciones Internacionales (GE-RTI)</w:t>
            </w:r>
          </w:p>
        </w:tc>
        <w:tc>
          <w:tcPr>
            <w:tcW w:w="3261" w:type="dxa"/>
          </w:tcPr>
          <w:p w14:paraId="6E422112" w14:textId="77777777" w:rsidR="00093EEB" w:rsidRPr="000B0D00" w:rsidRDefault="00012E27" w:rsidP="00C85B97">
            <w:pPr>
              <w:spacing w:before="0"/>
              <w:rPr>
                <w:szCs w:val="24"/>
              </w:rPr>
            </w:pPr>
            <w:bookmarkStart w:id="1" w:name="ditulogo"/>
            <w:bookmarkEnd w:id="1"/>
            <w:r>
              <w:rPr>
                <w:noProof/>
                <w:lang w:val="en-US"/>
              </w:rPr>
              <w:drawing>
                <wp:inline distT="0" distB="0" distL="0" distR="0" wp14:anchorId="56A139DE" wp14:editId="0235E95F">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093EEB" w:rsidRPr="00F927EF" w14:paraId="2CCBA816" w14:textId="77777777">
        <w:trPr>
          <w:cantSplit/>
          <w:trHeight w:val="20"/>
        </w:trPr>
        <w:tc>
          <w:tcPr>
            <w:tcW w:w="10173" w:type="dxa"/>
            <w:gridSpan w:val="2"/>
            <w:tcBorders>
              <w:bottom w:val="single" w:sz="12" w:space="0" w:color="auto"/>
            </w:tcBorders>
          </w:tcPr>
          <w:p w14:paraId="4495402C" w14:textId="617BFDA3" w:rsidR="00093EEB" w:rsidRPr="00F927EF" w:rsidRDefault="00F927EF" w:rsidP="00012E27">
            <w:pPr>
              <w:spacing w:before="0"/>
              <w:rPr>
                <w:b/>
                <w:bCs/>
                <w:szCs w:val="24"/>
                <w:highlight w:val="yellow"/>
                <w:lang w:val="es-ES"/>
              </w:rPr>
            </w:pPr>
            <w:r w:rsidRPr="00AA040B">
              <w:rPr>
                <w:rFonts w:eastAsia="Calibri" w:cs="Calibri"/>
                <w:b/>
                <w:bCs/>
                <w:color w:val="000000"/>
                <w:szCs w:val="24"/>
                <w:lang w:val="es-ES"/>
              </w:rPr>
              <w:t xml:space="preserve">Tercera reunión </w:t>
            </w:r>
            <w:r w:rsidRPr="00AA040B">
              <w:rPr>
                <w:rFonts w:eastAsia="Calibri" w:cs="Calibri"/>
                <w:b/>
                <w:bCs/>
                <w:color w:val="000000"/>
                <w:szCs w:val="24"/>
              </w:rPr>
              <w:t>–</w:t>
            </w:r>
            <w:r w:rsidRPr="00F927EF">
              <w:rPr>
                <w:rFonts w:eastAsia="Calibri" w:cs="Calibri"/>
                <w:b/>
                <w:bCs/>
                <w:color w:val="000000"/>
                <w:szCs w:val="24"/>
              </w:rPr>
              <w:t xml:space="preserve"> Reunión virtual, 17-18 de septiembre de 2020</w:t>
            </w:r>
          </w:p>
        </w:tc>
      </w:tr>
      <w:tr w:rsidR="00093EEB" w:rsidRPr="00F927EF" w14:paraId="213CD25D" w14:textId="77777777">
        <w:trPr>
          <w:cantSplit/>
          <w:trHeight w:val="20"/>
        </w:trPr>
        <w:tc>
          <w:tcPr>
            <w:tcW w:w="6912" w:type="dxa"/>
            <w:tcBorders>
              <w:top w:val="single" w:sz="12" w:space="0" w:color="auto"/>
            </w:tcBorders>
          </w:tcPr>
          <w:p w14:paraId="1BFC0E24" w14:textId="77777777" w:rsidR="00093EEB" w:rsidRPr="00F927EF" w:rsidRDefault="00093EEB">
            <w:pPr>
              <w:tabs>
                <w:tab w:val="clear" w:pos="2268"/>
                <w:tab w:val="left" w:pos="1560"/>
                <w:tab w:val="left" w:pos="2269"/>
                <w:tab w:val="left" w:pos="3544"/>
                <w:tab w:val="left" w:pos="3969"/>
              </w:tabs>
              <w:spacing w:before="0" w:line="240" w:lineRule="atLeast"/>
              <w:rPr>
                <w:b/>
                <w:smallCaps/>
                <w:szCs w:val="24"/>
                <w:lang w:val="es-ES"/>
              </w:rPr>
            </w:pPr>
          </w:p>
        </w:tc>
        <w:tc>
          <w:tcPr>
            <w:tcW w:w="3261" w:type="dxa"/>
            <w:tcBorders>
              <w:top w:val="single" w:sz="12" w:space="0" w:color="auto"/>
            </w:tcBorders>
          </w:tcPr>
          <w:p w14:paraId="2FB72CC2" w14:textId="77777777" w:rsidR="00093EEB" w:rsidRPr="00F927EF" w:rsidRDefault="00093EEB">
            <w:pPr>
              <w:spacing w:before="0"/>
              <w:rPr>
                <w:b/>
                <w:bCs/>
                <w:szCs w:val="24"/>
                <w:lang w:val="es-ES"/>
              </w:rPr>
            </w:pPr>
          </w:p>
        </w:tc>
      </w:tr>
      <w:tr w:rsidR="00093EEB" w:rsidRPr="00AA040B" w14:paraId="124841C6" w14:textId="77777777">
        <w:trPr>
          <w:cantSplit/>
          <w:trHeight w:val="20"/>
        </w:trPr>
        <w:tc>
          <w:tcPr>
            <w:tcW w:w="6912" w:type="dxa"/>
            <w:shd w:val="clear" w:color="auto" w:fill="auto"/>
          </w:tcPr>
          <w:p w14:paraId="355F02FE" w14:textId="77777777" w:rsidR="00093EEB" w:rsidRPr="00F927EF" w:rsidRDefault="00093EEB">
            <w:pPr>
              <w:tabs>
                <w:tab w:val="clear" w:pos="2268"/>
                <w:tab w:val="left" w:pos="1560"/>
                <w:tab w:val="left" w:pos="2269"/>
                <w:tab w:val="left" w:pos="3544"/>
                <w:tab w:val="left" w:pos="3969"/>
              </w:tabs>
              <w:spacing w:before="0" w:line="240" w:lineRule="atLeast"/>
              <w:rPr>
                <w:rFonts w:cs="Times"/>
                <w:b/>
                <w:szCs w:val="24"/>
                <w:lang w:val="es-ES"/>
              </w:rPr>
            </w:pPr>
            <w:bookmarkStart w:id="2" w:name="dnum" w:colFirst="1" w:colLast="1"/>
            <w:bookmarkStart w:id="3" w:name="dmeeting" w:colFirst="0" w:colLast="0"/>
          </w:p>
        </w:tc>
        <w:tc>
          <w:tcPr>
            <w:tcW w:w="3261" w:type="dxa"/>
          </w:tcPr>
          <w:p w14:paraId="19028F83" w14:textId="71B4DA74" w:rsidR="00093EEB" w:rsidRPr="00D92832" w:rsidRDefault="00093EEB" w:rsidP="001F60AD">
            <w:pPr>
              <w:spacing w:before="0"/>
              <w:rPr>
                <w:b/>
                <w:bCs/>
                <w:szCs w:val="24"/>
                <w:lang w:val="en-US"/>
              </w:rPr>
            </w:pPr>
            <w:r w:rsidRPr="00AA040B">
              <w:rPr>
                <w:b/>
                <w:bCs/>
                <w:szCs w:val="24"/>
                <w:lang w:val="en-GB"/>
              </w:rPr>
              <w:t xml:space="preserve">Documento </w:t>
            </w:r>
            <w:r w:rsidR="00D92832" w:rsidRPr="00AA040B">
              <w:rPr>
                <w:rFonts w:asciiTheme="minorHAnsi" w:hAnsiTheme="minorHAnsi" w:cs="Times New Roman Bold"/>
                <w:b/>
                <w:spacing w:val="-4"/>
                <w:lang w:val="en-GB"/>
              </w:rPr>
              <w:t>EG-ITRs</w:t>
            </w:r>
            <w:r w:rsidR="00D92832" w:rsidRPr="00D92832">
              <w:rPr>
                <w:rFonts w:asciiTheme="minorHAnsi" w:hAnsiTheme="minorHAnsi" w:cs="Times New Roman Bold"/>
                <w:b/>
                <w:spacing w:val="-4"/>
                <w:lang w:val="en-US"/>
              </w:rPr>
              <w:t>-</w:t>
            </w:r>
            <w:r w:rsidR="00F927EF">
              <w:rPr>
                <w:rFonts w:asciiTheme="minorHAnsi" w:hAnsiTheme="minorHAnsi" w:cs="Times New Roman Bold"/>
                <w:b/>
                <w:spacing w:val="-4"/>
                <w:lang w:val="en-US"/>
              </w:rPr>
              <w:t>3</w:t>
            </w:r>
            <w:r w:rsidR="00D92832" w:rsidRPr="00D92832">
              <w:rPr>
                <w:rFonts w:asciiTheme="minorHAnsi" w:hAnsiTheme="minorHAnsi" w:cs="Times New Roman Bold"/>
                <w:b/>
                <w:spacing w:val="-4"/>
                <w:lang w:val="en-US"/>
              </w:rPr>
              <w:t>/</w:t>
            </w:r>
            <w:r w:rsidR="007C6FAD">
              <w:rPr>
                <w:rFonts w:asciiTheme="minorHAnsi" w:hAnsiTheme="minorHAnsi" w:cs="Times New Roman Bold"/>
                <w:b/>
                <w:spacing w:val="-4"/>
                <w:lang w:val="en-US"/>
              </w:rPr>
              <w:t>3</w:t>
            </w:r>
            <w:r w:rsidR="00D92832" w:rsidRPr="00D92832">
              <w:rPr>
                <w:rFonts w:asciiTheme="minorHAnsi" w:hAnsiTheme="minorHAnsi" w:cs="Times New Roman Bold"/>
                <w:b/>
                <w:spacing w:val="-4"/>
                <w:lang w:val="en-US"/>
              </w:rPr>
              <w:t>-S</w:t>
            </w:r>
          </w:p>
        </w:tc>
      </w:tr>
      <w:tr w:rsidR="00093EEB" w:rsidRPr="000B0D00" w14:paraId="46DC9AFA" w14:textId="77777777">
        <w:trPr>
          <w:cantSplit/>
          <w:trHeight w:val="20"/>
        </w:trPr>
        <w:tc>
          <w:tcPr>
            <w:tcW w:w="6912" w:type="dxa"/>
            <w:shd w:val="clear" w:color="auto" w:fill="auto"/>
          </w:tcPr>
          <w:p w14:paraId="791010B5" w14:textId="77777777" w:rsidR="00093EEB" w:rsidRPr="00D92832" w:rsidRDefault="00093EEB">
            <w:pPr>
              <w:shd w:val="solid" w:color="FFFFFF" w:fill="FFFFFF"/>
              <w:spacing w:before="0"/>
              <w:rPr>
                <w:smallCaps/>
                <w:szCs w:val="24"/>
                <w:lang w:val="en-US"/>
              </w:rPr>
            </w:pPr>
            <w:bookmarkStart w:id="4" w:name="ddate" w:colFirst="1" w:colLast="1"/>
            <w:bookmarkEnd w:id="2"/>
            <w:bookmarkEnd w:id="3"/>
          </w:p>
        </w:tc>
        <w:tc>
          <w:tcPr>
            <w:tcW w:w="3261" w:type="dxa"/>
          </w:tcPr>
          <w:p w14:paraId="785DF067" w14:textId="0C8082E7" w:rsidR="00093EEB" w:rsidRPr="00093EEB" w:rsidRDefault="00F927EF" w:rsidP="001F60AD">
            <w:pPr>
              <w:spacing w:before="0"/>
              <w:rPr>
                <w:b/>
                <w:bCs/>
                <w:szCs w:val="24"/>
              </w:rPr>
            </w:pPr>
            <w:r>
              <w:rPr>
                <w:b/>
                <w:bCs/>
                <w:szCs w:val="24"/>
              </w:rPr>
              <w:t xml:space="preserve">3 </w:t>
            </w:r>
            <w:r w:rsidR="00D92832" w:rsidRPr="00F927EF">
              <w:rPr>
                <w:b/>
                <w:bCs/>
                <w:szCs w:val="24"/>
              </w:rPr>
              <w:t xml:space="preserve">de </w:t>
            </w:r>
            <w:r w:rsidRPr="00F927EF">
              <w:rPr>
                <w:rFonts w:eastAsia="Calibri" w:cs="Calibri"/>
                <w:b/>
                <w:color w:val="000000"/>
                <w:szCs w:val="24"/>
              </w:rPr>
              <w:t>septiembre</w:t>
            </w:r>
            <w:r>
              <w:rPr>
                <w:rFonts w:eastAsia="Calibri" w:cs="Calibri"/>
                <w:b/>
                <w:color w:val="000000"/>
                <w:szCs w:val="24"/>
                <w:lang w:val="en-US"/>
              </w:rPr>
              <w:t xml:space="preserve"> </w:t>
            </w:r>
            <w:r w:rsidR="00093EEB">
              <w:rPr>
                <w:b/>
                <w:bCs/>
                <w:szCs w:val="24"/>
              </w:rPr>
              <w:t>de 20</w:t>
            </w:r>
            <w:r w:rsidR="00C85B97">
              <w:rPr>
                <w:b/>
                <w:bCs/>
                <w:szCs w:val="24"/>
              </w:rPr>
              <w:t>20</w:t>
            </w:r>
          </w:p>
        </w:tc>
      </w:tr>
      <w:tr w:rsidR="00093EEB" w:rsidRPr="000B0D00" w14:paraId="3B088F06" w14:textId="77777777">
        <w:trPr>
          <w:cantSplit/>
          <w:trHeight w:val="20"/>
        </w:trPr>
        <w:tc>
          <w:tcPr>
            <w:tcW w:w="6912" w:type="dxa"/>
            <w:shd w:val="clear" w:color="auto" w:fill="auto"/>
          </w:tcPr>
          <w:p w14:paraId="18323088" w14:textId="77777777" w:rsidR="00093EEB" w:rsidRPr="000B0D00" w:rsidRDefault="00093EEB">
            <w:pPr>
              <w:shd w:val="solid" w:color="FFFFFF" w:fill="FFFFFF"/>
              <w:spacing w:before="0"/>
              <w:rPr>
                <w:smallCaps/>
                <w:szCs w:val="24"/>
              </w:rPr>
            </w:pPr>
            <w:bookmarkStart w:id="5" w:name="dorlang" w:colFirst="1" w:colLast="1"/>
            <w:bookmarkEnd w:id="4"/>
          </w:p>
        </w:tc>
        <w:tc>
          <w:tcPr>
            <w:tcW w:w="3261" w:type="dxa"/>
          </w:tcPr>
          <w:p w14:paraId="587C7E5D" w14:textId="77777777" w:rsidR="00093EEB" w:rsidRPr="00093EEB" w:rsidRDefault="00093EEB" w:rsidP="00093EEB">
            <w:pPr>
              <w:spacing w:before="0"/>
              <w:rPr>
                <w:b/>
                <w:bCs/>
                <w:szCs w:val="24"/>
              </w:rPr>
            </w:pPr>
            <w:r>
              <w:rPr>
                <w:b/>
                <w:bCs/>
                <w:szCs w:val="24"/>
              </w:rPr>
              <w:t>Original: inglés</w:t>
            </w:r>
          </w:p>
        </w:tc>
      </w:tr>
      <w:tr w:rsidR="00093EEB" w:rsidRPr="00AA040B" w14:paraId="57C3225F" w14:textId="77777777">
        <w:trPr>
          <w:cantSplit/>
        </w:trPr>
        <w:tc>
          <w:tcPr>
            <w:tcW w:w="10173" w:type="dxa"/>
            <w:gridSpan w:val="2"/>
          </w:tcPr>
          <w:p w14:paraId="5263BFD5" w14:textId="7CDE1AB4" w:rsidR="00093EEB" w:rsidRPr="003C0F9E" w:rsidRDefault="00F927EF">
            <w:pPr>
              <w:pStyle w:val="Source"/>
              <w:rPr>
                <w:lang w:val="es-ES"/>
              </w:rPr>
            </w:pPr>
            <w:bookmarkStart w:id="6" w:name="lt_pId012"/>
            <w:bookmarkStart w:id="7" w:name="dsource" w:colFirst="0" w:colLast="0"/>
            <w:bookmarkEnd w:id="0"/>
            <w:bookmarkEnd w:id="5"/>
            <w:r w:rsidRPr="003C0F9E">
              <w:rPr>
                <w:lang w:val="es-ES"/>
              </w:rPr>
              <w:t>Australia, Canad</w:t>
            </w:r>
            <w:r w:rsidR="003C0F9E" w:rsidRPr="003C0F9E">
              <w:rPr>
                <w:lang w:val="es-ES"/>
              </w:rPr>
              <w:t>á</w:t>
            </w:r>
            <w:r w:rsidRPr="003C0F9E">
              <w:rPr>
                <w:lang w:val="es-ES"/>
              </w:rPr>
              <w:t xml:space="preserve">, </w:t>
            </w:r>
            <w:r w:rsidR="003C0F9E" w:rsidRPr="003C0F9E">
              <w:rPr>
                <w:lang w:val="es-ES"/>
              </w:rPr>
              <w:t>Estados Unidos de Amér</w:t>
            </w:r>
            <w:r w:rsidR="003C0F9E">
              <w:rPr>
                <w:lang w:val="es-ES"/>
              </w:rPr>
              <w:t>ica</w:t>
            </w:r>
            <w:bookmarkEnd w:id="6"/>
          </w:p>
        </w:tc>
      </w:tr>
      <w:tr w:rsidR="00093EEB" w:rsidRPr="003C0F9E" w14:paraId="5314355F" w14:textId="77777777">
        <w:trPr>
          <w:cantSplit/>
        </w:trPr>
        <w:tc>
          <w:tcPr>
            <w:tcW w:w="10173" w:type="dxa"/>
            <w:gridSpan w:val="2"/>
          </w:tcPr>
          <w:p w14:paraId="740A881A" w14:textId="49550728" w:rsidR="00093EEB" w:rsidRPr="003C0F9E" w:rsidRDefault="003C0F9E" w:rsidP="00F927EF">
            <w:pPr>
              <w:pStyle w:val="Title1"/>
            </w:pPr>
            <w:bookmarkStart w:id="8" w:name="lt_pId013"/>
            <w:bookmarkStart w:id="9" w:name="dtitle1" w:colFirst="0" w:colLast="0"/>
            <w:bookmarkEnd w:id="7"/>
            <w:r w:rsidRPr="003C0F9E">
              <w:rPr>
                <w:rFonts w:asciiTheme="minorHAnsi" w:hAnsiTheme="minorHAnsi"/>
                <w:bCs/>
                <w:szCs w:val="24"/>
              </w:rPr>
              <w:t xml:space="preserve">CONSIDERACIONES SOBRE LOS ARTÍCULOS CINCO A OCHO Y EL APÉNDICE 1 DEL </w:t>
            </w:r>
            <w:r>
              <w:rPr>
                <w:rFonts w:asciiTheme="minorHAnsi" w:hAnsiTheme="minorHAnsi"/>
                <w:bCs/>
                <w:szCs w:val="24"/>
              </w:rPr>
              <w:t>REGLAMENTO DE LAS TELECOMUNICACIONES INTERNACIONALES DE 2012</w:t>
            </w:r>
            <w:bookmarkEnd w:id="8"/>
          </w:p>
        </w:tc>
      </w:tr>
    </w:tbl>
    <w:bookmarkEnd w:id="9"/>
    <w:p w14:paraId="2149204F" w14:textId="650B29B1" w:rsidR="00F927EF" w:rsidRPr="006C6885" w:rsidRDefault="00F927EF" w:rsidP="00F927EF">
      <w:pPr>
        <w:pStyle w:val="Headingb"/>
      </w:pPr>
      <w:r w:rsidRPr="00F927EF">
        <w:t>Introducción</w:t>
      </w:r>
    </w:p>
    <w:p w14:paraId="0D69412E" w14:textId="4F63E85E" w:rsidR="00F927EF" w:rsidRPr="007C6FAD" w:rsidRDefault="00463EBB" w:rsidP="007C6FAD">
      <w:pPr>
        <w:tabs>
          <w:tab w:val="clear" w:pos="567"/>
          <w:tab w:val="clear" w:pos="1134"/>
          <w:tab w:val="clear" w:pos="1701"/>
          <w:tab w:val="clear" w:pos="2268"/>
          <w:tab w:val="clear" w:pos="2835"/>
        </w:tabs>
        <w:spacing w:after="120"/>
        <w:rPr>
          <w:szCs w:val="24"/>
        </w:rPr>
      </w:pPr>
      <w:bookmarkStart w:id="10" w:name="lt_pId016"/>
      <w:r w:rsidRPr="007C6FAD">
        <w:rPr>
          <w:szCs w:val="24"/>
        </w:rPr>
        <w:t xml:space="preserve">De conformidad con el plan de trabajo acordado en la reunión de septiembre del Grupo de Expertos sobre el Reglamento de las Telecomunicaciones Internacionales (GE-RTI), Australia, Canadá y Estados Unidos se complacen en formular las siguientes observaciones sobre </w:t>
      </w:r>
      <w:r w:rsidR="003C0F9E" w:rsidRPr="007C6FAD">
        <w:rPr>
          <w:szCs w:val="24"/>
        </w:rPr>
        <w:t>los Artículos 5 a 8 y el Apéndice 1</w:t>
      </w:r>
      <w:r w:rsidRPr="007C6FAD">
        <w:rPr>
          <w:szCs w:val="24"/>
        </w:rPr>
        <w:t xml:space="preserve"> del RTI de 2012.</w:t>
      </w:r>
      <w:bookmarkStart w:id="11" w:name="lt_pId017"/>
      <w:bookmarkEnd w:id="10"/>
      <w:r w:rsidR="000001FA" w:rsidRPr="007C6FAD">
        <w:rPr>
          <w:szCs w:val="24"/>
        </w:rPr>
        <w:t xml:space="preserve"> </w:t>
      </w:r>
      <w:r w:rsidR="003C0F9E" w:rsidRPr="003C0F9E">
        <w:rPr>
          <w:szCs w:val="24"/>
        </w:rPr>
        <w:t>Las disposiciones relativas a la tarificación y la contabilidad, la seguridad y robustez de las redes y las comunicaciones electrónic</w:t>
      </w:r>
      <w:r w:rsidR="003C0F9E">
        <w:rPr>
          <w:szCs w:val="24"/>
        </w:rPr>
        <w:t>as masivas no solicitadas no son, en nuestra opinión, aplicables en el flexible entorno de las comunicaciones actual</w:t>
      </w:r>
      <w:r w:rsidR="00F927EF" w:rsidRPr="003C0F9E">
        <w:rPr>
          <w:szCs w:val="24"/>
        </w:rPr>
        <w:t>.</w:t>
      </w:r>
      <w:bookmarkEnd w:id="11"/>
      <w:r w:rsidR="00F927EF" w:rsidRPr="003C0F9E">
        <w:rPr>
          <w:szCs w:val="24"/>
        </w:rPr>
        <w:t xml:space="preserve"> </w:t>
      </w:r>
      <w:bookmarkStart w:id="12" w:name="lt_pId018"/>
      <w:r w:rsidRPr="007C6FAD">
        <w:rPr>
          <w:szCs w:val="24"/>
        </w:rPr>
        <w:t>Cualquier intento de revisar el RTI de 2012 para abordar las condiciones económicas existentes, junto con los servicios y tecnologías emergentes, correrá la misma suerte que las disposiciones en vigor: debido a la rápida evolución del mercado y del entorno reglamentario, las disposiciones detalladas del tratado quedarán perpetuamente obsoletas.</w:t>
      </w:r>
      <w:bookmarkEnd w:id="12"/>
    </w:p>
    <w:p w14:paraId="19F64A52" w14:textId="5B871C8D" w:rsidR="00F927EF" w:rsidRPr="00F41902" w:rsidRDefault="003C0F9E" w:rsidP="007C6FAD">
      <w:pPr>
        <w:pStyle w:val="Headingb"/>
        <w:rPr>
          <w:lang w:val="es-ES"/>
        </w:rPr>
      </w:pPr>
      <w:bookmarkStart w:id="13" w:name="lt_pId019"/>
      <w:r>
        <w:rPr>
          <w:lang w:val="es-ES"/>
        </w:rPr>
        <w:t>Argumentación</w:t>
      </w:r>
      <w:bookmarkEnd w:id="13"/>
    </w:p>
    <w:p w14:paraId="635958A8" w14:textId="55000FC4" w:rsidR="00F41902" w:rsidRPr="00C121B2" w:rsidRDefault="00624E3A" w:rsidP="007C6FAD">
      <w:pPr>
        <w:tabs>
          <w:tab w:val="clear" w:pos="567"/>
          <w:tab w:val="clear" w:pos="1134"/>
          <w:tab w:val="clear" w:pos="1701"/>
          <w:tab w:val="clear" w:pos="2268"/>
          <w:tab w:val="clear" w:pos="2835"/>
        </w:tabs>
        <w:spacing w:after="120"/>
        <w:rPr>
          <w:szCs w:val="24"/>
          <w:lang w:val="es-ES"/>
        </w:rPr>
      </w:pPr>
      <w:r w:rsidRPr="00C121B2">
        <w:rPr>
          <w:szCs w:val="24"/>
        </w:rPr>
        <w:t>En una contribución anterior</w:t>
      </w:r>
      <w:r w:rsidR="003C0F9E" w:rsidRPr="00C121B2">
        <w:rPr>
          <w:szCs w:val="24"/>
        </w:rPr>
        <w:t xml:space="preserve"> a la reunión del GE-RTI de septiembre de 2019</w:t>
      </w:r>
      <w:r w:rsidRPr="00C121B2">
        <w:rPr>
          <w:szCs w:val="24"/>
        </w:rPr>
        <w:t xml:space="preserve">, destacamos </w:t>
      </w:r>
      <w:r w:rsidR="003C0F9E" w:rsidRPr="00C121B2">
        <w:rPr>
          <w:szCs w:val="24"/>
        </w:rPr>
        <w:t xml:space="preserve">uno de </w:t>
      </w:r>
      <w:r w:rsidRPr="00C121B2">
        <w:rPr>
          <w:szCs w:val="24"/>
        </w:rPr>
        <w:t xml:space="preserve">los problemas fundamentales que plantea la utilización de un tratado para tratar de regular un mercado competitivo y dinámico. </w:t>
      </w:r>
      <w:bookmarkStart w:id="14" w:name="lt_pId021"/>
      <w:r w:rsidR="00F41902" w:rsidRPr="00C121B2">
        <w:rPr>
          <w:bCs/>
          <w:szCs w:val="24"/>
          <w:lang w:val="es-ES"/>
        </w:rPr>
        <w:t>Las disposiciones del tratado relativas a las telecomunicaciones deben ser lo suficientemente flexibles para soportar los constantes cambios del mercado. Las disposiciones del tratado diseñadas para abordar aspectos concretos de</w:t>
      </w:r>
      <w:r w:rsidR="003C0F9E" w:rsidRPr="00C121B2">
        <w:rPr>
          <w:bCs/>
          <w:szCs w:val="24"/>
          <w:lang w:val="es-ES"/>
        </w:rPr>
        <w:t xml:space="preserve"> un</w:t>
      </w:r>
      <w:r w:rsidR="00F41902" w:rsidRPr="00C121B2">
        <w:rPr>
          <w:bCs/>
          <w:szCs w:val="24"/>
          <w:lang w:val="es-ES"/>
        </w:rPr>
        <w:t xml:space="preserve"> mercado </w:t>
      </w:r>
      <w:r w:rsidR="003C0F9E" w:rsidRPr="00C121B2">
        <w:rPr>
          <w:bCs/>
          <w:szCs w:val="24"/>
          <w:lang w:val="es-ES"/>
        </w:rPr>
        <w:t xml:space="preserve">evolutivo </w:t>
      </w:r>
      <w:r w:rsidR="00F41902" w:rsidRPr="00C121B2">
        <w:rPr>
          <w:bCs/>
          <w:szCs w:val="24"/>
          <w:lang w:val="es-ES"/>
        </w:rPr>
        <w:t>se enfrentarán continuamente al riesgo de quedar obsoletas</w:t>
      </w:r>
      <w:r w:rsidR="00F41902" w:rsidRPr="00C121B2">
        <w:rPr>
          <w:szCs w:val="24"/>
          <w:lang w:val="es-ES"/>
        </w:rPr>
        <w:t>.</w:t>
      </w:r>
    </w:p>
    <w:p w14:paraId="15C964BB" w14:textId="3B5936C4" w:rsidR="00F927EF" w:rsidRPr="003C0F9E" w:rsidRDefault="00B77E1F" w:rsidP="007C6FAD">
      <w:pPr>
        <w:tabs>
          <w:tab w:val="clear" w:pos="567"/>
          <w:tab w:val="clear" w:pos="1134"/>
          <w:tab w:val="clear" w:pos="1701"/>
          <w:tab w:val="clear" w:pos="2268"/>
          <w:tab w:val="clear" w:pos="2835"/>
        </w:tabs>
        <w:spacing w:after="120"/>
        <w:rPr>
          <w:szCs w:val="24"/>
          <w:highlight w:val="yellow"/>
          <w:lang w:val="es-ES"/>
        </w:rPr>
      </w:pPr>
      <w:bookmarkStart w:id="15" w:name="lt_pId023"/>
      <w:bookmarkEnd w:id="14"/>
      <w:r w:rsidRPr="00C121B2">
        <w:rPr>
          <w:szCs w:val="24"/>
          <w:lang w:val="es-ES"/>
        </w:rPr>
        <w:t>Esa tensión puede constatarse en muchas disposiciones del RTI de 2012. Por ejemplo, el Artículo 8 y el Apéndice 1, relativos a la tarificación y la contabilidad, contienen varias disposiciones detalladas que rigen la imposición de tasas de distribución entre Estados Miembros, pero la inmensa mayoría del tráfico ya no se intercambia con sujeción al régimen de tasas de distribución. Por ende, el Artículo 8 y el Apéndice 1 han perdido toda pertinencia en el entorno actual de las telecomunicaciones internacionales. Intentar aplicar las disposiciones relativas a la tasa de distribución, o incluso revisarlas para aplicarlas a los actuales acuerdos de mercado, obstaculizaría el flujo del tráfico de telecomunicaciones internacionales y frenaría las innovaciones tecnológicas y de mercado que mejoran los servicios y reducen los precios al consumo.</w:t>
      </w:r>
      <w:bookmarkEnd w:id="15"/>
      <w:r w:rsidR="00F927EF" w:rsidRPr="00C121B2">
        <w:rPr>
          <w:szCs w:val="24"/>
          <w:lang w:val="es-ES"/>
        </w:rPr>
        <w:t xml:space="preserve"> </w:t>
      </w:r>
      <w:bookmarkStart w:id="16" w:name="lt_pId027"/>
      <w:bookmarkStart w:id="17" w:name="_Hlk47526724"/>
      <w:r w:rsidR="003C0F9E" w:rsidRPr="00C121B2">
        <w:rPr>
          <w:szCs w:val="24"/>
          <w:lang w:val="es-ES"/>
        </w:rPr>
        <w:t>Además, a lo largo de los años la inversión y la competencia han redundado en un mayor aumento de la capacidad de la red y una mayor reducción de los precios del intercambio de tráfico</w:t>
      </w:r>
      <w:r w:rsidR="003C0F9E">
        <w:rPr>
          <w:szCs w:val="24"/>
          <w:lang w:val="es-ES"/>
        </w:rPr>
        <w:t xml:space="preserve"> internacional que el régimen de tasas de distribución</w:t>
      </w:r>
      <w:r w:rsidR="00F927EF" w:rsidRPr="003C0F9E">
        <w:rPr>
          <w:szCs w:val="24"/>
          <w:lang w:val="es-ES"/>
        </w:rPr>
        <w:t>.</w:t>
      </w:r>
      <w:bookmarkEnd w:id="16"/>
      <w:bookmarkEnd w:id="17"/>
      <w:r w:rsidR="00F927EF" w:rsidRPr="003C0F9E">
        <w:rPr>
          <w:szCs w:val="24"/>
          <w:lang w:val="es-ES"/>
        </w:rPr>
        <w:t xml:space="preserve"> </w:t>
      </w:r>
    </w:p>
    <w:p w14:paraId="6A2A1EB7" w14:textId="1A951B8B" w:rsidR="00F927EF" w:rsidRPr="003C0F9E" w:rsidRDefault="003C0F9E" w:rsidP="007C6FAD">
      <w:pPr>
        <w:keepLines/>
        <w:tabs>
          <w:tab w:val="clear" w:pos="567"/>
          <w:tab w:val="clear" w:pos="1134"/>
          <w:tab w:val="clear" w:pos="1701"/>
          <w:tab w:val="clear" w:pos="2268"/>
          <w:tab w:val="clear" w:pos="2835"/>
        </w:tabs>
        <w:spacing w:after="120"/>
        <w:rPr>
          <w:szCs w:val="24"/>
          <w:lang w:val="es-ES"/>
        </w:rPr>
      </w:pPr>
      <w:bookmarkStart w:id="18" w:name="lt_pId028"/>
      <w:r w:rsidRPr="003C0F9E">
        <w:rPr>
          <w:szCs w:val="24"/>
          <w:lang w:val="es-ES"/>
        </w:rPr>
        <w:lastRenderedPageBreak/>
        <w:t>La mayoría de las disposiciones del Artículo 5 sobre seguridad de la vida humana y prioridad de las telecomunicaciones ya se recogen en c</w:t>
      </w:r>
      <w:r>
        <w:rPr>
          <w:szCs w:val="24"/>
          <w:lang w:val="es-ES"/>
        </w:rPr>
        <w:t xml:space="preserve">asi todos los instrumentos de la Unión y no añaden aquí valor/relevancia alguno. </w:t>
      </w:r>
      <w:r w:rsidRPr="003C0F9E">
        <w:rPr>
          <w:szCs w:val="24"/>
          <w:lang w:val="es-ES"/>
        </w:rPr>
        <w:t>Además, la prestación gratuita de las llamadas de emergencia es redundante, habida cuenta de que casi todos, si no todos, los Estado</w:t>
      </w:r>
      <w:r>
        <w:rPr>
          <w:szCs w:val="24"/>
          <w:lang w:val="es-ES"/>
        </w:rPr>
        <w:t>s Miembros prestan desde hace mucho tiempo ese servicio</w:t>
      </w:r>
      <w:bookmarkStart w:id="19" w:name="lt_pId029"/>
      <w:bookmarkEnd w:id="18"/>
      <w:r w:rsidR="00F927EF" w:rsidRPr="003C0F9E">
        <w:rPr>
          <w:szCs w:val="24"/>
          <w:lang w:val="es-ES"/>
        </w:rPr>
        <w:t>.</w:t>
      </w:r>
      <w:bookmarkEnd w:id="19"/>
    </w:p>
    <w:p w14:paraId="6CE948F1" w14:textId="65074FF1" w:rsidR="00F927EF" w:rsidRPr="00C91253" w:rsidRDefault="003C0F9E" w:rsidP="007C6FAD">
      <w:pPr>
        <w:tabs>
          <w:tab w:val="clear" w:pos="567"/>
          <w:tab w:val="clear" w:pos="1134"/>
          <w:tab w:val="clear" w:pos="1701"/>
          <w:tab w:val="clear" w:pos="2268"/>
          <w:tab w:val="clear" w:pos="2835"/>
        </w:tabs>
        <w:spacing w:after="120"/>
        <w:rPr>
          <w:szCs w:val="24"/>
          <w:lang w:val="es-ES"/>
        </w:rPr>
      </w:pPr>
      <w:bookmarkStart w:id="20" w:name="lt_pId030"/>
      <w:r w:rsidRPr="003C0F9E">
        <w:rPr>
          <w:szCs w:val="24"/>
          <w:lang w:val="es-ES"/>
        </w:rPr>
        <w:t>Las disposiciones sobre seguridad y robustez de la red del Artículo 6 tienen</w:t>
      </w:r>
      <w:r>
        <w:rPr>
          <w:szCs w:val="24"/>
          <w:lang w:val="es-ES"/>
        </w:rPr>
        <w:t xml:space="preserve">, en nuestra opinión, poca utilidad. </w:t>
      </w:r>
      <w:r w:rsidR="00C91253" w:rsidRPr="00C91253">
        <w:rPr>
          <w:szCs w:val="24"/>
          <w:lang w:val="es-ES"/>
        </w:rPr>
        <w:t xml:space="preserve">Consideramos que se conseguirán mejores resultados en términos de seguridad y </w:t>
      </w:r>
      <w:r w:rsidR="00C91253">
        <w:rPr>
          <w:szCs w:val="24"/>
          <w:lang w:val="es-ES"/>
        </w:rPr>
        <w:t>robustez de la red con soluciones técnicas que con disposiciones reglamentarias del RTI</w:t>
      </w:r>
      <w:bookmarkStart w:id="21" w:name="lt_pId031"/>
      <w:bookmarkEnd w:id="20"/>
      <w:r w:rsidR="00F927EF" w:rsidRPr="00C91253">
        <w:rPr>
          <w:szCs w:val="24"/>
          <w:lang w:val="es-ES"/>
        </w:rPr>
        <w:t>.</w:t>
      </w:r>
      <w:bookmarkEnd w:id="21"/>
    </w:p>
    <w:p w14:paraId="4CA0260F" w14:textId="22289296" w:rsidR="00F927EF" w:rsidRPr="007C6FAD" w:rsidRDefault="00C91253" w:rsidP="007C6FAD">
      <w:pPr>
        <w:tabs>
          <w:tab w:val="clear" w:pos="567"/>
          <w:tab w:val="clear" w:pos="1134"/>
          <w:tab w:val="clear" w:pos="1701"/>
          <w:tab w:val="clear" w:pos="2268"/>
          <w:tab w:val="clear" w:pos="2835"/>
        </w:tabs>
        <w:spacing w:after="120"/>
        <w:rPr>
          <w:szCs w:val="24"/>
          <w:lang w:val="es-ES"/>
        </w:rPr>
      </w:pPr>
      <w:bookmarkStart w:id="22" w:name="lt_pId032"/>
      <w:r w:rsidRPr="00C91253">
        <w:rPr>
          <w:szCs w:val="24"/>
          <w:lang w:val="es-ES"/>
        </w:rPr>
        <w:t xml:space="preserve">Del mismo modo, opinamos que la disposición sobre comunicaciones electrónicas masivas </w:t>
      </w:r>
      <w:r>
        <w:rPr>
          <w:szCs w:val="24"/>
          <w:lang w:val="es-ES"/>
        </w:rPr>
        <w:t xml:space="preserve">no solicitadas (por ejemplo, </w:t>
      </w:r>
      <w:r w:rsidR="00F927EF" w:rsidRPr="00C91253">
        <w:rPr>
          <w:szCs w:val="24"/>
          <w:lang w:val="es-ES"/>
        </w:rPr>
        <w:t xml:space="preserve">SPAM) </w:t>
      </w:r>
      <w:r>
        <w:rPr>
          <w:szCs w:val="24"/>
          <w:lang w:val="es-ES"/>
        </w:rPr>
        <w:t>del Artículo 7 no es efectiva ni aplicable</w:t>
      </w:r>
      <w:r w:rsidR="00F927EF" w:rsidRPr="00C91253">
        <w:rPr>
          <w:szCs w:val="24"/>
          <w:lang w:val="es-ES"/>
        </w:rPr>
        <w:t>.</w:t>
      </w:r>
      <w:bookmarkEnd w:id="22"/>
      <w:r w:rsidR="00F927EF" w:rsidRPr="00C91253">
        <w:rPr>
          <w:szCs w:val="24"/>
          <w:lang w:val="es-ES"/>
        </w:rPr>
        <w:t xml:space="preserve"> </w:t>
      </w:r>
      <w:bookmarkStart w:id="23" w:name="lt_pId033"/>
      <w:r w:rsidR="006648EE" w:rsidRPr="007C6FAD">
        <w:rPr>
          <w:szCs w:val="24"/>
          <w:lang w:val="es-ES"/>
        </w:rPr>
        <w:t>Las medidas para combatir</w:t>
      </w:r>
      <w:r w:rsidRPr="007C6FAD">
        <w:rPr>
          <w:szCs w:val="24"/>
          <w:lang w:val="es-ES"/>
        </w:rPr>
        <w:t xml:space="preserve"> el SPAM</w:t>
      </w:r>
      <w:r w:rsidR="006648EE" w:rsidRPr="007C6FAD">
        <w:rPr>
          <w:szCs w:val="24"/>
          <w:lang w:val="es-ES"/>
        </w:rPr>
        <w:t xml:space="preserve"> evolucionan con suma rapidez como para contemplarlas en un documento estable como el RTI. Se han logrado continuamente avances en este ámbito y cualquier intento de abordar el SPAM en el RTI será</w:t>
      </w:r>
      <w:r w:rsidR="007C6FAD">
        <w:rPr>
          <w:szCs w:val="24"/>
          <w:lang w:val="es-ES"/>
        </w:rPr>
        <w:t xml:space="preserve"> </w:t>
      </w:r>
      <w:r w:rsidR="006648EE" w:rsidRPr="007C6FAD">
        <w:rPr>
          <w:szCs w:val="24"/>
          <w:lang w:val="es-ES"/>
        </w:rPr>
        <w:t>ineficaz y tendrá que ponerse al día inmediatamente. Los mecanismos tecnológicos son los más eficaces para responder al SPAM.</w:t>
      </w:r>
      <w:bookmarkEnd w:id="23"/>
    </w:p>
    <w:p w14:paraId="36E0E57E" w14:textId="2DBABDAA" w:rsidR="00F927EF" w:rsidRPr="007C6FAD" w:rsidRDefault="00624E3A" w:rsidP="00624E3A">
      <w:pPr>
        <w:pStyle w:val="Headingb"/>
      </w:pPr>
      <w:r w:rsidRPr="007C6FAD">
        <w:t>Conclusión</w:t>
      </w:r>
    </w:p>
    <w:p w14:paraId="6CD0D6A8" w14:textId="11C3190A" w:rsidR="00F927EF" w:rsidRPr="007C6FAD" w:rsidRDefault="00C91253" w:rsidP="007C6FAD">
      <w:pPr>
        <w:tabs>
          <w:tab w:val="clear" w:pos="567"/>
          <w:tab w:val="clear" w:pos="1134"/>
          <w:tab w:val="clear" w:pos="1701"/>
          <w:tab w:val="clear" w:pos="2268"/>
          <w:tab w:val="clear" w:pos="2835"/>
        </w:tabs>
        <w:spacing w:after="120"/>
        <w:rPr>
          <w:szCs w:val="24"/>
        </w:rPr>
      </w:pPr>
      <w:r w:rsidRPr="007C6FAD">
        <w:rPr>
          <w:szCs w:val="24"/>
        </w:rPr>
        <w:t>L</w:t>
      </w:r>
      <w:r w:rsidR="009A5DCD" w:rsidRPr="007C6FAD">
        <w:rPr>
          <w:szCs w:val="24"/>
        </w:rPr>
        <w:t xml:space="preserve">as disposiciones del tratado que revisten un carácter general tienen más probabilidades de resistir las dinámicas condiciones del mercado y la innovación tecnológica. </w:t>
      </w:r>
      <w:r w:rsidRPr="007C6FAD">
        <w:rPr>
          <w:szCs w:val="24"/>
        </w:rPr>
        <w:t>C</w:t>
      </w:r>
      <w:r w:rsidR="009A5DCD" w:rsidRPr="007C6FAD">
        <w:rPr>
          <w:szCs w:val="24"/>
        </w:rPr>
        <w:t>onsideramos que las disposiciones más generales del RTI, incluidas en la Constitución y el Convenio de la UIT, son resilientes y capaces de soportar la evolución del mercado y el entorno tecnológico.</w:t>
      </w:r>
      <w:r w:rsidR="00F927EF" w:rsidRPr="007C6FAD">
        <w:rPr>
          <w:rStyle w:val="FootnoteReference"/>
          <w:sz w:val="22"/>
          <w:szCs w:val="22"/>
        </w:rPr>
        <w:footnoteReference w:id="1"/>
      </w:r>
    </w:p>
    <w:p w14:paraId="22C7DA9A" w14:textId="77777777" w:rsidR="00F927EF" w:rsidRPr="006C6885" w:rsidRDefault="00F927EF" w:rsidP="00F927EF">
      <w:pPr>
        <w:spacing w:before="360"/>
        <w:jc w:val="center"/>
        <w:rPr>
          <w:sz w:val="22"/>
          <w:szCs w:val="22"/>
        </w:rPr>
      </w:pPr>
      <w:r w:rsidRPr="006C6885">
        <w:rPr>
          <w:sz w:val="22"/>
          <w:szCs w:val="22"/>
        </w:rPr>
        <w:t>____________________</w:t>
      </w:r>
    </w:p>
    <w:p w14:paraId="5BBF5809" w14:textId="77777777" w:rsidR="001304D3" w:rsidRPr="00F82FEE" w:rsidRDefault="001304D3" w:rsidP="00D92832"/>
    <w:sectPr w:rsidR="001304D3" w:rsidRPr="00F82FEE"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A9ACD" w14:textId="77777777" w:rsidR="00F927EF" w:rsidRDefault="00F927EF">
      <w:r>
        <w:separator/>
      </w:r>
    </w:p>
  </w:endnote>
  <w:endnote w:type="continuationSeparator" w:id="0">
    <w:p w14:paraId="0263975C" w14:textId="77777777" w:rsidR="00F927EF" w:rsidRDefault="00F9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20A4" w14:textId="0B4731F3" w:rsidR="00624E3A" w:rsidRPr="00624E3A" w:rsidRDefault="00624E3A" w:rsidP="00624E3A">
    <w:pPr>
      <w:pStyle w:val="Footer"/>
      <w:rPr>
        <w:szCs w:val="16"/>
        <w:lang w:val="en-US"/>
      </w:rPr>
    </w:pPr>
    <w:r w:rsidRPr="00624E3A">
      <w:rPr>
        <w:szCs w:val="16"/>
        <w:lang w:val="en-US"/>
      </w:rPr>
      <w:fldChar w:fldCharType="begin"/>
    </w:r>
    <w:r w:rsidRPr="00624E3A">
      <w:rPr>
        <w:szCs w:val="16"/>
        <w:lang w:val="en-US"/>
      </w:rPr>
      <w:instrText xml:space="preserve"> FILENAME \p  \* MERGEFORMAT </w:instrText>
    </w:r>
    <w:r w:rsidRPr="00624E3A">
      <w:rPr>
        <w:szCs w:val="16"/>
        <w:lang w:val="en-US"/>
      </w:rPr>
      <w:fldChar w:fldCharType="separate"/>
    </w:r>
    <w:r w:rsidR="00A11368">
      <w:rPr>
        <w:szCs w:val="16"/>
        <w:lang w:val="en-US"/>
      </w:rPr>
      <w:t>P:\ESP\SG\CONSEIL\EG-ITR\EG-ITR-3\000\003S.docx</w:t>
    </w:r>
    <w:r w:rsidRPr="00624E3A">
      <w:rPr>
        <w:szCs w:val="16"/>
        <w:lang w:val="en-US"/>
      </w:rPr>
      <w:fldChar w:fldCharType="end"/>
    </w:r>
    <w:r w:rsidRPr="00624E3A">
      <w:rPr>
        <w:szCs w:val="16"/>
        <w:lang w:val="en-US"/>
      </w:rPr>
      <w:t xml:space="preserve"> (476445)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CA2B" w14:textId="77777777" w:rsidR="00760F1C" w:rsidRDefault="00760F1C">
    <w:pPr>
      <w:spacing w:after="120"/>
      <w:jc w:val="center"/>
    </w:pPr>
    <w:r>
      <w:t xml:space="preserve">• </w:t>
    </w:r>
    <w:hyperlink r:id="rId1" w:history="1">
      <w:r>
        <w:rPr>
          <w:rStyle w:val="Hyperlink"/>
        </w:rPr>
        <w:t>http://www.itu.int/council</w:t>
      </w:r>
    </w:hyperlink>
    <w:r>
      <w:t xml:space="preserve"> •</w:t>
    </w:r>
  </w:p>
  <w:p w14:paraId="1CC69E7A" w14:textId="3BC9D253" w:rsidR="00760F1C" w:rsidRPr="00A11368" w:rsidRDefault="00624E3A" w:rsidP="00624E3A">
    <w:pPr>
      <w:pStyle w:val="Footer"/>
      <w:rPr>
        <w:szCs w:val="16"/>
      </w:rPr>
    </w:pPr>
    <w:r w:rsidRPr="00624E3A">
      <w:rPr>
        <w:szCs w:val="16"/>
        <w:lang w:val="en-US"/>
      </w:rPr>
      <w:fldChar w:fldCharType="begin"/>
    </w:r>
    <w:r w:rsidRPr="00A11368">
      <w:rPr>
        <w:szCs w:val="16"/>
      </w:rPr>
      <w:instrText xml:space="preserve"> FILENAME \p  \* MERGEFORMAT </w:instrText>
    </w:r>
    <w:r w:rsidRPr="00624E3A">
      <w:rPr>
        <w:szCs w:val="16"/>
        <w:lang w:val="en-US"/>
      </w:rPr>
      <w:fldChar w:fldCharType="separate"/>
    </w:r>
    <w:r w:rsidR="00A11368" w:rsidRPr="00A11368">
      <w:rPr>
        <w:szCs w:val="16"/>
      </w:rPr>
      <w:t>P:\ESP\SG\CONSEIL\EG-ITR\EG-ITR-3\000\003S.docx</w:t>
    </w:r>
    <w:r w:rsidRPr="00624E3A">
      <w:rPr>
        <w:szCs w:val="16"/>
        <w:lang w:val="en-US"/>
      </w:rPr>
      <w:fldChar w:fldCharType="end"/>
    </w:r>
    <w:r w:rsidRPr="00A11368">
      <w:rPr>
        <w:szCs w:val="16"/>
      </w:rPr>
      <w:t xml:space="preserve"> (476445)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EAB18" w14:textId="77777777" w:rsidR="00F927EF" w:rsidRDefault="00F927EF">
      <w:r>
        <w:t>____________________</w:t>
      </w:r>
    </w:p>
  </w:footnote>
  <w:footnote w:type="continuationSeparator" w:id="0">
    <w:p w14:paraId="0F6562CC" w14:textId="77777777" w:rsidR="00F927EF" w:rsidRDefault="00F927EF">
      <w:r>
        <w:continuationSeparator/>
      </w:r>
    </w:p>
  </w:footnote>
  <w:footnote w:id="1">
    <w:p w14:paraId="4A2E9720" w14:textId="21FEC747" w:rsidR="00F927EF" w:rsidRPr="00C337C9" w:rsidRDefault="00F927EF" w:rsidP="00442C8F">
      <w:pPr>
        <w:pStyle w:val="FootnoteText"/>
        <w:spacing w:before="80"/>
      </w:pPr>
      <w:r>
        <w:rPr>
          <w:rStyle w:val="FootnoteReference"/>
        </w:rPr>
        <w:footnoteRef/>
      </w:r>
      <w:r w:rsidRPr="00624E3A">
        <w:rPr>
          <w:lang w:val="es-ES"/>
        </w:rPr>
        <w:tab/>
      </w:r>
      <w:r w:rsidR="00624E3A" w:rsidRPr="007C6FAD">
        <w:rPr>
          <w:sz w:val="20"/>
          <w:lang w:val="es-ES"/>
        </w:rPr>
        <w:t xml:space="preserve">Véase el Documento informativo 5 sobre la relación entre el RTI y la Constitución y el Convenio, del Grupo de Expertos encargado de examinar el RTI (2007-2009), en </w:t>
      </w:r>
      <w:hyperlink r:id="rId1" w:history="1">
        <w:r w:rsidR="00624E3A" w:rsidRPr="007C6FAD">
          <w:rPr>
            <w:rStyle w:val="Hyperlink"/>
            <w:sz w:val="20"/>
            <w:lang w:val="es-ES"/>
          </w:rPr>
          <w:t>https://www.itu.int/md/T05-ITR.EG-INF-0005/es</w:t>
        </w:r>
      </w:hyperlink>
      <w:r w:rsidR="00624E3A" w:rsidRPr="007C6FAD">
        <w:rPr>
          <w:sz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DF0E" w14:textId="77777777" w:rsidR="00760F1C" w:rsidRDefault="000B7C15" w:rsidP="007657F0">
    <w:pPr>
      <w:pStyle w:val="Header"/>
    </w:pPr>
    <w:r>
      <w:fldChar w:fldCharType="begin"/>
    </w:r>
    <w:r>
      <w:instrText>PAGE</w:instrText>
    </w:r>
    <w:r>
      <w:fldChar w:fldCharType="separate"/>
    </w:r>
    <w:r w:rsidR="00012E27">
      <w:rPr>
        <w:noProof/>
      </w:rPr>
      <w:t>2</w:t>
    </w:r>
    <w:r>
      <w:rPr>
        <w:noProof/>
      </w:rPr>
      <w:fldChar w:fldCharType="end"/>
    </w:r>
  </w:p>
  <w:p w14:paraId="635B0116" w14:textId="4FFDC308" w:rsidR="00760F1C" w:rsidRDefault="00012E27" w:rsidP="00B8298E">
    <w:pPr>
      <w:pStyle w:val="Header"/>
    </w:pPr>
    <w:r>
      <w:rPr>
        <w:noProof/>
      </w:rPr>
      <w:t>EG-ITRs-</w:t>
    </w:r>
    <w:r w:rsidR="00A11368">
      <w:rPr>
        <w:noProof/>
      </w:rPr>
      <w:t>3</w:t>
    </w:r>
    <w:r>
      <w:rPr>
        <w:noProof/>
      </w:rPr>
      <w:t>\</w:t>
    </w:r>
    <w:r w:rsidR="00A11368">
      <w:rPr>
        <w:noProof/>
      </w:rPr>
      <w:t>3</w:t>
    </w:r>
    <w:r>
      <w:rPr>
        <w:noProof/>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EF"/>
    <w:rsid w:val="000001FA"/>
    <w:rsid w:val="00012E27"/>
    <w:rsid w:val="00093EEB"/>
    <w:rsid w:val="000B0D00"/>
    <w:rsid w:val="000B7C15"/>
    <w:rsid w:val="000D1D0F"/>
    <w:rsid w:val="000F5290"/>
    <w:rsid w:val="0010165C"/>
    <w:rsid w:val="001304D3"/>
    <w:rsid w:val="00146BFB"/>
    <w:rsid w:val="001F14A2"/>
    <w:rsid w:val="001F60AD"/>
    <w:rsid w:val="00213FF6"/>
    <w:rsid w:val="002658A9"/>
    <w:rsid w:val="002801AA"/>
    <w:rsid w:val="002A19D3"/>
    <w:rsid w:val="002C4676"/>
    <w:rsid w:val="002C70B0"/>
    <w:rsid w:val="002F3CC4"/>
    <w:rsid w:val="00355D4F"/>
    <w:rsid w:val="003C0F9E"/>
    <w:rsid w:val="00442C8F"/>
    <w:rsid w:val="00463EBB"/>
    <w:rsid w:val="004736E5"/>
    <w:rsid w:val="00513630"/>
    <w:rsid w:val="005262CD"/>
    <w:rsid w:val="00560125"/>
    <w:rsid w:val="00585553"/>
    <w:rsid w:val="005B34D9"/>
    <w:rsid w:val="005D0CCF"/>
    <w:rsid w:val="005E7D40"/>
    <w:rsid w:val="005F410F"/>
    <w:rsid w:val="0060149A"/>
    <w:rsid w:val="00601924"/>
    <w:rsid w:val="00624E3A"/>
    <w:rsid w:val="006447EA"/>
    <w:rsid w:val="0064731F"/>
    <w:rsid w:val="006648EE"/>
    <w:rsid w:val="006710F6"/>
    <w:rsid w:val="0067129F"/>
    <w:rsid w:val="006C1B56"/>
    <w:rsid w:val="006D4761"/>
    <w:rsid w:val="00726872"/>
    <w:rsid w:val="00760F1C"/>
    <w:rsid w:val="007657F0"/>
    <w:rsid w:val="0077252D"/>
    <w:rsid w:val="007C6FAD"/>
    <w:rsid w:val="007E5DD3"/>
    <w:rsid w:val="007F350B"/>
    <w:rsid w:val="00820BE4"/>
    <w:rsid w:val="008451E8"/>
    <w:rsid w:val="00913B9C"/>
    <w:rsid w:val="00956E77"/>
    <w:rsid w:val="009A5DCD"/>
    <w:rsid w:val="00A11368"/>
    <w:rsid w:val="00AA040B"/>
    <w:rsid w:val="00AA390C"/>
    <w:rsid w:val="00B0200A"/>
    <w:rsid w:val="00B574DB"/>
    <w:rsid w:val="00B77E1F"/>
    <w:rsid w:val="00B826C2"/>
    <w:rsid w:val="00B8298E"/>
    <w:rsid w:val="00B91EE4"/>
    <w:rsid w:val="00BA4764"/>
    <w:rsid w:val="00BD0723"/>
    <w:rsid w:val="00BD2518"/>
    <w:rsid w:val="00BF1D1C"/>
    <w:rsid w:val="00C121B2"/>
    <w:rsid w:val="00C20C59"/>
    <w:rsid w:val="00C55B1F"/>
    <w:rsid w:val="00C85B97"/>
    <w:rsid w:val="00C91253"/>
    <w:rsid w:val="00CF1A67"/>
    <w:rsid w:val="00D2750E"/>
    <w:rsid w:val="00D62446"/>
    <w:rsid w:val="00D92832"/>
    <w:rsid w:val="00DA4EA2"/>
    <w:rsid w:val="00DC3D3E"/>
    <w:rsid w:val="00DE2C90"/>
    <w:rsid w:val="00DE3B24"/>
    <w:rsid w:val="00E06947"/>
    <w:rsid w:val="00E07D47"/>
    <w:rsid w:val="00E3592D"/>
    <w:rsid w:val="00E92DE8"/>
    <w:rsid w:val="00EB1212"/>
    <w:rsid w:val="00ED65AB"/>
    <w:rsid w:val="00EE122F"/>
    <w:rsid w:val="00F12850"/>
    <w:rsid w:val="00F33BF4"/>
    <w:rsid w:val="00F41902"/>
    <w:rsid w:val="00F70229"/>
    <w:rsid w:val="00F7105E"/>
    <w:rsid w:val="00F75F57"/>
    <w:rsid w:val="00F82FEE"/>
    <w:rsid w:val="00F927EF"/>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6A243C"/>
  <w15:docId w15:val="{F7FF5614-7717-40D2-91FA-F28AA6AD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basedOn w:val="DefaultParagraphFont"/>
    <w:link w:val="FootnoteText"/>
    <w:rsid w:val="00F927EF"/>
    <w:rPr>
      <w:rFonts w:ascii="Calibri" w:hAnsi="Calibri"/>
      <w:sz w:val="24"/>
      <w:lang w:val="es-ES_tradnl" w:eastAsia="en-US"/>
    </w:rPr>
  </w:style>
  <w:style w:type="character" w:styleId="UnresolvedMention">
    <w:name w:val="Unresolved Mention"/>
    <w:basedOn w:val="DefaultParagraphFont"/>
    <w:uiPriority w:val="99"/>
    <w:semiHidden/>
    <w:unhideWhenUsed/>
    <w:rsid w:val="0062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T05-ITR.EG-INF-0005/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PS_EG-ITR.dotx</Template>
  <TotalTime>6</TotalTime>
  <Pages>2</Pages>
  <Words>687</Words>
  <Characters>3896</Characters>
  <Application>Microsoft Office Word</Application>
  <DocSecurity>0</DocSecurity>
  <Lines>32</Lines>
  <Paragraphs>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4574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Spanish1</dc:creator>
  <cp:keywords>C2010, C10</cp:keywords>
  <dc:description>Documento C17/-S  Para: _x000d_Fecha del documento: enero de 2017_x000d_Registrado por ITU51009317 a 15:32:38 el 06/04/2017</dc:description>
  <cp:lastModifiedBy>Ayala Martinez, Beatriz</cp:lastModifiedBy>
  <cp:revision>6</cp:revision>
  <cp:lastPrinted>2020-09-03T22:06:00Z</cp:lastPrinted>
  <dcterms:created xsi:type="dcterms:W3CDTF">2020-09-04T09:16:00Z</dcterms:created>
  <dcterms:modified xsi:type="dcterms:W3CDTF">2020-09-04T09:18:00Z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