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05911" w:rsidRPr="00247618" w14:paraId="558EFCB4" w14:textId="77777777" w:rsidTr="00BF08C1">
        <w:trPr>
          <w:cantSplit/>
        </w:trPr>
        <w:tc>
          <w:tcPr>
            <w:tcW w:w="6911" w:type="dxa"/>
          </w:tcPr>
          <w:p w14:paraId="3BAFD7C4" w14:textId="743165D9" w:rsidR="00205911" w:rsidRPr="002E3248" w:rsidRDefault="00205911" w:rsidP="00413BFD">
            <w:pPr>
              <w:spacing w:before="360"/>
              <w:rPr>
                <w:rFonts w:ascii="Calibri" w:eastAsia="SimSun" w:hAnsi="Calibri" w:cs="Calibri"/>
                <w:position w:val="6"/>
                <w:sz w:val="28"/>
                <w:szCs w:val="28"/>
                <w:lang w:eastAsia="zh-CN"/>
              </w:rPr>
            </w:pPr>
            <w:r w:rsidRPr="002E3248">
              <w:rPr>
                <w:rFonts w:ascii="Calibri" w:eastAsia="SimSun" w:hAnsi="Calibri" w:cs="Calibri"/>
                <w:b/>
                <w:bCs/>
                <w:sz w:val="28"/>
                <w:szCs w:val="28"/>
                <w:lang w:val="en-US" w:eastAsia="zh-CN"/>
              </w:rPr>
              <w:t>《国际电信规则》专家组（</w:t>
            </w:r>
            <w:r w:rsidRPr="002E3248">
              <w:rPr>
                <w:rFonts w:ascii="Calibri" w:eastAsia="SimSun" w:hAnsi="Calibri" w:cs="Calibri"/>
                <w:b/>
                <w:bCs/>
                <w:sz w:val="28"/>
                <w:szCs w:val="28"/>
                <w:lang w:val="en-US" w:eastAsia="zh-CN"/>
              </w:rPr>
              <w:t>EG</w:t>
            </w:r>
            <w:r w:rsidR="00216864" w:rsidRPr="002E3248">
              <w:rPr>
                <w:rFonts w:ascii="Calibri" w:eastAsia="SimSun" w:hAnsi="Calibri" w:cs="Calibri" w:hint="eastAsia"/>
                <w:b/>
                <w:bCs/>
                <w:sz w:val="28"/>
                <w:szCs w:val="28"/>
                <w:lang w:val="en-US" w:eastAsia="zh-CN"/>
              </w:rPr>
              <w:t>-</w:t>
            </w:r>
            <w:r w:rsidRPr="002E3248">
              <w:rPr>
                <w:rFonts w:ascii="Calibri" w:eastAsia="SimSun" w:hAnsi="Calibri" w:cs="Calibri"/>
                <w:b/>
                <w:bCs/>
                <w:sz w:val="28"/>
                <w:szCs w:val="28"/>
                <w:lang w:val="en-US" w:eastAsia="zh-CN"/>
              </w:rPr>
              <w:t>ITR</w:t>
            </w:r>
            <w:r w:rsidR="004E2BB6" w:rsidRPr="002E3248">
              <w:rPr>
                <w:rFonts w:ascii="Calibri" w:eastAsia="SimSun" w:hAnsi="Calibri" w:cs="Calibri"/>
                <w:b/>
                <w:bCs/>
                <w:sz w:val="28"/>
                <w:szCs w:val="28"/>
                <w:lang w:val="en-US" w:eastAsia="zh-CN"/>
              </w:rPr>
              <w:t>s</w:t>
            </w:r>
            <w:r w:rsidRPr="002E3248">
              <w:rPr>
                <w:rFonts w:ascii="Calibri" w:eastAsia="SimSun" w:hAnsi="Calibri" w:cs="Calibri"/>
                <w:b/>
                <w:bCs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3120" w:type="dxa"/>
          </w:tcPr>
          <w:p w14:paraId="63F55371" w14:textId="03EB8A35" w:rsidR="00205911" w:rsidRPr="00247618" w:rsidRDefault="001154D3" w:rsidP="001154D3">
            <w:pPr>
              <w:spacing w:before="0"/>
              <w:rPr>
                <w:rFonts w:ascii="Calibri" w:eastAsia="SimSun" w:hAnsi="Calibri" w:cs="Calibri"/>
              </w:rPr>
            </w:pPr>
            <w:bookmarkStart w:id="0" w:name="ditulogo"/>
            <w:bookmarkEnd w:id="0"/>
            <w:r w:rsidRPr="00247618">
              <w:rPr>
                <w:rFonts w:ascii="Calibri" w:hAnsi="Calibri" w:cs="Calibri"/>
                <w:noProof/>
                <w:lang w:eastAsia="zh-CN"/>
              </w:rPr>
              <w:drawing>
                <wp:inline distT="0" distB="0" distL="0" distR="0" wp14:anchorId="7E21C860" wp14:editId="711102C2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911" w:rsidRPr="00247618" w14:paraId="4A479DBA" w14:textId="77777777" w:rsidTr="00BF08C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9815962" w14:textId="1B036946" w:rsidR="00205911" w:rsidRPr="00247618" w:rsidRDefault="00205911" w:rsidP="00413BFD">
            <w:pPr>
              <w:spacing w:before="0" w:after="100" w:afterAutospacing="1"/>
              <w:rPr>
                <w:rFonts w:ascii="Calibri" w:eastAsia="SimSun" w:hAnsi="Calibri" w:cs="Calibri"/>
                <w:b/>
                <w:smallCaps/>
                <w:szCs w:val="24"/>
                <w:lang w:eastAsia="zh-CN"/>
              </w:rPr>
            </w:pPr>
            <w:r w:rsidRPr="00247618">
              <w:rPr>
                <w:rFonts w:ascii="Calibri" w:eastAsia="SimSun" w:hAnsi="Calibri" w:cs="Calibri"/>
                <w:b/>
                <w:smallCaps/>
                <w:szCs w:val="24"/>
                <w:lang w:eastAsia="zh-CN"/>
              </w:rPr>
              <w:t>第</w:t>
            </w:r>
            <w:r w:rsidR="00EF0A70" w:rsidRPr="00247618">
              <w:rPr>
                <w:rFonts w:ascii="Calibri" w:eastAsia="SimSun" w:hAnsi="Calibri" w:cs="Calibri"/>
                <w:b/>
                <w:smallCaps/>
                <w:szCs w:val="24"/>
                <w:lang w:eastAsia="zh-CN"/>
              </w:rPr>
              <w:t>三</w:t>
            </w:r>
            <w:r w:rsidRPr="00247618">
              <w:rPr>
                <w:rFonts w:ascii="Calibri" w:eastAsia="SimSun" w:hAnsi="Calibri" w:cs="Calibri"/>
                <w:b/>
                <w:smallCaps/>
                <w:szCs w:val="24"/>
                <w:lang w:eastAsia="zh-CN"/>
              </w:rPr>
              <w:t>次会议</w:t>
            </w:r>
            <w:r w:rsidRPr="00247618">
              <w:rPr>
                <w:rFonts w:ascii="Calibri" w:eastAsia="SimSun" w:hAnsi="Calibri" w:cs="Calibri"/>
                <w:b/>
                <w:smallCaps/>
                <w:szCs w:val="24"/>
                <w:lang w:eastAsia="zh-CN"/>
              </w:rPr>
              <w:t xml:space="preserve"> – </w:t>
            </w:r>
            <w:r w:rsidR="00B6677E" w:rsidRPr="00247618">
              <w:rPr>
                <w:rFonts w:ascii="Calibri" w:eastAsia="SimSun" w:hAnsi="Calibri" w:cs="Calibri"/>
                <w:b/>
                <w:bCs/>
                <w:smallCaps/>
                <w:szCs w:val="24"/>
                <w:lang w:val="en-US" w:eastAsia="zh-CN"/>
              </w:rPr>
              <w:t>虚拟会议</w:t>
            </w:r>
            <w:r w:rsidR="00B6677E" w:rsidRPr="00247618">
              <w:rPr>
                <w:rFonts w:ascii="Calibri" w:eastAsia="SimSun" w:hAnsi="Calibri" w:cs="Calibri"/>
                <w:b/>
                <w:smallCaps/>
                <w:szCs w:val="24"/>
                <w:lang w:eastAsia="zh-CN"/>
              </w:rPr>
              <w:t>，</w:t>
            </w:r>
            <w:r w:rsidRPr="00247618">
              <w:rPr>
                <w:rFonts w:ascii="Calibri" w:eastAsia="SimSun" w:hAnsi="Calibri" w:cs="Calibri"/>
                <w:b/>
                <w:smallCaps/>
                <w:szCs w:val="24"/>
                <w:lang w:eastAsia="zh-CN"/>
              </w:rPr>
              <w:t>20</w:t>
            </w:r>
            <w:r w:rsidR="00EF0A70" w:rsidRPr="00247618">
              <w:rPr>
                <w:rFonts w:ascii="Calibri" w:eastAsia="SimSun" w:hAnsi="Calibri" w:cs="Calibri"/>
                <w:b/>
                <w:smallCaps/>
                <w:szCs w:val="24"/>
                <w:lang w:eastAsia="zh-CN"/>
              </w:rPr>
              <w:t>20</w:t>
            </w:r>
            <w:r w:rsidRPr="00247618">
              <w:rPr>
                <w:rFonts w:ascii="Calibri" w:eastAsia="SimSun" w:hAnsi="Calibri" w:cs="Calibri"/>
                <w:b/>
                <w:smallCaps/>
                <w:szCs w:val="24"/>
                <w:lang w:eastAsia="zh-CN"/>
              </w:rPr>
              <w:t>年</w:t>
            </w:r>
            <w:r w:rsidR="00CC5DAD" w:rsidRPr="00247618">
              <w:rPr>
                <w:rFonts w:ascii="Calibri" w:eastAsia="SimSun" w:hAnsi="Calibri" w:cs="Calibri"/>
                <w:b/>
                <w:smallCaps/>
                <w:szCs w:val="24"/>
                <w:lang w:eastAsia="zh-CN"/>
              </w:rPr>
              <w:t>9</w:t>
            </w:r>
            <w:r w:rsidRPr="00247618">
              <w:rPr>
                <w:rFonts w:ascii="Calibri" w:eastAsia="SimSun" w:hAnsi="Calibri" w:cs="Calibri"/>
                <w:b/>
                <w:smallCaps/>
                <w:szCs w:val="24"/>
                <w:lang w:eastAsia="zh-CN"/>
              </w:rPr>
              <w:t>月</w:t>
            </w:r>
            <w:r w:rsidRPr="00247618">
              <w:rPr>
                <w:rFonts w:ascii="Calibri" w:eastAsia="SimSun" w:hAnsi="Calibri" w:cs="Calibri"/>
                <w:b/>
                <w:smallCaps/>
                <w:szCs w:val="24"/>
                <w:lang w:eastAsia="zh-CN"/>
              </w:rPr>
              <w:t>1</w:t>
            </w:r>
            <w:r w:rsidR="00EF0A70" w:rsidRPr="00247618">
              <w:rPr>
                <w:rFonts w:ascii="Calibri" w:eastAsia="SimSun" w:hAnsi="Calibri" w:cs="Calibri"/>
                <w:b/>
                <w:smallCaps/>
                <w:szCs w:val="24"/>
                <w:lang w:eastAsia="zh-CN"/>
              </w:rPr>
              <w:t>7</w:t>
            </w:r>
            <w:r w:rsidRPr="00247618">
              <w:rPr>
                <w:rFonts w:ascii="Calibri" w:eastAsia="SimSun" w:hAnsi="Calibri" w:cs="Calibri"/>
                <w:b/>
                <w:smallCaps/>
                <w:szCs w:val="24"/>
                <w:lang w:eastAsia="zh-CN"/>
              </w:rPr>
              <w:t>-1</w:t>
            </w:r>
            <w:r w:rsidR="00EF0A70" w:rsidRPr="00247618">
              <w:rPr>
                <w:rFonts w:ascii="Calibri" w:eastAsia="SimSun" w:hAnsi="Calibri" w:cs="Calibri"/>
                <w:b/>
                <w:smallCaps/>
                <w:szCs w:val="24"/>
                <w:lang w:eastAsia="zh-CN"/>
              </w:rPr>
              <w:t>8</w:t>
            </w:r>
            <w:r w:rsidRPr="00247618">
              <w:rPr>
                <w:rFonts w:ascii="Calibri" w:eastAsia="SimSun" w:hAnsi="Calibri" w:cs="Calibri"/>
                <w:b/>
                <w:smallCaps/>
                <w:szCs w:val="24"/>
                <w:lang w:eastAsia="zh-CN"/>
              </w:rPr>
              <w:t>日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24EF632" w14:textId="77777777" w:rsidR="00205911" w:rsidRPr="00247618" w:rsidRDefault="00205911" w:rsidP="00205911">
            <w:pPr>
              <w:spacing w:before="0"/>
              <w:rPr>
                <w:rFonts w:ascii="Calibri" w:eastAsia="SimSun" w:hAnsi="Calibri" w:cs="Calibri"/>
                <w:szCs w:val="24"/>
                <w:lang w:eastAsia="zh-CN"/>
              </w:rPr>
            </w:pPr>
          </w:p>
        </w:tc>
      </w:tr>
      <w:tr w:rsidR="00205911" w:rsidRPr="00247618" w14:paraId="32020FED" w14:textId="77777777" w:rsidTr="00BF08C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87ABFF0" w14:textId="77777777" w:rsidR="00205911" w:rsidRPr="00247618" w:rsidRDefault="00205911" w:rsidP="00205911">
            <w:pPr>
              <w:spacing w:before="0" w:after="48"/>
              <w:rPr>
                <w:rFonts w:ascii="Calibri" w:eastAsia="SimSun" w:hAnsi="Calibri" w:cs="Calibri"/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222C15" w14:textId="77777777" w:rsidR="00205911" w:rsidRPr="00247618" w:rsidRDefault="00205911" w:rsidP="00205911">
            <w:pPr>
              <w:spacing w:before="0"/>
              <w:rPr>
                <w:rFonts w:ascii="Calibri" w:eastAsia="SimSun" w:hAnsi="Calibri" w:cs="Calibri"/>
                <w:szCs w:val="24"/>
                <w:lang w:eastAsia="zh-CN"/>
              </w:rPr>
            </w:pPr>
          </w:p>
        </w:tc>
      </w:tr>
      <w:tr w:rsidR="00205911" w:rsidRPr="00247618" w14:paraId="44F66C4D" w14:textId="77777777" w:rsidTr="00BF08C1">
        <w:trPr>
          <w:cantSplit/>
          <w:trHeight w:val="23"/>
        </w:trPr>
        <w:tc>
          <w:tcPr>
            <w:tcW w:w="6911" w:type="dxa"/>
            <w:vMerge w:val="restart"/>
          </w:tcPr>
          <w:p w14:paraId="1429B8F6" w14:textId="77777777" w:rsidR="00205911" w:rsidRPr="00247618" w:rsidRDefault="00205911" w:rsidP="00205911">
            <w:pPr>
              <w:tabs>
                <w:tab w:val="left" w:pos="851"/>
              </w:tabs>
              <w:rPr>
                <w:rFonts w:ascii="Calibri" w:eastAsia="SimSun" w:hAnsi="Calibri" w:cs="Calibri"/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14:paraId="1FA9823F" w14:textId="5370335F" w:rsidR="00205911" w:rsidRPr="00247618" w:rsidRDefault="00205911" w:rsidP="00486526">
            <w:pPr>
              <w:tabs>
                <w:tab w:val="left" w:pos="851"/>
              </w:tabs>
              <w:spacing w:before="0"/>
              <w:rPr>
                <w:rFonts w:ascii="Calibri" w:hAnsi="Calibri" w:cs="Calibri"/>
                <w:b/>
                <w:bCs/>
                <w:lang w:eastAsia="zh-CN"/>
              </w:rPr>
            </w:pPr>
            <w:r w:rsidRPr="00247618">
              <w:rPr>
                <w:rFonts w:ascii="Calibri" w:eastAsia="SimSun" w:hAnsi="Calibri" w:cs="Calibri"/>
                <w:b/>
                <w:bCs/>
                <w:szCs w:val="24"/>
                <w:lang w:val="fr-CH" w:eastAsia="zh-CN"/>
              </w:rPr>
              <w:t>文件</w:t>
            </w:r>
            <w:r w:rsidR="00E1694D" w:rsidRPr="00247618">
              <w:rPr>
                <w:rFonts w:ascii="Calibri" w:eastAsia="SimSun" w:hAnsi="Calibri" w:cs="Calibri"/>
                <w:b/>
                <w:bCs/>
                <w:szCs w:val="24"/>
                <w:lang w:eastAsia="zh-CN"/>
              </w:rPr>
              <w:t xml:space="preserve"> </w:t>
            </w:r>
            <w:r w:rsidR="00EF0A70" w:rsidRPr="00247618">
              <w:rPr>
                <w:rFonts w:ascii="Calibri" w:hAnsi="Calibri" w:cs="Calibri"/>
                <w:b/>
                <w:lang w:val="en-US"/>
              </w:rPr>
              <w:t>EG-ITRs-</w:t>
            </w:r>
            <w:r w:rsidR="006A5EBB" w:rsidRPr="00247618"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zh-CN"/>
              </w:rPr>
              <w:t>3</w:t>
            </w:r>
            <w:r w:rsidR="00EF0A70" w:rsidRPr="00247618">
              <w:rPr>
                <w:rFonts w:ascii="Calibri" w:hAnsi="Calibri" w:cs="Calibri"/>
                <w:b/>
                <w:lang w:val="en-US"/>
              </w:rPr>
              <w:t>/</w:t>
            </w:r>
            <w:r w:rsidR="00B55639" w:rsidRPr="00247618">
              <w:rPr>
                <w:rFonts w:ascii="Calibri" w:hAnsi="Calibri" w:cs="Calibri"/>
                <w:b/>
                <w:lang w:val="en-US" w:eastAsia="zh-CN"/>
              </w:rPr>
              <w:t>3</w:t>
            </w:r>
            <w:r w:rsidR="00FD687B" w:rsidRPr="00247618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en-US" w:eastAsia="zh-CN"/>
              </w:rPr>
              <w:t>-C</w:t>
            </w:r>
          </w:p>
        </w:tc>
      </w:tr>
      <w:bookmarkEnd w:id="1"/>
      <w:tr w:rsidR="00205911" w:rsidRPr="00247618" w14:paraId="30CF0122" w14:textId="77777777" w:rsidTr="00BF08C1">
        <w:trPr>
          <w:cantSplit/>
          <w:trHeight w:val="23"/>
        </w:trPr>
        <w:tc>
          <w:tcPr>
            <w:tcW w:w="6911" w:type="dxa"/>
            <w:vMerge/>
          </w:tcPr>
          <w:p w14:paraId="3CA58F67" w14:textId="77777777" w:rsidR="00205911" w:rsidRPr="00247618" w:rsidRDefault="00205911" w:rsidP="00205911">
            <w:pPr>
              <w:tabs>
                <w:tab w:val="left" w:pos="851"/>
              </w:tabs>
              <w:rPr>
                <w:rFonts w:ascii="Calibri" w:eastAsia="SimSun" w:hAnsi="Calibri" w:cs="Calibri"/>
                <w:b/>
                <w:lang w:eastAsia="zh-CN"/>
              </w:rPr>
            </w:pPr>
          </w:p>
        </w:tc>
        <w:tc>
          <w:tcPr>
            <w:tcW w:w="3120" w:type="dxa"/>
          </w:tcPr>
          <w:p w14:paraId="367B3C8F" w14:textId="67A41FB5" w:rsidR="00205911" w:rsidRPr="00247618" w:rsidRDefault="00205911" w:rsidP="00205911">
            <w:pPr>
              <w:tabs>
                <w:tab w:val="left" w:pos="993"/>
              </w:tabs>
              <w:spacing w:before="0"/>
              <w:rPr>
                <w:rFonts w:ascii="Calibri" w:eastAsia="SimSun" w:hAnsi="Calibri" w:cs="Calibri"/>
                <w:b/>
                <w:bCs/>
                <w:szCs w:val="24"/>
                <w:lang w:eastAsia="zh-CN"/>
              </w:rPr>
            </w:pPr>
            <w:r w:rsidRPr="00247618">
              <w:rPr>
                <w:rFonts w:ascii="Calibri" w:eastAsia="SimSun" w:hAnsi="Calibri" w:cs="Calibri"/>
                <w:b/>
                <w:bCs/>
                <w:szCs w:val="24"/>
                <w:lang w:eastAsia="zh-CN"/>
              </w:rPr>
              <w:t>20</w:t>
            </w:r>
            <w:r w:rsidR="00EF0A70" w:rsidRPr="00247618">
              <w:rPr>
                <w:rFonts w:ascii="Calibri" w:eastAsia="SimSun" w:hAnsi="Calibri" w:cs="Calibri"/>
                <w:b/>
                <w:bCs/>
                <w:szCs w:val="24"/>
                <w:lang w:eastAsia="zh-CN"/>
              </w:rPr>
              <w:t>20</w:t>
            </w:r>
            <w:r w:rsidRPr="00247618">
              <w:rPr>
                <w:rFonts w:ascii="Calibri" w:eastAsia="SimSun" w:hAnsi="Calibri" w:cs="Calibri"/>
                <w:b/>
                <w:bCs/>
                <w:szCs w:val="24"/>
                <w:lang w:eastAsia="zh-CN"/>
              </w:rPr>
              <w:t>年</w:t>
            </w:r>
            <w:r w:rsidR="00B55639" w:rsidRPr="00247618">
              <w:rPr>
                <w:rFonts w:ascii="Calibri" w:eastAsia="SimSun" w:hAnsi="Calibri" w:cs="Calibri"/>
                <w:b/>
                <w:bCs/>
                <w:szCs w:val="24"/>
                <w:lang w:eastAsia="zh-CN"/>
              </w:rPr>
              <w:t>9</w:t>
            </w:r>
            <w:r w:rsidRPr="00247618">
              <w:rPr>
                <w:rFonts w:ascii="Calibri" w:eastAsia="SimSun" w:hAnsi="Calibri" w:cs="Calibri"/>
                <w:b/>
                <w:bCs/>
                <w:szCs w:val="24"/>
                <w:lang w:eastAsia="zh-CN"/>
              </w:rPr>
              <w:t>月</w:t>
            </w:r>
            <w:r w:rsidR="00B55639" w:rsidRPr="00247618">
              <w:rPr>
                <w:rFonts w:ascii="Calibri" w:eastAsia="SimSun" w:hAnsi="Calibri" w:cs="Calibri"/>
                <w:b/>
                <w:bCs/>
                <w:szCs w:val="24"/>
                <w:lang w:eastAsia="zh-CN"/>
              </w:rPr>
              <w:t>3</w:t>
            </w:r>
            <w:r w:rsidRPr="00247618">
              <w:rPr>
                <w:rFonts w:ascii="Calibri" w:eastAsia="SimSun" w:hAnsi="Calibri" w:cs="Calibri"/>
                <w:b/>
                <w:bCs/>
                <w:szCs w:val="24"/>
                <w:lang w:eastAsia="zh-CN"/>
              </w:rPr>
              <w:t>日</w:t>
            </w:r>
          </w:p>
        </w:tc>
      </w:tr>
      <w:tr w:rsidR="00205911" w:rsidRPr="00247618" w14:paraId="23F26C0F" w14:textId="77777777" w:rsidTr="00BF08C1">
        <w:trPr>
          <w:cantSplit/>
          <w:trHeight w:val="23"/>
        </w:trPr>
        <w:tc>
          <w:tcPr>
            <w:tcW w:w="6911" w:type="dxa"/>
            <w:vMerge/>
          </w:tcPr>
          <w:p w14:paraId="106B3E43" w14:textId="77777777" w:rsidR="00205911" w:rsidRPr="00247618" w:rsidRDefault="00205911" w:rsidP="00205911">
            <w:pPr>
              <w:tabs>
                <w:tab w:val="left" w:pos="851"/>
              </w:tabs>
              <w:rPr>
                <w:rFonts w:ascii="Calibri" w:eastAsia="SimSun" w:hAnsi="Calibri" w:cs="Calibri"/>
                <w:b/>
                <w:lang w:eastAsia="zh-CN"/>
              </w:rPr>
            </w:pPr>
          </w:p>
        </w:tc>
        <w:tc>
          <w:tcPr>
            <w:tcW w:w="3120" w:type="dxa"/>
          </w:tcPr>
          <w:p w14:paraId="7D4039B2" w14:textId="77777777" w:rsidR="00205911" w:rsidRPr="00247618" w:rsidRDefault="00205911" w:rsidP="00205911">
            <w:pPr>
              <w:tabs>
                <w:tab w:val="left" w:pos="993"/>
              </w:tabs>
              <w:spacing w:before="0"/>
              <w:rPr>
                <w:rFonts w:ascii="Calibri" w:eastAsia="SimSun" w:hAnsi="Calibri" w:cs="Calibri"/>
                <w:b/>
                <w:bCs/>
                <w:szCs w:val="24"/>
                <w:lang w:eastAsia="zh-CN"/>
              </w:rPr>
            </w:pPr>
            <w:r w:rsidRPr="00247618">
              <w:rPr>
                <w:rFonts w:ascii="Calibri" w:eastAsia="SimSun" w:hAnsi="Calibri" w:cs="Calibri"/>
                <w:b/>
                <w:bCs/>
                <w:szCs w:val="24"/>
                <w:lang w:eastAsia="zh-CN"/>
              </w:rPr>
              <w:t>原文：英文</w:t>
            </w:r>
          </w:p>
        </w:tc>
      </w:tr>
    </w:tbl>
    <w:p w14:paraId="71716B2D" w14:textId="5EF84B38" w:rsidR="00755EEC" w:rsidRPr="00247618" w:rsidRDefault="00CD0F3C" w:rsidP="000539B8">
      <w:pPr>
        <w:spacing w:before="600"/>
        <w:jc w:val="center"/>
        <w:rPr>
          <w:rFonts w:ascii="Calibri" w:eastAsia="SimSun" w:hAnsi="Calibri" w:cs="Calibri"/>
          <w:b/>
          <w:bCs/>
          <w:color w:val="000000"/>
          <w:sz w:val="28"/>
          <w:szCs w:val="28"/>
          <w:lang w:eastAsia="zh-CN"/>
        </w:rPr>
      </w:pPr>
      <w:r w:rsidRPr="00247618">
        <w:rPr>
          <w:rFonts w:ascii="Calibri" w:eastAsia="SimSun" w:hAnsi="Calibri" w:cs="Calibri"/>
          <w:b/>
          <w:bCs/>
          <w:color w:val="000000"/>
          <w:sz w:val="28"/>
          <w:szCs w:val="28"/>
          <w:lang w:eastAsia="zh-CN"/>
        </w:rPr>
        <w:t>澳大利亚、加拿大、美国</w:t>
      </w:r>
    </w:p>
    <w:p w14:paraId="05AEB890" w14:textId="77777777" w:rsidR="00DA18EC" w:rsidRDefault="00387B26" w:rsidP="002E3248">
      <w:pPr>
        <w:jc w:val="center"/>
        <w:rPr>
          <w:rFonts w:ascii="Calibri" w:hAnsi="Calibri" w:cs="Calibri"/>
          <w:sz w:val="28"/>
          <w:szCs w:val="28"/>
          <w:lang w:eastAsia="zh-CN"/>
        </w:rPr>
      </w:pPr>
      <w:r w:rsidRPr="00387B26">
        <w:rPr>
          <w:rFonts w:ascii="Calibri" w:hAnsi="Calibri" w:cs="Calibri" w:hint="eastAsia"/>
          <w:sz w:val="28"/>
          <w:szCs w:val="28"/>
          <w:lang w:eastAsia="zh-CN"/>
        </w:rPr>
        <w:t>针对</w:t>
      </w:r>
      <w:r w:rsidRPr="00387B26">
        <w:rPr>
          <w:rFonts w:ascii="Calibri" w:hAnsi="Calibri" w:cs="Calibri" w:hint="eastAsia"/>
          <w:sz w:val="28"/>
          <w:szCs w:val="28"/>
          <w:lang w:eastAsia="zh-CN"/>
        </w:rPr>
        <w:t>2012</w:t>
      </w:r>
      <w:r w:rsidRPr="00387B26">
        <w:rPr>
          <w:rFonts w:ascii="Calibri" w:hAnsi="Calibri" w:cs="Calibri" w:hint="eastAsia"/>
          <w:sz w:val="28"/>
          <w:szCs w:val="28"/>
          <w:lang w:eastAsia="zh-CN"/>
        </w:rPr>
        <w:t>年版《国际电信规则》</w:t>
      </w:r>
    </w:p>
    <w:p w14:paraId="039E0A34" w14:textId="6F7564F3" w:rsidR="00FD687B" w:rsidRPr="00CE60BA" w:rsidRDefault="00387B26" w:rsidP="002E3248">
      <w:pPr>
        <w:jc w:val="center"/>
        <w:rPr>
          <w:rFonts w:ascii="Calibri" w:hAnsi="Calibri" w:cs="Calibri"/>
          <w:sz w:val="28"/>
          <w:szCs w:val="28"/>
          <w:lang w:eastAsia="zh-CN"/>
        </w:rPr>
      </w:pPr>
      <w:r w:rsidRPr="00387B26">
        <w:rPr>
          <w:rFonts w:ascii="Calibri" w:hAnsi="Calibri" w:cs="Calibri" w:hint="eastAsia"/>
          <w:sz w:val="28"/>
          <w:szCs w:val="28"/>
          <w:lang w:eastAsia="zh-CN"/>
        </w:rPr>
        <w:t>第五条至第八条以及附录</w:t>
      </w:r>
      <w:r w:rsidRPr="00387B26">
        <w:rPr>
          <w:rFonts w:ascii="Calibri" w:hAnsi="Calibri" w:cs="Calibri" w:hint="eastAsia"/>
          <w:sz w:val="28"/>
          <w:szCs w:val="28"/>
          <w:lang w:eastAsia="zh-CN"/>
        </w:rPr>
        <w:t>1</w:t>
      </w:r>
      <w:r w:rsidRPr="00387B26">
        <w:rPr>
          <w:rFonts w:ascii="Calibri" w:hAnsi="Calibri" w:cs="Calibri" w:hint="eastAsia"/>
          <w:sz w:val="28"/>
          <w:szCs w:val="28"/>
          <w:lang w:eastAsia="zh-CN"/>
        </w:rPr>
        <w:t>发表的观点</w:t>
      </w:r>
    </w:p>
    <w:p w14:paraId="1C582393" w14:textId="65C716A8" w:rsidR="000B7069" w:rsidRPr="00247618" w:rsidRDefault="00324E20" w:rsidP="002E3248">
      <w:pPr>
        <w:pStyle w:val="Headingb"/>
        <w:spacing w:before="600"/>
        <w:rPr>
          <w:lang w:eastAsia="zh-CN"/>
        </w:rPr>
      </w:pPr>
      <w:r w:rsidRPr="00247618">
        <w:rPr>
          <w:lang w:eastAsia="zh-CN"/>
        </w:rPr>
        <w:t>引言</w:t>
      </w:r>
    </w:p>
    <w:p w14:paraId="7C5990BF" w14:textId="38936446" w:rsidR="000B7069" w:rsidRPr="00247618" w:rsidRDefault="00CD0F3C" w:rsidP="00CD0F3C">
      <w:pPr>
        <w:spacing w:after="120"/>
        <w:ind w:firstLineChars="200" w:firstLine="480"/>
        <w:jc w:val="both"/>
        <w:rPr>
          <w:rFonts w:ascii="Calibri" w:hAnsi="Calibri" w:cs="Calibri"/>
          <w:szCs w:val="24"/>
          <w:lang w:eastAsia="zh-CN"/>
        </w:rPr>
      </w:pPr>
      <w:r w:rsidRPr="00247618">
        <w:rPr>
          <w:rFonts w:ascii="Calibri" w:hAnsi="Calibri" w:cs="Calibri"/>
          <w:szCs w:val="24"/>
          <w:lang w:eastAsia="zh-CN"/>
        </w:rPr>
        <w:t>根据《国际电信规则》专家组（</w:t>
      </w:r>
      <w:r w:rsidRPr="00247618">
        <w:rPr>
          <w:rFonts w:ascii="Calibri" w:hAnsi="Calibri" w:cs="Calibri"/>
          <w:szCs w:val="24"/>
          <w:lang w:eastAsia="zh-CN"/>
        </w:rPr>
        <w:t>EG-ITR</w:t>
      </w:r>
      <w:r w:rsidRPr="00247618">
        <w:rPr>
          <w:rFonts w:ascii="Calibri" w:hAnsi="Calibri" w:cs="Calibri"/>
          <w:szCs w:val="24"/>
          <w:lang w:eastAsia="zh-CN"/>
        </w:rPr>
        <w:t>）</w:t>
      </w:r>
      <w:r w:rsidRPr="00247618">
        <w:rPr>
          <w:rFonts w:ascii="Calibri" w:hAnsi="Calibri" w:cs="Calibri"/>
          <w:szCs w:val="24"/>
          <w:lang w:eastAsia="zh-CN"/>
        </w:rPr>
        <w:t>9</w:t>
      </w:r>
      <w:r w:rsidRPr="00247618">
        <w:rPr>
          <w:rFonts w:ascii="Calibri" w:hAnsi="Calibri" w:cs="Calibri"/>
          <w:szCs w:val="24"/>
          <w:lang w:eastAsia="zh-CN"/>
        </w:rPr>
        <w:t>月会议</w:t>
      </w:r>
      <w:r w:rsidR="00387B26">
        <w:rPr>
          <w:rFonts w:ascii="Calibri" w:hAnsi="Calibri" w:cs="Calibri" w:hint="eastAsia"/>
          <w:szCs w:val="24"/>
          <w:lang w:eastAsia="zh-CN"/>
        </w:rPr>
        <w:t>上</w:t>
      </w:r>
      <w:r w:rsidRPr="00247618">
        <w:rPr>
          <w:rFonts w:ascii="Calibri" w:hAnsi="Calibri" w:cs="Calibri"/>
          <w:szCs w:val="24"/>
          <w:lang w:eastAsia="zh-CN"/>
        </w:rPr>
        <w:t>商定的工作计划，澳大利亚、加拿大和美国高兴</w:t>
      </w:r>
      <w:r w:rsidR="00387B26">
        <w:rPr>
          <w:rFonts w:ascii="Calibri" w:hAnsi="Calibri" w:cs="Calibri" w:hint="eastAsia"/>
          <w:szCs w:val="24"/>
          <w:lang w:eastAsia="zh-CN"/>
        </w:rPr>
        <w:t>地</w:t>
      </w:r>
      <w:bookmarkStart w:id="2" w:name="_Hlk50365278"/>
      <w:r w:rsidR="00387B26">
        <w:rPr>
          <w:rFonts w:ascii="Calibri" w:hAnsi="Calibri" w:cs="Calibri" w:hint="eastAsia"/>
          <w:szCs w:val="24"/>
          <w:lang w:eastAsia="zh-CN"/>
        </w:rPr>
        <w:t>针对</w:t>
      </w:r>
      <w:r w:rsidR="00387B26" w:rsidRPr="00247618">
        <w:rPr>
          <w:rFonts w:ascii="Calibri" w:hAnsi="Calibri" w:cs="Calibri"/>
          <w:szCs w:val="24"/>
          <w:lang w:eastAsia="zh-CN"/>
        </w:rPr>
        <w:t>2012</w:t>
      </w:r>
      <w:r w:rsidR="00387B26" w:rsidRPr="00247618">
        <w:rPr>
          <w:rFonts w:ascii="Calibri" w:hAnsi="Calibri" w:cs="Calibri"/>
          <w:szCs w:val="24"/>
          <w:lang w:eastAsia="zh-CN"/>
        </w:rPr>
        <w:t>年版《国际电信规则》（</w:t>
      </w:r>
      <w:r w:rsidR="00387B26" w:rsidRPr="00247618">
        <w:rPr>
          <w:rFonts w:ascii="Calibri" w:hAnsi="Calibri" w:cs="Calibri"/>
          <w:szCs w:val="24"/>
          <w:lang w:eastAsia="zh-CN"/>
        </w:rPr>
        <w:t>ITR</w:t>
      </w:r>
      <w:r w:rsidR="00387B26" w:rsidRPr="00247618">
        <w:rPr>
          <w:rFonts w:ascii="Calibri" w:hAnsi="Calibri" w:cs="Calibri"/>
          <w:szCs w:val="24"/>
          <w:lang w:eastAsia="zh-CN"/>
        </w:rPr>
        <w:t>）</w:t>
      </w:r>
      <w:bookmarkEnd w:id="2"/>
      <w:r w:rsidRPr="00247618">
        <w:rPr>
          <w:rFonts w:ascii="Calibri" w:hAnsi="Calibri" w:cs="Calibri"/>
          <w:szCs w:val="24"/>
          <w:lang w:eastAsia="zh-CN"/>
        </w:rPr>
        <w:t>第</w:t>
      </w:r>
      <w:r w:rsidR="00387B26">
        <w:rPr>
          <w:rFonts w:ascii="Calibri" w:hAnsi="Calibri" w:cs="Calibri" w:hint="eastAsia"/>
          <w:szCs w:val="24"/>
          <w:lang w:eastAsia="zh-CN"/>
        </w:rPr>
        <w:t>5</w:t>
      </w:r>
      <w:r w:rsidRPr="00247618">
        <w:rPr>
          <w:rFonts w:ascii="Calibri" w:hAnsi="Calibri" w:cs="Calibri"/>
          <w:szCs w:val="24"/>
          <w:lang w:eastAsia="zh-CN"/>
        </w:rPr>
        <w:t>至</w:t>
      </w:r>
      <w:r w:rsidR="00387B26">
        <w:rPr>
          <w:rFonts w:ascii="Calibri" w:hAnsi="Calibri" w:cs="Calibri" w:hint="eastAsia"/>
          <w:szCs w:val="24"/>
          <w:lang w:eastAsia="zh-CN"/>
        </w:rPr>
        <w:t>8</w:t>
      </w:r>
      <w:r w:rsidRPr="00247618">
        <w:rPr>
          <w:rFonts w:ascii="Calibri" w:hAnsi="Calibri" w:cs="Calibri"/>
          <w:szCs w:val="24"/>
          <w:lang w:eastAsia="zh-CN"/>
        </w:rPr>
        <w:t>条</w:t>
      </w:r>
      <w:r w:rsidR="00387B26">
        <w:rPr>
          <w:rFonts w:ascii="Calibri" w:hAnsi="Calibri" w:cs="Calibri" w:hint="eastAsia"/>
          <w:szCs w:val="24"/>
          <w:lang w:eastAsia="zh-CN"/>
        </w:rPr>
        <w:t>和附录</w:t>
      </w:r>
      <w:r w:rsidR="00387B26">
        <w:rPr>
          <w:rFonts w:ascii="Calibri" w:hAnsi="Calibri" w:cs="Calibri" w:hint="eastAsia"/>
          <w:szCs w:val="24"/>
          <w:lang w:eastAsia="zh-CN"/>
        </w:rPr>
        <w:t>1</w:t>
      </w:r>
      <w:r w:rsidRPr="00247618">
        <w:rPr>
          <w:rFonts w:ascii="Calibri" w:hAnsi="Calibri" w:cs="Calibri"/>
          <w:szCs w:val="24"/>
          <w:lang w:eastAsia="zh-CN"/>
        </w:rPr>
        <w:t>发表意见。</w:t>
      </w:r>
      <w:r w:rsidR="00634645" w:rsidRPr="00634645">
        <w:rPr>
          <w:rFonts w:ascii="Calibri" w:hAnsi="Calibri" w:cs="Calibri" w:hint="eastAsia"/>
          <w:szCs w:val="24"/>
          <w:lang w:eastAsia="zh-CN"/>
        </w:rPr>
        <w:t>我们认为，关</w:t>
      </w:r>
      <w:r w:rsidR="00634645">
        <w:rPr>
          <w:rFonts w:ascii="Calibri" w:hAnsi="Calibri" w:cs="Calibri" w:hint="eastAsia"/>
          <w:szCs w:val="24"/>
          <w:lang w:eastAsia="zh-CN"/>
        </w:rPr>
        <w:t>于</w:t>
      </w:r>
      <w:r w:rsidR="00634645" w:rsidRPr="00634645">
        <w:rPr>
          <w:rFonts w:ascii="Calibri" w:hAnsi="Calibri" w:cs="Calibri" w:hint="eastAsia"/>
          <w:szCs w:val="24"/>
          <w:lang w:eastAsia="zh-CN"/>
        </w:rPr>
        <w:t>计费和结算</w:t>
      </w:r>
      <w:r w:rsidR="00634645">
        <w:rPr>
          <w:rFonts w:ascii="Calibri" w:hAnsi="Calibri" w:cs="Calibri" w:hint="eastAsia"/>
          <w:szCs w:val="24"/>
          <w:lang w:eastAsia="zh-CN"/>
        </w:rPr>
        <w:t>、</w:t>
      </w:r>
      <w:r w:rsidR="00634645" w:rsidRPr="00634645">
        <w:rPr>
          <w:rFonts w:ascii="Calibri" w:hAnsi="Calibri" w:cs="Calibri" w:hint="eastAsia"/>
          <w:szCs w:val="24"/>
          <w:lang w:eastAsia="zh-CN"/>
        </w:rPr>
        <w:t>网络的安全性和</w:t>
      </w:r>
      <w:r w:rsidR="00634645">
        <w:rPr>
          <w:rFonts w:ascii="Calibri" w:hAnsi="Calibri" w:cs="Calibri" w:hint="eastAsia"/>
          <w:szCs w:val="24"/>
          <w:lang w:eastAsia="zh-CN"/>
        </w:rPr>
        <w:t>健壮</w:t>
      </w:r>
      <w:r w:rsidR="00634645" w:rsidRPr="00634645">
        <w:rPr>
          <w:rFonts w:ascii="Calibri" w:hAnsi="Calibri" w:cs="Calibri" w:hint="eastAsia"/>
          <w:szCs w:val="24"/>
          <w:lang w:eastAsia="zh-CN"/>
        </w:rPr>
        <w:t>性以及强行推介的批量电子通信的</w:t>
      </w:r>
      <w:r w:rsidR="00634645">
        <w:rPr>
          <w:rFonts w:ascii="Calibri" w:hAnsi="Calibri" w:cs="Calibri" w:hint="eastAsia"/>
          <w:szCs w:val="24"/>
          <w:lang w:eastAsia="zh-CN"/>
        </w:rPr>
        <w:t>条款</w:t>
      </w:r>
      <w:r w:rsidR="00634645" w:rsidRPr="00634645">
        <w:rPr>
          <w:rFonts w:ascii="Calibri" w:hAnsi="Calibri" w:cs="Calibri" w:hint="eastAsia"/>
          <w:szCs w:val="24"/>
          <w:lang w:eastAsia="zh-CN"/>
        </w:rPr>
        <w:t>在当今的通信环境中既不适用也不灵活。</w:t>
      </w:r>
      <w:r w:rsidR="000300F2" w:rsidRPr="00247618">
        <w:rPr>
          <w:rFonts w:ascii="Calibri" w:hAnsi="Calibri" w:cs="Calibri"/>
          <w:szCs w:val="24"/>
          <w:lang w:eastAsia="zh-CN"/>
        </w:rPr>
        <w:t>任何修改</w:t>
      </w:r>
      <w:r w:rsidR="000300F2" w:rsidRPr="00247618">
        <w:rPr>
          <w:rFonts w:ascii="Calibri" w:hAnsi="Calibri" w:cs="Calibri"/>
          <w:szCs w:val="24"/>
          <w:lang w:eastAsia="zh-CN"/>
        </w:rPr>
        <w:t>2012</w:t>
      </w:r>
      <w:r w:rsidR="000300F2" w:rsidRPr="00247618">
        <w:rPr>
          <w:rFonts w:ascii="Calibri" w:hAnsi="Calibri" w:cs="Calibri"/>
          <w:szCs w:val="24"/>
          <w:lang w:eastAsia="zh-CN"/>
        </w:rPr>
        <w:t>年版</w:t>
      </w:r>
      <w:r w:rsidR="00634645">
        <w:rPr>
          <w:rFonts w:ascii="Calibri" w:hAnsi="Calibri" w:cs="Calibri" w:hint="eastAsia"/>
          <w:szCs w:val="24"/>
          <w:lang w:eastAsia="zh-CN"/>
        </w:rPr>
        <w:t>《国际电信规则》</w:t>
      </w:r>
      <w:r w:rsidR="000300F2" w:rsidRPr="00247618">
        <w:rPr>
          <w:rFonts w:ascii="Calibri" w:hAnsi="Calibri" w:cs="Calibri"/>
          <w:szCs w:val="24"/>
          <w:lang w:eastAsia="zh-CN"/>
        </w:rPr>
        <w:t>以应对现有经济条件以及新兴技术和服务的尝试，都将遭遇与现有条款相同的命运</w:t>
      </w:r>
      <w:r w:rsidR="000300F2" w:rsidRPr="00247618">
        <w:rPr>
          <w:rFonts w:ascii="Calibri" w:hAnsi="Calibri" w:cs="Calibri"/>
          <w:szCs w:val="24"/>
          <w:lang w:eastAsia="zh-CN"/>
        </w:rPr>
        <w:t xml:space="preserve"> – </w:t>
      </w:r>
      <w:r w:rsidR="000300F2" w:rsidRPr="00247618">
        <w:rPr>
          <w:rFonts w:ascii="Calibri" w:hAnsi="Calibri" w:cs="Calibri"/>
          <w:szCs w:val="24"/>
          <w:lang w:eastAsia="zh-CN"/>
        </w:rPr>
        <w:t>因为市场和监管环境日新月异，详细的条约</w:t>
      </w:r>
      <w:r w:rsidR="00634645">
        <w:rPr>
          <w:rFonts w:ascii="Calibri" w:hAnsi="Calibri" w:cs="Calibri" w:hint="eastAsia"/>
          <w:szCs w:val="24"/>
          <w:lang w:eastAsia="zh-CN"/>
        </w:rPr>
        <w:t>性</w:t>
      </w:r>
      <w:r w:rsidR="000300F2" w:rsidRPr="00247618">
        <w:rPr>
          <w:rFonts w:ascii="Calibri" w:hAnsi="Calibri" w:cs="Calibri"/>
          <w:szCs w:val="24"/>
          <w:lang w:eastAsia="zh-CN"/>
        </w:rPr>
        <w:t>条款将</w:t>
      </w:r>
      <w:proofErr w:type="gramStart"/>
      <w:r w:rsidR="00634645">
        <w:rPr>
          <w:rFonts w:ascii="Calibri" w:hAnsi="Calibri" w:cs="Calibri" w:hint="eastAsia"/>
          <w:szCs w:val="24"/>
          <w:lang w:eastAsia="zh-CN"/>
        </w:rPr>
        <w:t>因</w:t>
      </w:r>
      <w:r w:rsidR="000300F2" w:rsidRPr="00247618">
        <w:rPr>
          <w:rFonts w:ascii="Calibri" w:hAnsi="Calibri" w:cs="Calibri"/>
          <w:szCs w:val="24"/>
          <w:lang w:eastAsia="zh-CN"/>
        </w:rPr>
        <w:t>永远</w:t>
      </w:r>
      <w:proofErr w:type="gramEnd"/>
      <w:r w:rsidR="000300F2" w:rsidRPr="00247618">
        <w:rPr>
          <w:rFonts w:ascii="Calibri" w:hAnsi="Calibri" w:cs="Calibri"/>
          <w:szCs w:val="24"/>
          <w:lang w:eastAsia="zh-CN"/>
        </w:rPr>
        <w:t>落后于发展</w:t>
      </w:r>
      <w:r w:rsidR="00634645">
        <w:rPr>
          <w:rFonts w:ascii="Calibri" w:hAnsi="Calibri" w:cs="Calibri" w:hint="eastAsia"/>
          <w:szCs w:val="24"/>
          <w:lang w:eastAsia="zh-CN"/>
        </w:rPr>
        <w:t>而过时</w:t>
      </w:r>
      <w:r w:rsidR="000300F2" w:rsidRPr="00247618">
        <w:rPr>
          <w:rFonts w:ascii="Calibri" w:hAnsi="Calibri" w:cs="Calibri"/>
          <w:szCs w:val="24"/>
          <w:lang w:eastAsia="zh-CN"/>
        </w:rPr>
        <w:t>。</w:t>
      </w:r>
    </w:p>
    <w:p w14:paraId="1312E122" w14:textId="6BE3CC6C" w:rsidR="000B7069" w:rsidRPr="00247618" w:rsidRDefault="00634645" w:rsidP="00216864">
      <w:pPr>
        <w:pStyle w:val="Headingb"/>
        <w:spacing w:before="360"/>
        <w:rPr>
          <w:lang w:eastAsia="zh-CN"/>
        </w:rPr>
      </w:pPr>
      <w:r>
        <w:rPr>
          <w:rFonts w:hint="eastAsia"/>
          <w:lang w:eastAsia="zh-CN"/>
        </w:rPr>
        <w:t>讨论</w:t>
      </w:r>
    </w:p>
    <w:p w14:paraId="2476C214" w14:textId="5477B989" w:rsidR="00634645" w:rsidRPr="009822EB" w:rsidRDefault="00EF611A" w:rsidP="00247618">
      <w:pPr>
        <w:spacing w:after="120"/>
        <w:ind w:firstLineChars="200" w:firstLine="480"/>
        <w:jc w:val="both"/>
        <w:rPr>
          <w:rFonts w:ascii="Calibri" w:hAnsi="Calibri" w:cs="Calibri"/>
          <w:szCs w:val="24"/>
          <w:lang w:eastAsia="zh-CN"/>
        </w:rPr>
      </w:pPr>
      <w:r w:rsidRPr="00634645">
        <w:rPr>
          <w:rFonts w:ascii="Calibri" w:hAnsi="Calibri" w:cs="Calibri"/>
          <w:szCs w:val="24"/>
          <w:lang w:eastAsia="zh-CN"/>
        </w:rPr>
        <w:t>我们在此前</w:t>
      </w:r>
      <w:r w:rsidR="00634645" w:rsidRPr="00634645">
        <w:rPr>
          <w:rFonts w:ascii="Calibri" w:hAnsi="Calibri" w:cs="Calibri" w:hint="eastAsia"/>
          <w:szCs w:val="24"/>
          <w:lang w:eastAsia="zh-CN"/>
        </w:rPr>
        <w:t>提交《国际电信规则》专家组（</w:t>
      </w:r>
      <w:r w:rsidR="00634645" w:rsidRPr="00634645">
        <w:rPr>
          <w:rFonts w:ascii="Calibri" w:hAnsi="Calibri" w:cs="Calibri" w:hint="eastAsia"/>
          <w:szCs w:val="24"/>
          <w:lang w:eastAsia="zh-CN"/>
        </w:rPr>
        <w:t>EG-ITR</w:t>
      </w:r>
      <w:r w:rsidR="00634645" w:rsidRPr="00634645">
        <w:rPr>
          <w:rFonts w:ascii="Calibri" w:hAnsi="Calibri" w:cs="Calibri" w:hint="eastAsia"/>
          <w:szCs w:val="24"/>
          <w:lang w:eastAsia="zh-CN"/>
        </w:rPr>
        <w:t>）</w:t>
      </w:r>
      <w:r w:rsidR="00634645" w:rsidRPr="00634645">
        <w:rPr>
          <w:rFonts w:ascii="Calibri" w:hAnsi="Calibri" w:cs="Calibri" w:hint="eastAsia"/>
          <w:szCs w:val="24"/>
          <w:lang w:eastAsia="zh-CN"/>
        </w:rPr>
        <w:t>9</w:t>
      </w:r>
      <w:r w:rsidR="00634645" w:rsidRPr="00634645">
        <w:rPr>
          <w:rFonts w:ascii="Calibri" w:hAnsi="Calibri" w:cs="Calibri" w:hint="eastAsia"/>
          <w:szCs w:val="24"/>
          <w:lang w:eastAsia="zh-CN"/>
        </w:rPr>
        <w:t>月会议</w:t>
      </w:r>
      <w:r w:rsidRPr="00634645">
        <w:rPr>
          <w:rFonts w:ascii="Calibri" w:hAnsi="Calibri" w:cs="Calibri"/>
          <w:szCs w:val="24"/>
          <w:lang w:eastAsia="zh-CN"/>
        </w:rPr>
        <w:t>的一份文稿中</w:t>
      </w:r>
      <w:r w:rsidR="00634645" w:rsidRPr="00634645">
        <w:rPr>
          <w:rFonts w:ascii="Calibri" w:hAnsi="Calibri" w:cs="Calibri" w:hint="eastAsia"/>
          <w:szCs w:val="24"/>
          <w:lang w:eastAsia="zh-CN"/>
        </w:rPr>
        <w:t>强调</w:t>
      </w:r>
      <w:r w:rsidR="009822EB">
        <w:rPr>
          <w:rFonts w:ascii="Calibri" w:hAnsi="Calibri" w:cs="Calibri" w:hint="eastAsia"/>
          <w:szCs w:val="24"/>
          <w:lang w:eastAsia="zh-CN"/>
        </w:rPr>
        <w:t>了</w:t>
      </w:r>
      <w:r w:rsidR="00634645" w:rsidRPr="00634645">
        <w:rPr>
          <w:rFonts w:ascii="Calibri" w:hAnsi="Calibri" w:cs="Calibri" w:hint="eastAsia"/>
          <w:szCs w:val="24"/>
          <w:lang w:eastAsia="zh-CN"/>
        </w:rPr>
        <w:t>使用条约工具来</w:t>
      </w:r>
      <w:r w:rsidR="009822EB">
        <w:rPr>
          <w:rFonts w:ascii="Calibri" w:hAnsi="Calibri" w:cs="Calibri" w:hint="eastAsia"/>
          <w:szCs w:val="24"/>
          <w:lang w:eastAsia="zh-CN"/>
        </w:rPr>
        <w:t>试图监管</w:t>
      </w:r>
      <w:r w:rsidR="00634645" w:rsidRPr="00634645">
        <w:rPr>
          <w:rFonts w:ascii="Calibri" w:hAnsi="Calibri" w:cs="Calibri" w:hint="eastAsia"/>
          <w:szCs w:val="24"/>
          <w:lang w:eastAsia="zh-CN"/>
        </w:rPr>
        <w:t>竞争激烈</w:t>
      </w:r>
      <w:proofErr w:type="gramStart"/>
      <w:r w:rsidR="00634645" w:rsidRPr="00634645">
        <w:rPr>
          <w:rFonts w:ascii="Calibri" w:hAnsi="Calibri" w:cs="Calibri" w:hint="eastAsia"/>
          <w:szCs w:val="24"/>
          <w:lang w:eastAsia="zh-CN"/>
        </w:rPr>
        <w:t>且活跃</w:t>
      </w:r>
      <w:proofErr w:type="gramEnd"/>
      <w:r w:rsidR="00634645" w:rsidRPr="00634645">
        <w:rPr>
          <w:rFonts w:ascii="Calibri" w:hAnsi="Calibri" w:cs="Calibri" w:hint="eastAsia"/>
          <w:szCs w:val="24"/>
          <w:lang w:eastAsia="zh-CN"/>
        </w:rPr>
        <w:t>的市场</w:t>
      </w:r>
      <w:r w:rsidR="009822EB">
        <w:rPr>
          <w:rFonts w:ascii="Calibri" w:hAnsi="Calibri" w:cs="Calibri" w:hint="eastAsia"/>
          <w:szCs w:val="24"/>
          <w:lang w:eastAsia="zh-CN"/>
        </w:rPr>
        <w:t>所带来的根</w:t>
      </w:r>
      <w:r w:rsidR="00634645" w:rsidRPr="00634645">
        <w:rPr>
          <w:rFonts w:ascii="Calibri" w:hAnsi="Calibri" w:cs="Calibri" w:hint="eastAsia"/>
          <w:szCs w:val="24"/>
          <w:lang w:eastAsia="zh-CN"/>
        </w:rPr>
        <w:t>本问题之一。与电信有关的条约规定必须足够灵活，</w:t>
      </w:r>
      <w:r w:rsidR="00634645" w:rsidRPr="009822EB">
        <w:rPr>
          <w:rFonts w:ascii="Calibri" w:hAnsi="Calibri" w:cs="Calibri" w:hint="eastAsia"/>
          <w:szCs w:val="24"/>
          <w:lang w:eastAsia="zh-CN"/>
        </w:rPr>
        <w:t>以</w:t>
      </w:r>
      <w:r w:rsidR="009822EB" w:rsidRPr="009822EB">
        <w:rPr>
          <w:rFonts w:ascii="Calibri" w:hAnsi="Calibri" w:cs="Calibri"/>
          <w:szCs w:val="24"/>
          <w:lang w:val="en-US" w:eastAsia="zh-CN"/>
        </w:rPr>
        <w:t>适应</w:t>
      </w:r>
      <w:r w:rsidR="00634645" w:rsidRPr="009822EB">
        <w:rPr>
          <w:rFonts w:ascii="Calibri" w:hAnsi="Calibri" w:cs="Calibri" w:hint="eastAsia"/>
          <w:szCs w:val="24"/>
          <w:lang w:eastAsia="zh-CN"/>
        </w:rPr>
        <w:t>市场的不断变化。旨在解决不断变化的市场的</w:t>
      </w:r>
      <w:r w:rsidR="009822EB" w:rsidRPr="009822EB">
        <w:rPr>
          <w:rFonts w:ascii="Calibri" w:hAnsi="Calibri" w:cs="Calibri" w:hint="eastAsia"/>
          <w:szCs w:val="24"/>
          <w:lang w:eastAsia="zh-CN"/>
        </w:rPr>
        <w:t>具体</w:t>
      </w:r>
      <w:r w:rsidR="00634645" w:rsidRPr="009822EB">
        <w:rPr>
          <w:rFonts w:ascii="Calibri" w:hAnsi="Calibri" w:cs="Calibri" w:hint="eastAsia"/>
          <w:szCs w:val="24"/>
          <w:lang w:eastAsia="zh-CN"/>
        </w:rPr>
        <w:t>方面的条约</w:t>
      </w:r>
      <w:r w:rsidR="009822EB" w:rsidRPr="009822EB">
        <w:rPr>
          <w:rFonts w:ascii="Calibri" w:hAnsi="Calibri" w:cs="Calibri" w:hint="eastAsia"/>
          <w:szCs w:val="24"/>
          <w:lang w:eastAsia="zh-CN"/>
        </w:rPr>
        <w:t>性条款</w:t>
      </w:r>
      <w:r w:rsidR="00634645" w:rsidRPr="009822EB">
        <w:rPr>
          <w:rFonts w:ascii="Calibri" w:hAnsi="Calibri" w:cs="Calibri" w:hint="eastAsia"/>
          <w:szCs w:val="24"/>
          <w:lang w:eastAsia="zh-CN"/>
        </w:rPr>
        <w:t>将继续面临</w:t>
      </w:r>
      <w:r w:rsidR="009822EB" w:rsidRPr="009822EB">
        <w:rPr>
          <w:rFonts w:ascii="Calibri" w:hAnsi="Calibri" w:cs="Calibri"/>
          <w:szCs w:val="24"/>
          <w:lang w:val="en-US" w:eastAsia="zh-CN"/>
        </w:rPr>
        <w:t>过时和</w:t>
      </w:r>
      <w:r w:rsidR="00634645" w:rsidRPr="009822EB">
        <w:rPr>
          <w:rFonts w:ascii="Calibri" w:hAnsi="Calibri" w:cs="Calibri" w:hint="eastAsia"/>
          <w:szCs w:val="24"/>
          <w:lang w:eastAsia="zh-CN"/>
        </w:rPr>
        <w:t>淘汰。</w:t>
      </w:r>
    </w:p>
    <w:p w14:paraId="5C2E1046" w14:textId="4559E320" w:rsidR="000B7069" w:rsidRPr="00DB2B12" w:rsidRDefault="00E964F5" w:rsidP="00247618">
      <w:pPr>
        <w:spacing w:after="120"/>
        <w:ind w:firstLineChars="200" w:firstLine="480"/>
        <w:jc w:val="both"/>
        <w:rPr>
          <w:rFonts w:ascii="Calibri" w:hAnsi="Calibri" w:cs="Calibri"/>
          <w:szCs w:val="24"/>
          <w:lang w:eastAsia="zh-CN"/>
        </w:rPr>
      </w:pPr>
      <w:bookmarkStart w:id="3" w:name="_Hlk47526724"/>
      <w:r w:rsidRPr="00247618">
        <w:rPr>
          <w:rFonts w:ascii="Calibri" w:hAnsi="Calibri" w:cs="Calibri"/>
          <w:szCs w:val="24"/>
          <w:lang w:eastAsia="zh-CN"/>
        </w:rPr>
        <w:t>这种根本性的紧张关系反映在</w:t>
      </w:r>
      <w:r w:rsidRPr="00247618">
        <w:rPr>
          <w:rFonts w:ascii="Calibri" w:hAnsi="Calibri" w:cs="Calibri"/>
          <w:szCs w:val="24"/>
          <w:lang w:eastAsia="zh-CN"/>
        </w:rPr>
        <w:t>2012</w:t>
      </w:r>
      <w:r w:rsidRPr="00247618">
        <w:rPr>
          <w:rFonts w:ascii="Calibri" w:hAnsi="Calibri" w:cs="Calibri"/>
          <w:szCs w:val="24"/>
          <w:lang w:eastAsia="zh-CN"/>
        </w:rPr>
        <w:t>年版《国际电信规则》的诸多条款中。</w:t>
      </w:r>
      <w:r w:rsidRPr="00E94D52">
        <w:rPr>
          <w:rFonts w:ascii="Calibri" w:hAnsi="Calibri" w:cs="Calibri"/>
          <w:szCs w:val="24"/>
          <w:lang w:eastAsia="zh-CN"/>
        </w:rPr>
        <w:t>例如，关于</w:t>
      </w:r>
      <w:r w:rsidR="00E94D52" w:rsidRPr="00E94D52">
        <w:rPr>
          <w:rFonts w:ascii="Calibri" w:hAnsi="Calibri" w:cs="Calibri" w:hint="eastAsia"/>
          <w:szCs w:val="24"/>
          <w:lang w:eastAsia="zh-CN"/>
        </w:rPr>
        <w:t>计</w:t>
      </w:r>
      <w:r w:rsidRPr="00E94D52">
        <w:rPr>
          <w:rFonts w:ascii="Calibri" w:hAnsi="Calibri" w:cs="Calibri"/>
          <w:szCs w:val="24"/>
          <w:lang w:eastAsia="zh-CN"/>
        </w:rPr>
        <w:t>费和结算的第</w:t>
      </w:r>
      <w:r w:rsidRPr="00E94D52">
        <w:rPr>
          <w:rFonts w:ascii="Calibri" w:hAnsi="Calibri" w:cs="Calibri"/>
          <w:szCs w:val="24"/>
          <w:lang w:eastAsia="zh-CN"/>
        </w:rPr>
        <w:t>8</w:t>
      </w:r>
      <w:r w:rsidRPr="00E94D52">
        <w:rPr>
          <w:rFonts w:ascii="Calibri" w:hAnsi="Calibri" w:cs="Calibri"/>
          <w:szCs w:val="24"/>
          <w:lang w:eastAsia="zh-CN"/>
        </w:rPr>
        <w:t>条和</w:t>
      </w:r>
      <w:r w:rsidR="00E94D52" w:rsidRPr="00E94D52">
        <w:rPr>
          <w:rFonts w:ascii="Calibri" w:hAnsi="Calibri" w:cs="Calibri"/>
          <w:szCs w:val="24"/>
          <w:lang w:eastAsia="zh-CN"/>
        </w:rPr>
        <w:t>附录</w:t>
      </w:r>
      <w:r w:rsidR="00E94D52" w:rsidRPr="00E94D52">
        <w:rPr>
          <w:rFonts w:ascii="Calibri" w:hAnsi="Calibri" w:cs="Calibri"/>
          <w:szCs w:val="24"/>
          <w:lang w:eastAsia="zh-CN"/>
        </w:rPr>
        <w:t>1</w:t>
      </w:r>
      <w:r w:rsidRPr="00E94D52">
        <w:rPr>
          <w:rFonts w:ascii="Calibri" w:hAnsi="Calibri" w:cs="Calibri"/>
          <w:szCs w:val="24"/>
          <w:lang w:eastAsia="zh-CN"/>
        </w:rPr>
        <w:t>包括若干</w:t>
      </w:r>
      <w:proofErr w:type="gramStart"/>
      <w:r w:rsidRPr="00E94D52">
        <w:rPr>
          <w:rFonts w:ascii="Calibri" w:hAnsi="Calibri" w:cs="Calibri"/>
          <w:szCs w:val="24"/>
          <w:lang w:eastAsia="zh-CN"/>
        </w:rPr>
        <w:t>规</w:t>
      </w:r>
      <w:proofErr w:type="gramEnd"/>
      <w:r w:rsidRPr="00E94D52">
        <w:rPr>
          <w:rFonts w:ascii="Calibri" w:hAnsi="Calibri" w:cs="Calibri"/>
          <w:szCs w:val="24"/>
          <w:lang w:eastAsia="zh-CN"/>
        </w:rPr>
        <w:t>管成员国之间确立结算费率</w:t>
      </w:r>
      <w:r w:rsidR="00E94D52" w:rsidRPr="00E94D52">
        <w:rPr>
          <w:rFonts w:ascii="Calibri" w:hAnsi="Calibri" w:cs="Calibri"/>
          <w:szCs w:val="24"/>
          <w:lang w:eastAsia="zh-CN"/>
        </w:rPr>
        <w:t>的详细条款</w:t>
      </w:r>
      <w:r w:rsidRPr="00E94D52">
        <w:rPr>
          <w:rFonts w:ascii="Calibri" w:hAnsi="Calibri" w:cs="Calibri"/>
          <w:szCs w:val="24"/>
          <w:lang w:eastAsia="zh-CN"/>
        </w:rPr>
        <w:t>，但现今绝大多数流量不再按照这种结算费率制度进行交换。</w:t>
      </w:r>
      <w:r w:rsidRPr="00247618">
        <w:rPr>
          <w:rFonts w:ascii="Calibri" w:hAnsi="Calibri" w:cs="Calibri"/>
          <w:szCs w:val="24"/>
          <w:lang w:eastAsia="zh-CN"/>
        </w:rPr>
        <w:t>因此，第</w:t>
      </w:r>
      <w:r w:rsidRPr="00247618">
        <w:rPr>
          <w:rFonts w:ascii="Calibri" w:hAnsi="Calibri" w:cs="Calibri"/>
          <w:szCs w:val="24"/>
          <w:lang w:eastAsia="zh-CN"/>
        </w:rPr>
        <w:t>8</w:t>
      </w:r>
      <w:r w:rsidRPr="00247618">
        <w:rPr>
          <w:rFonts w:ascii="Calibri" w:hAnsi="Calibri" w:cs="Calibri"/>
          <w:szCs w:val="24"/>
          <w:lang w:eastAsia="zh-CN"/>
        </w:rPr>
        <w:t>条和附录</w:t>
      </w:r>
      <w:r w:rsidRPr="00247618">
        <w:rPr>
          <w:rFonts w:ascii="Calibri" w:hAnsi="Calibri" w:cs="Calibri"/>
          <w:szCs w:val="24"/>
          <w:lang w:eastAsia="zh-CN"/>
        </w:rPr>
        <w:t>1</w:t>
      </w:r>
      <w:r w:rsidRPr="00247618">
        <w:rPr>
          <w:rFonts w:ascii="Calibri" w:hAnsi="Calibri" w:cs="Calibri"/>
          <w:szCs w:val="24"/>
          <w:lang w:eastAsia="zh-CN"/>
        </w:rPr>
        <w:t>在很大程度上与当前的国际电信环境</w:t>
      </w:r>
      <w:r w:rsidR="00E94D52">
        <w:rPr>
          <w:rFonts w:ascii="Calibri" w:hAnsi="Calibri" w:cs="Calibri" w:hint="eastAsia"/>
          <w:szCs w:val="24"/>
          <w:lang w:eastAsia="zh-CN"/>
        </w:rPr>
        <w:t>不具相关性</w:t>
      </w:r>
      <w:r w:rsidRPr="00247618">
        <w:rPr>
          <w:rFonts w:ascii="Calibri" w:hAnsi="Calibri" w:cs="Calibri"/>
          <w:szCs w:val="24"/>
          <w:lang w:eastAsia="zh-CN"/>
        </w:rPr>
        <w:t>。</w:t>
      </w:r>
      <w:r w:rsidRPr="00247618">
        <w:rPr>
          <w:rFonts w:ascii="Calibri" w:hAnsi="Calibri" w:cs="Calibri"/>
          <w:lang w:eastAsia="zh-CN"/>
        </w:rPr>
        <w:t>试图</w:t>
      </w:r>
      <w:r w:rsidRPr="00247618">
        <w:rPr>
          <w:rFonts w:ascii="Calibri" w:hAnsi="Calibri" w:cs="Calibri"/>
          <w:szCs w:val="24"/>
          <w:lang w:eastAsia="zh-CN"/>
        </w:rPr>
        <w:t>应用结算费率规定，甚至将其修订以适用于当前基于市场的安排，将会使国际电信</w:t>
      </w:r>
      <w:r w:rsidR="00E94D52">
        <w:rPr>
          <w:rFonts w:ascii="Calibri" w:hAnsi="Calibri" w:cs="Calibri" w:hint="eastAsia"/>
          <w:szCs w:val="24"/>
          <w:lang w:eastAsia="zh-CN"/>
        </w:rPr>
        <w:t>话务</w:t>
      </w:r>
      <w:r w:rsidRPr="00247618">
        <w:rPr>
          <w:rFonts w:ascii="Calibri" w:hAnsi="Calibri" w:cs="Calibri"/>
          <w:szCs w:val="24"/>
          <w:lang w:eastAsia="zh-CN"/>
        </w:rPr>
        <w:t>量流动不畅，并</w:t>
      </w:r>
      <w:r w:rsidR="00E94D52">
        <w:rPr>
          <w:rFonts w:ascii="Calibri" w:hAnsi="Calibri" w:cs="Calibri" w:hint="eastAsia"/>
          <w:szCs w:val="24"/>
          <w:lang w:eastAsia="zh-CN"/>
        </w:rPr>
        <w:t>且</w:t>
      </w:r>
      <w:r w:rsidRPr="00247618">
        <w:rPr>
          <w:rFonts w:ascii="Calibri" w:hAnsi="Calibri" w:cs="Calibri"/>
          <w:szCs w:val="24"/>
          <w:lang w:eastAsia="zh-CN"/>
        </w:rPr>
        <w:t>阻碍</w:t>
      </w:r>
      <w:r w:rsidR="00E94D52">
        <w:rPr>
          <w:rFonts w:ascii="Calibri" w:hAnsi="Calibri" w:cs="Calibri" w:hint="eastAsia"/>
          <w:szCs w:val="24"/>
          <w:lang w:eastAsia="zh-CN"/>
        </w:rPr>
        <w:t>可</w:t>
      </w:r>
      <w:r w:rsidRPr="00247618">
        <w:rPr>
          <w:rFonts w:ascii="Calibri" w:hAnsi="Calibri" w:cs="Calibri"/>
          <w:szCs w:val="24"/>
          <w:lang w:eastAsia="zh-CN"/>
        </w:rPr>
        <w:t>改善服务并降低消费者价格的市场和技术创新。</w:t>
      </w:r>
      <w:bookmarkEnd w:id="3"/>
      <w:r w:rsidR="00E94D52" w:rsidRPr="00DB2B12">
        <w:rPr>
          <w:rFonts w:ascii="Calibri" w:hAnsi="Calibri" w:cs="Calibri" w:hint="eastAsia"/>
          <w:szCs w:val="24"/>
          <w:lang w:eastAsia="zh-CN"/>
        </w:rPr>
        <w:t>此</w:t>
      </w:r>
      <w:r w:rsidR="00E94D52" w:rsidRPr="00DB2B12">
        <w:rPr>
          <w:rFonts w:ascii="Calibri" w:hAnsi="Calibri" w:cs="Calibri"/>
          <w:szCs w:val="24"/>
          <w:lang w:eastAsia="zh-CN"/>
        </w:rPr>
        <w:t>外，多年来，投资和竞争的增加导致网络容量的增加和国际流量交换价格的降低，</w:t>
      </w:r>
      <w:r w:rsidR="00DB2B12" w:rsidRPr="00DB2B12">
        <w:rPr>
          <w:rFonts w:ascii="Calibri" w:hAnsi="Calibri" w:cs="Calibri" w:hint="eastAsia"/>
          <w:szCs w:val="24"/>
          <w:lang w:eastAsia="zh-CN"/>
        </w:rPr>
        <w:t>而</w:t>
      </w:r>
      <w:r w:rsidR="00E94D52" w:rsidRPr="00DB2B12">
        <w:rPr>
          <w:rFonts w:ascii="Calibri" w:hAnsi="Calibri" w:cs="Calibri"/>
          <w:szCs w:val="24"/>
          <w:lang w:eastAsia="zh-CN"/>
        </w:rPr>
        <w:t>这要比</w:t>
      </w:r>
      <w:r w:rsidR="00DB2B12" w:rsidRPr="00DB2B12">
        <w:rPr>
          <w:rFonts w:ascii="Calibri" w:hAnsi="Calibri" w:cs="Calibri" w:hint="eastAsia"/>
          <w:szCs w:val="24"/>
          <w:lang w:eastAsia="zh-CN"/>
        </w:rPr>
        <w:t>结算</w:t>
      </w:r>
      <w:proofErr w:type="gramStart"/>
      <w:r w:rsidR="00DB2B12" w:rsidRPr="00DB2B12">
        <w:rPr>
          <w:rFonts w:ascii="Calibri" w:hAnsi="Calibri" w:cs="Calibri" w:hint="eastAsia"/>
          <w:szCs w:val="24"/>
          <w:lang w:eastAsia="zh-CN"/>
        </w:rPr>
        <w:t>价体</w:t>
      </w:r>
      <w:r w:rsidR="00E94D52" w:rsidRPr="00DB2B12">
        <w:rPr>
          <w:rFonts w:ascii="Calibri" w:hAnsi="Calibri" w:cs="Calibri"/>
          <w:szCs w:val="24"/>
          <w:lang w:eastAsia="zh-CN"/>
        </w:rPr>
        <w:t>制</w:t>
      </w:r>
      <w:proofErr w:type="gramEnd"/>
      <w:r w:rsidR="00E94D52" w:rsidRPr="00DB2B12">
        <w:rPr>
          <w:rFonts w:ascii="Calibri" w:hAnsi="Calibri" w:cs="Calibri"/>
          <w:szCs w:val="24"/>
          <w:lang w:eastAsia="zh-CN"/>
        </w:rPr>
        <w:t>下的费用</w:t>
      </w:r>
      <w:r w:rsidR="00DB2B12" w:rsidRPr="00DB2B12">
        <w:rPr>
          <w:rFonts w:ascii="Calibri" w:hAnsi="Calibri" w:cs="Calibri" w:hint="eastAsia"/>
          <w:szCs w:val="24"/>
          <w:lang w:eastAsia="zh-CN"/>
        </w:rPr>
        <w:t>要</w:t>
      </w:r>
      <w:r w:rsidR="00E94D52" w:rsidRPr="00DB2B12">
        <w:rPr>
          <w:rFonts w:ascii="Calibri" w:hAnsi="Calibri" w:cs="Calibri"/>
          <w:szCs w:val="24"/>
          <w:lang w:eastAsia="zh-CN"/>
        </w:rPr>
        <w:t>低</w:t>
      </w:r>
      <w:r w:rsidR="00E94D52" w:rsidRPr="00DB2B12">
        <w:rPr>
          <w:rFonts w:ascii="Calibri" w:hAnsi="Calibri" w:cs="Calibri" w:hint="eastAsia"/>
          <w:szCs w:val="24"/>
          <w:lang w:eastAsia="zh-CN"/>
        </w:rPr>
        <w:t>。</w:t>
      </w:r>
    </w:p>
    <w:p w14:paraId="0EA963AE" w14:textId="05DE1A59" w:rsidR="006E489B" w:rsidRPr="00247618" w:rsidRDefault="006E489B" w:rsidP="00247618">
      <w:pPr>
        <w:spacing w:after="120"/>
        <w:ind w:firstLineChars="200" w:firstLine="480"/>
        <w:jc w:val="both"/>
        <w:rPr>
          <w:rFonts w:ascii="Calibri" w:hAnsi="Calibri" w:cs="Calibri"/>
          <w:szCs w:val="24"/>
          <w:lang w:eastAsia="zh-CN"/>
        </w:rPr>
      </w:pPr>
      <w:r w:rsidRPr="006E489B">
        <w:rPr>
          <w:rFonts w:ascii="Calibri" w:hAnsi="Calibri" w:cs="Calibri" w:hint="eastAsia"/>
          <w:szCs w:val="24"/>
          <w:lang w:eastAsia="zh-CN"/>
        </w:rPr>
        <w:t>关</w:t>
      </w:r>
      <w:r>
        <w:rPr>
          <w:rFonts w:ascii="Calibri" w:hAnsi="Calibri" w:cs="Calibri" w:hint="eastAsia"/>
          <w:szCs w:val="24"/>
          <w:lang w:eastAsia="zh-CN"/>
        </w:rPr>
        <w:t>于</w:t>
      </w:r>
      <w:r>
        <w:rPr>
          <w:rFonts w:hint="eastAsia"/>
          <w:lang w:eastAsia="zh-CN"/>
        </w:rPr>
        <w:t>生命安全和电信的优先权</w:t>
      </w:r>
      <w:r w:rsidRPr="006E489B">
        <w:rPr>
          <w:rFonts w:ascii="Calibri" w:hAnsi="Calibri" w:cs="Calibri" w:hint="eastAsia"/>
          <w:szCs w:val="24"/>
          <w:lang w:eastAsia="zh-CN"/>
        </w:rPr>
        <w:t>的第</w:t>
      </w:r>
      <w:r w:rsidRPr="006E489B">
        <w:rPr>
          <w:rFonts w:ascii="Calibri" w:hAnsi="Calibri" w:cs="Calibri" w:hint="eastAsia"/>
          <w:szCs w:val="24"/>
          <w:lang w:eastAsia="zh-CN"/>
        </w:rPr>
        <w:t>5</w:t>
      </w:r>
      <w:r w:rsidRPr="006E489B">
        <w:rPr>
          <w:rFonts w:ascii="Calibri" w:hAnsi="Calibri" w:cs="Calibri" w:hint="eastAsia"/>
          <w:szCs w:val="24"/>
          <w:lang w:eastAsia="zh-CN"/>
        </w:rPr>
        <w:t>条的大多数</w:t>
      </w:r>
      <w:r>
        <w:rPr>
          <w:rFonts w:ascii="Calibri" w:hAnsi="Calibri" w:cs="Calibri" w:hint="eastAsia"/>
          <w:szCs w:val="24"/>
          <w:lang w:eastAsia="zh-CN"/>
        </w:rPr>
        <w:t>条款</w:t>
      </w:r>
      <w:r w:rsidRPr="006E489B">
        <w:rPr>
          <w:rFonts w:ascii="Calibri" w:hAnsi="Calibri" w:cs="Calibri" w:hint="eastAsia"/>
          <w:szCs w:val="24"/>
          <w:lang w:eastAsia="zh-CN"/>
        </w:rPr>
        <w:t>已反映在国际电</w:t>
      </w:r>
      <w:proofErr w:type="gramStart"/>
      <w:r w:rsidRPr="006E489B">
        <w:rPr>
          <w:rFonts w:ascii="Calibri" w:hAnsi="Calibri" w:cs="Calibri" w:hint="eastAsia"/>
          <w:szCs w:val="24"/>
          <w:lang w:eastAsia="zh-CN"/>
        </w:rPr>
        <w:t>联所有</w:t>
      </w:r>
      <w:proofErr w:type="gramEnd"/>
      <w:r w:rsidRPr="006E489B">
        <w:rPr>
          <w:rFonts w:ascii="Calibri" w:hAnsi="Calibri" w:cs="Calibri" w:hint="eastAsia"/>
          <w:szCs w:val="24"/>
          <w:lang w:eastAsia="zh-CN"/>
        </w:rPr>
        <w:t>的</w:t>
      </w:r>
      <w:r>
        <w:rPr>
          <w:rFonts w:ascii="Calibri" w:hAnsi="Calibri" w:cs="Calibri" w:hint="eastAsia"/>
          <w:szCs w:val="24"/>
          <w:lang w:eastAsia="zh-CN"/>
        </w:rPr>
        <w:t>法律</w:t>
      </w:r>
      <w:r w:rsidRPr="006E489B">
        <w:rPr>
          <w:rFonts w:ascii="Calibri" w:hAnsi="Calibri" w:cs="Calibri" w:hint="eastAsia"/>
          <w:szCs w:val="24"/>
          <w:lang w:eastAsia="zh-CN"/>
        </w:rPr>
        <w:t>文书中，</w:t>
      </w:r>
      <w:r>
        <w:rPr>
          <w:rFonts w:ascii="Calibri" w:hAnsi="Calibri" w:cs="Calibri" w:hint="eastAsia"/>
          <w:szCs w:val="24"/>
          <w:lang w:eastAsia="zh-CN"/>
        </w:rPr>
        <w:t>而且</w:t>
      </w:r>
      <w:proofErr w:type="gramStart"/>
      <w:r w:rsidRPr="006E489B">
        <w:rPr>
          <w:rFonts w:ascii="Calibri" w:hAnsi="Calibri" w:cs="Calibri" w:hint="eastAsia"/>
          <w:szCs w:val="24"/>
          <w:lang w:eastAsia="zh-CN"/>
        </w:rPr>
        <w:t>在此未</w:t>
      </w:r>
      <w:proofErr w:type="gramEnd"/>
      <w:r>
        <w:rPr>
          <w:rFonts w:ascii="Calibri" w:hAnsi="Calibri" w:cs="Calibri" w:hint="eastAsia"/>
          <w:szCs w:val="24"/>
          <w:lang w:eastAsia="zh-CN"/>
        </w:rPr>
        <w:t>增</w:t>
      </w:r>
      <w:r w:rsidRPr="006E489B">
        <w:rPr>
          <w:rFonts w:ascii="Calibri" w:hAnsi="Calibri" w:cs="Calibri" w:hint="eastAsia"/>
          <w:szCs w:val="24"/>
          <w:lang w:eastAsia="zh-CN"/>
        </w:rPr>
        <w:t>加其他相关性</w:t>
      </w:r>
      <w:r w:rsidRPr="006E489B">
        <w:rPr>
          <w:rFonts w:ascii="Calibri" w:hAnsi="Calibri" w:cs="Calibri" w:hint="eastAsia"/>
          <w:szCs w:val="24"/>
          <w:lang w:eastAsia="zh-CN"/>
        </w:rPr>
        <w:t>/</w:t>
      </w:r>
      <w:r w:rsidRPr="006E489B">
        <w:rPr>
          <w:rFonts w:ascii="Calibri" w:hAnsi="Calibri" w:cs="Calibri" w:hint="eastAsia"/>
          <w:szCs w:val="24"/>
          <w:lang w:eastAsia="zh-CN"/>
        </w:rPr>
        <w:t>价值。此外，考虑到多数（如果不是所有成员国</w:t>
      </w:r>
      <w:r>
        <w:rPr>
          <w:rFonts w:ascii="Calibri" w:hAnsi="Calibri" w:cs="Calibri" w:hint="eastAsia"/>
          <w:szCs w:val="24"/>
          <w:lang w:eastAsia="zh-CN"/>
        </w:rPr>
        <w:t>的</w:t>
      </w:r>
      <w:r w:rsidRPr="006E489B">
        <w:rPr>
          <w:rFonts w:ascii="Calibri" w:hAnsi="Calibri" w:cs="Calibri" w:hint="eastAsia"/>
          <w:szCs w:val="24"/>
          <w:lang w:eastAsia="zh-CN"/>
        </w:rPr>
        <w:t>）运营商具有提供此类服务的</w:t>
      </w:r>
      <w:r>
        <w:rPr>
          <w:rFonts w:ascii="Calibri" w:hAnsi="Calibri" w:cs="Calibri" w:hint="eastAsia"/>
          <w:szCs w:val="24"/>
          <w:lang w:eastAsia="zh-CN"/>
        </w:rPr>
        <w:t>长期</w:t>
      </w:r>
      <w:r w:rsidRPr="006E489B">
        <w:rPr>
          <w:rFonts w:ascii="Calibri" w:hAnsi="Calibri" w:cs="Calibri" w:hint="eastAsia"/>
          <w:szCs w:val="24"/>
          <w:lang w:eastAsia="zh-CN"/>
        </w:rPr>
        <w:t>传统，关于免费紧急呼叫的</w:t>
      </w:r>
      <w:r>
        <w:rPr>
          <w:rFonts w:ascii="Calibri" w:hAnsi="Calibri" w:cs="Calibri" w:hint="eastAsia"/>
          <w:szCs w:val="24"/>
          <w:lang w:eastAsia="zh-CN"/>
        </w:rPr>
        <w:t>条款实际上</w:t>
      </w:r>
      <w:r w:rsidRPr="006E489B">
        <w:rPr>
          <w:rFonts w:ascii="Calibri" w:hAnsi="Calibri" w:cs="Calibri" w:hint="eastAsia"/>
          <w:szCs w:val="24"/>
          <w:lang w:eastAsia="zh-CN"/>
        </w:rPr>
        <w:t>是多余的。</w:t>
      </w:r>
    </w:p>
    <w:p w14:paraId="33E9DE42" w14:textId="4BB33D16" w:rsidR="00CE60BA" w:rsidRDefault="006E489B" w:rsidP="00DA18EC">
      <w:pPr>
        <w:spacing w:after="120"/>
        <w:ind w:firstLineChars="200" w:firstLine="480"/>
        <w:jc w:val="both"/>
        <w:rPr>
          <w:rFonts w:ascii="Calibri" w:hAnsi="Calibri" w:cs="Calibri"/>
          <w:szCs w:val="24"/>
          <w:lang w:eastAsia="zh-CN"/>
        </w:rPr>
      </w:pPr>
      <w:r w:rsidRPr="006E489B">
        <w:rPr>
          <w:rFonts w:ascii="Calibri" w:hAnsi="Calibri" w:cs="Calibri" w:hint="eastAsia"/>
          <w:szCs w:val="24"/>
          <w:lang w:eastAsia="zh-CN"/>
        </w:rPr>
        <w:t>我们认为，第</w:t>
      </w:r>
      <w:r w:rsidRPr="006E489B">
        <w:rPr>
          <w:rFonts w:ascii="Calibri" w:hAnsi="Calibri" w:cs="Calibri" w:hint="eastAsia"/>
          <w:szCs w:val="24"/>
          <w:lang w:eastAsia="zh-CN"/>
        </w:rPr>
        <w:t>6</w:t>
      </w:r>
      <w:r w:rsidRPr="006E489B">
        <w:rPr>
          <w:rFonts w:ascii="Calibri" w:hAnsi="Calibri" w:cs="Calibri" w:hint="eastAsia"/>
          <w:szCs w:val="24"/>
          <w:lang w:eastAsia="zh-CN"/>
        </w:rPr>
        <w:t>条中关于网络安全性和</w:t>
      </w:r>
      <w:r>
        <w:rPr>
          <w:rFonts w:ascii="Calibri" w:hAnsi="Calibri" w:cs="Calibri" w:hint="eastAsia"/>
          <w:szCs w:val="24"/>
          <w:lang w:eastAsia="zh-CN"/>
        </w:rPr>
        <w:t>健壮</w:t>
      </w:r>
      <w:r w:rsidRPr="006E489B">
        <w:rPr>
          <w:rFonts w:ascii="Calibri" w:hAnsi="Calibri" w:cs="Calibri" w:hint="eastAsia"/>
          <w:szCs w:val="24"/>
          <w:lang w:eastAsia="zh-CN"/>
        </w:rPr>
        <w:t>性的</w:t>
      </w:r>
      <w:r>
        <w:rPr>
          <w:rFonts w:ascii="Calibri" w:hAnsi="Calibri" w:cs="Calibri" w:hint="eastAsia"/>
          <w:szCs w:val="24"/>
          <w:lang w:eastAsia="zh-CN"/>
        </w:rPr>
        <w:t>条款</w:t>
      </w:r>
      <w:r w:rsidRPr="006E489B">
        <w:rPr>
          <w:rFonts w:ascii="Calibri" w:hAnsi="Calibri" w:cs="Calibri" w:hint="eastAsia"/>
          <w:szCs w:val="24"/>
          <w:lang w:eastAsia="zh-CN"/>
        </w:rPr>
        <w:t>几乎没有实际用途。我们相信，解决网络安全性和健壮性的技术解决方案</w:t>
      </w:r>
      <w:r>
        <w:rPr>
          <w:rFonts w:ascii="Calibri" w:hAnsi="Calibri" w:cs="Calibri" w:hint="eastAsia"/>
          <w:szCs w:val="24"/>
          <w:lang w:eastAsia="zh-CN"/>
        </w:rPr>
        <w:t>会</w:t>
      </w:r>
      <w:r w:rsidRPr="006E489B">
        <w:rPr>
          <w:rFonts w:ascii="Calibri" w:hAnsi="Calibri" w:cs="Calibri" w:hint="eastAsia"/>
          <w:szCs w:val="24"/>
          <w:lang w:eastAsia="zh-CN"/>
        </w:rPr>
        <w:t>比</w:t>
      </w:r>
      <w:r>
        <w:rPr>
          <w:rFonts w:ascii="Calibri" w:hAnsi="Calibri" w:cs="Calibri" w:hint="eastAsia"/>
          <w:szCs w:val="24"/>
          <w:lang w:eastAsia="zh-CN"/>
        </w:rPr>
        <w:t>《国际电信规则》</w:t>
      </w:r>
      <w:r w:rsidRPr="006E489B">
        <w:rPr>
          <w:rFonts w:ascii="Calibri" w:hAnsi="Calibri" w:cs="Calibri" w:hint="eastAsia"/>
          <w:szCs w:val="24"/>
          <w:lang w:eastAsia="zh-CN"/>
        </w:rPr>
        <w:t>的监管</w:t>
      </w:r>
      <w:r>
        <w:rPr>
          <w:rFonts w:ascii="Calibri" w:hAnsi="Calibri" w:cs="Calibri" w:hint="eastAsia"/>
          <w:szCs w:val="24"/>
          <w:lang w:eastAsia="zh-CN"/>
        </w:rPr>
        <w:t>性条款</w:t>
      </w:r>
      <w:r w:rsidRPr="006E489B">
        <w:rPr>
          <w:rFonts w:ascii="Calibri" w:hAnsi="Calibri" w:cs="Calibri" w:hint="eastAsia"/>
          <w:szCs w:val="24"/>
          <w:lang w:eastAsia="zh-CN"/>
        </w:rPr>
        <w:t>产生更</w:t>
      </w:r>
      <w:r w:rsidR="00F56FD6">
        <w:rPr>
          <w:rFonts w:ascii="Calibri" w:hAnsi="Calibri" w:cs="Calibri" w:hint="eastAsia"/>
          <w:szCs w:val="24"/>
          <w:lang w:eastAsia="zh-CN"/>
        </w:rPr>
        <w:t>可取</w:t>
      </w:r>
      <w:r w:rsidRPr="006E489B">
        <w:rPr>
          <w:rFonts w:ascii="Calibri" w:hAnsi="Calibri" w:cs="Calibri" w:hint="eastAsia"/>
          <w:szCs w:val="24"/>
          <w:lang w:eastAsia="zh-CN"/>
        </w:rPr>
        <w:t>的结果。</w:t>
      </w:r>
    </w:p>
    <w:p w14:paraId="15A1E598" w14:textId="70597BA8" w:rsidR="000B7069" w:rsidRPr="00247618" w:rsidRDefault="000B7AED" w:rsidP="00247618">
      <w:pPr>
        <w:spacing w:after="120"/>
        <w:ind w:firstLineChars="200" w:firstLine="480"/>
        <w:jc w:val="both"/>
        <w:rPr>
          <w:rFonts w:ascii="Calibri" w:hAnsi="Calibri" w:cs="Calibri"/>
          <w:szCs w:val="24"/>
          <w:lang w:eastAsia="zh-CN"/>
        </w:rPr>
      </w:pPr>
      <w:r w:rsidRPr="000B7AED">
        <w:rPr>
          <w:rFonts w:ascii="Calibri" w:hAnsi="Calibri" w:cs="Calibri" w:hint="eastAsia"/>
          <w:szCs w:val="24"/>
          <w:lang w:eastAsia="zh-CN"/>
        </w:rPr>
        <w:lastRenderedPageBreak/>
        <w:t>同样，我们认为第</w:t>
      </w:r>
      <w:r w:rsidRPr="000B7AED">
        <w:rPr>
          <w:rFonts w:ascii="Calibri" w:hAnsi="Calibri" w:cs="Calibri" w:hint="eastAsia"/>
          <w:szCs w:val="24"/>
          <w:lang w:eastAsia="zh-CN"/>
        </w:rPr>
        <w:t>7</w:t>
      </w:r>
      <w:r w:rsidRPr="000B7AED">
        <w:rPr>
          <w:rFonts w:ascii="Calibri" w:hAnsi="Calibri" w:cs="Calibri" w:hint="eastAsia"/>
          <w:szCs w:val="24"/>
          <w:lang w:eastAsia="zh-CN"/>
        </w:rPr>
        <w:t>条中</w:t>
      </w:r>
      <w:r>
        <w:rPr>
          <w:rFonts w:ascii="Calibri" w:hAnsi="Calibri" w:cs="Calibri" w:hint="eastAsia"/>
          <w:szCs w:val="24"/>
          <w:lang w:eastAsia="zh-CN"/>
        </w:rPr>
        <w:t>关于</w:t>
      </w:r>
      <w:r w:rsidRPr="000B7AED">
        <w:rPr>
          <w:rFonts w:ascii="Calibri" w:hAnsi="Calibri" w:cs="Calibri" w:hint="eastAsia"/>
          <w:szCs w:val="24"/>
          <w:lang w:eastAsia="zh-CN"/>
        </w:rPr>
        <w:t>强行推介的批量电子通信（例如</w:t>
      </w:r>
      <w:r>
        <w:rPr>
          <w:rFonts w:ascii="Calibri" w:hAnsi="Calibri" w:cs="Calibri" w:hint="eastAsia"/>
          <w:szCs w:val="24"/>
          <w:lang w:eastAsia="zh-CN"/>
        </w:rPr>
        <w:t>，垃圾信息</w:t>
      </w:r>
      <w:r w:rsidRPr="000B7AED">
        <w:rPr>
          <w:rFonts w:ascii="Calibri" w:hAnsi="Calibri" w:cs="Calibri" w:hint="eastAsia"/>
          <w:szCs w:val="24"/>
          <w:lang w:eastAsia="zh-CN"/>
        </w:rPr>
        <w:t>）的</w:t>
      </w:r>
      <w:r>
        <w:rPr>
          <w:rFonts w:ascii="Calibri" w:hAnsi="Calibri" w:cs="Calibri" w:hint="eastAsia"/>
          <w:szCs w:val="24"/>
          <w:lang w:eastAsia="zh-CN"/>
        </w:rPr>
        <w:t>条款</w:t>
      </w:r>
      <w:r w:rsidRPr="000B7AED">
        <w:rPr>
          <w:rFonts w:ascii="Calibri" w:hAnsi="Calibri" w:cs="Calibri" w:hint="eastAsia"/>
          <w:szCs w:val="24"/>
          <w:lang w:eastAsia="zh-CN"/>
        </w:rPr>
        <w:t>既无效也不适用。</w:t>
      </w:r>
      <w:r w:rsidR="00BD14D2" w:rsidRPr="00247618">
        <w:rPr>
          <w:rFonts w:ascii="Calibri" w:hAnsi="Calibri" w:cs="Calibri"/>
          <w:lang w:eastAsia="zh-CN"/>
        </w:rPr>
        <w:t>目前有关打击垃圾信息的措施发展演变极为迅速，不可能在诸如《国际电信规则》这样的稳定的条约性文件中</w:t>
      </w:r>
      <w:r>
        <w:rPr>
          <w:rFonts w:ascii="Calibri" w:hAnsi="Calibri" w:cs="Calibri" w:hint="eastAsia"/>
          <w:lang w:eastAsia="zh-CN"/>
        </w:rPr>
        <w:t>予以</w:t>
      </w:r>
      <w:r w:rsidR="00BD14D2" w:rsidRPr="00247618">
        <w:rPr>
          <w:rFonts w:ascii="Calibri" w:hAnsi="Calibri" w:cs="Calibri"/>
          <w:lang w:eastAsia="zh-CN"/>
        </w:rPr>
        <w:t>解决。目前在此方面持续取得进展，任何试图通过《国际电信规则》解决垃圾信息的企图都是无效的，并将迅速过时。对垃圾信息做出响应的最为有效的机制是技术手段。</w:t>
      </w:r>
    </w:p>
    <w:p w14:paraId="7EF1C5FE" w14:textId="7C115112" w:rsidR="000B7069" w:rsidRPr="00247618" w:rsidRDefault="00750CB5" w:rsidP="00216864">
      <w:pPr>
        <w:pStyle w:val="Headingb"/>
        <w:spacing w:before="360"/>
        <w:rPr>
          <w:lang w:eastAsia="zh-CN"/>
        </w:rPr>
      </w:pPr>
      <w:r w:rsidRPr="00247618">
        <w:rPr>
          <w:lang w:eastAsia="zh-CN"/>
        </w:rPr>
        <w:t>结论</w:t>
      </w:r>
    </w:p>
    <w:p w14:paraId="1C458FF2" w14:textId="637AFF12" w:rsidR="000B7069" w:rsidRPr="00247618" w:rsidRDefault="008652DD" w:rsidP="00247618">
      <w:pPr>
        <w:spacing w:after="120"/>
        <w:ind w:firstLineChars="200" w:firstLine="480"/>
        <w:jc w:val="both"/>
        <w:rPr>
          <w:rFonts w:ascii="Calibri" w:hAnsi="Calibri" w:cs="Calibri"/>
          <w:sz w:val="22"/>
          <w:szCs w:val="22"/>
          <w:lang w:eastAsia="zh-CN"/>
        </w:rPr>
      </w:pPr>
      <w:r w:rsidRPr="00247618">
        <w:rPr>
          <w:rFonts w:ascii="Calibri" w:hAnsi="Calibri" w:cs="Calibri"/>
          <w:lang w:eastAsia="zh-CN"/>
        </w:rPr>
        <w:t>相比之下，一般性的条约条款更有可能承受不断变化的市场条件和技术创新。我们认为，国际电联《组织法》和《公约》包含的一般性</w:t>
      </w:r>
      <w:r w:rsidR="00C42831">
        <w:rPr>
          <w:rFonts w:ascii="Calibri" w:hAnsi="Calibri" w:cs="Calibri" w:hint="eastAsia"/>
          <w:szCs w:val="24"/>
          <w:lang w:eastAsia="zh-CN"/>
        </w:rPr>
        <w:t>《国际电信规则》</w:t>
      </w:r>
      <w:r w:rsidRPr="00247618">
        <w:rPr>
          <w:rFonts w:ascii="Calibri" w:hAnsi="Calibri" w:cs="Calibri"/>
          <w:lang w:eastAsia="zh-CN"/>
        </w:rPr>
        <w:t>条款具有弹性，经得起不断变化的市场和技术环境的考验。</w:t>
      </w:r>
      <w:r w:rsidRPr="00247618">
        <w:rPr>
          <w:rStyle w:val="FootnoteReference"/>
          <w:rFonts w:ascii="Calibri" w:hAnsi="Calibri" w:cs="Calibri"/>
        </w:rPr>
        <w:footnoteReference w:id="1"/>
      </w:r>
    </w:p>
    <w:p w14:paraId="7FEDF7CA" w14:textId="77777777" w:rsidR="000B7069" w:rsidRPr="00247618" w:rsidRDefault="000B7069" w:rsidP="00411C49">
      <w:pPr>
        <w:pStyle w:val="Reasons"/>
        <w:rPr>
          <w:rFonts w:ascii="Calibri" w:hAnsi="Calibri" w:cs="Calibri"/>
          <w:lang w:eastAsia="zh-CN"/>
        </w:rPr>
      </w:pPr>
    </w:p>
    <w:p w14:paraId="67480E5F" w14:textId="77777777" w:rsidR="000B7069" w:rsidRPr="00247618" w:rsidRDefault="000B7069">
      <w:pPr>
        <w:jc w:val="center"/>
        <w:rPr>
          <w:rFonts w:ascii="Calibri" w:hAnsi="Calibri" w:cs="Calibri"/>
        </w:rPr>
      </w:pPr>
      <w:r w:rsidRPr="00247618">
        <w:rPr>
          <w:rFonts w:ascii="Calibri" w:hAnsi="Calibri" w:cs="Calibri"/>
        </w:rPr>
        <w:t>______________</w:t>
      </w:r>
    </w:p>
    <w:p w14:paraId="424AB068" w14:textId="77777777" w:rsidR="000B7069" w:rsidRPr="00247618" w:rsidRDefault="000B7069" w:rsidP="000B7069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7F039AD9" w14:textId="3DCEF76C" w:rsidR="00A33B18" w:rsidRPr="00247618" w:rsidRDefault="00A33B18" w:rsidP="000B7069">
      <w:pPr>
        <w:spacing w:after="120"/>
        <w:jc w:val="right"/>
        <w:rPr>
          <w:rFonts w:ascii="Calibri" w:hAnsi="Calibri" w:cs="Calibri"/>
          <w:szCs w:val="24"/>
          <w:lang w:val="es-ES"/>
        </w:rPr>
      </w:pPr>
    </w:p>
    <w:sectPr w:rsidR="00A33B18" w:rsidRPr="00247618" w:rsidSect="0045696A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56677" w14:textId="77777777" w:rsidR="00AE66FC" w:rsidRDefault="00AE66FC">
      <w:r>
        <w:separator/>
      </w:r>
    </w:p>
  </w:endnote>
  <w:endnote w:type="continuationSeparator" w:id="0">
    <w:p w14:paraId="28A27A35" w14:textId="77777777" w:rsidR="00AE66FC" w:rsidRDefault="00AE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9CB45" w14:textId="54F37671" w:rsidR="00E603D2" w:rsidRPr="00BD14D2" w:rsidRDefault="00E603D2" w:rsidP="007F4867">
    <w:pPr>
      <w:pStyle w:val="Footer"/>
      <w:spacing w:before="240"/>
      <w:rPr>
        <w:rFonts w:asciiTheme="minorHAnsi" w:hAnsiTheme="minorHAnsi"/>
        <w:lang w:val="fr-CH"/>
      </w:rPr>
    </w:pPr>
    <w:r w:rsidRPr="00E603D2">
      <w:rPr>
        <w:rFonts w:asciiTheme="minorHAnsi" w:hAnsiTheme="minorHAnsi"/>
      </w:rPr>
      <w:fldChar w:fldCharType="begin"/>
    </w:r>
    <w:r w:rsidRPr="00E603D2">
      <w:rPr>
        <w:rFonts w:asciiTheme="minorHAnsi" w:hAnsiTheme="minorHAnsi"/>
        <w:lang w:val="fr-CH"/>
      </w:rPr>
      <w:instrText xml:space="preserve"> FILENAME \p \* MERGEFORMAT </w:instrText>
    </w:r>
    <w:r w:rsidRPr="00E603D2">
      <w:rPr>
        <w:rFonts w:asciiTheme="minorHAnsi" w:hAnsiTheme="minorHAnsi"/>
      </w:rPr>
      <w:fldChar w:fldCharType="separate"/>
    </w:r>
    <w:r w:rsidR="00216864">
      <w:rPr>
        <w:rFonts w:asciiTheme="minorHAnsi" w:hAnsiTheme="minorHAnsi"/>
        <w:lang w:val="fr-CH"/>
      </w:rPr>
      <w:t>P:\CHI\SG\CONSEIL\EG-ITR\EG-ITR-3\000\003C.docx</w:t>
    </w:r>
    <w:r w:rsidRPr="00E603D2">
      <w:rPr>
        <w:rFonts w:asciiTheme="minorHAnsi" w:hAnsiTheme="minorHAnsi"/>
      </w:rPr>
      <w:fldChar w:fldCharType="end"/>
    </w:r>
    <w:r w:rsidRPr="00E603D2">
      <w:rPr>
        <w:rFonts w:asciiTheme="minorHAnsi" w:hAnsiTheme="minorHAnsi"/>
        <w:lang w:val="fr-CH"/>
      </w:rPr>
      <w:t xml:space="preserve"> (4</w:t>
    </w:r>
    <w:r w:rsidR="0045696A">
      <w:rPr>
        <w:rFonts w:asciiTheme="minorHAnsi" w:hAnsiTheme="minorHAnsi" w:hint="eastAsia"/>
        <w:lang w:val="fr-CH" w:eastAsia="zh-CN"/>
      </w:rPr>
      <w:t>76445</w:t>
    </w:r>
    <w:r w:rsidRPr="00E603D2">
      <w:rPr>
        <w:rFonts w:asciiTheme="minorHAnsi" w:hAnsiTheme="minorHAnsi"/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48F6D" w14:textId="77777777" w:rsidR="00E603D2" w:rsidRPr="00E603D2" w:rsidRDefault="00E603D2" w:rsidP="00E603D2">
    <w:pPr>
      <w:spacing w:after="120"/>
      <w:jc w:val="center"/>
      <w:rPr>
        <w:rFonts w:asciiTheme="minorHAnsi" w:hAnsiTheme="minorHAnsi"/>
      </w:rPr>
    </w:pPr>
    <w:r w:rsidRPr="00E603D2">
      <w:rPr>
        <w:rFonts w:asciiTheme="minorHAnsi" w:hAnsiTheme="minorHAnsi"/>
      </w:rPr>
      <w:t xml:space="preserve">• </w:t>
    </w:r>
    <w:hyperlink r:id="rId1" w:history="1">
      <w:r w:rsidRPr="00E603D2">
        <w:rPr>
          <w:rStyle w:val="Hyperlink"/>
          <w:rFonts w:asciiTheme="minorHAnsi" w:hAnsiTheme="minorHAnsi"/>
        </w:rPr>
        <w:t>http://www.itu.int/council</w:t>
      </w:r>
    </w:hyperlink>
    <w:r w:rsidRPr="00E603D2">
      <w:rPr>
        <w:rFonts w:asciiTheme="minorHAnsi" w:hAnsiTheme="minorHAnsi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9EDD1" w14:textId="77777777" w:rsidR="00AE66FC" w:rsidRDefault="00AE66FC">
      <w:r>
        <w:t>____________________</w:t>
      </w:r>
    </w:p>
  </w:footnote>
  <w:footnote w:type="continuationSeparator" w:id="0">
    <w:p w14:paraId="5F0702EF" w14:textId="77777777" w:rsidR="00AE66FC" w:rsidRDefault="00AE66FC">
      <w:r>
        <w:continuationSeparator/>
      </w:r>
    </w:p>
  </w:footnote>
  <w:footnote w:id="1">
    <w:p w14:paraId="27E6F065" w14:textId="77777777" w:rsidR="008652DD" w:rsidRPr="00BE5D24" w:rsidRDefault="008652DD" w:rsidP="008652DD">
      <w:pPr>
        <w:pStyle w:val="FootnoteText"/>
        <w:spacing w:before="80"/>
        <w:rPr>
          <w:szCs w:val="24"/>
        </w:rPr>
      </w:pPr>
      <w:r w:rsidRPr="00C44489">
        <w:rPr>
          <w:rStyle w:val="FootnoteReference"/>
        </w:rPr>
        <w:footnoteRef/>
      </w:r>
      <w:r w:rsidRPr="00C44489">
        <w:tab/>
      </w:r>
      <w:bookmarkStart w:id="4" w:name="lt_pId044"/>
      <w:proofErr w:type="gramStart"/>
      <w:r w:rsidRPr="00F66D9E">
        <w:rPr>
          <w:rFonts w:asciiTheme="minorHAnsi" w:hAnsiTheme="minorHAnsi" w:cstheme="minorHAnsi"/>
          <w:szCs w:val="24"/>
          <w:lang w:eastAsia="zh-CN"/>
        </w:rPr>
        <w:t>见审议</w:t>
      </w:r>
      <w:bookmarkStart w:id="5" w:name="_Hlk31207865"/>
      <w:proofErr w:type="gramEnd"/>
      <w:r w:rsidRPr="00F66D9E">
        <w:rPr>
          <w:rFonts w:asciiTheme="minorHAnsi" w:hAnsiTheme="minorHAnsi" w:cstheme="minorHAnsi"/>
          <w:szCs w:val="24"/>
          <w:lang w:eastAsia="zh-CN"/>
        </w:rPr>
        <w:t>《国际电信规则》</w:t>
      </w:r>
      <w:bookmarkEnd w:id="5"/>
      <w:r w:rsidRPr="00F66D9E">
        <w:rPr>
          <w:rFonts w:asciiTheme="minorHAnsi" w:hAnsiTheme="minorHAnsi" w:cstheme="minorHAnsi"/>
          <w:szCs w:val="24"/>
          <w:lang w:eastAsia="zh-CN"/>
        </w:rPr>
        <w:t>专家组（</w:t>
      </w:r>
      <w:r w:rsidRPr="00F66D9E">
        <w:rPr>
          <w:rFonts w:asciiTheme="minorHAnsi" w:hAnsiTheme="minorHAnsi" w:cstheme="minorHAnsi"/>
          <w:szCs w:val="24"/>
          <w:lang w:eastAsia="zh-CN"/>
        </w:rPr>
        <w:t>2007-2009</w:t>
      </w:r>
      <w:r w:rsidRPr="00F66D9E">
        <w:rPr>
          <w:rFonts w:asciiTheme="minorHAnsi" w:hAnsiTheme="minorHAnsi" w:cstheme="minorHAnsi"/>
          <w:szCs w:val="24"/>
          <w:lang w:eastAsia="zh-CN"/>
        </w:rPr>
        <w:t>年）关于《国际电信规则》与《组织法》和《公约》的关系的</w:t>
      </w:r>
      <w:r w:rsidRPr="00F66D9E">
        <w:rPr>
          <w:rFonts w:asciiTheme="minorHAnsi" w:hAnsiTheme="minorHAnsi" w:cstheme="minorHAnsi"/>
          <w:szCs w:val="24"/>
          <w:lang w:eastAsia="zh-CN"/>
        </w:rPr>
        <w:t>5</w:t>
      </w:r>
      <w:r w:rsidRPr="00F66D9E">
        <w:rPr>
          <w:rFonts w:asciiTheme="minorHAnsi" w:hAnsiTheme="minorHAnsi" w:cstheme="minorHAnsi"/>
          <w:szCs w:val="24"/>
          <w:lang w:eastAsia="zh-CN"/>
        </w:rPr>
        <w:t>号情况通报文件</w:t>
      </w:r>
      <w:hyperlink r:id="rId1" w:history="1">
        <w:r w:rsidRPr="00F66D9E">
          <w:rPr>
            <w:rStyle w:val="Hyperlink"/>
            <w:rFonts w:asciiTheme="minorHAnsi" w:hAnsiTheme="minorHAnsi" w:cstheme="minorHAnsi"/>
            <w:szCs w:val="24"/>
          </w:rPr>
          <w:t>https://www.itu.int/md/T05-ITR.EG-INF-0005/en</w:t>
        </w:r>
      </w:hyperlink>
      <w:bookmarkEnd w:id="4"/>
      <w:r w:rsidRPr="00F66D9E">
        <w:rPr>
          <w:rFonts w:asciiTheme="minorHAnsi" w:hAnsiTheme="minorHAnsi" w:cstheme="minorHAnsi"/>
          <w:szCs w:val="24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68D4E" w14:textId="7F9C1D7C" w:rsidR="00D7144D" w:rsidRDefault="00D7144D" w:rsidP="00C374DE">
    <w:pPr>
      <w:pStyle w:val="Header"/>
      <w:rPr>
        <w:rFonts w:asciiTheme="minorHAnsi" w:hAnsiTheme="minorHAnsi"/>
      </w:rPr>
    </w:pPr>
    <w:r w:rsidRPr="00E603D2">
      <w:rPr>
        <w:rFonts w:asciiTheme="minorHAnsi" w:hAnsiTheme="minorHAnsi"/>
      </w:rPr>
      <w:t xml:space="preserve">- </w:t>
    </w:r>
    <w:r w:rsidRPr="00E603D2">
      <w:rPr>
        <w:rFonts w:asciiTheme="minorHAnsi" w:hAnsiTheme="minorHAnsi"/>
      </w:rPr>
      <w:fldChar w:fldCharType="begin"/>
    </w:r>
    <w:r w:rsidRPr="00E603D2">
      <w:rPr>
        <w:rFonts w:asciiTheme="minorHAnsi" w:hAnsiTheme="minorHAnsi"/>
      </w:rPr>
      <w:instrText>PAGE</w:instrText>
    </w:r>
    <w:r w:rsidRPr="00E603D2">
      <w:rPr>
        <w:rFonts w:asciiTheme="minorHAnsi" w:hAnsiTheme="minorHAnsi"/>
      </w:rPr>
      <w:fldChar w:fldCharType="separate"/>
    </w:r>
    <w:r w:rsidR="00987718">
      <w:rPr>
        <w:rFonts w:asciiTheme="minorHAnsi" w:hAnsiTheme="minorHAnsi"/>
        <w:noProof/>
      </w:rPr>
      <w:t>2</w:t>
    </w:r>
    <w:r w:rsidRPr="00E603D2">
      <w:rPr>
        <w:rFonts w:asciiTheme="minorHAnsi" w:hAnsiTheme="minorHAnsi"/>
      </w:rPr>
      <w:fldChar w:fldCharType="end"/>
    </w:r>
    <w:r w:rsidRPr="00E603D2">
      <w:rPr>
        <w:rFonts w:asciiTheme="minorHAnsi" w:hAnsiTheme="minorHAnsi"/>
      </w:rPr>
      <w:t xml:space="preserve"> -</w:t>
    </w:r>
  </w:p>
  <w:p w14:paraId="2324151C" w14:textId="257D1EEA" w:rsidR="00216864" w:rsidRPr="007F4867" w:rsidRDefault="00216864" w:rsidP="00C374DE">
    <w:pPr>
      <w:pStyle w:val="Header"/>
      <w:rPr>
        <w:rFonts w:asciiTheme="minorHAnsi" w:hAnsiTheme="minorHAnsi"/>
      </w:rPr>
    </w:pPr>
    <w:r w:rsidRPr="00216864">
      <w:rPr>
        <w:rFonts w:asciiTheme="minorHAnsi" w:hAnsiTheme="minorHAnsi"/>
        <w:lang w:val="en-GB"/>
      </w:rPr>
      <w:t>EG-ITRs-3\3-</w:t>
    </w:r>
    <w:r>
      <w:rPr>
        <w:rFonts w:asciiTheme="minorHAnsi" w:hAnsiTheme="minorHAnsi"/>
        <w:lang w:val="en-GB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6AA2"/>
    <w:multiLevelType w:val="hybridMultilevel"/>
    <w:tmpl w:val="894A7CC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A5D"/>
    <w:multiLevelType w:val="hybridMultilevel"/>
    <w:tmpl w:val="B8E47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2F88"/>
    <w:multiLevelType w:val="hybridMultilevel"/>
    <w:tmpl w:val="796208FA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194"/>
    <w:multiLevelType w:val="hybridMultilevel"/>
    <w:tmpl w:val="07B063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74948"/>
    <w:multiLevelType w:val="hybridMultilevel"/>
    <w:tmpl w:val="E598A13E"/>
    <w:lvl w:ilvl="0" w:tplc="34B8E5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C605DF2">
      <w:numFmt w:val="none"/>
      <w:lvlText w:val=""/>
      <w:lvlJc w:val="left"/>
      <w:pPr>
        <w:tabs>
          <w:tab w:val="num" w:pos="360"/>
        </w:tabs>
      </w:pPr>
    </w:lvl>
    <w:lvl w:ilvl="2" w:tplc="894CA388">
      <w:numFmt w:val="none"/>
      <w:lvlText w:val=""/>
      <w:lvlJc w:val="left"/>
      <w:pPr>
        <w:tabs>
          <w:tab w:val="num" w:pos="360"/>
        </w:tabs>
      </w:pPr>
    </w:lvl>
    <w:lvl w:ilvl="3" w:tplc="25A46978">
      <w:numFmt w:val="none"/>
      <w:lvlText w:val=""/>
      <w:lvlJc w:val="left"/>
      <w:pPr>
        <w:tabs>
          <w:tab w:val="num" w:pos="360"/>
        </w:tabs>
      </w:pPr>
    </w:lvl>
    <w:lvl w:ilvl="4" w:tplc="C2D28406">
      <w:numFmt w:val="none"/>
      <w:lvlText w:val=""/>
      <w:lvlJc w:val="left"/>
      <w:pPr>
        <w:tabs>
          <w:tab w:val="num" w:pos="360"/>
        </w:tabs>
      </w:pPr>
    </w:lvl>
    <w:lvl w:ilvl="5" w:tplc="7BC816F2">
      <w:numFmt w:val="none"/>
      <w:lvlText w:val=""/>
      <w:lvlJc w:val="left"/>
      <w:pPr>
        <w:tabs>
          <w:tab w:val="num" w:pos="360"/>
        </w:tabs>
      </w:pPr>
    </w:lvl>
    <w:lvl w:ilvl="6" w:tplc="C52CB2D0">
      <w:numFmt w:val="none"/>
      <w:lvlText w:val=""/>
      <w:lvlJc w:val="left"/>
      <w:pPr>
        <w:tabs>
          <w:tab w:val="num" w:pos="360"/>
        </w:tabs>
      </w:pPr>
    </w:lvl>
    <w:lvl w:ilvl="7" w:tplc="529802CE">
      <w:numFmt w:val="none"/>
      <w:lvlText w:val=""/>
      <w:lvlJc w:val="left"/>
      <w:pPr>
        <w:tabs>
          <w:tab w:val="num" w:pos="360"/>
        </w:tabs>
      </w:pPr>
    </w:lvl>
    <w:lvl w:ilvl="8" w:tplc="0F3E153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5436C15"/>
    <w:multiLevelType w:val="hybridMultilevel"/>
    <w:tmpl w:val="40E28452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1E59"/>
    <w:multiLevelType w:val="hybridMultilevel"/>
    <w:tmpl w:val="EBF6B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02F1"/>
    <w:multiLevelType w:val="hybridMultilevel"/>
    <w:tmpl w:val="1196E37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A3568BE0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34DEA"/>
    <w:multiLevelType w:val="hybridMultilevel"/>
    <w:tmpl w:val="848E9DE0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974EB"/>
    <w:multiLevelType w:val="hybridMultilevel"/>
    <w:tmpl w:val="6A14F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47F18"/>
    <w:multiLevelType w:val="hybridMultilevel"/>
    <w:tmpl w:val="36E666F2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538E7"/>
    <w:multiLevelType w:val="hybridMultilevel"/>
    <w:tmpl w:val="04301A02"/>
    <w:lvl w:ilvl="0" w:tplc="A5A88976">
      <w:start w:val="9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374C1"/>
    <w:multiLevelType w:val="hybridMultilevel"/>
    <w:tmpl w:val="C9102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C1CB0"/>
    <w:multiLevelType w:val="hybridMultilevel"/>
    <w:tmpl w:val="C158D5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930A3"/>
    <w:multiLevelType w:val="hybridMultilevel"/>
    <w:tmpl w:val="1688AE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E14F85"/>
    <w:multiLevelType w:val="hybridMultilevel"/>
    <w:tmpl w:val="DD0E1A00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7760A6A"/>
    <w:multiLevelType w:val="hybridMultilevel"/>
    <w:tmpl w:val="70E6B396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B76D1"/>
    <w:multiLevelType w:val="hybridMultilevel"/>
    <w:tmpl w:val="CCAEDA92"/>
    <w:lvl w:ilvl="0" w:tplc="72CA21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D2AE0"/>
    <w:multiLevelType w:val="hybridMultilevel"/>
    <w:tmpl w:val="19564DF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6475F"/>
    <w:multiLevelType w:val="hybridMultilevel"/>
    <w:tmpl w:val="9BEACFD8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467D1"/>
    <w:multiLevelType w:val="multilevel"/>
    <w:tmpl w:val="35740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EF61BC6"/>
    <w:multiLevelType w:val="hybridMultilevel"/>
    <w:tmpl w:val="7B74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863B2"/>
    <w:multiLevelType w:val="hybridMultilevel"/>
    <w:tmpl w:val="715A1E60"/>
    <w:lvl w:ilvl="0" w:tplc="9BC2C7E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4B5D10"/>
    <w:multiLevelType w:val="hybridMultilevel"/>
    <w:tmpl w:val="131EAD84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204F3"/>
    <w:multiLevelType w:val="hybridMultilevel"/>
    <w:tmpl w:val="B5F4D5F4"/>
    <w:lvl w:ilvl="0" w:tplc="A80081D0">
      <w:start w:val="3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96ABAF2">
      <w:start w:val="2"/>
      <w:numFmt w:val="bullet"/>
      <w:lvlText w:val=""/>
      <w:lvlJc w:val="left"/>
      <w:pPr>
        <w:tabs>
          <w:tab w:val="num" w:pos="1647"/>
        </w:tabs>
        <w:ind w:left="2160" w:hanging="1080"/>
      </w:pPr>
      <w:rPr>
        <w:rFonts w:ascii="Symbol" w:hAnsi="Symbol" w:hint="default"/>
        <w:sz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F95683"/>
    <w:multiLevelType w:val="hybridMultilevel"/>
    <w:tmpl w:val="517691FE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11C88"/>
    <w:multiLevelType w:val="hybridMultilevel"/>
    <w:tmpl w:val="CA3C1990"/>
    <w:lvl w:ilvl="0" w:tplc="E744A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E6B4C"/>
    <w:multiLevelType w:val="hybridMultilevel"/>
    <w:tmpl w:val="5CEE68AC"/>
    <w:lvl w:ilvl="0" w:tplc="24368B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6E521D"/>
    <w:multiLevelType w:val="hybridMultilevel"/>
    <w:tmpl w:val="D79AE3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153AB"/>
    <w:multiLevelType w:val="hybridMultilevel"/>
    <w:tmpl w:val="03E25B5E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84999"/>
    <w:multiLevelType w:val="hybridMultilevel"/>
    <w:tmpl w:val="00BA2C70"/>
    <w:lvl w:ilvl="0" w:tplc="CBE81E4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0B2883"/>
    <w:multiLevelType w:val="hybridMultilevel"/>
    <w:tmpl w:val="F5401C4A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74239"/>
    <w:multiLevelType w:val="hybridMultilevel"/>
    <w:tmpl w:val="820A1D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1060D"/>
    <w:multiLevelType w:val="hybridMultilevel"/>
    <w:tmpl w:val="9686359C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777B9"/>
    <w:multiLevelType w:val="hybridMultilevel"/>
    <w:tmpl w:val="1180AAB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85FC6"/>
    <w:multiLevelType w:val="hybridMultilevel"/>
    <w:tmpl w:val="6B8435B0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96493"/>
    <w:multiLevelType w:val="hybridMultilevel"/>
    <w:tmpl w:val="B1045784"/>
    <w:lvl w:ilvl="0" w:tplc="3CBA3F32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6538C"/>
    <w:multiLevelType w:val="hybridMultilevel"/>
    <w:tmpl w:val="B9E03E10"/>
    <w:lvl w:ilvl="0" w:tplc="375ACC78">
      <w:start w:val="2"/>
      <w:numFmt w:val="lowerLetter"/>
      <w:lvlText w:val="(%1)"/>
      <w:lvlJc w:val="left"/>
      <w:pPr>
        <w:tabs>
          <w:tab w:val="num" w:pos="907"/>
        </w:tabs>
        <w:ind w:left="907" w:hanging="547"/>
      </w:pPr>
      <w:rPr>
        <w:rFonts w:ascii="Times New Roman" w:eastAsia="Times New Roman" w:hAnsi="Times New Roman" w:cs="Times New Roman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32A5F"/>
    <w:multiLevelType w:val="hybridMultilevel"/>
    <w:tmpl w:val="D9E23B4E"/>
    <w:lvl w:ilvl="0" w:tplc="38E06D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AE7317"/>
    <w:multiLevelType w:val="hybridMultilevel"/>
    <w:tmpl w:val="25B4C724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67C93"/>
    <w:multiLevelType w:val="multilevel"/>
    <w:tmpl w:val="E108AE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2" w15:restartNumberingAfterBreak="0">
    <w:nsid w:val="751626E9"/>
    <w:multiLevelType w:val="hybridMultilevel"/>
    <w:tmpl w:val="24AAF3A2"/>
    <w:lvl w:ilvl="0" w:tplc="3AF649DC">
      <w:start w:val="1"/>
      <w:numFmt w:val="lowerRoman"/>
      <w:lvlText w:val="%1)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8F3C9E"/>
    <w:multiLevelType w:val="multilevel"/>
    <w:tmpl w:val="03E25B5E"/>
    <w:lvl w:ilvl="0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51BC4"/>
    <w:multiLevelType w:val="hybridMultilevel"/>
    <w:tmpl w:val="41129D5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A018EE"/>
    <w:multiLevelType w:val="multilevel"/>
    <w:tmpl w:val="0E007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896616A"/>
    <w:multiLevelType w:val="hybridMultilevel"/>
    <w:tmpl w:val="14602F8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07AD3"/>
    <w:multiLevelType w:val="hybridMultilevel"/>
    <w:tmpl w:val="835865AC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DC95C05"/>
    <w:multiLevelType w:val="hybridMultilevel"/>
    <w:tmpl w:val="C6089EC8"/>
    <w:lvl w:ilvl="0" w:tplc="E970F368">
      <w:start w:val="2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9E3CDC"/>
    <w:multiLevelType w:val="hybridMultilevel"/>
    <w:tmpl w:val="EB523870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5"/>
  </w:num>
  <w:num w:numId="5">
    <w:abstractNumId w:val="34"/>
  </w:num>
  <w:num w:numId="6">
    <w:abstractNumId w:val="45"/>
  </w:num>
  <w:num w:numId="7">
    <w:abstractNumId w:val="21"/>
  </w:num>
  <w:num w:numId="8">
    <w:abstractNumId w:val="41"/>
  </w:num>
  <w:num w:numId="9">
    <w:abstractNumId w:val="40"/>
  </w:num>
  <w:num w:numId="10">
    <w:abstractNumId w:val="37"/>
  </w:num>
  <w:num w:numId="11">
    <w:abstractNumId w:val="42"/>
  </w:num>
  <w:num w:numId="12">
    <w:abstractNumId w:val="28"/>
  </w:num>
  <w:num w:numId="13">
    <w:abstractNumId w:val="9"/>
  </w:num>
  <w:num w:numId="14">
    <w:abstractNumId w:val="6"/>
  </w:num>
  <w:num w:numId="15">
    <w:abstractNumId w:val="30"/>
  </w:num>
  <w:num w:numId="16">
    <w:abstractNumId w:val="43"/>
  </w:num>
  <w:num w:numId="17">
    <w:abstractNumId w:val="17"/>
  </w:num>
  <w:num w:numId="18">
    <w:abstractNumId w:val="44"/>
  </w:num>
  <w:num w:numId="19">
    <w:abstractNumId w:val="49"/>
  </w:num>
  <w:num w:numId="20">
    <w:abstractNumId w:val="48"/>
  </w:num>
  <w:num w:numId="21">
    <w:abstractNumId w:val="46"/>
  </w:num>
  <w:num w:numId="22">
    <w:abstractNumId w:val="36"/>
  </w:num>
  <w:num w:numId="23">
    <w:abstractNumId w:val="38"/>
  </w:num>
  <w:num w:numId="24">
    <w:abstractNumId w:val="8"/>
  </w:num>
  <w:num w:numId="25">
    <w:abstractNumId w:val="29"/>
  </w:num>
  <w:num w:numId="26">
    <w:abstractNumId w:val="26"/>
  </w:num>
  <w:num w:numId="27">
    <w:abstractNumId w:val="11"/>
  </w:num>
  <w:num w:numId="28">
    <w:abstractNumId w:val="23"/>
  </w:num>
  <w:num w:numId="29">
    <w:abstractNumId w:val="39"/>
  </w:num>
  <w:num w:numId="30">
    <w:abstractNumId w:val="22"/>
  </w:num>
  <w:num w:numId="31">
    <w:abstractNumId w:val="13"/>
  </w:num>
  <w:num w:numId="32">
    <w:abstractNumId w:val="10"/>
  </w:num>
  <w:num w:numId="33">
    <w:abstractNumId w:val="27"/>
  </w:num>
  <w:num w:numId="34">
    <w:abstractNumId w:val="19"/>
  </w:num>
  <w:num w:numId="35">
    <w:abstractNumId w:val="35"/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3"/>
  </w:num>
  <w:num w:numId="39">
    <w:abstractNumId w:val="16"/>
  </w:num>
  <w:num w:numId="40">
    <w:abstractNumId w:val="7"/>
  </w:num>
  <w:num w:numId="41">
    <w:abstractNumId w:val="47"/>
  </w:num>
  <w:num w:numId="42">
    <w:abstractNumId w:val="24"/>
  </w:num>
  <w:num w:numId="43">
    <w:abstractNumId w:val="32"/>
  </w:num>
  <w:num w:numId="44">
    <w:abstractNumId w:val="4"/>
  </w:num>
  <w:num w:numId="45">
    <w:abstractNumId w:val="15"/>
  </w:num>
  <w:num w:numId="46">
    <w:abstractNumId w:val="2"/>
  </w:num>
  <w:num w:numId="47">
    <w:abstractNumId w:val="12"/>
  </w:num>
  <w:num w:numId="48">
    <w:abstractNumId w:val="3"/>
  </w:num>
  <w:num w:numId="49">
    <w:abstractNumId w:val="18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006"/>
    <w:rsid w:val="0000622B"/>
    <w:rsid w:val="00006803"/>
    <w:rsid w:val="00017D5F"/>
    <w:rsid w:val="00022BBD"/>
    <w:rsid w:val="00023E69"/>
    <w:rsid w:val="00025E8E"/>
    <w:rsid w:val="000300F2"/>
    <w:rsid w:val="000328CB"/>
    <w:rsid w:val="0003367B"/>
    <w:rsid w:val="00033C1E"/>
    <w:rsid w:val="000363F6"/>
    <w:rsid w:val="00036E6C"/>
    <w:rsid w:val="000406CF"/>
    <w:rsid w:val="000406DA"/>
    <w:rsid w:val="00044742"/>
    <w:rsid w:val="00047B52"/>
    <w:rsid w:val="00051135"/>
    <w:rsid w:val="0005330D"/>
    <w:rsid w:val="000539B8"/>
    <w:rsid w:val="0005586D"/>
    <w:rsid w:val="00056AF7"/>
    <w:rsid w:val="0006006C"/>
    <w:rsid w:val="00060490"/>
    <w:rsid w:val="00060642"/>
    <w:rsid w:val="000625EC"/>
    <w:rsid w:val="00080890"/>
    <w:rsid w:val="00082487"/>
    <w:rsid w:val="00085CF2"/>
    <w:rsid w:val="00087BB2"/>
    <w:rsid w:val="00090DB1"/>
    <w:rsid w:val="000914EE"/>
    <w:rsid w:val="00093C5E"/>
    <w:rsid w:val="00095455"/>
    <w:rsid w:val="00096678"/>
    <w:rsid w:val="000A523E"/>
    <w:rsid w:val="000A6C3C"/>
    <w:rsid w:val="000B1705"/>
    <w:rsid w:val="000B1804"/>
    <w:rsid w:val="000B7069"/>
    <w:rsid w:val="000B7AED"/>
    <w:rsid w:val="000C0550"/>
    <w:rsid w:val="000D034D"/>
    <w:rsid w:val="000D1B19"/>
    <w:rsid w:val="000E53E0"/>
    <w:rsid w:val="000E5744"/>
    <w:rsid w:val="000F45AB"/>
    <w:rsid w:val="00100422"/>
    <w:rsid w:val="00105B57"/>
    <w:rsid w:val="00110760"/>
    <w:rsid w:val="00111732"/>
    <w:rsid w:val="001121F5"/>
    <w:rsid w:val="00112A2E"/>
    <w:rsid w:val="001154D3"/>
    <w:rsid w:val="00115BC4"/>
    <w:rsid w:val="00123B46"/>
    <w:rsid w:val="00126AF0"/>
    <w:rsid w:val="00126E5D"/>
    <w:rsid w:val="00132D99"/>
    <w:rsid w:val="00133A76"/>
    <w:rsid w:val="00135854"/>
    <w:rsid w:val="00137C4B"/>
    <w:rsid w:val="00141B6D"/>
    <w:rsid w:val="00143A98"/>
    <w:rsid w:val="00143CC0"/>
    <w:rsid w:val="0014539F"/>
    <w:rsid w:val="001463FA"/>
    <w:rsid w:val="0014759E"/>
    <w:rsid w:val="00155EF2"/>
    <w:rsid w:val="0015615B"/>
    <w:rsid w:val="00157923"/>
    <w:rsid w:val="00157E22"/>
    <w:rsid w:val="00164E99"/>
    <w:rsid w:val="00164F90"/>
    <w:rsid w:val="00167DF3"/>
    <w:rsid w:val="00170C27"/>
    <w:rsid w:val="00171B5B"/>
    <w:rsid w:val="0017539C"/>
    <w:rsid w:val="0017609F"/>
    <w:rsid w:val="001820F7"/>
    <w:rsid w:val="0019164E"/>
    <w:rsid w:val="00191F72"/>
    <w:rsid w:val="001940E1"/>
    <w:rsid w:val="001947CC"/>
    <w:rsid w:val="00197BEB"/>
    <w:rsid w:val="001A258D"/>
    <w:rsid w:val="001A44BC"/>
    <w:rsid w:val="001A4F5D"/>
    <w:rsid w:val="001A5A86"/>
    <w:rsid w:val="001B1348"/>
    <w:rsid w:val="001B404B"/>
    <w:rsid w:val="001B731C"/>
    <w:rsid w:val="001C0E28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212B"/>
    <w:rsid w:val="001F4859"/>
    <w:rsid w:val="001F565C"/>
    <w:rsid w:val="001F59DB"/>
    <w:rsid w:val="002009E4"/>
    <w:rsid w:val="002034FE"/>
    <w:rsid w:val="00204837"/>
    <w:rsid w:val="00205911"/>
    <w:rsid w:val="0020628E"/>
    <w:rsid w:val="00207B40"/>
    <w:rsid w:val="00211C39"/>
    <w:rsid w:val="00213E72"/>
    <w:rsid w:val="00216668"/>
    <w:rsid w:val="00216864"/>
    <w:rsid w:val="002178B8"/>
    <w:rsid w:val="00223D03"/>
    <w:rsid w:val="00224812"/>
    <w:rsid w:val="00224F52"/>
    <w:rsid w:val="00230211"/>
    <w:rsid w:val="002323A7"/>
    <w:rsid w:val="0023345C"/>
    <w:rsid w:val="00233546"/>
    <w:rsid w:val="002372ED"/>
    <w:rsid w:val="00241C31"/>
    <w:rsid w:val="002424A8"/>
    <w:rsid w:val="002426F3"/>
    <w:rsid w:val="002461BA"/>
    <w:rsid w:val="00247618"/>
    <w:rsid w:val="002509C9"/>
    <w:rsid w:val="00252CDA"/>
    <w:rsid w:val="00262C55"/>
    <w:rsid w:val="00265875"/>
    <w:rsid w:val="002664D2"/>
    <w:rsid w:val="00266544"/>
    <w:rsid w:val="00266A38"/>
    <w:rsid w:val="0026797B"/>
    <w:rsid w:val="00270D09"/>
    <w:rsid w:val="0027303B"/>
    <w:rsid w:val="00275642"/>
    <w:rsid w:val="0028109B"/>
    <w:rsid w:val="002866D2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B09AE"/>
    <w:rsid w:val="002B42B9"/>
    <w:rsid w:val="002B69CD"/>
    <w:rsid w:val="002C1C7A"/>
    <w:rsid w:val="002D3CA6"/>
    <w:rsid w:val="002D448E"/>
    <w:rsid w:val="002D47F7"/>
    <w:rsid w:val="002D48E4"/>
    <w:rsid w:val="002D7052"/>
    <w:rsid w:val="002D7FCC"/>
    <w:rsid w:val="002E0872"/>
    <w:rsid w:val="002E3248"/>
    <w:rsid w:val="002E5A5D"/>
    <w:rsid w:val="002E5AC3"/>
    <w:rsid w:val="002E7E71"/>
    <w:rsid w:val="002F17BD"/>
    <w:rsid w:val="00302EB0"/>
    <w:rsid w:val="003104AE"/>
    <w:rsid w:val="003109EE"/>
    <w:rsid w:val="00311C3B"/>
    <w:rsid w:val="00311DA1"/>
    <w:rsid w:val="0031367D"/>
    <w:rsid w:val="003137E7"/>
    <w:rsid w:val="00314813"/>
    <w:rsid w:val="00314D4F"/>
    <w:rsid w:val="0032203B"/>
    <w:rsid w:val="003221B7"/>
    <w:rsid w:val="00324E20"/>
    <w:rsid w:val="003259C3"/>
    <w:rsid w:val="00325F02"/>
    <w:rsid w:val="003334B9"/>
    <w:rsid w:val="0033378B"/>
    <w:rsid w:val="0033535B"/>
    <w:rsid w:val="003368E5"/>
    <w:rsid w:val="0034515A"/>
    <w:rsid w:val="00346A46"/>
    <w:rsid w:val="00352973"/>
    <w:rsid w:val="0036205D"/>
    <w:rsid w:val="0036286A"/>
    <w:rsid w:val="00362FE9"/>
    <w:rsid w:val="003642D8"/>
    <w:rsid w:val="00370861"/>
    <w:rsid w:val="00375038"/>
    <w:rsid w:val="00375CE5"/>
    <w:rsid w:val="003811CD"/>
    <w:rsid w:val="00382DA7"/>
    <w:rsid w:val="0038348E"/>
    <w:rsid w:val="00384EED"/>
    <w:rsid w:val="00387B26"/>
    <w:rsid w:val="00390C61"/>
    <w:rsid w:val="003942D4"/>
    <w:rsid w:val="00394A9C"/>
    <w:rsid w:val="003958A8"/>
    <w:rsid w:val="0039606B"/>
    <w:rsid w:val="003969A8"/>
    <w:rsid w:val="003A0D4B"/>
    <w:rsid w:val="003A0F60"/>
    <w:rsid w:val="003A4E18"/>
    <w:rsid w:val="003A6515"/>
    <w:rsid w:val="003A77D9"/>
    <w:rsid w:val="003A7BA2"/>
    <w:rsid w:val="003B13DC"/>
    <w:rsid w:val="003C1736"/>
    <w:rsid w:val="003C3D8D"/>
    <w:rsid w:val="003C5406"/>
    <w:rsid w:val="003C7021"/>
    <w:rsid w:val="003D34FB"/>
    <w:rsid w:val="003D5EE4"/>
    <w:rsid w:val="003E103B"/>
    <w:rsid w:val="003E417E"/>
    <w:rsid w:val="003E6A2A"/>
    <w:rsid w:val="003E6D41"/>
    <w:rsid w:val="003F59E8"/>
    <w:rsid w:val="003F5F61"/>
    <w:rsid w:val="004002BF"/>
    <w:rsid w:val="00412BB3"/>
    <w:rsid w:val="00413BFD"/>
    <w:rsid w:val="00415966"/>
    <w:rsid w:val="0041739B"/>
    <w:rsid w:val="00422F6E"/>
    <w:rsid w:val="00423CF3"/>
    <w:rsid w:val="0042461B"/>
    <w:rsid w:val="0042520B"/>
    <w:rsid w:val="00431EC5"/>
    <w:rsid w:val="00433CE8"/>
    <w:rsid w:val="00434B7B"/>
    <w:rsid w:val="004359BA"/>
    <w:rsid w:val="004372DC"/>
    <w:rsid w:val="00440A2A"/>
    <w:rsid w:val="00443FD3"/>
    <w:rsid w:val="00446741"/>
    <w:rsid w:val="00447830"/>
    <w:rsid w:val="004522A4"/>
    <w:rsid w:val="004524CB"/>
    <w:rsid w:val="004544D9"/>
    <w:rsid w:val="00454720"/>
    <w:rsid w:val="00454CE8"/>
    <w:rsid w:val="0045696A"/>
    <w:rsid w:val="00462518"/>
    <w:rsid w:val="00462702"/>
    <w:rsid w:val="0046399B"/>
    <w:rsid w:val="00466356"/>
    <w:rsid w:val="00474091"/>
    <w:rsid w:val="00476CBB"/>
    <w:rsid w:val="00476EAD"/>
    <w:rsid w:val="004804F3"/>
    <w:rsid w:val="004824B2"/>
    <w:rsid w:val="00482596"/>
    <w:rsid w:val="00486526"/>
    <w:rsid w:val="004873E3"/>
    <w:rsid w:val="00487C87"/>
    <w:rsid w:val="004921C8"/>
    <w:rsid w:val="00494F0E"/>
    <w:rsid w:val="00495DB6"/>
    <w:rsid w:val="00497457"/>
    <w:rsid w:val="004A0168"/>
    <w:rsid w:val="004A2A4A"/>
    <w:rsid w:val="004A2D22"/>
    <w:rsid w:val="004A4AAA"/>
    <w:rsid w:val="004A6131"/>
    <w:rsid w:val="004A7476"/>
    <w:rsid w:val="004B01BB"/>
    <w:rsid w:val="004B413A"/>
    <w:rsid w:val="004B7CF2"/>
    <w:rsid w:val="004C1374"/>
    <w:rsid w:val="004C4CD5"/>
    <w:rsid w:val="004C581A"/>
    <w:rsid w:val="004C5F8D"/>
    <w:rsid w:val="004D672B"/>
    <w:rsid w:val="004D7E9F"/>
    <w:rsid w:val="004E1229"/>
    <w:rsid w:val="004E1AA9"/>
    <w:rsid w:val="004E1AEE"/>
    <w:rsid w:val="004E276F"/>
    <w:rsid w:val="004E2BB6"/>
    <w:rsid w:val="004E2EA5"/>
    <w:rsid w:val="004E3A5D"/>
    <w:rsid w:val="004E7D16"/>
    <w:rsid w:val="004F3682"/>
    <w:rsid w:val="0050223C"/>
    <w:rsid w:val="00502618"/>
    <w:rsid w:val="005030F2"/>
    <w:rsid w:val="0051396C"/>
    <w:rsid w:val="005166BA"/>
    <w:rsid w:val="00516BE8"/>
    <w:rsid w:val="00525421"/>
    <w:rsid w:val="0052758B"/>
    <w:rsid w:val="00530883"/>
    <w:rsid w:val="00533DB4"/>
    <w:rsid w:val="00534E85"/>
    <w:rsid w:val="005352F1"/>
    <w:rsid w:val="00542420"/>
    <w:rsid w:val="005431C5"/>
    <w:rsid w:val="0054413F"/>
    <w:rsid w:val="00546E2C"/>
    <w:rsid w:val="005476DB"/>
    <w:rsid w:val="005546E9"/>
    <w:rsid w:val="00555654"/>
    <w:rsid w:val="00557E06"/>
    <w:rsid w:val="0056199E"/>
    <w:rsid w:val="00563D37"/>
    <w:rsid w:val="00564FBC"/>
    <w:rsid w:val="0056725A"/>
    <w:rsid w:val="005703B3"/>
    <w:rsid w:val="00571358"/>
    <w:rsid w:val="00572976"/>
    <w:rsid w:val="00573657"/>
    <w:rsid w:val="00573F30"/>
    <w:rsid w:val="0057486A"/>
    <w:rsid w:val="00577EE5"/>
    <w:rsid w:val="00582442"/>
    <w:rsid w:val="0059460E"/>
    <w:rsid w:val="00594700"/>
    <w:rsid w:val="005974F5"/>
    <w:rsid w:val="00597F2F"/>
    <w:rsid w:val="005A07F8"/>
    <w:rsid w:val="005A1CA3"/>
    <w:rsid w:val="005A473B"/>
    <w:rsid w:val="005A56BD"/>
    <w:rsid w:val="005A5763"/>
    <w:rsid w:val="005A69BE"/>
    <w:rsid w:val="005A6AA8"/>
    <w:rsid w:val="005C11F1"/>
    <w:rsid w:val="005C472C"/>
    <w:rsid w:val="005C68C8"/>
    <w:rsid w:val="005C7EFB"/>
    <w:rsid w:val="005D0EF5"/>
    <w:rsid w:val="005D0F96"/>
    <w:rsid w:val="005D2735"/>
    <w:rsid w:val="005D7471"/>
    <w:rsid w:val="005E1AE5"/>
    <w:rsid w:val="005E1D6F"/>
    <w:rsid w:val="005E1DBF"/>
    <w:rsid w:val="005E2754"/>
    <w:rsid w:val="005E75DF"/>
    <w:rsid w:val="005F0BF9"/>
    <w:rsid w:val="005F1DE7"/>
    <w:rsid w:val="005F5262"/>
    <w:rsid w:val="005F6291"/>
    <w:rsid w:val="0060136D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5BD"/>
    <w:rsid w:val="00625110"/>
    <w:rsid w:val="00631445"/>
    <w:rsid w:val="00632E34"/>
    <w:rsid w:val="00634645"/>
    <w:rsid w:val="006353F4"/>
    <w:rsid w:val="00640350"/>
    <w:rsid w:val="00641642"/>
    <w:rsid w:val="00642818"/>
    <w:rsid w:val="00644588"/>
    <w:rsid w:val="006467EB"/>
    <w:rsid w:val="00651182"/>
    <w:rsid w:val="00652CDE"/>
    <w:rsid w:val="00654E72"/>
    <w:rsid w:val="006560E2"/>
    <w:rsid w:val="006615CB"/>
    <w:rsid w:val="00662984"/>
    <w:rsid w:val="006664D0"/>
    <w:rsid w:val="00667666"/>
    <w:rsid w:val="00667AD7"/>
    <w:rsid w:val="00670161"/>
    <w:rsid w:val="00672360"/>
    <w:rsid w:val="006765A3"/>
    <w:rsid w:val="00676AC3"/>
    <w:rsid w:val="006808CF"/>
    <w:rsid w:val="00685352"/>
    <w:rsid w:val="00687324"/>
    <w:rsid w:val="00691226"/>
    <w:rsid w:val="00696C7C"/>
    <w:rsid w:val="006A0E9D"/>
    <w:rsid w:val="006A1507"/>
    <w:rsid w:val="006A5907"/>
    <w:rsid w:val="006A5EBB"/>
    <w:rsid w:val="006B4A4B"/>
    <w:rsid w:val="006B6DCC"/>
    <w:rsid w:val="006C1FE5"/>
    <w:rsid w:val="006C4D1A"/>
    <w:rsid w:val="006C6ECC"/>
    <w:rsid w:val="006C7C0C"/>
    <w:rsid w:val="006D0D77"/>
    <w:rsid w:val="006D55D4"/>
    <w:rsid w:val="006E05BC"/>
    <w:rsid w:val="006E1542"/>
    <w:rsid w:val="006E32FA"/>
    <w:rsid w:val="006E489B"/>
    <w:rsid w:val="006E6810"/>
    <w:rsid w:val="006F1998"/>
    <w:rsid w:val="006F51C9"/>
    <w:rsid w:val="007010ED"/>
    <w:rsid w:val="00703A3D"/>
    <w:rsid w:val="007059D0"/>
    <w:rsid w:val="00706C5F"/>
    <w:rsid w:val="00706E25"/>
    <w:rsid w:val="0071583E"/>
    <w:rsid w:val="00720059"/>
    <w:rsid w:val="007211C3"/>
    <w:rsid w:val="00723408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0694"/>
    <w:rsid w:val="0074173F"/>
    <w:rsid w:val="007422DD"/>
    <w:rsid w:val="00743132"/>
    <w:rsid w:val="00743B89"/>
    <w:rsid w:val="0075057F"/>
    <w:rsid w:val="00750CB5"/>
    <w:rsid w:val="00752D78"/>
    <w:rsid w:val="0075359A"/>
    <w:rsid w:val="00755EEC"/>
    <w:rsid w:val="007579C3"/>
    <w:rsid w:val="00761159"/>
    <w:rsid w:val="00763AC3"/>
    <w:rsid w:val="0076793A"/>
    <w:rsid w:val="00776BD3"/>
    <w:rsid w:val="0077710D"/>
    <w:rsid w:val="0077759E"/>
    <w:rsid w:val="00782469"/>
    <w:rsid w:val="00782AF6"/>
    <w:rsid w:val="007877B8"/>
    <w:rsid w:val="00794BEC"/>
    <w:rsid w:val="0079687E"/>
    <w:rsid w:val="007969E9"/>
    <w:rsid w:val="00796FA5"/>
    <w:rsid w:val="007972A9"/>
    <w:rsid w:val="007976EF"/>
    <w:rsid w:val="007A05E1"/>
    <w:rsid w:val="007A3DA8"/>
    <w:rsid w:val="007A76B9"/>
    <w:rsid w:val="007B0746"/>
    <w:rsid w:val="007B48FF"/>
    <w:rsid w:val="007B6A8D"/>
    <w:rsid w:val="007C33FA"/>
    <w:rsid w:val="007C7D3F"/>
    <w:rsid w:val="007D1B5F"/>
    <w:rsid w:val="007D5356"/>
    <w:rsid w:val="007D58C8"/>
    <w:rsid w:val="007E0CC3"/>
    <w:rsid w:val="007E1756"/>
    <w:rsid w:val="007E59EB"/>
    <w:rsid w:val="007E73DD"/>
    <w:rsid w:val="007F0840"/>
    <w:rsid w:val="007F2124"/>
    <w:rsid w:val="007F3F26"/>
    <w:rsid w:val="007F4867"/>
    <w:rsid w:val="0080074C"/>
    <w:rsid w:val="00805138"/>
    <w:rsid w:val="00811C37"/>
    <w:rsid w:val="008121F1"/>
    <w:rsid w:val="00817A1E"/>
    <w:rsid w:val="00831957"/>
    <w:rsid w:val="00833550"/>
    <w:rsid w:val="00835301"/>
    <w:rsid w:val="0083581B"/>
    <w:rsid w:val="00836D34"/>
    <w:rsid w:val="00840993"/>
    <w:rsid w:val="0084140B"/>
    <w:rsid w:val="00841698"/>
    <w:rsid w:val="0084318B"/>
    <w:rsid w:val="00843FFC"/>
    <w:rsid w:val="00844A08"/>
    <w:rsid w:val="0085227D"/>
    <w:rsid w:val="0086214B"/>
    <w:rsid w:val="00862A59"/>
    <w:rsid w:val="008652DD"/>
    <w:rsid w:val="00870B34"/>
    <w:rsid w:val="00873188"/>
    <w:rsid w:val="008802BD"/>
    <w:rsid w:val="00880C96"/>
    <w:rsid w:val="00880F43"/>
    <w:rsid w:val="00882198"/>
    <w:rsid w:val="00893913"/>
    <w:rsid w:val="00894A8D"/>
    <w:rsid w:val="0089781C"/>
    <w:rsid w:val="008A22C5"/>
    <w:rsid w:val="008A453D"/>
    <w:rsid w:val="008A5FDD"/>
    <w:rsid w:val="008A6032"/>
    <w:rsid w:val="008B1669"/>
    <w:rsid w:val="008B1F57"/>
    <w:rsid w:val="008B1F62"/>
    <w:rsid w:val="008B2F6E"/>
    <w:rsid w:val="008B3026"/>
    <w:rsid w:val="008C2E71"/>
    <w:rsid w:val="008C30F7"/>
    <w:rsid w:val="008C561E"/>
    <w:rsid w:val="008C7015"/>
    <w:rsid w:val="008D2C51"/>
    <w:rsid w:val="008D2D0A"/>
    <w:rsid w:val="008D494D"/>
    <w:rsid w:val="008E230B"/>
    <w:rsid w:val="008E5A16"/>
    <w:rsid w:val="008E6086"/>
    <w:rsid w:val="008E66A4"/>
    <w:rsid w:val="008F3EA7"/>
    <w:rsid w:val="0090058A"/>
    <w:rsid w:val="00902374"/>
    <w:rsid w:val="00902B88"/>
    <w:rsid w:val="0090483B"/>
    <w:rsid w:val="0090693C"/>
    <w:rsid w:val="009108A1"/>
    <w:rsid w:val="00911F7D"/>
    <w:rsid w:val="00912C48"/>
    <w:rsid w:val="00912E33"/>
    <w:rsid w:val="009163F3"/>
    <w:rsid w:val="00916E39"/>
    <w:rsid w:val="009173EF"/>
    <w:rsid w:val="00917ABA"/>
    <w:rsid w:val="00925131"/>
    <w:rsid w:val="00930D14"/>
    <w:rsid w:val="00932906"/>
    <w:rsid w:val="00935D3F"/>
    <w:rsid w:val="0094130F"/>
    <w:rsid w:val="009419D1"/>
    <w:rsid w:val="00944287"/>
    <w:rsid w:val="00945D18"/>
    <w:rsid w:val="00950214"/>
    <w:rsid w:val="009539B3"/>
    <w:rsid w:val="00956C8C"/>
    <w:rsid w:val="00961B0B"/>
    <w:rsid w:val="00962938"/>
    <w:rsid w:val="00963226"/>
    <w:rsid w:val="009659F0"/>
    <w:rsid w:val="00966A1B"/>
    <w:rsid w:val="00977602"/>
    <w:rsid w:val="00981F5D"/>
    <w:rsid w:val="009821AE"/>
    <w:rsid w:val="009822EB"/>
    <w:rsid w:val="00984458"/>
    <w:rsid w:val="00987718"/>
    <w:rsid w:val="009912FF"/>
    <w:rsid w:val="00997952"/>
    <w:rsid w:val="009A069F"/>
    <w:rsid w:val="009A6F1D"/>
    <w:rsid w:val="009B048E"/>
    <w:rsid w:val="009B637E"/>
    <w:rsid w:val="009C5FD2"/>
    <w:rsid w:val="009D3B98"/>
    <w:rsid w:val="009D6EA5"/>
    <w:rsid w:val="009E00C1"/>
    <w:rsid w:val="009E17BD"/>
    <w:rsid w:val="009E3EED"/>
    <w:rsid w:val="009E6868"/>
    <w:rsid w:val="009E7651"/>
    <w:rsid w:val="009E7DE0"/>
    <w:rsid w:val="009F15C5"/>
    <w:rsid w:val="009F1D4D"/>
    <w:rsid w:val="009F4698"/>
    <w:rsid w:val="009F4DF7"/>
    <w:rsid w:val="009F5BC3"/>
    <w:rsid w:val="00A02D2D"/>
    <w:rsid w:val="00A02E6F"/>
    <w:rsid w:val="00A04CEC"/>
    <w:rsid w:val="00A066D8"/>
    <w:rsid w:val="00A12C68"/>
    <w:rsid w:val="00A20884"/>
    <w:rsid w:val="00A21097"/>
    <w:rsid w:val="00A27F92"/>
    <w:rsid w:val="00A305AA"/>
    <w:rsid w:val="00A32654"/>
    <w:rsid w:val="00A33971"/>
    <w:rsid w:val="00A33B18"/>
    <w:rsid w:val="00A3595B"/>
    <w:rsid w:val="00A35E16"/>
    <w:rsid w:val="00A44101"/>
    <w:rsid w:val="00A5383B"/>
    <w:rsid w:val="00A55622"/>
    <w:rsid w:val="00A556C2"/>
    <w:rsid w:val="00A602CD"/>
    <w:rsid w:val="00A62467"/>
    <w:rsid w:val="00A63031"/>
    <w:rsid w:val="00A71E8E"/>
    <w:rsid w:val="00A76752"/>
    <w:rsid w:val="00A77EA6"/>
    <w:rsid w:val="00A806F2"/>
    <w:rsid w:val="00A81F23"/>
    <w:rsid w:val="00A8261D"/>
    <w:rsid w:val="00A82D0D"/>
    <w:rsid w:val="00A87B50"/>
    <w:rsid w:val="00A91DE4"/>
    <w:rsid w:val="00A94AD4"/>
    <w:rsid w:val="00AA025D"/>
    <w:rsid w:val="00AA5496"/>
    <w:rsid w:val="00AB0340"/>
    <w:rsid w:val="00AB24CA"/>
    <w:rsid w:val="00AB29DA"/>
    <w:rsid w:val="00AB42F6"/>
    <w:rsid w:val="00AB69D8"/>
    <w:rsid w:val="00AC1E55"/>
    <w:rsid w:val="00AC2591"/>
    <w:rsid w:val="00AC6F74"/>
    <w:rsid w:val="00AC769F"/>
    <w:rsid w:val="00AD0AE5"/>
    <w:rsid w:val="00AD3E23"/>
    <w:rsid w:val="00AD5D3C"/>
    <w:rsid w:val="00AD7201"/>
    <w:rsid w:val="00AD7909"/>
    <w:rsid w:val="00AE26D6"/>
    <w:rsid w:val="00AE654A"/>
    <w:rsid w:val="00AE66FC"/>
    <w:rsid w:val="00AF2963"/>
    <w:rsid w:val="00AF2971"/>
    <w:rsid w:val="00AF4BAE"/>
    <w:rsid w:val="00AF5E3C"/>
    <w:rsid w:val="00AF78F8"/>
    <w:rsid w:val="00B024D2"/>
    <w:rsid w:val="00B13315"/>
    <w:rsid w:val="00B170F6"/>
    <w:rsid w:val="00B2270F"/>
    <w:rsid w:val="00B23E7E"/>
    <w:rsid w:val="00B25B11"/>
    <w:rsid w:val="00B25B41"/>
    <w:rsid w:val="00B27123"/>
    <w:rsid w:val="00B332FB"/>
    <w:rsid w:val="00B371AF"/>
    <w:rsid w:val="00B40A81"/>
    <w:rsid w:val="00B41974"/>
    <w:rsid w:val="00B44910"/>
    <w:rsid w:val="00B54B8F"/>
    <w:rsid w:val="00B55639"/>
    <w:rsid w:val="00B576FA"/>
    <w:rsid w:val="00B6677E"/>
    <w:rsid w:val="00B7000E"/>
    <w:rsid w:val="00B702A5"/>
    <w:rsid w:val="00B72267"/>
    <w:rsid w:val="00B750EB"/>
    <w:rsid w:val="00B76EB6"/>
    <w:rsid w:val="00B77B71"/>
    <w:rsid w:val="00B824C8"/>
    <w:rsid w:val="00B82A28"/>
    <w:rsid w:val="00B8318C"/>
    <w:rsid w:val="00B83897"/>
    <w:rsid w:val="00B84652"/>
    <w:rsid w:val="00B8578D"/>
    <w:rsid w:val="00B8714F"/>
    <w:rsid w:val="00B902F2"/>
    <w:rsid w:val="00BA1CA1"/>
    <w:rsid w:val="00BA1CAA"/>
    <w:rsid w:val="00BA3A82"/>
    <w:rsid w:val="00BA4604"/>
    <w:rsid w:val="00BA7087"/>
    <w:rsid w:val="00BB0863"/>
    <w:rsid w:val="00BB0E88"/>
    <w:rsid w:val="00BB137B"/>
    <w:rsid w:val="00BB1F56"/>
    <w:rsid w:val="00BB2F3F"/>
    <w:rsid w:val="00BC2C12"/>
    <w:rsid w:val="00BC3CD2"/>
    <w:rsid w:val="00BC5A8A"/>
    <w:rsid w:val="00BD032B"/>
    <w:rsid w:val="00BD14D2"/>
    <w:rsid w:val="00BD1548"/>
    <w:rsid w:val="00BE012E"/>
    <w:rsid w:val="00BE02D1"/>
    <w:rsid w:val="00BE1922"/>
    <w:rsid w:val="00BE2640"/>
    <w:rsid w:val="00BE2773"/>
    <w:rsid w:val="00BE355F"/>
    <w:rsid w:val="00BF1FFF"/>
    <w:rsid w:val="00BF27CF"/>
    <w:rsid w:val="00BF2BF9"/>
    <w:rsid w:val="00BF370B"/>
    <w:rsid w:val="00C01189"/>
    <w:rsid w:val="00C019B1"/>
    <w:rsid w:val="00C03AD5"/>
    <w:rsid w:val="00C104DD"/>
    <w:rsid w:val="00C108D2"/>
    <w:rsid w:val="00C17270"/>
    <w:rsid w:val="00C17609"/>
    <w:rsid w:val="00C17AF8"/>
    <w:rsid w:val="00C301A8"/>
    <w:rsid w:val="00C31C94"/>
    <w:rsid w:val="00C33313"/>
    <w:rsid w:val="00C36D0F"/>
    <w:rsid w:val="00C374DE"/>
    <w:rsid w:val="00C4152B"/>
    <w:rsid w:val="00C42831"/>
    <w:rsid w:val="00C44DA7"/>
    <w:rsid w:val="00C50344"/>
    <w:rsid w:val="00C512A0"/>
    <w:rsid w:val="00C51F07"/>
    <w:rsid w:val="00C53A28"/>
    <w:rsid w:val="00C667DB"/>
    <w:rsid w:val="00C66E21"/>
    <w:rsid w:val="00C7397E"/>
    <w:rsid w:val="00C73A8D"/>
    <w:rsid w:val="00C82306"/>
    <w:rsid w:val="00C83C71"/>
    <w:rsid w:val="00C90506"/>
    <w:rsid w:val="00C94145"/>
    <w:rsid w:val="00C9560A"/>
    <w:rsid w:val="00CA1BFF"/>
    <w:rsid w:val="00CA2A00"/>
    <w:rsid w:val="00CA4EB5"/>
    <w:rsid w:val="00CA6393"/>
    <w:rsid w:val="00CB0AC0"/>
    <w:rsid w:val="00CB1BB5"/>
    <w:rsid w:val="00CB45D7"/>
    <w:rsid w:val="00CB5846"/>
    <w:rsid w:val="00CB688A"/>
    <w:rsid w:val="00CC02B8"/>
    <w:rsid w:val="00CC2057"/>
    <w:rsid w:val="00CC5DAD"/>
    <w:rsid w:val="00CD0C08"/>
    <w:rsid w:val="00CD0F3C"/>
    <w:rsid w:val="00CD5BBD"/>
    <w:rsid w:val="00CD66E3"/>
    <w:rsid w:val="00CE00DE"/>
    <w:rsid w:val="00CE222A"/>
    <w:rsid w:val="00CE554A"/>
    <w:rsid w:val="00CE60BA"/>
    <w:rsid w:val="00CF203C"/>
    <w:rsid w:val="00CF33F3"/>
    <w:rsid w:val="00CF3EC3"/>
    <w:rsid w:val="00CF6AD5"/>
    <w:rsid w:val="00D01238"/>
    <w:rsid w:val="00D01634"/>
    <w:rsid w:val="00D04FD6"/>
    <w:rsid w:val="00D05510"/>
    <w:rsid w:val="00D06183"/>
    <w:rsid w:val="00D10EA5"/>
    <w:rsid w:val="00D12D29"/>
    <w:rsid w:val="00D145D9"/>
    <w:rsid w:val="00D157A3"/>
    <w:rsid w:val="00D15841"/>
    <w:rsid w:val="00D175B3"/>
    <w:rsid w:val="00D208E0"/>
    <w:rsid w:val="00D2236C"/>
    <w:rsid w:val="00D22C42"/>
    <w:rsid w:val="00D2455D"/>
    <w:rsid w:val="00D26FDF"/>
    <w:rsid w:val="00D27B70"/>
    <w:rsid w:val="00D309CF"/>
    <w:rsid w:val="00D30A39"/>
    <w:rsid w:val="00D336EE"/>
    <w:rsid w:val="00D337D8"/>
    <w:rsid w:val="00D33A9B"/>
    <w:rsid w:val="00D33BC1"/>
    <w:rsid w:val="00D4094B"/>
    <w:rsid w:val="00D41704"/>
    <w:rsid w:val="00D43B52"/>
    <w:rsid w:val="00D442AF"/>
    <w:rsid w:val="00D4562C"/>
    <w:rsid w:val="00D46610"/>
    <w:rsid w:val="00D4769E"/>
    <w:rsid w:val="00D534B0"/>
    <w:rsid w:val="00D54A06"/>
    <w:rsid w:val="00D57E69"/>
    <w:rsid w:val="00D617BD"/>
    <w:rsid w:val="00D63AEF"/>
    <w:rsid w:val="00D7144D"/>
    <w:rsid w:val="00D71B7E"/>
    <w:rsid w:val="00D7225A"/>
    <w:rsid w:val="00D7501A"/>
    <w:rsid w:val="00D76A33"/>
    <w:rsid w:val="00D77A00"/>
    <w:rsid w:val="00D86145"/>
    <w:rsid w:val="00D9217C"/>
    <w:rsid w:val="00DA18EC"/>
    <w:rsid w:val="00DA1A79"/>
    <w:rsid w:val="00DA313D"/>
    <w:rsid w:val="00DA3E70"/>
    <w:rsid w:val="00DA5B1F"/>
    <w:rsid w:val="00DB088B"/>
    <w:rsid w:val="00DB2B12"/>
    <w:rsid w:val="00DB6388"/>
    <w:rsid w:val="00DC0E33"/>
    <w:rsid w:val="00DC2187"/>
    <w:rsid w:val="00DC429C"/>
    <w:rsid w:val="00DC4A08"/>
    <w:rsid w:val="00DC65C1"/>
    <w:rsid w:val="00DC7F3A"/>
    <w:rsid w:val="00DD06C6"/>
    <w:rsid w:val="00DE06EB"/>
    <w:rsid w:val="00DE0C72"/>
    <w:rsid w:val="00DE52DC"/>
    <w:rsid w:val="00DF608C"/>
    <w:rsid w:val="00DF720D"/>
    <w:rsid w:val="00E041F4"/>
    <w:rsid w:val="00E07153"/>
    <w:rsid w:val="00E07718"/>
    <w:rsid w:val="00E07FE1"/>
    <w:rsid w:val="00E10E3B"/>
    <w:rsid w:val="00E10E80"/>
    <w:rsid w:val="00E124F0"/>
    <w:rsid w:val="00E137BC"/>
    <w:rsid w:val="00E1694D"/>
    <w:rsid w:val="00E17990"/>
    <w:rsid w:val="00E17CE7"/>
    <w:rsid w:val="00E237EC"/>
    <w:rsid w:val="00E2526B"/>
    <w:rsid w:val="00E342CF"/>
    <w:rsid w:val="00E3640B"/>
    <w:rsid w:val="00E40B6E"/>
    <w:rsid w:val="00E4141B"/>
    <w:rsid w:val="00E4442D"/>
    <w:rsid w:val="00E544AC"/>
    <w:rsid w:val="00E54EE6"/>
    <w:rsid w:val="00E55559"/>
    <w:rsid w:val="00E569B6"/>
    <w:rsid w:val="00E603D2"/>
    <w:rsid w:val="00E77551"/>
    <w:rsid w:val="00E828D5"/>
    <w:rsid w:val="00E8417D"/>
    <w:rsid w:val="00E849B4"/>
    <w:rsid w:val="00E85DA7"/>
    <w:rsid w:val="00E90283"/>
    <w:rsid w:val="00E917D3"/>
    <w:rsid w:val="00E94D52"/>
    <w:rsid w:val="00E964F5"/>
    <w:rsid w:val="00EA3349"/>
    <w:rsid w:val="00EA4D1D"/>
    <w:rsid w:val="00EA5FA5"/>
    <w:rsid w:val="00EB2232"/>
    <w:rsid w:val="00EB2633"/>
    <w:rsid w:val="00EB2ED4"/>
    <w:rsid w:val="00EB43C8"/>
    <w:rsid w:val="00EB4849"/>
    <w:rsid w:val="00EB66CD"/>
    <w:rsid w:val="00EC3108"/>
    <w:rsid w:val="00EC3551"/>
    <w:rsid w:val="00EC553C"/>
    <w:rsid w:val="00ED029B"/>
    <w:rsid w:val="00ED063D"/>
    <w:rsid w:val="00ED1244"/>
    <w:rsid w:val="00ED1BE1"/>
    <w:rsid w:val="00ED308F"/>
    <w:rsid w:val="00ED3683"/>
    <w:rsid w:val="00ED50E7"/>
    <w:rsid w:val="00ED6491"/>
    <w:rsid w:val="00ED6E70"/>
    <w:rsid w:val="00EE00D4"/>
    <w:rsid w:val="00EE0185"/>
    <w:rsid w:val="00EE620A"/>
    <w:rsid w:val="00EE7FAE"/>
    <w:rsid w:val="00EF00BD"/>
    <w:rsid w:val="00EF0A70"/>
    <w:rsid w:val="00EF611A"/>
    <w:rsid w:val="00EF7D55"/>
    <w:rsid w:val="00F01FC4"/>
    <w:rsid w:val="00F02CE5"/>
    <w:rsid w:val="00F03FB0"/>
    <w:rsid w:val="00F046BB"/>
    <w:rsid w:val="00F07562"/>
    <w:rsid w:val="00F07765"/>
    <w:rsid w:val="00F1489D"/>
    <w:rsid w:val="00F15957"/>
    <w:rsid w:val="00F1663D"/>
    <w:rsid w:val="00F17005"/>
    <w:rsid w:val="00F1776B"/>
    <w:rsid w:val="00F2150A"/>
    <w:rsid w:val="00F21FB0"/>
    <w:rsid w:val="00F23CA9"/>
    <w:rsid w:val="00F26C3F"/>
    <w:rsid w:val="00F30BBC"/>
    <w:rsid w:val="00F33243"/>
    <w:rsid w:val="00F35D25"/>
    <w:rsid w:val="00F3600D"/>
    <w:rsid w:val="00F43265"/>
    <w:rsid w:val="00F5168B"/>
    <w:rsid w:val="00F523CD"/>
    <w:rsid w:val="00F524E4"/>
    <w:rsid w:val="00F54BEC"/>
    <w:rsid w:val="00F56FD6"/>
    <w:rsid w:val="00F61E82"/>
    <w:rsid w:val="00F6456B"/>
    <w:rsid w:val="00F6550B"/>
    <w:rsid w:val="00F6647A"/>
    <w:rsid w:val="00F66D9E"/>
    <w:rsid w:val="00F70C1F"/>
    <w:rsid w:val="00F71EF8"/>
    <w:rsid w:val="00F73F0D"/>
    <w:rsid w:val="00F77CB0"/>
    <w:rsid w:val="00F83017"/>
    <w:rsid w:val="00F83B99"/>
    <w:rsid w:val="00F84005"/>
    <w:rsid w:val="00F90251"/>
    <w:rsid w:val="00F910A2"/>
    <w:rsid w:val="00F915D8"/>
    <w:rsid w:val="00F96900"/>
    <w:rsid w:val="00FA34B2"/>
    <w:rsid w:val="00FB0029"/>
    <w:rsid w:val="00FB3CFA"/>
    <w:rsid w:val="00FB4929"/>
    <w:rsid w:val="00FB4F5B"/>
    <w:rsid w:val="00FC3229"/>
    <w:rsid w:val="00FC3972"/>
    <w:rsid w:val="00FC4153"/>
    <w:rsid w:val="00FC4B12"/>
    <w:rsid w:val="00FD0557"/>
    <w:rsid w:val="00FD0BB9"/>
    <w:rsid w:val="00FD0E17"/>
    <w:rsid w:val="00FD3677"/>
    <w:rsid w:val="00FD687B"/>
    <w:rsid w:val="00FE12EA"/>
    <w:rsid w:val="00FE2E6C"/>
    <w:rsid w:val="00FE38D0"/>
    <w:rsid w:val="00FE6AD0"/>
    <w:rsid w:val="00FE7501"/>
    <w:rsid w:val="00FE77D2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D1855D5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qFormat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customStyle="1" w:styleId="apple-converted-space">
    <w:name w:val="apple-converted-space"/>
    <w:basedOn w:val="DefaultParagraphFont"/>
    <w:rsid w:val="0060136D"/>
  </w:style>
  <w:style w:type="character" w:styleId="CommentReference">
    <w:name w:val="annotation reference"/>
    <w:basedOn w:val="DefaultParagraphFont"/>
    <w:semiHidden/>
    <w:unhideWhenUsed/>
    <w:rsid w:val="003A0F60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3A0F60"/>
    <w:rPr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3A0F60"/>
    <w:rPr>
      <w:rFonts w:ascii="Times New Roman" w:hAnsi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0F6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A0F60"/>
    <w:rPr>
      <w:rFonts w:ascii="Times New Roman" w:hAnsi="Times New Roman"/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T05-ITR.EG-INF-0005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D89E4-4F8D-4E94-9019-69F1DDE7A6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D17424-5718-4130-9E0F-1A82324F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79</TotalTime>
  <Pages>2</Pages>
  <Words>1144</Words>
  <Characters>109</Characters>
  <Application>Microsoft Office Word</Application>
  <DocSecurity>0</DocSecurity>
  <Lines>1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CDPG-C07/24-SCHEDULING OF COUNCIL SESSIONS AND PLENIPOTENTIARY CONFERENCES</vt:lpstr>
      <vt:lpstr>CDPG-C07/24-SCHEDULING OF COUNCIL SESSIONS AND PLENIPOTENTIARY CONFERENCES</vt:lpstr>
    </vt:vector>
  </TitlesOfParts>
  <Manager>General Secretariat - Pool</Manager>
  <Company>International Telecommunication Union (ITU)</Company>
  <LinksUpToDate>false</LinksUpToDate>
  <CharactersWithSpaces>1251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CDPG-C07/24-SCHEDULING OF COUNCIL SESSIONS AND PLENIPOTENTIARY CONFERENCES</dc:title>
  <dc:subject>Council 2006</dc:subject>
  <dc:creator>Report by the Secretary-General</dc:creator>
  <cp:keywords>C2006, C06</cp:keywords>
  <dc:description/>
  <cp:lastModifiedBy>Yuan, Tianxiang</cp:lastModifiedBy>
  <cp:revision>37</cp:revision>
  <cp:lastPrinted>2020-08-21T06:44:00Z</cp:lastPrinted>
  <dcterms:created xsi:type="dcterms:W3CDTF">2020-08-21T14:51:00Z</dcterms:created>
  <dcterms:modified xsi:type="dcterms:W3CDTF">2020-09-07T12:35:00Z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  <property fmtid="{D5CDD505-2E9C-101B-9397-08002B2CF9AE}" pid="8" name="_DocHome">
    <vt:i4>1632005657</vt:i4>
  </property>
</Properties>
</file>