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17"/>
        <w:bidiVisual/>
        <w:tblW w:w="5017" w:type="pct"/>
        <w:tblLayout w:type="fixed"/>
        <w:tblLook w:val="0000" w:firstRow="0" w:lastRow="0" w:firstColumn="0" w:lastColumn="0" w:noHBand="0" w:noVBand="0"/>
      </w:tblPr>
      <w:tblGrid>
        <w:gridCol w:w="6620"/>
        <w:gridCol w:w="3052"/>
      </w:tblGrid>
      <w:tr w:rsidR="005A0F49" w:rsidRPr="0023223E" w14:paraId="31CCDEB9" w14:textId="77777777" w:rsidTr="00C332F7">
        <w:trPr>
          <w:cantSplit/>
          <w:trHeight w:val="1306"/>
        </w:trPr>
        <w:tc>
          <w:tcPr>
            <w:tcW w:w="6620" w:type="dxa"/>
          </w:tcPr>
          <w:p w14:paraId="61F68FD6" w14:textId="77777777" w:rsidR="005A0F49" w:rsidRPr="0023223E" w:rsidRDefault="005A0F49" w:rsidP="00AF6B5C">
            <w:pPr>
              <w:spacing w:before="300"/>
              <w:rPr>
                <w:b/>
                <w:bCs/>
                <w:sz w:val="28"/>
                <w:szCs w:val="28"/>
                <w:rtl/>
                <w:lang w:bidi="ar-SY"/>
              </w:rPr>
            </w:pPr>
            <w:r w:rsidRPr="0023223E">
              <w:rPr>
                <w:rFonts w:hint="cs"/>
                <w:b/>
                <w:bCs/>
                <w:sz w:val="30"/>
                <w:szCs w:val="30"/>
                <w:rtl/>
                <w:lang w:bidi="ar-EG"/>
              </w:rPr>
              <w:t xml:space="preserve">فريق الخبراء المعني بلوائح الاتصالات الدولية </w:t>
            </w:r>
            <w:r w:rsidRPr="0023223E">
              <w:rPr>
                <w:b/>
                <w:bCs/>
                <w:sz w:val="30"/>
                <w:szCs w:val="30"/>
                <w:lang w:bidi="ar-EG"/>
              </w:rPr>
              <w:t>(EG</w:t>
            </w:r>
            <w:r w:rsidRPr="0023223E">
              <w:rPr>
                <w:b/>
                <w:bCs/>
                <w:sz w:val="30"/>
                <w:szCs w:val="30"/>
                <w:lang w:bidi="ar-EG"/>
              </w:rPr>
              <w:noBreakHyphen/>
              <w:t>ITR)</w:t>
            </w:r>
          </w:p>
          <w:p w14:paraId="4AF8FE33" w14:textId="77777777" w:rsidR="005A0F49" w:rsidRPr="0023223E" w:rsidRDefault="005A0F49" w:rsidP="005A0F49">
            <w:pPr>
              <w:spacing w:before="160"/>
              <w:rPr>
                <w:b/>
                <w:bCs/>
                <w:sz w:val="28"/>
                <w:szCs w:val="28"/>
                <w:rtl/>
                <w:lang w:bidi="ar-SY"/>
              </w:rPr>
            </w:pPr>
            <w:r w:rsidRPr="0023223E">
              <w:rPr>
                <w:rFonts w:hint="cs"/>
                <w:b/>
                <w:bCs/>
                <w:sz w:val="24"/>
                <w:szCs w:val="24"/>
                <w:rtl/>
                <w:lang w:bidi="ar-EG"/>
              </w:rPr>
              <w:t xml:space="preserve">الاجتماع </w:t>
            </w:r>
            <w:r w:rsidR="006E1156" w:rsidRPr="0023223E">
              <w:rPr>
                <w:rFonts w:hint="cs"/>
                <w:b/>
                <w:bCs/>
                <w:sz w:val="24"/>
                <w:szCs w:val="24"/>
                <w:rtl/>
              </w:rPr>
              <w:t>الثالث</w:t>
            </w:r>
            <w:r w:rsidRPr="0023223E">
              <w:rPr>
                <w:rFonts w:hint="cs"/>
                <w:b/>
                <w:bCs/>
                <w:sz w:val="24"/>
                <w:szCs w:val="24"/>
                <w:rtl/>
                <w:lang w:bidi="ar-EG"/>
              </w:rPr>
              <w:t xml:space="preserve"> </w:t>
            </w:r>
            <w:r w:rsidRPr="0023223E">
              <w:rPr>
                <w:rFonts w:hint="eastAsia"/>
                <w:b/>
                <w:bCs/>
                <w:sz w:val="24"/>
                <w:szCs w:val="24"/>
                <w:rtl/>
                <w:lang w:bidi="ar-EG"/>
              </w:rPr>
              <w:t>–</w:t>
            </w:r>
            <w:r w:rsidRPr="0023223E">
              <w:rPr>
                <w:rFonts w:hint="cs"/>
                <w:b/>
                <w:bCs/>
                <w:sz w:val="24"/>
                <w:szCs w:val="24"/>
                <w:rtl/>
                <w:lang w:bidi="ar-EG"/>
              </w:rPr>
              <w:t xml:space="preserve"> </w:t>
            </w:r>
            <w:r w:rsidR="006E1156" w:rsidRPr="0023223E">
              <w:rPr>
                <w:rFonts w:hint="cs"/>
                <w:b/>
                <w:bCs/>
                <w:sz w:val="24"/>
                <w:szCs w:val="24"/>
                <w:rtl/>
                <w:lang w:bidi="ar-EG"/>
              </w:rPr>
              <w:t>اجتماع افتراضي</w:t>
            </w:r>
            <w:r w:rsidRPr="0023223E">
              <w:rPr>
                <w:rFonts w:hint="cs"/>
                <w:b/>
                <w:bCs/>
                <w:sz w:val="24"/>
                <w:szCs w:val="24"/>
                <w:rtl/>
                <w:lang w:bidi="ar-EG"/>
              </w:rPr>
              <w:t xml:space="preserve">، </w:t>
            </w:r>
            <w:r w:rsidRPr="0023223E">
              <w:rPr>
                <w:b/>
                <w:bCs/>
                <w:sz w:val="24"/>
                <w:szCs w:val="24"/>
                <w:lang w:bidi="ar-EG"/>
              </w:rPr>
              <w:t>1</w:t>
            </w:r>
            <w:r w:rsidR="006E1156" w:rsidRPr="0023223E">
              <w:rPr>
                <w:b/>
                <w:bCs/>
                <w:sz w:val="24"/>
                <w:szCs w:val="24"/>
                <w:lang w:bidi="ar-EG"/>
              </w:rPr>
              <w:t>8</w:t>
            </w:r>
            <w:r w:rsidRPr="0023223E">
              <w:rPr>
                <w:b/>
                <w:bCs/>
                <w:sz w:val="24"/>
                <w:szCs w:val="24"/>
                <w:lang w:bidi="ar-EG"/>
              </w:rPr>
              <w:t>-1</w:t>
            </w:r>
            <w:r w:rsidR="006E1156" w:rsidRPr="0023223E">
              <w:rPr>
                <w:b/>
                <w:bCs/>
                <w:sz w:val="24"/>
                <w:szCs w:val="24"/>
                <w:lang w:bidi="ar-EG"/>
              </w:rPr>
              <w:t>7</w:t>
            </w:r>
            <w:r w:rsidRPr="0023223E">
              <w:rPr>
                <w:rFonts w:hint="cs"/>
                <w:b/>
                <w:bCs/>
                <w:sz w:val="24"/>
                <w:szCs w:val="24"/>
                <w:rtl/>
                <w:lang w:bidi="ar-EG"/>
              </w:rPr>
              <w:t xml:space="preserve"> </w:t>
            </w:r>
            <w:r w:rsidR="006E1156" w:rsidRPr="0023223E">
              <w:rPr>
                <w:rFonts w:hint="cs"/>
                <w:b/>
                <w:bCs/>
                <w:sz w:val="24"/>
                <w:szCs w:val="24"/>
                <w:rtl/>
                <w:lang w:bidi="ar-EG"/>
              </w:rPr>
              <w:t>سبتمبر</w:t>
            </w:r>
            <w:r w:rsidRPr="0023223E">
              <w:rPr>
                <w:rFonts w:hint="cs"/>
                <w:b/>
                <w:bCs/>
                <w:sz w:val="24"/>
                <w:szCs w:val="24"/>
                <w:rtl/>
                <w:lang w:bidi="ar-EG"/>
              </w:rPr>
              <w:t xml:space="preserve"> </w:t>
            </w:r>
            <w:r w:rsidRPr="0023223E">
              <w:rPr>
                <w:b/>
                <w:bCs/>
                <w:sz w:val="24"/>
                <w:szCs w:val="24"/>
                <w:lang w:bidi="ar-EG"/>
              </w:rPr>
              <w:t>2020</w:t>
            </w:r>
          </w:p>
        </w:tc>
        <w:tc>
          <w:tcPr>
            <w:tcW w:w="3052" w:type="dxa"/>
            <w:vAlign w:val="center"/>
          </w:tcPr>
          <w:p w14:paraId="4D3CD53A" w14:textId="77777777" w:rsidR="005A0F49" w:rsidRPr="0023223E" w:rsidRDefault="005A0F49" w:rsidP="00AF6B5C">
            <w:pPr>
              <w:spacing w:after="120"/>
              <w:jc w:val="right"/>
              <w:rPr>
                <w:rtl/>
                <w:lang w:bidi="ar-EG"/>
              </w:rPr>
            </w:pPr>
            <w:bookmarkStart w:id="0" w:name="ditulogo"/>
            <w:bookmarkEnd w:id="0"/>
            <w:r w:rsidRPr="0023223E">
              <w:rPr>
                <w:noProof/>
                <w:lang w:bidi="ar-EG"/>
              </w:rPr>
              <w:drawing>
                <wp:inline distT="0" distB="0" distL="0" distR="0" wp14:anchorId="2DA499CC" wp14:editId="1EACFE7A">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AF6B5C" w:rsidRPr="0023223E" w14:paraId="000FBB78" w14:textId="77777777" w:rsidTr="00F03E94">
        <w:trPr>
          <w:cantSplit/>
          <w:trHeight w:val="20"/>
        </w:trPr>
        <w:tc>
          <w:tcPr>
            <w:tcW w:w="6620" w:type="dxa"/>
            <w:tcBorders>
              <w:top w:val="single" w:sz="12" w:space="0" w:color="auto"/>
            </w:tcBorders>
          </w:tcPr>
          <w:p w14:paraId="1B893215" w14:textId="77777777" w:rsidR="00AF6B5C" w:rsidRPr="0023223E" w:rsidRDefault="00AF6B5C" w:rsidP="00AF6B5C">
            <w:pPr>
              <w:rPr>
                <w:b/>
                <w:bCs/>
                <w:rtl/>
                <w:lang w:bidi="ar-EG"/>
              </w:rPr>
            </w:pPr>
          </w:p>
        </w:tc>
        <w:tc>
          <w:tcPr>
            <w:tcW w:w="3052" w:type="dxa"/>
            <w:tcBorders>
              <w:top w:val="single" w:sz="12" w:space="0" w:color="auto"/>
            </w:tcBorders>
          </w:tcPr>
          <w:p w14:paraId="7952FF0E" w14:textId="77777777" w:rsidR="00AF6B5C" w:rsidRPr="0023223E" w:rsidRDefault="00AF6B5C" w:rsidP="00AF6B5C">
            <w:pPr>
              <w:rPr>
                <w:b/>
                <w:bCs/>
                <w:lang w:bidi="ar-EG"/>
              </w:rPr>
            </w:pPr>
          </w:p>
        </w:tc>
      </w:tr>
      <w:tr w:rsidR="00AF6B5C" w:rsidRPr="0023223E" w14:paraId="264C549B" w14:textId="77777777" w:rsidTr="00F03E94">
        <w:trPr>
          <w:cantSplit/>
        </w:trPr>
        <w:tc>
          <w:tcPr>
            <w:tcW w:w="6620" w:type="dxa"/>
            <w:vMerge w:val="restart"/>
          </w:tcPr>
          <w:p w14:paraId="769795F9" w14:textId="77777777" w:rsidR="00AF6B5C" w:rsidRPr="0023223E" w:rsidRDefault="00AF6B5C" w:rsidP="00AF6B5C">
            <w:pPr>
              <w:spacing w:before="40" w:after="40" w:line="300" w:lineRule="exact"/>
              <w:rPr>
                <w:b/>
                <w:bCs/>
                <w:rtl/>
                <w:lang w:bidi="ar-EG"/>
              </w:rPr>
            </w:pPr>
          </w:p>
        </w:tc>
        <w:tc>
          <w:tcPr>
            <w:tcW w:w="3052" w:type="dxa"/>
            <w:vAlign w:val="center"/>
          </w:tcPr>
          <w:p w14:paraId="3061782E" w14:textId="0664B8BB" w:rsidR="00AF6B5C" w:rsidRPr="0023223E" w:rsidRDefault="00AF6B5C" w:rsidP="00AF6B5C">
            <w:pPr>
              <w:spacing w:before="40" w:after="40" w:line="300" w:lineRule="exact"/>
              <w:rPr>
                <w:b/>
                <w:bCs/>
                <w:lang w:bidi="ar-EG"/>
              </w:rPr>
            </w:pPr>
            <w:r w:rsidRPr="0023223E">
              <w:rPr>
                <w:rFonts w:hint="cs"/>
                <w:b/>
                <w:bCs/>
                <w:rtl/>
                <w:lang w:bidi="ar-EG"/>
              </w:rPr>
              <w:t xml:space="preserve">الوثيقة </w:t>
            </w:r>
            <w:r w:rsidRPr="0023223E">
              <w:rPr>
                <w:b/>
                <w:bCs/>
                <w:lang w:bidi="ar-EG"/>
              </w:rPr>
              <w:t>EG-ITR-</w:t>
            </w:r>
            <w:r w:rsidR="006E1156" w:rsidRPr="0023223E">
              <w:rPr>
                <w:b/>
                <w:bCs/>
                <w:lang w:bidi="ar-EG"/>
              </w:rPr>
              <w:t>3</w:t>
            </w:r>
            <w:r w:rsidRPr="0023223E">
              <w:rPr>
                <w:b/>
                <w:bCs/>
                <w:lang w:bidi="ar-EG"/>
              </w:rPr>
              <w:t>/</w:t>
            </w:r>
            <w:r w:rsidR="002D5BB3" w:rsidRPr="0023223E">
              <w:rPr>
                <w:b/>
                <w:bCs/>
                <w:lang w:bidi="ar-EG"/>
              </w:rPr>
              <w:t>3</w:t>
            </w:r>
            <w:r w:rsidRPr="0023223E">
              <w:rPr>
                <w:b/>
                <w:bCs/>
                <w:lang w:bidi="ar-EG"/>
              </w:rPr>
              <w:t>-A</w:t>
            </w:r>
          </w:p>
        </w:tc>
      </w:tr>
      <w:tr w:rsidR="00AF6B5C" w:rsidRPr="0023223E" w14:paraId="55BFEF15" w14:textId="77777777" w:rsidTr="00F03E94">
        <w:trPr>
          <w:cantSplit/>
        </w:trPr>
        <w:tc>
          <w:tcPr>
            <w:tcW w:w="6620" w:type="dxa"/>
            <w:vMerge/>
          </w:tcPr>
          <w:p w14:paraId="59567441" w14:textId="77777777" w:rsidR="00AF6B5C" w:rsidRPr="0023223E" w:rsidRDefault="00AF6B5C" w:rsidP="00AF6B5C">
            <w:pPr>
              <w:spacing w:before="40" w:after="40" w:line="300" w:lineRule="exact"/>
              <w:rPr>
                <w:b/>
                <w:bCs/>
                <w:lang w:bidi="ar-EG"/>
              </w:rPr>
            </w:pPr>
          </w:p>
        </w:tc>
        <w:tc>
          <w:tcPr>
            <w:tcW w:w="3052" w:type="dxa"/>
            <w:vAlign w:val="center"/>
          </w:tcPr>
          <w:p w14:paraId="64B6D96C" w14:textId="2BE2ABBB" w:rsidR="00AF6B5C" w:rsidRPr="0023223E" w:rsidRDefault="002D5BB3" w:rsidP="00AF6B5C">
            <w:pPr>
              <w:spacing w:before="40" w:after="40" w:line="300" w:lineRule="exact"/>
              <w:rPr>
                <w:b/>
                <w:bCs/>
                <w:rtl/>
                <w:lang w:bidi="ar-EG"/>
              </w:rPr>
            </w:pPr>
            <w:r w:rsidRPr="0023223E">
              <w:rPr>
                <w:b/>
                <w:bCs/>
                <w:lang w:bidi="ar-EG"/>
              </w:rPr>
              <w:t>3</w:t>
            </w:r>
            <w:r w:rsidR="00AF6B5C" w:rsidRPr="0023223E">
              <w:rPr>
                <w:rFonts w:hint="cs"/>
                <w:b/>
                <w:bCs/>
                <w:rtl/>
                <w:lang w:bidi="ar-EG"/>
              </w:rPr>
              <w:t xml:space="preserve"> </w:t>
            </w:r>
            <w:r w:rsidRPr="0023223E">
              <w:rPr>
                <w:rFonts w:hint="cs"/>
                <w:b/>
                <w:bCs/>
                <w:rtl/>
                <w:lang w:bidi="ar-EG"/>
              </w:rPr>
              <w:t>سبتمبر</w:t>
            </w:r>
            <w:r w:rsidR="00AF6B5C" w:rsidRPr="0023223E">
              <w:rPr>
                <w:rFonts w:hint="cs"/>
                <w:b/>
                <w:bCs/>
                <w:rtl/>
                <w:lang w:bidi="ar-EG"/>
              </w:rPr>
              <w:t xml:space="preserve"> </w:t>
            </w:r>
            <w:r w:rsidR="00AF6B5C" w:rsidRPr="0023223E">
              <w:rPr>
                <w:b/>
                <w:bCs/>
                <w:lang w:bidi="ar-EG"/>
              </w:rPr>
              <w:t>2020</w:t>
            </w:r>
          </w:p>
        </w:tc>
      </w:tr>
      <w:tr w:rsidR="00AF6B5C" w:rsidRPr="0023223E" w14:paraId="42BF8800" w14:textId="77777777" w:rsidTr="00F03E94">
        <w:trPr>
          <w:cantSplit/>
        </w:trPr>
        <w:tc>
          <w:tcPr>
            <w:tcW w:w="6620" w:type="dxa"/>
            <w:vMerge/>
          </w:tcPr>
          <w:p w14:paraId="3F43D338" w14:textId="77777777" w:rsidR="00AF6B5C" w:rsidRPr="0023223E" w:rsidRDefault="00AF6B5C" w:rsidP="00AF6B5C">
            <w:pPr>
              <w:spacing w:before="40" w:after="40" w:line="300" w:lineRule="exact"/>
              <w:rPr>
                <w:b/>
                <w:bCs/>
                <w:lang w:bidi="ar-EG"/>
              </w:rPr>
            </w:pPr>
          </w:p>
        </w:tc>
        <w:tc>
          <w:tcPr>
            <w:tcW w:w="3052" w:type="dxa"/>
            <w:vAlign w:val="center"/>
          </w:tcPr>
          <w:p w14:paraId="280AD5F9" w14:textId="77777777" w:rsidR="00AF6B5C" w:rsidRPr="0023223E" w:rsidRDefault="00AF6B5C" w:rsidP="00AF6B5C">
            <w:pPr>
              <w:spacing w:before="40" w:after="40" w:line="300" w:lineRule="exact"/>
              <w:rPr>
                <w:b/>
                <w:bCs/>
                <w:lang w:bidi="ar-EG"/>
              </w:rPr>
            </w:pPr>
            <w:r w:rsidRPr="0023223E">
              <w:rPr>
                <w:b/>
                <w:bCs/>
                <w:rtl/>
                <w:lang w:bidi="ar-EG"/>
              </w:rPr>
              <w:t xml:space="preserve">الأصل: </w:t>
            </w:r>
            <w:r w:rsidRPr="0023223E">
              <w:rPr>
                <w:rFonts w:hint="cs"/>
                <w:b/>
                <w:bCs/>
                <w:rtl/>
                <w:lang w:bidi="ar-EG"/>
              </w:rPr>
              <w:t>بالإنكليزية</w:t>
            </w:r>
          </w:p>
        </w:tc>
      </w:tr>
      <w:tr w:rsidR="00AF6B5C" w:rsidRPr="0023223E" w14:paraId="1DA9D45C" w14:textId="77777777" w:rsidTr="00F03E94">
        <w:trPr>
          <w:cantSplit/>
        </w:trPr>
        <w:tc>
          <w:tcPr>
            <w:tcW w:w="9672" w:type="dxa"/>
            <w:gridSpan w:val="2"/>
          </w:tcPr>
          <w:p w14:paraId="48D139F9" w14:textId="4A2F19C5" w:rsidR="00AF6B5C" w:rsidRPr="0023223E" w:rsidRDefault="002D5BB3" w:rsidP="00AF6B5C">
            <w:pPr>
              <w:pStyle w:val="Source"/>
              <w:rPr>
                <w:lang w:bidi="ar-EG"/>
              </w:rPr>
            </w:pPr>
            <w:r w:rsidRPr="0023223E">
              <w:rPr>
                <w:rFonts w:hint="cs"/>
                <w:rtl/>
                <w:lang w:bidi="ar-EG"/>
              </w:rPr>
              <w:t>أستراليا وكندا والولايات المتحدة الأمريكية</w:t>
            </w:r>
          </w:p>
        </w:tc>
      </w:tr>
      <w:tr w:rsidR="00AF6B5C" w:rsidRPr="0023223E" w14:paraId="3B9B9782" w14:textId="77777777" w:rsidTr="00F03E94">
        <w:trPr>
          <w:cantSplit/>
        </w:trPr>
        <w:tc>
          <w:tcPr>
            <w:tcW w:w="9672" w:type="dxa"/>
            <w:gridSpan w:val="2"/>
          </w:tcPr>
          <w:p w14:paraId="17448B2A" w14:textId="71657F8D" w:rsidR="00AF6B5C" w:rsidRPr="0023223E" w:rsidRDefault="002D17C0" w:rsidP="002D17C0">
            <w:pPr>
              <w:pStyle w:val="Title1"/>
              <w:ind w:left="779" w:right="745"/>
              <w:rPr>
                <w:lang w:val="en-CA" w:bidi="ar-EG"/>
              </w:rPr>
            </w:pPr>
            <w:r w:rsidRPr="0023223E">
              <w:rPr>
                <w:rFonts w:hint="cs"/>
                <w:rtl/>
                <w:lang w:bidi="ar-EG"/>
              </w:rPr>
              <w:t>وجهات نظر</w:t>
            </w:r>
            <w:r w:rsidR="002D5BB3" w:rsidRPr="0023223E">
              <w:rPr>
                <w:rFonts w:hint="cs"/>
                <w:rtl/>
                <w:lang w:bidi="ar-EG"/>
              </w:rPr>
              <w:t xml:space="preserve"> بشأن </w:t>
            </w:r>
            <w:r w:rsidR="00E22A6E" w:rsidRPr="0023223E">
              <w:rPr>
                <w:rFonts w:hint="cs"/>
                <w:rtl/>
                <w:lang w:bidi="ar-EG"/>
              </w:rPr>
              <w:t>المواد</w:t>
            </w:r>
            <w:r w:rsidR="00E713C6">
              <w:rPr>
                <w:rFonts w:hint="cs"/>
                <w:rtl/>
                <w:lang w:bidi="ar-EG"/>
              </w:rPr>
              <w:t xml:space="preserve"> من</w:t>
            </w:r>
            <w:r w:rsidR="00E22A6E" w:rsidRPr="0023223E">
              <w:rPr>
                <w:rFonts w:hint="cs"/>
                <w:rtl/>
                <w:lang w:bidi="ar-EG"/>
              </w:rPr>
              <w:t xml:space="preserve"> </w:t>
            </w:r>
            <w:r w:rsidR="00E22A6E" w:rsidRPr="0023223E">
              <w:rPr>
                <w:lang w:val="en-CA" w:bidi="ar-EG"/>
              </w:rPr>
              <w:t>5</w:t>
            </w:r>
            <w:r w:rsidR="00E22A6E" w:rsidRPr="0023223E">
              <w:rPr>
                <w:rFonts w:hint="cs"/>
                <w:rtl/>
                <w:lang w:val="en-CA" w:bidi="ar-EG"/>
              </w:rPr>
              <w:t xml:space="preserve"> إلى </w:t>
            </w:r>
            <w:r w:rsidR="00E22A6E" w:rsidRPr="0023223E">
              <w:rPr>
                <w:lang w:val="en-CA" w:bidi="ar-EG"/>
              </w:rPr>
              <w:t>8</w:t>
            </w:r>
            <w:r w:rsidR="00E22A6E" w:rsidRPr="0023223E">
              <w:rPr>
                <w:rFonts w:hint="cs"/>
                <w:rtl/>
                <w:lang w:val="en-CA" w:bidi="ar-EG"/>
              </w:rPr>
              <w:t xml:space="preserve"> والتذييل </w:t>
            </w:r>
            <w:r w:rsidR="00E22A6E" w:rsidRPr="0023223E">
              <w:rPr>
                <w:lang w:val="en-CA" w:bidi="ar-EG"/>
              </w:rPr>
              <w:t>1</w:t>
            </w:r>
            <w:r w:rsidR="00AA5856">
              <w:rPr>
                <w:rtl/>
                <w:lang w:val="en-CA" w:bidi="ar-EG"/>
              </w:rPr>
              <w:br/>
            </w:r>
            <w:r w:rsidR="00E22A6E" w:rsidRPr="0023223E">
              <w:rPr>
                <w:rFonts w:hint="cs"/>
                <w:rtl/>
                <w:lang w:val="en-CA" w:bidi="ar-EG"/>
              </w:rPr>
              <w:t xml:space="preserve">من لوائح الاتصالات الدولية لعام </w:t>
            </w:r>
            <w:r w:rsidR="00E22A6E" w:rsidRPr="0023223E">
              <w:rPr>
                <w:lang w:val="en-CA" w:bidi="ar-EG"/>
              </w:rPr>
              <w:t>2012</w:t>
            </w:r>
          </w:p>
        </w:tc>
      </w:tr>
      <w:tr w:rsidR="00AF6B5C" w:rsidRPr="0023223E" w14:paraId="18A05BE0" w14:textId="77777777" w:rsidTr="00F03E94">
        <w:trPr>
          <w:cantSplit/>
        </w:trPr>
        <w:tc>
          <w:tcPr>
            <w:tcW w:w="9672" w:type="dxa"/>
            <w:gridSpan w:val="2"/>
          </w:tcPr>
          <w:p w14:paraId="5B103A7B" w14:textId="77777777" w:rsidR="00AF6B5C" w:rsidRPr="0023223E" w:rsidRDefault="00AF6B5C" w:rsidP="00AF6B5C">
            <w:pPr>
              <w:rPr>
                <w:rtl/>
              </w:rPr>
            </w:pPr>
          </w:p>
        </w:tc>
      </w:tr>
    </w:tbl>
    <w:p w14:paraId="556DE5C9" w14:textId="4FED6045" w:rsidR="00AA5856" w:rsidRDefault="00AA5856" w:rsidP="00AA5856">
      <w:pPr>
        <w:pStyle w:val="Headingb"/>
        <w:rPr>
          <w:rtl/>
          <w:lang w:bidi="ar-EG"/>
        </w:rPr>
      </w:pPr>
      <w:r>
        <w:rPr>
          <w:rFonts w:hint="cs"/>
          <w:rtl/>
        </w:rPr>
        <w:t>مقدمة</w:t>
      </w:r>
    </w:p>
    <w:p w14:paraId="7CF76BCD" w14:textId="2DCDC335" w:rsidR="000D3EB4" w:rsidRPr="0023223E" w:rsidRDefault="002D5BB3" w:rsidP="000D3EB4">
      <w:pPr>
        <w:rPr>
          <w:rtl/>
        </w:rPr>
      </w:pPr>
      <w:r w:rsidRPr="000A0EAE">
        <w:rPr>
          <w:rFonts w:hint="cs"/>
          <w:rtl/>
        </w:rPr>
        <w:t xml:space="preserve">وفقاً لخطة العمل المتفق عليها في اجتماع سبتمبر لفريق الخبراء المعني بلوائح الاتصالات الدولية </w:t>
      </w:r>
      <w:r w:rsidRPr="000A0EAE">
        <w:rPr>
          <w:lang w:val="en-GB" w:bidi="ar-EG"/>
        </w:rPr>
        <w:t>(EG-ITR)</w:t>
      </w:r>
      <w:r w:rsidRPr="000A0EAE">
        <w:rPr>
          <w:rFonts w:hint="cs"/>
          <w:rtl/>
        </w:rPr>
        <w:t xml:space="preserve">، يسر أستراليا وكندا والولايات المتحدة أن تقدم </w:t>
      </w:r>
      <w:r w:rsidR="00E22A6E" w:rsidRPr="000A0EAE">
        <w:rPr>
          <w:rFonts w:hint="cs"/>
          <w:rtl/>
        </w:rPr>
        <w:t>وجهات نظرها</w:t>
      </w:r>
      <w:r w:rsidRPr="000A0EAE">
        <w:rPr>
          <w:rFonts w:hint="cs"/>
          <w:rtl/>
        </w:rPr>
        <w:t xml:space="preserve"> بشأن المواد</w:t>
      </w:r>
      <w:r w:rsidR="00E713C6" w:rsidRPr="000A0EAE">
        <w:rPr>
          <w:rFonts w:hint="cs"/>
          <w:rtl/>
        </w:rPr>
        <w:t xml:space="preserve"> من</w:t>
      </w:r>
      <w:r w:rsidRPr="000A0EAE">
        <w:rPr>
          <w:rFonts w:hint="cs"/>
          <w:rtl/>
        </w:rPr>
        <w:t xml:space="preserve"> 5 إلى 8 والتذييل </w:t>
      </w:r>
      <w:r w:rsidRPr="000A0EAE">
        <w:t>1</w:t>
      </w:r>
      <w:r w:rsidRPr="000A0EAE">
        <w:rPr>
          <w:rFonts w:hint="cs"/>
          <w:rtl/>
          <w:lang w:bidi="ar-EG"/>
        </w:rPr>
        <w:t xml:space="preserve"> </w:t>
      </w:r>
      <w:r w:rsidRPr="000A0EAE">
        <w:rPr>
          <w:rFonts w:hint="cs"/>
          <w:rtl/>
        </w:rPr>
        <w:t xml:space="preserve">من لوائح الاتصالات الدولية لعام 2012. </w:t>
      </w:r>
      <w:r w:rsidR="000D3EB4" w:rsidRPr="000A0EAE">
        <w:rPr>
          <w:rFonts w:hint="cs"/>
          <w:rtl/>
          <w:lang w:bidi="ar-EG"/>
        </w:rPr>
        <w:t xml:space="preserve">ومن وجهة نظرنا، فإن الأحكام المتعلقة برسوم </w:t>
      </w:r>
      <w:r w:rsidR="000A0EAE" w:rsidRPr="000A0EAE">
        <w:rPr>
          <w:rFonts w:hint="cs"/>
          <w:rtl/>
          <w:lang w:bidi="ar-EG"/>
        </w:rPr>
        <w:t>الترسيم و</w:t>
      </w:r>
      <w:r w:rsidR="000D3EB4" w:rsidRPr="000A0EAE">
        <w:rPr>
          <w:rFonts w:hint="cs"/>
          <w:rtl/>
          <w:lang w:bidi="ar-EG"/>
        </w:rPr>
        <w:t>المحاسبة وأمن الشبكات وحصانتها والاتصالات الإلكترونية غير المرغوبة المرسلة بالجملة</w:t>
      </w:r>
      <w:r w:rsidR="00E22A6E" w:rsidRPr="000A0EAE">
        <w:rPr>
          <w:rFonts w:hint="cs"/>
          <w:rtl/>
          <w:lang w:bidi="ar-EG"/>
        </w:rPr>
        <w:t xml:space="preserve"> </w:t>
      </w:r>
      <w:r w:rsidR="000D3EB4" w:rsidRPr="000A0EAE">
        <w:rPr>
          <w:color w:val="000000"/>
          <w:rtl/>
        </w:rPr>
        <w:t xml:space="preserve">غير قابلة للتطبيق </w:t>
      </w:r>
      <w:r w:rsidR="00E22A6E" w:rsidRPr="000A0EAE">
        <w:rPr>
          <w:rFonts w:hint="cs"/>
          <w:color w:val="000000"/>
          <w:rtl/>
        </w:rPr>
        <w:t>و</w:t>
      </w:r>
      <w:r w:rsidR="000D3EB4" w:rsidRPr="000A0EAE">
        <w:rPr>
          <w:color w:val="000000"/>
          <w:rtl/>
        </w:rPr>
        <w:t xml:space="preserve">غير </w:t>
      </w:r>
      <w:r w:rsidR="00E22A6E" w:rsidRPr="000A0EAE">
        <w:rPr>
          <w:rFonts w:hint="cs"/>
          <w:color w:val="000000"/>
          <w:rtl/>
        </w:rPr>
        <w:t>مرنة</w:t>
      </w:r>
      <w:r w:rsidR="000D3EB4" w:rsidRPr="000A0EAE">
        <w:rPr>
          <w:color w:val="000000"/>
          <w:rtl/>
        </w:rPr>
        <w:t xml:space="preserve"> في بيئة الاتصالات المعاصرة</w:t>
      </w:r>
      <w:r w:rsidR="000D3EB4" w:rsidRPr="000A0EAE">
        <w:rPr>
          <w:rFonts w:hint="cs"/>
          <w:rtl/>
        </w:rPr>
        <w:t xml:space="preserve">. وأي محاولة لمراجعة هذه اللوائح </w:t>
      </w:r>
      <w:r w:rsidR="00E22A6E" w:rsidRPr="000A0EAE">
        <w:rPr>
          <w:rFonts w:hint="cs"/>
          <w:rtl/>
        </w:rPr>
        <w:t>لمراعاة</w:t>
      </w:r>
      <w:r w:rsidR="000D3EB4" w:rsidRPr="000A0EAE">
        <w:rPr>
          <w:rFonts w:hint="cs"/>
          <w:rtl/>
        </w:rPr>
        <w:t xml:space="preserve"> الظروف الاقتصادية الحالية والتكنولوجيات والخدمات الناشئة ستلقى نفس مصير الأحكام الحالية</w:t>
      </w:r>
      <w:r w:rsidR="000D3EB4" w:rsidRPr="000A0EAE">
        <w:rPr>
          <w:rFonts w:hint="eastAsia"/>
          <w:rtl/>
        </w:rPr>
        <w:t> </w:t>
      </w:r>
      <w:r w:rsidR="000D3EB4" w:rsidRPr="000A0EAE">
        <w:rPr>
          <w:rFonts w:hint="cs"/>
          <w:rtl/>
        </w:rPr>
        <w:t>- لأن سرعة التغير في السوق وفي البيئة التنظيمية ستجعل الأحكام التفصيلية للمعاهدة متقادمة على الدوام.</w:t>
      </w:r>
    </w:p>
    <w:p w14:paraId="7E907AE1" w14:textId="00E7DD1C" w:rsidR="001F7238" w:rsidRPr="0023223E" w:rsidRDefault="001F7238" w:rsidP="001F7238">
      <w:pPr>
        <w:pStyle w:val="Headingb"/>
        <w:rPr>
          <w:rtl/>
        </w:rPr>
      </w:pPr>
      <w:r w:rsidRPr="0023223E">
        <w:rPr>
          <w:rFonts w:hint="cs"/>
          <w:rtl/>
        </w:rPr>
        <w:t>المناقشة</w:t>
      </w:r>
    </w:p>
    <w:p w14:paraId="5A1A34CA" w14:textId="101C3EE2" w:rsidR="001F7238" w:rsidRPr="0023223E" w:rsidRDefault="001F7238" w:rsidP="001F7238">
      <w:pPr>
        <w:rPr>
          <w:rtl/>
          <w:lang w:bidi="ar-EG"/>
        </w:rPr>
      </w:pPr>
      <w:r w:rsidRPr="0023223E">
        <w:rPr>
          <w:color w:val="000000"/>
          <w:rtl/>
        </w:rPr>
        <w:t xml:space="preserve">لقد سلطنا الضوء في مساهمة سابقة </w:t>
      </w:r>
      <w:r w:rsidRPr="0023223E">
        <w:rPr>
          <w:rFonts w:hint="cs"/>
          <w:color w:val="000000"/>
          <w:rtl/>
        </w:rPr>
        <w:t xml:space="preserve">مقدمة لاجتماع فريق الخبراء المعني بلوائح الاتصالات الدولية في سبتمبر </w:t>
      </w:r>
      <w:r w:rsidRPr="0023223E">
        <w:rPr>
          <w:color w:val="000000"/>
        </w:rPr>
        <w:t>2019</w:t>
      </w:r>
      <w:r w:rsidRPr="0023223E">
        <w:rPr>
          <w:rFonts w:hint="cs"/>
          <w:color w:val="000000"/>
          <w:rtl/>
          <w:lang w:bidi="ar-EG"/>
        </w:rPr>
        <w:t xml:space="preserve"> </w:t>
      </w:r>
      <w:r w:rsidRPr="0023223E">
        <w:rPr>
          <w:color w:val="000000"/>
          <w:rtl/>
        </w:rPr>
        <w:t xml:space="preserve">على </w:t>
      </w:r>
      <w:r w:rsidR="0014504C">
        <w:rPr>
          <w:rFonts w:hint="cs"/>
          <w:color w:val="000000"/>
          <w:rtl/>
        </w:rPr>
        <w:t>إحدى</w:t>
      </w:r>
      <w:r w:rsidRPr="0023223E">
        <w:rPr>
          <w:rFonts w:hint="cs"/>
          <w:color w:val="000000"/>
          <w:rtl/>
        </w:rPr>
        <w:t xml:space="preserve"> </w:t>
      </w:r>
      <w:r w:rsidRPr="0023223E">
        <w:rPr>
          <w:color w:val="000000"/>
          <w:rtl/>
        </w:rPr>
        <w:t xml:space="preserve">المشاكل الأساسية المتعلقة باستعمال صك له صفة معاهدة في محاولة </w:t>
      </w:r>
      <w:r w:rsidR="0023223E" w:rsidRPr="0023223E">
        <w:rPr>
          <w:rFonts w:hint="cs"/>
          <w:color w:val="000000"/>
          <w:rtl/>
        </w:rPr>
        <w:t>ل</w:t>
      </w:r>
      <w:r w:rsidRPr="0023223E">
        <w:rPr>
          <w:color w:val="000000"/>
          <w:rtl/>
        </w:rPr>
        <w:t>تنظيم سوق تتسم بالمنافسة والدينامية</w:t>
      </w:r>
      <w:r w:rsidRPr="0023223E">
        <w:rPr>
          <w:color w:val="000000"/>
        </w:rPr>
        <w:t>.</w:t>
      </w:r>
      <w:r w:rsidRPr="0023223E">
        <w:rPr>
          <w:rFonts w:hint="cs"/>
          <w:rtl/>
          <w:lang w:bidi="ar-EG"/>
        </w:rPr>
        <w:t xml:space="preserve"> </w:t>
      </w:r>
      <w:r w:rsidRPr="0023223E">
        <w:rPr>
          <w:rFonts w:hint="cs"/>
          <w:rtl/>
          <w:lang w:bidi="ar"/>
        </w:rPr>
        <w:t>ويجب أن تكون أحكام المعاهدة المتعلقة بالاتصالات مرنة بما</w:t>
      </w:r>
      <w:r w:rsidRPr="0023223E">
        <w:rPr>
          <w:rFonts w:hint="eastAsia"/>
          <w:rtl/>
          <w:lang w:bidi="ar"/>
        </w:rPr>
        <w:t> </w:t>
      </w:r>
      <w:r w:rsidRPr="0023223E">
        <w:rPr>
          <w:rFonts w:hint="cs"/>
          <w:rtl/>
          <w:lang w:bidi="ar"/>
        </w:rPr>
        <w:t xml:space="preserve">يكفي لتواكب التغييرات المستمرة في السوق. وستواجه أحكام المعاهدة المصممة لمعالجة جوانب محددة من سوق </w:t>
      </w:r>
      <w:r w:rsidR="00E22A6E" w:rsidRPr="0023223E">
        <w:rPr>
          <w:rFonts w:hint="cs"/>
          <w:rtl/>
          <w:lang w:bidi="ar"/>
        </w:rPr>
        <w:t xml:space="preserve">متطورة </w:t>
      </w:r>
      <w:r w:rsidRPr="0023223E">
        <w:rPr>
          <w:rFonts w:hint="cs"/>
          <w:rtl/>
          <w:lang w:bidi="ar"/>
        </w:rPr>
        <w:t>تقادماً مستمراً.</w:t>
      </w:r>
    </w:p>
    <w:p w14:paraId="19222971" w14:textId="64A5613D" w:rsidR="001F7238" w:rsidRPr="0023223E" w:rsidRDefault="00623761" w:rsidP="00623761">
      <w:pPr>
        <w:rPr>
          <w:rFonts w:hint="cs"/>
          <w:rtl/>
          <w:lang w:bidi="ar-EG"/>
        </w:rPr>
      </w:pPr>
      <w:r w:rsidRPr="000A0EAE">
        <w:rPr>
          <w:rFonts w:hint="cs"/>
          <w:rtl/>
          <w:lang w:bidi="ar"/>
        </w:rPr>
        <w:t xml:space="preserve">ويمكن ملاحظة هذا التوتر الجذري في العديد من أحكام لوائح الاتصالات الدولية لعام </w:t>
      </w:r>
      <w:r w:rsidRPr="000A0EAE">
        <w:rPr>
          <w:rFonts w:hint="cs"/>
          <w:rtl/>
        </w:rPr>
        <w:t>2012</w:t>
      </w:r>
      <w:r w:rsidRPr="000A0EAE">
        <w:rPr>
          <w:rFonts w:hint="cs"/>
          <w:rtl/>
          <w:lang w:bidi="ar"/>
        </w:rPr>
        <w:t xml:space="preserve">. </w:t>
      </w:r>
      <w:r w:rsidR="00B50BCF" w:rsidRPr="000A0EAE">
        <w:rPr>
          <w:rFonts w:hint="cs"/>
          <w:rtl/>
          <w:lang w:bidi="ar"/>
        </w:rPr>
        <w:t>ف</w:t>
      </w:r>
      <w:r w:rsidRPr="000A0EAE">
        <w:rPr>
          <w:rFonts w:hint="cs"/>
          <w:rtl/>
          <w:lang w:bidi="ar"/>
        </w:rPr>
        <w:t>على سبيل المثال، تتضمن المادة</w:t>
      </w:r>
      <w:r w:rsidRPr="000A0EAE">
        <w:rPr>
          <w:rFonts w:hint="eastAsia"/>
          <w:rtl/>
          <w:lang w:bidi="ar"/>
        </w:rPr>
        <w:t> </w:t>
      </w:r>
      <w:r w:rsidRPr="000A0EAE">
        <w:rPr>
          <w:rFonts w:hint="cs"/>
          <w:rtl/>
        </w:rPr>
        <w:t>8</w:t>
      </w:r>
      <w:r w:rsidRPr="000A0EAE">
        <w:rPr>
          <w:rFonts w:hint="cs"/>
          <w:rtl/>
          <w:lang w:bidi="ar"/>
        </w:rPr>
        <w:t xml:space="preserve"> والتذييل </w:t>
      </w:r>
      <w:r w:rsidRPr="000A0EAE">
        <w:rPr>
          <w:rFonts w:hint="cs"/>
          <w:rtl/>
        </w:rPr>
        <w:t>1</w:t>
      </w:r>
      <w:r w:rsidRPr="000A0EAE">
        <w:rPr>
          <w:rFonts w:hint="cs"/>
          <w:rtl/>
          <w:lang w:bidi="ar"/>
        </w:rPr>
        <w:t xml:space="preserve"> </w:t>
      </w:r>
      <w:r w:rsidR="0023223E" w:rsidRPr="000A0EAE">
        <w:rPr>
          <w:rFonts w:hint="cs"/>
          <w:rtl/>
          <w:lang w:bidi="ar"/>
        </w:rPr>
        <w:t>بشأن</w:t>
      </w:r>
      <w:r w:rsidRPr="000A0EAE">
        <w:rPr>
          <w:rFonts w:hint="cs"/>
          <w:rtl/>
          <w:lang w:bidi="ar"/>
        </w:rPr>
        <w:t xml:space="preserve"> </w:t>
      </w:r>
      <w:r w:rsidRPr="000A0EAE">
        <w:rPr>
          <w:rtl/>
        </w:rPr>
        <w:t>الترسيم والمحاسبة</w:t>
      </w:r>
      <w:r w:rsidRPr="000A0EAE">
        <w:rPr>
          <w:rFonts w:hint="cs"/>
          <w:rtl/>
          <w:lang w:bidi="ar"/>
        </w:rPr>
        <w:t xml:space="preserve"> العديد من الأحكام التفصيلية التي تحكم تحديد رسوم المحاسبة بين الدول الأعضاء، ولكن</w:t>
      </w:r>
      <w:r w:rsidRPr="000A0EAE">
        <w:rPr>
          <w:rFonts w:hint="eastAsia"/>
          <w:rtl/>
          <w:lang w:bidi="ar"/>
        </w:rPr>
        <w:t> </w:t>
      </w:r>
      <w:r w:rsidRPr="000A0EAE">
        <w:rPr>
          <w:rFonts w:hint="cs"/>
          <w:rtl/>
          <w:lang w:bidi="ar"/>
        </w:rPr>
        <w:t xml:space="preserve">الغالبية العظمى من الحركة لم تعد </w:t>
      </w:r>
      <w:r w:rsidR="0014504C" w:rsidRPr="000A0EAE">
        <w:rPr>
          <w:rFonts w:hint="cs"/>
          <w:rtl/>
          <w:lang w:bidi="ar"/>
        </w:rPr>
        <w:t>يتم تبادلها</w:t>
      </w:r>
      <w:r w:rsidRPr="000A0EAE">
        <w:rPr>
          <w:rFonts w:hint="cs"/>
          <w:rtl/>
          <w:lang w:bidi="ar"/>
        </w:rPr>
        <w:t xml:space="preserve"> بموجب نظام رسوم المحاسبة هذا. ونتيجةً لذلك، فإن المادة </w:t>
      </w:r>
      <w:r w:rsidRPr="000A0EAE">
        <w:rPr>
          <w:rFonts w:hint="cs"/>
          <w:rtl/>
        </w:rPr>
        <w:t>8</w:t>
      </w:r>
      <w:r w:rsidRPr="000A0EAE">
        <w:rPr>
          <w:rFonts w:hint="cs"/>
          <w:rtl/>
          <w:lang w:bidi="ar"/>
        </w:rPr>
        <w:t xml:space="preserve"> والتذييل</w:t>
      </w:r>
      <w:r w:rsidR="00AA5856" w:rsidRPr="000A0EAE">
        <w:rPr>
          <w:rFonts w:hint="eastAsia"/>
          <w:rtl/>
          <w:lang w:bidi="ar"/>
        </w:rPr>
        <w:t> </w:t>
      </w:r>
      <w:r w:rsidRPr="000A0EAE">
        <w:rPr>
          <w:rFonts w:hint="cs"/>
          <w:rtl/>
        </w:rPr>
        <w:t>1</w:t>
      </w:r>
      <w:r w:rsidRPr="000A0EAE">
        <w:rPr>
          <w:rFonts w:hint="cs"/>
          <w:rtl/>
          <w:lang w:bidi="ar"/>
        </w:rPr>
        <w:t xml:space="preserve"> لا</w:t>
      </w:r>
      <w:r w:rsidRPr="000A0EAE">
        <w:rPr>
          <w:rFonts w:hint="eastAsia"/>
          <w:rtl/>
          <w:lang w:bidi="ar"/>
        </w:rPr>
        <w:t> </w:t>
      </w:r>
      <w:r w:rsidRPr="000A0EAE">
        <w:rPr>
          <w:rFonts w:hint="cs"/>
          <w:rtl/>
          <w:lang w:bidi="ar"/>
        </w:rPr>
        <w:t>صلة</w:t>
      </w:r>
      <w:r w:rsidRPr="000A0EAE">
        <w:rPr>
          <w:rFonts w:hint="eastAsia"/>
          <w:rtl/>
          <w:lang w:bidi="ar"/>
        </w:rPr>
        <w:t> </w:t>
      </w:r>
      <w:r w:rsidRPr="000A0EAE">
        <w:rPr>
          <w:rFonts w:hint="cs"/>
          <w:rtl/>
          <w:lang w:bidi="ar"/>
        </w:rPr>
        <w:t>لهما</w:t>
      </w:r>
      <w:r w:rsidR="0023223E" w:rsidRPr="000A0EAE">
        <w:rPr>
          <w:rFonts w:hint="cs"/>
          <w:rtl/>
          <w:lang w:bidi="ar"/>
        </w:rPr>
        <w:t xml:space="preserve"> إلى حد كبير</w:t>
      </w:r>
      <w:r w:rsidRPr="000A0EAE">
        <w:rPr>
          <w:rFonts w:hint="cs"/>
          <w:rtl/>
          <w:lang w:bidi="ar"/>
        </w:rPr>
        <w:t xml:space="preserve"> بالبيئة الحالية للاتصالات الدولية. وقد تعيق محاولة تطبيق أحكام رسوم المحاسبة أو حتى مراجعتها من أجل تطبيقها على الترتيبات الحالية المستندة إلى السوق، تدفق حركة الاتصالات الدولية وقد تردع ابتكارات السوق والابتكارات التكنولوجية التي تحس</w:t>
      </w:r>
      <w:r w:rsidR="0023223E" w:rsidRPr="000A0EAE">
        <w:rPr>
          <w:rFonts w:hint="cs"/>
          <w:rtl/>
          <w:lang w:bidi="ar"/>
        </w:rPr>
        <w:t>ّ</w:t>
      </w:r>
      <w:r w:rsidRPr="000A0EAE">
        <w:rPr>
          <w:rFonts w:hint="cs"/>
          <w:rtl/>
          <w:lang w:bidi="ar"/>
        </w:rPr>
        <w:t xml:space="preserve">ن الخدمات وتخفض الأسعار للمستهلكين. وبالإضافة إلى ذلك، </w:t>
      </w:r>
      <w:r w:rsidR="00AC614D" w:rsidRPr="000A0EAE">
        <w:rPr>
          <w:rtl/>
          <w:lang w:bidi="ar"/>
        </w:rPr>
        <w:t>أدت زيادة الاستثمار</w:t>
      </w:r>
      <w:r w:rsidR="00AC614D" w:rsidRPr="000A0EAE">
        <w:rPr>
          <w:rFonts w:hint="cs"/>
          <w:rtl/>
          <w:lang w:bidi="ar"/>
        </w:rPr>
        <w:t>ات</w:t>
      </w:r>
      <w:r w:rsidR="00AC614D" w:rsidRPr="000A0EAE">
        <w:rPr>
          <w:rtl/>
          <w:lang w:bidi="ar"/>
        </w:rPr>
        <w:t xml:space="preserve"> والمنافسة على مر السنين إلى زيادة سعة الشبك</w:t>
      </w:r>
      <w:r w:rsidR="00AC614D" w:rsidRPr="000A0EAE">
        <w:rPr>
          <w:rFonts w:hint="cs"/>
          <w:rtl/>
          <w:lang w:bidi="ar"/>
        </w:rPr>
        <w:t>ات</w:t>
      </w:r>
      <w:r w:rsidR="00AC614D" w:rsidRPr="000A0EAE">
        <w:rPr>
          <w:rtl/>
          <w:lang w:bidi="ar"/>
        </w:rPr>
        <w:t xml:space="preserve"> وانخفاض سعر تبادل الحركة الدولية مقارنة</w:t>
      </w:r>
      <w:r w:rsidR="00B0727A" w:rsidRPr="000A0EAE">
        <w:rPr>
          <w:rFonts w:hint="cs"/>
          <w:rtl/>
          <w:lang w:bidi="ar"/>
        </w:rPr>
        <w:t>ً</w:t>
      </w:r>
      <w:r w:rsidR="00AC614D" w:rsidRPr="000A0EAE">
        <w:rPr>
          <w:rtl/>
          <w:lang w:bidi="ar"/>
        </w:rPr>
        <w:t xml:space="preserve"> بنظام </w:t>
      </w:r>
      <w:r w:rsidR="00AC614D" w:rsidRPr="000A0EAE">
        <w:rPr>
          <w:rFonts w:hint="cs"/>
          <w:rtl/>
          <w:lang w:bidi="ar"/>
        </w:rPr>
        <w:t>رسوم</w:t>
      </w:r>
      <w:r w:rsidR="00AC614D" w:rsidRPr="000A0EAE">
        <w:rPr>
          <w:rtl/>
          <w:lang w:bidi="ar"/>
        </w:rPr>
        <w:t xml:space="preserve"> المحاسب</w:t>
      </w:r>
      <w:r w:rsidR="00AC614D" w:rsidRPr="000A0EAE">
        <w:rPr>
          <w:rFonts w:hint="cs"/>
          <w:rtl/>
          <w:lang w:bidi="ar"/>
        </w:rPr>
        <w:t>ة</w:t>
      </w:r>
      <w:r w:rsidR="00AC614D" w:rsidRPr="000A0EAE">
        <w:rPr>
          <w:rtl/>
          <w:lang w:bidi="ar"/>
        </w:rPr>
        <w:t>.</w:t>
      </w:r>
    </w:p>
    <w:p w14:paraId="33BA7813" w14:textId="52C095EF" w:rsidR="00AC614D" w:rsidRPr="0023223E" w:rsidRDefault="00AC614D" w:rsidP="00AC614D">
      <w:pPr>
        <w:rPr>
          <w:rtl/>
          <w:lang w:bidi="ar"/>
        </w:rPr>
      </w:pPr>
      <w:r w:rsidRPr="0023223E">
        <w:rPr>
          <w:rFonts w:hint="cs"/>
          <w:rtl/>
          <w:lang w:bidi="ar"/>
        </w:rPr>
        <w:t>و</w:t>
      </w:r>
      <w:r w:rsidRPr="0023223E">
        <w:rPr>
          <w:rtl/>
          <w:lang w:bidi="ar"/>
        </w:rPr>
        <w:t xml:space="preserve">تنعكس غالبية أحكام المادة </w:t>
      </w:r>
      <w:r w:rsidRPr="0023223E">
        <w:rPr>
          <w:lang w:bidi="ar"/>
        </w:rPr>
        <w:t>5</w:t>
      </w:r>
      <w:r w:rsidRPr="0023223E">
        <w:rPr>
          <w:rtl/>
          <w:lang w:bidi="ar"/>
        </w:rPr>
        <w:t xml:space="preserve"> المتعلقة بسلامة الأرواح </w:t>
      </w:r>
      <w:r w:rsidRPr="0023223E">
        <w:rPr>
          <w:rFonts w:hint="cs"/>
          <w:rtl/>
          <w:lang w:bidi="ar"/>
        </w:rPr>
        <w:t xml:space="preserve">البشرية </w:t>
      </w:r>
      <w:r w:rsidRPr="0023223E">
        <w:rPr>
          <w:rtl/>
          <w:lang w:bidi="ar"/>
        </w:rPr>
        <w:t xml:space="preserve">وأولوية الاتصالات في جميع </w:t>
      </w:r>
      <w:r w:rsidRPr="0023223E">
        <w:rPr>
          <w:rFonts w:hint="cs"/>
          <w:rtl/>
          <w:lang w:bidi="ar"/>
        </w:rPr>
        <w:t>صكوك</w:t>
      </w:r>
      <w:r w:rsidRPr="0023223E">
        <w:rPr>
          <w:rtl/>
          <w:lang w:bidi="ar"/>
        </w:rPr>
        <w:t xml:space="preserve"> الاتحاد ولا </w:t>
      </w:r>
      <w:r w:rsidRPr="0023223E">
        <w:rPr>
          <w:rFonts w:hint="cs"/>
          <w:rtl/>
          <w:lang w:bidi="ar"/>
        </w:rPr>
        <w:t>تؤدي إلى</w:t>
      </w:r>
      <w:r w:rsidRPr="0023223E">
        <w:rPr>
          <w:rtl/>
          <w:lang w:bidi="ar"/>
        </w:rPr>
        <w:t xml:space="preserve"> أهمية</w:t>
      </w:r>
      <w:r w:rsidRPr="0023223E">
        <w:rPr>
          <w:rFonts w:hint="cs"/>
          <w:rtl/>
          <w:lang w:bidi="ar"/>
        </w:rPr>
        <w:t>/</w:t>
      </w:r>
      <w:r w:rsidRPr="0023223E">
        <w:rPr>
          <w:rtl/>
          <w:lang w:bidi="ar"/>
        </w:rPr>
        <w:t xml:space="preserve">قيمة إضافية هنا. </w:t>
      </w:r>
      <w:r w:rsidRPr="0023223E">
        <w:rPr>
          <w:rFonts w:hint="cs"/>
          <w:rtl/>
          <w:lang w:bidi="ar"/>
        </w:rPr>
        <w:t>و</w:t>
      </w:r>
      <w:r w:rsidRPr="0023223E">
        <w:rPr>
          <w:rtl/>
          <w:lang w:bidi="ar"/>
        </w:rPr>
        <w:t>بالإضافة إلى ذلك، فإن</w:t>
      </w:r>
      <w:r w:rsidR="0014504C">
        <w:rPr>
          <w:rFonts w:hint="cs"/>
          <w:rtl/>
          <w:lang w:bidi="ar"/>
        </w:rPr>
        <w:t xml:space="preserve"> الحكم المتعلق</w:t>
      </w:r>
      <w:r w:rsidRPr="0023223E">
        <w:rPr>
          <w:rtl/>
          <w:lang w:bidi="ar"/>
        </w:rPr>
        <w:t xml:space="preserve"> </w:t>
      </w:r>
      <w:r w:rsidR="0014504C">
        <w:rPr>
          <w:rFonts w:hint="cs"/>
          <w:rtl/>
          <w:lang w:bidi="ar"/>
        </w:rPr>
        <w:t>ب</w:t>
      </w:r>
      <w:r w:rsidRPr="0023223E">
        <w:rPr>
          <w:rtl/>
          <w:lang w:bidi="ar"/>
        </w:rPr>
        <w:t xml:space="preserve">توفير </w:t>
      </w:r>
      <w:r w:rsidRPr="0023223E">
        <w:rPr>
          <w:rFonts w:hint="cs"/>
          <w:rtl/>
          <w:lang w:bidi="ar"/>
        </w:rPr>
        <w:t>ال</w:t>
      </w:r>
      <w:r w:rsidRPr="0023223E">
        <w:rPr>
          <w:rtl/>
          <w:lang w:bidi="ar"/>
        </w:rPr>
        <w:t xml:space="preserve">مكالمات المجانية </w:t>
      </w:r>
      <w:r w:rsidRPr="0023223E">
        <w:rPr>
          <w:rFonts w:hint="cs"/>
          <w:rtl/>
          <w:lang w:bidi="ar"/>
        </w:rPr>
        <w:t xml:space="preserve">في حالات </w:t>
      </w:r>
      <w:r w:rsidRPr="0023223E">
        <w:rPr>
          <w:rtl/>
          <w:lang w:bidi="ar"/>
        </w:rPr>
        <w:t>الطوارئ لا لزوم له نظرا</w:t>
      </w:r>
      <w:r w:rsidRPr="0023223E">
        <w:rPr>
          <w:rFonts w:hint="cs"/>
          <w:rtl/>
          <w:lang w:bidi="ar"/>
        </w:rPr>
        <w:t>ً</w:t>
      </w:r>
      <w:r w:rsidRPr="0023223E">
        <w:rPr>
          <w:rtl/>
          <w:lang w:bidi="ar"/>
        </w:rPr>
        <w:t xml:space="preserve"> </w:t>
      </w:r>
      <w:r w:rsidR="0014504C">
        <w:rPr>
          <w:rFonts w:hint="cs"/>
          <w:rtl/>
          <w:lang w:bidi="ar"/>
        </w:rPr>
        <w:t>إلى أن</w:t>
      </w:r>
      <w:r w:rsidRPr="0023223E">
        <w:rPr>
          <w:rtl/>
          <w:lang w:bidi="ar"/>
        </w:rPr>
        <w:t xml:space="preserve"> المشغلين في أغلبية الدول الأعضاء، إن لم يكن جميع</w:t>
      </w:r>
      <w:r w:rsidRPr="0023223E">
        <w:rPr>
          <w:rFonts w:hint="cs"/>
          <w:rtl/>
          <w:lang w:bidi="ar"/>
        </w:rPr>
        <w:t>ها</w:t>
      </w:r>
      <w:r w:rsidRPr="0023223E">
        <w:rPr>
          <w:rtl/>
          <w:lang w:bidi="ar"/>
        </w:rPr>
        <w:t xml:space="preserve">، </w:t>
      </w:r>
      <w:r w:rsidRPr="0023223E">
        <w:rPr>
          <w:rFonts w:hint="cs"/>
          <w:rtl/>
          <w:lang w:bidi="ar"/>
        </w:rPr>
        <w:t xml:space="preserve">يقدمون </w:t>
      </w:r>
      <w:r w:rsidRPr="0023223E">
        <w:rPr>
          <w:rtl/>
          <w:lang w:bidi="ar"/>
        </w:rPr>
        <w:t>هذه الخدمة</w:t>
      </w:r>
      <w:r w:rsidRPr="0023223E">
        <w:rPr>
          <w:rFonts w:hint="cs"/>
          <w:rtl/>
          <w:lang w:bidi="ar"/>
        </w:rPr>
        <w:t xml:space="preserve"> منذ زمن طويل</w:t>
      </w:r>
      <w:r w:rsidRPr="0023223E">
        <w:rPr>
          <w:rtl/>
          <w:lang w:bidi="ar"/>
        </w:rPr>
        <w:t>.</w:t>
      </w:r>
    </w:p>
    <w:p w14:paraId="139D4221" w14:textId="50EBB61A" w:rsidR="00AC614D" w:rsidRPr="0023223E" w:rsidRDefault="00AC614D" w:rsidP="00AC614D">
      <w:pPr>
        <w:rPr>
          <w:rtl/>
          <w:lang w:bidi="ar"/>
        </w:rPr>
      </w:pPr>
      <w:r w:rsidRPr="0023223E">
        <w:rPr>
          <w:rFonts w:hint="cs"/>
          <w:rtl/>
          <w:lang w:bidi="ar"/>
        </w:rPr>
        <w:t xml:space="preserve">ومن وجهة نظرنا، فإنه </w:t>
      </w:r>
      <w:r w:rsidRPr="0023223E">
        <w:rPr>
          <w:rtl/>
          <w:lang w:bidi="ar"/>
        </w:rPr>
        <w:t xml:space="preserve">الحكم المتعلق </w:t>
      </w:r>
      <w:r w:rsidRPr="0023223E">
        <w:rPr>
          <w:rFonts w:hint="cs"/>
          <w:rtl/>
          <w:lang w:bidi="ar-EG"/>
        </w:rPr>
        <w:t xml:space="preserve">بأمن الشبكات وحصانتها الوارد </w:t>
      </w:r>
      <w:r w:rsidRPr="0023223E">
        <w:rPr>
          <w:rtl/>
          <w:lang w:bidi="ar"/>
        </w:rPr>
        <w:t xml:space="preserve">في المادة </w:t>
      </w:r>
      <w:r w:rsidRPr="0023223E">
        <w:rPr>
          <w:lang w:bidi="ar"/>
        </w:rPr>
        <w:t>6</w:t>
      </w:r>
      <w:r w:rsidRPr="0023223E">
        <w:rPr>
          <w:rtl/>
          <w:lang w:bidi="ar"/>
        </w:rPr>
        <w:t xml:space="preserve"> ليس له فائدة عملية تذكر. </w:t>
      </w:r>
      <w:r w:rsidRPr="0023223E">
        <w:rPr>
          <w:rFonts w:hint="cs"/>
          <w:rtl/>
          <w:lang w:bidi="ar"/>
        </w:rPr>
        <w:t>ونرى أ</w:t>
      </w:r>
      <w:r w:rsidRPr="0023223E">
        <w:rPr>
          <w:rtl/>
          <w:lang w:bidi="ar"/>
        </w:rPr>
        <w:t xml:space="preserve">ن الحلول التقنية لمعالجة أمن الشبكة </w:t>
      </w:r>
      <w:r w:rsidRPr="0023223E">
        <w:rPr>
          <w:rFonts w:hint="cs"/>
          <w:rtl/>
          <w:lang w:bidi="ar"/>
        </w:rPr>
        <w:t>وحصانتها</w:t>
      </w:r>
      <w:r w:rsidRPr="0023223E">
        <w:rPr>
          <w:rtl/>
          <w:lang w:bidi="ar"/>
        </w:rPr>
        <w:t xml:space="preserve"> ستؤدي إلى </w:t>
      </w:r>
      <w:r w:rsidR="0014504C">
        <w:rPr>
          <w:rFonts w:hint="cs"/>
          <w:rtl/>
          <w:lang w:bidi="ar"/>
        </w:rPr>
        <w:t>ال</w:t>
      </w:r>
      <w:r w:rsidRPr="0023223E">
        <w:rPr>
          <w:rtl/>
          <w:lang w:bidi="ar"/>
        </w:rPr>
        <w:t xml:space="preserve">نتيجة </w:t>
      </w:r>
      <w:r w:rsidR="00307D41">
        <w:rPr>
          <w:rFonts w:hint="cs"/>
          <w:rtl/>
          <w:lang w:bidi="ar"/>
        </w:rPr>
        <w:t>ال</w:t>
      </w:r>
      <w:r w:rsidRPr="0023223E">
        <w:rPr>
          <w:rtl/>
          <w:lang w:bidi="ar"/>
        </w:rPr>
        <w:t xml:space="preserve">مرغوبة </w:t>
      </w:r>
      <w:r w:rsidR="00307D41">
        <w:rPr>
          <w:rFonts w:hint="cs"/>
          <w:rtl/>
          <w:lang w:bidi="ar"/>
        </w:rPr>
        <w:t>على نحو أفضل مما يوفره</w:t>
      </w:r>
      <w:r w:rsidRPr="0023223E">
        <w:rPr>
          <w:rtl/>
          <w:lang w:bidi="ar"/>
        </w:rPr>
        <w:t xml:space="preserve"> </w:t>
      </w:r>
      <w:r w:rsidRPr="0023223E">
        <w:rPr>
          <w:rFonts w:hint="cs"/>
          <w:rtl/>
          <w:lang w:bidi="ar"/>
        </w:rPr>
        <w:t>الحكم التنظيمي</w:t>
      </w:r>
      <w:r w:rsidR="0023223E" w:rsidRPr="0023223E">
        <w:rPr>
          <w:rFonts w:hint="cs"/>
          <w:rtl/>
          <w:lang w:bidi="ar"/>
        </w:rPr>
        <w:t xml:space="preserve"> الوارد</w:t>
      </w:r>
      <w:r w:rsidRPr="0023223E">
        <w:rPr>
          <w:rFonts w:hint="cs"/>
          <w:rtl/>
          <w:lang w:bidi="ar"/>
        </w:rPr>
        <w:t xml:space="preserve"> في</w:t>
      </w:r>
      <w:r w:rsidRPr="0023223E">
        <w:rPr>
          <w:rtl/>
          <w:lang w:bidi="ar"/>
        </w:rPr>
        <w:t xml:space="preserve"> لوائح الاتصالات الدولية</w:t>
      </w:r>
      <w:r w:rsidRPr="0023223E">
        <w:rPr>
          <w:rFonts w:hint="cs"/>
          <w:rtl/>
          <w:lang w:bidi="ar"/>
        </w:rPr>
        <w:t>.</w:t>
      </w:r>
    </w:p>
    <w:p w14:paraId="0E5C488A" w14:textId="54CAEFF1" w:rsidR="00623761" w:rsidRPr="0023223E" w:rsidRDefault="00AC614D" w:rsidP="00AC614D">
      <w:pPr>
        <w:rPr>
          <w:rtl/>
          <w:lang w:bidi="ar-EG"/>
        </w:rPr>
      </w:pPr>
      <w:r w:rsidRPr="0023223E">
        <w:rPr>
          <w:rtl/>
          <w:lang w:bidi="ar"/>
        </w:rPr>
        <w:lastRenderedPageBreak/>
        <w:t xml:space="preserve">وبالمثل، </w:t>
      </w:r>
      <w:r w:rsidRPr="0023223E">
        <w:rPr>
          <w:rFonts w:hint="cs"/>
          <w:rtl/>
          <w:lang w:bidi="ar"/>
        </w:rPr>
        <w:t>نرى</w:t>
      </w:r>
      <w:r w:rsidRPr="0023223E">
        <w:rPr>
          <w:rtl/>
          <w:lang w:bidi="ar"/>
        </w:rPr>
        <w:t xml:space="preserve"> أن </w:t>
      </w:r>
      <w:r w:rsidRPr="0023223E">
        <w:rPr>
          <w:rFonts w:hint="cs"/>
          <w:rtl/>
          <w:lang w:bidi="ar"/>
        </w:rPr>
        <w:t>الحكم المتعلق ب</w:t>
      </w:r>
      <w:r w:rsidRPr="0023223E">
        <w:rPr>
          <w:rtl/>
          <w:lang w:bidi="ar"/>
        </w:rPr>
        <w:t>الاتصالات الإلكترونية غير المرغوبة المرس</w:t>
      </w:r>
      <w:r w:rsidR="00307D41">
        <w:rPr>
          <w:rFonts w:hint="cs"/>
          <w:rtl/>
          <w:lang w:bidi="ar"/>
        </w:rPr>
        <w:t>َ</w:t>
      </w:r>
      <w:r w:rsidRPr="0023223E">
        <w:rPr>
          <w:rtl/>
          <w:lang w:bidi="ar"/>
        </w:rPr>
        <w:t xml:space="preserve">لة بالجملة (على سبيل المثال، الرسائل الاقتحامية) في المادة </w:t>
      </w:r>
      <w:r w:rsidRPr="0023223E">
        <w:rPr>
          <w:lang w:bidi="ar"/>
        </w:rPr>
        <w:t>7</w:t>
      </w:r>
      <w:r w:rsidRPr="0023223E">
        <w:rPr>
          <w:rtl/>
          <w:lang w:bidi="ar"/>
        </w:rPr>
        <w:t xml:space="preserve"> غير فع</w:t>
      </w:r>
      <w:r w:rsidR="00F56517">
        <w:rPr>
          <w:rFonts w:hint="cs"/>
          <w:rtl/>
          <w:lang w:bidi="ar"/>
        </w:rPr>
        <w:t>ّ</w:t>
      </w:r>
      <w:r w:rsidRPr="0023223E">
        <w:rPr>
          <w:rtl/>
          <w:lang w:bidi="ar"/>
        </w:rPr>
        <w:t>ال و</w:t>
      </w:r>
      <w:r w:rsidRPr="0023223E">
        <w:rPr>
          <w:rFonts w:hint="cs"/>
          <w:rtl/>
          <w:lang w:bidi="ar"/>
        </w:rPr>
        <w:t>غير</w:t>
      </w:r>
      <w:r w:rsidRPr="0023223E">
        <w:rPr>
          <w:rtl/>
          <w:lang w:bidi="ar"/>
        </w:rPr>
        <w:t xml:space="preserve"> قابل للتطبيق.</w:t>
      </w:r>
      <w:r w:rsidRPr="0023223E">
        <w:rPr>
          <w:rFonts w:hint="cs"/>
          <w:rtl/>
          <w:lang w:bidi="ar"/>
        </w:rPr>
        <w:t xml:space="preserve"> </w:t>
      </w:r>
      <w:r w:rsidR="00DA5BF9" w:rsidRPr="0023223E">
        <w:rPr>
          <w:color w:val="000000"/>
          <w:rtl/>
        </w:rPr>
        <w:t>وتشهد تدابير مكافحة الرسائل</w:t>
      </w:r>
      <w:r w:rsidR="006C19B3" w:rsidRPr="0023223E">
        <w:rPr>
          <w:rFonts w:hint="cs"/>
          <w:color w:val="000000"/>
          <w:rtl/>
        </w:rPr>
        <w:t xml:space="preserve"> الاقتحامية</w:t>
      </w:r>
      <w:r w:rsidR="00DA5BF9" w:rsidRPr="0023223E">
        <w:rPr>
          <w:color w:val="000000"/>
          <w:rtl/>
        </w:rPr>
        <w:t xml:space="preserve"> تطورات </w:t>
      </w:r>
      <w:r w:rsidRPr="0023223E">
        <w:rPr>
          <w:rFonts w:hint="cs"/>
          <w:color w:val="000000"/>
          <w:rtl/>
        </w:rPr>
        <w:t>سريعة للغاية</w:t>
      </w:r>
      <w:r w:rsidR="00DA5BF9" w:rsidRPr="0023223E">
        <w:rPr>
          <w:color w:val="000000"/>
          <w:rtl/>
        </w:rPr>
        <w:t xml:space="preserve"> تحول دون </w:t>
      </w:r>
      <w:r w:rsidR="00307D41">
        <w:rPr>
          <w:rFonts w:hint="cs"/>
          <w:color w:val="000000"/>
          <w:rtl/>
        </w:rPr>
        <w:t>معالجتها</w:t>
      </w:r>
      <w:r w:rsidR="00DA5BF9" w:rsidRPr="0023223E">
        <w:rPr>
          <w:color w:val="000000"/>
          <w:rtl/>
        </w:rPr>
        <w:t xml:space="preserve"> في وثيقة مستقرة كمعاهدة مثل لوائح الاتصالات الدولية</w:t>
      </w:r>
      <w:r w:rsidR="00DA5BF9" w:rsidRPr="0023223E">
        <w:rPr>
          <w:color w:val="000000"/>
        </w:rPr>
        <w:t>.</w:t>
      </w:r>
      <w:r w:rsidR="00DA5BF9" w:rsidRPr="0023223E">
        <w:rPr>
          <w:rFonts w:hint="cs"/>
          <w:rtl/>
          <w:lang w:bidi="ar"/>
        </w:rPr>
        <w:t xml:space="preserve"> </w:t>
      </w:r>
      <w:r w:rsidR="00DA5BF9" w:rsidRPr="0023223E">
        <w:rPr>
          <w:color w:val="000000"/>
          <w:rtl/>
        </w:rPr>
        <w:t xml:space="preserve">ويشهد هذا المجال تطورات متواصلة وستكون أي محاولة لمعالجة أمر </w:t>
      </w:r>
      <w:r w:rsidR="00DA5BF9" w:rsidRPr="0023223E">
        <w:rPr>
          <w:rFonts w:hint="cs"/>
          <w:color w:val="000000"/>
          <w:rtl/>
        </w:rPr>
        <w:t>الرسائل الاقتحامية</w:t>
      </w:r>
      <w:r w:rsidR="00DA5BF9" w:rsidRPr="0023223E">
        <w:rPr>
          <w:color w:val="000000"/>
          <w:rtl/>
        </w:rPr>
        <w:t xml:space="preserve"> </w:t>
      </w:r>
      <w:r w:rsidR="00DC4B67">
        <w:rPr>
          <w:rFonts w:hint="cs"/>
          <w:color w:val="000000"/>
          <w:rtl/>
        </w:rPr>
        <w:t>من خلال</w:t>
      </w:r>
      <w:r w:rsidR="00DA5BF9" w:rsidRPr="0023223E">
        <w:rPr>
          <w:color w:val="000000"/>
          <w:rtl/>
        </w:rPr>
        <w:t xml:space="preserve"> لوائح الاتصالات الدولية عقيمة </w:t>
      </w:r>
      <w:r w:rsidR="0023223E" w:rsidRPr="0023223E">
        <w:rPr>
          <w:rFonts w:hint="cs"/>
          <w:color w:val="000000"/>
          <w:rtl/>
        </w:rPr>
        <w:t>ومتقادمة</w:t>
      </w:r>
      <w:r w:rsidR="00DA5BF9" w:rsidRPr="0023223E">
        <w:rPr>
          <w:color w:val="000000"/>
          <w:rtl/>
        </w:rPr>
        <w:t xml:space="preserve"> على الفور</w:t>
      </w:r>
      <w:r w:rsidR="00DA5BF9" w:rsidRPr="0023223E">
        <w:rPr>
          <w:color w:val="000000"/>
        </w:rPr>
        <w:t>.</w:t>
      </w:r>
      <w:r w:rsidR="00DA5BF9" w:rsidRPr="0023223E">
        <w:rPr>
          <w:rFonts w:hint="cs"/>
          <w:rtl/>
          <w:lang w:bidi="ar-EG"/>
        </w:rPr>
        <w:t xml:space="preserve"> </w:t>
      </w:r>
      <w:r w:rsidR="00DA5BF9" w:rsidRPr="0023223E">
        <w:rPr>
          <w:color w:val="000000"/>
          <w:rtl/>
        </w:rPr>
        <w:t>وأفضل الآليات فعالية للتصدي للرسائل الاقتحامية هي الآليات التكنولوجية</w:t>
      </w:r>
      <w:r w:rsidR="00DA5BF9" w:rsidRPr="0023223E">
        <w:rPr>
          <w:color w:val="000000"/>
        </w:rPr>
        <w:t>.</w:t>
      </w:r>
    </w:p>
    <w:p w14:paraId="5AB944E3" w14:textId="24B5CA71" w:rsidR="00AF6B5C" w:rsidRPr="0023223E" w:rsidRDefault="00B63283" w:rsidP="00B63283">
      <w:pPr>
        <w:pStyle w:val="Headingb"/>
        <w:rPr>
          <w:lang w:bidi="ar-EG"/>
        </w:rPr>
      </w:pPr>
      <w:r w:rsidRPr="0023223E">
        <w:rPr>
          <w:rFonts w:hint="cs"/>
          <w:rtl/>
          <w:lang w:bidi="ar-EG"/>
        </w:rPr>
        <w:t>الخلاصة</w:t>
      </w:r>
    </w:p>
    <w:p w14:paraId="2027736E" w14:textId="43B4B3AE" w:rsidR="00B63283" w:rsidRPr="0023223E" w:rsidRDefault="00410ECD" w:rsidP="00B63283">
      <w:pPr>
        <w:rPr>
          <w:rtl/>
          <w:lang w:val="en-GB" w:bidi="ar-EG"/>
        </w:rPr>
      </w:pPr>
      <w:r w:rsidRPr="0023223E">
        <w:rPr>
          <w:rFonts w:hint="cs"/>
          <w:rtl/>
          <w:lang w:val="en-GB" w:bidi="ar-EG"/>
        </w:rPr>
        <w:t>من المرج</w:t>
      </w:r>
      <w:r w:rsidR="00307D41">
        <w:rPr>
          <w:rFonts w:hint="cs"/>
          <w:rtl/>
          <w:lang w:val="en-GB" w:bidi="ar-EG"/>
        </w:rPr>
        <w:t>ح</w:t>
      </w:r>
      <w:r w:rsidRPr="0023223E">
        <w:rPr>
          <w:rFonts w:hint="cs"/>
          <w:rtl/>
          <w:lang w:val="en-GB" w:bidi="ar-EG"/>
        </w:rPr>
        <w:t xml:space="preserve"> أن تصمد</w:t>
      </w:r>
      <w:r w:rsidR="00B63283" w:rsidRPr="0023223E">
        <w:rPr>
          <w:rFonts w:hint="cs"/>
          <w:rtl/>
          <w:lang w:val="en-GB" w:bidi="ar-EG"/>
        </w:rPr>
        <w:t xml:space="preserve"> أحكام المعاهد</w:t>
      </w:r>
      <w:r w:rsidR="00AC614D" w:rsidRPr="0023223E">
        <w:rPr>
          <w:rFonts w:hint="cs"/>
          <w:rtl/>
          <w:lang w:val="en-GB" w:bidi="ar-EG"/>
        </w:rPr>
        <w:t>ات التي تكون ذات طابع</w:t>
      </w:r>
      <w:r w:rsidR="00B63283" w:rsidRPr="0023223E">
        <w:rPr>
          <w:rFonts w:hint="cs"/>
          <w:rtl/>
          <w:lang w:val="en-GB" w:bidi="ar-EG"/>
        </w:rPr>
        <w:t xml:space="preserve"> عام أمام ظروف السوق </w:t>
      </w:r>
      <w:r w:rsidR="00307D41" w:rsidRPr="0023223E">
        <w:rPr>
          <w:rFonts w:hint="cs"/>
          <w:rtl/>
          <w:lang w:val="en-GB" w:bidi="ar-EG"/>
        </w:rPr>
        <w:t xml:space="preserve">المتغيرة </w:t>
      </w:r>
      <w:r w:rsidR="00B63283" w:rsidRPr="0023223E">
        <w:rPr>
          <w:rFonts w:hint="cs"/>
          <w:rtl/>
          <w:lang w:val="en-GB" w:bidi="ar-EG"/>
        </w:rPr>
        <w:t xml:space="preserve">والابتكارات التكنولوجية. ونحن </w:t>
      </w:r>
      <w:r w:rsidR="00AC614D" w:rsidRPr="0023223E">
        <w:rPr>
          <w:rFonts w:hint="cs"/>
          <w:rtl/>
          <w:lang w:val="en-GB" w:bidi="ar-EG"/>
        </w:rPr>
        <w:t xml:space="preserve">نرى </w:t>
      </w:r>
      <w:r w:rsidR="00B63283" w:rsidRPr="0023223E">
        <w:rPr>
          <w:rFonts w:hint="cs"/>
          <w:rtl/>
          <w:lang w:val="en-GB" w:bidi="ar-EG"/>
        </w:rPr>
        <w:t xml:space="preserve">أن أحكام لوائح </w:t>
      </w:r>
      <w:r w:rsidR="00AC614D" w:rsidRPr="0023223E">
        <w:rPr>
          <w:rFonts w:hint="cs"/>
          <w:rtl/>
          <w:lang w:val="en-GB" w:bidi="ar-EG"/>
        </w:rPr>
        <w:t>الاتصالات الدولية العامة</w:t>
      </w:r>
      <w:r w:rsidR="00B63283" w:rsidRPr="0023223E">
        <w:rPr>
          <w:rFonts w:hint="cs"/>
          <w:rtl/>
          <w:lang w:val="en-GB" w:bidi="ar-EG"/>
        </w:rPr>
        <w:t xml:space="preserve"> الواردة في دستور الاتحاد واتفاقيته </w:t>
      </w:r>
      <w:r w:rsidR="002D17C0" w:rsidRPr="0023223E">
        <w:rPr>
          <w:rFonts w:hint="cs"/>
          <w:rtl/>
          <w:lang w:val="en-GB" w:bidi="ar-EG"/>
        </w:rPr>
        <w:t>أكثر قدرة على الصمود و</w:t>
      </w:r>
      <w:r w:rsidR="00B63283" w:rsidRPr="0023223E">
        <w:rPr>
          <w:rFonts w:hint="cs"/>
          <w:rtl/>
          <w:lang w:val="en-GB" w:bidi="ar-EG"/>
        </w:rPr>
        <w:t>على تحمل البيئة السوقية والتكنولوجية المتغيرة.</w:t>
      </w:r>
      <w:r w:rsidR="00B63283" w:rsidRPr="0023223E">
        <w:rPr>
          <w:rStyle w:val="FootnoteReference"/>
          <w:rtl/>
          <w:lang w:val="en-GB" w:bidi="ar-EG"/>
        </w:rPr>
        <w:footnoteReference w:id="1"/>
      </w:r>
    </w:p>
    <w:p w14:paraId="61B9BD6B" w14:textId="77777777" w:rsidR="006F3BD6" w:rsidRDefault="006F3BD6" w:rsidP="006F3BD6">
      <w:pPr>
        <w:spacing w:before="600"/>
        <w:jc w:val="center"/>
        <w:rPr>
          <w:rtl/>
          <w:lang w:bidi="ar-EG"/>
        </w:rPr>
      </w:pPr>
      <w:r w:rsidRPr="0023223E">
        <w:rPr>
          <w:rFonts w:hint="cs"/>
          <w:rtl/>
          <w:lang w:bidi="ar-EG"/>
        </w:rPr>
        <w:t>ــــــــــــــــــــــــــــــــــــــــــــــــــــــــــــــــــــــــــــــــــــــــــــــــ</w:t>
      </w:r>
    </w:p>
    <w:sectPr w:rsidR="006F3BD6"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3AA0E" w14:textId="77777777" w:rsidR="00C92846" w:rsidRDefault="00C92846" w:rsidP="006C3242">
      <w:pPr>
        <w:spacing w:before="0" w:line="240" w:lineRule="auto"/>
      </w:pPr>
      <w:r>
        <w:separator/>
      </w:r>
    </w:p>
  </w:endnote>
  <w:endnote w:type="continuationSeparator" w:id="0">
    <w:p w14:paraId="78E6F3E0" w14:textId="77777777" w:rsidR="00C92846" w:rsidRDefault="00C9284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2FE2" w14:textId="5CF942B6"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9563A9">
      <w:rPr>
        <w:noProof/>
        <w:sz w:val="16"/>
        <w:szCs w:val="16"/>
        <w:lang w:val="fr-FR"/>
      </w:rPr>
      <w:t>P:\ARA\SG\CONSEIL\EG-ITR\EG-ITR-3\000\003A.docx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410ECD">
      <w:rPr>
        <w:sz w:val="16"/>
        <w:szCs w:val="16"/>
        <w:lang w:val="fr-FR"/>
      </w:rPr>
      <w:t>476445</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DE36" w14:textId="77777777" w:rsidR="00AF6B5C" w:rsidRPr="00AF6B5C" w:rsidRDefault="00AF6B5C" w:rsidP="00B0727A">
    <w:pPr>
      <w:tabs>
        <w:tab w:val="clear" w:pos="794"/>
        <w:tab w:val="left" w:pos="567"/>
        <w:tab w:val="left" w:pos="1134"/>
        <w:tab w:val="left" w:pos="1701"/>
        <w:tab w:val="left" w:pos="2268"/>
        <w:tab w:val="left" w:pos="2835"/>
      </w:tabs>
      <w:overflowPunct w:val="0"/>
      <w:autoSpaceDE w:val="0"/>
      <w:autoSpaceDN w:val="0"/>
      <w:bidi w:val="0"/>
      <w:adjustRightInd w:val="0"/>
      <w:spacing w:before="0" w:line="240" w:lineRule="auto"/>
      <w:jc w:val="center"/>
      <w:textAlignment w:val="baseline"/>
      <w:rPr>
        <w:rFonts w:eastAsia="Times New Roman"/>
        <w:sz w:val="20"/>
        <w:szCs w:val="20"/>
        <w:lang w:val="en-GB" w:eastAsia="en-US"/>
      </w:rPr>
    </w:pPr>
    <w:r w:rsidRPr="00AF6B5C">
      <w:rPr>
        <w:rFonts w:eastAsia="Times New Roman"/>
        <w:sz w:val="20"/>
        <w:szCs w:val="20"/>
        <w:lang w:val="en-GB" w:eastAsia="en-US"/>
      </w:rPr>
      <w:t xml:space="preserve">• </w:t>
    </w:r>
    <w:hyperlink r:id="rId1" w:history="1">
      <w:r w:rsidRPr="00AF6B5C">
        <w:rPr>
          <w:rFonts w:eastAsia="Times New Roman"/>
          <w:color w:val="0000FF"/>
          <w:sz w:val="20"/>
          <w:szCs w:val="20"/>
          <w:u w:val="single"/>
          <w:lang w:val="en-GB" w:eastAsia="en-US"/>
        </w:rPr>
        <w:t>http://www.itu.int/council</w:t>
      </w:r>
    </w:hyperlink>
    <w:r w:rsidRPr="00AF6B5C">
      <w:rPr>
        <w:rFonts w:eastAsia="Times New Roman"/>
        <w:sz w:val="20"/>
        <w:szCs w:val="20"/>
        <w:lang w:val="en-GB" w:eastAsia="en-US"/>
      </w:rPr>
      <w:t xml:space="preserve"> •</w:t>
    </w:r>
  </w:p>
  <w:p w14:paraId="3DCB9F06" w14:textId="7FB8CD96" w:rsidR="0006468A" w:rsidRPr="0026373E" w:rsidRDefault="0006468A" w:rsidP="0006468A">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9563A9">
      <w:rPr>
        <w:noProof/>
        <w:sz w:val="16"/>
        <w:szCs w:val="16"/>
        <w:lang w:val="fr-FR"/>
      </w:rPr>
      <w:t>P:\ARA\SG\CONSEIL\EG-ITR\EG-ITR-3\000\003A.docx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2D5BB3">
      <w:rPr>
        <w:sz w:val="16"/>
        <w:szCs w:val="16"/>
        <w:lang w:val="fr-FR"/>
      </w:rPr>
      <w:t>476445</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6037" w14:textId="77777777" w:rsidR="00C92846" w:rsidRDefault="00C92846" w:rsidP="006C3242">
      <w:pPr>
        <w:spacing w:before="0" w:line="240" w:lineRule="auto"/>
      </w:pPr>
      <w:r>
        <w:separator/>
      </w:r>
    </w:p>
  </w:footnote>
  <w:footnote w:type="continuationSeparator" w:id="0">
    <w:p w14:paraId="57BEC1A7" w14:textId="77777777" w:rsidR="00C92846" w:rsidRDefault="00C92846" w:rsidP="006C3242">
      <w:pPr>
        <w:spacing w:before="0" w:line="240" w:lineRule="auto"/>
      </w:pPr>
      <w:r>
        <w:continuationSeparator/>
      </w:r>
    </w:p>
  </w:footnote>
  <w:footnote w:id="1">
    <w:p w14:paraId="248416F5" w14:textId="3B727D35" w:rsidR="00B63283" w:rsidRPr="00410ECD" w:rsidRDefault="00B63283" w:rsidP="00B63283">
      <w:pPr>
        <w:pStyle w:val="FootnoteText"/>
        <w:ind w:left="720" w:hanging="720"/>
        <w:rPr>
          <w:sz w:val="18"/>
          <w:szCs w:val="18"/>
          <w:rtl/>
          <w:lang w:bidi="ar-EG"/>
        </w:rPr>
      </w:pPr>
      <w:r w:rsidRPr="00410ECD">
        <w:rPr>
          <w:rStyle w:val="FootnoteReference"/>
        </w:rPr>
        <w:footnoteRef/>
      </w:r>
      <w:r w:rsidRPr="00410ECD">
        <w:rPr>
          <w:sz w:val="18"/>
          <w:szCs w:val="18"/>
        </w:rPr>
        <w:tab/>
      </w:r>
      <w:r w:rsidRPr="00410ECD">
        <w:rPr>
          <w:rFonts w:hint="cs"/>
          <w:sz w:val="18"/>
          <w:szCs w:val="18"/>
          <w:rtl/>
          <w:lang w:bidi="ar-EG"/>
        </w:rPr>
        <w:t xml:space="preserve">انظر </w:t>
      </w:r>
      <w:r w:rsidR="00307D41" w:rsidRPr="00410ECD">
        <w:rPr>
          <w:rFonts w:hint="cs"/>
          <w:sz w:val="18"/>
          <w:szCs w:val="18"/>
          <w:rtl/>
          <w:lang w:val="en-GB" w:bidi="ar-EG"/>
        </w:rPr>
        <w:t>وثيقة المعلومات رقم 5</w:t>
      </w:r>
      <w:r w:rsidR="00307D41">
        <w:rPr>
          <w:rFonts w:hint="cs"/>
          <w:sz w:val="18"/>
          <w:szCs w:val="18"/>
          <w:rtl/>
          <w:lang w:val="en-GB" w:bidi="ar-EG"/>
        </w:rPr>
        <w:t xml:space="preserve">، </w:t>
      </w:r>
      <w:r w:rsidRPr="00410ECD">
        <w:rPr>
          <w:rFonts w:hint="cs"/>
          <w:sz w:val="18"/>
          <w:szCs w:val="18"/>
          <w:rtl/>
          <w:lang w:bidi="ar-EG"/>
        </w:rPr>
        <w:t xml:space="preserve">فريق الخبراء المعني باستعراض لوائح الاتصالات الدولية </w:t>
      </w:r>
      <w:r w:rsidRPr="00410ECD">
        <w:rPr>
          <w:sz w:val="18"/>
          <w:szCs w:val="18"/>
          <w:lang w:val="en-GB" w:bidi="ar-EG"/>
        </w:rPr>
        <w:t>(2009-2007)</w:t>
      </w:r>
      <w:r w:rsidRPr="00410ECD">
        <w:rPr>
          <w:rFonts w:hint="cs"/>
          <w:sz w:val="18"/>
          <w:szCs w:val="18"/>
          <w:rtl/>
          <w:lang w:val="en-GB" w:bidi="ar-EG"/>
        </w:rPr>
        <w:t>، بشأن العلاقة بين لوائح الاتصالات الدولية والدستور والاتفاقية</w:t>
      </w:r>
      <w:r w:rsidR="00307D41">
        <w:rPr>
          <w:rFonts w:hint="cs"/>
          <w:sz w:val="18"/>
          <w:szCs w:val="18"/>
          <w:rtl/>
          <w:lang w:val="en-GB" w:bidi="ar-EG"/>
        </w:rPr>
        <w:t>،</w:t>
      </w:r>
      <w:r w:rsidRPr="00410ECD">
        <w:rPr>
          <w:rFonts w:hint="cs"/>
          <w:sz w:val="18"/>
          <w:szCs w:val="18"/>
          <w:rtl/>
          <w:lang w:val="en-GB" w:bidi="ar-EG"/>
        </w:rPr>
        <w:t xml:space="preserve"> المتاحة </w:t>
      </w:r>
      <w:r w:rsidR="00307D41">
        <w:rPr>
          <w:rFonts w:hint="cs"/>
          <w:sz w:val="18"/>
          <w:szCs w:val="18"/>
          <w:rtl/>
          <w:lang w:val="en-GB" w:bidi="ar-EG"/>
        </w:rPr>
        <w:t>في</w:t>
      </w:r>
      <w:r w:rsidRPr="00410ECD">
        <w:rPr>
          <w:rFonts w:hint="cs"/>
          <w:sz w:val="18"/>
          <w:szCs w:val="18"/>
          <w:rtl/>
          <w:lang w:val="en-GB" w:bidi="ar-EG"/>
        </w:rPr>
        <w:t xml:space="preserve"> </w:t>
      </w:r>
      <w:hyperlink r:id="rId1" w:history="1">
        <w:r w:rsidRPr="00410ECD">
          <w:rPr>
            <w:rStyle w:val="Hyperlink"/>
            <w:sz w:val="18"/>
            <w:szCs w:val="18"/>
            <w:lang w:bidi="ar-EG"/>
          </w:rPr>
          <w:t>https://www.itu.int/md/T05-ITR.EG-INF-0005/en</w:t>
        </w:r>
      </w:hyperlink>
      <w:r w:rsidRPr="00410ECD">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C56E" w14:textId="530FF936" w:rsidR="00447F32" w:rsidRPr="00447F32" w:rsidRDefault="000A0EAE" w:rsidP="0026373E">
    <w:pPr>
      <w:pStyle w:val="Header"/>
      <w:bidi w:val="0"/>
      <w:spacing w:before="120" w:after="240" w:line="192" w:lineRule="auto"/>
      <w:jc w:val="center"/>
      <w:rPr>
        <w:rFonts w:cs="Calibri"/>
        <w:sz w:val="20"/>
        <w:szCs w:val="20"/>
      </w:rPr>
    </w:pPr>
    <w:sdt>
      <w:sdtPr>
        <w:rPr>
          <w:sz w:val="20"/>
          <w:szCs w:val="20"/>
        </w:rPr>
        <w:id w:val="-1375531529"/>
        <w:docPartObj>
          <w:docPartGallery w:val="Page Numbers (Top of Page)"/>
          <w:docPartUnique/>
        </w:docPartObj>
      </w:sdtPr>
      <w:sdtEndPr>
        <w:rPr>
          <w:rFonts w:cs="Calibri"/>
          <w:noProof/>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AF6B5C">
          <w:rPr>
            <w:rFonts w:cs="Calibri"/>
            <w:noProof/>
            <w:sz w:val="20"/>
            <w:szCs w:val="20"/>
          </w:rPr>
          <w:br/>
          <w:t>EG-ITR-</w:t>
        </w:r>
        <w:r w:rsidR="00FE2BBC">
          <w:rPr>
            <w:rFonts w:cs="Calibri"/>
            <w:noProof/>
            <w:sz w:val="20"/>
            <w:szCs w:val="20"/>
          </w:rPr>
          <w:t>3</w:t>
        </w:r>
        <w:r w:rsidR="00056A9A">
          <w:rPr>
            <w:rFonts w:cs="Calibri"/>
            <w:noProof/>
            <w:sz w:val="20"/>
            <w:szCs w:val="20"/>
          </w:rPr>
          <w:t>\</w:t>
        </w:r>
        <w:r w:rsidR="002D5BB3">
          <w:rPr>
            <w:rFonts w:cs="Calibri"/>
            <w:noProof/>
            <w:sz w:val="20"/>
            <w:szCs w:val="20"/>
          </w:rPr>
          <w:t>3</w:t>
        </w:r>
        <w:r w:rsidR="00AF6B5C">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46"/>
    <w:rsid w:val="00056A9A"/>
    <w:rsid w:val="0006468A"/>
    <w:rsid w:val="00090574"/>
    <w:rsid w:val="000A0EAE"/>
    <w:rsid w:val="000C1C0E"/>
    <w:rsid w:val="000C548A"/>
    <w:rsid w:val="000D3EB4"/>
    <w:rsid w:val="0014504C"/>
    <w:rsid w:val="001C0169"/>
    <w:rsid w:val="001D1D50"/>
    <w:rsid w:val="001D6745"/>
    <w:rsid w:val="001E446E"/>
    <w:rsid w:val="001E5656"/>
    <w:rsid w:val="001F7238"/>
    <w:rsid w:val="002154EE"/>
    <w:rsid w:val="002276D2"/>
    <w:rsid w:val="0023223E"/>
    <w:rsid w:val="0023283D"/>
    <w:rsid w:val="0026373E"/>
    <w:rsid w:val="00271C43"/>
    <w:rsid w:val="00290728"/>
    <w:rsid w:val="002978F4"/>
    <w:rsid w:val="002A54BF"/>
    <w:rsid w:val="002B028D"/>
    <w:rsid w:val="002D17C0"/>
    <w:rsid w:val="002D5BB3"/>
    <w:rsid w:val="002E196B"/>
    <w:rsid w:val="002E6541"/>
    <w:rsid w:val="00307D41"/>
    <w:rsid w:val="00334924"/>
    <w:rsid w:val="003409BC"/>
    <w:rsid w:val="00357185"/>
    <w:rsid w:val="00383829"/>
    <w:rsid w:val="003F4B29"/>
    <w:rsid w:val="00410ECD"/>
    <w:rsid w:val="0042686F"/>
    <w:rsid w:val="004317D8"/>
    <w:rsid w:val="00434183"/>
    <w:rsid w:val="00443869"/>
    <w:rsid w:val="00447F32"/>
    <w:rsid w:val="004E11DC"/>
    <w:rsid w:val="00525DDD"/>
    <w:rsid w:val="005409AC"/>
    <w:rsid w:val="0055516A"/>
    <w:rsid w:val="0058251A"/>
    <w:rsid w:val="0058491B"/>
    <w:rsid w:val="00592EA5"/>
    <w:rsid w:val="005A0F49"/>
    <w:rsid w:val="005A3170"/>
    <w:rsid w:val="00623761"/>
    <w:rsid w:val="00677396"/>
    <w:rsid w:val="0069200F"/>
    <w:rsid w:val="006933C7"/>
    <w:rsid w:val="006A65CB"/>
    <w:rsid w:val="006C19B3"/>
    <w:rsid w:val="006C3242"/>
    <w:rsid w:val="006C7CC0"/>
    <w:rsid w:val="006E1156"/>
    <w:rsid w:val="006F3BD6"/>
    <w:rsid w:val="006F63F7"/>
    <w:rsid w:val="007025C7"/>
    <w:rsid w:val="00706D7A"/>
    <w:rsid w:val="00722F0D"/>
    <w:rsid w:val="0074420E"/>
    <w:rsid w:val="007811E0"/>
    <w:rsid w:val="00783E26"/>
    <w:rsid w:val="007C3BC7"/>
    <w:rsid w:val="007C3BCD"/>
    <w:rsid w:val="007D4ACF"/>
    <w:rsid w:val="007F0787"/>
    <w:rsid w:val="00810B7B"/>
    <w:rsid w:val="0082358A"/>
    <w:rsid w:val="008235CD"/>
    <w:rsid w:val="008247DE"/>
    <w:rsid w:val="00840B10"/>
    <w:rsid w:val="008513CB"/>
    <w:rsid w:val="008A7F84"/>
    <w:rsid w:val="0091702E"/>
    <w:rsid w:val="00923B0C"/>
    <w:rsid w:val="0094021C"/>
    <w:rsid w:val="00952F86"/>
    <w:rsid w:val="009563A9"/>
    <w:rsid w:val="00982B28"/>
    <w:rsid w:val="009D313F"/>
    <w:rsid w:val="00A47A5A"/>
    <w:rsid w:val="00A6683B"/>
    <w:rsid w:val="00A97F94"/>
    <w:rsid w:val="00AA4426"/>
    <w:rsid w:val="00AA5856"/>
    <w:rsid w:val="00AA7EA2"/>
    <w:rsid w:val="00AC614D"/>
    <w:rsid w:val="00AF6B5C"/>
    <w:rsid w:val="00B03099"/>
    <w:rsid w:val="00B05BC8"/>
    <w:rsid w:val="00B0727A"/>
    <w:rsid w:val="00B30E64"/>
    <w:rsid w:val="00B50BCF"/>
    <w:rsid w:val="00B63283"/>
    <w:rsid w:val="00B64B47"/>
    <w:rsid w:val="00C002DE"/>
    <w:rsid w:val="00C53BF8"/>
    <w:rsid w:val="00C66157"/>
    <w:rsid w:val="00C674FE"/>
    <w:rsid w:val="00C67501"/>
    <w:rsid w:val="00C75633"/>
    <w:rsid w:val="00C92846"/>
    <w:rsid w:val="00CE2EE1"/>
    <w:rsid w:val="00CE3349"/>
    <w:rsid w:val="00CE36E5"/>
    <w:rsid w:val="00CF27F5"/>
    <w:rsid w:val="00CF3FFD"/>
    <w:rsid w:val="00D10CCF"/>
    <w:rsid w:val="00D77D0F"/>
    <w:rsid w:val="00DA1CF0"/>
    <w:rsid w:val="00DA5BF9"/>
    <w:rsid w:val="00DC1E02"/>
    <w:rsid w:val="00DC24B4"/>
    <w:rsid w:val="00DC4B67"/>
    <w:rsid w:val="00DC5FB0"/>
    <w:rsid w:val="00DF16DC"/>
    <w:rsid w:val="00E22A6E"/>
    <w:rsid w:val="00E45211"/>
    <w:rsid w:val="00E473C5"/>
    <w:rsid w:val="00E713C6"/>
    <w:rsid w:val="00E92863"/>
    <w:rsid w:val="00EB796D"/>
    <w:rsid w:val="00F058DC"/>
    <w:rsid w:val="00F24FC4"/>
    <w:rsid w:val="00F2676C"/>
    <w:rsid w:val="00F56517"/>
    <w:rsid w:val="00F84366"/>
    <w:rsid w:val="00F85089"/>
    <w:rsid w:val="00F974C5"/>
    <w:rsid w:val="00FA6F46"/>
    <w:rsid w:val="00FE2BBC"/>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00090"/>
  <w15:chartTrackingRefBased/>
  <w15:docId w15:val="{C58282CE-F39E-4282-91A0-38B2985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T05-ITR.EG-INF-000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84E7-45C7-4D79-B900-3D34469A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dc:creator>
  <cp:keywords/>
  <dc:description/>
  <cp:lastModifiedBy>Arabic</cp:lastModifiedBy>
  <cp:revision>8</cp:revision>
  <dcterms:created xsi:type="dcterms:W3CDTF">2020-09-09T07:36:00Z</dcterms:created>
  <dcterms:modified xsi:type="dcterms:W3CDTF">2020-09-09T08:46:00Z</dcterms:modified>
</cp:coreProperties>
</file>