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F8C2A8A" w14:textId="77777777">
        <w:trPr>
          <w:cantSplit/>
        </w:trPr>
        <w:tc>
          <w:tcPr>
            <w:tcW w:w="6912" w:type="dxa"/>
          </w:tcPr>
          <w:p w14:paraId="7101F5CD" w14:textId="3421A051" w:rsidR="00520F36" w:rsidRPr="0092392D" w:rsidRDefault="00D837AA" w:rsidP="003A1950">
            <w:pPr>
              <w:spacing w:before="240"/>
              <w:rPr>
                <w:lang w:val="fr-CH"/>
              </w:rPr>
            </w:pPr>
            <w:r w:rsidRPr="00453BB7">
              <w:rPr>
                <w:rFonts w:eastAsia="Calibri" w:cs="Calibri"/>
                <w:b/>
                <w:bCs/>
                <w:color w:val="000000"/>
                <w:position w:val="6"/>
                <w:sz w:val="30"/>
                <w:szCs w:val="30"/>
                <w:lang w:val="fr-CH"/>
              </w:rPr>
              <w:t>Groupe d</w:t>
            </w:r>
            <w:r w:rsidR="00096E1D">
              <w:rPr>
                <w:rFonts w:eastAsia="Calibri" w:cs="Calibri"/>
                <w:b/>
                <w:bCs/>
                <w:color w:val="000000"/>
                <w:position w:val="6"/>
                <w:sz w:val="30"/>
                <w:szCs w:val="30"/>
                <w:lang w:val="fr-CH"/>
              </w:rPr>
              <w:t>'</w:t>
            </w:r>
            <w:r w:rsidRPr="00453BB7">
              <w:rPr>
                <w:rFonts w:eastAsia="Calibri" w:cs="Calibri"/>
                <w:b/>
                <w:bCs/>
                <w:color w:val="000000"/>
                <w:position w:val="6"/>
                <w:sz w:val="30"/>
                <w:szCs w:val="30"/>
                <w:lang w:val="fr-CH"/>
              </w:rPr>
              <w:t>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733FBEEB" w14:textId="77777777" w:rsidR="00520F36" w:rsidRPr="0092392D" w:rsidRDefault="00B84194" w:rsidP="003A1950">
            <w:pPr>
              <w:spacing w:before="0"/>
              <w:rPr>
                <w:lang w:val="fr-CH"/>
              </w:rPr>
            </w:pPr>
            <w:bookmarkStart w:id="0" w:name="ditulogo"/>
            <w:bookmarkEnd w:id="0"/>
            <w:r>
              <w:rPr>
                <w:noProof/>
                <w:lang w:val="en-US"/>
              </w:rPr>
              <w:drawing>
                <wp:inline distT="0" distB="0" distL="0" distR="0" wp14:anchorId="1C43F97D" wp14:editId="76C6DF89">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60BFFDCE" w14:textId="77777777" w:rsidTr="00435274">
        <w:trPr>
          <w:cantSplit/>
          <w:trHeight w:val="20"/>
        </w:trPr>
        <w:tc>
          <w:tcPr>
            <w:tcW w:w="6912" w:type="dxa"/>
            <w:tcBorders>
              <w:bottom w:val="single" w:sz="12" w:space="0" w:color="auto"/>
            </w:tcBorders>
            <w:vAlign w:val="center"/>
          </w:tcPr>
          <w:p w14:paraId="6F48E2FF" w14:textId="53641C84" w:rsidR="00520F36" w:rsidRPr="0099613D" w:rsidRDefault="005F2DF4" w:rsidP="003A1950">
            <w:pPr>
              <w:spacing w:before="0"/>
              <w:rPr>
                <w:b/>
                <w:bCs/>
                <w:szCs w:val="24"/>
                <w:lang w:val="fr-CH"/>
              </w:rPr>
            </w:pPr>
            <w:r>
              <w:rPr>
                <w:b/>
                <w:bCs/>
                <w:szCs w:val="24"/>
                <w:lang w:val="fr-CH"/>
              </w:rPr>
              <w:t>Troisième</w:t>
            </w:r>
            <w:r w:rsidR="00D06D06" w:rsidRPr="00D06D06">
              <w:rPr>
                <w:b/>
                <w:bCs/>
                <w:szCs w:val="24"/>
              </w:rPr>
              <w:t xml:space="preserve"> </w:t>
            </w:r>
            <w:r w:rsidR="00D837AA" w:rsidRPr="0099613D">
              <w:rPr>
                <w:b/>
                <w:bCs/>
                <w:szCs w:val="24"/>
              </w:rPr>
              <w:t>réunion –</w:t>
            </w:r>
            <w:r w:rsidR="00F06D00">
              <w:rPr>
                <w:b/>
                <w:bCs/>
                <w:szCs w:val="24"/>
              </w:rPr>
              <w:t xml:space="preserve"> </w:t>
            </w:r>
            <w:r w:rsidR="009B3BDE" w:rsidRPr="0099613D">
              <w:rPr>
                <w:b/>
                <w:bCs/>
                <w:szCs w:val="24"/>
              </w:rPr>
              <w:t>Genève</w:t>
            </w:r>
            <w:r w:rsidR="00D837AA" w:rsidRPr="0099613D">
              <w:rPr>
                <w:b/>
                <w:bCs/>
                <w:szCs w:val="24"/>
              </w:rPr>
              <w:t xml:space="preserve">, </w:t>
            </w:r>
            <w:r>
              <w:rPr>
                <w:b/>
                <w:bCs/>
                <w:szCs w:val="24"/>
              </w:rPr>
              <w:t>17-18 septembre</w:t>
            </w:r>
            <w:r w:rsidR="00D837AA" w:rsidRPr="0099613D">
              <w:rPr>
                <w:b/>
                <w:bCs/>
                <w:szCs w:val="24"/>
              </w:rPr>
              <w:t xml:space="preserve"> 20</w:t>
            </w:r>
            <w:r w:rsidR="00D06D06">
              <w:rPr>
                <w:b/>
                <w:bCs/>
                <w:szCs w:val="24"/>
              </w:rPr>
              <w:t>20</w:t>
            </w:r>
          </w:p>
        </w:tc>
        <w:tc>
          <w:tcPr>
            <w:tcW w:w="3261" w:type="dxa"/>
            <w:tcBorders>
              <w:bottom w:val="single" w:sz="12" w:space="0" w:color="auto"/>
            </w:tcBorders>
          </w:tcPr>
          <w:p w14:paraId="5A393C02" w14:textId="77777777" w:rsidR="00520F36" w:rsidRPr="0092392D" w:rsidRDefault="00520F36" w:rsidP="003A1950">
            <w:pPr>
              <w:spacing w:before="0"/>
              <w:rPr>
                <w:b/>
                <w:bCs/>
              </w:rPr>
            </w:pPr>
          </w:p>
        </w:tc>
      </w:tr>
      <w:tr w:rsidR="00520F36" w:rsidRPr="0092392D" w14:paraId="57A83ED9" w14:textId="77777777">
        <w:trPr>
          <w:cantSplit/>
          <w:trHeight w:val="20"/>
        </w:trPr>
        <w:tc>
          <w:tcPr>
            <w:tcW w:w="6912" w:type="dxa"/>
            <w:tcBorders>
              <w:top w:val="single" w:sz="12" w:space="0" w:color="auto"/>
            </w:tcBorders>
          </w:tcPr>
          <w:p w14:paraId="4078A2F3" w14:textId="77777777" w:rsidR="00520F36" w:rsidRPr="0092392D" w:rsidRDefault="00520F36" w:rsidP="003A1950">
            <w:pPr>
              <w:spacing w:before="0"/>
              <w:rPr>
                <w:smallCaps/>
                <w:sz w:val="22"/>
                <w:lang w:val="fr-CH"/>
              </w:rPr>
            </w:pPr>
          </w:p>
        </w:tc>
        <w:tc>
          <w:tcPr>
            <w:tcW w:w="3261" w:type="dxa"/>
            <w:tcBorders>
              <w:top w:val="single" w:sz="12" w:space="0" w:color="auto"/>
            </w:tcBorders>
          </w:tcPr>
          <w:p w14:paraId="6F101952" w14:textId="77777777" w:rsidR="00520F36" w:rsidRPr="0092392D" w:rsidRDefault="00520F36" w:rsidP="003A1950">
            <w:pPr>
              <w:spacing w:before="0"/>
              <w:rPr>
                <w:b/>
                <w:bCs/>
              </w:rPr>
            </w:pPr>
          </w:p>
        </w:tc>
      </w:tr>
      <w:tr w:rsidR="00520F36" w:rsidRPr="0092392D" w14:paraId="1FB1F382" w14:textId="77777777">
        <w:trPr>
          <w:cantSplit/>
          <w:trHeight w:val="20"/>
        </w:trPr>
        <w:tc>
          <w:tcPr>
            <w:tcW w:w="6912" w:type="dxa"/>
            <w:vMerge w:val="restart"/>
          </w:tcPr>
          <w:p w14:paraId="6C7FDF93" w14:textId="77777777" w:rsidR="00520F36" w:rsidRPr="00520F36" w:rsidRDefault="00520F36" w:rsidP="00252761">
            <w:pPr>
              <w:spacing w:before="0"/>
              <w:rPr>
                <w:rFonts w:cs="Times"/>
                <w:b/>
                <w:bCs/>
                <w:szCs w:val="24"/>
                <w:lang w:val="fr-CH"/>
              </w:rPr>
            </w:pPr>
            <w:bookmarkStart w:id="1" w:name="dnum" w:colFirst="1" w:colLast="1"/>
            <w:bookmarkStart w:id="2" w:name="dmeeting" w:colFirst="0" w:colLast="0"/>
          </w:p>
        </w:tc>
        <w:tc>
          <w:tcPr>
            <w:tcW w:w="3261" w:type="dxa"/>
          </w:tcPr>
          <w:p w14:paraId="00B0F4F4" w14:textId="0E575705" w:rsidR="00520F36" w:rsidRPr="00520F36" w:rsidRDefault="00520F36" w:rsidP="00252761">
            <w:pPr>
              <w:spacing w:before="0"/>
              <w:rPr>
                <w:b/>
                <w:bCs/>
              </w:rPr>
            </w:pPr>
            <w:r>
              <w:rPr>
                <w:b/>
                <w:bCs/>
              </w:rPr>
              <w:t xml:space="preserve">Document </w:t>
            </w:r>
            <w:r w:rsidR="00D837AA" w:rsidRPr="009B70A4">
              <w:rPr>
                <w:b/>
              </w:rPr>
              <w:t>EG-ITRs</w:t>
            </w:r>
            <w:r w:rsidR="00F06D00">
              <w:rPr>
                <w:b/>
              </w:rPr>
              <w:t>-</w:t>
            </w:r>
            <w:r w:rsidR="005F2DF4">
              <w:rPr>
                <w:b/>
              </w:rPr>
              <w:t>3</w:t>
            </w:r>
            <w:r w:rsidR="00D837AA" w:rsidRPr="009B70A4">
              <w:rPr>
                <w:b/>
              </w:rPr>
              <w:t>/</w:t>
            </w:r>
            <w:r w:rsidR="005F2DF4">
              <w:rPr>
                <w:b/>
              </w:rPr>
              <w:t>2</w:t>
            </w:r>
            <w:r w:rsidR="00D837AA" w:rsidRPr="009B70A4">
              <w:rPr>
                <w:b/>
              </w:rPr>
              <w:t>-</w:t>
            </w:r>
            <w:r w:rsidR="00D837AA">
              <w:rPr>
                <w:b/>
              </w:rPr>
              <w:t>F</w:t>
            </w:r>
          </w:p>
        </w:tc>
      </w:tr>
      <w:tr w:rsidR="00520F36" w:rsidRPr="0092392D" w14:paraId="21C10F28" w14:textId="77777777">
        <w:trPr>
          <w:cantSplit/>
          <w:trHeight w:val="20"/>
        </w:trPr>
        <w:tc>
          <w:tcPr>
            <w:tcW w:w="6912" w:type="dxa"/>
            <w:vMerge/>
          </w:tcPr>
          <w:p w14:paraId="08D784EB" w14:textId="77777777" w:rsidR="00520F36" w:rsidRPr="0092392D" w:rsidRDefault="00520F36" w:rsidP="00252761">
            <w:pPr>
              <w:shd w:val="solid" w:color="FFFFFF" w:fill="FFFFFF"/>
              <w:spacing w:before="180"/>
              <w:rPr>
                <w:smallCaps/>
                <w:lang w:val="fr-CH"/>
              </w:rPr>
            </w:pPr>
            <w:bookmarkStart w:id="3" w:name="ddate" w:colFirst="1" w:colLast="1"/>
            <w:bookmarkEnd w:id="1"/>
            <w:bookmarkEnd w:id="2"/>
          </w:p>
        </w:tc>
        <w:tc>
          <w:tcPr>
            <w:tcW w:w="3261" w:type="dxa"/>
          </w:tcPr>
          <w:p w14:paraId="4F12DD4F" w14:textId="103D8E1D" w:rsidR="00520F36" w:rsidRPr="00520F36" w:rsidRDefault="005F2DF4" w:rsidP="00252761">
            <w:pPr>
              <w:spacing w:before="0"/>
              <w:rPr>
                <w:b/>
                <w:bCs/>
              </w:rPr>
            </w:pPr>
            <w:r>
              <w:rPr>
                <w:b/>
                <w:bCs/>
              </w:rPr>
              <w:t>2 septembre</w:t>
            </w:r>
            <w:r w:rsidR="00520F36">
              <w:rPr>
                <w:b/>
                <w:bCs/>
              </w:rPr>
              <w:t xml:space="preserve"> 20</w:t>
            </w:r>
            <w:r w:rsidR="00D06D06">
              <w:rPr>
                <w:b/>
                <w:bCs/>
              </w:rPr>
              <w:t>20</w:t>
            </w:r>
          </w:p>
        </w:tc>
      </w:tr>
      <w:tr w:rsidR="00520F36" w:rsidRPr="0092392D" w14:paraId="270118DA" w14:textId="77777777">
        <w:trPr>
          <w:cantSplit/>
          <w:trHeight w:val="20"/>
        </w:trPr>
        <w:tc>
          <w:tcPr>
            <w:tcW w:w="6912" w:type="dxa"/>
            <w:vMerge/>
          </w:tcPr>
          <w:p w14:paraId="066F3F76" w14:textId="77777777" w:rsidR="00520F36" w:rsidRPr="0092392D" w:rsidRDefault="00520F36" w:rsidP="00252761">
            <w:pPr>
              <w:shd w:val="solid" w:color="FFFFFF" w:fill="FFFFFF"/>
              <w:spacing w:before="180"/>
              <w:rPr>
                <w:smallCaps/>
                <w:lang w:val="fr-CH"/>
              </w:rPr>
            </w:pPr>
            <w:bookmarkStart w:id="4" w:name="dorlang" w:colFirst="1" w:colLast="1"/>
            <w:bookmarkEnd w:id="3"/>
          </w:p>
        </w:tc>
        <w:tc>
          <w:tcPr>
            <w:tcW w:w="3261" w:type="dxa"/>
          </w:tcPr>
          <w:p w14:paraId="74E241BE" w14:textId="77777777" w:rsidR="00520F36" w:rsidRPr="00520F36" w:rsidRDefault="00520F36" w:rsidP="00252761">
            <w:pPr>
              <w:spacing w:before="0"/>
              <w:rPr>
                <w:b/>
                <w:bCs/>
              </w:rPr>
            </w:pPr>
            <w:proofErr w:type="gramStart"/>
            <w:r>
              <w:rPr>
                <w:b/>
                <w:bCs/>
              </w:rPr>
              <w:t>Original:</w:t>
            </w:r>
            <w:proofErr w:type="gramEnd"/>
            <w:r>
              <w:rPr>
                <w:b/>
                <w:bCs/>
              </w:rPr>
              <w:t xml:space="preserve"> anglais</w:t>
            </w:r>
          </w:p>
        </w:tc>
      </w:tr>
      <w:tr w:rsidR="00520F36" w:rsidRPr="0092392D" w14:paraId="0E040C55" w14:textId="77777777">
        <w:trPr>
          <w:cantSplit/>
        </w:trPr>
        <w:tc>
          <w:tcPr>
            <w:tcW w:w="10173" w:type="dxa"/>
            <w:gridSpan w:val="2"/>
          </w:tcPr>
          <w:p w14:paraId="70231C5D" w14:textId="77777777" w:rsidR="00520F36" w:rsidRPr="0092392D" w:rsidRDefault="00AD3707" w:rsidP="00252761">
            <w:pPr>
              <w:pStyle w:val="Source"/>
            </w:pPr>
            <w:bookmarkStart w:id="5" w:name="dsource" w:colFirst="0" w:colLast="0"/>
            <w:bookmarkEnd w:id="4"/>
            <w:r w:rsidRPr="00AD3707">
              <w:t>République sudafricaine</w:t>
            </w:r>
          </w:p>
        </w:tc>
      </w:tr>
      <w:tr w:rsidR="00520F36" w:rsidRPr="0092392D" w14:paraId="2B049C1D" w14:textId="77777777">
        <w:trPr>
          <w:cantSplit/>
        </w:trPr>
        <w:tc>
          <w:tcPr>
            <w:tcW w:w="10173" w:type="dxa"/>
            <w:gridSpan w:val="2"/>
          </w:tcPr>
          <w:p w14:paraId="4C59C5C3" w14:textId="1D3C72BD" w:rsidR="00520F36" w:rsidRPr="0092392D" w:rsidRDefault="00AD3707" w:rsidP="00252761">
            <w:pPr>
              <w:pStyle w:val="Title1"/>
            </w:pPr>
            <w:bookmarkStart w:id="6" w:name="dtitle1" w:colFirst="0" w:colLast="0"/>
            <w:bookmarkEnd w:id="5"/>
            <w:r w:rsidRPr="00AD3707">
              <w:t>EXAMEN DÉTAILLÉ DU RÈGLEMENT DES TÉLÉCOMMUNICATIONS INTERNATIONALES</w:t>
            </w:r>
          </w:p>
        </w:tc>
      </w:tr>
    </w:tbl>
    <w:bookmarkEnd w:id="6"/>
    <w:p w14:paraId="15A0FB57" w14:textId="224A5638" w:rsidR="00AD3707" w:rsidRDefault="005F2DF4" w:rsidP="00AF7DF3">
      <w:pPr>
        <w:spacing w:before="360"/>
        <w:rPr>
          <w:szCs w:val="24"/>
        </w:rPr>
      </w:pPr>
      <w:r>
        <w:rPr>
          <w:szCs w:val="24"/>
        </w:rPr>
        <w:t>1</w:t>
      </w:r>
      <w:r>
        <w:rPr>
          <w:szCs w:val="24"/>
        </w:rPr>
        <w:tab/>
      </w:r>
      <w:r w:rsidR="00AD3707" w:rsidRPr="00FD0765">
        <w:rPr>
          <w:szCs w:val="24"/>
        </w:rPr>
        <w:t xml:space="preserve">La République sudafricaine est </w:t>
      </w:r>
      <w:r w:rsidR="0032596E">
        <w:rPr>
          <w:szCs w:val="24"/>
        </w:rPr>
        <w:t>encore une fois</w:t>
      </w:r>
      <w:r w:rsidR="00B84F39">
        <w:rPr>
          <w:szCs w:val="24"/>
        </w:rPr>
        <w:t xml:space="preserve"> </w:t>
      </w:r>
      <w:r w:rsidR="00AD3707" w:rsidRPr="00FD0765">
        <w:rPr>
          <w:szCs w:val="24"/>
        </w:rPr>
        <w:t>reconnaissante</w:t>
      </w:r>
      <w:r w:rsidR="00E834A5">
        <w:rPr>
          <w:szCs w:val="24"/>
        </w:rPr>
        <w:t xml:space="preserve"> </w:t>
      </w:r>
      <w:r w:rsidR="00AD3707" w:rsidRPr="00FD0765">
        <w:rPr>
          <w:szCs w:val="24"/>
        </w:rPr>
        <w:t>de la possibilité qui lui est donnée de participer aux travaux importants menés par le Groupe d</w:t>
      </w:r>
      <w:r w:rsidR="00096E1D" w:rsidRPr="00FD0765">
        <w:rPr>
          <w:szCs w:val="24"/>
        </w:rPr>
        <w:t>'</w:t>
      </w:r>
      <w:r w:rsidR="00AD3707" w:rsidRPr="00FD0765">
        <w:rPr>
          <w:szCs w:val="24"/>
        </w:rPr>
        <w:t>experts sur le Règlement des télécommunications internationales (EG-RTI) concernant l</w:t>
      </w:r>
      <w:r w:rsidR="00096E1D" w:rsidRPr="00FD0765">
        <w:rPr>
          <w:szCs w:val="24"/>
        </w:rPr>
        <w:t>'</w:t>
      </w:r>
      <w:r w:rsidR="00AD3707" w:rsidRPr="00FD0765">
        <w:rPr>
          <w:szCs w:val="24"/>
        </w:rPr>
        <w:t>examen détaillé du Règlement des télécommunications internationales (RTI).</w:t>
      </w:r>
    </w:p>
    <w:p w14:paraId="40F5CAA3" w14:textId="3E13E2A9" w:rsidR="005F2DF4" w:rsidRPr="00B84F39" w:rsidRDefault="005F2DF4" w:rsidP="00AF7DF3">
      <w:r w:rsidRPr="00B84F39">
        <w:t>2</w:t>
      </w:r>
      <w:r w:rsidRPr="00B84F39">
        <w:tab/>
      </w:r>
      <w:r w:rsidR="00B84F39" w:rsidRPr="00B84F39">
        <w:rPr>
          <w:szCs w:val="24"/>
        </w:rPr>
        <w:t>Par la présente, la République sudafricaine soumet sa</w:t>
      </w:r>
      <w:r w:rsidR="00B84F39">
        <w:rPr>
          <w:szCs w:val="24"/>
        </w:rPr>
        <w:t xml:space="preserve"> contribution relative à l'examen </w:t>
      </w:r>
      <w:proofErr w:type="gramStart"/>
      <w:r w:rsidR="00B84F39">
        <w:rPr>
          <w:szCs w:val="24"/>
        </w:rPr>
        <w:t>disposition</w:t>
      </w:r>
      <w:proofErr w:type="gramEnd"/>
      <w:r w:rsidR="00B84F39">
        <w:rPr>
          <w:szCs w:val="24"/>
        </w:rPr>
        <w:t xml:space="preserve"> par disposition des </w:t>
      </w:r>
      <w:r w:rsidR="00B84F39">
        <w:rPr>
          <w:b/>
          <w:bCs/>
          <w:szCs w:val="24"/>
        </w:rPr>
        <w:t xml:space="preserve">Articles 5 à 8 et de l'Appendice 1 </w:t>
      </w:r>
      <w:r w:rsidR="00B84F39">
        <w:rPr>
          <w:szCs w:val="24"/>
        </w:rPr>
        <w:t>de la version de 2012 du RTI (Annexe 1).</w:t>
      </w:r>
      <w:r w:rsidRPr="00B84F39">
        <w:t xml:space="preserve"> </w:t>
      </w:r>
    </w:p>
    <w:p w14:paraId="6AE5C8F1" w14:textId="58302EE3" w:rsidR="00351C22" w:rsidRPr="00FD0765" w:rsidRDefault="005F2DF4" w:rsidP="00AF7DF3">
      <w:r>
        <w:t>3</w:t>
      </w:r>
      <w:r>
        <w:tab/>
      </w:r>
      <w:r w:rsidR="00B84F39">
        <w:t>La</w:t>
      </w:r>
      <w:r w:rsidR="002F65B0">
        <w:t xml:space="preserve"> </w:t>
      </w:r>
      <w:r w:rsidR="00AD3707" w:rsidRPr="00FD0765">
        <w:t xml:space="preserve">République sudafricaine se réjouit à la perspective de travailler avec les autres </w:t>
      </w:r>
      <w:r w:rsidR="00E77959" w:rsidRPr="00FD0765">
        <w:t>États</w:t>
      </w:r>
      <w:r w:rsidR="00AD3707" w:rsidRPr="00FD0765">
        <w:t xml:space="preserve"> Membres pour permettre à l</w:t>
      </w:r>
      <w:r w:rsidR="00096E1D" w:rsidRPr="00FD0765">
        <w:t>'</w:t>
      </w:r>
      <w:r w:rsidR="00AD3707" w:rsidRPr="00FD0765">
        <w:t>UIT d</w:t>
      </w:r>
      <w:r w:rsidR="00096E1D" w:rsidRPr="00FD0765">
        <w:t>'</w:t>
      </w:r>
      <w:r w:rsidR="00AD3707" w:rsidRPr="00FD0765">
        <w:t>atteindre ses objectifs.</w:t>
      </w:r>
    </w:p>
    <w:p w14:paraId="6AB4F98C" w14:textId="151FB055" w:rsidR="00073BB7" w:rsidRPr="00FD0765" w:rsidRDefault="00073BB7">
      <w:pPr>
        <w:spacing w:before="2040"/>
        <w:rPr>
          <w:szCs w:val="24"/>
        </w:rPr>
      </w:pPr>
      <w:proofErr w:type="gramStart"/>
      <w:r w:rsidRPr="00AB2C1B">
        <w:rPr>
          <w:b/>
          <w:szCs w:val="24"/>
        </w:rPr>
        <w:t>Annexe</w:t>
      </w:r>
      <w:r>
        <w:rPr>
          <w:szCs w:val="24"/>
        </w:rPr>
        <w:t>:</w:t>
      </w:r>
      <w:proofErr w:type="gramEnd"/>
      <w:r>
        <w:rPr>
          <w:szCs w:val="24"/>
        </w:rPr>
        <w:t xml:space="preserve"> 1</w:t>
      </w:r>
    </w:p>
    <w:p w14:paraId="6ED243F5" w14:textId="0898A24C" w:rsidR="00351C22" w:rsidRDefault="00351C22">
      <w:pPr>
        <w:tabs>
          <w:tab w:val="clear" w:pos="567"/>
          <w:tab w:val="clear" w:pos="1134"/>
          <w:tab w:val="clear" w:pos="1701"/>
          <w:tab w:val="clear" w:pos="2268"/>
          <w:tab w:val="clear" w:pos="2835"/>
        </w:tabs>
        <w:overflowPunct/>
        <w:autoSpaceDE/>
        <w:autoSpaceDN/>
        <w:adjustRightInd/>
        <w:spacing w:before="0"/>
        <w:textAlignment w:val="auto"/>
      </w:pPr>
    </w:p>
    <w:p w14:paraId="02C57570" w14:textId="77777777" w:rsidR="00351C22" w:rsidRDefault="00351C22">
      <w:pPr>
        <w:pStyle w:val="AnnexNo"/>
        <w:sectPr w:rsidR="00351C22" w:rsidSect="00BC5803">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docGrid w:linePitch="326"/>
        </w:sectPr>
      </w:pPr>
    </w:p>
    <w:p w14:paraId="2D037739" w14:textId="7F00FE01" w:rsidR="00AC7DC1" w:rsidRPr="000614BF" w:rsidRDefault="00AC7DC1">
      <w:pPr>
        <w:pStyle w:val="Annextitle"/>
      </w:pPr>
      <w:r w:rsidRPr="000614BF">
        <w:lastRenderedPageBreak/>
        <w:t>Tableau d</w:t>
      </w:r>
      <w:r w:rsidR="00096E1D" w:rsidRPr="000614BF">
        <w:t>'</w:t>
      </w:r>
      <w:r w:rsidRPr="000614BF">
        <w:t>examen</w:t>
      </w:r>
    </w:p>
    <w:tbl>
      <w:tblPr>
        <w:tblStyle w:val="TableGrid2"/>
        <w:tblW w:w="14884" w:type="dxa"/>
        <w:tblInd w:w="-147" w:type="dxa"/>
        <w:tblLayout w:type="fixed"/>
        <w:tblLook w:val="04A0" w:firstRow="1" w:lastRow="0" w:firstColumn="1" w:lastColumn="0" w:noHBand="0" w:noVBand="1"/>
      </w:tblPr>
      <w:tblGrid>
        <w:gridCol w:w="1418"/>
        <w:gridCol w:w="2693"/>
        <w:gridCol w:w="3261"/>
        <w:gridCol w:w="3260"/>
        <w:gridCol w:w="2410"/>
        <w:gridCol w:w="1842"/>
      </w:tblGrid>
      <w:tr w:rsidR="00C42C37" w:rsidRPr="00AB2C1B" w14:paraId="2A5C358B" w14:textId="77777777" w:rsidTr="00AF7DF3">
        <w:trPr>
          <w:cantSplit/>
          <w:trHeight w:val="1151"/>
        </w:trPr>
        <w:tc>
          <w:tcPr>
            <w:tcW w:w="1418" w:type="dxa"/>
          </w:tcPr>
          <w:p w14:paraId="7EDC9076" w14:textId="1459FF59" w:rsidR="00C42C37" w:rsidRPr="00AB2C1B" w:rsidRDefault="00C42C37" w:rsidP="00AB2C1B">
            <w:pPr>
              <w:pStyle w:val="Tablehead"/>
              <w:rPr>
                <w:rFonts w:asciiTheme="minorHAnsi" w:hAnsiTheme="minorHAnsi"/>
                <w:sz w:val="20"/>
                <w:szCs w:val="20"/>
              </w:rPr>
            </w:pPr>
            <w:r w:rsidRPr="00AB2C1B">
              <w:rPr>
                <w:rFonts w:asciiTheme="minorHAnsi" w:hAnsiTheme="minorHAnsi"/>
                <w:sz w:val="20"/>
                <w:szCs w:val="20"/>
              </w:rPr>
              <w:t xml:space="preserve">Article </w:t>
            </w:r>
            <w:r w:rsidRPr="00AB2C1B">
              <w:rPr>
                <w:rFonts w:asciiTheme="minorHAnsi" w:hAnsiTheme="minorHAnsi"/>
                <w:sz w:val="20"/>
                <w:szCs w:val="20"/>
              </w:rPr>
              <w:br/>
              <w:t>(version de 2012)</w:t>
            </w:r>
          </w:p>
        </w:tc>
        <w:tc>
          <w:tcPr>
            <w:tcW w:w="2693" w:type="dxa"/>
          </w:tcPr>
          <w:p w14:paraId="6837CF39" w14:textId="096F2379" w:rsidR="00C42C37" w:rsidRPr="00AB2C1B" w:rsidRDefault="00C42C37" w:rsidP="00AB2C1B">
            <w:pPr>
              <w:pStyle w:val="Tablehead"/>
            </w:pPr>
            <w:r w:rsidRPr="00AB2C1B">
              <w:rPr>
                <w:rFonts w:asciiTheme="minorHAnsi" w:hAnsiTheme="minorHAnsi"/>
                <w:sz w:val="20"/>
                <w:szCs w:val="20"/>
              </w:rPr>
              <w:t>Paragraphe et disposition</w:t>
            </w:r>
          </w:p>
        </w:tc>
        <w:tc>
          <w:tcPr>
            <w:tcW w:w="3261" w:type="dxa"/>
          </w:tcPr>
          <w:p w14:paraId="6316D998" w14:textId="28BC16FE" w:rsidR="00C42C37" w:rsidRPr="00AB2C1B" w:rsidRDefault="00C42C37" w:rsidP="00AB2C1B">
            <w:pPr>
              <w:pStyle w:val="Tablehead"/>
              <w:rPr>
                <w:rFonts w:asciiTheme="minorHAnsi" w:hAnsiTheme="minorHAnsi"/>
                <w:sz w:val="20"/>
                <w:szCs w:val="20"/>
              </w:rPr>
            </w:pPr>
            <w:r w:rsidRPr="00AB2C1B">
              <w:rPr>
                <w:rFonts w:asciiTheme="minorHAnsi" w:hAnsiTheme="minorHAnsi"/>
                <w:sz w:val="20"/>
                <w:szCs w:val="20"/>
              </w:rPr>
              <w:t>Paragraphe et disposition co</w:t>
            </w:r>
            <w:r w:rsidR="00CF0B49">
              <w:rPr>
                <w:rFonts w:asciiTheme="minorHAnsi" w:hAnsiTheme="minorHAnsi"/>
                <w:sz w:val="20"/>
                <w:szCs w:val="20"/>
              </w:rPr>
              <w:t>rrespondants dans la version de </w:t>
            </w:r>
            <w:r w:rsidRPr="00AB2C1B">
              <w:rPr>
                <w:rFonts w:asciiTheme="minorHAnsi" w:hAnsiTheme="minorHAnsi"/>
                <w:sz w:val="20"/>
                <w:szCs w:val="20"/>
              </w:rPr>
              <w:t>1988</w:t>
            </w:r>
          </w:p>
        </w:tc>
        <w:tc>
          <w:tcPr>
            <w:tcW w:w="3260" w:type="dxa"/>
          </w:tcPr>
          <w:p w14:paraId="7EA6893C" w14:textId="041B7EDE" w:rsidR="00C42C37" w:rsidRPr="00AB2C1B" w:rsidRDefault="00C42C37" w:rsidP="00AB2C1B">
            <w:pPr>
              <w:pStyle w:val="Tablehead"/>
              <w:rPr>
                <w:rFonts w:asciiTheme="minorHAnsi" w:hAnsiTheme="minorHAnsi"/>
                <w:sz w:val="20"/>
                <w:szCs w:val="20"/>
              </w:rPr>
            </w:pPr>
            <w:r w:rsidRPr="00AB2C1B">
              <w:rPr>
                <w:rFonts w:asciiTheme="minorHAnsi" w:hAnsiTheme="minorHAnsi"/>
                <w:sz w:val="20"/>
                <w:szCs w:val="20"/>
              </w:rPr>
              <w:t>Applicabilité pour ce qui est de favoriser la fourniture et le développement des réseaux et des services</w:t>
            </w:r>
          </w:p>
        </w:tc>
        <w:tc>
          <w:tcPr>
            <w:tcW w:w="2410" w:type="dxa"/>
          </w:tcPr>
          <w:p w14:paraId="55EBCE03" w14:textId="7F0EAB17" w:rsidR="00C42C37" w:rsidRPr="00AB2C1B" w:rsidRDefault="00C42C37" w:rsidP="00AB2C1B">
            <w:pPr>
              <w:pStyle w:val="Tablehead"/>
              <w:rPr>
                <w:rFonts w:asciiTheme="minorHAnsi" w:hAnsiTheme="minorHAnsi"/>
                <w:sz w:val="20"/>
                <w:szCs w:val="20"/>
              </w:rPr>
            </w:pPr>
            <w:r w:rsidRPr="00AB2C1B">
              <w:rPr>
                <w:rFonts w:asciiTheme="minorHAnsi" w:hAnsiTheme="minorHAnsi"/>
                <w:sz w:val="20"/>
                <w:szCs w:val="20"/>
              </w:rPr>
              <w:t>Souplesse pour tenir compte des nouvelles tendances et des nouveaux problèmes qui se font jour</w:t>
            </w:r>
          </w:p>
        </w:tc>
        <w:tc>
          <w:tcPr>
            <w:tcW w:w="1842" w:type="dxa"/>
          </w:tcPr>
          <w:p w14:paraId="524B35CF" w14:textId="06C5A203" w:rsidR="00C42C37" w:rsidRPr="00AB2C1B" w:rsidRDefault="00C42C37" w:rsidP="00AB2C1B">
            <w:pPr>
              <w:pStyle w:val="Tablehead"/>
              <w:rPr>
                <w:rFonts w:asciiTheme="minorHAnsi" w:hAnsiTheme="minorHAnsi"/>
                <w:sz w:val="20"/>
                <w:szCs w:val="20"/>
              </w:rPr>
            </w:pPr>
            <w:r w:rsidRPr="00AB2C1B">
              <w:rPr>
                <w:rFonts w:asciiTheme="minorHAnsi" w:hAnsiTheme="minorHAnsi"/>
                <w:sz w:val="20"/>
                <w:szCs w:val="20"/>
              </w:rPr>
              <w:t>Proposition de modification</w:t>
            </w:r>
          </w:p>
        </w:tc>
      </w:tr>
      <w:tr w:rsidR="00C42C37" w:rsidRPr="00291C45" w14:paraId="552458D4" w14:textId="77777777" w:rsidTr="00AF7DF3">
        <w:trPr>
          <w:cantSplit/>
          <w:trHeight w:val="2796"/>
        </w:trPr>
        <w:tc>
          <w:tcPr>
            <w:tcW w:w="1418" w:type="dxa"/>
          </w:tcPr>
          <w:p w14:paraId="6DE8499C" w14:textId="77777777" w:rsidR="00C42C37" w:rsidRPr="00AB2C1B" w:rsidRDefault="00C42C37" w:rsidP="00AB2C1B">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5 </w:t>
            </w:r>
          </w:p>
        </w:tc>
        <w:tc>
          <w:tcPr>
            <w:tcW w:w="2693" w:type="dxa"/>
          </w:tcPr>
          <w:p w14:paraId="0450B26F" w14:textId="3A8CD9B1" w:rsidR="00C42C37" w:rsidRPr="00AB2C1B" w:rsidRDefault="00D232E5" w:rsidP="00AB2C1B">
            <w:pPr>
              <w:spacing w:before="40" w:after="40"/>
              <w:contextualSpacing/>
              <w:rPr>
                <w:rFonts w:asciiTheme="minorHAnsi" w:hAnsiTheme="minorHAnsi" w:cstheme="minorHAnsi"/>
                <w:sz w:val="20"/>
                <w:szCs w:val="20"/>
              </w:rPr>
            </w:pPr>
            <w:r w:rsidRPr="00AB2C1B">
              <w:rPr>
                <w:rFonts w:asciiTheme="minorHAnsi" w:hAnsiTheme="minorHAnsi" w:cstheme="minorHAnsi"/>
                <w:b/>
                <w:bCs/>
                <w:sz w:val="20"/>
                <w:szCs w:val="20"/>
                <w:lang w:val="fr-CH"/>
              </w:rPr>
              <w:t>45</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5.1</w:t>
            </w:r>
            <w:r w:rsidRPr="00AB2C1B">
              <w:rPr>
                <w:rFonts w:asciiTheme="minorHAnsi" w:hAnsiTheme="minorHAnsi" w:cstheme="minorHAnsi"/>
                <w:sz w:val="20"/>
                <w:szCs w:val="20"/>
                <w:lang w:val="fr-CH"/>
              </w:rPr>
              <w:tab/>
              <w:t>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r w:rsidR="00C42C37" w:rsidRPr="00AB2C1B">
              <w:rPr>
                <w:rFonts w:asciiTheme="minorHAnsi" w:hAnsiTheme="minorHAnsi" w:cstheme="minorHAnsi"/>
                <w:bCs/>
                <w:sz w:val="20"/>
                <w:szCs w:val="20"/>
              </w:rPr>
              <w:t xml:space="preserve"> </w:t>
            </w:r>
          </w:p>
        </w:tc>
        <w:tc>
          <w:tcPr>
            <w:tcW w:w="3261" w:type="dxa"/>
          </w:tcPr>
          <w:p w14:paraId="25069DE5" w14:textId="5FFACF0E" w:rsidR="00C42C37" w:rsidRPr="00AB2C1B" w:rsidRDefault="00D45AAD" w:rsidP="00AB2C1B">
            <w:pPr>
              <w:spacing w:before="40" w:after="40"/>
              <w:contextualSpacing/>
              <w:rPr>
                <w:rFonts w:asciiTheme="minorHAnsi" w:hAnsiTheme="minorHAnsi" w:cstheme="minorHAnsi"/>
                <w:bCs/>
                <w:sz w:val="20"/>
                <w:szCs w:val="20"/>
              </w:rPr>
            </w:pPr>
            <w:r w:rsidRPr="00AB2C1B">
              <w:rPr>
                <w:rStyle w:val="Artdef"/>
                <w:rFonts w:asciiTheme="minorHAnsi" w:hAnsiTheme="minorHAnsi" w:cstheme="minorHAnsi"/>
                <w:sz w:val="20"/>
                <w:szCs w:val="20"/>
              </w:rPr>
              <w:t>39</w:t>
            </w:r>
            <w:r w:rsidRPr="00AB2C1B">
              <w:rPr>
                <w:rFonts w:asciiTheme="minorHAnsi" w:hAnsiTheme="minorHAnsi" w:cstheme="minorHAnsi"/>
                <w:sz w:val="20"/>
                <w:szCs w:val="20"/>
              </w:rPr>
              <w:tab/>
              <w:t>5.1</w:t>
            </w:r>
            <w:r w:rsidRPr="00AB2C1B">
              <w:rPr>
                <w:rFonts w:asciiTheme="minorHAnsi" w:hAnsiTheme="minorHAnsi" w:cstheme="minorHAnsi"/>
                <w:sz w:val="20"/>
                <w:szCs w:val="20"/>
              </w:rPr>
              <w:tab/>
              <w:t>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Convention et en tenant dûment compte des Recommandations pertinentes du CCITT.</w:t>
            </w:r>
          </w:p>
        </w:tc>
        <w:tc>
          <w:tcPr>
            <w:tcW w:w="3260" w:type="dxa"/>
          </w:tcPr>
          <w:p w14:paraId="111A7AB0" w14:textId="608468E8" w:rsidR="00C42C37" w:rsidRPr="00AB2C1B" w:rsidRDefault="005701BA" w:rsidP="00AB2C1B">
            <w:pPr>
              <w:spacing w:before="40" w:after="40"/>
              <w:contextualSpacing/>
              <w:rPr>
                <w:rFonts w:asciiTheme="minorHAnsi" w:hAnsiTheme="minorHAnsi" w:cstheme="minorHAnsi"/>
                <w:bCs/>
                <w:sz w:val="20"/>
                <w:szCs w:val="20"/>
              </w:rPr>
            </w:pPr>
            <w:r w:rsidRPr="00AB2C1B">
              <w:rPr>
                <w:rFonts w:asciiTheme="minorHAnsi" w:hAnsiTheme="minorHAnsi" w:cstheme="minorHAnsi"/>
                <w:bCs/>
                <w:sz w:val="20"/>
                <w:szCs w:val="20"/>
              </w:rPr>
              <w:t>Cette disposition</w:t>
            </w:r>
            <w:r w:rsidR="002F65B0" w:rsidRPr="00AB2C1B">
              <w:rPr>
                <w:rFonts w:asciiTheme="minorHAnsi" w:hAnsiTheme="minorHAnsi" w:cstheme="minorHAnsi"/>
                <w:bCs/>
                <w:sz w:val="20"/>
                <w:szCs w:val="20"/>
              </w:rPr>
              <w:t xml:space="preserve"> favorise la fourniture et le développement de</w:t>
            </w:r>
            <w:r w:rsidR="00D12EA3" w:rsidRPr="00AB2C1B">
              <w:rPr>
                <w:rFonts w:asciiTheme="minorHAnsi" w:hAnsiTheme="minorHAnsi" w:cstheme="minorHAnsi"/>
                <w:bCs/>
                <w:sz w:val="20"/>
                <w:szCs w:val="20"/>
              </w:rPr>
              <w:t>s</w:t>
            </w:r>
            <w:r w:rsidR="002F65B0" w:rsidRPr="00AB2C1B">
              <w:rPr>
                <w:rFonts w:asciiTheme="minorHAnsi" w:hAnsiTheme="minorHAnsi" w:cstheme="minorHAnsi"/>
                <w:bCs/>
                <w:sz w:val="20"/>
                <w:szCs w:val="20"/>
              </w:rPr>
              <w:t xml:space="preserve"> réseaux et de</w:t>
            </w:r>
            <w:r w:rsidR="00D12EA3" w:rsidRPr="00AB2C1B">
              <w:rPr>
                <w:rFonts w:asciiTheme="minorHAnsi" w:hAnsiTheme="minorHAnsi" w:cstheme="minorHAnsi"/>
                <w:bCs/>
                <w:sz w:val="20"/>
                <w:szCs w:val="20"/>
              </w:rPr>
              <w:t>s</w:t>
            </w:r>
            <w:r w:rsidR="002F65B0" w:rsidRPr="00AB2C1B">
              <w:rPr>
                <w:rFonts w:asciiTheme="minorHAnsi" w:hAnsiTheme="minorHAnsi" w:cstheme="minorHAnsi"/>
                <w:bCs/>
                <w:sz w:val="20"/>
                <w:szCs w:val="20"/>
              </w:rPr>
              <w:t xml:space="preserve"> services dans la mesure où </w:t>
            </w:r>
            <w:r w:rsidRPr="00AB2C1B">
              <w:rPr>
                <w:rFonts w:asciiTheme="minorHAnsi" w:hAnsiTheme="minorHAnsi" w:cstheme="minorHAnsi"/>
                <w:bCs/>
                <w:sz w:val="20"/>
                <w:szCs w:val="20"/>
              </w:rPr>
              <w:t>elle</w:t>
            </w:r>
            <w:r w:rsidR="00D12EA3" w:rsidRPr="00AB2C1B">
              <w:rPr>
                <w:rFonts w:asciiTheme="minorHAnsi" w:hAnsiTheme="minorHAnsi" w:cstheme="minorHAnsi"/>
                <w:bCs/>
                <w:sz w:val="20"/>
                <w:szCs w:val="20"/>
              </w:rPr>
              <w:t xml:space="preserve"> porte sur</w:t>
            </w:r>
            <w:r w:rsidR="002F65B0" w:rsidRPr="00AB2C1B">
              <w:rPr>
                <w:rFonts w:asciiTheme="minorHAnsi" w:hAnsiTheme="minorHAnsi" w:cstheme="minorHAnsi"/>
                <w:bCs/>
                <w:sz w:val="20"/>
                <w:szCs w:val="20"/>
              </w:rPr>
              <w:t xml:space="preserve"> les services liés à la sécurité de la vie humaine.</w:t>
            </w:r>
            <w:r w:rsidR="00C42C37" w:rsidRPr="00AB2C1B">
              <w:rPr>
                <w:rFonts w:asciiTheme="minorHAnsi" w:hAnsiTheme="minorHAnsi" w:cstheme="minorHAnsi"/>
                <w:bCs/>
                <w:sz w:val="20"/>
                <w:szCs w:val="20"/>
              </w:rPr>
              <w:t xml:space="preserve"> </w:t>
            </w:r>
          </w:p>
        </w:tc>
        <w:tc>
          <w:tcPr>
            <w:tcW w:w="2410" w:type="dxa"/>
          </w:tcPr>
          <w:p w14:paraId="4524A35E" w14:textId="4B93DEE5" w:rsidR="00C42C37" w:rsidRPr="00AB2C1B" w:rsidRDefault="00AF7DF3" w:rsidP="007A374D">
            <w:pPr>
              <w:tabs>
                <w:tab w:val="left" w:pos="276"/>
              </w:tabs>
              <w:spacing w:before="40"/>
              <w:ind w:left="278" w:hanging="278"/>
              <w:rPr>
                <w:sz w:val="20"/>
                <w:szCs w:val="20"/>
              </w:rPr>
            </w:pPr>
            <w:r w:rsidRPr="00AF7DF3">
              <w:rPr>
                <w:sz w:val="20"/>
                <w:szCs w:val="20"/>
              </w:rPr>
              <w:t>•</w:t>
            </w:r>
            <w:r w:rsidRPr="00AF7DF3">
              <w:rPr>
                <w:sz w:val="20"/>
                <w:szCs w:val="20"/>
              </w:rPr>
              <w:tab/>
            </w:r>
            <w:r w:rsidR="00F83D54" w:rsidRPr="00AB2C1B">
              <w:rPr>
                <w:sz w:val="20"/>
                <w:szCs w:val="20"/>
              </w:rPr>
              <w:t xml:space="preserve">Offre une souplesse </w:t>
            </w:r>
            <w:proofErr w:type="gramStart"/>
            <w:r w:rsidR="00F83D54" w:rsidRPr="00AB2C1B">
              <w:rPr>
                <w:sz w:val="20"/>
                <w:szCs w:val="20"/>
              </w:rPr>
              <w:t>suffisante</w:t>
            </w:r>
            <w:r w:rsidR="00C42C37" w:rsidRPr="00AB2C1B">
              <w:rPr>
                <w:sz w:val="20"/>
                <w:szCs w:val="20"/>
              </w:rPr>
              <w:t>;</w:t>
            </w:r>
            <w:proofErr w:type="gramEnd"/>
            <w:r w:rsidR="00C42C37" w:rsidRPr="00AB2C1B">
              <w:rPr>
                <w:sz w:val="20"/>
                <w:szCs w:val="20"/>
              </w:rPr>
              <w:t xml:space="preserve"> </w:t>
            </w:r>
            <w:r w:rsidR="00AB2C1B">
              <w:rPr>
                <w:sz w:val="20"/>
                <w:szCs w:val="20"/>
              </w:rPr>
              <w:t>les Recommandations de l'UIT</w:t>
            </w:r>
            <w:r w:rsidR="00AB2C1B">
              <w:rPr>
                <w:sz w:val="20"/>
                <w:szCs w:val="20"/>
              </w:rPr>
              <w:noBreakHyphen/>
            </w:r>
            <w:r w:rsidR="00E67C1C" w:rsidRPr="00AB2C1B">
              <w:rPr>
                <w:sz w:val="20"/>
                <w:szCs w:val="20"/>
              </w:rPr>
              <w:t xml:space="preserve">T </w:t>
            </w:r>
            <w:r w:rsidR="003637F0" w:rsidRPr="00AB2C1B">
              <w:rPr>
                <w:sz w:val="20"/>
                <w:szCs w:val="20"/>
              </w:rPr>
              <w:t xml:space="preserve">les plus récentes </w:t>
            </w:r>
            <w:r w:rsidR="00E67C1C" w:rsidRPr="00AB2C1B">
              <w:rPr>
                <w:sz w:val="20"/>
                <w:szCs w:val="20"/>
              </w:rPr>
              <w:t xml:space="preserve">s'appliquent. </w:t>
            </w:r>
          </w:p>
          <w:p w14:paraId="299C3992" w14:textId="1F8EAAEB" w:rsidR="00C42C37" w:rsidRPr="00AB2C1B" w:rsidRDefault="00AF7DF3" w:rsidP="00AF7DF3">
            <w:pPr>
              <w:tabs>
                <w:tab w:val="left" w:pos="276"/>
              </w:tabs>
              <w:spacing w:before="40"/>
              <w:ind w:left="276" w:hanging="276"/>
            </w:pPr>
            <w:r w:rsidRPr="00AF7DF3">
              <w:rPr>
                <w:sz w:val="20"/>
                <w:szCs w:val="20"/>
              </w:rPr>
              <w:t>•</w:t>
            </w:r>
            <w:r w:rsidRPr="00AF7DF3">
              <w:rPr>
                <w:sz w:val="20"/>
                <w:szCs w:val="20"/>
              </w:rPr>
              <w:tab/>
            </w:r>
            <w:r w:rsidR="00905809" w:rsidRPr="00AB2C1B">
              <w:rPr>
                <w:sz w:val="20"/>
                <w:szCs w:val="20"/>
              </w:rPr>
              <w:t xml:space="preserve">De plus, </w:t>
            </w:r>
            <w:r w:rsidR="005701BA" w:rsidRPr="00AB2C1B">
              <w:rPr>
                <w:sz w:val="20"/>
                <w:szCs w:val="20"/>
              </w:rPr>
              <w:t>la disposition</w:t>
            </w:r>
            <w:r>
              <w:rPr>
                <w:sz w:val="20"/>
                <w:szCs w:val="20"/>
              </w:rPr>
              <w:t> </w:t>
            </w:r>
            <w:r w:rsidR="00C42C37" w:rsidRPr="00AB2C1B">
              <w:rPr>
                <w:sz w:val="20"/>
                <w:szCs w:val="20"/>
              </w:rPr>
              <w:t xml:space="preserve">5.1 </w:t>
            </w:r>
            <w:r w:rsidR="005701BA" w:rsidRPr="00AB2C1B">
              <w:rPr>
                <w:sz w:val="20"/>
                <w:szCs w:val="20"/>
              </w:rPr>
              <w:t xml:space="preserve">permet de tenir </w:t>
            </w:r>
            <w:r w:rsidR="00D55E79" w:rsidRPr="00AB2C1B">
              <w:rPr>
                <w:sz w:val="20"/>
                <w:szCs w:val="20"/>
              </w:rPr>
              <w:t>c</w:t>
            </w:r>
            <w:r w:rsidR="00A17C7F" w:rsidRPr="00AB2C1B">
              <w:rPr>
                <w:sz w:val="20"/>
                <w:szCs w:val="20"/>
              </w:rPr>
              <w:t xml:space="preserve">ompte </w:t>
            </w:r>
            <w:r w:rsidR="00905809" w:rsidRPr="00AB2C1B">
              <w:rPr>
                <w:sz w:val="20"/>
                <w:szCs w:val="20"/>
              </w:rPr>
              <w:t>de</w:t>
            </w:r>
            <w:r w:rsidR="005701BA" w:rsidRPr="00AB2C1B">
              <w:rPr>
                <w:sz w:val="20"/>
                <w:szCs w:val="20"/>
              </w:rPr>
              <w:t>s</w:t>
            </w:r>
            <w:r w:rsidR="00D55E79" w:rsidRPr="00AB2C1B">
              <w:rPr>
                <w:sz w:val="20"/>
                <w:szCs w:val="20"/>
              </w:rPr>
              <w:t xml:space="preserve"> nouvelles tendances </w:t>
            </w:r>
            <w:r w:rsidR="00B23D3C" w:rsidRPr="00AB2C1B">
              <w:rPr>
                <w:sz w:val="20"/>
                <w:szCs w:val="20"/>
              </w:rPr>
              <w:t>comme</w:t>
            </w:r>
            <w:r w:rsidR="00D55E79" w:rsidRPr="00AB2C1B">
              <w:rPr>
                <w:sz w:val="20"/>
                <w:szCs w:val="20"/>
              </w:rPr>
              <w:t xml:space="preserve"> la cybersécurité.</w:t>
            </w:r>
            <w:r w:rsidR="00D55E79" w:rsidRPr="00AB2C1B">
              <w:t xml:space="preserve"> </w:t>
            </w:r>
          </w:p>
        </w:tc>
        <w:tc>
          <w:tcPr>
            <w:tcW w:w="1842" w:type="dxa"/>
          </w:tcPr>
          <w:p w14:paraId="26318768" w14:textId="1666693E" w:rsidR="00C42C37" w:rsidRPr="00AB2C1B" w:rsidRDefault="002F65B0" w:rsidP="00AB2C1B">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Pas de modification requise.</w:t>
            </w:r>
            <w:r w:rsidR="00C42C37" w:rsidRPr="00AB2C1B">
              <w:rPr>
                <w:rFonts w:asciiTheme="minorHAnsi" w:hAnsiTheme="minorHAnsi" w:cstheme="minorHAnsi"/>
                <w:b/>
                <w:bCs/>
                <w:sz w:val="20"/>
                <w:szCs w:val="20"/>
                <w:lang w:val="en-US"/>
              </w:rPr>
              <w:t xml:space="preserve"> </w:t>
            </w:r>
          </w:p>
        </w:tc>
      </w:tr>
      <w:tr w:rsidR="00C42C37" w:rsidRPr="00184583" w14:paraId="3AA59D76" w14:textId="77777777" w:rsidTr="00AF7DF3">
        <w:trPr>
          <w:cantSplit/>
          <w:trHeight w:val="1319"/>
        </w:trPr>
        <w:tc>
          <w:tcPr>
            <w:tcW w:w="1418" w:type="dxa"/>
          </w:tcPr>
          <w:p w14:paraId="6E7091C2" w14:textId="77777777" w:rsidR="00C42C37" w:rsidRPr="00AB2C1B" w:rsidRDefault="00C42C37" w:rsidP="00AF7DF3">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lastRenderedPageBreak/>
              <w:t xml:space="preserve">Article 5 </w:t>
            </w:r>
          </w:p>
        </w:tc>
        <w:tc>
          <w:tcPr>
            <w:tcW w:w="2693" w:type="dxa"/>
          </w:tcPr>
          <w:p w14:paraId="354B8D69" w14:textId="0C2E26AB" w:rsidR="00C42C37" w:rsidRPr="00AB2C1B" w:rsidRDefault="00D232E5">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47</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5.3</w:t>
            </w:r>
            <w:r w:rsidRPr="00AB2C1B">
              <w:rPr>
                <w:rFonts w:asciiTheme="minorHAnsi" w:hAnsiTheme="minorHAnsi" w:cstheme="minorHAnsi"/>
                <w:sz w:val="20"/>
                <w:szCs w:val="20"/>
                <w:lang w:val="fr-CH"/>
              </w:rPr>
              <w:tab/>
              <w:t>Les dispositions régissant la priorité de tous les autres services de télécommunication figurent dans les Recommandations UIT-T pertinentes.</w:t>
            </w:r>
            <w:r w:rsidR="00C42C37" w:rsidRPr="00AB2C1B">
              <w:rPr>
                <w:rFonts w:asciiTheme="minorHAnsi" w:hAnsiTheme="minorHAnsi" w:cstheme="minorHAnsi"/>
                <w:bCs/>
                <w:sz w:val="20"/>
                <w:szCs w:val="20"/>
              </w:rPr>
              <w:t xml:space="preserve"> </w:t>
            </w:r>
          </w:p>
        </w:tc>
        <w:tc>
          <w:tcPr>
            <w:tcW w:w="3261" w:type="dxa"/>
          </w:tcPr>
          <w:p w14:paraId="01A8130E" w14:textId="623F5450" w:rsidR="00C42C37" w:rsidRPr="00AB2C1B" w:rsidRDefault="00D45AAD">
            <w:pPr>
              <w:spacing w:before="40" w:after="40"/>
              <w:rPr>
                <w:rFonts w:asciiTheme="minorHAnsi" w:hAnsiTheme="minorHAnsi" w:cstheme="minorHAnsi"/>
                <w:bCs/>
                <w:sz w:val="20"/>
                <w:szCs w:val="20"/>
              </w:rPr>
            </w:pPr>
            <w:r w:rsidRPr="00AB2C1B">
              <w:rPr>
                <w:rStyle w:val="Artdef"/>
                <w:rFonts w:asciiTheme="minorHAnsi" w:hAnsiTheme="minorHAnsi" w:cstheme="minorHAnsi"/>
                <w:sz w:val="20"/>
                <w:szCs w:val="20"/>
              </w:rPr>
              <w:t>41</w:t>
            </w:r>
            <w:r w:rsidRPr="00AB2C1B">
              <w:rPr>
                <w:rFonts w:asciiTheme="minorHAnsi" w:hAnsiTheme="minorHAnsi" w:cstheme="minorHAnsi"/>
                <w:sz w:val="20"/>
                <w:szCs w:val="20"/>
              </w:rPr>
              <w:tab/>
              <w:t>5.3</w:t>
            </w:r>
            <w:r w:rsidRPr="00AB2C1B">
              <w:rPr>
                <w:rFonts w:asciiTheme="minorHAnsi" w:hAnsiTheme="minorHAnsi" w:cstheme="minorHAnsi"/>
                <w:sz w:val="20"/>
                <w:szCs w:val="20"/>
              </w:rPr>
              <w:tab/>
              <w:t>Les dispositions régissant la priorité de toutes les autres télécommunications figurent dans les Recommandations pertinentes du CCITT.</w:t>
            </w:r>
          </w:p>
        </w:tc>
        <w:tc>
          <w:tcPr>
            <w:tcW w:w="3260" w:type="dxa"/>
          </w:tcPr>
          <w:p w14:paraId="3235A813" w14:textId="522A5C61" w:rsidR="00C42C37" w:rsidRPr="00AB2C1B" w:rsidRDefault="005701BA" w:rsidP="00AF7DF3">
            <w:pPr>
              <w:spacing w:before="40" w:after="40"/>
              <w:rPr>
                <w:rFonts w:asciiTheme="minorHAnsi" w:hAnsiTheme="minorHAnsi" w:cstheme="minorHAnsi"/>
                <w:bCs/>
                <w:sz w:val="20"/>
                <w:szCs w:val="20"/>
              </w:rPr>
            </w:pPr>
            <w:r w:rsidRPr="00AB2C1B">
              <w:rPr>
                <w:rFonts w:asciiTheme="minorHAnsi" w:hAnsiTheme="minorHAnsi" w:cstheme="minorHAnsi"/>
                <w:bCs/>
                <w:sz w:val="20"/>
                <w:szCs w:val="20"/>
              </w:rPr>
              <w:t>Cette disposition</w:t>
            </w:r>
            <w:r w:rsidR="008D7F69" w:rsidRPr="00AB2C1B">
              <w:rPr>
                <w:rFonts w:asciiTheme="minorHAnsi" w:hAnsiTheme="minorHAnsi" w:cstheme="minorHAnsi"/>
                <w:bCs/>
                <w:sz w:val="20"/>
                <w:szCs w:val="20"/>
              </w:rPr>
              <w:t xml:space="preserve"> est de fait identique à cel</w:t>
            </w:r>
            <w:r w:rsidRPr="00AB2C1B">
              <w:rPr>
                <w:rFonts w:asciiTheme="minorHAnsi" w:hAnsiTheme="minorHAnsi" w:cstheme="minorHAnsi"/>
                <w:bCs/>
                <w:sz w:val="20"/>
                <w:szCs w:val="20"/>
              </w:rPr>
              <w:t>le</w:t>
            </w:r>
            <w:r w:rsidR="008D7F69" w:rsidRPr="00AB2C1B">
              <w:rPr>
                <w:rFonts w:asciiTheme="minorHAnsi" w:hAnsiTheme="minorHAnsi" w:cstheme="minorHAnsi"/>
                <w:bCs/>
                <w:sz w:val="20"/>
                <w:szCs w:val="20"/>
              </w:rPr>
              <w:t xml:space="preserve"> de la</w:t>
            </w:r>
            <w:r w:rsidR="00AF7DF3">
              <w:rPr>
                <w:rFonts w:asciiTheme="minorHAnsi" w:hAnsiTheme="minorHAnsi" w:cstheme="minorHAnsi"/>
                <w:bCs/>
                <w:sz w:val="20"/>
                <w:szCs w:val="20"/>
              </w:rPr>
              <w:t xml:space="preserve"> version de </w:t>
            </w:r>
            <w:r w:rsidR="008D7F69" w:rsidRPr="00AB2C1B">
              <w:rPr>
                <w:rFonts w:asciiTheme="minorHAnsi" w:hAnsiTheme="minorHAnsi" w:cstheme="minorHAnsi"/>
                <w:bCs/>
                <w:sz w:val="20"/>
                <w:szCs w:val="20"/>
              </w:rPr>
              <w:t>1988 du RTI et ne constitue pas un obstacle au développement de</w:t>
            </w:r>
            <w:r w:rsidR="005D41B8" w:rsidRPr="00AB2C1B">
              <w:rPr>
                <w:rFonts w:asciiTheme="minorHAnsi" w:hAnsiTheme="minorHAnsi" w:cstheme="minorHAnsi"/>
                <w:bCs/>
                <w:sz w:val="20"/>
                <w:szCs w:val="20"/>
              </w:rPr>
              <w:t>s</w:t>
            </w:r>
            <w:r w:rsidR="008D7F69" w:rsidRPr="00AB2C1B">
              <w:rPr>
                <w:rFonts w:asciiTheme="minorHAnsi" w:hAnsiTheme="minorHAnsi" w:cstheme="minorHAnsi"/>
                <w:bCs/>
                <w:sz w:val="20"/>
                <w:szCs w:val="20"/>
              </w:rPr>
              <w:t xml:space="preserve"> réseaux et de</w:t>
            </w:r>
            <w:r w:rsidR="005D41B8" w:rsidRPr="00AB2C1B">
              <w:rPr>
                <w:rFonts w:asciiTheme="minorHAnsi" w:hAnsiTheme="minorHAnsi" w:cstheme="minorHAnsi"/>
                <w:bCs/>
                <w:sz w:val="20"/>
                <w:szCs w:val="20"/>
              </w:rPr>
              <w:t>s</w:t>
            </w:r>
            <w:r w:rsidR="008D7F69" w:rsidRPr="00AB2C1B">
              <w:rPr>
                <w:rFonts w:asciiTheme="minorHAnsi" w:hAnsiTheme="minorHAnsi" w:cstheme="minorHAnsi"/>
                <w:bCs/>
                <w:sz w:val="20"/>
                <w:szCs w:val="20"/>
              </w:rPr>
              <w:t xml:space="preserve"> services. </w:t>
            </w:r>
          </w:p>
        </w:tc>
        <w:tc>
          <w:tcPr>
            <w:tcW w:w="2410" w:type="dxa"/>
          </w:tcPr>
          <w:p w14:paraId="20E16145" w14:textId="4DFD5132" w:rsidR="00C42C37" w:rsidRPr="00AF7DF3" w:rsidRDefault="00AF7DF3" w:rsidP="007A374D">
            <w:pPr>
              <w:spacing w:before="40"/>
              <w:ind w:left="176" w:hanging="176"/>
              <w:rPr>
                <w:sz w:val="20"/>
                <w:szCs w:val="20"/>
              </w:rPr>
            </w:pPr>
            <w:r w:rsidRPr="00AF7DF3">
              <w:rPr>
                <w:sz w:val="20"/>
                <w:szCs w:val="20"/>
              </w:rPr>
              <w:t>•</w:t>
            </w:r>
            <w:r w:rsidRPr="00AF7DF3">
              <w:rPr>
                <w:sz w:val="20"/>
                <w:szCs w:val="20"/>
              </w:rPr>
              <w:tab/>
            </w:r>
            <w:r w:rsidR="008D7F69" w:rsidRPr="00AF7DF3">
              <w:rPr>
                <w:sz w:val="20"/>
                <w:szCs w:val="20"/>
              </w:rPr>
              <w:t xml:space="preserve">Offre une souplesse </w:t>
            </w:r>
            <w:proofErr w:type="gramStart"/>
            <w:r w:rsidR="008D7F69" w:rsidRPr="00AF7DF3">
              <w:rPr>
                <w:sz w:val="20"/>
                <w:szCs w:val="20"/>
              </w:rPr>
              <w:t>suffisante;</w:t>
            </w:r>
            <w:proofErr w:type="gramEnd"/>
            <w:r w:rsidR="008D7F69" w:rsidRPr="00AF7DF3">
              <w:rPr>
                <w:sz w:val="20"/>
                <w:szCs w:val="20"/>
              </w:rPr>
              <w:t xml:space="preserve"> les Recommandations de l'UIT-T les plus récentes s'appliquent.</w:t>
            </w:r>
          </w:p>
          <w:p w14:paraId="737186F3" w14:textId="3A1D2A14" w:rsidR="00C42C37" w:rsidRPr="00AF7DF3" w:rsidRDefault="00AF7DF3" w:rsidP="003D196F">
            <w:pPr>
              <w:spacing w:before="60"/>
              <w:ind w:left="176" w:hanging="176"/>
              <w:rPr>
                <w:sz w:val="20"/>
                <w:szCs w:val="20"/>
              </w:rPr>
            </w:pPr>
            <w:r w:rsidRPr="00AF7DF3">
              <w:rPr>
                <w:sz w:val="20"/>
                <w:szCs w:val="20"/>
              </w:rPr>
              <w:t>•</w:t>
            </w:r>
            <w:r w:rsidRPr="00AF7DF3">
              <w:rPr>
                <w:sz w:val="20"/>
                <w:szCs w:val="20"/>
              </w:rPr>
              <w:tab/>
            </w:r>
            <w:r w:rsidR="008D7F69" w:rsidRPr="00AF7DF3">
              <w:rPr>
                <w:sz w:val="20"/>
                <w:szCs w:val="20"/>
              </w:rPr>
              <w:t xml:space="preserve">Il </w:t>
            </w:r>
            <w:r w:rsidR="005701BA" w:rsidRPr="00AF7DF3">
              <w:rPr>
                <w:sz w:val="20"/>
                <w:szCs w:val="20"/>
              </w:rPr>
              <w:t>faut</w:t>
            </w:r>
            <w:r w:rsidR="008D7F69" w:rsidRPr="00AF7DF3">
              <w:rPr>
                <w:sz w:val="20"/>
                <w:szCs w:val="20"/>
              </w:rPr>
              <w:t xml:space="preserve"> </w:t>
            </w:r>
            <w:r w:rsidR="005701BA" w:rsidRPr="00AF7DF3">
              <w:rPr>
                <w:sz w:val="20"/>
                <w:szCs w:val="20"/>
              </w:rPr>
              <w:t>impérativement faire en sorte</w:t>
            </w:r>
            <w:r w:rsidR="008D7F69" w:rsidRPr="00AF7DF3">
              <w:rPr>
                <w:sz w:val="20"/>
                <w:szCs w:val="20"/>
              </w:rPr>
              <w:t xml:space="preserve"> que les communications des autorités publiques jouissent d'un droit de priorité uniquement </w:t>
            </w:r>
            <w:r w:rsidR="00522E29" w:rsidRPr="00AF7DF3">
              <w:rPr>
                <w:sz w:val="20"/>
                <w:szCs w:val="20"/>
              </w:rPr>
              <w:t>lorsque cela est nécessaire</w:t>
            </w:r>
            <w:r w:rsidR="008D7F69" w:rsidRPr="00AF7DF3">
              <w:rPr>
                <w:sz w:val="20"/>
                <w:szCs w:val="20"/>
              </w:rPr>
              <w:t xml:space="preserve"> et lorsqu'elles concernent des questions de sécurité</w:t>
            </w:r>
            <w:r w:rsidR="005701BA" w:rsidRPr="00AF7DF3">
              <w:rPr>
                <w:sz w:val="20"/>
                <w:szCs w:val="20"/>
              </w:rPr>
              <w:t xml:space="preserve"> nationale</w:t>
            </w:r>
            <w:r w:rsidR="008D7F69" w:rsidRPr="00AF7DF3">
              <w:rPr>
                <w:sz w:val="20"/>
                <w:szCs w:val="20"/>
              </w:rPr>
              <w:t xml:space="preserve">. Les droits constitutionnels </w:t>
            </w:r>
            <w:r w:rsidR="00184583" w:rsidRPr="00AF7DF3">
              <w:rPr>
                <w:sz w:val="20"/>
                <w:szCs w:val="20"/>
              </w:rPr>
              <w:t>et la</w:t>
            </w:r>
            <w:r w:rsidR="008D7F69" w:rsidRPr="00AF7DF3">
              <w:rPr>
                <w:sz w:val="20"/>
                <w:szCs w:val="20"/>
              </w:rPr>
              <w:t xml:space="preserve"> liberté d'expression</w:t>
            </w:r>
            <w:r w:rsidR="00184583" w:rsidRPr="00AF7DF3">
              <w:rPr>
                <w:sz w:val="20"/>
                <w:szCs w:val="20"/>
              </w:rPr>
              <w:t xml:space="preserve"> des citoyens doivent être pris en compte.</w:t>
            </w:r>
          </w:p>
        </w:tc>
        <w:tc>
          <w:tcPr>
            <w:tcW w:w="1842" w:type="dxa"/>
          </w:tcPr>
          <w:p w14:paraId="3D0204DF" w14:textId="53E3A8D7" w:rsidR="00C42C37" w:rsidRPr="00AF7DF3" w:rsidRDefault="00AF7DF3" w:rsidP="007A374D">
            <w:pPr>
              <w:spacing w:before="40"/>
              <w:ind w:left="210" w:hanging="210"/>
              <w:rPr>
                <w:rFonts w:asciiTheme="minorHAnsi" w:hAnsiTheme="minorHAnsi" w:cstheme="minorHAnsi"/>
                <w:b/>
                <w:bCs/>
                <w:sz w:val="20"/>
                <w:szCs w:val="20"/>
              </w:rPr>
            </w:pPr>
            <w:r w:rsidRPr="00AF7DF3">
              <w:rPr>
                <w:sz w:val="20"/>
                <w:szCs w:val="20"/>
              </w:rPr>
              <w:t>•</w:t>
            </w:r>
            <w:r w:rsidRPr="00AF7DF3">
              <w:rPr>
                <w:sz w:val="20"/>
                <w:szCs w:val="20"/>
              </w:rPr>
              <w:tab/>
            </w:r>
            <w:r w:rsidR="00F83D54" w:rsidRPr="00AF7DF3">
              <w:rPr>
                <w:b/>
                <w:sz w:val="20"/>
                <w:szCs w:val="20"/>
              </w:rPr>
              <w:t>Pas de modification requise.</w:t>
            </w:r>
            <w:r w:rsidR="00F83D54" w:rsidRPr="00AF7DF3">
              <w:rPr>
                <w:rFonts w:asciiTheme="minorHAnsi" w:hAnsiTheme="minorHAnsi" w:cstheme="minorHAnsi"/>
                <w:b/>
                <w:bCs/>
                <w:sz w:val="20"/>
                <w:szCs w:val="20"/>
              </w:rPr>
              <w:t xml:space="preserve"> </w:t>
            </w:r>
          </w:p>
          <w:p w14:paraId="1181C66A" w14:textId="3821E327" w:rsidR="00C42C37" w:rsidRPr="00AB2C1B" w:rsidRDefault="00AF7DF3" w:rsidP="003D196F">
            <w:pPr>
              <w:spacing w:before="60"/>
              <w:ind w:left="210" w:hanging="210"/>
              <w:rPr>
                <w:rFonts w:asciiTheme="minorHAnsi" w:hAnsiTheme="minorHAnsi" w:cstheme="minorHAnsi"/>
                <w:bCs/>
                <w:sz w:val="20"/>
                <w:szCs w:val="20"/>
              </w:rPr>
            </w:pPr>
            <w:r w:rsidRPr="00AF7DF3">
              <w:rPr>
                <w:sz w:val="20"/>
                <w:szCs w:val="20"/>
              </w:rPr>
              <w:t>•</w:t>
            </w:r>
            <w:r w:rsidRPr="00AF7DF3">
              <w:rPr>
                <w:sz w:val="20"/>
                <w:szCs w:val="20"/>
              </w:rPr>
              <w:tab/>
            </w:r>
            <w:r w:rsidR="00184583" w:rsidRPr="00AF7DF3">
              <w:rPr>
                <w:sz w:val="20"/>
                <w:szCs w:val="20"/>
              </w:rPr>
              <w:t>Les droits constitutionnels locaux et la liberté d'expression ne doivent être limités que conformément aux lois locales.</w:t>
            </w:r>
          </w:p>
        </w:tc>
      </w:tr>
      <w:tr w:rsidR="00C42C37" w:rsidRPr="00291C45" w14:paraId="77774D60" w14:textId="77777777" w:rsidTr="00AF7DF3">
        <w:trPr>
          <w:cantSplit/>
          <w:trHeight w:val="378"/>
        </w:trPr>
        <w:tc>
          <w:tcPr>
            <w:tcW w:w="1418" w:type="dxa"/>
            <w:shd w:val="clear" w:color="auto" w:fill="auto"/>
          </w:tcPr>
          <w:p w14:paraId="7E96803F" w14:textId="77777777" w:rsidR="00C42C37" w:rsidRPr="00AB2C1B" w:rsidRDefault="00C42C37" w:rsidP="00AF7DF3">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5 </w:t>
            </w:r>
          </w:p>
        </w:tc>
        <w:tc>
          <w:tcPr>
            <w:tcW w:w="2693" w:type="dxa"/>
            <w:shd w:val="clear" w:color="auto" w:fill="auto"/>
          </w:tcPr>
          <w:p w14:paraId="04B05CD7" w14:textId="5B48A9DE" w:rsidR="00C42C37" w:rsidRPr="00AB2C1B" w:rsidRDefault="00D232E5">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48</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5.4</w:t>
            </w:r>
            <w:r w:rsidRPr="00AB2C1B">
              <w:rPr>
                <w:rFonts w:asciiTheme="minorHAnsi" w:hAnsiTheme="minorHAnsi" w:cstheme="minorHAnsi"/>
                <w:sz w:val="20"/>
                <w:szCs w:val="20"/>
                <w:lang w:val="fr-CH"/>
              </w:rPr>
              <w:tab/>
              <w:t xml:space="preserve">Les </w:t>
            </w:r>
            <w:r w:rsidR="00D27267" w:rsidRPr="00AB2C1B">
              <w:rPr>
                <w:rFonts w:asciiTheme="minorHAnsi" w:hAnsiTheme="minorHAnsi" w:cstheme="minorHAnsi"/>
                <w:sz w:val="20"/>
                <w:szCs w:val="20"/>
                <w:lang w:val="fr-CH"/>
              </w:rPr>
              <w:t>É</w:t>
            </w:r>
            <w:r w:rsidRPr="00AB2C1B">
              <w:rPr>
                <w:rFonts w:asciiTheme="minorHAnsi" w:hAnsiTheme="minorHAnsi" w:cstheme="minorHAnsi"/>
                <w:sz w:val="20"/>
                <w:szCs w:val="20"/>
                <w:lang w:val="fr-CH"/>
              </w:rPr>
              <w:t>tats Membres devraient encourager les exploitations autorisées à informer tous les utilisateurs, y compris les utilisateurs itinérants, en temps utile et gratuitement, du numéro à utiliser pour les appels vers les services d'urgence.</w:t>
            </w:r>
          </w:p>
        </w:tc>
        <w:tc>
          <w:tcPr>
            <w:tcW w:w="3261" w:type="dxa"/>
            <w:shd w:val="clear" w:color="auto" w:fill="auto"/>
          </w:tcPr>
          <w:p w14:paraId="2C479A77" w14:textId="73AC65FB" w:rsidR="00C42C37" w:rsidRPr="00AB2C1B" w:rsidRDefault="00F83D54">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5701BA"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shd w:val="clear" w:color="auto" w:fill="auto"/>
          </w:tcPr>
          <w:p w14:paraId="08869352" w14:textId="746CA597" w:rsidR="00C42C37" w:rsidRPr="00AB2C1B" w:rsidRDefault="005701BA" w:rsidP="00AF7DF3">
            <w:pPr>
              <w:spacing w:before="40" w:after="40"/>
              <w:rPr>
                <w:rFonts w:asciiTheme="minorHAnsi" w:hAnsiTheme="minorHAnsi" w:cstheme="minorHAnsi"/>
                <w:bCs/>
                <w:sz w:val="20"/>
                <w:szCs w:val="20"/>
              </w:rPr>
            </w:pPr>
            <w:r w:rsidRPr="00AB2C1B">
              <w:rPr>
                <w:rFonts w:asciiTheme="minorHAnsi" w:hAnsiTheme="minorHAnsi" w:cstheme="minorHAnsi"/>
                <w:bCs/>
                <w:sz w:val="20"/>
                <w:szCs w:val="20"/>
              </w:rPr>
              <w:t xml:space="preserve">Cette disposition </w:t>
            </w:r>
            <w:r w:rsidR="00184583" w:rsidRPr="00AB2C1B">
              <w:rPr>
                <w:rFonts w:asciiTheme="minorHAnsi" w:hAnsiTheme="minorHAnsi" w:cstheme="minorHAnsi"/>
                <w:bCs/>
                <w:sz w:val="20"/>
                <w:szCs w:val="20"/>
              </w:rPr>
              <w:t>ne constitue pas un obstacle au développement de</w:t>
            </w:r>
            <w:r w:rsidR="009942BE" w:rsidRPr="00AB2C1B">
              <w:rPr>
                <w:rFonts w:asciiTheme="minorHAnsi" w:hAnsiTheme="minorHAnsi" w:cstheme="minorHAnsi"/>
                <w:bCs/>
                <w:sz w:val="20"/>
                <w:szCs w:val="20"/>
              </w:rPr>
              <w:t>s</w:t>
            </w:r>
            <w:r w:rsidR="00184583" w:rsidRPr="00AB2C1B">
              <w:rPr>
                <w:rFonts w:asciiTheme="minorHAnsi" w:hAnsiTheme="minorHAnsi" w:cstheme="minorHAnsi"/>
                <w:bCs/>
                <w:sz w:val="20"/>
                <w:szCs w:val="20"/>
              </w:rPr>
              <w:t xml:space="preserve"> réseaux et de</w:t>
            </w:r>
            <w:r w:rsidR="009942BE" w:rsidRPr="00AB2C1B">
              <w:rPr>
                <w:rFonts w:asciiTheme="minorHAnsi" w:hAnsiTheme="minorHAnsi" w:cstheme="minorHAnsi"/>
                <w:bCs/>
                <w:sz w:val="20"/>
                <w:szCs w:val="20"/>
              </w:rPr>
              <w:t>s</w:t>
            </w:r>
            <w:r w:rsidR="00184583" w:rsidRPr="00AB2C1B">
              <w:rPr>
                <w:rFonts w:asciiTheme="minorHAnsi" w:hAnsiTheme="minorHAnsi" w:cstheme="minorHAnsi"/>
                <w:bCs/>
                <w:sz w:val="20"/>
                <w:szCs w:val="20"/>
              </w:rPr>
              <w:t xml:space="preserve"> services et appuie l'utilisation des services d'urgence à l'échelle nationale. </w:t>
            </w:r>
          </w:p>
        </w:tc>
        <w:tc>
          <w:tcPr>
            <w:tcW w:w="2410" w:type="dxa"/>
            <w:shd w:val="clear" w:color="auto" w:fill="auto"/>
          </w:tcPr>
          <w:p w14:paraId="62119490" w14:textId="558EBF76" w:rsidR="00C42C37" w:rsidRPr="00AB2C1B" w:rsidRDefault="00184583" w:rsidP="00AF7DF3">
            <w:pPr>
              <w:spacing w:before="40" w:after="40"/>
              <w:rPr>
                <w:rFonts w:asciiTheme="minorHAnsi" w:hAnsiTheme="minorHAnsi" w:cstheme="minorHAnsi"/>
                <w:bCs/>
                <w:sz w:val="20"/>
                <w:szCs w:val="20"/>
              </w:rPr>
            </w:pPr>
            <w:r w:rsidRPr="00AB2C1B">
              <w:rPr>
                <w:rFonts w:asciiTheme="minorHAnsi" w:hAnsiTheme="minorHAnsi" w:cstheme="minorHAnsi"/>
                <w:bCs/>
                <w:sz w:val="20"/>
                <w:szCs w:val="20"/>
              </w:rPr>
              <w:t xml:space="preserve">Offre une souplesse </w:t>
            </w:r>
            <w:proofErr w:type="gramStart"/>
            <w:r w:rsidRPr="00AB2C1B">
              <w:rPr>
                <w:rFonts w:asciiTheme="minorHAnsi" w:hAnsiTheme="minorHAnsi" w:cstheme="minorHAnsi"/>
                <w:bCs/>
                <w:sz w:val="20"/>
                <w:szCs w:val="20"/>
              </w:rPr>
              <w:t>suffisante;</w:t>
            </w:r>
            <w:proofErr w:type="gramEnd"/>
            <w:r w:rsidRPr="00AB2C1B">
              <w:rPr>
                <w:rFonts w:asciiTheme="minorHAnsi" w:hAnsiTheme="minorHAnsi" w:cstheme="minorHAnsi"/>
                <w:bCs/>
                <w:sz w:val="20"/>
                <w:szCs w:val="20"/>
              </w:rPr>
              <w:t xml:space="preserve"> </w:t>
            </w:r>
            <w:r w:rsidR="00A05BAA" w:rsidRPr="00AB2C1B">
              <w:rPr>
                <w:rFonts w:asciiTheme="minorHAnsi" w:hAnsiTheme="minorHAnsi" w:cstheme="minorHAnsi"/>
                <w:bCs/>
                <w:sz w:val="20"/>
                <w:szCs w:val="20"/>
              </w:rPr>
              <w:t>texte à caractère non obligatoire.</w:t>
            </w:r>
            <w:r w:rsidR="00C42C37" w:rsidRPr="00AB2C1B">
              <w:rPr>
                <w:rFonts w:asciiTheme="minorHAnsi" w:hAnsiTheme="minorHAnsi" w:cstheme="minorHAnsi"/>
                <w:bCs/>
                <w:sz w:val="20"/>
                <w:szCs w:val="20"/>
              </w:rPr>
              <w:t xml:space="preserve"> </w:t>
            </w:r>
          </w:p>
        </w:tc>
        <w:tc>
          <w:tcPr>
            <w:tcW w:w="1842" w:type="dxa"/>
            <w:shd w:val="clear" w:color="auto" w:fill="auto"/>
          </w:tcPr>
          <w:p w14:paraId="7BC2B3C3" w14:textId="6DCDB0C6" w:rsidR="00C42C37" w:rsidRPr="00AB2C1B" w:rsidRDefault="00F83D54">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Pas de modification requise.</w:t>
            </w:r>
          </w:p>
        </w:tc>
      </w:tr>
      <w:tr w:rsidR="00C42C37" w:rsidRPr="00291C45" w14:paraId="1BCBBEBE" w14:textId="77777777" w:rsidTr="00AF7DF3">
        <w:trPr>
          <w:cantSplit/>
          <w:trHeight w:val="153"/>
        </w:trPr>
        <w:tc>
          <w:tcPr>
            <w:tcW w:w="1418" w:type="dxa"/>
          </w:tcPr>
          <w:p w14:paraId="36E060B9" w14:textId="77777777" w:rsidR="00C42C37" w:rsidRPr="00AB2C1B" w:rsidRDefault="00C42C37" w:rsidP="00AF7DF3">
            <w:pPr>
              <w:spacing w:before="40" w:after="40"/>
              <w:contextualSpacing/>
              <w:rPr>
                <w:rFonts w:asciiTheme="minorHAnsi" w:hAnsiTheme="minorHAnsi" w:cstheme="minorHAnsi"/>
                <w:bCs/>
                <w:sz w:val="20"/>
                <w:szCs w:val="20"/>
                <w:lang w:val="en-US"/>
              </w:rPr>
            </w:pPr>
            <w:r w:rsidRPr="00AB2C1B">
              <w:rPr>
                <w:rFonts w:asciiTheme="minorHAnsi" w:hAnsiTheme="minorHAnsi" w:cstheme="minorHAnsi"/>
                <w:b/>
                <w:bCs/>
                <w:sz w:val="20"/>
                <w:szCs w:val="20"/>
                <w:lang w:val="en-US"/>
              </w:rPr>
              <w:lastRenderedPageBreak/>
              <w:t>Article 6</w:t>
            </w:r>
            <w:r w:rsidRPr="00AB2C1B">
              <w:rPr>
                <w:rFonts w:asciiTheme="minorHAnsi" w:hAnsiTheme="minorHAnsi" w:cstheme="minorHAnsi"/>
                <w:bCs/>
                <w:sz w:val="20"/>
                <w:szCs w:val="20"/>
                <w:lang w:val="en-US"/>
              </w:rPr>
              <w:t xml:space="preserve"> </w:t>
            </w:r>
          </w:p>
        </w:tc>
        <w:tc>
          <w:tcPr>
            <w:tcW w:w="2693" w:type="dxa"/>
          </w:tcPr>
          <w:p w14:paraId="5BF421AB" w14:textId="5FD53EA6" w:rsidR="00C42C37" w:rsidRPr="00AB2C1B" w:rsidRDefault="00D232E5">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49</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6.1</w:t>
            </w:r>
            <w:r w:rsidRPr="00AB2C1B">
              <w:rPr>
                <w:rFonts w:asciiTheme="minorHAnsi" w:hAnsiTheme="minorHAnsi" w:cstheme="minorHAnsi"/>
                <w:sz w:val="20"/>
                <w:szCs w:val="20"/>
                <w:lang w:val="fr-CH"/>
              </w:rPr>
              <w:tab/>
              <w:t xml:space="preserve">Les </w:t>
            </w:r>
            <w:r w:rsidR="006804DF" w:rsidRPr="00AB2C1B">
              <w:rPr>
                <w:rFonts w:asciiTheme="minorHAnsi" w:hAnsiTheme="minorHAnsi" w:cstheme="minorHAnsi"/>
                <w:sz w:val="20"/>
                <w:szCs w:val="20"/>
                <w:lang w:val="fr-CH"/>
              </w:rPr>
              <w:t>É</w:t>
            </w:r>
            <w:r w:rsidRPr="00AB2C1B">
              <w:rPr>
                <w:rFonts w:asciiTheme="minorHAnsi" w:hAnsiTheme="minorHAnsi" w:cstheme="minorHAnsi"/>
                <w:sz w:val="20"/>
                <w:szCs w:val="20"/>
                <w:lang w:val="fr-CH"/>
              </w:rPr>
              <w:t>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p>
        </w:tc>
        <w:tc>
          <w:tcPr>
            <w:tcW w:w="3261" w:type="dxa"/>
          </w:tcPr>
          <w:p w14:paraId="3D4C001B" w14:textId="071979B6" w:rsidR="00C42C37" w:rsidRPr="00AB2C1B" w:rsidRDefault="00F83D54">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5701BA"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tcPr>
          <w:p w14:paraId="7DA2886E" w14:textId="685FB867" w:rsidR="00C42C37" w:rsidRPr="00AF7DF3" w:rsidRDefault="00AF7DF3" w:rsidP="007A374D">
            <w:pPr>
              <w:spacing w:before="40"/>
              <w:ind w:left="176" w:hanging="176"/>
              <w:rPr>
                <w:sz w:val="20"/>
                <w:szCs w:val="20"/>
              </w:rPr>
            </w:pPr>
            <w:r w:rsidRPr="00AF7DF3">
              <w:rPr>
                <w:sz w:val="20"/>
                <w:szCs w:val="20"/>
              </w:rPr>
              <w:t>•</w:t>
            </w:r>
            <w:r w:rsidRPr="00AF7DF3">
              <w:rPr>
                <w:sz w:val="20"/>
                <w:szCs w:val="20"/>
              </w:rPr>
              <w:tab/>
            </w:r>
            <w:r w:rsidR="00A05BAA" w:rsidRPr="00AF7DF3">
              <w:rPr>
                <w:sz w:val="20"/>
                <w:szCs w:val="20"/>
              </w:rPr>
              <w:t xml:space="preserve">Il est proposé de remplacer le terme "efficace" par </w:t>
            </w:r>
            <w:r w:rsidR="002A3E94" w:rsidRPr="00AF7DF3">
              <w:rPr>
                <w:sz w:val="20"/>
                <w:szCs w:val="20"/>
              </w:rPr>
              <w:t xml:space="preserve">le terme </w:t>
            </w:r>
            <w:r w:rsidR="00A05BAA" w:rsidRPr="00AF7DF3">
              <w:rPr>
                <w:sz w:val="20"/>
                <w:szCs w:val="20"/>
              </w:rPr>
              <w:t xml:space="preserve">"efficiente". La sécurité et la robustesse des réseaux moyennant la coopération internationale sont essentielles au développement des réseaux de télécommunication. </w:t>
            </w:r>
          </w:p>
          <w:p w14:paraId="5F58E164" w14:textId="414454C3" w:rsidR="00C42C37" w:rsidRPr="00AB2C1B" w:rsidRDefault="00AF7DF3"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5701BA" w:rsidRPr="00AF7DF3">
              <w:rPr>
                <w:sz w:val="20"/>
                <w:szCs w:val="20"/>
              </w:rPr>
              <w:t xml:space="preserve">La disposition </w:t>
            </w:r>
            <w:r w:rsidR="00C42C37" w:rsidRPr="00AF7DF3">
              <w:rPr>
                <w:sz w:val="20"/>
                <w:szCs w:val="20"/>
              </w:rPr>
              <w:t xml:space="preserve">6.1 </w:t>
            </w:r>
            <w:r w:rsidR="00D631D0" w:rsidRPr="00AF7DF3">
              <w:rPr>
                <w:sz w:val="20"/>
                <w:szCs w:val="20"/>
              </w:rPr>
              <w:t>est toujours</w:t>
            </w:r>
            <w:r w:rsidR="00F229DA" w:rsidRPr="00AF7DF3">
              <w:rPr>
                <w:sz w:val="20"/>
                <w:szCs w:val="20"/>
              </w:rPr>
              <w:t xml:space="preserve"> applicable pour ce qui est de</w:t>
            </w:r>
            <w:r w:rsidR="006F1234" w:rsidRPr="00AF7DF3">
              <w:rPr>
                <w:sz w:val="20"/>
                <w:szCs w:val="20"/>
              </w:rPr>
              <w:t xml:space="preserve"> </w:t>
            </w:r>
            <w:r w:rsidR="00A05BAA" w:rsidRPr="00AF7DF3">
              <w:rPr>
                <w:sz w:val="20"/>
                <w:szCs w:val="20"/>
              </w:rPr>
              <w:t>favoriser la fourniture de</w:t>
            </w:r>
            <w:r w:rsidR="00BA2DA0" w:rsidRPr="00AF7DF3">
              <w:rPr>
                <w:sz w:val="20"/>
                <w:szCs w:val="20"/>
              </w:rPr>
              <w:t>s</w:t>
            </w:r>
            <w:r w:rsidR="00A05BAA" w:rsidRPr="00AF7DF3">
              <w:rPr>
                <w:sz w:val="20"/>
                <w:szCs w:val="20"/>
              </w:rPr>
              <w:t xml:space="preserve"> réseaux et de</w:t>
            </w:r>
            <w:r w:rsidR="00BA2DA0" w:rsidRPr="00AF7DF3">
              <w:rPr>
                <w:sz w:val="20"/>
                <w:szCs w:val="20"/>
              </w:rPr>
              <w:t>s</w:t>
            </w:r>
            <w:r w:rsidR="00A05BAA" w:rsidRPr="00AF7DF3">
              <w:rPr>
                <w:sz w:val="20"/>
                <w:szCs w:val="20"/>
              </w:rPr>
              <w:t xml:space="preserve"> services.</w:t>
            </w:r>
            <w:r w:rsidR="00A05BAA" w:rsidRPr="00AB2C1B">
              <w:rPr>
                <w:rFonts w:asciiTheme="minorHAnsi" w:hAnsiTheme="minorHAnsi" w:cstheme="minorHAnsi"/>
                <w:bCs/>
                <w:sz w:val="20"/>
                <w:szCs w:val="20"/>
              </w:rPr>
              <w:t xml:space="preserve"> </w:t>
            </w:r>
          </w:p>
        </w:tc>
        <w:tc>
          <w:tcPr>
            <w:tcW w:w="2410" w:type="dxa"/>
          </w:tcPr>
          <w:p w14:paraId="704125A2" w14:textId="0761CD77" w:rsidR="00C42C37" w:rsidRPr="00AB2C1B" w:rsidRDefault="00A05BAA" w:rsidP="00AF7DF3">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Offre suffisamment de souplesse</w:t>
            </w:r>
            <w:r w:rsidR="00C42C37" w:rsidRPr="00AB2C1B">
              <w:rPr>
                <w:rFonts w:asciiTheme="minorHAnsi" w:hAnsiTheme="minorHAnsi" w:cstheme="minorHAnsi"/>
                <w:bCs/>
                <w:sz w:val="20"/>
                <w:szCs w:val="20"/>
                <w:lang w:val="en-US"/>
              </w:rPr>
              <w:t xml:space="preserve">. </w:t>
            </w:r>
          </w:p>
        </w:tc>
        <w:tc>
          <w:tcPr>
            <w:tcW w:w="1842" w:type="dxa"/>
          </w:tcPr>
          <w:p w14:paraId="5752BA8E" w14:textId="2F889303" w:rsidR="00C42C37" w:rsidRPr="00AB2C1B" w:rsidRDefault="00A05BAA" w:rsidP="00AF7DF3">
            <w:pPr>
              <w:spacing w:before="40" w:after="40"/>
              <w:ind w:left="41"/>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Modification requise</w:t>
            </w:r>
            <w:r w:rsidR="00C42C37" w:rsidRPr="00AB2C1B">
              <w:rPr>
                <w:rFonts w:asciiTheme="minorHAnsi" w:hAnsiTheme="minorHAnsi" w:cstheme="minorHAnsi"/>
                <w:b/>
                <w:bCs/>
                <w:sz w:val="20"/>
                <w:szCs w:val="20"/>
                <w:lang w:val="en-US"/>
              </w:rPr>
              <w:t>.</w:t>
            </w:r>
          </w:p>
        </w:tc>
      </w:tr>
      <w:tr w:rsidR="00C42C37" w:rsidRPr="00291C45" w14:paraId="607EBB85" w14:textId="77777777" w:rsidTr="00AF7DF3">
        <w:trPr>
          <w:cantSplit/>
          <w:trHeight w:val="153"/>
        </w:trPr>
        <w:tc>
          <w:tcPr>
            <w:tcW w:w="1418" w:type="dxa"/>
          </w:tcPr>
          <w:p w14:paraId="72613ABD" w14:textId="77777777" w:rsidR="00C42C37" w:rsidRPr="00AB2C1B" w:rsidRDefault="00C42C37" w:rsidP="00AF7DF3">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7 </w:t>
            </w:r>
          </w:p>
        </w:tc>
        <w:tc>
          <w:tcPr>
            <w:tcW w:w="2693" w:type="dxa"/>
          </w:tcPr>
          <w:p w14:paraId="762F3358" w14:textId="27A20B9F" w:rsidR="00C42C37" w:rsidRPr="00AB2C1B" w:rsidRDefault="00D232E5">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50</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7.1</w:t>
            </w:r>
            <w:r w:rsidRPr="00AB2C1B">
              <w:rPr>
                <w:rFonts w:asciiTheme="minorHAnsi" w:hAnsiTheme="minorHAnsi" w:cstheme="minorHAnsi"/>
                <w:sz w:val="20"/>
                <w:szCs w:val="20"/>
                <w:lang w:val="fr-CH"/>
              </w:rPr>
              <w:tab/>
              <w:t xml:space="preserve">Les </w:t>
            </w:r>
            <w:r w:rsidR="00BA2DA0" w:rsidRPr="00AB2C1B">
              <w:rPr>
                <w:rFonts w:asciiTheme="minorHAnsi" w:hAnsiTheme="minorHAnsi" w:cstheme="minorHAnsi"/>
                <w:sz w:val="20"/>
                <w:szCs w:val="20"/>
                <w:lang w:val="fr-CH"/>
              </w:rPr>
              <w:t>É</w:t>
            </w:r>
            <w:r w:rsidRPr="00AB2C1B">
              <w:rPr>
                <w:rFonts w:asciiTheme="minorHAnsi" w:hAnsiTheme="minorHAnsi" w:cstheme="minorHAnsi"/>
                <w:sz w:val="20"/>
                <w:szCs w:val="20"/>
                <w:lang w:val="fr-CH"/>
              </w:rPr>
              <w:t>tats Membres devraient s'efforcer de prendre les mesures nécessaires pour empêcher la propagation de communications électroniques non sollicitées envoyées en masse et en réduire autant que possible l'incidence sur les services internationaux de télécommunication.</w:t>
            </w:r>
          </w:p>
        </w:tc>
        <w:tc>
          <w:tcPr>
            <w:tcW w:w="3261" w:type="dxa"/>
          </w:tcPr>
          <w:p w14:paraId="061C93F1" w14:textId="36D0CFED" w:rsidR="00C42C37" w:rsidRPr="00AB2C1B" w:rsidRDefault="00F83D54">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5701BA"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tcPr>
          <w:p w14:paraId="5FB87DE3" w14:textId="769F2367" w:rsidR="00D46F8B" w:rsidRPr="00AF7DF3" w:rsidRDefault="00AF7DF3" w:rsidP="007A374D">
            <w:pPr>
              <w:spacing w:before="40"/>
              <w:ind w:left="176" w:hanging="176"/>
              <w:rPr>
                <w:sz w:val="20"/>
                <w:szCs w:val="20"/>
              </w:rPr>
            </w:pPr>
            <w:r w:rsidRPr="00AF7DF3">
              <w:rPr>
                <w:sz w:val="20"/>
                <w:szCs w:val="20"/>
              </w:rPr>
              <w:t>•</w:t>
            </w:r>
            <w:r w:rsidRPr="00AF7DF3">
              <w:rPr>
                <w:sz w:val="20"/>
                <w:szCs w:val="20"/>
              </w:rPr>
              <w:tab/>
            </w:r>
            <w:r w:rsidR="006F1234" w:rsidRPr="00AF7DF3">
              <w:rPr>
                <w:sz w:val="20"/>
                <w:szCs w:val="20"/>
              </w:rPr>
              <w:t xml:space="preserve">Les communications électroniques non sollicitées envoyées en masse </w:t>
            </w:r>
            <w:r w:rsidR="005701BA" w:rsidRPr="00AF7DF3">
              <w:rPr>
                <w:sz w:val="20"/>
                <w:szCs w:val="20"/>
              </w:rPr>
              <w:t>risquent</w:t>
            </w:r>
            <w:r w:rsidR="006F1234" w:rsidRPr="00AF7DF3">
              <w:rPr>
                <w:sz w:val="20"/>
                <w:szCs w:val="20"/>
              </w:rPr>
              <w:t xml:space="preserve"> de nuire aux </w:t>
            </w:r>
            <w:r w:rsidR="005701BA" w:rsidRPr="00AF7DF3">
              <w:rPr>
                <w:sz w:val="20"/>
                <w:szCs w:val="20"/>
              </w:rPr>
              <w:t xml:space="preserve">opérateurs </w:t>
            </w:r>
            <w:r w:rsidR="006F1234" w:rsidRPr="00AF7DF3">
              <w:rPr>
                <w:sz w:val="20"/>
                <w:szCs w:val="20"/>
              </w:rPr>
              <w:t>et aux utilisateurs de</w:t>
            </w:r>
            <w:r w:rsidR="005701BA" w:rsidRPr="00AF7DF3">
              <w:rPr>
                <w:sz w:val="20"/>
                <w:szCs w:val="20"/>
              </w:rPr>
              <w:t>s</w:t>
            </w:r>
            <w:r w:rsidR="006F1234" w:rsidRPr="00AF7DF3">
              <w:rPr>
                <w:sz w:val="20"/>
                <w:szCs w:val="20"/>
              </w:rPr>
              <w:t xml:space="preserve"> télécommunications.</w:t>
            </w:r>
          </w:p>
          <w:p w14:paraId="7373F36C" w14:textId="7FAB9538" w:rsidR="00C42C37" w:rsidRPr="00AB2C1B" w:rsidRDefault="00AF7DF3"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5701BA" w:rsidRPr="00AF7DF3">
              <w:rPr>
                <w:sz w:val="20"/>
                <w:szCs w:val="20"/>
              </w:rPr>
              <w:t xml:space="preserve">La disposition </w:t>
            </w:r>
            <w:r w:rsidR="006F1234" w:rsidRPr="00AF7DF3">
              <w:rPr>
                <w:sz w:val="20"/>
                <w:szCs w:val="20"/>
              </w:rPr>
              <w:t xml:space="preserve">7.1 </w:t>
            </w:r>
            <w:r w:rsidR="00C646A2" w:rsidRPr="00AF7DF3">
              <w:rPr>
                <w:sz w:val="20"/>
                <w:szCs w:val="20"/>
              </w:rPr>
              <w:t>est toujours</w:t>
            </w:r>
            <w:r w:rsidR="00102C77" w:rsidRPr="00AF7DF3">
              <w:rPr>
                <w:sz w:val="20"/>
                <w:szCs w:val="20"/>
              </w:rPr>
              <w:t xml:space="preserve"> applicable pour ce qui est de </w:t>
            </w:r>
            <w:r w:rsidR="006F1234" w:rsidRPr="00AF7DF3">
              <w:rPr>
                <w:sz w:val="20"/>
                <w:szCs w:val="20"/>
              </w:rPr>
              <w:t xml:space="preserve">favoriser la fourniture </w:t>
            </w:r>
            <w:r w:rsidR="00D46F8B" w:rsidRPr="00AF7DF3">
              <w:rPr>
                <w:sz w:val="20"/>
                <w:szCs w:val="20"/>
              </w:rPr>
              <w:t xml:space="preserve">et le développement </w:t>
            </w:r>
            <w:r w:rsidR="006F1234" w:rsidRPr="00AF7DF3">
              <w:rPr>
                <w:sz w:val="20"/>
                <w:szCs w:val="20"/>
              </w:rPr>
              <w:t>de</w:t>
            </w:r>
            <w:r w:rsidR="00D46F8B" w:rsidRPr="00AF7DF3">
              <w:rPr>
                <w:sz w:val="20"/>
                <w:szCs w:val="20"/>
              </w:rPr>
              <w:t>s</w:t>
            </w:r>
            <w:r w:rsidR="006F1234" w:rsidRPr="00AF7DF3">
              <w:rPr>
                <w:sz w:val="20"/>
                <w:szCs w:val="20"/>
              </w:rPr>
              <w:t xml:space="preserve"> réseaux et de</w:t>
            </w:r>
            <w:r w:rsidR="00D46F8B" w:rsidRPr="00AF7DF3">
              <w:rPr>
                <w:sz w:val="20"/>
                <w:szCs w:val="20"/>
              </w:rPr>
              <w:t>s</w:t>
            </w:r>
            <w:r w:rsidR="006F1234" w:rsidRPr="00AF7DF3">
              <w:rPr>
                <w:sz w:val="20"/>
                <w:szCs w:val="20"/>
              </w:rPr>
              <w:t xml:space="preserve"> services.</w:t>
            </w:r>
          </w:p>
        </w:tc>
        <w:tc>
          <w:tcPr>
            <w:tcW w:w="2410" w:type="dxa"/>
          </w:tcPr>
          <w:p w14:paraId="53AA4078" w14:textId="5B1B4CAD" w:rsidR="00C42C37" w:rsidRPr="00AB2C1B" w:rsidRDefault="00DD3A00" w:rsidP="00AF7DF3">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Offre une souplesse suffisante</w:t>
            </w:r>
            <w:r w:rsidR="00C42C37" w:rsidRPr="00AB2C1B">
              <w:rPr>
                <w:rFonts w:asciiTheme="minorHAnsi" w:hAnsiTheme="minorHAnsi" w:cstheme="minorHAnsi"/>
                <w:bCs/>
                <w:sz w:val="20"/>
                <w:szCs w:val="20"/>
                <w:lang w:val="en-US"/>
              </w:rPr>
              <w:t xml:space="preserve">. </w:t>
            </w:r>
          </w:p>
        </w:tc>
        <w:tc>
          <w:tcPr>
            <w:tcW w:w="1842" w:type="dxa"/>
          </w:tcPr>
          <w:p w14:paraId="2DFD10EA" w14:textId="0C52C1D1" w:rsidR="00C42C37" w:rsidRPr="00AB2C1B" w:rsidRDefault="00F83D54" w:rsidP="00AF7DF3">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Pas de modification requise.</w:t>
            </w:r>
          </w:p>
        </w:tc>
      </w:tr>
      <w:tr w:rsidR="00F83D54" w:rsidRPr="00291C45" w14:paraId="37390D9E" w14:textId="77777777" w:rsidTr="00AF7DF3">
        <w:trPr>
          <w:cantSplit/>
          <w:trHeight w:val="153"/>
        </w:trPr>
        <w:tc>
          <w:tcPr>
            <w:tcW w:w="1418" w:type="dxa"/>
          </w:tcPr>
          <w:p w14:paraId="78ECC756" w14:textId="77777777" w:rsidR="00F83D54" w:rsidRPr="00AB2C1B" w:rsidRDefault="00F83D54" w:rsidP="00AF7DF3">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7 </w:t>
            </w:r>
          </w:p>
        </w:tc>
        <w:tc>
          <w:tcPr>
            <w:tcW w:w="2693" w:type="dxa"/>
          </w:tcPr>
          <w:p w14:paraId="052A3BD1" w14:textId="1CC420E3" w:rsidR="00F83D54" w:rsidRPr="00AB2C1B" w:rsidRDefault="00F83D54">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51</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7.2</w:t>
            </w:r>
            <w:r w:rsidRPr="00AB2C1B">
              <w:rPr>
                <w:rFonts w:asciiTheme="minorHAnsi" w:hAnsiTheme="minorHAnsi" w:cstheme="minorHAnsi"/>
                <w:sz w:val="20"/>
                <w:szCs w:val="20"/>
                <w:lang w:val="fr-CH"/>
              </w:rPr>
              <w:tab/>
              <w:t xml:space="preserve">Les </w:t>
            </w:r>
            <w:r w:rsidR="00B669B6" w:rsidRPr="00AB2C1B">
              <w:rPr>
                <w:rFonts w:asciiTheme="minorHAnsi" w:hAnsiTheme="minorHAnsi" w:cstheme="minorHAnsi"/>
                <w:sz w:val="20"/>
                <w:szCs w:val="20"/>
                <w:lang w:val="fr-CH"/>
              </w:rPr>
              <w:t>É</w:t>
            </w:r>
            <w:r w:rsidRPr="00AB2C1B">
              <w:rPr>
                <w:rFonts w:asciiTheme="minorHAnsi" w:hAnsiTheme="minorHAnsi" w:cstheme="minorHAnsi"/>
                <w:sz w:val="20"/>
                <w:szCs w:val="20"/>
                <w:lang w:val="fr-CH"/>
              </w:rPr>
              <w:t>tats Membres sont encouragés à coopérer dans ce sens.</w:t>
            </w:r>
          </w:p>
        </w:tc>
        <w:tc>
          <w:tcPr>
            <w:tcW w:w="3261" w:type="dxa"/>
          </w:tcPr>
          <w:p w14:paraId="448979D7" w14:textId="7A2070AC" w:rsidR="00F83D54" w:rsidRPr="00AB2C1B" w:rsidRDefault="00F83D54">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5701BA"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tcPr>
          <w:p w14:paraId="3E4D3B41" w14:textId="3BAA8116" w:rsidR="00F83D54" w:rsidRPr="00AF7DF3" w:rsidRDefault="00AF7DF3" w:rsidP="007A374D">
            <w:pPr>
              <w:spacing w:before="40"/>
              <w:ind w:left="176" w:hanging="176"/>
              <w:rPr>
                <w:sz w:val="20"/>
                <w:szCs w:val="20"/>
              </w:rPr>
            </w:pPr>
            <w:r w:rsidRPr="00AF7DF3">
              <w:rPr>
                <w:sz w:val="20"/>
                <w:szCs w:val="20"/>
              </w:rPr>
              <w:t>•</w:t>
            </w:r>
            <w:r w:rsidRPr="00AF7DF3">
              <w:rPr>
                <w:sz w:val="20"/>
                <w:szCs w:val="20"/>
              </w:rPr>
              <w:tab/>
            </w:r>
            <w:r w:rsidR="00187322" w:rsidRPr="00AF7DF3">
              <w:rPr>
                <w:sz w:val="20"/>
                <w:szCs w:val="20"/>
              </w:rPr>
              <w:t>L</w:t>
            </w:r>
            <w:r w:rsidR="004013D6" w:rsidRPr="00AF7DF3">
              <w:rPr>
                <w:sz w:val="20"/>
                <w:szCs w:val="20"/>
              </w:rPr>
              <w:t xml:space="preserve">'absence </w:t>
            </w:r>
            <w:r w:rsidR="00187322" w:rsidRPr="00AF7DF3">
              <w:rPr>
                <w:sz w:val="20"/>
                <w:szCs w:val="20"/>
              </w:rPr>
              <w:t>de cette disposition pourrait avoir des effets néfastes pour</w:t>
            </w:r>
            <w:r w:rsidR="004013D6" w:rsidRPr="00AF7DF3">
              <w:rPr>
                <w:sz w:val="20"/>
                <w:szCs w:val="20"/>
              </w:rPr>
              <w:t xml:space="preserve"> les réseaux et les services de communication.</w:t>
            </w:r>
            <w:r w:rsidR="00F83D54" w:rsidRPr="00AF7DF3">
              <w:rPr>
                <w:sz w:val="20"/>
                <w:szCs w:val="20"/>
              </w:rPr>
              <w:t xml:space="preserve"> </w:t>
            </w:r>
          </w:p>
          <w:p w14:paraId="3EE71939" w14:textId="16B23A57" w:rsidR="00F83D54" w:rsidRPr="00AB2C1B" w:rsidRDefault="00AF7DF3"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187322" w:rsidRPr="00AF7DF3">
              <w:rPr>
                <w:sz w:val="20"/>
                <w:szCs w:val="20"/>
              </w:rPr>
              <w:t>Cette</w:t>
            </w:r>
            <w:r w:rsidR="00724139" w:rsidRPr="00AF7DF3">
              <w:rPr>
                <w:sz w:val="20"/>
                <w:szCs w:val="20"/>
              </w:rPr>
              <w:t xml:space="preserve"> disposition</w:t>
            </w:r>
            <w:r w:rsidR="00AA1158" w:rsidRPr="00AF7DF3">
              <w:rPr>
                <w:sz w:val="20"/>
                <w:szCs w:val="20"/>
              </w:rPr>
              <w:t xml:space="preserve"> </w:t>
            </w:r>
            <w:r w:rsidR="00C646A2" w:rsidRPr="00AF7DF3">
              <w:rPr>
                <w:sz w:val="20"/>
                <w:szCs w:val="20"/>
              </w:rPr>
              <w:t>est toujours</w:t>
            </w:r>
            <w:r w:rsidR="00583BCC" w:rsidRPr="00AF7DF3">
              <w:rPr>
                <w:sz w:val="20"/>
                <w:szCs w:val="20"/>
              </w:rPr>
              <w:t xml:space="preserve"> applicable pour ce qui est de favoriser </w:t>
            </w:r>
            <w:r w:rsidR="00AA1158" w:rsidRPr="00AF7DF3">
              <w:rPr>
                <w:sz w:val="20"/>
                <w:szCs w:val="20"/>
              </w:rPr>
              <w:t>la fourniture et le développement de</w:t>
            </w:r>
            <w:r w:rsidR="00DC2CA5" w:rsidRPr="00AF7DF3">
              <w:rPr>
                <w:sz w:val="20"/>
                <w:szCs w:val="20"/>
              </w:rPr>
              <w:t>s</w:t>
            </w:r>
            <w:r w:rsidR="00AA1158" w:rsidRPr="00AF7DF3">
              <w:rPr>
                <w:sz w:val="20"/>
                <w:szCs w:val="20"/>
              </w:rPr>
              <w:t xml:space="preserve"> réseaux et de</w:t>
            </w:r>
            <w:r w:rsidR="00DC2CA5" w:rsidRPr="00AF7DF3">
              <w:rPr>
                <w:sz w:val="20"/>
                <w:szCs w:val="20"/>
              </w:rPr>
              <w:t>s</w:t>
            </w:r>
            <w:r w:rsidR="00AA1158" w:rsidRPr="00AF7DF3">
              <w:rPr>
                <w:sz w:val="20"/>
                <w:szCs w:val="20"/>
              </w:rPr>
              <w:t xml:space="preserve"> services.</w:t>
            </w:r>
            <w:r w:rsidR="00F83D54" w:rsidRPr="00AB2C1B">
              <w:rPr>
                <w:rFonts w:asciiTheme="minorHAnsi" w:hAnsiTheme="minorHAnsi" w:cstheme="minorHAnsi"/>
                <w:bCs/>
                <w:sz w:val="20"/>
                <w:szCs w:val="20"/>
              </w:rPr>
              <w:t xml:space="preserve"> </w:t>
            </w:r>
          </w:p>
        </w:tc>
        <w:tc>
          <w:tcPr>
            <w:tcW w:w="2410" w:type="dxa"/>
          </w:tcPr>
          <w:p w14:paraId="4362472A" w14:textId="3FC51EC0" w:rsidR="00F83D54" w:rsidRPr="00AF7DF3" w:rsidRDefault="00AA1158" w:rsidP="00AF7DF3">
            <w:pPr>
              <w:spacing w:before="40" w:after="40"/>
              <w:rPr>
                <w:rFonts w:asciiTheme="minorHAnsi" w:hAnsiTheme="minorHAnsi" w:cstheme="minorHAnsi"/>
                <w:bCs/>
                <w:sz w:val="20"/>
                <w:szCs w:val="20"/>
              </w:rPr>
            </w:pPr>
            <w:r w:rsidRPr="00AF7DF3">
              <w:rPr>
                <w:rFonts w:asciiTheme="minorHAnsi" w:hAnsiTheme="minorHAnsi" w:cstheme="minorHAnsi"/>
                <w:bCs/>
                <w:sz w:val="20"/>
                <w:szCs w:val="20"/>
              </w:rPr>
              <w:t>Offre une souplesse suffisante</w:t>
            </w:r>
            <w:r w:rsidR="00F83D54" w:rsidRPr="00AF7DF3">
              <w:rPr>
                <w:rFonts w:asciiTheme="minorHAnsi" w:hAnsiTheme="minorHAnsi" w:cstheme="minorHAnsi"/>
                <w:bCs/>
                <w:sz w:val="20"/>
                <w:szCs w:val="20"/>
              </w:rPr>
              <w:t xml:space="preserve">. </w:t>
            </w:r>
          </w:p>
        </w:tc>
        <w:tc>
          <w:tcPr>
            <w:tcW w:w="1842" w:type="dxa"/>
          </w:tcPr>
          <w:p w14:paraId="3984D055" w14:textId="19E6AFE2" w:rsidR="00F83D54" w:rsidRPr="00AF7DF3" w:rsidRDefault="00F83D54" w:rsidP="00AF7DF3">
            <w:pPr>
              <w:spacing w:before="40" w:after="40"/>
              <w:rPr>
                <w:rFonts w:asciiTheme="minorHAnsi" w:hAnsiTheme="minorHAnsi" w:cstheme="minorHAnsi"/>
                <w:b/>
                <w:bCs/>
                <w:sz w:val="20"/>
                <w:szCs w:val="20"/>
              </w:rPr>
            </w:pPr>
            <w:r w:rsidRPr="00AF7DF3">
              <w:rPr>
                <w:rFonts w:asciiTheme="minorHAnsi" w:hAnsiTheme="minorHAnsi" w:cstheme="minorHAnsi"/>
                <w:b/>
                <w:bCs/>
                <w:sz w:val="20"/>
                <w:szCs w:val="20"/>
              </w:rPr>
              <w:t xml:space="preserve">Pas de modification requise. </w:t>
            </w:r>
          </w:p>
        </w:tc>
      </w:tr>
      <w:tr w:rsidR="00F83D54" w:rsidRPr="00E958CA" w14:paraId="18724FDB" w14:textId="77777777" w:rsidTr="00AF7DF3">
        <w:trPr>
          <w:cantSplit/>
          <w:trHeight w:val="153"/>
        </w:trPr>
        <w:tc>
          <w:tcPr>
            <w:tcW w:w="1418" w:type="dxa"/>
          </w:tcPr>
          <w:p w14:paraId="22CC3DD8" w14:textId="77777777" w:rsidR="00F83D54" w:rsidRPr="00AF7DF3" w:rsidRDefault="00F83D54" w:rsidP="00AF7DF3">
            <w:pPr>
              <w:spacing w:before="40" w:after="40"/>
              <w:contextualSpacing/>
              <w:rPr>
                <w:rFonts w:asciiTheme="minorHAnsi" w:hAnsiTheme="minorHAnsi" w:cstheme="minorHAnsi"/>
                <w:b/>
                <w:bCs/>
                <w:sz w:val="20"/>
                <w:szCs w:val="20"/>
              </w:rPr>
            </w:pPr>
            <w:r w:rsidRPr="00AF7DF3">
              <w:rPr>
                <w:rFonts w:asciiTheme="minorHAnsi" w:hAnsiTheme="minorHAnsi" w:cstheme="minorHAnsi"/>
                <w:b/>
                <w:bCs/>
                <w:sz w:val="20"/>
                <w:szCs w:val="20"/>
              </w:rPr>
              <w:lastRenderedPageBreak/>
              <w:t xml:space="preserve">Article 8 </w:t>
            </w:r>
          </w:p>
        </w:tc>
        <w:tc>
          <w:tcPr>
            <w:tcW w:w="2693" w:type="dxa"/>
          </w:tcPr>
          <w:p w14:paraId="7B171E4D" w14:textId="488033CD" w:rsidR="00F83D54" w:rsidRPr="00AB2C1B" w:rsidRDefault="00F83D54">
            <w:pPr>
              <w:spacing w:before="40" w:after="40"/>
              <w:contextualSpacing/>
              <w:rPr>
                <w:rFonts w:asciiTheme="minorHAnsi" w:hAnsiTheme="minorHAnsi" w:cstheme="minorHAnsi"/>
                <w:bCs/>
                <w:sz w:val="20"/>
                <w:szCs w:val="20"/>
              </w:rPr>
            </w:pPr>
            <w:r w:rsidRPr="00AB2C1B">
              <w:rPr>
                <w:rFonts w:asciiTheme="minorHAnsi" w:hAnsiTheme="minorHAnsi" w:cstheme="minorHAnsi"/>
                <w:b/>
                <w:bCs/>
                <w:sz w:val="20"/>
                <w:szCs w:val="20"/>
                <w:lang w:val="fr-CH"/>
              </w:rPr>
              <w:t>53</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8.1.1</w:t>
            </w:r>
            <w:r w:rsidRPr="00AB2C1B">
              <w:rPr>
                <w:rFonts w:asciiTheme="minorHAnsi" w:hAnsiTheme="minorHAnsi" w:cstheme="minorHAnsi"/>
                <w:sz w:val="20"/>
                <w:szCs w:val="20"/>
                <w:lang w:val="fr-CH"/>
              </w:rPr>
              <w:tab/>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tc>
        <w:tc>
          <w:tcPr>
            <w:tcW w:w="3261" w:type="dxa"/>
          </w:tcPr>
          <w:p w14:paraId="2D4DDC8C" w14:textId="4A206111" w:rsidR="00F83D54" w:rsidRPr="00AB2C1B" w:rsidRDefault="00F83D54">
            <w:pPr>
              <w:spacing w:before="40" w:after="40"/>
              <w:contextualSpacing/>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187322"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tcPr>
          <w:p w14:paraId="2C5511C3" w14:textId="36C8399B" w:rsidR="00F83D54" w:rsidRPr="00AF7DF3" w:rsidRDefault="00AF7DF3" w:rsidP="007A374D">
            <w:pPr>
              <w:spacing w:before="40"/>
              <w:ind w:left="176" w:hanging="176"/>
              <w:rPr>
                <w:sz w:val="20"/>
                <w:szCs w:val="20"/>
              </w:rPr>
            </w:pPr>
            <w:r w:rsidRPr="00AF7DF3">
              <w:rPr>
                <w:sz w:val="20"/>
                <w:szCs w:val="20"/>
              </w:rPr>
              <w:t>•</w:t>
            </w:r>
            <w:r w:rsidRPr="00AF7DF3">
              <w:rPr>
                <w:sz w:val="20"/>
                <w:szCs w:val="20"/>
              </w:rPr>
              <w:tab/>
            </w:r>
            <w:r w:rsidR="00187322" w:rsidRPr="00AF7DF3">
              <w:rPr>
                <w:sz w:val="20"/>
                <w:szCs w:val="20"/>
              </w:rPr>
              <w:t>Cette disposition</w:t>
            </w:r>
            <w:r w:rsidR="00583BCC" w:rsidRPr="00AF7DF3">
              <w:rPr>
                <w:sz w:val="20"/>
                <w:szCs w:val="20"/>
              </w:rPr>
              <w:t xml:space="preserve"> tient compte de la pratique existante et respecte le droit souverain de chaque État Membre </w:t>
            </w:r>
            <w:r w:rsidR="0040447E" w:rsidRPr="00AF7DF3">
              <w:rPr>
                <w:sz w:val="20"/>
                <w:szCs w:val="20"/>
              </w:rPr>
              <w:t>pour ce qui est des accords internationaux.</w:t>
            </w:r>
          </w:p>
          <w:p w14:paraId="56973975" w14:textId="157E45E8" w:rsidR="00F83D54" w:rsidRPr="00AB2C1B" w:rsidRDefault="00AF7DF3"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90764" w:rsidRPr="00AF7DF3">
              <w:rPr>
                <w:sz w:val="20"/>
                <w:szCs w:val="20"/>
              </w:rPr>
              <w:t xml:space="preserve">Cette </w:t>
            </w:r>
            <w:r w:rsidR="00CB3DCF" w:rsidRPr="00AF7DF3">
              <w:rPr>
                <w:sz w:val="20"/>
                <w:szCs w:val="20"/>
              </w:rPr>
              <w:t>disposition</w:t>
            </w:r>
            <w:r w:rsidR="0040447E" w:rsidRPr="00AF7DF3">
              <w:rPr>
                <w:sz w:val="20"/>
                <w:szCs w:val="20"/>
              </w:rPr>
              <w:t xml:space="preserve"> </w:t>
            </w:r>
            <w:r w:rsidR="00C646A2" w:rsidRPr="00AF7DF3">
              <w:rPr>
                <w:sz w:val="20"/>
                <w:szCs w:val="20"/>
              </w:rPr>
              <w:t>est toujours</w:t>
            </w:r>
            <w:r w:rsidR="0040447E" w:rsidRPr="00AF7DF3">
              <w:rPr>
                <w:sz w:val="20"/>
                <w:szCs w:val="20"/>
              </w:rPr>
              <w:t xml:space="preserve"> applicable</w:t>
            </w:r>
            <w:r w:rsidR="00F83D54" w:rsidRPr="00AF7DF3">
              <w:rPr>
                <w:sz w:val="20"/>
                <w:szCs w:val="20"/>
              </w:rPr>
              <w:t>.</w:t>
            </w:r>
            <w:r w:rsidR="00F83D54" w:rsidRPr="00AB2C1B">
              <w:rPr>
                <w:rFonts w:asciiTheme="minorHAnsi" w:hAnsiTheme="minorHAnsi" w:cstheme="minorHAnsi"/>
                <w:bCs/>
                <w:sz w:val="20"/>
                <w:szCs w:val="20"/>
              </w:rPr>
              <w:t xml:space="preserve"> </w:t>
            </w:r>
          </w:p>
        </w:tc>
        <w:tc>
          <w:tcPr>
            <w:tcW w:w="2410" w:type="dxa"/>
          </w:tcPr>
          <w:p w14:paraId="2496AD91" w14:textId="6F4174F0" w:rsidR="00F83D54" w:rsidRPr="00AB2C1B" w:rsidRDefault="00874D5D" w:rsidP="00AF7DF3">
            <w:pPr>
              <w:spacing w:before="40" w:after="40"/>
              <w:contextualSpacing/>
              <w:rPr>
                <w:rFonts w:asciiTheme="minorHAnsi" w:hAnsiTheme="minorHAnsi" w:cstheme="minorHAnsi"/>
                <w:bCs/>
                <w:sz w:val="20"/>
                <w:szCs w:val="20"/>
                <w:lang w:val="en-US"/>
              </w:rPr>
            </w:pPr>
            <w:r w:rsidRPr="00AB2C1B">
              <w:rPr>
                <w:rFonts w:asciiTheme="minorHAnsi" w:hAnsiTheme="minorHAnsi" w:cstheme="minorHAnsi"/>
                <w:bCs/>
                <w:sz w:val="20"/>
                <w:szCs w:val="20"/>
                <w:lang w:val="en-US"/>
              </w:rPr>
              <w:t>Offre une souplesse suffisante</w:t>
            </w:r>
            <w:r w:rsidR="00F83D54" w:rsidRPr="00AB2C1B">
              <w:rPr>
                <w:rFonts w:asciiTheme="minorHAnsi" w:hAnsiTheme="minorHAnsi" w:cstheme="minorHAnsi"/>
                <w:bCs/>
                <w:sz w:val="20"/>
                <w:szCs w:val="20"/>
                <w:lang w:val="en-US"/>
              </w:rPr>
              <w:t xml:space="preserve">. </w:t>
            </w:r>
          </w:p>
        </w:tc>
        <w:tc>
          <w:tcPr>
            <w:tcW w:w="1842" w:type="dxa"/>
          </w:tcPr>
          <w:p w14:paraId="23089122" w14:textId="38F866A6" w:rsidR="00F83D54" w:rsidRPr="00AF7DF3" w:rsidRDefault="00AF7DF3" w:rsidP="007A374D">
            <w:pPr>
              <w:spacing w:before="40"/>
              <w:ind w:left="176" w:hanging="176"/>
              <w:rPr>
                <w:b/>
                <w:sz w:val="20"/>
                <w:szCs w:val="20"/>
              </w:rPr>
            </w:pPr>
            <w:r w:rsidRPr="00AF7DF3">
              <w:rPr>
                <w:sz w:val="20"/>
                <w:szCs w:val="20"/>
              </w:rPr>
              <w:t>•</w:t>
            </w:r>
            <w:r w:rsidRPr="00AF7DF3">
              <w:rPr>
                <w:sz w:val="20"/>
                <w:szCs w:val="20"/>
              </w:rPr>
              <w:tab/>
            </w:r>
            <w:r w:rsidR="00F83D54" w:rsidRPr="00AF7DF3">
              <w:rPr>
                <w:b/>
                <w:sz w:val="20"/>
                <w:szCs w:val="20"/>
              </w:rPr>
              <w:t xml:space="preserve">Pas de modification requise. </w:t>
            </w:r>
          </w:p>
          <w:p w14:paraId="1AB47828" w14:textId="4244FE00" w:rsidR="00F83D54" w:rsidRPr="00AB2C1B" w:rsidRDefault="00AF7DF3"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90764" w:rsidRPr="00AF7DF3">
              <w:rPr>
                <w:sz w:val="20"/>
                <w:szCs w:val="20"/>
              </w:rPr>
              <w:t>Appuie</w:t>
            </w:r>
            <w:r w:rsidR="00E958CA" w:rsidRPr="00AF7DF3">
              <w:rPr>
                <w:sz w:val="20"/>
                <w:szCs w:val="20"/>
              </w:rPr>
              <w:t xml:space="preserve"> les arrangements établis dans le cadre d'accords commerciaux</w:t>
            </w:r>
            <w:r w:rsidR="00B90764" w:rsidRPr="00AF7DF3">
              <w:rPr>
                <w:sz w:val="20"/>
                <w:szCs w:val="20"/>
              </w:rPr>
              <w:t>, lesquels devraient être</w:t>
            </w:r>
            <w:r w:rsidR="00E958CA" w:rsidRPr="00AF7DF3">
              <w:rPr>
                <w:sz w:val="20"/>
                <w:szCs w:val="20"/>
              </w:rPr>
              <w:t xml:space="preserve"> </w:t>
            </w:r>
            <w:r w:rsidR="003032E3" w:rsidRPr="00AF7DF3">
              <w:rPr>
                <w:sz w:val="20"/>
                <w:szCs w:val="20"/>
              </w:rPr>
              <w:t>privilégi</w:t>
            </w:r>
            <w:r w:rsidR="00B90764" w:rsidRPr="00AF7DF3">
              <w:rPr>
                <w:sz w:val="20"/>
                <w:szCs w:val="20"/>
              </w:rPr>
              <w:t>és</w:t>
            </w:r>
            <w:r w:rsidR="003032E3" w:rsidRPr="00AF7DF3">
              <w:rPr>
                <w:sz w:val="20"/>
                <w:szCs w:val="20"/>
              </w:rPr>
              <w:t xml:space="preserve"> </w:t>
            </w:r>
            <w:r w:rsidR="00E958CA" w:rsidRPr="00AF7DF3">
              <w:rPr>
                <w:sz w:val="20"/>
                <w:szCs w:val="20"/>
              </w:rPr>
              <w:t xml:space="preserve">par rapport </w:t>
            </w:r>
            <w:r w:rsidR="00B90764" w:rsidRPr="00AF7DF3">
              <w:rPr>
                <w:sz w:val="20"/>
                <w:szCs w:val="20"/>
              </w:rPr>
              <w:t xml:space="preserve">à l'application des </w:t>
            </w:r>
            <w:r w:rsidR="00E958CA" w:rsidRPr="00AF7DF3">
              <w:rPr>
                <w:sz w:val="20"/>
                <w:szCs w:val="20"/>
              </w:rPr>
              <w:t>principe</w:t>
            </w:r>
            <w:r w:rsidR="00DE3850" w:rsidRPr="00AF7DF3">
              <w:rPr>
                <w:sz w:val="20"/>
                <w:szCs w:val="20"/>
              </w:rPr>
              <w:t xml:space="preserve">s relatifs </w:t>
            </w:r>
            <w:r w:rsidR="004379DB" w:rsidRPr="00AF7DF3">
              <w:rPr>
                <w:sz w:val="20"/>
                <w:szCs w:val="20"/>
              </w:rPr>
              <w:t>aux taxes</w:t>
            </w:r>
            <w:r w:rsidR="00E958CA" w:rsidRPr="00AF7DF3">
              <w:rPr>
                <w:sz w:val="20"/>
                <w:szCs w:val="20"/>
              </w:rPr>
              <w:t xml:space="preserve"> de répartition</w:t>
            </w:r>
            <w:r w:rsidR="00F83D54" w:rsidRPr="00AF7DF3">
              <w:rPr>
                <w:sz w:val="20"/>
                <w:szCs w:val="20"/>
              </w:rPr>
              <w:t>.</w:t>
            </w:r>
          </w:p>
        </w:tc>
      </w:tr>
      <w:tr w:rsidR="00F83D54" w:rsidRPr="00291C45" w14:paraId="3204863A" w14:textId="77777777" w:rsidTr="00AF7DF3">
        <w:trPr>
          <w:cantSplit/>
          <w:trHeight w:val="153"/>
        </w:trPr>
        <w:tc>
          <w:tcPr>
            <w:tcW w:w="1418" w:type="dxa"/>
          </w:tcPr>
          <w:p w14:paraId="746E364F"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8 </w:t>
            </w:r>
          </w:p>
        </w:tc>
        <w:tc>
          <w:tcPr>
            <w:tcW w:w="2693" w:type="dxa"/>
          </w:tcPr>
          <w:p w14:paraId="07AE06FD" w14:textId="466D5BA3" w:rsidR="00F83D54" w:rsidRPr="00AB2C1B" w:rsidRDefault="00F83D54">
            <w:pPr>
              <w:spacing w:before="40" w:after="40"/>
              <w:contextualSpacing/>
              <w:rPr>
                <w:rFonts w:asciiTheme="minorHAnsi" w:hAnsiTheme="minorHAnsi" w:cstheme="minorHAnsi"/>
                <w:bCs/>
                <w:sz w:val="20"/>
                <w:szCs w:val="20"/>
              </w:rPr>
            </w:pPr>
            <w:r w:rsidRPr="00AB2C1B">
              <w:rPr>
                <w:rFonts w:asciiTheme="minorHAnsi" w:hAnsiTheme="minorHAnsi" w:cstheme="minorHAnsi"/>
                <w:b/>
                <w:bCs/>
                <w:sz w:val="20"/>
                <w:szCs w:val="20"/>
                <w:lang w:val="fr-CH"/>
              </w:rPr>
              <w:t>54</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8.1.2</w:t>
            </w:r>
            <w:r w:rsidRPr="00AB2C1B">
              <w:rPr>
                <w:rFonts w:asciiTheme="minorHAnsi" w:hAnsiTheme="minorHAnsi" w:cstheme="minorHAnsi"/>
                <w:sz w:val="20"/>
                <w:szCs w:val="20"/>
                <w:lang w:val="fr-CH"/>
              </w:rPr>
              <w:tab/>
              <w:t xml:space="preserve">Les </w:t>
            </w:r>
            <w:r w:rsidR="00A13A93" w:rsidRPr="00AB2C1B">
              <w:rPr>
                <w:rFonts w:asciiTheme="minorHAnsi" w:hAnsiTheme="minorHAnsi" w:cstheme="minorHAnsi"/>
                <w:sz w:val="20"/>
                <w:szCs w:val="20"/>
                <w:lang w:val="fr-CH"/>
              </w:rPr>
              <w:t>É</w:t>
            </w:r>
            <w:r w:rsidRPr="00AB2C1B">
              <w:rPr>
                <w:rFonts w:asciiTheme="minorHAnsi" w:hAnsiTheme="minorHAnsi" w:cstheme="minorHAnsi"/>
                <w:sz w:val="20"/>
                <w:szCs w:val="20"/>
                <w:lang w:val="fr-CH"/>
              </w:rPr>
              <w:t>tats Membres s'efforcent d'encourager les investissements dans les réseaux internationaux de télécommunication et de promouvoir une tarification de gros concurrentielle pour le trafic acheminé sur ces réseaux de télécommunication.</w:t>
            </w:r>
          </w:p>
        </w:tc>
        <w:tc>
          <w:tcPr>
            <w:tcW w:w="3261" w:type="dxa"/>
          </w:tcPr>
          <w:p w14:paraId="79C6BEB0" w14:textId="6CE3B66A" w:rsidR="00F83D54" w:rsidRPr="00AB2C1B" w:rsidRDefault="00F83D54">
            <w:pPr>
              <w:spacing w:before="40" w:after="40"/>
              <w:contextualSpacing/>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B90764"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tcPr>
          <w:p w14:paraId="69C346E4" w14:textId="47AFB160" w:rsidR="00F83D54" w:rsidRPr="00AF7DF3" w:rsidRDefault="00C72908" w:rsidP="007A374D">
            <w:pPr>
              <w:spacing w:before="40"/>
              <w:ind w:left="176" w:hanging="176"/>
              <w:rPr>
                <w:sz w:val="20"/>
                <w:szCs w:val="20"/>
              </w:rPr>
            </w:pPr>
            <w:r w:rsidRPr="00AF7DF3">
              <w:rPr>
                <w:sz w:val="20"/>
                <w:szCs w:val="20"/>
              </w:rPr>
              <w:t>•</w:t>
            </w:r>
            <w:r w:rsidRPr="00AF7DF3">
              <w:rPr>
                <w:sz w:val="20"/>
                <w:szCs w:val="20"/>
              </w:rPr>
              <w:tab/>
            </w:r>
            <w:r w:rsidR="00E958CA" w:rsidRPr="00AF7DF3">
              <w:rPr>
                <w:sz w:val="20"/>
                <w:szCs w:val="20"/>
              </w:rPr>
              <w:t>Pour favoriser la fourniture et le développement de</w:t>
            </w:r>
            <w:r w:rsidR="00B90764" w:rsidRPr="00AF7DF3">
              <w:rPr>
                <w:sz w:val="20"/>
                <w:szCs w:val="20"/>
              </w:rPr>
              <w:t>s</w:t>
            </w:r>
            <w:r w:rsidR="00E958CA" w:rsidRPr="00AF7DF3">
              <w:rPr>
                <w:sz w:val="20"/>
                <w:szCs w:val="20"/>
              </w:rPr>
              <w:t xml:space="preserve"> réseaux et de</w:t>
            </w:r>
            <w:r w:rsidR="00B90764" w:rsidRPr="00AF7DF3">
              <w:rPr>
                <w:sz w:val="20"/>
                <w:szCs w:val="20"/>
              </w:rPr>
              <w:t>s</w:t>
            </w:r>
            <w:r w:rsidR="00E958CA" w:rsidRPr="00AF7DF3">
              <w:rPr>
                <w:sz w:val="20"/>
                <w:szCs w:val="20"/>
              </w:rPr>
              <w:t xml:space="preserve"> services internationaux, les investisseurs </w:t>
            </w:r>
            <w:r w:rsidR="006D0729" w:rsidRPr="00AF7DF3">
              <w:rPr>
                <w:sz w:val="20"/>
                <w:szCs w:val="20"/>
              </w:rPr>
              <w:t xml:space="preserve">doivent </w:t>
            </w:r>
            <w:r w:rsidR="00E958CA" w:rsidRPr="00AF7DF3">
              <w:rPr>
                <w:sz w:val="20"/>
                <w:szCs w:val="20"/>
              </w:rPr>
              <w:t>obt</w:t>
            </w:r>
            <w:r w:rsidR="006D0729" w:rsidRPr="00AF7DF3">
              <w:rPr>
                <w:sz w:val="20"/>
                <w:szCs w:val="20"/>
              </w:rPr>
              <w:t xml:space="preserve">enir </w:t>
            </w:r>
            <w:r w:rsidR="00E958CA" w:rsidRPr="00AF7DF3">
              <w:rPr>
                <w:sz w:val="20"/>
                <w:szCs w:val="20"/>
              </w:rPr>
              <w:t xml:space="preserve">un retour sur investissement qui soit raisonnable. </w:t>
            </w:r>
          </w:p>
          <w:p w14:paraId="69EEC0F3" w14:textId="4E2ED3E9" w:rsidR="00F83D54" w:rsidRPr="00AB2C1B" w:rsidRDefault="00C72908"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90764" w:rsidRPr="00AF7DF3">
              <w:rPr>
                <w:sz w:val="20"/>
                <w:szCs w:val="20"/>
              </w:rPr>
              <w:t xml:space="preserve">Cette </w:t>
            </w:r>
            <w:r w:rsidR="007A29F7" w:rsidRPr="00AF7DF3">
              <w:rPr>
                <w:sz w:val="20"/>
                <w:szCs w:val="20"/>
              </w:rPr>
              <w:t>disposition</w:t>
            </w:r>
            <w:r w:rsidR="00E958CA" w:rsidRPr="00AF7DF3">
              <w:rPr>
                <w:sz w:val="20"/>
                <w:szCs w:val="20"/>
              </w:rPr>
              <w:t xml:space="preserve"> </w:t>
            </w:r>
            <w:r w:rsidR="00C646A2" w:rsidRPr="00AF7DF3">
              <w:rPr>
                <w:sz w:val="20"/>
                <w:szCs w:val="20"/>
              </w:rPr>
              <w:t>est toujours</w:t>
            </w:r>
            <w:r w:rsidR="00E958CA" w:rsidRPr="00AF7DF3">
              <w:rPr>
                <w:sz w:val="20"/>
                <w:szCs w:val="20"/>
              </w:rPr>
              <w:t xml:space="preserve"> applicable</w:t>
            </w:r>
            <w:r w:rsidR="00F83D54" w:rsidRPr="00AF7DF3">
              <w:rPr>
                <w:sz w:val="20"/>
                <w:szCs w:val="20"/>
              </w:rPr>
              <w:t>.</w:t>
            </w:r>
            <w:r w:rsidR="00F83D54" w:rsidRPr="00AB2C1B">
              <w:rPr>
                <w:rFonts w:asciiTheme="minorHAnsi" w:hAnsiTheme="minorHAnsi" w:cstheme="minorHAnsi"/>
                <w:bCs/>
                <w:sz w:val="20"/>
                <w:szCs w:val="20"/>
              </w:rPr>
              <w:t xml:space="preserve"> </w:t>
            </w:r>
          </w:p>
        </w:tc>
        <w:tc>
          <w:tcPr>
            <w:tcW w:w="2410" w:type="dxa"/>
          </w:tcPr>
          <w:p w14:paraId="7CE79D32" w14:textId="0C4404DF" w:rsidR="00F83D54" w:rsidRPr="00C72908" w:rsidRDefault="00C72908" w:rsidP="007A374D">
            <w:pPr>
              <w:spacing w:before="40"/>
              <w:ind w:left="176" w:hanging="176"/>
              <w:rPr>
                <w:sz w:val="20"/>
                <w:szCs w:val="20"/>
              </w:rPr>
            </w:pPr>
            <w:r w:rsidRPr="00AF7DF3">
              <w:rPr>
                <w:sz w:val="20"/>
                <w:szCs w:val="20"/>
              </w:rPr>
              <w:t>•</w:t>
            </w:r>
            <w:r w:rsidRPr="00AF7DF3">
              <w:rPr>
                <w:sz w:val="20"/>
                <w:szCs w:val="20"/>
              </w:rPr>
              <w:tab/>
            </w:r>
            <w:r w:rsidR="00E958CA" w:rsidRPr="00C72908">
              <w:rPr>
                <w:sz w:val="20"/>
                <w:szCs w:val="20"/>
              </w:rPr>
              <w:t>Offre une souplesse suffisante.</w:t>
            </w:r>
          </w:p>
          <w:p w14:paraId="5C868232" w14:textId="05C2D93F" w:rsidR="00F83D54" w:rsidRPr="00AB2C1B" w:rsidRDefault="00C72908"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F83D54" w:rsidRPr="00C72908">
              <w:rPr>
                <w:sz w:val="20"/>
                <w:szCs w:val="20"/>
              </w:rPr>
              <w:t>E</w:t>
            </w:r>
            <w:r w:rsidR="00E958CA" w:rsidRPr="00C72908">
              <w:rPr>
                <w:sz w:val="20"/>
                <w:szCs w:val="20"/>
              </w:rPr>
              <w:t xml:space="preserve">ncourage les investissements, la concurrence et des prix </w:t>
            </w:r>
            <w:r w:rsidR="004724B1" w:rsidRPr="00C72908">
              <w:rPr>
                <w:sz w:val="20"/>
                <w:szCs w:val="20"/>
              </w:rPr>
              <w:t>concurrentiels.</w:t>
            </w:r>
            <w:r w:rsidR="00F83D54" w:rsidRPr="00AB2C1B">
              <w:rPr>
                <w:rFonts w:asciiTheme="minorHAnsi" w:hAnsiTheme="minorHAnsi" w:cstheme="minorHAnsi"/>
                <w:bCs/>
                <w:sz w:val="20"/>
                <w:szCs w:val="20"/>
              </w:rPr>
              <w:t xml:space="preserve"> </w:t>
            </w:r>
          </w:p>
        </w:tc>
        <w:tc>
          <w:tcPr>
            <w:tcW w:w="1842" w:type="dxa"/>
          </w:tcPr>
          <w:p w14:paraId="699270F6" w14:textId="18447CA3" w:rsidR="00F83D54" w:rsidRPr="00AB2C1B" w:rsidRDefault="00F83D54" w:rsidP="007A374D">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44A3AC95" w14:textId="77777777" w:rsidTr="00AF7DF3">
        <w:trPr>
          <w:cantSplit/>
          <w:trHeight w:val="70"/>
        </w:trPr>
        <w:tc>
          <w:tcPr>
            <w:tcW w:w="1418" w:type="dxa"/>
          </w:tcPr>
          <w:p w14:paraId="729E3862"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lastRenderedPageBreak/>
              <w:t xml:space="preserve">Article 8 </w:t>
            </w:r>
          </w:p>
        </w:tc>
        <w:tc>
          <w:tcPr>
            <w:tcW w:w="2693" w:type="dxa"/>
          </w:tcPr>
          <w:p w14:paraId="22FD5BA8" w14:textId="3120DBAF" w:rsidR="00F83D54" w:rsidRPr="00AB2C1B" w:rsidRDefault="00F83D54">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57</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8.2.1</w:t>
            </w:r>
            <w:r w:rsidRPr="00AB2C1B">
              <w:rPr>
                <w:rFonts w:asciiTheme="minorHAnsi" w:hAnsiTheme="minorHAnsi" w:cstheme="minorHAnsi"/>
                <w:sz w:val="20"/>
                <w:szCs w:val="20"/>
                <w:lang w:val="fr-CH"/>
              </w:rPr>
              <w:tab/>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tc>
        <w:tc>
          <w:tcPr>
            <w:tcW w:w="3261" w:type="dxa"/>
          </w:tcPr>
          <w:p w14:paraId="05E70A3B" w14:textId="1F7D6FF0" w:rsidR="00F83D54" w:rsidRPr="00AB2C1B" w:rsidRDefault="00F83D54">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B90764"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tcPr>
          <w:p w14:paraId="51A35D28" w14:textId="497062C8" w:rsidR="00F83D54" w:rsidRPr="003D196F" w:rsidRDefault="003D196F" w:rsidP="007A374D">
            <w:pPr>
              <w:spacing w:before="40"/>
              <w:ind w:left="176" w:hanging="176"/>
              <w:rPr>
                <w:sz w:val="20"/>
                <w:szCs w:val="20"/>
              </w:rPr>
            </w:pPr>
            <w:r w:rsidRPr="00AF7DF3">
              <w:rPr>
                <w:sz w:val="20"/>
                <w:szCs w:val="20"/>
              </w:rPr>
              <w:t>•</w:t>
            </w:r>
            <w:r w:rsidRPr="00AF7DF3">
              <w:rPr>
                <w:sz w:val="20"/>
                <w:szCs w:val="20"/>
              </w:rPr>
              <w:tab/>
            </w:r>
            <w:r w:rsidR="004724B1" w:rsidRPr="003D196F">
              <w:rPr>
                <w:sz w:val="20"/>
                <w:szCs w:val="20"/>
              </w:rPr>
              <w:t>Permet l'établissement d'accords commerciaux.</w:t>
            </w:r>
          </w:p>
          <w:p w14:paraId="0339B1DC" w14:textId="5526FF47" w:rsidR="00F83D54" w:rsidRPr="00AB2C1B" w:rsidRDefault="003D196F"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90764" w:rsidRPr="003D196F">
              <w:rPr>
                <w:sz w:val="20"/>
                <w:szCs w:val="20"/>
              </w:rPr>
              <w:t>Cette</w:t>
            </w:r>
            <w:r w:rsidR="00FF38A5" w:rsidRPr="003D196F">
              <w:rPr>
                <w:sz w:val="20"/>
                <w:szCs w:val="20"/>
              </w:rPr>
              <w:t xml:space="preserve"> disposition</w:t>
            </w:r>
            <w:r w:rsidR="004724B1" w:rsidRPr="003D196F">
              <w:rPr>
                <w:sz w:val="20"/>
                <w:szCs w:val="20"/>
              </w:rPr>
              <w:t xml:space="preserve"> </w:t>
            </w:r>
            <w:r w:rsidR="00C646A2" w:rsidRPr="003D196F">
              <w:rPr>
                <w:sz w:val="20"/>
                <w:szCs w:val="20"/>
              </w:rPr>
              <w:t>est toujours</w:t>
            </w:r>
            <w:r w:rsidR="004724B1" w:rsidRPr="003D196F">
              <w:rPr>
                <w:sz w:val="20"/>
                <w:szCs w:val="20"/>
              </w:rPr>
              <w:t xml:space="preserve"> applicable</w:t>
            </w:r>
            <w:r w:rsidR="00F83D54" w:rsidRPr="003D196F">
              <w:rPr>
                <w:sz w:val="20"/>
                <w:szCs w:val="20"/>
              </w:rPr>
              <w:t xml:space="preserve">. </w:t>
            </w:r>
          </w:p>
        </w:tc>
        <w:tc>
          <w:tcPr>
            <w:tcW w:w="2410" w:type="dxa"/>
          </w:tcPr>
          <w:p w14:paraId="6F9B6369" w14:textId="05485FDD" w:rsidR="00F83D54" w:rsidRPr="003D196F" w:rsidRDefault="003D196F" w:rsidP="007A374D">
            <w:pPr>
              <w:spacing w:before="40"/>
              <w:ind w:left="176" w:hanging="176"/>
              <w:rPr>
                <w:sz w:val="20"/>
                <w:szCs w:val="20"/>
              </w:rPr>
            </w:pPr>
            <w:r w:rsidRPr="00AF7DF3">
              <w:rPr>
                <w:sz w:val="20"/>
                <w:szCs w:val="20"/>
              </w:rPr>
              <w:t>•</w:t>
            </w:r>
            <w:r w:rsidRPr="00AF7DF3">
              <w:rPr>
                <w:sz w:val="20"/>
                <w:szCs w:val="20"/>
              </w:rPr>
              <w:tab/>
            </w:r>
            <w:r w:rsidR="004724B1" w:rsidRPr="003D196F">
              <w:rPr>
                <w:sz w:val="20"/>
                <w:szCs w:val="20"/>
              </w:rPr>
              <w:t>Offre une souplesse suffisante</w:t>
            </w:r>
            <w:r w:rsidR="00F83D54" w:rsidRPr="003D196F">
              <w:rPr>
                <w:sz w:val="20"/>
                <w:szCs w:val="20"/>
              </w:rPr>
              <w:t>.</w:t>
            </w:r>
          </w:p>
          <w:p w14:paraId="6B59D3CE" w14:textId="69F6F983" w:rsidR="00F83D54" w:rsidRPr="003D196F" w:rsidRDefault="003D196F" w:rsidP="003D196F">
            <w:pPr>
              <w:spacing w:before="60"/>
              <w:ind w:left="176" w:hanging="176"/>
              <w:rPr>
                <w:sz w:val="20"/>
                <w:szCs w:val="20"/>
              </w:rPr>
            </w:pPr>
            <w:r w:rsidRPr="00AF7DF3">
              <w:rPr>
                <w:sz w:val="20"/>
                <w:szCs w:val="20"/>
              </w:rPr>
              <w:t>•</w:t>
            </w:r>
            <w:r w:rsidRPr="00AF7DF3">
              <w:rPr>
                <w:sz w:val="20"/>
                <w:szCs w:val="20"/>
              </w:rPr>
              <w:tab/>
            </w:r>
            <w:r w:rsidR="00DE3850" w:rsidRPr="003D196F">
              <w:rPr>
                <w:sz w:val="20"/>
                <w:szCs w:val="20"/>
              </w:rPr>
              <w:t>Il est nécessaire d'é</w:t>
            </w:r>
            <w:r w:rsidR="00A32F36" w:rsidRPr="003D196F">
              <w:rPr>
                <w:sz w:val="20"/>
                <w:szCs w:val="20"/>
              </w:rPr>
              <w:t xml:space="preserve">tudier </w:t>
            </w:r>
            <w:r w:rsidR="00DE3850" w:rsidRPr="003D196F">
              <w:rPr>
                <w:sz w:val="20"/>
                <w:szCs w:val="20"/>
              </w:rPr>
              <w:t xml:space="preserve">si des </w:t>
            </w:r>
            <w:r w:rsidR="00FF38A5" w:rsidRPr="003D196F">
              <w:rPr>
                <w:sz w:val="20"/>
                <w:szCs w:val="20"/>
              </w:rPr>
              <w:t xml:space="preserve">arrangements </w:t>
            </w:r>
            <w:r w:rsidR="00B90764" w:rsidRPr="003D196F">
              <w:rPr>
                <w:sz w:val="20"/>
                <w:szCs w:val="20"/>
              </w:rPr>
              <w:t>relatifs aux</w:t>
            </w:r>
            <w:r w:rsidR="00FF38A5" w:rsidRPr="003D196F">
              <w:rPr>
                <w:sz w:val="20"/>
                <w:szCs w:val="20"/>
              </w:rPr>
              <w:t xml:space="preserve"> télécommunications</w:t>
            </w:r>
            <w:r w:rsidR="00DE3850" w:rsidRPr="003D196F">
              <w:rPr>
                <w:sz w:val="20"/>
                <w:szCs w:val="20"/>
              </w:rPr>
              <w:t xml:space="preserve"> sont encore établis </w:t>
            </w:r>
            <w:r w:rsidR="004379DB" w:rsidRPr="003D196F">
              <w:rPr>
                <w:sz w:val="20"/>
                <w:szCs w:val="20"/>
              </w:rPr>
              <w:t>en vertu</w:t>
            </w:r>
            <w:r w:rsidR="00DE3850" w:rsidRPr="003D196F">
              <w:rPr>
                <w:sz w:val="20"/>
                <w:szCs w:val="20"/>
              </w:rPr>
              <w:t xml:space="preserve"> de</w:t>
            </w:r>
            <w:r w:rsidR="004379DB" w:rsidRPr="003D196F">
              <w:rPr>
                <w:sz w:val="20"/>
                <w:szCs w:val="20"/>
              </w:rPr>
              <w:t>s</w:t>
            </w:r>
            <w:r w:rsidR="00DE3850" w:rsidRPr="003D196F">
              <w:rPr>
                <w:sz w:val="20"/>
                <w:szCs w:val="20"/>
              </w:rPr>
              <w:t xml:space="preserve"> principes relatifs </w:t>
            </w:r>
            <w:r w:rsidR="00FE5CE3" w:rsidRPr="003D196F">
              <w:rPr>
                <w:sz w:val="20"/>
                <w:szCs w:val="20"/>
              </w:rPr>
              <w:t>aux taxes de répartition</w:t>
            </w:r>
            <w:r w:rsidR="00DE3850" w:rsidRPr="003D196F">
              <w:rPr>
                <w:sz w:val="20"/>
                <w:szCs w:val="20"/>
              </w:rPr>
              <w:t xml:space="preserve">. Dans le cas contraire, il convient d'envisager de réviser le texte de manière à tenir compte </w:t>
            </w:r>
            <w:r w:rsidR="00045F2E" w:rsidRPr="003D196F">
              <w:rPr>
                <w:sz w:val="20"/>
                <w:szCs w:val="20"/>
              </w:rPr>
              <w:t>seulement</w:t>
            </w:r>
            <w:r w:rsidR="00DE3850" w:rsidRPr="003D196F">
              <w:rPr>
                <w:sz w:val="20"/>
                <w:szCs w:val="20"/>
              </w:rPr>
              <w:t xml:space="preserve"> des accords commerciaux</w:t>
            </w:r>
            <w:r w:rsidR="00F83D54" w:rsidRPr="003D196F">
              <w:rPr>
                <w:sz w:val="20"/>
                <w:szCs w:val="20"/>
              </w:rPr>
              <w:t xml:space="preserve">. </w:t>
            </w:r>
            <w:r w:rsidR="00DE3850" w:rsidRPr="003D196F">
              <w:rPr>
                <w:sz w:val="20"/>
                <w:szCs w:val="20"/>
              </w:rPr>
              <w:t xml:space="preserve">La République sudafricaine effectue des transactions uniquement dans le cadre d'accords commerciaux. </w:t>
            </w:r>
            <w:r w:rsidR="00F83D54" w:rsidRPr="003D196F">
              <w:rPr>
                <w:sz w:val="20"/>
                <w:szCs w:val="20"/>
              </w:rPr>
              <w:t xml:space="preserve"> </w:t>
            </w:r>
          </w:p>
        </w:tc>
        <w:tc>
          <w:tcPr>
            <w:tcW w:w="1842" w:type="dxa"/>
          </w:tcPr>
          <w:p w14:paraId="028BB4CC" w14:textId="697D7F1C" w:rsidR="00F83D54" w:rsidRPr="00AB2C1B" w:rsidRDefault="00F83D54" w:rsidP="00AF7DF3">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0B5285E7" w14:textId="77777777" w:rsidTr="00AF7DF3">
        <w:trPr>
          <w:cantSplit/>
          <w:trHeight w:val="153"/>
        </w:trPr>
        <w:tc>
          <w:tcPr>
            <w:tcW w:w="1418" w:type="dxa"/>
          </w:tcPr>
          <w:p w14:paraId="5620ABFE"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8 </w:t>
            </w:r>
          </w:p>
        </w:tc>
        <w:tc>
          <w:tcPr>
            <w:tcW w:w="2693" w:type="dxa"/>
          </w:tcPr>
          <w:p w14:paraId="587FBF5A" w14:textId="4D0B93DE" w:rsidR="00F83D54" w:rsidRPr="00AB2C1B" w:rsidRDefault="00F83D54">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58</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8.2.2</w:t>
            </w:r>
            <w:r w:rsidRPr="00AB2C1B">
              <w:rPr>
                <w:rFonts w:asciiTheme="minorHAnsi" w:hAnsiTheme="minorHAnsi" w:cstheme="minorHAnsi"/>
                <w:sz w:val="20"/>
                <w:szCs w:val="20"/>
                <w:lang w:val="fr-CH"/>
              </w:rPr>
              <w:tab/>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tc>
        <w:tc>
          <w:tcPr>
            <w:tcW w:w="3261" w:type="dxa"/>
          </w:tcPr>
          <w:p w14:paraId="5AC7A1E9" w14:textId="0C9A16B6" w:rsidR="00F83D54" w:rsidRPr="00AB2C1B" w:rsidRDefault="00F83D54" w:rsidP="00951F54">
            <w:pPr>
              <w:spacing w:before="40" w:after="40"/>
              <w:rPr>
                <w:rFonts w:asciiTheme="minorHAnsi" w:hAnsiTheme="minorHAnsi" w:cstheme="minorHAnsi"/>
                <w:bCs/>
                <w:sz w:val="20"/>
                <w:szCs w:val="20"/>
              </w:rPr>
            </w:pPr>
            <w:r w:rsidRPr="00AB2C1B">
              <w:rPr>
                <w:rStyle w:val="Artdef"/>
                <w:rFonts w:asciiTheme="minorHAnsi" w:hAnsiTheme="minorHAnsi" w:cstheme="minorHAnsi"/>
                <w:sz w:val="20"/>
                <w:szCs w:val="20"/>
              </w:rPr>
              <w:t>47</w:t>
            </w:r>
            <w:r w:rsidRPr="00AB2C1B">
              <w:rPr>
                <w:rFonts w:asciiTheme="minorHAnsi" w:hAnsiTheme="minorHAnsi" w:cstheme="minorHAnsi"/>
                <w:sz w:val="20"/>
                <w:szCs w:val="20"/>
              </w:rPr>
              <w:tab/>
              <w:t>6.2.1</w:t>
            </w:r>
            <w:r w:rsidRPr="00AB2C1B">
              <w:rPr>
                <w:rFonts w:asciiTheme="minorHAnsi" w:hAnsiTheme="minorHAnsi" w:cstheme="minorHAnsi"/>
                <w:sz w:val="20"/>
                <w:szCs w:val="20"/>
              </w:rPr>
              <w:tab/>
              <w:t>Pour chaque service admis dans une relation donnée, les administrations</w:t>
            </w:r>
            <w:r w:rsidR="00951F54">
              <w:rPr>
                <w:rFonts w:asciiTheme="minorHAnsi" w:hAnsiTheme="minorHAnsi" w:cstheme="minorHAnsi"/>
                <w:sz w:val="20"/>
                <w:szCs w:val="20"/>
              </w:rPr>
              <w:t>*</w:t>
            </w:r>
            <w:r w:rsidRPr="00AB2C1B">
              <w:rPr>
                <w:rFonts w:asciiTheme="minorHAnsi" w:hAnsiTheme="minorHAnsi" w:cstheme="minorHAnsi"/>
                <w:sz w:val="20"/>
                <w:szCs w:val="20"/>
              </w:rPr>
              <w:t xml:space="preserve"> </w:t>
            </w:r>
            <w:r w:rsidR="00CB0337" w:rsidRPr="00AB2C1B">
              <w:rPr>
                <w:rFonts w:asciiTheme="minorHAnsi" w:hAnsiTheme="minorHAnsi" w:cstheme="minorHAnsi"/>
                <w:sz w:val="20"/>
                <w:szCs w:val="20"/>
              </w:rPr>
              <w:t xml:space="preserve">[ou exploitations privées reconnues] </w:t>
            </w:r>
            <w:r w:rsidRPr="00AB2C1B">
              <w:rPr>
                <w:rFonts w:asciiTheme="minorHAnsi" w:hAnsiTheme="minorHAnsi" w:cstheme="minorHAnsi"/>
                <w:sz w:val="20"/>
                <w:szCs w:val="20"/>
              </w:rPr>
              <w:t>établissent et révisent par accord mutuel les taxes de répartition applicables entre elles, conformément aux dispositions de l'Appendice 1 et en tenant compte des Recommandations pertinentes du CCITT ainsi que de l'évolution des coûts y afférents.</w:t>
            </w:r>
          </w:p>
        </w:tc>
        <w:tc>
          <w:tcPr>
            <w:tcW w:w="3260" w:type="dxa"/>
          </w:tcPr>
          <w:p w14:paraId="5CCF8553" w14:textId="63A67D1B" w:rsidR="00F83D54" w:rsidRPr="003D196F" w:rsidRDefault="003D196F" w:rsidP="007A374D">
            <w:pPr>
              <w:spacing w:before="40"/>
              <w:ind w:left="176" w:hanging="176"/>
              <w:rPr>
                <w:sz w:val="20"/>
                <w:szCs w:val="20"/>
              </w:rPr>
            </w:pPr>
            <w:r w:rsidRPr="00AF7DF3">
              <w:rPr>
                <w:sz w:val="20"/>
                <w:szCs w:val="20"/>
              </w:rPr>
              <w:t>•</w:t>
            </w:r>
            <w:r w:rsidRPr="00AF7DF3">
              <w:rPr>
                <w:sz w:val="20"/>
                <w:szCs w:val="20"/>
              </w:rPr>
              <w:tab/>
            </w:r>
            <w:r w:rsidR="00B90764" w:rsidRPr="003D196F">
              <w:rPr>
                <w:sz w:val="20"/>
                <w:szCs w:val="20"/>
              </w:rPr>
              <w:t>Cette disposition</w:t>
            </w:r>
            <w:r w:rsidR="0070461C" w:rsidRPr="003D196F">
              <w:rPr>
                <w:sz w:val="20"/>
                <w:szCs w:val="20"/>
              </w:rPr>
              <w:t xml:space="preserve"> </w:t>
            </w:r>
            <w:r w:rsidR="000F3756" w:rsidRPr="003D196F">
              <w:rPr>
                <w:sz w:val="20"/>
                <w:szCs w:val="20"/>
              </w:rPr>
              <w:t xml:space="preserve">diffère légèrement de </w:t>
            </w:r>
            <w:r w:rsidR="00D431A4" w:rsidRPr="003D196F">
              <w:rPr>
                <w:sz w:val="20"/>
                <w:szCs w:val="20"/>
              </w:rPr>
              <w:t>la disposition correspondante</w:t>
            </w:r>
            <w:r w:rsidR="000F3756" w:rsidRPr="003D196F">
              <w:rPr>
                <w:sz w:val="20"/>
                <w:szCs w:val="20"/>
              </w:rPr>
              <w:t xml:space="preserve"> dans la</w:t>
            </w:r>
            <w:r>
              <w:rPr>
                <w:sz w:val="20"/>
                <w:szCs w:val="20"/>
              </w:rPr>
              <w:t xml:space="preserve"> version de </w:t>
            </w:r>
            <w:r w:rsidR="0070461C" w:rsidRPr="003D196F">
              <w:rPr>
                <w:sz w:val="20"/>
                <w:szCs w:val="20"/>
              </w:rPr>
              <w:t xml:space="preserve">1988. </w:t>
            </w:r>
            <w:r w:rsidR="00B90764" w:rsidRPr="003D196F">
              <w:rPr>
                <w:sz w:val="20"/>
                <w:szCs w:val="20"/>
              </w:rPr>
              <w:t xml:space="preserve">Elle </w:t>
            </w:r>
            <w:r w:rsidR="0070461C" w:rsidRPr="003D196F">
              <w:rPr>
                <w:sz w:val="20"/>
                <w:szCs w:val="20"/>
              </w:rPr>
              <w:t>ne retarde pas la fourniture des réseaux et des services</w:t>
            </w:r>
            <w:r w:rsidR="00F83D54" w:rsidRPr="003D196F">
              <w:rPr>
                <w:sz w:val="20"/>
                <w:szCs w:val="20"/>
              </w:rPr>
              <w:t>.</w:t>
            </w:r>
          </w:p>
          <w:p w14:paraId="203AB78B" w14:textId="3DABA693" w:rsidR="00F83D54" w:rsidRPr="00AB2C1B" w:rsidRDefault="003D196F"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90764" w:rsidRPr="003D196F">
              <w:rPr>
                <w:sz w:val="20"/>
                <w:szCs w:val="20"/>
              </w:rPr>
              <w:t>Cette</w:t>
            </w:r>
            <w:r w:rsidR="006D29F6" w:rsidRPr="003D196F">
              <w:rPr>
                <w:sz w:val="20"/>
                <w:szCs w:val="20"/>
              </w:rPr>
              <w:t xml:space="preserve"> disposition </w:t>
            </w:r>
            <w:r w:rsidR="00C646A2" w:rsidRPr="003D196F">
              <w:rPr>
                <w:sz w:val="20"/>
                <w:szCs w:val="20"/>
              </w:rPr>
              <w:t>est toujours</w:t>
            </w:r>
            <w:r w:rsidR="006D29F6" w:rsidRPr="003D196F">
              <w:rPr>
                <w:sz w:val="20"/>
                <w:szCs w:val="20"/>
              </w:rPr>
              <w:t xml:space="preserve"> applicable</w:t>
            </w:r>
            <w:r w:rsidR="00F83D54" w:rsidRPr="003D196F">
              <w:rPr>
                <w:sz w:val="20"/>
                <w:szCs w:val="20"/>
              </w:rPr>
              <w:t xml:space="preserve">. </w:t>
            </w:r>
          </w:p>
        </w:tc>
        <w:tc>
          <w:tcPr>
            <w:tcW w:w="2410" w:type="dxa"/>
          </w:tcPr>
          <w:p w14:paraId="20935CA6" w14:textId="4D63E465" w:rsidR="00F83D54" w:rsidRPr="003D196F" w:rsidRDefault="003D196F" w:rsidP="007A374D">
            <w:pPr>
              <w:spacing w:before="40"/>
              <w:ind w:left="176" w:hanging="176"/>
              <w:rPr>
                <w:sz w:val="20"/>
                <w:szCs w:val="20"/>
              </w:rPr>
            </w:pPr>
            <w:r w:rsidRPr="00AF7DF3">
              <w:rPr>
                <w:sz w:val="20"/>
                <w:szCs w:val="20"/>
              </w:rPr>
              <w:t>•</w:t>
            </w:r>
            <w:r w:rsidRPr="00AF7DF3">
              <w:rPr>
                <w:sz w:val="20"/>
                <w:szCs w:val="20"/>
              </w:rPr>
              <w:tab/>
            </w:r>
            <w:r w:rsidR="006D29F6" w:rsidRPr="003D196F">
              <w:rPr>
                <w:sz w:val="20"/>
                <w:szCs w:val="20"/>
              </w:rPr>
              <w:t>Offre une souplesse suffisante</w:t>
            </w:r>
            <w:r w:rsidR="00F83D54" w:rsidRPr="003D196F">
              <w:rPr>
                <w:sz w:val="20"/>
                <w:szCs w:val="20"/>
              </w:rPr>
              <w:t>.</w:t>
            </w:r>
          </w:p>
          <w:p w14:paraId="50560FD0" w14:textId="28719BB1" w:rsidR="00F83D54" w:rsidRPr="00AB2C1B" w:rsidRDefault="003D196F"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6D29F6" w:rsidRPr="003D196F">
              <w:rPr>
                <w:sz w:val="20"/>
                <w:szCs w:val="20"/>
              </w:rPr>
              <w:t>Les accords commerciaux sont exclus de</w:t>
            </w:r>
            <w:r w:rsidR="00B90764" w:rsidRPr="003D196F">
              <w:rPr>
                <w:sz w:val="20"/>
                <w:szCs w:val="20"/>
              </w:rPr>
              <w:t xml:space="preserve"> ce</w:t>
            </w:r>
            <w:r w:rsidR="006D29F6" w:rsidRPr="003D196F">
              <w:rPr>
                <w:sz w:val="20"/>
                <w:szCs w:val="20"/>
              </w:rPr>
              <w:t>s dispositions.</w:t>
            </w:r>
          </w:p>
        </w:tc>
        <w:tc>
          <w:tcPr>
            <w:tcW w:w="1842" w:type="dxa"/>
          </w:tcPr>
          <w:p w14:paraId="54458D82" w14:textId="2EA63E42" w:rsidR="00F83D54" w:rsidRPr="00AB2C1B" w:rsidRDefault="00F83D54" w:rsidP="00AF7DF3">
            <w:pPr>
              <w:spacing w:before="40" w:after="40"/>
              <w:rPr>
                <w:rFonts w:asciiTheme="minorHAnsi" w:hAnsiTheme="minorHAnsi" w:cstheme="minorHAnsi"/>
                <w:bCs/>
                <w:color w:val="000000"/>
                <w:sz w:val="20"/>
                <w:szCs w:val="20"/>
              </w:rPr>
            </w:pPr>
            <w:r w:rsidRPr="00AB2C1B">
              <w:rPr>
                <w:rFonts w:asciiTheme="minorHAnsi" w:hAnsiTheme="minorHAnsi" w:cstheme="minorHAnsi"/>
                <w:b/>
                <w:bCs/>
                <w:sz w:val="20"/>
                <w:szCs w:val="20"/>
                <w:lang w:val="en-US"/>
              </w:rPr>
              <w:t xml:space="preserve">Pas de modification requise. </w:t>
            </w:r>
          </w:p>
        </w:tc>
      </w:tr>
      <w:tr w:rsidR="00F83D54" w:rsidRPr="00291C45" w14:paraId="27D66BC0" w14:textId="77777777" w:rsidTr="00AF7DF3">
        <w:trPr>
          <w:cantSplit/>
          <w:trHeight w:val="153"/>
        </w:trPr>
        <w:tc>
          <w:tcPr>
            <w:tcW w:w="1418" w:type="dxa"/>
          </w:tcPr>
          <w:p w14:paraId="77E7A1F1"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lastRenderedPageBreak/>
              <w:t xml:space="preserve">Article 8 </w:t>
            </w:r>
          </w:p>
        </w:tc>
        <w:tc>
          <w:tcPr>
            <w:tcW w:w="2693" w:type="dxa"/>
          </w:tcPr>
          <w:p w14:paraId="26076E5C" w14:textId="52DAE697" w:rsidR="00F83D54" w:rsidRPr="00AB2C1B" w:rsidRDefault="00F83D54">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59</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8.2.3</w:t>
            </w:r>
            <w:r w:rsidRPr="00AB2C1B">
              <w:rPr>
                <w:rFonts w:asciiTheme="minorHAnsi" w:hAnsiTheme="minorHAnsi" w:cstheme="minorHAnsi"/>
                <w:sz w:val="20"/>
                <w:szCs w:val="20"/>
                <w:lang w:val="fr-CH"/>
              </w:rPr>
              <w:tab/>
            </w:r>
            <w:r w:rsidR="00AC7A7C" w:rsidRPr="00AB2C1B">
              <w:rPr>
                <w:rFonts w:asciiTheme="minorHAnsi" w:hAnsiTheme="minorHAnsi" w:cstheme="minorHAnsi"/>
                <w:sz w:val="20"/>
                <w:szCs w:val="20"/>
                <w:lang w:val="fr-CH"/>
              </w:rPr>
              <w:t>À</w:t>
            </w:r>
            <w:r w:rsidRPr="00AB2C1B">
              <w:rPr>
                <w:rFonts w:asciiTheme="minorHAnsi" w:hAnsiTheme="minorHAnsi" w:cstheme="minorHAnsi"/>
                <w:sz w:val="20"/>
                <w:szCs w:val="20"/>
                <w:lang w:val="fr-CH"/>
              </w:rPr>
              <w:t xml:space="preserve"> moins qu'il n'en soit convenu autrement, les parties qui fournissent des services internationaux de télécommunication se conforment aux dispositions pertinentes figurant dans les Appendices 1 et 2.</w:t>
            </w:r>
            <w:r w:rsidRPr="00AB2C1B">
              <w:rPr>
                <w:rFonts w:asciiTheme="minorHAnsi" w:hAnsiTheme="minorHAnsi" w:cstheme="minorHAnsi"/>
                <w:b/>
                <w:bCs/>
                <w:sz w:val="20"/>
                <w:szCs w:val="20"/>
                <w:lang w:val="fr-CH"/>
              </w:rPr>
              <w:t xml:space="preserve"> </w:t>
            </w:r>
            <w:r w:rsidRPr="00AB2C1B">
              <w:rPr>
                <w:rFonts w:asciiTheme="minorHAnsi" w:hAnsiTheme="minorHAnsi" w:cstheme="minorHAnsi"/>
                <w:bCs/>
                <w:sz w:val="20"/>
                <w:szCs w:val="20"/>
              </w:rPr>
              <w:t xml:space="preserve"> </w:t>
            </w:r>
          </w:p>
        </w:tc>
        <w:tc>
          <w:tcPr>
            <w:tcW w:w="3261" w:type="dxa"/>
          </w:tcPr>
          <w:p w14:paraId="4D4FE712" w14:textId="3B8C4E80" w:rsidR="00F83D54" w:rsidRPr="00AB2C1B" w:rsidRDefault="00F83D54" w:rsidP="00AF7DF3">
            <w:pPr>
              <w:spacing w:before="40" w:after="40"/>
              <w:rPr>
                <w:rFonts w:asciiTheme="minorHAnsi" w:hAnsiTheme="minorHAnsi" w:cstheme="minorHAnsi"/>
                <w:bCs/>
                <w:sz w:val="20"/>
                <w:szCs w:val="20"/>
              </w:rPr>
            </w:pPr>
            <w:r w:rsidRPr="00AB2C1B">
              <w:rPr>
                <w:rStyle w:val="Artdef"/>
                <w:rFonts w:asciiTheme="minorHAnsi" w:hAnsiTheme="minorHAnsi" w:cstheme="minorHAnsi"/>
                <w:sz w:val="20"/>
                <w:szCs w:val="20"/>
              </w:rPr>
              <w:t>52</w:t>
            </w:r>
            <w:r w:rsidRPr="00AB2C1B">
              <w:rPr>
                <w:rFonts w:asciiTheme="minorHAnsi" w:hAnsiTheme="minorHAnsi" w:cstheme="minorHAnsi"/>
                <w:sz w:val="20"/>
                <w:szCs w:val="20"/>
              </w:rPr>
              <w:tab/>
              <w:t>6.4.1</w:t>
            </w:r>
            <w:r w:rsidRPr="00AB2C1B">
              <w:rPr>
                <w:rFonts w:asciiTheme="minorHAnsi" w:hAnsiTheme="minorHAnsi" w:cstheme="minorHAnsi"/>
                <w:sz w:val="20"/>
                <w:szCs w:val="20"/>
              </w:rPr>
              <w:tab/>
            </w:r>
            <w:r w:rsidR="00B23E32" w:rsidRPr="00AB2C1B">
              <w:rPr>
                <w:rFonts w:asciiTheme="minorHAnsi" w:hAnsiTheme="minorHAnsi" w:cstheme="minorHAnsi"/>
                <w:sz w:val="20"/>
                <w:szCs w:val="20"/>
                <w:lang w:val="fr-CH"/>
              </w:rPr>
              <w:t>À</w:t>
            </w:r>
            <w:r w:rsidRPr="00AB2C1B">
              <w:rPr>
                <w:rFonts w:asciiTheme="minorHAnsi" w:hAnsiTheme="minorHAnsi" w:cstheme="minorHAnsi"/>
                <w:sz w:val="20"/>
                <w:szCs w:val="20"/>
              </w:rPr>
              <w:t xml:space="preserve"> moins qu'il n'en soit convenu autrement, les administrations</w:t>
            </w:r>
            <w:r w:rsidRPr="003D196F">
              <w:rPr>
                <w:sz w:val="20"/>
                <w:szCs w:val="20"/>
              </w:rPr>
              <w:t>*</w:t>
            </w:r>
            <w:r w:rsidRPr="00AB2C1B">
              <w:rPr>
                <w:rFonts w:asciiTheme="minorHAnsi" w:hAnsiTheme="minorHAnsi" w:cstheme="minorHAnsi"/>
                <w:sz w:val="20"/>
                <w:szCs w:val="20"/>
              </w:rPr>
              <w:t xml:space="preserve"> </w:t>
            </w:r>
            <w:r w:rsidR="00CB0337" w:rsidRPr="00AB2C1B">
              <w:rPr>
                <w:rFonts w:asciiTheme="minorHAnsi" w:hAnsiTheme="minorHAnsi" w:cstheme="minorHAnsi"/>
                <w:sz w:val="20"/>
                <w:szCs w:val="20"/>
              </w:rPr>
              <w:t xml:space="preserve">[ou exploitations privées reconnues] </w:t>
            </w:r>
            <w:r w:rsidRPr="00AB2C1B">
              <w:rPr>
                <w:rFonts w:asciiTheme="minorHAnsi" w:hAnsiTheme="minorHAnsi" w:cstheme="minorHAnsi"/>
                <w:sz w:val="20"/>
                <w:szCs w:val="20"/>
              </w:rPr>
              <w:t>suivent les dispositions pertinentes figurant dans les Appendices 1 et 2.</w:t>
            </w:r>
          </w:p>
        </w:tc>
        <w:tc>
          <w:tcPr>
            <w:tcW w:w="3260" w:type="dxa"/>
          </w:tcPr>
          <w:p w14:paraId="507F1D56" w14:textId="13FE6643" w:rsidR="00B23E32" w:rsidRPr="003D196F" w:rsidRDefault="003D196F" w:rsidP="007A374D">
            <w:pPr>
              <w:spacing w:before="40"/>
              <w:ind w:left="176" w:hanging="176"/>
              <w:rPr>
                <w:sz w:val="20"/>
                <w:szCs w:val="20"/>
              </w:rPr>
            </w:pPr>
            <w:r w:rsidRPr="00AF7DF3">
              <w:rPr>
                <w:sz w:val="20"/>
                <w:szCs w:val="20"/>
              </w:rPr>
              <w:t>•</w:t>
            </w:r>
            <w:r w:rsidRPr="00AF7DF3">
              <w:rPr>
                <w:sz w:val="20"/>
                <w:szCs w:val="20"/>
              </w:rPr>
              <w:tab/>
            </w:r>
            <w:r w:rsidR="00B23E32" w:rsidRPr="003D196F">
              <w:rPr>
                <w:sz w:val="20"/>
                <w:szCs w:val="20"/>
              </w:rPr>
              <w:t>Ce</w:t>
            </w:r>
            <w:r w:rsidR="00B90764" w:rsidRPr="003D196F">
              <w:rPr>
                <w:sz w:val="20"/>
                <w:szCs w:val="20"/>
              </w:rPr>
              <w:t>tte disposition</w:t>
            </w:r>
            <w:r w:rsidR="00B23E32" w:rsidRPr="003D196F">
              <w:rPr>
                <w:sz w:val="20"/>
                <w:szCs w:val="20"/>
              </w:rPr>
              <w:t xml:space="preserve"> ne nuit pas à la fourniture des réseaux et des services. </w:t>
            </w:r>
          </w:p>
          <w:p w14:paraId="65ACBB28" w14:textId="29565D19" w:rsidR="00F83D54" w:rsidRPr="00AB2C1B" w:rsidRDefault="003D196F"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90764" w:rsidRPr="003D196F">
              <w:rPr>
                <w:sz w:val="20"/>
                <w:szCs w:val="20"/>
              </w:rPr>
              <w:t>Cette</w:t>
            </w:r>
            <w:r w:rsidR="001F4AC3" w:rsidRPr="003D196F">
              <w:rPr>
                <w:sz w:val="20"/>
                <w:szCs w:val="20"/>
              </w:rPr>
              <w:t xml:space="preserve"> disposition </w:t>
            </w:r>
            <w:r w:rsidR="00C646A2" w:rsidRPr="003D196F">
              <w:rPr>
                <w:sz w:val="20"/>
                <w:szCs w:val="20"/>
              </w:rPr>
              <w:t>est toujours</w:t>
            </w:r>
            <w:r w:rsidR="001F4AC3" w:rsidRPr="003D196F">
              <w:rPr>
                <w:sz w:val="20"/>
                <w:szCs w:val="20"/>
              </w:rPr>
              <w:t xml:space="preserve"> applicable.</w:t>
            </w:r>
            <w:r w:rsidR="00F83D54" w:rsidRPr="00AB2C1B">
              <w:rPr>
                <w:rFonts w:asciiTheme="minorHAnsi" w:hAnsiTheme="minorHAnsi" w:cstheme="minorHAnsi"/>
                <w:bCs/>
                <w:sz w:val="20"/>
                <w:szCs w:val="20"/>
              </w:rPr>
              <w:t xml:space="preserve"> </w:t>
            </w:r>
          </w:p>
        </w:tc>
        <w:tc>
          <w:tcPr>
            <w:tcW w:w="2410" w:type="dxa"/>
          </w:tcPr>
          <w:p w14:paraId="1D8EAF3A" w14:textId="355D5D10" w:rsidR="00F83D54" w:rsidRPr="003D196F" w:rsidRDefault="003D196F" w:rsidP="007A374D">
            <w:pPr>
              <w:spacing w:before="40"/>
              <w:ind w:left="176" w:hanging="176"/>
              <w:rPr>
                <w:sz w:val="20"/>
                <w:szCs w:val="20"/>
              </w:rPr>
            </w:pPr>
            <w:r w:rsidRPr="00AF7DF3">
              <w:rPr>
                <w:sz w:val="20"/>
                <w:szCs w:val="20"/>
              </w:rPr>
              <w:t>•</w:t>
            </w:r>
            <w:r w:rsidRPr="00AF7DF3">
              <w:rPr>
                <w:sz w:val="20"/>
                <w:szCs w:val="20"/>
              </w:rPr>
              <w:tab/>
            </w:r>
            <w:r w:rsidR="001F4AC3" w:rsidRPr="003D196F">
              <w:rPr>
                <w:sz w:val="20"/>
                <w:szCs w:val="20"/>
              </w:rPr>
              <w:t>Offre une souplesse suffisante.</w:t>
            </w:r>
          </w:p>
          <w:p w14:paraId="05E5130C" w14:textId="410CF7C2" w:rsidR="00F83D54" w:rsidRPr="00AB2C1B" w:rsidRDefault="003D196F"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1F4AC3" w:rsidRPr="003D196F">
              <w:rPr>
                <w:sz w:val="20"/>
                <w:szCs w:val="20"/>
              </w:rPr>
              <w:t>Les accords commerciaux sont autorisés.</w:t>
            </w:r>
            <w:r w:rsidR="00F83D54" w:rsidRPr="00AB2C1B">
              <w:rPr>
                <w:rFonts w:asciiTheme="minorHAnsi" w:hAnsiTheme="minorHAnsi" w:cstheme="minorHAnsi"/>
                <w:bCs/>
                <w:sz w:val="20"/>
                <w:szCs w:val="20"/>
              </w:rPr>
              <w:t xml:space="preserve"> </w:t>
            </w:r>
          </w:p>
        </w:tc>
        <w:tc>
          <w:tcPr>
            <w:tcW w:w="1842" w:type="dxa"/>
          </w:tcPr>
          <w:p w14:paraId="05C313AC" w14:textId="33557F49" w:rsidR="00F83D54" w:rsidRPr="00AB2C1B" w:rsidRDefault="00F83D54" w:rsidP="00AF7DF3">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6E75A89D" w14:textId="77777777" w:rsidTr="00AF7DF3">
        <w:trPr>
          <w:cantSplit/>
          <w:trHeight w:val="153"/>
        </w:trPr>
        <w:tc>
          <w:tcPr>
            <w:tcW w:w="1418" w:type="dxa"/>
          </w:tcPr>
          <w:p w14:paraId="67F07C6A"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8 </w:t>
            </w:r>
          </w:p>
        </w:tc>
        <w:tc>
          <w:tcPr>
            <w:tcW w:w="2693" w:type="dxa"/>
          </w:tcPr>
          <w:p w14:paraId="51679118" w14:textId="77777777" w:rsidR="00F83D54" w:rsidRPr="00AB2C1B" w:rsidRDefault="00F83D54">
            <w:pPr>
              <w:spacing w:before="40" w:after="40"/>
              <w:rPr>
                <w:rFonts w:asciiTheme="minorHAnsi" w:hAnsiTheme="minorHAnsi" w:cstheme="minorHAnsi"/>
                <w:sz w:val="20"/>
                <w:szCs w:val="20"/>
                <w:lang w:val="fr-CH"/>
              </w:rPr>
            </w:pPr>
            <w:r w:rsidRPr="00AB2C1B">
              <w:rPr>
                <w:rStyle w:val="Artdef"/>
                <w:rFonts w:asciiTheme="minorHAnsi" w:hAnsiTheme="minorHAnsi" w:cstheme="minorHAnsi"/>
                <w:sz w:val="20"/>
                <w:szCs w:val="20"/>
                <w:lang w:val="fr-CH"/>
              </w:rPr>
              <w:t>60</w:t>
            </w:r>
            <w:r w:rsidRPr="00AB2C1B">
              <w:rPr>
                <w:rFonts w:asciiTheme="minorHAnsi" w:hAnsiTheme="minorHAnsi" w:cstheme="minorHAnsi"/>
                <w:sz w:val="20"/>
                <w:szCs w:val="20"/>
                <w:lang w:val="fr-CH"/>
              </w:rPr>
              <w:tab/>
              <w:t>8.2.4</w:t>
            </w:r>
            <w:r w:rsidRPr="00AB2C1B">
              <w:rPr>
                <w:rFonts w:asciiTheme="minorHAnsi" w:hAnsiTheme="minorHAnsi" w:cstheme="minorHAnsi"/>
                <w:sz w:val="20"/>
                <w:szCs w:val="20"/>
                <w:lang w:val="fr-CH"/>
              </w:rPr>
              <w:tab/>
              <w:t xml:space="preserve">En l'absence d'arrangements particuliers conclus entre exploitations autorisées, l'unité monétaire employée dans la composition des taxes de répartition pour les services internationaux de télécommunication et dans l'établissement des comptes internationaux </w:t>
            </w:r>
            <w:proofErr w:type="gramStart"/>
            <w:r w:rsidRPr="00AB2C1B">
              <w:rPr>
                <w:rFonts w:asciiTheme="minorHAnsi" w:hAnsiTheme="minorHAnsi" w:cstheme="minorHAnsi"/>
                <w:sz w:val="20"/>
                <w:szCs w:val="20"/>
                <w:lang w:val="fr-CH"/>
              </w:rPr>
              <w:t>est:</w:t>
            </w:r>
            <w:proofErr w:type="gramEnd"/>
          </w:p>
          <w:p w14:paraId="0D361868" w14:textId="77777777" w:rsidR="00F83D54" w:rsidRPr="00AB2C1B" w:rsidRDefault="00F83D54" w:rsidP="003D196F">
            <w:pPr>
              <w:tabs>
                <w:tab w:val="left" w:pos="230"/>
              </w:tabs>
              <w:spacing w:before="40" w:after="40"/>
              <w:ind w:left="230" w:hanging="230"/>
              <w:rPr>
                <w:rFonts w:asciiTheme="minorHAnsi" w:hAnsiTheme="minorHAnsi" w:cstheme="minorHAnsi"/>
                <w:sz w:val="20"/>
                <w:szCs w:val="20"/>
                <w:lang w:val="fr-CH"/>
              </w:rPr>
            </w:pPr>
            <w:r w:rsidRPr="00AB2C1B">
              <w:rPr>
                <w:rFonts w:asciiTheme="minorHAnsi" w:hAnsiTheme="minorHAnsi" w:cstheme="minorHAnsi"/>
                <w:sz w:val="20"/>
                <w:szCs w:val="20"/>
                <w:lang w:val="fr-CH"/>
              </w:rPr>
              <w:t>–</w:t>
            </w:r>
            <w:r w:rsidRPr="00AB2C1B">
              <w:rPr>
                <w:rFonts w:asciiTheme="minorHAnsi" w:hAnsiTheme="minorHAnsi" w:cstheme="minorHAnsi"/>
                <w:sz w:val="20"/>
                <w:szCs w:val="20"/>
                <w:lang w:val="fr-CH"/>
              </w:rPr>
              <w:tab/>
              <w:t xml:space="preserve">soit l'unité monétaire du Fonds monétaire international (FMI), actuellement le Droit de tirage spécial (DTS), telle qu'elle est définie par cette </w:t>
            </w:r>
            <w:proofErr w:type="gramStart"/>
            <w:r w:rsidRPr="00AB2C1B">
              <w:rPr>
                <w:rFonts w:asciiTheme="minorHAnsi" w:hAnsiTheme="minorHAnsi" w:cstheme="minorHAnsi"/>
                <w:sz w:val="20"/>
                <w:szCs w:val="20"/>
                <w:lang w:val="fr-CH"/>
              </w:rPr>
              <w:t>organisation;</w:t>
            </w:r>
            <w:proofErr w:type="gramEnd"/>
          </w:p>
          <w:p w14:paraId="4B9596AB" w14:textId="6F52FEEF" w:rsidR="00F83D54" w:rsidRPr="00AB2C1B" w:rsidRDefault="00F83D54" w:rsidP="003D196F">
            <w:pPr>
              <w:tabs>
                <w:tab w:val="left" w:pos="230"/>
              </w:tabs>
              <w:spacing w:before="40" w:after="40"/>
              <w:ind w:left="230" w:hanging="230"/>
              <w:rPr>
                <w:rFonts w:asciiTheme="minorHAnsi" w:hAnsiTheme="minorHAnsi" w:cstheme="minorHAnsi"/>
                <w:bCs/>
                <w:sz w:val="20"/>
                <w:szCs w:val="20"/>
              </w:rPr>
            </w:pPr>
            <w:r w:rsidRPr="00AB2C1B">
              <w:rPr>
                <w:rFonts w:asciiTheme="minorHAnsi" w:hAnsiTheme="minorHAnsi" w:cstheme="minorHAnsi"/>
                <w:sz w:val="20"/>
                <w:szCs w:val="20"/>
                <w:lang w:val="fr-CH"/>
              </w:rPr>
              <w:t>–</w:t>
            </w:r>
            <w:r w:rsidRPr="00AB2C1B">
              <w:rPr>
                <w:rFonts w:asciiTheme="minorHAnsi" w:hAnsiTheme="minorHAnsi" w:cstheme="minorHAnsi"/>
                <w:sz w:val="20"/>
                <w:szCs w:val="20"/>
                <w:lang w:val="fr-CH"/>
              </w:rPr>
              <w:tab/>
              <w:t>soit une monnaie librement convertible ou une autre unité monétaire convenue entre les exploitations autorisées.</w:t>
            </w:r>
          </w:p>
        </w:tc>
        <w:tc>
          <w:tcPr>
            <w:tcW w:w="3261" w:type="dxa"/>
          </w:tcPr>
          <w:p w14:paraId="0E1275E7" w14:textId="306391C4" w:rsidR="00F83D54" w:rsidRPr="00AB2C1B" w:rsidRDefault="00F83D54" w:rsidP="00AF7DF3">
            <w:pPr>
              <w:spacing w:before="40" w:after="40"/>
              <w:rPr>
                <w:rFonts w:asciiTheme="minorHAnsi" w:hAnsiTheme="minorHAnsi" w:cstheme="minorHAnsi"/>
                <w:sz w:val="20"/>
                <w:szCs w:val="20"/>
              </w:rPr>
            </w:pPr>
            <w:r w:rsidRPr="00AB2C1B">
              <w:rPr>
                <w:rStyle w:val="Artdef"/>
                <w:rFonts w:asciiTheme="minorHAnsi" w:hAnsiTheme="minorHAnsi" w:cstheme="minorHAnsi"/>
                <w:sz w:val="20"/>
                <w:szCs w:val="20"/>
              </w:rPr>
              <w:t>49</w:t>
            </w:r>
            <w:r w:rsidRPr="00AB2C1B">
              <w:rPr>
                <w:rFonts w:asciiTheme="minorHAnsi" w:hAnsiTheme="minorHAnsi" w:cstheme="minorHAnsi"/>
                <w:sz w:val="20"/>
                <w:szCs w:val="20"/>
              </w:rPr>
              <w:tab/>
              <w:t>6.3.1</w:t>
            </w:r>
            <w:r w:rsidRPr="00AB2C1B">
              <w:rPr>
                <w:rFonts w:asciiTheme="minorHAnsi" w:hAnsiTheme="minorHAnsi" w:cstheme="minorHAnsi"/>
                <w:sz w:val="20"/>
                <w:szCs w:val="20"/>
              </w:rPr>
              <w:tab/>
              <w:t>En l'absence d'arrangements particuliers conclus entre administrations</w:t>
            </w:r>
            <w:r w:rsidRPr="003D196F">
              <w:rPr>
                <w:sz w:val="20"/>
                <w:szCs w:val="20"/>
              </w:rPr>
              <w:t>*</w:t>
            </w:r>
            <w:r w:rsidR="00CB0337" w:rsidRPr="00AB2C1B">
              <w:rPr>
                <w:rFonts w:asciiTheme="minorHAnsi" w:hAnsiTheme="minorHAnsi" w:cstheme="minorHAnsi"/>
                <w:position w:val="6"/>
                <w:sz w:val="20"/>
                <w:szCs w:val="20"/>
              </w:rPr>
              <w:t xml:space="preserve"> </w:t>
            </w:r>
            <w:r w:rsidR="00CB0337" w:rsidRPr="00AB2C1B">
              <w:rPr>
                <w:rFonts w:asciiTheme="minorHAnsi" w:hAnsiTheme="minorHAnsi" w:cstheme="minorHAnsi"/>
                <w:sz w:val="20"/>
                <w:szCs w:val="20"/>
              </w:rPr>
              <w:t>[ou exploitations privées reconnues]</w:t>
            </w:r>
            <w:r w:rsidRPr="00AB2C1B">
              <w:rPr>
                <w:rFonts w:asciiTheme="minorHAnsi" w:hAnsiTheme="minorHAnsi" w:cstheme="minorHAnsi"/>
                <w:sz w:val="20"/>
                <w:szCs w:val="20"/>
              </w:rPr>
              <w:t xml:space="preserve">, l'unité monétaire employée à la composition des taxes de répartition pour les services internationaux de télécommunication et à l'établissement des comptes internationaux </w:t>
            </w:r>
            <w:proofErr w:type="gramStart"/>
            <w:r w:rsidRPr="00AB2C1B">
              <w:rPr>
                <w:rFonts w:asciiTheme="minorHAnsi" w:hAnsiTheme="minorHAnsi" w:cstheme="minorHAnsi"/>
                <w:sz w:val="20"/>
                <w:szCs w:val="20"/>
              </w:rPr>
              <w:t>est:</w:t>
            </w:r>
            <w:proofErr w:type="gramEnd"/>
          </w:p>
          <w:p w14:paraId="7541D863" w14:textId="77777777" w:rsidR="00F83D54" w:rsidRPr="00AB2C1B" w:rsidRDefault="00F83D54" w:rsidP="003D196F">
            <w:pPr>
              <w:pStyle w:val="enumlev1"/>
              <w:tabs>
                <w:tab w:val="left" w:pos="206"/>
              </w:tabs>
              <w:spacing w:before="40" w:after="40"/>
              <w:ind w:left="206" w:hanging="206"/>
              <w:rPr>
                <w:rFonts w:asciiTheme="minorHAnsi" w:hAnsiTheme="minorHAnsi" w:cstheme="minorHAnsi"/>
                <w:sz w:val="20"/>
                <w:szCs w:val="20"/>
              </w:rPr>
            </w:pPr>
            <w:r w:rsidRPr="00AB2C1B">
              <w:rPr>
                <w:rFonts w:asciiTheme="minorHAnsi" w:hAnsiTheme="minorHAnsi" w:cstheme="minorHAnsi"/>
                <w:sz w:val="20"/>
                <w:szCs w:val="20"/>
              </w:rPr>
              <w:t>–</w:t>
            </w:r>
            <w:r w:rsidRPr="00AB2C1B">
              <w:rPr>
                <w:rFonts w:asciiTheme="minorHAnsi" w:hAnsiTheme="minorHAnsi" w:cstheme="minorHAnsi"/>
                <w:sz w:val="20"/>
                <w:szCs w:val="20"/>
              </w:rPr>
              <w:tab/>
              <w:t xml:space="preserve">soit l'unité monétaire du Fonds monétaire international (FMI), actuellement le Droit de tirage spécial (DTS), telle qu'elle est définie par cette </w:t>
            </w:r>
            <w:proofErr w:type="gramStart"/>
            <w:r w:rsidRPr="00AB2C1B">
              <w:rPr>
                <w:rFonts w:asciiTheme="minorHAnsi" w:hAnsiTheme="minorHAnsi" w:cstheme="minorHAnsi"/>
                <w:sz w:val="20"/>
                <w:szCs w:val="20"/>
              </w:rPr>
              <w:t>organisation;</w:t>
            </w:r>
            <w:proofErr w:type="gramEnd"/>
          </w:p>
          <w:p w14:paraId="4012C141" w14:textId="1535269B" w:rsidR="00F83D54" w:rsidRPr="00AB2C1B" w:rsidRDefault="00F83D54" w:rsidP="003D196F">
            <w:pPr>
              <w:tabs>
                <w:tab w:val="left" w:pos="206"/>
              </w:tabs>
              <w:spacing w:before="40" w:after="40"/>
              <w:ind w:left="206" w:hanging="206"/>
              <w:rPr>
                <w:rFonts w:asciiTheme="minorHAnsi" w:hAnsiTheme="minorHAnsi" w:cstheme="minorHAnsi"/>
                <w:bCs/>
                <w:sz w:val="20"/>
                <w:szCs w:val="20"/>
              </w:rPr>
            </w:pPr>
            <w:r w:rsidRPr="00AB2C1B">
              <w:rPr>
                <w:rFonts w:asciiTheme="minorHAnsi" w:hAnsiTheme="minorHAnsi" w:cstheme="minorHAnsi"/>
                <w:sz w:val="20"/>
                <w:szCs w:val="20"/>
              </w:rPr>
              <w:t>–</w:t>
            </w:r>
            <w:r w:rsidR="003D196F">
              <w:rPr>
                <w:rFonts w:asciiTheme="minorHAnsi" w:hAnsiTheme="minorHAnsi" w:cstheme="minorHAnsi"/>
                <w:sz w:val="20"/>
                <w:szCs w:val="20"/>
              </w:rPr>
              <w:tab/>
              <w:t>soit le franc</w:t>
            </w:r>
            <w:r w:rsidR="003D196F">
              <w:rPr>
                <w:rFonts w:asciiTheme="minorHAnsi" w:hAnsiTheme="minorHAnsi" w:cstheme="minorHAnsi"/>
                <w:sz w:val="20"/>
                <w:szCs w:val="20"/>
              </w:rPr>
              <w:noBreakHyphen/>
              <w:t>or, équivalant à </w:t>
            </w:r>
            <w:r w:rsidRPr="00AB2C1B">
              <w:rPr>
                <w:rFonts w:asciiTheme="minorHAnsi" w:hAnsiTheme="minorHAnsi" w:cstheme="minorHAnsi"/>
                <w:sz w:val="20"/>
                <w:szCs w:val="20"/>
              </w:rPr>
              <w:t>1/3,061 DTS.</w:t>
            </w:r>
          </w:p>
        </w:tc>
        <w:tc>
          <w:tcPr>
            <w:tcW w:w="3260" w:type="dxa"/>
          </w:tcPr>
          <w:p w14:paraId="383627EF" w14:textId="0CB2AE10" w:rsidR="001F4AC3" w:rsidRPr="003D196F" w:rsidRDefault="003D196F" w:rsidP="007A374D">
            <w:pPr>
              <w:spacing w:before="40"/>
              <w:ind w:left="176" w:hanging="176"/>
              <w:rPr>
                <w:sz w:val="20"/>
                <w:szCs w:val="20"/>
              </w:rPr>
            </w:pPr>
            <w:r w:rsidRPr="00AF7DF3">
              <w:rPr>
                <w:sz w:val="20"/>
                <w:szCs w:val="20"/>
              </w:rPr>
              <w:t>•</w:t>
            </w:r>
            <w:r w:rsidRPr="00AF7DF3">
              <w:rPr>
                <w:sz w:val="20"/>
                <w:szCs w:val="20"/>
              </w:rPr>
              <w:tab/>
            </w:r>
            <w:r w:rsidR="001F4AC3" w:rsidRPr="003D196F">
              <w:rPr>
                <w:sz w:val="20"/>
                <w:szCs w:val="20"/>
              </w:rPr>
              <w:t>Ce</w:t>
            </w:r>
            <w:r w:rsidR="00B90764" w:rsidRPr="003D196F">
              <w:rPr>
                <w:sz w:val="20"/>
                <w:szCs w:val="20"/>
              </w:rPr>
              <w:t xml:space="preserve">tte disposition </w:t>
            </w:r>
            <w:r w:rsidR="001F4AC3" w:rsidRPr="003D196F">
              <w:rPr>
                <w:sz w:val="20"/>
                <w:szCs w:val="20"/>
              </w:rPr>
              <w:t>ne nuit pas à la fourniture de</w:t>
            </w:r>
            <w:r w:rsidR="00B23E32" w:rsidRPr="003D196F">
              <w:rPr>
                <w:sz w:val="20"/>
                <w:szCs w:val="20"/>
              </w:rPr>
              <w:t>s</w:t>
            </w:r>
            <w:r w:rsidR="001F4AC3" w:rsidRPr="003D196F">
              <w:rPr>
                <w:sz w:val="20"/>
                <w:szCs w:val="20"/>
              </w:rPr>
              <w:t xml:space="preserve"> réseaux et de</w:t>
            </w:r>
            <w:r w:rsidR="00B23E32" w:rsidRPr="003D196F">
              <w:rPr>
                <w:sz w:val="20"/>
                <w:szCs w:val="20"/>
              </w:rPr>
              <w:t>s</w:t>
            </w:r>
            <w:r w:rsidR="001F4AC3" w:rsidRPr="003D196F">
              <w:rPr>
                <w:sz w:val="20"/>
                <w:szCs w:val="20"/>
              </w:rPr>
              <w:t xml:space="preserve"> services. </w:t>
            </w:r>
          </w:p>
          <w:p w14:paraId="009D6DFA" w14:textId="50CB14E1" w:rsidR="00F83D54" w:rsidRPr="00AB2C1B" w:rsidRDefault="003D196F" w:rsidP="003D196F">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90764" w:rsidRPr="003D196F">
              <w:rPr>
                <w:sz w:val="20"/>
                <w:szCs w:val="20"/>
              </w:rPr>
              <w:t>Cette</w:t>
            </w:r>
            <w:r w:rsidR="001F4AC3" w:rsidRPr="003D196F">
              <w:rPr>
                <w:sz w:val="20"/>
                <w:szCs w:val="20"/>
              </w:rPr>
              <w:t xml:space="preserve"> disposition reste applicable.</w:t>
            </w:r>
          </w:p>
        </w:tc>
        <w:tc>
          <w:tcPr>
            <w:tcW w:w="2410" w:type="dxa"/>
          </w:tcPr>
          <w:p w14:paraId="78C8F373" w14:textId="7C3FA898" w:rsidR="00F83D54" w:rsidRPr="00AB2C1B" w:rsidRDefault="001F4AC3" w:rsidP="00AF7DF3">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Offre une souplesse suffisante</w:t>
            </w:r>
            <w:r w:rsidR="00F83D54" w:rsidRPr="00AB2C1B">
              <w:rPr>
                <w:rFonts w:asciiTheme="minorHAnsi" w:hAnsiTheme="minorHAnsi" w:cstheme="minorHAnsi"/>
                <w:bCs/>
                <w:sz w:val="20"/>
                <w:szCs w:val="20"/>
                <w:lang w:val="en-US"/>
              </w:rPr>
              <w:t xml:space="preserve">. </w:t>
            </w:r>
          </w:p>
        </w:tc>
        <w:tc>
          <w:tcPr>
            <w:tcW w:w="1842" w:type="dxa"/>
          </w:tcPr>
          <w:p w14:paraId="6E2DCF46" w14:textId="43AFA28E" w:rsidR="00F83D54" w:rsidRPr="00AB2C1B" w:rsidRDefault="00F83D54" w:rsidP="00AF7DF3">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6AA426A2" w14:textId="77777777" w:rsidTr="00AF7DF3">
        <w:trPr>
          <w:cantSplit/>
        </w:trPr>
        <w:tc>
          <w:tcPr>
            <w:tcW w:w="1418" w:type="dxa"/>
            <w:shd w:val="clear" w:color="auto" w:fill="auto"/>
          </w:tcPr>
          <w:p w14:paraId="32D2765D"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lastRenderedPageBreak/>
              <w:t xml:space="preserve">Article 8 </w:t>
            </w:r>
          </w:p>
        </w:tc>
        <w:tc>
          <w:tcPr>
            <w:tcW w:w="2693" w:type="dxa"/>
            <w:shd w:val="clear" w:color="auto" w:fill="auto"/>
          </w:tcPr>
          <w:p w14:paraId="3D1B98F0" w14:textId="191C0042" w:rsidR="00F83D54" w:rsidRPr="00AB2C1B" w:rsidRDefault="00F83D54" w:rsidP="007A374D">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62</w:t>
            </w:r>
            <w:r w:rsidRPr="00AB2C1B">
              <w:rPr>
                <w:rFonts w:asciiTheme="minorHAnsi" w:hAnsiTheme="minorHAnsi" w:cstheme="minorHAnsi"/>
                <w:b/>
                <w:bCs/>
                <w:sz w:val="20"/>
                <w:szCs w:val="20"/>
                <w:lang w:val="fr-CH"/>
              </w:rPr>
              <w:tab/>
            </w:r>
            <w:r w:rsidRPr="00AB2C1B">
              <w:rPr>
                <w:rFonts w:asciiTheme="minorHAnsi" w:hAnsiTheme="minorHAnsi" w:cstheme="minorHAnsi"/>
                <w:sz w:val="20"/>
                <w:szCs w:val="20"/>
                <w:lang w:val="fr-CH"/>
              </w:rPr>
              <w:t>8.2.5</w:t>
            </w:r>
            <w:r w:rsidRPr="00AB2C1B">
              <w:rPr>
                <w:rFonts w:asciiTheme="minorHAnsi" w:hAnsiTheme="minorHAnsi" w:cstheme="minorHAnsi"/>
                <w:sz w:val="20"/>
                <w:szCs w:val="20"/>
                <w:lang w:val="fr-CH"/>
              </w:rPr>
              <w:tab/>
              <w:t xml:space="preserve">Les frais perçus auprès des clients pour une communication particulière devraient, en principe, être identiques dans une relation donnée, quelle que soit la voie d'acheminement internationale utilisée pour cette communication. Dans l'établissement de ces frais, les </w:t>
            </w:r>
            <w:r w:rsidR="007A374D" w:rsidRPr="007A374D">
              <w:rPr>
                <w:rFonts w:asciiTheme="minorHAnsi" w:hAnsiTheme="minorHAnsi" w:cstheme="minorHAnsi"/>
                <w:caps/>
                <w:sz w:val="20"/>
                <w:szCs w:val="20"/>
                <w:lang w:val="fr-CH"/>
              </w:rPr>
              <w:t>é</w:t>
            </w:r>
            <w:r w:rsidRPr="00AB2C1B">
              <w:rPr>
                <w:rFonts w:asciiTheme="minorHAnsi" w:hAnsiTheme="minorHAnsi" w:cstheme="minorHAnsi"/>
                <w:sz w:val="20"/>
                <w:szCs w:val="20"/>
                <w:lang w:val="fr-CH"/>
              </w:rPr>
              <w:t>tats Membres devraient s'efforcer d'éviter qu'il n'existe une dissymétrie entre les frais applicables dans les deux sens d'une même relation.</w:t>
            </w:r>
          </w:p>
        </w:tc>
        <w:tc>
          <w:tcPr>
            <w:tcW w:w="3261" w:type="dxa"/>
            <w:shd w:val="clear" w:color="auto" w:fill="auto"/>
          </w:tcPr>
          <w:p w14:paraId="7EB1CC31" w14:textId="20D6070D" w:rsidR="00F83D54" w:rsidRPr="00AB2C1B" w:rsidRDefault="00F83D54" w:rsidP="00AF7DF3">
            <w:pPr>
              <w:spacing w:before="40" w:after="40"/>
              <w:rPr>
                <w:rFonts w:asciiTheme="minorHAnsi" w:hAnsiTheme="minorHAnsi" w:cstheme="minorHAnsi"/>
                <w:bCs/>
                <w:sz w:val="20"/>
                <w:szCs w:val="20"/>
              </w:rPr>
            </w:pPr>
            <w:r w:rsidRPr="00AB2C1B">
              <w:rPr>
                <w:rStyle w:val="Artdef"/>
                <w:rFonts w:asciiTheme="minorHAnsi" w:hAnsiTheme="minorHAnsi" w:cstheme="minorHAnsi"/>
                <w:sz w:val="20"/>
                <w:szCs w:val="20"/>
              </w:rPr>
              <w:t>43</w:t>
            </w:r>
            <w:r w:rsidRPr="00AB2C1B">
              <w:rPr>
                <w:rFonts w:asciiTheme="minorHAnsi" w:hAnsiTheme="minorHAnsi" w:cstheme="minorHAnsi"/>
                <w:sz w:val="20"/>
                <w:szCs w:val="20"/>
              </w:rPr>
              <w:tab/>
              <w:t>6.1.1</w:t>
            </w:r>
            <w:r w:rsidRPr="00AB2C1B">
              <w:rPr>
                <w:rFonts w:asciiTheme="minorHAnsi" w:hAnsiTheme="minorHAnsi" w:cstheme="minorHAnsi"/>
                <w:sz w:val="20"/>
                <w:szCs w:val="20"/>
              </w:rPr>
              <w:tab/>
              <w:t>Chaque administration</w:t>
            </w:r>
            <w:r w:rsidR="007A374D">
              <w:rPr>
                <w:rFonts w:asciiTheme="minorHAnsi" w:hAnsiTheme="minorHAnsi" w:cstheme="minorHAnsi"/>
                <w:sz w:val="20"/>
                <w:szCs w:val="20"/>
              </w:rPr>
              <w:t xml:space="preserve">* </w:t>
            </w:r>
            <w:r w:rsidR="005C318F" w:rsidRPr="00AB2C1B">
              <w:rPr>
                <w:rFonts w:asciiTheme="minorHAnsi" w:hAnsiTheme="minorHAnsi" w:cstheme="minorHAnsi"/>
                <w:sz w:val="20"/>
                <w:szCs w:val="20"/>
              </w:rPr>
              <w:t>[ou</w:t>
            </w:r>
            <w:r w:rsidR="00C6182A" w:rsidRPr="00AB2C1B">
              <w:rPr>
                <w:rFonts w:asciiTheme="minorHAnsi" w:hAnsiTheme="minorHAnsi" w:cstheme="minorHAnsi"/>
                <w:sz w:val="20"/>
                <w:szCs w:val="20"/>
              </w:rPr>
              <w:t xml:space="preserve"> </w:t>
            </w:r>
            <w:r w:rsidR="005C318F" w:rsidRPr="00AB2C1B">
              <w:rPr>
                <w:rFonts w:asciiTheme="minorHAnsi" w:hAnsiTheme="minorHAnsi" w:cstheme="minorHAnsi"/>
                <w:sz w:val="20"/>
                <w:szCs w:val="20"/>
              </w:rPr>
              <w:t>exploitation privée reconnue]</w:t>
            </w:r>
            <w:r w:rsidRPr="00AB2C1B">
              <w:rPr>
                <w:rFonts w:asciiTheme="minorHAnsi" w:hAnsiTheme="minorHAnsi" w:cstheme="minorHAnsi"/>
                <w:sz w:val="20"/>
                <w:szCs w:val="20"/>
              </w:rPr>
              <w:t xml:space="preserve"> établit, conformément à la législation nationale applicable, les taxes à percevoir sur ses clients. La fixation du niveau de ces taxes est une affaire </w:t>
            </w:r>
            <w:proofErr w:type="gramStart"/>
            <w:r w:rsidRPr="00AB2C1B">
              <w:rPr>
                <w:rFonts w:asciiTheme="minorHAnsi" w:hAnsiTheme="minorHAnsi" w:cstheme="minorHAnsi"/>
                <w:sz w:val="20"/>
                <w:szCs w:val="20"/>
              </w:rPr>
              <w:t>nationale;</w:t>
            </w:r>
            <w:proofErr w:type="gramEnd"/>
            <w:r w:rsidRPr="00AB2C1B">
              <w:rPr>
                <w:rFonts w:asciiTheme="minorHAnsi" w:hAnsiTheme="minorHAnsi" w:cstheme="minorHAnsi"/>
                <w:sz w:val="20"/>
                <w:szCs w:val="20"/>
              </w:rPr>
              <w:t xml:space="preserve"> toutefois, ce faisant, les administrations</w:t>
            </w:r>
            <w:r w:rsidR="007A374D">
              <w:rPr>
                <w:rFonts w:asciiTheme="minorHAnsi" w:hAnsiTheme="minorHAnsi" w:cstheme="minorHAnsi"/>
                <w:sz w:val="20"/>
                <w:szCs w:val="20"/>
              </w:rPr>
              <w:t>*</w:t>
            </w:r>
            <w:r w:rsidR="00D93888" w:rsidRPr="00AB2C1B">
              <w:rPr>
                <w:rFonts w:asciiTheme="minorHAnsi" w:hAnsiTheme="minorHAnsi" w:cstheme="minorHAnsi"/>
                <w:position w:val="6"/>
                <w:sz w:val="20"/>
                <w:szCs w:val="20"/>
              </w:rPr>
              <w:t xml:space="preserve"> </w:t>
            </w:r>
            <w:r w:rsidRPr="00AB2C1B">
              <w:rPr>
                <w:rFonts w:asciiTheme="minorHAnsi" w:hAnsiTheme="minorHAnsi" w:cstheme="minorHAnsi"/>
                <w:sz w:val="20"/>
                <w:szCs w:val="20"/>
              </w:rPr>
              <w:t>devraient s'efforcer d'éviter une trop grande dissymétrie entre les taxes de perception applicables dans les deux sens d'une même relation.</w:t>
            </w:r>
          </w:p>
          <w:p w14:paraId="05AD1DF8" w14:textId="501207BC" w:rsidR="00F83D54" w:rsidRPr="00AB2C1B" w:rsidRDefault="00F83D54" w:rsidP="007A374D">
            <w:pPr>
              <w:spacing w:before="40" w:after="40"/>
              <w:rPr>
                <w:rFonts w:asciiTheme="minorHAnsi" w:hAnsiTheme="minorHAnsi" w:cstheme="minorHAnsi"/>
                <w:bCs/>
                <w:sz w:val="20"/>
                <w:szCs w:val="20"/>
              </w:rPr>
            </w:pPr>
            <w:r w:rsidRPr="00AB2C1B">
              <w:rPr>
                <w:rStyle w:val="Artdef"/>
                <w:rFonts w:asciiTheme="minorHAnsi" w:hAnsiTheme="minorHAnsi" w:cstheme="minorHAnsi"/>
                <w:sz w:val="20"/>
                <w:szCs w:val="20"/>
              </w:rPr>
              <w:t>44</w:t>
            </w:r>
            <w:r w:rsidRPr="00AB2C1B">
              <w:rPr>
                <w:rFonts w:asciiTheme="minorHAnsi" w:hAnsiTheme="minorHAnsi" w:cstheme="minorHAnsi"/>
                <w:sz w:val="20"/>
                <w:szCs w:val="20"/>
              </w:rPr>
              <w:tab/>
              <w:t>6.1.2</w:t>
            </w:r>
            <w:r w:rsidRPr="00AB2C1B">
              <w:rPr>
                <w:rFonts w:asciiTheme="minorHAnsi" w:hAnsiTheme="minorHAnsi" w:cstheme="minorHAnsi"/>
                <w:sz w:val="20"/>
                <w:szCs w:val="20"/>
              </w:rPr>
              <w:tab/>
              <w:t>La taxe à percevoir par une administration</w:t>
            </w:r>
            <w:r w:rsidR="007A374D">
              <w:rPr>
                <w:rFonts w:asciiTheme="minorHAnsi" w:hAnsiTheme="minorHAnsi" w:cstheme="minorHAnsi"/>
                <w:sz w:val="20"/>
                <w:szCs w:val="20"/>
              </w:rPr>
              <w:t>*</w:t>
            </w:r>
            <w:r w:rsidR="0070461C" w:rsidRPr="00AB2C1B">
              <w:rPr>
                <w:rFonts w:asciiTheme="minorHAnsi" w:hAnsiTheme="minorHAnsi" w:cstheme="minorHAnsi"/>
                <w:position w:val="6"/>
                <w:sz w:val="20"/>
                <w:szCs w:val="20"/>
              </w:rPr>
              <w:t xml:space="preserve"> </w:t>
            </w:r>
            <w:r w:rsidR="00C6182A" w:rsidRPr="00AB2C1B">
              <w:rPr>
                <w:rFonts w:asciiTheme="minorHAnsi" w:hAnsiTheme="minorHAnsi" w:cstheme="minorHAnsi"/>
                <w:sz w:val="20"/>
                <w:szCs w:val="20"/>
              </w:rPr>
              <w:t>[ou exploitation privée reconnue]</w:t>
            </w:r>
            <w:r w:rsidRPr="00AB2C1B">
              <w:rPr>
                <w:rFonts w:asciiTheme="minorHAnsi" w:hAnsiTheme="minorHAnsi" w:cstheme="minorHAnsi"/>
                <w:sz w:val="20"/>
                <w:szCs w:val="20"/>
              </w:rPr>
              <w:t xml:space="preserve"> sur les clients pour une même prestation devrait, en principe, être identique dans une relation donnée, quelle que soit la voie d'acheminement choisie par cette administration</w:t>
            </w:r>
            <w:r w:rsidR="007A374D">
              <w:rPr>
                <w:rFonts w:asciiTheme="minorHAnsi" w:hAnsiTheme="minorHAnsi" w:cstheme="minorHAnsi"/>
                <w:sz w:val="20"/>
                <w:szCs w:val="20"/>
              </w:rPr>
              <w:t>*</w:t>
            </w:r>
            <w:r w:rsidR="0070461C" w:rsidRPr="00AB2C1B">
              <w:rPr>
                <w:rFonts w:asciiTheme="minorHAnsi" w:hAnsiTheme="minorHAnsi" w:cstheme="minorHAnsi"/>
                <w:position w:val="6"/>
                <w:sz w:val="20"/>
                <w:szCs w:val="20"/>
              </w:rPr>
              <w:t xml:space="preserve"> </w:t>
            </w:r>
            <w:r w:rsidR="00C21DE4" w:rsidRPr="00AB2C1B">
              <w:rPr>
                <w:rFonts w:asciiTheme="minorHAnsi" w:hAnsiTheme="minorHAnsi" w:cstheme="minorHAnsi"/>
                <w:sz w:val="20"/>
                <w:szCs w:val="20"/>
              </w:rPr>
              <w:t>[ou exploitation privée reconnue]</w:t>
            </w:r>
            <w:r w:rsidRPr="00AB2C1B">
              <w:rPr>
                <w:rFonts w:asciiTheme="minorHAnsi" w:hAnsiTheme="minorHAnsi" w:cstheme="minorHAnsi"/>
                <w:sz w:val="20"/>
                <w:szCs w:val="20"/>
              </w:rPr>
              <w:t>.</w:t>
            </w:r>
          </w:p>
        </w:tc>
        <w:tc>
          <w:tcPr>
            <w:tcW w:w="3260" w:type="dxa"/>
            <w:shd w:val="clear" w:color="auto" w:fill="auto"/>
          </w:tcPr>
          <w:p w14:paraId="48F585A0" w14:textId="604A058F" w:rsidR="00F83D54" w:rsidRPr="00AB2C1B" w:rsidRDefault="006F297A" w:rsidP="00AF7DF3">
            <w:pPr>
              <w:spacing w:before="40" w:after="40"/>
              <w:rPr>
                <w:rFonts w:asciiTheme="minorHAnsi" w:hAnsiTheme="minorHAnsi" w:cstheme="minorHAnsi"/>
                <w:bCs/>
                <w:sz w:val="20"/>
                <w:szCs w:val="20"/>
              </w:rPr>
            </w:pPr>
            <w:r w:rsidRPr="00AB2C1B">
              <w:rPr>
                <w:rFonts w:asciiTheme="minorHAnsi" w:hAnsiTheme="minorHAnsi" w:cstheme="minorHAnsi"/>
                <w:bCs/>
                <w:sz w:val="20"/>
                <w:szCs w:val="20"/>
              </w:rPr>
              <w:t xml:space="preserve">Offre une souplesse suffisante et encourage l'utilisation de la voie </w:t>
            </w:r>
            <w:r w:rsidR="0034221D" w:rsidRPr="00AB2C1B">
              <w:rPr>
                <w:rFonts w:asciiTheme="minorHAnsi" w:hAnsiTheme="minorHAnsi" w:cstheme="minorHAnsi"/>
                <w:bCs/>
                <w:sz w:val="20"/>
                <w:szCs w:val="20"/>
              </w:rPr>
              <w:t xml:space="preserve">d'acheminement </w:t>
            </w:r>
            <w:r w:rsidRPr="00AB2C1B">
              <w:rPr>
                <w:rFonts w:asciiTheme="minorHAnsi" w:hAnsiTheme="minorHAnsi" w:cstheme="minorHAnsi"/>
                <w:bCs/>
                <w:sz w:val="20"/>
                <w:szCs w:val="20"/>
              </w:rPr>
              <w:t xml:space="preserve">la plus efficace. </w:t>
            </w:r>
          </w:p>
        </w:tc>
        <w:tc>
          <w:tcPr>
            <w:tcW w:w="2410" w:type="dxa"/>
            <w:shd w:val="clear" w:color="auto" w:fill="auto"/>
          </w:tcPr>
          <w:p w14:paraId="364264BF" w14:textId="035BC8E3" w:rsidR="00F83D54" w:rsidRPr="00AB2C1B" w:rsidRDefault="006F297A" w:rsidP="00AF7DF3">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rPr>
              <w:t>Offre une souplesse suffisante</w:t>
            </w:r>
            <w:r w:rsidR="00F83D54" w:rsidRPr="00AB2C1B">
              <w:rPr>
                <w:rFonts w:asciiTheme="minorHAnsi" w:hAnsiTheme="minorHAnsi" w:cstheme="minorHAnsi"/>
                <w:bCs/>
                <w:sz w:val="20"/>
                <w:szCs w:val="20"/>
                <w:lang w:val="en-US"/>
              </w:rPr>
              <w:t xml:space="preserve">. </w:t>
            </w:r>
          </w:p>
        </w:tc>
        <w:tc>
          <w:tcPr>
            <w:tcW w:w="1842" w:type="dxa"/>
            <w:shd w:val="clear" w:color="auto" w:fill="auto"/>
          </w:tcPr>
          <w:p w14:paraId="5BC333B9" w14:textId="35CD9B2E" w:rsidR="00F83D54" w:rsidRPr="00AB2C1B" w:rsidRDefault="00F83D54" w:rsidP="00AF7DF3">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2F47C26E" w14:textId="77777777" w:rsidTr="00AF7DF3">
        <w:trPr>
          <w:cantSplit/>
        </w:trPr>
        <w:tc>
          <w:tcPr>
            <w:tcW w:w="1418" w:type="dxa"/>
            <w:shd w:val="clear" w:color="auto" w:fill="auto"/>
          </w:tcPr>
          <w:p w14:paraId="366AFA4E"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8 </w:t>
            </w:r>
          </w:p>
        </w:tc>
        <w:tc>
          <w:tcPr>
            <w:tcW w:w="2693" w:type="dxa"/>
            <w:shd w:val="clear" w:color="auto" w:fill="auto"/>
          </w:tcPr>
          <w:p w14:paraId="51B3BFE6" w14:textId="039DC013" w:rsidR="00F83D54" w:rsidRPr="00AB2C1B" w:rsidRDefault="00F83D54">
            <w:pPr>
              <w:spacing w:before="40" w:after="40"/>
              <w:rPr>
                <w:rFonts w:asciiTheme="minorHAnsi" w:hAnsiTheme="minorHAnsi" w:cstheme="minorHAnsi"/>
                <w:bCs/>
                <w:sz w:val="20"/>
                <w:szCs w:val="20"/>
              </w:rPr>
            </w:pPr>
            <w:r w:rsidRPr="00AB2C1B">
              <w:rPr>
                <w:rFonts w:asciiTheme="minorHAnsi" w:hAnsiTheme="minorHAnsi" w:cstheme="minorHAnsi"/>
                <w:b/>
                <w:bCs/>
                <w:sz w:val="20"/>
                <w:szCs w:val="20"/>
              </w:rPr>
              <w:t>64</w:t>
            </w:r>
            <w:r w:rsidRPr="00AB2C1B">
              <w:rPr>
                <w:rFonts w:asciiTheme="minorHAnsi" w:hAnsiTheme="minorHAnsi" w:cstheme="minorHAnsi"/>
                <w:b/>
                <w:bCs/>
                <w:sz w:val="20"/>
                <w:szCs w:val="20"/>
              </w:rPr>
              <w:tab/>
            </w:r>
            <w:r w:rsidRPr="00AB2C1B">
              <w:rPr>
                <w:rFonts w:asciiTheme="minorHAnsi" w:hAnsiTheme="minorHAnsi" w:cstheme="minorHAnsi"/>
                <w:sz w:val="20"/>
                <w:szCs w:val="20"/>
              </w:rPr>
              <w:t>8.3.1</w:t>
            </w:r>
            <w:r w:rsidRPr="00AB2C1B">
              <w:rPr>
                <w:rFonts w:asciiTheme="minorHAnsi" w:hAnsiTheme="minorHAnsi" w:cstheme="minorHAnsi"/>
                <w:sz w:val="20"/>
                <w:szCs w:val="20"/>
              </w:rPr>
              <w:tab/>
              <w:t xml:space="preserve">Quand la législation nationale d'un pays prévoit l'application d'une taxe fiscale sur les </w:t>
            </w:r>
            <w:r w:rsidRPr="00AB2C1B">
              <w:rPr>
                <w:rFonts w:asciiTheme="minorHAnsi" w:hAnsiTheme="minorHAnsi" w:cstheme="minorHAnsi"/>
                <w:sz w:val="20"/>
                <w:szCs w:val="20"/>
                <w:lang w:val="fr-CH"/>
              </w:rPr>
              <w:t xml:space="preserve">frais </w:t>
            </w:r>
            <w:r w:rsidRPr="00AB2C1B">
              <w:rPr>
                <w:rFonts w:asciiTheme="minorHAnsi" w:hAnsiTheme="minorHAnsi" w:cstheme="minorHAnsi"/>
                <w:sz w:val="20"/>
                <w:szCs w:val="20"/>
              </w:rPr>
              <w:t>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p>
        </w:tc>
        <w:tc>
          <w:tcPr>
            <w:tcW w:w="3261" w:type="dxa"/>
            <w:shd w:val="clear" w:color="auto" w:fill="auto"/>
          </w:tcPr>
          <w:p w14:paraId="48DD6D84" w14:textId="55F843C5" w:rsidR="00F83D54" w:rsidRPr="00AB2C1B" w:rsidRDefault="00F83D54" w:rsidP="00AF7DF3">
            <w:pPr>
              <w:spacing w:before="40" w:after="40"/>
              <w:rPr>
                <w:rFonts w:asciiTheme="minorHAnsi" w:hAnsiTheme="minorHAnsi" w:cstheme="minorHAnsi"/>
                <w:bCs/>
                <w:sz w:val="20"/>
                <w:szCs w:val="20"/>
              </w:rPr>
            </w:pPr>
            <w:r w:rsidRPr="00AB2C1B">
              <w:rPr>
                <w:rStyle w:val="Artdef"/>
                <w:rFonts w:asciiTheme="minorHAnsi" w:hAnsiTheme="minorHAnsi" w:cstheme="minorHAnsi"/>
                <w:sz w:val="20"/>
                <w:szCs w:val="20"/>
              </w:rPr>
              <w:t>45</w:t>
            </w:r>
            <w:r w:rsidRPr="00AB2C1B">
              <w:rPr>
                <w:rFonts w:asciiTheme="minorHAnsi" w:hAnsiTheme="minorHAnsi" w:cstheme="minorHAnsi"/>
                <w:sz w:val="20"/>
                <w:szCs w:val="20"/>
              </w:rPr>
              <w:tab/>
              <w:t>6.1.3</w:t>
            </w:r>
            <w:r w:rsidRPr="00AB2C1B">
              <w:rPr>
                <w:rFonts w:asciiTheme="minorHAnsi" w:hAnsiTheme="minorHAnsi" w:cstheme="minorHAnsi"/>
                <w:sz w:val="20"/>
                <w:szCs w:val="20"/>
              </w:rPr>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tc>
        <w:tc>
          <w:tcPr>
            <w:tcW w:w="3260" w:type="dxa"/>
            <w:shd w:val="clear" w:color="auto" w:fill="auto"/>
          </w:tcPr>
          <w:p w14:paraId="50E8E7C9" w14:textId="2FD189F9" w:rsidR="00F83D54" w:rsidRPr="00AB2C1B" w:rsidRDefault="00B90764" w:rsidP="00AF7DF3">
            <w:pPr>
              <w:spacing w:before="40" w:after="40"/>
              <w:rPr>
                <w:rFonts w:asciiTheme="minorHAnsi" w:hAnsiTheme="minorHAnsi" w:cstheme="minorHAnsi"/>
                <w:bCs/>
                <w:sz w:val="20"/>
                <w:szCs w:val="20"/>
              </w:rPr>
            </w:pPr>
            <w:r w:rsidRPr="00AB2C1B">
              <w:rPr>
                <w:rFonts w:asciiTheme="minorHAnsi" w:hAnsiTheme="minorHAnsi" w:cstheme="minorHAnsi"/>
                <w:bCs/>
                <w:sz w:val="20"/>
                <w:szCs w:val="20"/>
              </w:rPr>
              <w:t>Cette disposition</w:t>
            </w:r>
            <w:r w:rsidR="00B82DCA" w:rsidRPr="00AB2C1B">
              <w:rPr>
                <w:rFonts w:asciiTheme="minorHAnsi" w:hAnsiTheme="minorHAnsi" w:cstheme="minorHAnsi"/>
                <w:bCs/>
                <w:sz w:val="20"/>
                <w:szCs w:val="20"/>
              </w:rPr>
              <w:t xml:space="preserve"> est identique à </w:t>
            </w:r>
            <w:r w:rsidRPr="00AB2C1B">
              <w:rPr>
                <w:rFonts w:asciiTheme="minorHAnsi" w:hAnsiTheme="minorHAnsi" w:cstheme="minorHAnsi"/>
                <w:bCs/>
                <w:sz w:val="20"/>
                <w:szCs w:val="20"/>
              </w:rPr>
              <w:t xml:space="preserve">la disposition </w:t>
            </w:r>
            <w:r w:rsidR="00B82DCA" w:rsidRPr="00AB2C1B">
              <w:rPr>
                <w:rFonts w:asciiTheme="minorHAnsi" w:hAnsiTheme="minorHAnsi" w:cstheme="minorHAnsi"/>
                <w:bCs/>
                <w:sz w:val="20"/>
                <w:szCs w:val="20"/>
              </w:rPr>
              <w:t>correspondant</w:t>
            </w:r>
            <w:r w:rsidRPr="00AB2C1B">
              <w:rPr>
                <w:rFonts w:asciiTheme="minorHAnsi" w:hAnsiTheme="minorHAnsi" w:cstheme="minorHAnsi"/>
                <w:bCs/>
                <w:sz w:val="20"/>
                <w:szCs w:val="20"/>
              </w:rPr>
              <w:t>e</w:t>
            </w:r>
            <w:r w:rsidR="00B82DCA" w:rsidRPr="00AB2C1B">
              <w:rPr>
                <w:rFonts w:asciiTheme="minorHAnsi" w:hAnsiTheme="minorHAnsi" w:cstheme="minorHAnsi"/>
                <w:bCs/>
                <w:sz w:val="20"/>
                <w:szCs w:val="20"/>
              </w:rPr>
              <w:t xml:space="preserve"> dans la version de 1988. </w:t>
            </w:r>
          </w:p>
        </w:tc>
        <w:tc>
          <w:tcPr>
            <w:tcW w:w="2410" w:type="dxa"/>
            <w:shd w:val="clear" w:color="auto" w:fill="auto"/>
          </w:tcPr>
          <w:p w14:paraId="30C25566" w14:textId="50ACE696" w:rsidR="00F83D54" w:rsidRPr="003D196F" w:rsidRDefault="007A374D" w:rsidP="007A374D">
            <w:pPr>
              <w:spacing w:before="40"/>
              <w:ind w:left="176" w:hanging="176"/>
              <w:rPr>
                <w:sz w:val="20"/>
                <w:szCs w:val="20"/>
              </w:rPr>
            </w:pPr>
            <w:r w:rsidRPr="00AF7DF3">
              <w:rPr>
                <w:sz w:val="20"/>
                <w:szCs w:val="20"/>
              </w:rPr>
              <w:t>•</w:t>
            </w:r>
            <w:r w:rsidRPr="00AF7DF3">
              <w:rPr>
                <w:sz w:val="20"/>
                <w:szCs w:val="20"/>
              </w:rPr>
              <w:tab/>
            </w:r>
            <w:r w:rsidR="00B82DCA" w:rsidRPr="003D196F">
              <w:rPr>
                <w:sz w:val="20"/>
                <w:szCs w:val="20"/>
              </w:rPr>
              <w:t>Offre une souplesse suffisante</w:t>
            </w:r>
            <w:r w:rsidR="00F83D54" w:rsidRPr="003D196F">
              <w:rPr>
                <w:sz w:val="20"/>
                <w:szCs w:val="20"/>
              </w:rPr>
              <w:t>.</w:t>
            </w:r>
          </w:p>
          <w:p w14:paraId="2A530817" w14:textId="2D828047" w:rsidR="00F83D54" w:rsidRPr="00AB2C1B" w:rsidRDefault="007A374D" w:rsidP="007A374D">
            <w:pPr>
              <w:spacing w:before="60"/>
              <w:ind w:left="176" w:hanging="176"/>
              <w:rPr>
                <w:rFonts w:asciiTheme="minorHAnsi" w:hAnsiTheme="minorHAnsi" w:cstheme="minorHAnsi"/>
                <w:bCs/>
                <w:sz w:val="20"/>
                <w:szCs w:val="20"/>
              </w:rPr>
            </w:pPr>
            <w:r w:rsidRPr="00AF7DF3">
              <w:rPr>
                <w:sz w:val="20"/>
                <w:szCs w:val="20"/>
              </w:rPr>
              <w:t>•</w:t>
            </w:r>
            <w:r w:rsidRPr="00AF7DF3">
              <w:rPr>
                <w:sz w:val="20"/>
                <w:szCs w:val="20"/>
              </w:rPr>
              <w:tab/>
            </w:r>
            <w:r w:rsidR="00B82DCA" w:rsidRPr="003D196F">
              <w:rPr>
                <w:sz w:val="20"/>
                <w:szCs w:val="20"/>
              </w:rPr>
              <w:t xml:space="preserve">N'impose pas automatiquement des taxes fiscales aux autres pays et </w:t>
            </w:r>
            <w:r w:rsidR="00B90764" w:rsidRPr="003D196F">
              <w:rPr>
                <w:sz w:val="20"/>
                <w:szCs w:val="20"/>
              </w:rPr>
              <w:t xml:space="preserve">maintient </w:t>
            </w:r>
            <w:r w:rsidR="00B82DCA" w:rsidRPr="003D196F">
              <w:rPr>
                <w:sz w:val="20"/>
                <w:szCs w:val="20"/>
              </w:rPr>
              <w:t xml:space="preserve">ainsi </w:t>
            </w:r>
            <w:r w:rsidR="00B90764" w:rsidRPr="003D196F">
              <w:rPr>
                <w:sz w:val="20"/>
                <w:szCs w:val="20"/>
              </w:rPr>
              <w:t xml:space="preserve">la souveraineté des </w:t>
            </w:r>
            <w:r w:rsidR="00B82DCA" w:rsidRPr="003D196F">
              <w:rPr>
                <w:sz w:val="20"/>
                <w:szCs w:val="20"/>
              </w:rPr>
              <w:t xml:space="preserve">États Membres </w:t>
            </w:r>
            <w:r w:rsidR="00B90764" w:rsidRPr="003D196F">
              <w:rPr>
                <w:sz w:val="20"/>
                <w:szCs w:val="20"/>
              </w:rPr>
              <w:t>en la matière</w:t>
            </w:r>
            <w:r w:rsidR="00B82DCA" w:rsidRPr="003D196F">
              <w:rPr>
                <w:sz w:val="20"/>
                <w:szCs w:val="20"/>
              </w:rPr>
              <w:t>.</w:t>
            </w:r>
            <w:r w:rsidR="00B82DCA" w:rsidRPr="00AB2C1B">
              <w:rPr>
                <w:rFonts w:asciiTheme="minorHAnsi" w:hAnsiTheme="minorHAnsi" w:cstheme="minorHAnsi"/>
                <w:bCs/>
                <w:sz w:val="20"/>
                <w:szCs w:val="20"/>
              </w:rPr>
              <w:t xml:space="preserve"> </w:t>
            </w:r>
            <w:r w:rsidR="00F83D54" w:rsidRPr="00AB2C1B">
              <w:rPr>
                <w:rFonts w:asciiTheme="minorHAnsi" w:hAnsiTheme="minorHAnsi" w:cstheme="minorHAnsi"/>
                <w:bCs/>
                <w:sz w:val="20"/>
                <w:szCs w:val="20"/>
              </w:rPr>
              <w:t xml:space="preserve"> </w:t>
            </w:r>
          </w:p>
        </w:tc>
        <w:tc>
          <w:tcPr>
            <w:tcW w:w="1842" w:type="dxa"/>
            <w:shd w:val="clear" w:color="auto" w:fill="auto"/>
          </w:tcPr>
          <w:p w14:paraId="5B24D68D" w14:textId="0FCCBB79" w:rsidR="00F83D54" w:rsidRPr="00AB2C1B" w:rsidRDefault="00F83D54" w:rsidP="00AF7DF3">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3BD87F2C" w14:textId="77777777" w:rsidTr="00AF7DF3">
        <w:trPr>
          <w:cantSplit/>
        </w:trPr>
        <w:tc>
          <w:tcPr>
            <w:tcW w:w="1418" w:type="dxa"/>
          </w:tcPr>
          <w:p w14:paraId="6EFABC51"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lastRenderedPageBreak/>
              <w:t xml:space="preserve">Article 8 </w:t>
            </w:r>
          </w:p>
        </w:tc>
        <w:tc>
          <w:tcPr>
            <w:tcW w:w="2693" w:type="dxa"/>
          </w:tcPr>
          <w:p w14:paraId="7BE6BD9F" w14:textId="7726A889" w:rsidR="00F83D54" w:rsidRPr="00AB2C1B" w:rsidRDefault="00F83D54">
            <w:pPr>
              <w:spacing w:before="40" w:after="40"/>
              <w:rPr>
                <w:rFonts w:asciiTheme="minorHAnsi" w:hAnsiTheme="minorHAnsi" w:cstheme="minorHAnsi"/>
                <w:bCs/>
                <w:sz w:val="20"/>
                <w:szCs w:val="20"/>
              </w:rPr>
            </w:pPr>
            <w:r w:rsidRPr="00AB2C1B">
              <w:rPr>
                <w:rFonts w:asciiTheme="minorHAnsi" w:hAnsiTheme="minorHAnsi" w:cstheme="minorHAnsi"/>
                <w:b/>
                <w:bCs/>
                <w:sz w:val="20"/>
                <w:szCs w:val="20"/>
                <w:lang w:val="fr-CH"/>
              </w:rPr>
              <w:t>66</w:t>
            </w:r>
            <w:r w:rsidRPr="00AB2C1B">
              <w:rPr>
                <w:rFonts w:asciiTheme="minorHAnsi" w:hAnsiTheme="minorHAnsi" w:cstheme="minorHAnsi"/>
                <w:b/>
                <w:bCs/>
                <w:sz w:val="20"/>
                <w:szCs w:val="20"/>
              </w:rPr>
              <w:tab/>
            </w:r>
            <w:r w:rsidRPr="00AB2C1B">
              <w:rPr>
                <w:rFonts w:asciiTheme="minorHAnsi" w:hAnsiTheme="minorHAnsi" w:cstheme="minorHAnsi"/>
                <w:sz w:val="20"/>
                <w:szCs w:val="20"/>
              </w:rPr>
              <w:t>8.4.1</w:t>
            </w:r>
            <w:r w:rsidRPr="00AB2C1B">
              <w:rPr>
                <w:rFonts w:asciiTheme="minorHAnsi" w:hAnsiTheme="minorHAnsi" w:cstheme="minorHAnsi"/>
                <w:sz w:val="20"/>
                <w:szCs w:val="20"/>
              </w:rPr>
              <w:tab/>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tc>
        <w:tc>
          <w:tcPr>
            <w:tcW w:w="3261" w:type="dxa"/>
          </w:tcPr>
          <w:p w14:paraId="153B8E99" w14:textId="1378E2EA" w:rsidR="00F83D54" w:rsidRPr="00AB2C1B" w:rsidRDefault="00F83D54" w:rsidP="007A374D">
            <w:pPr>
              <w:spacing w:before="40" w:after="40"/>
              <w:rPr>
                <w:rFonts w:asciiTheme="minorHAnsi" w:hAnsiTheme="minorHAnsi" w:cstheme="minorHAnsi"/>
                <w:bCs/>
                <w:sz w:val="20"/>
                <w:szCs w:val="20"/>
              </w:rPr>
            </w:pPr>
            <w:r w:rsidRPr="00AB2C1B">
              <w:rPr>
                <w:rStyle w:val="Artdef"/>
                <w:rFonts w:asciiTheme="minorHAnsi" w:hAnsiTheme="minorHAnsi" w:cstheme="minorHAnsi"/>
                <w:sz w:val="20"/>
                <w:szCs w:val="20"/>
              </w:rPr>
              <w:t>54</w:t>
            </w:r>
            <w:r w:rsidRPr="00AB2C1B">
              <w:rPr>
                <w:rFonts w:asciiTheme="minorHAnsi" w:hAnsiTheme="minorHAnsi" w:cstheme="minorHAnsi"/>
                <w:sz w:val="20"/>
                <w:szCs w:val="20"/>
              </w:rPr>
              <w:tab/>
              <w:t>6.5.1</w:t>
            </w:r>
            <w:r w:rsidRPr="00AB2C1B">
              <w:rPr>
                <w:rFonts w:asciiTheme="minorHAnsi" w:hAnsiTheme="minorHAnsi" w:cstheme="minorHAnsi"/>
                <w:sz w:val="20"/>
                <w:szCs w:val="20"/>
              </w:rPr>
              <w:tab/>
              <w:t>Les administrations</w:t>
            </w:r>
            <w:r w:rsidR="007A374D">
              <w:rPr>
                <w:rFonts w:asciiTheme="minorHAnsi" w:hAnsiTheme="minorHAnsi" w:cstheme="minorHAnsi"/>
                <w:sz w:val="20"/>
                <w:szCs w:val="20"/>
              </w:rPr>
              <w:t>*</w:t>
            </w:r>
            <w:r w:rsidR="00CB0337" w:rsidRPr="00AB2C1B">
              <w:rPr>
                <w:rFonts w:asciiTheme="minorHAnsi" w:hAnsiTheme="minorHAnsi" w:cstheme="minorHAnsi"/>
                <w:position w:val="6"/>
                <w:sz w:val="20"/>
                <w:szCs w:val="20"/>
              </w:rPr>
              <w:t xml:space="preserve"> </w:t>
            </w:r>
            <w:r w:rsidR="00CB0337" w:rsidRPr="00AB2C1B">
              <w:rPr>
                <w:rFonts w:asciiTheme="minorHAnsi" w:hAnsiTheme="minorHAnsi" w:cstheme="minorHAnsi"/>
                <w:sz w:val="20"/>
                <w:szCs w:val="20"/>
              </w:rPr>
              <w:t>[ou exploitations privées reconnues]</w:t>
            </w:r>
            <w:r w:rsidRPr="00AB2C1B">
              <w:rPr>
                <w:rFonts w:asciiTheme="minorHAnsi" w:hAnsiTheme="minorHAnsi" w:cstheme="minorHAnsi"/>
                <w:sz w:val="20"/>
                <w:szCs w:val="20"/>
              </w:rPr>
              <w:t xml:space="preserve"> suivent les dispositions pertinentes figurant dans l'Appendice 3.</w:t>
            </w:r>
          </w:p>
        </w:tc>
        <w:tc>
          <w:tcPr>
            <w:tcW w:w="3260" w:type="dxa"/>
          </w:tcPr>
          <w:p w14:paraId="594ACBEB" w14:textId="7D74F7A7" w:rsidR="00F83D54" w:rsidRPr="00AB2C1B" w:rsidRDefault="00B82DCA" w:rsidP="00AF7DF3">
            <w:pPr>
              <w:spacing w:before="40" w:after="40"/>
              <w:rPr>
                <w:rFonts w:asciiTheme="minorHAnsi" w:hAnsiTheme="minorHAnsi" w:cstheme="minorHAnsi"/>
                <w:bCs/>
                <w:sz w:val="20"/>
                <w:szCs w:val="20"/>
              </w:rPr>
            </w:pPr>
            <w:r w:rsidRPr="00AB2C1B">
              <w:rPr>
                <w:rFonts w:asciiTheme="minorHAnsi" w:hAnsiTheme="minorHAnsi" w:cstheme="minorHAnsi"/>
                <w:bCs/>
                <w:sz w:val="20"/>
                <w:szCs w:val="20"/>
              </w:rPr>
              <w:t>Les dispositions de l'Appendice 3 de la version de 1988 du RTI ont été in</w:t>
            </w:r>
            <w:r w:rsidR="00945592" w:rsidRPr="00AB2C1B">
              <w:rPr>
                <w:rFonts w:asciiTheme="minorHAnsi" w:hAnsiTheme="minorHAnsi" w:cstheme="minorHAnsi"/>
                <w:bCs/>
                <w:sz w:val="20"/>
                <w:szCs w:val="20"/>
              </w:rPr>
              <w:t xml:space="preserve">tégrées </w:t>
            </w:r>
            <w:r w:rsidRPr="00AB2C1B">
              <w:rPr>
                <w:rFonts w:asciiTheme="minorHAnsi" w:hAnsiTheme="minorHAnsi" w:cstheme="minorHAnsi"/>
                <w:bCs/>
                <w:sz w:val="20"/>
                <w:szCs w:val="20"/>
              </w:rPr>
              <w:t xml:space="preserve">dans le texte de la version de 2012 du RTI. </w:t>
            </w:r>
          </w:p>
        </w:tc>
        <w:tc>
          <w:tcPr>
            <w:tcW w:w="2410" w:type="dxa"/>
          </w:tcPr>
          <w:p w14:paraId="680B0961" w14:textId="64F4AB17" w:rsidR="00F83D54" w:rsidRPr="00AB2C1B" w:rsidRDefault="00B82DCA" w:rsidP="00AF7DF3">
            <w:pPr>
              <w:spacing w:before="40" w:after="40"/>
              <w:rPr>
                <w:rFonts w:asciiTheme="minorHAnsi" w:hAnsiTheme="minorHAnsi" w:cstheme="minorHAnsi"/>
                <w:bCs/>
                <w:sz w:val="20"/>
                <w:szCs w:val="20"/>
                <w:lang w:val="en-US"/>
              </w:rPr>
            </w:pPr>
            <w:r w:rsidRPr="00AB2C1B">
              <w:rPr>
                <w:rFonts w:asciiTheme="minorHAnsi" w:hAnsiTheme="minorHAnsi" w:cstheme="minorHAnsi"/>
                <w:bCs/>
                <w:sz w:val="20"/>
                <w:szCs w:val="20"/>
                <w:lang w:val="en-US"/>
              </w:rPr>
              <w:t>Offre une souplesse suffisante</w:t>
            </w:r>
            <w:r w:rsidR="00F83D54" w:rsidRPr="00AB2C1B">
              <w:rPr>
                <w:rFonts w:asciiTheme="minorHAnsi" w:hAnsiTheme="minorHAnsi" w:cstheme="minorHAnsi"/>
                <w:bCs/>
                <w:sz w:val="20"/>
                <w:szCs w:val="20"/>
                <w:lang w:val="en-US"/>
              </w:rPr>
              <w:t xml:space="preserve">. </w:t>
            </w:r>
          </w:p>
        </w:tc>
        <w:tc>
          <w:tcPr>
            <w:tcW w:w="1842" w:type="dxa"/>
          </w:tcPr>
          <w:p w14:paraId="16790599" w14:textId="1DB9711C" w:rsidR="00F83D54" w:rsidRPr="00AB2C1B" w:rsidRDefault="00F83D54">
            <w:pPr>
              <w:spacing w:before="40" w:after="40"/>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2DE47987" w14:textId="77777777" w:rsidTr="00AF7DF3">
        <w:trPr>
          <w:cantSplit/>
        </w:trPr>
        <w:tc>
          <w:tcPr>
            <w:tcW w:w="1418" w:type="dxa"/>
          </w:tcPr>
          <w:p w14:paraId="7B93847C" w14:textId="77777777" w:rsidR="00F83D54" w:rsidRPr="00AB2C1B" w:rsidRDefault="00F83D54">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Article 8 </w:t>
            </w:r>
          </w:p>
        </w:tc>
        <w:tc>
          <w:tcPr>
            <w:tcW w:w="2693" w:type="dxa"/>
          </w:tcPr>
          <w:p w14:paraId="120B0161" w14:textId="4ACB0D2A" w:rsidR="00F83D54" w:rsidRPr="00AB2C1B" w:rsidRDefault="00F83D54">
            <w:pPr>
              <w:spacing w:before="40" w:after="40"/>
              <w:contextualSpacing/>
              <w:rPr>
                <w:rFonts w:asciiTheme="minorHAnsi" w:hAnsiTheme="minorHAnsi" w:cstheme="minorHAnsi"/>
                <w:bCs/>
                <w:sz w:val="20"/>
                <w:szCs w:val="20"/>
              </w:rPr>
            </w:pPr>
            <w:r w:rsidRPr="00AB2C1B">
              <w:rPr>
                <w:rFonts w:asciiTheme="minorHAnsi" w:hAnsiTheme="minorHAnsi" w:cstheme="minorHAnsi"/>
                <w:b/>
                <w:bCs/>
                <w:sz w:val="20"/>
                <w:szCs w:val="20"/>
                <w:lang w:val="fr-CH"/>
              </w:rPr>
              <w:t>67</w:t>
            </w:r>
            <w:r w:rsidRPr="00AB2C1B">
              <w:rPr>
                <w:rFonts w:asciiTheme="minorHAnsi" w:hAnsiTheme="minorHAnsi" w:cstheme="minorHAnsi"/>
                <w:b/>
                <w:bCs/>
                <w:sz w:val="20"/>
                <w:szCs w:val="20"/>
              </w:rPr>
              <w:tab/>
            </w:r>
            <w:r w:rsidRPr="00AB2C1B">
              <w:rPr>
                <w:rFonts w:asciiTheme="minorHAnsi" w:hAnsiTheme="minorHAnsi" w:cstheme="minorHAnsi"/>
                <w:sz w:val="20"/>
                <w:szCs w:val="20"/>
              </w:rPr>
              <w:t>8.4.2</w:t>
            </w:r>
            <w:r w:rsidRPr="00AB2C1B">
              <w:rPr>
                <w:rFonts w:asciiTheme="minorHAnsi" w:hAnsiTheme="minorHAnsi" w:cstheme="minorHAnsi"/>
                <w:sz w:val="20"/>
                <w:szCs w:val="20"/>
              </w:rPr>
              <w:tab/>
              <w:t>Les principes généraux d'exploitation, de tarification et de comptabilité applicables aux télécommunications de service devraient tenir compte des Recommandations UIT</w:t>
            </w:r>
            <w:r w:rsidRPr="00AB2C1B">
              <w:rPr>
                <w:rFonts w:asciiTheme="minorHAnsi" w:hAnsiTheme="minorHAnsi" w:cstheme="minorHAnsi"/>
                <w:sz w:val="20"/>
                <w:szCs w:val="20"/>
              </w:rPr>
              <w:noBreakHyphen/>
              <w:t>T pertinentes.</w:t>
            </w:r>
          </w:p>
        </w:tc>
        <w:tc>
          <w:tcPr>
            <w:tcW w:w="3261" w:type="dxa"/>
          </w:tcPr>
          <w:p w14:paraId="0B9A4D86" w14:textId="49AD6877" w:rsidR="00F83D54" w:rsidRPr="00AB2C1B" w:rsidRDefault="00F83D54">
            <w:pPr>
              <w:spacing w:before="40" w:after="40"/>
              <w:contextualSpacing/>
              <w:rPr>
                <w:rFonts w:asciiTheme="minorHAnsi" w:hAnsiTheme="minorHAnsi" w:cstheme="minorHAnsi"/>
                <w:bCs/>
                <w:sz w:val="20"/>
                <w:szCs w:val="20"/>
                <w:lang w:val="en-US"/>
              </w:rPr>
            </w:pPr>
            <w:r w:rsidRPr="00AB2C1B">
              <w:rPr>
                <w:rFonts w:asciiTheme="minorHAnsi" w:hAnsiTheme="minorHAnsi" w:cstheme="minorHAnsi"/>
                <w:bCs/>
                <w:sz w:val="20"/>
                <w:szCs w:val="20"/>
                <w:lang w:val="en-US"/>
              </w:rPr>
              <w:t xml:space="preserve">Pas de </w:t>
            </w:r>
            <w:r w:rsidR="00B90764" w:rsidRPr="00AB2C1B">
              <w:rPr>
                <w:rFonts w:asciiTheme="minorHAnsi" w:hAnsiTheme="minorHAnsi" w:cstheme="minorHAnsi"/>
                <w:bCs/>
                <w:sz w:val="20"/>
                <w:szCs w:val="20"/>
                <w:lang w:val="en-US"/>
              </w:rPr>
              <w:t xml:space="preserve">disposition </w:t>
            </w:r>
            <w:r w:rsidRPr="00AB2C1B">
              <w:rPr>
                <w:rFonts w:asciiTheme="minorHAnsi" w:hAnsiTheme="minorHAnsi" w:cstheme="minorHAnsi"/>
                <w:bCs/>
                <w:sz w:val="20"/>
                <w:szCs w:val="20"/>
                <w:lang w:val="en-US"/>
              </w:rPr>
              <w:t>similaire.</w:t>
            </w:r>
          </w:p>
        </w:tc>
        <w:tc>
          <w:tcPr>
            <w:tcW w:w="3260" w:type="dxa"/>
          </w:tcPr>
          <w:p w14:paraId="511F3E7A" w14:textId="0C99808F" w:rsidR="00F83D54" w:rsidRPr="00AB2C1B" w:rsidRDefault="00B90764" w:rsidP="007A374D">
            <w:pPr>
              <w:spacing w:before="40" w:after="40"/>
              <w:contextualSpacing/>
              <w:rPr>
                <w:rFonts w:asciiTheme="minorHAnsi" w:hAnsiTheme="minorHAnsi" w:cstheme="minorHAnsi"/>
                <w:bCs/>
                <w:sz w:val="20"/>
                <w:szCs w:val="20"/>
              </w:rPr>
            </w:pPr>
            <w:r w:rsidRPr="00AB2C1B">
              <w:rPr>
                <w:rFonts w:asciiTheme="minorHAnsi" w:hAnsiTheme="minorHAnsi" w:cstheme="minorHAnsi"/>
                <w:bCs/>
                <w:sz w:val="20"/>
                <w:szCs w:val="20"/>
              </w:rPr>
              <w:t>Cette disposition</w:t>
            </w:r>
            <w:r w:rsidR="00A34FED" w:rsidRPr="00AB2C1B">
              <w:rPr>
                <w:rFonts w:asciiTheme="minorHAnsi" w:hAnsiTheme="minorHAnsi" w:cstheme="minorHAnsi"/>
                <w:bCs/>
                <w:sz w:val="20"/>
                <w:szCs w:val="20"/>
              </w:rPr>
              <w:t xml:space="preserve"> </w:t>
            </w:r>
            <w:r w:rsidRPr="00AB2C1B">
              <w:rPr>
                <w:rFonts w:asciiTheme="minorHAnsi" w:hAnsiTheme="minorHAnsi" w:cstheme="minorHAnsi"/>
                <w:bCs/>
                <w:sz w:val="20"/>
                <w:szCs w:val="20"/>
              </w:rPr>
              <w:t xml:space="preserve">réaffirme </w:t>
            </w:r>
            <w:r w:rsidR="00A34FED" w:rsidRPr="00AB2C1B">
              <w:rPr>
                <w:rFonts w:asciiTheme="minorHAnsi" w:hAnsiTheme="minorHAnsi" w:cstheme="minorHAnsi"/>
                <w:bCs/>
                <w:sz w:val="20"/>
                <w:szCs w:val="20"/>
              </w:rPr>
              <w:t xml:space="preserve">les principes de comptabilité à appliquer dans le cadre d'accords internationaux. </w:t>
            </w:r>
            <w:r w:rsidRPr="00AB2C1B">
              <w:rPr>
                <w:rFonts w:asciiTheme="minorHAnsi" w:hAnsiTheme="minorHAnsi" w:cstheme="minorHAnsi"/>
                <w:bCs/>
                <w:sz w:val="20"/>
                <w:szCs w:val="20"/>
              </w:rPr>
              <w:t>Elle</w:t>
            </w:r>
            <w:r w:rsidR="00A34FED" w:rsidRPr="00AB2C1B">
              <w:rPr>
                <w:rFonts w:asciiTheme="minorHAnsi" w:hAnsiTheme="minorHAnsi" w:cstheme="minorHAnsi"/>
                <w:bCs/>
                <w:sz w:val="20"/>
                <w:szCs w:val="20"/>
              </w:rPr>
              <w:t xml:space="preserve"> </w:t>
            </w:r>
            <w:r w:rsidR="00417424" w:rsidRPr="00AB2C1B">
              <w:rPr>
                <w:rFonts w:asciiTheme="minorHAnsi" w:hAnsiTheme="minorHAnsi" w:cstheme="minorHAnsi"/>
                <w:bCs/>
                <w:sz w:val="20"/>
                <w:szCs w:val="20"/>
              </w:rPr>
              <w:t xml:space="preserve">ne </w:t>
            </w:r>
            <w:r w:rsidR="00146A00" w:rsidRPr="00AB2C1B">
              <w:rPr>
                <w:rFonts w:asciiTheme="minorHAnsi" w:hAnsiTheme="minorHAnsi" w:cstheme="minorHAnsi"/>
                <w:bCs/>
                <w:sz w:val="20"/>
                <w:szCs w:val="20"/>
              </w:rPr>
              <w:t>porte pas préjudice</w:t>
            </w:r>
            <w:r w:rsidR="00417424" w:rsidRPr="00AB2C1B">
              <w:rPr>
                <w:rFonts w:asciiTheme="minorHAnsi" w:hAnsiTheme="minorHAnsi" w:cstheme="minorHAnsi"/>
                <w:bCs/>
                <w:sz w:val="20"/>
                <w:szCs w:val="20"/>
              </w:rPr>
              <w:t xml:space="preserve"> à</w:t>
            </w:r>
            <w:r w:rsidR="00A34FED" w:rsidRPr="00AB2C1B">
              <w:rPr>
                <w:rFonts w:asciiTheme="minorHAnsi" w:hAnsiTheme="minorHAnsi" w:cstheme="minorHAnsi"/>
                <w:bCs/>
                <w:sz w:val="20"/>
                <w:szCs w:val="20"/>
              </w:rPr>
              <w:t xml:space="preserve"> la fourniture de</w:t>
            </w:r>
            <w:r w:rsidR="00417424" w:rsidRPr="00AB2C1B">
              <w:rPr>
                <w:rFonts w:asciiTheme="minorHAnsi" w:hAnsiTheme="minorHAnsi" w:cstheme="minorHAnsi"/>
                <w:bCs/>
                <w:sz w:val="20"/>
                <w:szCs w:val="20"/>
              </w:rPr>
              <w:t>s</w:t>
            </w:r>
            <w:r w:rsidR="00A34FED" w:rsidRPr="00AB2C1B">
              <w:rPr>
                <w:rFonts w:asciiTheme="minorHAnsi" w:hAnsiTheme="minorHAnsi" w:cstheme="minorHAnsi"/>
                <w:bCs/>
                <w:sz w:val="20"/>
                <w:szCs w:val="20"/>
              </w:rPr>
              <w:t xml:space="preserve"> réseaux et de</w:t>
            </w:r>
            <w:r w:rsidR="00417424" w:rsidRPr="00AB2C1B">
              <w:rPr>
                <w:rFonts w:asciiTheme="minorHAnsi" w:hAnsiTheme="minorHAnsi" w:cstheme="minorHAnsi"/>
                <w:bCs/>
                <w:sz w:val="20"/>
                <w:szCs w:val="20"/>
              </w:rPr>
              <w:t>s</w:t>
            </w:r>
            <w:r w:rsidR="00A34FED" w:rsidRPr="00AB2C1B">
              <w:rPr>
                <w:rFonts w:asciiTheme="minorHAnsi" w:hAnsiTheme="minorHAnsi" w:cstheme="minorHAnsi"/>
                <w:bCs/>
                <w:sz w:val="20"/>
                <w:szCs w:val="20"/>
              </w:rPr>
              <w:t xml:space="preserve"> services. </w:t>
            </w:r>
            <w:r w:rsidR="00F83D54" w:rsidRPr="00AB2C1B">
              <w:rPr>
                <w:rFonts w:asciiTheme="minorHAnsi" w:hAnsiTheme="minorHAnsi" w:cstheme="minorHAnsi"/>
                <w:bCs/>
                <w:sz w:val="20"/>
                <w:szCs w:val="20"/>
              </w:rPr>
              <w:t xml:space="preserve"> </w:t>
            </w:r>
          </w:p>
        </w:tc>
        <w:tc>
          <w:tcPr>
            <w:tcW w:w="2410" w:type="dxa"/>
          </w:tcPr>
          <w:p w14:paraId="1AB02811" w14:textId="53F29816" w:rsidR="00F83D54" w:rsidRPr="00AB2C1B" w:rsidRDefault="007A374D" w:rsidP="007A374D">
            <w:pPr>
              <w:spacing w:before="40"/>
              <w:ind w:left="176" w:hanging="176"/>
              <w:rPr>
                <w:rFonts w:asciiTheme="minorHAnsi" w:hAnsiTheme="minorHAnsi" w:cstheme="minorHAnsi"/>
                <w:bCs/>
                <w:sz w:val="20"/>
                <w:szCs w:val="20"/>
              </w:rPr>
            </w:pPr>
            <w:r w:rsidRPr="00AF7DF3">
              <w:rPr>
                <w:sz w:val="20"/>
                <w:szCs w:val="20"/>
              </w:rPr>
              <w:t>•</w:t>
            </w:r>
            <w:r w:rsidRPr="00AF7DF3">
              <w:rPr>
                <w:sz w:val="20"/>
                <w:szCs w:val="20"/>
              </w:rPr>
              <w:tab/>
            </w:r>
            <w:r w:rsidR="00417424" w:rsidRPr="007A374D">
              <w:rPr>
                <w:sz w:val="20"/>
                <w:szCs w:val="20"/>
              </w:rPr>
              <w:t xml:space="preserve">Offre une souplesse </w:t>
            </w:r>
            <w:proofErr w:type="gramStart"/>
            <w:r w:rsidR="00417424" w:rsidRPr="007A374D">
              <w:rPr>
                <w:sz w:val="20"/>
                <w:szCs w:val="20"/>
              </w:rPr>
              <w:t>suffisante;</w:t>
            </w:r>
            <w:proofErr w:type="gramEnd"/>
            <w:r w:rsidR="00417424" w:rsidRPr="007A374D">
              <w:rPr>
                <w:sz w:val="20"/>
                <w:szCs w:val="20"/>
              </w:rPr>
              <w:t xml:space="preserve"> les Recommandations de l'UIT-T les plus récentes s'appliquent.</w:t>
            </w:r>
            <w:r w:rsidR="00417424" w:rsidRPr="00AB2C1B">
              <w:rPr>
                <w:rFonts w:asciiTheme="minorHAnsi" w:hAnsiTheme="minorHAnsi" w:cstheme="minorHAnsi"/>
                <w:bCs/>
                <w:sz w:val="20"/>
                <w:szCs w:val="20"/>
              </w:rPr>
              <w:t xml:space="preserve"> </w:t>
            </w:r>
            <w:r w:rsidR="00F83D54" w:rsidRPr="00AB2C1B">
              <w:rPr>
                <w:rFonts w:asciiTheme="minorHAnsi" w:hAnsiTheme="minorHAnsi" w:cstheme="minorHAnsi"/>
                <w:bCs/>
                <w:sz w:val="20"/>
                <w:szCs w:val="20"/>
              </w:rPr>
              <w:t xml:space="preserve"> </w:t>
            </w:r>
          </w:p>
        </w:tc>
        <w:tc>
          <w:tcPr>
            <w:tcW w:w="1842" w:type="dxa"/>
          </w:tcPr>
          <w:p w14:paraId="0E960FB0" w14:textId="00283DA9" w:rsidR="00F83D54" w:rsidRPr="00AB2C1B" w:rsidRDefault="00F83D54" w:rsidP="00AF7DF3">
            <w:pPr>
              <w:spacing w:before="40" w:after="40"/>
              <w:contextualSpacing/>
              <w:rPr>
                <w:rFonts w:asciiTheme="minorHAnsi" w:hAnsiTheme="minorHAnsi" w:cstheme="minorHAnsi"/>
                <w:b/>
                <w:bCs/>
                <w:sz w:val="20"/>
                <w:szCs w:val="20"/>
                <w:lang w:val="en-US"/>
              </w:rPr>
            </w:pPr>
            <w:r w:rsidRPr="00AB2C1B">
              <w:rPr>
                <w:rFonts w:asciiTheme="minorHAnsi" w:hAnsiTheme="minorHAnsi" w:cstheme="minorHAnsi"/>
                <w:b/>
                <w:bCs/>
                <w:sz w:val="20"/>
                <w:szCs w:val="20"/>
                <w:lang w:val="en-US"/>
              </w:rPr>
              <w:t xml:space="preserve">Pas de modification requise.  </w:t>
            </w:r>
          </w:p>
        </w:tc>
      </w:tr>
      <w:tr w:rsidR="00F83D54" w:rsidRPr="00291C45" w14:paraId="5EE384A9" w14:textId="77777777" w:rsidTr="00AF7DF3">
        <w:trPr>
          <w:cantSplit/>
        </w:trPr>
        <w:tc>
          <w:tcPr>
            <w:tcW w:w="1418" w:type="dxa"/>
          </w:tcPr>
          <w:p w14:paraId="3116F86D" w14:textId="61A3D939" w:rsidR="00F83D54" w:rsidRPr="00AB2C1B" w:rsidRDefault="00F83D54">
            <w:pPr>
              <w:spacing w:before="40" w:after="40"/>
              <w:contextualSpacing/>
              <w:rPr>
                <w:rFonts w:asciiTheme="minorHAnsi" w:hAnsiTheme="minorHAnsi" w:cstheme="minorHAnsi"/>
                <w:sz w:val="20"/>
                <w:szCs w:val="20"/>
                <w:lang w:val="en-US"/>
              </w:rPr>
            </w:pPr>
            <w:r w:rsidRPr="00AB2C1B">
              <w:rPr>
                <w:rFonts w:asciiTheme="minorHAnsi" w:hAnsiTheme="minorHAnsi" w:cstheme="minorHAnsi"/>
                <w:b/>
                <w:bCs/>
                <w:sz w:val="20"/>
                <w:szCs w:val="20"/>
                <w:lang w:val="en-US"/>
              </w:rPr>
              <w:t>Appendi</w:t>
            </w:r>
            <w:r w:rsidR="00483B8B" w:rsidRPr="00AB2C1B">
              <w:rPr>
                <w:rFonts w:asciiTheme="minorHAnsi" w:hAnsiTheme="minorHAnsi" w:cstheme="minorHAnsi"/>
                <w:b/>
                <w:bCs/>
                <w:sz w:val="20"/>
                <w:szCs w:val="20"/>
                <w:lang w:val="en-US"/>
              </w:rPr>
              <w:t>ce</w:t>
            </w:r>
            <w:r w:rsidRPr="00AB2C1B">
              <w:rPr>
                <w:rFonts w:asciiTheme="minorHAnsi" w:hAnsiTheme="minorHAnsi" w:cstheme="minorHAnsi"/>
                <w:b/>
                <w:bCs/>
                <w:sz w:val="20"/>
                <w:szCs w:val="20"/>
                <w:lang w:val="en-US"/>
              </w:rPr>
              <w:t xml:space="preserve"> 1</w:t>
            </w:r>
            <w:r w:rsidRPr="00AB2C1B">
              <w:rPr>
                <w:rFonts w:asciiTheme="minorHAnsi" w:hAnsiTheme="minorHAnsi" w:cstheme="minorHAnsi"/>
                <w:sz w:val="20"/>
                <w:szCs w:val="20"/>
                <w:lang w:val="en-US"/>
              </w:rPr>
              <w:t xml:space="preserve"> </w:t>
            </w:r>
          </w:p>
        </w:tc>
        <w:tc>
          <w:tcPr>
            <w:tcW w:w="2693" w:type="dxa"/>
          </w:tcPr>
          <w:p w14:paraId="594532E8" w14:textId="12ED0088" w:rsidR="00F83D54" w:rsidRPr="00AB2C1B" w:rsidRDefault="00F83D54">
            <w:pPr>
              <w:spacing w:before="40" w:after="40"/>
              <w:rPr>
                <w:rFonts w:asciiTheme="minorHAnsi" w:hAnsiTheme="minorHAnsi" w:cstheme="minorHAnsi"/>
                <w:color w:val="000000"/>
                <w:sz w:val="20"/>
                <w:szCs w:val="20"/>
              </w:rPr>
            </w:pPr>
            <w:r w:rsidRPr="00AB2C1B">
              <w:rPr>
                <w:rFonts w:asciiTheme="minorHAnsi" w:hAnsiTheme="minorHAnsi" w:cstheme="minorHAnsi"/>
                <w:color w:val="000000"/>
                <w:sz w:val="20"/>
                <w:szCs w:val="20"/>
              </w:rPr>
              <w:t xml:space="preserve">Dispositions générales concernant la comptabilité. </w:t>
            </w:r>
          </w:p>
        </w:tc>
        <w:tc>
          <w:tcPr>
            <w:tcW w:w="3261" w:type="dxa"/>
          </w:tcPr>
          <w:p w14:paraId="4EBEC8CB" w14:textId="1A197954" w:rsidR="00F83D54" w:rsidRPr="00AB2C1B" w:rsidRDefault="00F83D54">
            <w:pPr>
              <w:spacing w:before="40" w:after="40"/>
              <w:rPr>
                <w:rFonts w:asciiTheme="minorHAnsi" w:hAnsiTheme="minorHAnsi" w:cstheme="minorHAnsi"/>
                <w:color w:val="000000"/>
                <w:sz w:val="20"/>
                <w:szCs w:val="20"/>
              </w:rPr>
            </w:pPr>
            <w:r w:rsidRPr="00AB2C1B">
              <w:rPr>
                <w:rFonts w:asciiTheme="minorHAnsi" w:hAnsiTheme="minorHAnsi" w:cstheme="minorHAnsi"/>
                <w:color w:val="000000"/>
                <w:sz w:val="20"/>
                <w:szCs w:val="20"/>
              </w:rPr>
              <w:t>Dispositions générales concernant la comptabilité.</w:t>
            </w:r>
          </w:p>
        </w:tc>
        <w:tc>
          <w:tcPr>
            <w:tcW w:w="3260" w:type="dxa"/>
          </w:tcPr>
          <w:p w14:paraId="4DF9493B" w14:textId="36A2B9F4" w:rsidR="00F83D54" w:rsidRPr="00AB2C1B" w:rsidRDefault="00826CDC" w:rsidP="007A374D">
            <w:pPr>
              <w:spacing w:before="40" w:after="40"/>
              <w:rPr>
                <w:rFonts w:asciiTheme="minorHAnsi" w:hAnsiTheme="minorHAnsi" w:cstheme="minorHAnsi"/>
                <w:color w:val="000000"/>
                <w:sz w:val="20"/>
                <w:szCs w:val="20"/>
              </w:rPr>
            </w:pPr>
            <w:r w:rsidRPr="00AB2C1B">
              <w:rPr>
                <w:rFonts w:asciiTheme="minorHAnsi" w:hAnsiTheme="minorHAnsi" w:cstheme="minorHAnsi"/>
                <w:color w:val="000000"/>
                <w:sz w:val="20"/>
                <w:szCs w:val="20"/>
              </w:rPr>
              <w:t>N</w:t>
            </w:r>
            <w:r w:rsidR="00417424" w:rsidRPr="00AB2C1B">
              <w:rPr>
                <w:rFonts w:asciiTheme="minorHAnsi" w:hAnsiTheme="minorHAnsi" w:cstheme="minorHAnsi"/>
                <w:color w:val="000000"/>
                <w:sz w:val="20"/>
                <w:szCs w:val="20"/>
              </w:rPr>
              <w:t>'entrave ni la fourniture ni le développement des réseaux et des services.</w:t>
            </w:r>
            <w:r w:rsidR="00F83D54" w:rsidRPr="00AB2C1B">
              <w:rPr>
                <w:rFonts w:asciiTheme="minorHAnsi" w:hAnsiTheme="minorHAnsi" w:cstheme="minorHAnsi"/>
                <w:color w:val="000000"/>
                <w:sz w:val="20"/>
                <w:szCs w:val="20"/>
              </w:rPr>
              <w:t xml:space="preserve"> </w:t>
            </w:r>
          </w:p>
        </w:tc>
        <w:tc>
          <w:tcPr>
            <w:tcW w:w="2410" w:type="dxa"/>
          </w:tcPr>
          <w:p w14:paraId="6F7B2E07" w14:textId="66E24245" w:rsidR="00F83D54" w:rsidRPr="007A374D" w:rsidRDefault="007A374D" w:rsidP="007A374D">
            <w:pPr>
              <w:spacing w:before="40"/>
              <w:ind w:left="176" w:hanging="176"/>
              <w:rPr>
                <w:sz w:val="20"/>
                <w:szCs w:val="20"/>
              </w:rPr>
            </w:pPr>
            <w:r w:rsidRPr="00AF7DF3">
              <w:rPr>
                <w:sz w:val="20"/>
                <w:szCs w:val="20"/>
              </w:rPr>
              <w:t>•</w:t>
            </w:r>
            <w:r w:rsidRPr="00AF7DF3">
              <w:rPr>
                <w:sz w:val="20"/>
                <w:szCs w:val="20"/>
              </w:rPr>
              <w:tab/>
            </w:r>
            <w:r w:rsidR="00417424" w:rsidRPr="007A374D">
              <w:rPr>
                <w:sz w:val="20"/>
                <w:szCs w:val="20"/>
              </w:rPr>
              <w:t>Offre une souplesse suffisante</w:t>
            </w:r>
            <w:r w:rsidR="00F83D54" w:rsidRPr="007A374D">
              <w:rPr>
                <w:sz w:val="20"/>
                <w:szCs w:val="20"/>
              </w:rPr>
              <w:t>.</w:t>
            </w:r>
          </w:p>
          <w:p w14:paraId="63A1BB53" w14:textId="5CA6F759" w:rsidR="00F83D54" w:rsidRPr="00AB2C1B" w:rsidRDefault="007A374D" w:rsidP="007A374D">
            <w:pPr>
              <w:spacing w:before="60"/>
              <w:ind w:left="176" w:hanging="176"/>
              <w:rPr>
                <w:rFonts w:asciiTheme="minorHAnsi" w:hAnsiTheme="minorHAnsi" w:cstheme="minorHAnsi"/>
                <w:color w:val="000000"/>
                <w:sz w:val="20"/>
                <w:szCs w:val="20"/>
              </w:rPr>
            </w:pPr>
            <w:r w:rsidRPr="00AF7DF3">
              <w:rPr>
                <w:sz w:val="20"/>
                <w:szCs w:val="20"/>
              </w:rPr>
              <w:t>•</w:t>
            </w:r>
            <w:r w:rsidRPr="00AF7DF3">
              <w:rPr>
                <w:sz w:val="20"/>
                <w:szCs w:val="20"/>
              </w:rPr>
              <w:tab/>
            </w:r>
            <w:r w:rsidR="00417424" w:rsidRPr="007A374D">
              <w:rPr>
                <w:sz w:val="20"/>
                <w:szCs w:val="20"/>
              </w:rPr>
              <w:t>Les accords commerciaux sont autorisés</w:t>
            </w:r>
            <w:r w:rsidR="00F83D54" w:rsidRPr="007A374D">
              <w:rPr>
                <w:sz w:val="20"/>
                <w:szCs w:val="20"/>
              </w:rPr>
              <w:t>.</w:t>
            </w:r>
            <w:r w:rsidR="00F83D54" w:rsidRPr="00AB2C1B">
              <w:rPr>
                <w:rFonts w:asciiTheme="minorHAnsi" w:hAnsiTheme="minorHAnsi" w:cstheme="minorHAnsi"/>
                <w:color w:val="000000"/>
                <w:sz w:val="20"/>
                <w:szCs w:val="20"/>
              </w:rPr>
              <w:t xml:space="preserve"> </w:t>
            </w:r>
          </w:p>
        </w:tc>
        <w:tc>
          <w:tcPr>
            <w:tcW w:w="1842" w:type="dxa"/>
          </w:tcPr>
          <w:p w14:paraId="4E9C57DC" w14:textId="7092B88B" w:rsidR="00F83D54" w:rsidRPr="00AB2C1B" w:rsidRDefault="00F83D54" w:rsidP="00AF7DF3">
            <w:pPr>
              <w:spacing w:before="40" w:after="40"/>
              <w:rPr>
                <w:rFonts w:asciiTheme="minorHAnsi" w:hAnsiTheme="minorHAnsi" w:cstheme="minorHAnsi"/>
                <w:color w:val="000000"/>
                <w:sz w:val="20"/>
                <w:szCs w:val="20"/>
              </w:rPr>
            </w:pPr>
            <w:r w:rsidRPr="00AB2C1B">
              <w:rPr>
                <w:rFonts w:asciiTheme="minorHAnsi" w:hAnsiTheme="minorHAnsi" w:cstheme="minorHAnsi"/>
                <w:b/>
                <w:bCs/>
                <w:color w:val="000000"/>
                <w:sz w:val="20"/>
                <w:szCs w:val="20"/>
              </w:rPr>
              <w:t>Pas de modification requise.</w:t>
            </w:r>
          </w:p>
        </w:tc>
      </w:tr>
    </w:tbl>
    <w:p w14:paraId="793E5CFD" w14:textId="77777777" w:rsidR="00B552A7" w:rsidRDefault="00B552A7" w:rsidP="00411C49">
      <w:pPr>
        <w:pStyle w:val="Reasons"/>
      </w:pPr>
    </w:p>
    <w:p w14:paraId="5F18410B" w14:textId="6BE0A043" w:rsidR="00096E1D" w:rsidRPr="00C42C37" w:rsidRDefault="00B552A7">
      <w:pPr>
        <w:jc w:val="center"/>
        <w:rPr>
          <w:rFonts w:asciiTheme="minorHAnsi" w:hAnsiTheme="minorHAnsi" w:cstheme="minorHAnsi"/>
          <w:sz w:val="22"/>
          <w:szCs w:val="22"/>
        </w:rPr>
      </w:pPr>
      <w:r>
        <w:t>______________</w:t>
      </w:r>
      <w:bookmarkStart w:id="7" w:name="_GoBack"/>
      <w:bookmarkEnd w:id="7"/>
    </w:p>
    <w:sectPr w:rsidR="00096E1D" w:rsidRPr="00C42C37" w:rsidSect="00C42C37">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0E05" w14:textId="77777777" w:rsidR="00435274" w:rsidRDefault="00435274">
      <w:r>
        <w:separator/>
      </w:r>
    </w:p>
  </w:endnote>
  <w:endnote w:type="continuationSeparator" w:id="0">
    <w:p w14:paraId="347C548D" w14:textId="77777777" w:rsidR="00435274" w:rsidRDefault="0043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473F" w14:textId="432D3238" w:rsidR="00435274" w:rsidRPr="00474A8E" w:rsidRDefault="00435274">
    <w:pPr>
      <w:pStyle w:val="Footer"/>
      <w:rPr>
        <w:lang w:val="en-US"/>
      </w:rPr>
    </w:pPr>
    <w:r>
      <w:fldChar w:fldCharType="begin"/>
    </w:r>
    <w:r w:rsidRPr="00474A8E">
      <w:rPr>
        <w:lang w:val="en-US"/>
      </w:rPr>
      <w:instrText xml:space="preserve"> FILENAME \p \* MERGEFORMAT </w:instrText>
    </w:r>
    <w:r>
      <w:fldChar w:fldCharType="separate"/>
    </w:r>
    <w:r w:rsidR="00CF0B49">
      <w:rPr>
        <w:lang w:val="en-US"/>
      </w:rPr>
      <w:t>P:\FRA\SG\CONSEIL\EG-ITR\EG-ITR-3\000\002F.docx</w:t>
    </w:r>
    <w:r>
      <w:fldChar w:fldCharType="end"/>
    </w:r>
    <w:r w:rsidRPr="00474A8E">
      <w:rPr>
        <w:lang w:val="en-US"/>
      </w:rPr>
      <w:tab/>
    </w:r>
    <w:r>
      <w:fldChar w:fldCharType="begin"/>
    </w:r>
    <w:r>
      <w:instrText xml:space="preserve"> savedate \@ dd.MM.yy </w:instrText>
    </w:r>
    <w:r>
      <w:fldChar w:fldCharType="separate"/>
    </w:r>
    <w:r w:rsidR="00B552A7">
      <w:t>08.09.20</w:t>
    </w:r>
    <w:r>
      <w:fldChar w:fldCharType="end"/>
    </w:r>
    <w:r w:rsidRPr="00474A8E">
      <w:rPr>
        <w:lang w:val="en-US"/>
      </w:rPr>
      <w:tab/>
    </w:r>
    <w:r>
      <w:fldChar w:fldCharType="begin"/>
    </w:r>
    <w:r>
      <w:instrText xml:space="preserve"> printdate \@ dd.MM.yy </w:instrText>
    </w:r>
    <w:r>
      <w:fldChar w:fldCharType="separate"/>
    </w:r>
    <w:r w:rsidR="00CF0B49">
      <w:t>05.02.20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B1BB" w14:textId="0816FDAD" w:rsidR="00435274" w:rsidRPr="00EC2BDB" w:rsidRDefault="00435274" w:rsidP="00D837AA">
    <w:pPr>
      <w:pStyle w:val="Footer"/>
      <w:rPr>
        <w:szCs w:val="16"/>
        <w:lang w:val="en-US"/>
      </w:rPr>
    </w:pPr>
    <w:r w:rsidRPr="00EC2BDB">
      <w:rPr>
        <w:szCs w:val="16"/>
      </w:rPr>
      <w:fldChar w:fldCharType="begin"/>
    </w:r>
    <w:r w:rsidRPr="00EC2BDB">
      <w:rPr>
        <w:szCs w:val="16"/>
        <w:lang w:val="en-US"/>
      </w:rPr>
      <w:instrText xml:space="preserve"> FILENAME \p \* MERGEFORMAT </w:instrText>
    </w:r>
    <w:r w:rsidRPr="00EC2BDB">
      <w:rPr>
        <w:szCs w:val="16"/>
      </w:rPr>
      <w:fldChar w:fldCharType="separate"/>
    </w:r>
    <w:r w:rsidR="00CF0B49">
      <w:rPr>
        <w:szCs w:val="16"/>
        <w:lang w:val="en-US"/>
      </w:rPr>
      <w:t>P:\FRA\SG\CONSEIL\EG-ITR\EG-ITR-3\000\002F.docx</w:t>
    </w:r>
    <w:r w:rsidRPr="00EC2BDB">
      <w:rPr>
        <w:szCs w:val="16"/>
      </w:rPr>
      <w:fldChar w:fldCharType="end"/>
    </w:r>
    <w:r w:rsidR="00EC2BDB" w:rsidRPr="00EC2BDB">
      <w:rPr>
        <w:szCs w:val="16"/>
      </w:rPr>
      <w:t xml:space="preserve"> (467135)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5539" w14:textId="77777777" w:rsidR="00435274" w:rsidRDefault="00435274">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7A36" w14:textId="4AE61EF4" w:rsidR="0010212A" w:rsidRPr="00474A8E" w:rsidRDefault="005C4E35">
    <w:pPr>
      <w:pStyle w:val="Footer"/>
      <w:rPr>
        <w:lang w:val="en-US"/>
      </w:rPr>
    </w:pPr>
    <w:r>
      <w:fldChar w:fldCharType="begin"/>
    </w:r>
    <w:r w:rsidRPr="00474A8E">
      <w:rPr>
        <w:lang w:val="en-US"/>
      </w:rPr>
      <w:instrText xml:space="preserve"> FILENAME \p \* MERGEFORMAT </w:instrText>
    </w:r>
    <w:r>
      <w:fldChar w:fldCharType="separate"/>
    </w:r>
    <w:r w:rsidR="00CF0B49">
      <w:rPr>
        <w:lang w:val="en-US"/>
      </w:rPr>
      <w:t>P:\FRA\SG\CONSEIL\EG-ITR\EG-ITR-3\000\002F.docx</w:t>
    </w:r>
    <w:r>
      <w:fldChar w:fldCharType="end"/>
    </w:r>
    <w:r w:rsidRPr="00474A8E">
      <w:rPr>
        <w:lang w:val="en-US"/>
      </w:rPr>
      <w:tab/>
    </w:r>
    <w:r>
      <w:fldChar w:fldCharType="begin"/>
    </w:r>
    <w:r>
      <w:instrText xml:space="preserve"> savedate \@ dd.MM.yy </w:instrText>
    </w:r>
    <w:r>
      <w:fldChar w:fldCharType="separate"/>
    </w:r>
    <w:r w:rsidR="00B552A7">
      <w:t>08.09.20</w:t>
    </w:r>
    <w:r>
      <w:fldChar w:fldCharType="end"/>
    </w:r>
    <w:r w:rsidRPr="00474A8E">
      <w:rPr>
        <w:lang w:val="en-US"/>
      </w:rPr>
      <w:tab/>
    </w:r>
    <w:r>
      <w:fldChar w:fldCharType="begin"/>
    </w:r>
    <w:r>
      <w:instrText xml:space="preserve"> printdate \@ dd.MM.yy </w:instrText>
    </w:r>
    <w:r>
      <w:fldChar w:fldCharType="separate"/>
    </w:r>
    <w:r w:rsidR="00CF0B49">
      <w:t>05.02.20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50AC" w14:textId="5CB67052" w:rsidR="0010212A" w:rsidRPr="005F2DF4" w:rsidRDefault="00960D00" w:rsidP="00252761">
    <w:pPr>
      <w:pStyle w:val="Footer"/>
    </w:pPr>
    <w:fldSimple w:instr=" FILENAME \p  \* MERGEFORMAT ">
      <w:r w:rsidR="00CF0B49">
        <w:t>P:\FRA\SG\CONSEIL\EG-ITR\EG-ITR-3\000\002F.docx</w:t>
      </w:r>
    </w:fldSimple>
    <w:r w:rsidR="005F2DF4">
      <w:t xml:space="preserve"> (476444)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0146" w14:textId="3E65EB1F" w:rsidR="0010212A" w:rsidRPr="000614BF" w:rsidRDefault="00960D00" w:rsidP="000614BF">
    <w:pPr>
      <w:pStyle w:val="Footer"/>
    </w:pPr>
    <w:fldSimple w:instr=" FILENAME \p  \* MERGEFORMAT ">
      <w:r w:rsidR="00CF0B49">
        <w:t>P:\FRA\SG\CONSEIL\EG-ITR\EG-ITR-3\000\002F.docx</w:t>
      </w:r>
    </w:fldSimple>
    <w:r w:rsidR="000614BF">
      <w:t xml:space="preserve"> (</w:t>
    </w:r>
    <w:r w:rsidR="005F2DF4">
      <w:t>476444</w:t>
    </w:r>
    <w:r w:rsidR="000614B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33074" w14:textId="77777777" w:rsidR="00435274" w:rsidRDefault="00435274">
      <w:r>
        <w:t>____________________</w:t>
      </w:r>
    </w:p>
  </w:footnote>
  <w:footnote w:type="continuationSeparator" w:id="0">
    <w:p w14:paraId="2346A4EB" w14:textId="77777777" w:rsidR="00435274" w:rsidRDefault="0043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056C" w14:textId="77777777" w:rsidR="00435274" w:rsidRDefault="0043527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B89CCBD" w14:textId="77777777" w:rsidR="00435274" w:rsidRDefault="0043527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82C41" w14:textId="77777777" w:rsidR="00435274" w:rsidRDefault="00435274" w:rsidP="00475FB3">
    <w:pPr>
      <w:pStyle w:val="Header"/>
    </w:pPr>
    <w:r>
      <w:fldChar w:fldCharType="begin"/>
    </w:r>
    <w:r>
      <w:instrText>PAGE</w:instrText>
    </w:r>
    <w:r>
      <w:fldChar w:fldCharType="separate"/>
    </w:r>
    <w:r>
      <w:rPr>
        <w:noProof/>
      </w:rPr>
      <w:t>2</w:t>
    </w:r>
    <w:r>
      <w:rPr>
        <w:noProof/>
      </w:rPr>
      <w:fldChar w:fldCharType="end"/>
    </w:r>
  </w:p>
  <w:p w14:paraId="08D691E2" w14:textId="3D65CB7E" w:rsidR="00435274" w:rsidRDefault="00435274" w:rsidP="0093234A">
    <w:pPr>
      <w:pStyle w:val="Header"/>
    </w:pPr>
    <w:r>
      <w:rPr>
        <w:noProof/>
      </w:rPr>
      <w:t>EG-ITRs-2\</w:t>
    </w:r>
    <w:r w:rsidR="00BC5803">
      <w:rPr>
        <w:noProof/>
      </w:rPr>
      <w:t>8</w:t>
    </w:r>
    <w:r>
      <w:rPr>
        <w:noProof/>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34CC" w14:textId="77777777" w:rsidR="0010212A" w:rsidRDefault="005C4E35">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C0B1A4D" w14:textId="77777777" w:rsidR="0010212A" w:rsidRDefault="005C4E35">
    <w:pPr>
      <w:pStyle w:val="Header"/>
    </w:pPr>
    <w:r>
      <w:t>C2001/#-F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A6F5" w14:textId="36C6D9E6" w:rsidR="0010212A" w:rsidRDefault="005C4E35" w:rsidP="00475FB3">
    <w:pPr>
      <w:pStyle w:val="Header"/>
    </w:pPr>
    <w:r>
      <w:fldChar w:fldCharType="begin"/>
    </w:r>
    <w:r>
      <w:instrText>PAGE</w:instrText>
    </w:r>
    <w:r>
      <w:fldChar w:fldCharType="separate"/>
    </w:r>
    <w:r w:rsidR="00960D00">
      <w:rPr>
        <w:noProof/>
      </w:rPr>
      <w:t>5</w:t>
    </w:r>
    <w:r>
      <w:rPr>
        <w:noProof/>
      </w:rPr>
      <w:fldChar w:fldCharType="end"/>
    </w:r>
  </w:p>
  <w:p w14:paraId="4C26CA76" w14:textId="71BFBAC9" w:rsidR="0010212A" w:rsidRDefault="005C4E35" w:rsidP="00291C45">
    <w:pPr>
      <w:pStyle w:val="Header"/>
      <w:spacing w:after="120"/>
    </w:pPr>
    <w:r>
      <w:rPr>
        <w:noProof/>
      </w:rPr>
      <w:t>EG-ITRs-</w:t>
    </w:r>
    <w:r w:rsidR="005F2DF4">
      <w:rPr>
        <w:noProof/>
      </w:rPr>
      <w:t>3</w:t>
    </w:r>
    <w:r>
      <w:rPr>
        <w:noProof/>
      </w:rPr>
      <w:t>\</w:t>
    </w:r>
    <w:r w:rsidR="005F2DF4">
      <w:rPr>
        <w:noProof/>
      </w:rPr>
      <w:t>2</w:t>
    </w:r>
    <w:r>
      <w:rPr>
        <w:noProof/>
      </w:rPr>
      <w:t>-F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E251" w14:textId="77777777" w:rsidR="000614BF" w:rsidRDefault="000614BF" w:rsidP="000614BF">
    <w:pPr>
      <w:pStyle w:val="Header"/>
    </w:pPr>
    <w:r>
      <w:fldChar w:fldCharType="begin"/>
    </w:r>
    <w:r>
      <w:instrText>PAGE</w:instrText>
    </w:r>
    <w:r>
      <w:fldChar w:fldCharType="separate"/>
    </w:r>
    <w:r>
      <w:t>17</w:t>
    </w:r>
    <w:r>
      <w:rPr>
        <w:noProof/>
      </w:rPr>
      <w:fldChar w:fldCharType="end"/>
    </w:r>
  </w:p>
  <w:p w14:paraId="2A2D9DC9" w14:textId="62140708" w:rsidR="000614BF" w:rsidRDefault="000614BF" w:rsidP="000614BF">
    <w:pPr>
      <w:pStyle w:val="Header"/>
    </w:pPr>
    <w:r>
      <w:rPr>
        <w:noProof/>
      </w:rPr>
      <w:t>EG-ITRs-</w:t>
    </w:r>
    <w:r w:rsidR="005F2DF4">
      <w:rPr>
        <w:noProof/>
      </w:rPr>
      <w:t>3</w:t>
    </w:r>
    <w:r>
      <w:rPr>
        <w:noProof/>
      </w:rPr>
      <w:t>\</w:t>
    </w:r>
    <w:r w:rsidR="005F2DF4">
      <w:rPr>
        <w:noProof/>
      </w:rPr>
      <w:t>2</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A24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EE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261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881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D68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4B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FC0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36F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EC0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C4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562B0"/>
    <w:multiLevelType w:val="hybridMultilevel"/>
    <w:tmpl w:val="79008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C93579"/>
    <w:multiLevelType w:val="hybridMultilevel"/>
    <w:tmpl w:val="4016E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F939DC"/>
    <w:multiLevelType w:val="hybridMultilevel"/>
    <w:tmpl w:val="F198F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A031EFA"/>
    <w:multiLevelType w:val="hybridMultilevel"/>
    <w:tmpl w:val="3ED8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8EE5B0E"/>
    <w:multiLevelType w:val="hybridMultilevel"/>
    <w:tmpl w:val="BF8CFF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955576A"/>
    <w:multiLevelType w:val="hybridMultilevel"/>
    <w:tmpl w:val="B448A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E148E5"/>
    <w:multiLevelType w:val="hybridMultilevel"/>
    <w:tmpl w:val="4CBA0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14856A9"/>
    <w:multiLevelType w:val="hybridMultilevel"/>
    <w:tmpl w:val="CD76B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4B24050"/>
    <w:multiLevelType w:val="hybridMultilevel"/>
    <w:tmpl w:val="F54CE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B8B12D7"/>
    <w:multiLevelType w:val="hybridMultilevel"/>
    <w:tmpl w:val="FDA43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5853AC7"/>
    <w:multiLevelType w:val="hybridMultilevel"/>
    <w:tmpl w:val="662284D0"/>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4"/>
  </w:num>
  <w:num w:numId="15">
    <w:abstractNumId w:val="21"/>
  </w:num>
  <w:num w:numId="16">
    <w:abstractNumId w:val="19"/>
  </w:num>
  <w:num w:numId="17">
    <w:abstractNumId w:val="16"/>
  </w:num>
  <w:num w:numId="18">
    <w:abstractNumId w:val="15"/>
  </w:num>
  <w:num w:numId="19">
    <w:abstractNumId w:val="18"/>
  </w:num>
  <w:num w:numId="20">
    <w:abstractNumId w:val="1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72"/>
    <w:rsid w:val="00013AE6"/>
    <w:rsid w:val="00026997"/>
    <w:rsid w:val="00045F2E"/>
    <w:rsid w:val="000614BF"/>
    <w:rsid w:val="00070BC3"/>
    <w:rsid w:val="00072FB8"/>
    <w:rsid w:val="00073BB7"/>
    <w:rsid w:val="0009289A"/>
    <w:rsid w:val="00096E1D"/>
    <w:rsid w:val="000C1498"/>
    <w:rsid w:val="000D0D0A"/>
    <w:rsid w:val="000F3756"/>
    <w:rsid w:val="00102C77"/>
    <w:rsid w:val="00103163"/>
    <w:rsid w:val="00115D93"/>
    <w:rsid w:val="00121D37"/>
    <w:rsid w:val="001247A8"/>
    <w:rsid w:val="001378C0"/>
    <w:rsid w:val="001417F2"/>
    <w:rsid w:val="00146A00"/>
    <w:rsid w:val="00172172"/>
    <w:rsid w:val="00174173"/>
    <w:rsid w:val="00184583"/>
    <w:rsid w:val="0018694A"/>
    <w:rsid w:val="00187322"/>
    <w:rsid w:val="001A3287"/>
    <w:rsid w:val="001A6508"/>
    <w:rsid w:val="001C5CC1"/>
    <w:rsid w:val="001D2F25"/>
    <w:rsid w:val="001D4C31"/>
    <w:rsid w:val="001E4D21"/>
    <w:rsid w:val="001F4AC3"/>
    <w:rsid w:val="001F542F"/>
    <w:rsid w:val="00207CD1"/>
    <w:rsid w:val="002477A2"/>
    <w:rsid w:val="00252761"/>
    <w:rsid w:val="002602E0"/>
    <w:rsid w:val="00261AA9"/>
    <w:rsid w:val="00263A51"/>
    <w:rsid w:val="00267E02"/>
    <w:rsid w:val="00284021"/>
    <w:rsid w:val="00291C45"/>
    <w:rsid w:val="002A3E94"/>
    <w:rsid w:val="002A5D44"/>
    <w:rsid w:val="002A7F86"/>
    <w:rsid w:val="002E0BC4"/>
    <w:rsid w:val="002E7B63"/>
    <w:rsid w:val="002F15F8"/>
    <w:rsid w:val="002F1B76"/>
    <w:rsid w:val="002F65B0"/>
    <w:rsid w:val="003032E3"/>
    <w:rsid w:val="003239AF"/>
    <w:rsid w:val="00324D24"/>
    <w:rsid w:val="0032596E"/>
    <w:rsid w:val="0034221D"/>
    <w:rsid w:val="00350137"/>
    <w:rsid w:val="00351432"/>
    <w:rsid w:val="00351C22"/>
    <w:rsid w:val="00355FF5"/>
    <w:rsid w:val="00360EF1"/>
    <w:rsid w:val="00361350"/>
    <w:rsid w:val="003637F0"/>
    <w:rsid w:val="00383441"/>
    <w:rsid w:val="003A1950"/>
    <w:rsid w:val="003D1475"/>
    <w:rsid w:val="003D196F"/>
    <w:rsid w:val="004013D6"/>
    <w:rsid w:val="004038CB"/>
    <w:rsid w:val="0040447E"/>
    <w:rsid w:val="0040546F"/>
    <w:rsid w:val="00417424"/>
    <w:rsid w:val="0042404A"/>
    <w:rsid w:val="0042535D"/>
    <w:rsid w:val="00433FD4"/>
    <w:rsid w:val="00435274"/>
    <w:rsid w:val="004379DB"/>
    <w:rsid w:val="0044618F"/>
    <w:rsid w:val="00456881"/>
    <w:rsid w:val="00466000"/>
    <w:rsid w:val="0046769A"/>
    <w:rsid w:val="004724B1"/>
    <w:rsid w:val="00474009"/>
    <w:rsid w:val="00474A8E"/>
    <w:rsid w:val="00475FB3"/>
    <w:rsid w:val="0047694D"/>
    <w:rsid w:val="00483B8B"/>
    <w:rsid w:val="004B23C1"/>
    <w:rsid w:val="004C37A9"/>
    <w:rsid w:val="004D2123"/>
    <w:rsid w:val="004F259E"/>
    <w:rsid w:val="00511F1D"/>
    <w:rsid w:val="00520F36"/>
    <w:rsid w:val="00522E29"/>
    <w:rsid w:val="005359A6"/>
    <w:rsid w:val="00540615"/>
    <w:rsid w:val="00540A6D"/>
    <w:rsid w:val="0054202B"/>
    <w:rsid w:val="00543856"/>
    <w:rsid w:val="005701BA"/>
    <w:rsid w:val="00571EEA"/>
    <w:rsid w:val="00575417"/>
    <w:rsid w:val="005768E1"/>
    <w:rsid w:val="00583BCC"/>
    <w:rsid w:val="00594462"/>
    <w:rsid w:val="005A7D29"/>
    <w:rsid w:val="005C318F"/>
    <w:rsid w:val="005C3890"/>
    <w:rsid w:val="005C4E35"/>
    <w:rsid w:val="005D41B8"/>
    <w:rsid w:val="005F2DF4"/>
    <w:rsid w:val="005F7BFE"/>
    <w:rsid w:val="00600017"/>
    <w:rsid w:val="006235CA"/>
    <w:rsid w:val="00647A6F"/>
    <w:rsid w:val="006613A6"/>
    <w:rsid w:val="006643AB"/>
    <w:rsid w:val="00677298"/>
    <w:rsid w:val="006804DF"/>
    <w:rsid w:val="006B5C7D"/>
    <w:rsid w:val="006D0729"/>
    <w:rsid w:val="006D29F6"/>
    <w:rsid w:val="006F1234"/>
    <w:rsid w:val="006F297A"/>
    <w:rsid w:val="0070461C"/>
    <w:rsid w:val="007210CD"/>
    <w:rsid w:val="00724139"/>
    <w:rsid w:val="00732045"/>
    <w:rsid w:val="007369DB"/>
    <w:rsid w:val="0076516D"/>
    <w:rsid w:val="007956C2"/>
    <w:rsid w:val="007A187E"/>
    <w:rsid w:val="007A29F7"/>
    <w:rsid w:val="007A374D"/>
    <w:rsid w:val="007C72C2"/>
    <w:rsid w:val="007D4436"/>
    <w:rsid w:val="007E6EF5"/>
    <w:rsid w:val="007F257A"/>
    <w:rsid w:val="007F3665"/>
    <w:rsid w:val="007F7703"/>
    <w:rsid w:val="00800037"/>
    <w:rsid w:val="00826CDC"/>
    <w:rsid w:val="00831372"/>
    <w:rsid w:val="00852808"/>
    <w:rsid w:val="00861D73"/>
    <w:rsid w:val="00874D5D"/>
    <w:rsid w:val="008A4E87"/>
    <w:rsid w:val="008D76E6"/>
    <w:rsid w:val="008D7F69"/>
    <w:rsid w:val="008F45B7"/>
    <w:rsid w:val="00905809"/>
    <w:rsid w:val="0092392D"/>
    <w:rsid w:val="0093234A"/>
    <w:rsid w:val="00945592"/>
    <w:rsid w:val="00951F54"/>
    <w:rsid w:val="00960D00"/>
    <w:rsid w:val="009942BE"/>
    <w:rsid w:val="0099613D"/>
    <w:rsid w:val="009B3BDE"/>
    <w:rsid w:val="009C307F"/>
    <w:rsid w:val="009C3595"/>
    <w:rsid w:val="009F4C3D"/>
    <w:rsid w:val="00A05BAA"/>
    <w:rsid w:val="00A13A93"/>
    <w:rsid w:val="00A17C7F"/>
    <w:rsid w:val="00A2113E"/>
    <w:rsid w:val="00A23A51"/>
    <w:rsid w:val="00A24607"/>
    <w:rsid w:val="00A25CD3"/>
    <w:rsid w:val="00A32F36"/>
    <w:rsid w:val="00A34FED"/>
    <w:rsid w:val="00A40C5E"/>
    <w:rsid w:val="00A82767"/>
    <w:rsid w:val="00AA1158"/>
    <w:rsid w:val="00AA332F"/>
    <w:rsid w:val="00AA7BBB"/>
    <w:rsid w:val="00AB19B2"/>
    <w:rsid w:val="00AB2C1B"/>
    <w:rsid w:val="00AB64A8"/>
    <w:rsid w:val="00AC0266"/>
    <w:rsid w:val="00AC7A7C"/>
    <w:rsid w:val="00AC7DC1"/>
    <w:rsid w:val="00AD24EC"/>
    <w:rsid w:val="00AD3707"/>
    <w:rsid w:val="00AF7DF3"/>
    <w:rsid w:val="00B13DF6"/>
    <w:rsid w:val="00B23D3C"/>
    <w:rsid w:val="00B23E32"/>
    <w:rsid w:val="00B309F9"/>
    <w:rsid w:val="00B32B60"/>
    <w:rsid w:val="00B337F6"/>
    <w:rsid w:val="00B360B7"/>
    <w:rsid w:val="00B552A7"/>
    <w:rsid w:val="00B61619"/>
    <w:rsid w:val="00B669B6"/>
    <w:rsid w:val="00B82DCA"/>
    <w:rsid w:val="00B84194"/>
    <w:rsid w:val="00B84F39"/>
    <w:rsid w:val="00B90764"/>
    <w:rsid w:val="00B97139"/>
    <w:rsid w:val="00BA2DA0"/>
    <w:rsid w:val="00BB4545"/>
    <w:rsid w:val="00BC5803"/>
    <w:rsid w:val="00BD375D"/>
    <w:rsid w:val="00BD5873"/>
    <w:rsid w:val="00C04BE3"/>
    <w:rsid w:val="00C060A6"/>
    <w:rsid w:val="00C21DE4"/>
    <w:rsid w:val="00C25D29"/>
    <w:rsid w:val="00C27A7C"/>
    <w:rsid w:val="00C42C37"/>
    <w:rsid w:val="00C6182A"/>
    <w:rsid w:val="00C646A2"/>
    <w:rsid w:val="00C72908"/>
    <w:rsid w:val="00C87DB8"/>
    <w:rsid w:val="00C93610"/>
    <w:rsid w:val="00C94F20"/>
    <w:rsid w:val="00CA08ED"/>
    <w:rsid w:val="00CA70A5"/>
    <w:rsid w:val="00CA7C72"/>
    <w:rsid w:val="00CB0337"/>
    <w:rsid w:val="00CB04FC"/>
    <w:rsid w:val="00CB3DCF"/>
    <w:rsid w:val="00CD3850"/>
    <w:rsid w:val="00CF0B49"/>
    <w:rsid w:val="00CF183B"/>
    <w:rsid w:val="00D06D06"/>
    <w:rsid w:val="00D12EA3"/>
    <w:rsid w:val="00D232E5"/>
    <w:rsid w:val="00D26CD6"/>
    <w:rsid w:val="00D27267"/>
    <w:rsid w:val="00D375CD"/>
    <w:rsid w:val="00D431A4"/>
    <w:rsid w:val="00D45AAD"/>
    <w:rsid w:val="00D46F8B"/>
    <w:rsid w:val="00D5506F"/>
    <w:rsid w:val="00D553A2"/>
    <w:rsid w:val="00D55E79"/>
    <w:rsid w:val="00D631D0"/>
    <w:rsid w:val="00D774D3"/>
    <w:rsid w:val="00D837AA"/>
    <w:rsid w:val="00D904E8"/>
    <w:rsid w:val="00D93888"/>
    <w:rsid w:val="00DA08C3"/>
    <w:rsid w:val="00DB5A3E"/>
    <w:rsid w:val="00DC22AA"/>
    <w:rsid w:val="00DC2CA5"/>
    <w:rsid w:val="00DC64CE"/>
    <w:rsid w:val="00DD3A00"/>
    <w:rsid w:val="00DD6E63"/>
    <w:rsid w:val="00DE3850"/>
    <w:rsid w:val="00DE457D"/>
    <w:rsid w:val="00DF74DD"/>
    <w:rsid w:val="00E04898"/>
    <w:rsid w:val="00E11BDA"/>
    <w:rsid w:val="00E17798"/>
    <w:rsid w:val="00E25AD0"/>
    <w:rsid w:val="00E6708F"/>
    <w:rsid w:val="00E67C1C"/>
    <w:rsid w:val="00E77959"/>
    <w:rsid w:val="00E834A5"/>
    <w:rsid w:val="00E849C4"/>
    <w:rsid w:val="00E958CA"/>
    <w:rsid w:val="00EB6350"/>
    <w:rsid w:val="00EC2BDB"/>
    <w:rsid w:val="00EC468B"/>
    <w:rsid w:val="00F06D00"/>
    <w:rsid w:val="00F107BF"/>
    <w:rsid w:val="00F15B57"/>
    <w:rsid w:val="00F229DA"/>
    <w:rsid w:val="00F427DB"/>
    <w:rsid w:val="00F83D54"/>
    <w:rsid w:val="00F91A3C"/>
    <w:rsid w:val="00FA5EB1"/>
    <w:rsid w:val="00FA7439"/>
    <w:rsid w:val="00FC194B"/>
    <w:rsid w:val="00FC200A"/>
    <w:rsid w:val="00FC4EC0"/>
    <w:rsid w:val="00FD0765"/>
    <w:rsid w:val="00FD097A"/>
    <w:rsid w:val="00FE550D"/>
    <w:rsid w:val="00FE5CE3"/>
    <w:rsid w:val="00FF0181"/>
    <w:rsid w:val="00FF38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09AA6B"/>
  <w15:docId w15:val="{E9F50D4C-F7D8-451C-97F9-0EF326D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732045"/>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435274"/>
    <w:rPr>
      <w:rFonts w:ascii="Calibri" w:hAnsi="Calibri"/>
      <w:sz w:val="24"/>
      <w:lang w:val="fr-FR" w:eastAsia="en-US"/>
    </w:rPr>
  </w:style>
  <w:style w:type="paragraph" w:styleId="ListParagraph">
    <w:name w:val="List Paragraph"/>
    <w:basedOn w:val="Normal"/>
    <w:uiPriority w:val="34"/>
    <w:qFormat/>
    <w:rsid w:val="0043527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435274"/>
    <w:rPr>
      <w:rFonts w:ascii="Calibri" w:hAnsi="Calibri"/>
      <w:sz w:val="24"/>
      <w:lang w:val="fr-FR" w:eastAsia="en-US"/>
    </w:rPr>
  </w:style>
  <w:style w:type="character" w:customStyle="1" w:styleId="AnnexNoChar">
    <w:name w:val="Annex_No Char"/>
    <w:basedOn w:val="DefaultParagraphFont"/>
    <w:link w:val="AnnexNo"/>
    <w:rsid w:val="00435274"/>
    <w:rPr>
      <w:rFonts w:ascii="Calibri" w:hAnsi="Calibri"/>
      <w:caps/>
      <w:sz w:val="28"/>
      <w:lang w:val="fr-FR" w:eastAsia="en-US"/>
    </w:rPr>
  </w:style>
  <w:style w:type="character" w:customStyle="1" w:styleId="AnnextitleChar">
    <w:name w:val="Annex_title Char"/>
    <w:basedOn w:val="DefaultParagraphFont"/>
    <w:link w:val="Annextitle"/>
    <w:rsid w:val="00435274"/>
    <w:rPr>
      <w:rFonts w:ascii="Calibri" w:hAnsi="Calibri"/>
      <w:b/>
      <w:sz w:val="28"/>
      <w:lang w:val="fr-FR" w:eastAsia="en-US"/>
    </w:rPr>
  </w:style>
  <w:style w:type="table" w:customStyle="1" w:styleId="TableGrid1">
    <w:name w:val="Table Grid1"/>
    <w:basedOn w:val="TableNormal"/>
    <w:next w:val="TableGrid"/>
    <w:uiPriority w:val="39"/>
    <w:rsid w:val="00435274"/>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5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14BF"/>
    <w:rPr>
      <w:color w:val="605E5C"/>
      <w:shd w:val="clear" w:color="auto" w:fill="E1DFDD"/>
    </w:rPr>
  </w:style>
  <w:style w:type="character" w:customStyle="1" w:styleId="FooterChar">
    <w:name w:val="Footer Char"/>
    <w:basedOn w:val="DefaultParagraphFont"/>
    <w:link w:val="Footer"/>
    <w:rsid w:val="005F2DF4"/>
    <w:rPr>
      <w:rFonts w:ascii="Calibri" w:hAnsi="Calibri"/>
      <w:caps/>
      <w:noProof/>
      <w:sz w:val="16"/>
      <w:lang w:val="fr-FR" w:eastAsia="en-US"/>
    </w:rPr>
  </w:style>
  <w:style w:type="table" w:customStyle="1" w:styleId="TableGrid2">
    <w:name w:val="Table Grid2"/>
    <w:basedOn w:val="TableNormal"/>
    <w:next w:val="TableGrid"/>
    <w:uiPriority w:val="39"/>
    <w:rsid w:val="00C42C37"/>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rsid w:val="00FC200A"/>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8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4CD6-670F-480B-94B5-53DEBA5E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40</TotalTime>
  <Pages>9</Pages>
  <Words>2128</Words>
  <Characters>13337</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15435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Collonge, Marion</dc:creator>
  <cp:keywords/>
  <dc:description/>
  <cp:lastModifiedBy>Royer, Veronique</cp:lastModifiedBy>
  <cp:revision>8</cp:revision>
  <cp:lastPrinted>2020-02-05T13:39:00Z</cp:lastPrinted>
  <dcterms:created xsi:type="dcterms:W3CDTF">2020-09-08T08:07:00Z</dcterms:created>
  <dcterms:modified xsi:type="dcterms:W3CDTF">2020-09-08T08:47:00Z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