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1E4367EE" w14:textId="77777777">
        <w:trPr>
          <w:cantSplit/>
        </w:trPr>
        <w:tc>
          <w:tcPr>
            <w:tcW w:w="6911" w:type="dxa"/>
          </w:tcPr>
          <w:p w14:paraId="3E8A4C27" w14:textId="77777777" w:rsidR="00700D1F" w:rsidRPr="00DF23FC" w:rsidRDefault="00C06DEB" w:rsidP="00C06DEB">
            <w:pPr>
              <w:spacing w:before="360" w:after="48"/>
              <w:rPr>
                <w:rFonts w:ascii="Verdana" w:hAnsi="Verdana"/>
                <w:position w:val="6"/>
                <w:lang w:eastAsia="zh-CN"/>
              </w:rPr>
            </w:pPr>
            <w:r w:rsidRPr="008C63B0">
              <w:rPr>
                <w:rFonts w:asciiTheme="minorHAnsi" w:eastAsiaTheme="majorEastAsia" w:hAnsiTheme="minorHAnsi" w:cs="Microsoft YaHei"/>
                <w:b/>
                <w:bCs/>
                <w:sz w:val="28"/>
                <w:szCs w:val="28"/>
                <w:lang w:val="en-US" w:eastAsia="zh-CN"/>
              </w:rPr>
              <w:t>《国际电信规则》专家组（</w:t>
            </w:r>
            <w:r w:rsidRPr="008C63B0">
              <w:rPr>
                <w:rFonts w:asciiTheme="minorHAnsi" w:eastAsiaTheme="majorEastAsia" w:hAnsiTheme="minorHAnsi"/>
                <w:b/>
                <w:bCs/>
                <w:sz w:val="28"/>
                <w:szCs w:val="28"/>
                <w:lang w:val="en-US" w:eastAsia="zh-CN"/>
              </w:rPr>
              <w:t>EG</w:t>
            </w:r>
            <w:r w:rsidRPr="008C63B0">
              <w:rPr>
                <w:rFonts w:asciiTheme="minorHAnsi" w:eastAsiaTheme="majorEastAsia" w:hAnsiTheme="minorHAnsi"/>
                <w:b/>
                <w:bCs/>
                <w:sz w:val="28"/>
                <w:szCs w:val="28"/>
                <w:lang w:val="en-US" w:eastAsia="zh-CN"/>
              </w:rPr>
              <w:noBreakHyphen/>
              <w:t>ITR</w:t>
            </w:r>
            <w:r>
              <w:rPr>
                <w:rFonts w:asciiTheme="minorHAnsi" w:eastAsiaTheme="majorEastAsia" w:hAnsiTheme="minorHAnsi" w:hint="eastAsia"/>
                <w:b/>
                <w:bCs/>
                <w:sz w:val="28"/>
                <w:szCs w:val="28"/>
                <w:lang w:val="en-US" w:eastAsia="zh-CN"/>
              </w:rPr>
              <w:t>s</w:t>
            </w:r>
            <w:r w:rsidRPr="008C63B0">
              <w:rPr>
                <w:rFonts w:asciiTheme="minorHAnsi" w:eastAsiaTheme="majorEastAsia" w:hAnsiTheme="minorHAnsi" w:cs="Microsoft YaHei"/>
                <w:b/>
                <w:bCs/>
                <w:sz w:val="28"/>
                <w:szCs w:val="28"/>
                <w:lang w:val="en-US" w:eastAsia="zh-CN"/>
              </w:rPr>
              <w:t>）</w:t>
            </w:r>
          </w:p>
        </w:tc>
        <w:tc>
          <w:tcPr>
            <w:tcW w:w="3120" w:type="dxa"/>
          </w:tcPr>
          <w:p w14:paraId="5A9842B1" w14:textId="77777777" w:rsidR="00700D1F" w:rsidRDefault="0041142C" w:rsidP="000D3B1A">
            <w:pPr>
              <w:spacing w:before="0"/>
            </w:pPr>
            <w:bookmarkStart w:id="0" w:name="ditulogo"/>
            <w:bookmarkEnd w:id="0"/>
            <w:r>
              <w:rPr>
                <w:noProof/>
                <w:lang w:val="en-US" w:eastAsia="zh-CN"/>
              </w:rPr>
              <w:drawing>
                <wp:inline distT="0" distB="0" distL="0" distR="0" wp14:anchorId="2E795F0D" wp14:editId="01402ED2">
                  <wp:extent cx="609600" cy="6432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280" cy="664048"/>
                          </a:xfrm>
                          <a:prstGeom prst="rect">
                            <a:avLst/>
                          </a:prstGeom>
                        </pic:spPr>
                      </pic:pic>
                    </a:graphicData>
                  </a:graphic>
                </wp:inline>
              </w:drawing>
            </w:r>
          </w:p>
        </w:tc>
      </w:tr>
      <w:tr w:rsidR="00700D1F" w:rsidRPr="00617BE4" w14:paraId="666FC39C" w14:textId="77777777">
        <w:trPr>
          <w:cantSplit/>
        </w:trPr>
        <w:tc>
          <w:tcPr>
            <w:tcW w:w="6911" w:type="dxa"/>
            <w:tcBorders>
              <w:bottom w:val="single" w:sz="12" w:space="0" w:color="auto"/>
            </w:tcBorders>
          </w:tcPr>
          <w:p w14:paraId="1AF6D0F5" w14:textId="687E54AC" w:rsidR="00700D1F" w:rsidRPr="00617BE4" w:rsidRDefault="00EE0CE5" w:rsidP="00001B77">
            <w:pPr>
              <w:spacing w:before="0" w:after="48"/>
              <w:rPr>
                <w:b/>
                <w:smallCaps/>
                <w:szCs w:val="24"/>
                <w:lang w:eastAsia="zh-CN"/>
              </w:rPr>
            </w:pPr>
            <w:r w:rsidRPr="00D96EFC">
              <w:rPr>
                <w:rFonts w:eastAsiaTheme="minorEastAsia" w:cs="Calibri" w:hint="eastAsia"/>
                <w:b/>
                <w:bCs/>
                <w:color w:val="000000"/>
                <w:position w:val="6"/>
                <w:szCs w:val="24"/>
                <w:lang w:eastAsia="zh-CN"/>
              </w:rPr>
              <w:t>第</w:t>
            </w:r>
            <w:r w:rsidR="00610640">
              <w:rPr>
                <w:rFonts w:eastAsiaTheme="minorEastAsia" w:cs="Calibri" w:hint="eastAsia"/>
                <w:b/>
                <w:bCs/>
                <w:color w:val="000000"/>
                <w:position w:val="6"/>
                <w:szCs w:val="24"/>
                <w:lang w:eastAsia="zh-CN"/>
              </w:rPr>
              <w:t>三</w:t>
            </w:r>
            <w:r w:rsidRPr="00D96EFC">
              <w:rPr>
                <w:rFonts w:eastAsiaTheme="minorEastAsia" w:cs="Calibri" w:hint="eastAsia"/>
                <w:b/>
                <w:bCs/>
                <w:color w:val="000000"/>
                <w:position w:val="6"/>
                <w:szCs w:val="24"/>
                <w:lang w:eastAsia="zh-CN"/>
              </w:rPr>
              <w:t>次会议</w:t>
            </w:r>
            <w:r w:rsidR="00211E28">
              <w:rPr>
                <w:rFonts w:eastAsiaTheme="minorEastAsia" w:cs="Calibri" w:hint="eastAsia"/>
                <w:b/>
                <w:bCs/>
                <w:color w:val="000000"/>
                <w:position w:val="6"/>
                <w:szCs w:val="24"/>
                <w:lang w:eastAsia="zh-CN"/>
              </w:rPr>
              <w:t xml:space="preserve"> </w:t>
            </w:r>
            <w:r w:rsidR="00211E28" w:rsidRPr="00211E28">
              <w:rPr>
                <w:b/>
                <w:bCs/>
                <w:color w:val="000000"/>
                <w:position w:val="6"/>
                <w:lang w:eastAsia="zh-CN"/>
              </w:rPr>
              <w:t>–</w:t>
            </w:r>
            <w:r w:rsidR="00211E28">
              <w:rPr>
                <w:b/>
                <w:bCs/>
                <w:color w:val="000000"/>
                <w:position w:val="6"/>
                <w:lang w:eastAsia="zh-CN"/>
              </w:rPr>
              <w:t xml:space="preserve"> </w:t>
            </w:r>
            <w:r w:rsidR="00610640">
              <w:rPr>
                <w:rFonts w:hint="eastAsia"/>
                <w:b/>
                <w:bCs/>
                <w:color w:val="000000"/>
                <w:position w:val="6"/>
                <w:lang w:eastAsia="zh-CN"/>
              </w:rPr>
              <w:t>虚拟会议，</w:t>
            </w:r>
            <w:r w:rsidRPr="00D96EFC">
              <w:rPr>
                <w:b/>
                <w:bCs/>
                <w:color w:val="000000"/>
                <w:position w:val="6"/>
                <w:lang w:eastAsia="zh-CN"/>
              </w:rPr>
              <w:t>2020</w:t>
            </w:r>
            <w:r w:rsidRPr="00D96EFC">
              <w:rPr>
                <w:rFonts w:eastAsiaTheme="minorEastAsia" w:cs="Calibri" w:hint="eastAsia"/>
                <w:b/>
                <w:bCs/>
                <w:color w:val="000000"/>
                <w:position w:val="6"/>
                <w:szCs w:val="24"/>
                <w:lang w:eastAsia="zh-CN"/>
              </w:rPr>
              <w:t>年</w:t>
            </w:r>
            <w:r w:rsidR="00610640">
              <w:rPr>
                <w:rFonts w:hint="eastAsia"/>
                <w:b/>
                <w:bCs/>
                <w:color w:val="000000"/>
                <w:position w:val="6"/>
                <w:lang w:eastAsia="zh-CN"/>
              </w:rPr>
              <w:t>9</w:t>
            </w:r>
            <w:r w:rsidRPr="00D96EFC">
              <w:rPr>
                <w:rFonts w:eastAsiaTheme="minorEastAsia" w:cs="Calibri" w:hint="eastAsia"/>
                <w:b/>
                <w:bCs/>
                <w:color w:val="000000"/>
                <w:position w:val="6"/>
                <w:szCs w:val="24"/>
                <w:lang w:eastAsia="zh-CN"/>
              </w:rPr>
              <w:t>月</w:t>
            </w:r>
            <w:r w:rsidRPr="00D96EFC">
              <w:rPr>
                <w:b/>
                <w:bCs/>
                <w:color w:val="000000"/>
                <w:position w:val="6"/>
                <w:lang w:eastAsia="zh-CN"/>
              </w:rPr>
              <w:t>1</w:t>
            </w:r>
            <w:r w:rsidR="00610640">
              <w:rPr>
                <w:rFonts w:hint="eastAsia"/>
                <w:b/>
                <w:bCs/>
                <w:color w:val="000000"/>
                <w:position w:val="6"/>
                <w:lang w:eastAsia="zh-CN"/>
              </w:rPr>
              <w:t>7</w:t>
            </w:r>
            <w:r w:rsidRPr="00D96EFC">
              <w:rPr>
                <w:b/>
                <w:bCs/>
                <w:color w:val="000000"/>
                <w:position w:val="6"/>
                <w:lang w:eastAsia="zh-CN"/>
              </w:rPr>
              <w:t>-1</w:t>
            </w:r>
            <w:r w:rsidR="00610640">
              <w:rPr>
                <w:rFonts w:hint="eastAsia"/>
                <w:b/>
                <w:bCs/>
                <w:color w:val="000000"/>
                <w:position w:val="6"/>
                <w:lang w:eastAsia="zh-CN"/>
              </w:rPr>
              <w:t>8</w:t>
            </w:r>
            <w:r w:rsidRPr="00D96EFC">
              <w:rPr>
                <w:rFonts w:eastAsiaTheme="minorEastAsia" w:cs="Calibri" w:hint="eastAsia"/>
                <w:b/>
                <w:bCs/>
                <w:color w:val="000000"/>
                <w:position w:val="6"/>
                <w:szCs w:val="24"/>
                <w:lang w:eastAsia="zh-CN"/>
              </w:rPr>
              <w:t>日</w:t>
            </w:r>
          </w:p>
        </w:tc>
        <w:tc>
          <w:tcPr>
            <w:tcW w:w="3120" w:type="dxa"/>
            <w:tcBorders>
              <w:bottom w:val="single" w:sz="12" w:space="0" w:color="auto"/>
            </w:tcBorders>
          </w:tcPr>
          <w:p w14:paraId="09BB0306" w14:textId="77777777" w:rsidR="00700D1F" w:rsidRPr="00617BE4" w:rsidRDefault="00700D1F" w:rsidP="00001B77">
            <w:pPr>
              <w:spacing w:before="0"/>
              <w:rPr>
                <w:rFonts w:ascii="Verdana" w:hAnsi="Verdana"/>
                <w:szCs w:val="24"/>
                <w:lang w:eastAsia="zh-CN"/>
              </w:rPr>
            </w:pPr>
          </w:p>
        </w:tc>
      </w:tr>
      <w:tr w:rsidR="00700D1F" w:rsidRPr="00617BE4" w14:paraId="5542322E" w14:textId="77777777">
        <w:trPr>
          <w:cantSplit/>
        </w:trPr>
        <w:tc>
          <w:tcPr>
            <w:tcW w:w="6911" w:type="dxa"/>
            <w:tcBorders>
              <w:top w:val="single" w:sz="12" w:space="0" w:color="auto"/>
            </w:tcBorders>
          </w:tcPr>
          <w:p w14:paraId="68B02DFB" w14:textId="1FECD1CF" w:rsidR="00700D1F" w:rsidRPr="00D96EFC" w:rsidRDefault="00700D1F" w:rsidP="000D3B1A">
            <w:pPr>
              <w:spacing w:before="0" w:after="48"/>
              <w:rPr>
                <w:b/>
                <w:bCs/>
                <w:smallCaps/>
                <w:szCs w:val="24"/>
                <w:lang w:eastAsia="zh-CN"/>
              </w:rPr>
            </w:pPr>
          </w:p>
        </w:tc>
        <w:tc>
          <w:tcPr>
            <w:tcW w:w="3120" w:type="dxa"/>
            <w:tcBorders>
              <w:top w:val="single" w:sz="12" w:space="0" w:color="auto"/>
            </w:tcBorders>
          </w:tcPr>
          <w:p w14:paraId="49E0EF1E" w14:textId="77777777" w:rsidR="00700D1F" w:rsidRPr="00617BE4" w:rsidRDefault="00700D1F" w:rsidP="00001B77">
            <w:pPr>
              <w:spacing w:before="0"/>
              <w:rPr>
                <w:rFonts w:ascii="Verdana" w:hAnsi="Verdana"/>
                <w:szCs w:val="24"/>
                <w:lang w:eastAsia="zh-CN"/>
              </w:rPr>
            </w:pPr>
          </w:p>
        </w:tc>
      </w:tr>
      <w:tr w:rsidR="00700D1F" w14:paraId="370DAFBB" w14:textId="77777777">
        <w:trPr>
          <w:cantSplit/>
          <w:trHeight w:val="23"/>
        </w:trPr>
        <w:tc>
          <w:tcPr>
            <w:tcW w:w="6911" w:type="dxa"/>
            <w:vMerge w:val="restart"/>
          </w:tcPr>
          <w:p w14:paraId="678BF835" w14:textId="77777777" w:rsidR="00700D1F" w:rsidRPr="00FC5386" w:rsidRDefault="00700D1F" w:rsidP="00E067C5">
            <w:pPr>
              <w:tabs>
                <w:tab w:val="left" w:pos="851"/>
              </w:tabs>
              <w:rPr>
                <w:b/>
                <w:szCs w:val="24"/>
                <w:lang w:eastAsia="zh-CN"/>
              </w:rPr>
            </w:pPr>
            <w:bookmarkStart w:id="1" w:name="dmeeting" w:colFirst="0" w:colLast="0"/>
          </w:p>
        </w:tc>
        <w:tc>
          <w:tcPr>
            <w:tcW w:w="3120" w:type="dxa"/>
          </w:tcPr>
          <w:p w14:paraId="7FBDFFDD" w14:textId="0AE848C3" w:rsidR="00700D1F" w:rsidRPr="00700D1F" w:rsidRDefault="00D81264" w:rsidP="00AD0138">
            <w:pPr>
              <w:tabs>
                <w:tab w:val="left" w:pos="851"/>
              </w:tabs>
              <w:spacing w:before="0"/>
              <w:rPr>
                <w:b/>
                <w:bCs/>
                <w:lang w:eastAsia="zh-CN"/>
              </w:rPr>
            </w:pPr>
            <w:r w:rsidRPr="00FC5386">
              <w:rPr>
                <w:rFonts w:hint="eastAsia"/>
                <w:b/>
                <w:bCs/>
                <w:szCs w:val="24"/>
                <w:lang w:val="fr-CH" w:eastAsia="zh-CN"/>
              </w:rPr>
              <w:t>文件</w:t>
            </w:r>
            <w:r w:rsidR="00610640" w:rsidRPr="00984F5D">
              <w:rPr>
                <w:b/>
                <w:bCs/>
                <w:szCs w:val="24"/>
              </w:rPr>
              <w:t xml:space="preserve"> EG-ITRs-</w:t>
            </w:r>
            <w:r w:rsidR="00610640">
              <w:rPr>
                <w:b/>
                <w:bCs/>
                <w:szCs w:val="24"/>
              </w:rPr>
              <w:t>3</w:t>
            </w:r>
            <w:r w:rsidR="00610640" w:rsidRPr="00984F5D">
              <w:rPr>
                <w:b/>
                <w:bCs/>
                <w:szCs w:val="24"/>
              </w:rPr>
              <w:t>/</w:t>
            </w:r>
            <w:r w:rsidR="00610640">
              <w:rPr>
                <w:b/>
                <w:bCs/>
                <w:szCs w:val="24"/>
              </w:rPr>
              <w:t>2</w:t>
            </w:r>
            <w:r>
              <w:rPr>
                <w:rFonts w:asciiTheme="minorHAnsi" w:hAnsiTheme="minorHAnsi" w:cs="Times New Roman Bold"/>
                <w:b/>
                <w:spacing w:val="-4"/>
                <w:lang w:val="de-CH"/>
              </w:rPr>
              <w:t>-</w:t>
            </w:r>
            <w:r w:rsidRPr="00FC5386">
              <w:rPr>
                <w:b/>
                <w:bCs/>
                <w:szCs w:val="24"/>
                <w:lang w:eastAsia="zh-CN"/>
              </w:rPr>
              <w:t>C</w:t>
            </w:r>
          </w:p>
        </w:tc>
      </w:tr>
      <w:bookmarkEnd w:id="1"/>
      <w:tr w:rsidR="00700D1F" w14:paraId="4D893EC4" w14:textId="77777777">
        <w:trPr>
          <w:cantSplit/>
          <w:trHeight w:val="23"/>
        </w:trPr>
        <w:tc>
          <w:tcPr>
            <w:tcW w:w="6911" w:type="dxa"/>
            <w:vMerge/>
          </w:tcPr>
          <w:p w14:paraId="231B68E2" w14:textId="77777777" w:rsidR="00700D1F" w:rsidRDefault="00700D1F" w:rsidP="00001B77">
            <w:pPr>
              <w:tabs>
                <w:tab w:val="left" w:pos="851"/>
              </w:tabs>
              <w:rPr>
                <w:b/>
                <w:lang w:eastAsia="zh-CN"/>
              </w:rPr>
            </w:pPr>
          </w:p>
        </w:tc>
        <w:tc>
          <w:tcPr>
            <w:tcW w:w="3120" w:type="dxa"/>
          </w:tcPr>
          <w:p w14:paraId="6D9378AC" w14:textId="35766884" w:rsidR="00700D1F" w:rsidRPr="00FC5386" w:rsidRDefault="00700D1F" w:rsidP="00AD0138">
            <w:pPr>
              <w:tabs>
                <w:tab w:val="left" w:pos="993"/>
              </w:tabs>
              <w:spacing w:before="0"/>
              <w:rPr>
                <w:b/>
                <w:bCs/>
                <w:szCs w:val="24"/>
                <w:lang w:eastAsia="zh-CN"/>
              </w:rPr>
            </w:pPr>
            <w:r w:rsidRPr="00FC5386">
              <w:rPr>
                <w:b/>
                <w:bCs/>
                <w:szCs w:val="24"/>
                <w:lang w:eastAsia="zh-CN"/>
              </w:rPr>
              <w:t>20</w:t>
            </w:r>
            <w:r w:rsidR="000D3B1A">
              <w:rPr>
                <w:b/>
                <w:bCs/>
                <w:szCs w:val="24"/>
                <w:lang w:eastAsia="zh-CN"/>
              </w:rPr>
              <w:t>20</w:t>
            </w:r>
            <w:r w:rsidRPr="00FC5386">
              <w:rPr>
                <w:rFonts w:hint="eastAsia"/>
                <w:b/>
                <w:bCs/>
                <w:szCs w:val="24"/>
                <w:lang w:eastAsia="zh-CN"/>
              </w:rPr>
              <w:t>年</w:t>
            </w:r>
            <w:r w:rsidR="00610640">
              <w:rPr>
                <w:rFonts w:asciiTheme="minorHAnsi" w:hAnsiTheme="minorHAnsi" w:cstheme="minorHAnsi" w:hint="eastAsia"/>
                <w:b/>
                <w:bCs/>
                <w:szCs w:val="24"/>
                <w:lang w:eastAsia="zh-CN"/>
              </w:rPr>
              <w:t>9</w:t>
            </w:r>
            <w:r w:rsidRPr="00FC5386">
              <w:rPr>
                <w:rFonts w:hint="eastAsia"/>
                <w:b/>
                <w:bCs/>
                <w:szCs w:val="24"/>
                <w:lang w:eastAsia="zh-CN"/>
              </w:rPr>
              <w:t>月</w:t>
            </w:r>
            <w:r w:rsidR="00AD0138">
              <w:rPr>
                <w:rFonts w:asciiTheme="minorHAnsi" w:hAnsiTheme="minorHAnsi" w:cstheme="minorHAnsi"/>
                <w:b/>
                <w:bCs/>
                <w:szCs w:val="24"/>
                <w:lang w:eastAsia="zh-CN"/>
              </w:rPr>
              <w:t>2</w:t>
            </w:r>
            <w:r w:rsidRPr="00FC5386">
              <w:rPr>
                <w:rFonts w:hint="eastAsia"/>
                <w:b/>
                <w:bCs/>
                <w:szCs w:val="24"/>
                <w:lang w:eastAsia="zh-CN"/>
              </w:rPr>
              <w:t>日</w:t>
            </w:r>
          </w:p>
        </w:tc>
      </w:tr>
      <w:tr w:rsidR="00700D1F" w14:paraId="682E888C" w14:textId="77777777">
        <w:trPr>
          <w:cantSplit/>
          <w:trHeight w:val="23"/>
        </w:trPr>
        <w:tc>
          <w:tcPr>
            <w:tcW w:w="6911" w:type="dxa"/>
            <w:vMerge/>
          </w:tcPr>
          <w:p w14:paraId="2539CEC7" w14:textId="77777777" w:rsidR="00700D1F" w:rsidRDefault="00700D1F" w:rsidP="00001B77">
            <w:pPr>
              <w:tabs>
                <w:tab w:val="left" w:pos="851"/>
              </w:tabs>
              <w:rPr>
                <w:b/>
                <w:lang w:eastAsia="zh-CN"/>
              </w:rPr>
            </w:pPr>
          </w:p>
        </w:tc>
        <w:tc>
          <w:tcPr>
            <w:tcW w:w="3120" w:type="dxa"/>
          </w:tcPr>
          <w:p w14:paraId="35BE7F83"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14:paraId="1F275F2B" w14:textId="77777777">
        <w:trPr>
          <w:cantSplit/>
        </w:trPr>
        <w:tc>
          <w:tcPr>
            <w:tcW w:w="10031" w:type="dxa"/>
          </w:tcPr>
          <w:p w14:paraId="5C395965" w14:textId="7AE63732" w:rsidR="0093362E" w:rsidRPr="00610640" w:rsidRDefault="00610640" w:rsidP="00AF1A83">
            <w:pPr>
              <w:pStyle w:val="Title1"/>
              <w:rPr>
                <w:rFonts w:asciiTheme="minorHAnsi" w:eastAsiaTheme="minorEastAsia" w:hAnsiTheme="minorHAnsi" w:cstheme="minorHAnsi"/>
                <w:b/>
                <w:bCs/>
                <w:lang w:eastAsia="zh-CN"/>
              </w:rPr>
            </w:pPr>
            <w:r w:rsidRPr="00610640">
              <w:rPr>
                <w:rFonts w:cs="Calibri" w:hint="eastAsia"/>
                <w:b/>
                <w:bCs/>
                <w:lang w:eastAsia="zh-CN"/>
              </w:rPr>
              <w:t>南非共和国</w:t>
            </w:r>
          </w:p>
        </w:tc>
      </w:tr>
      <w:tr w:rsidR="00610640" w14:paraId="77354E02" w14:textId="77777777">
        <w:trPr>
          <w:cantSplit/>
        </w:trPr>
        <w:tc>
          <w:tcPr>
            <w:tcW w:w="10031" w:type="dxa"/>
          </w:tcPr>
          <w:p w14:paraId="5FEF379C" w14:textId="1111131B" w:rsidR="00610640" w:rsidRPr="00AF1A83" w:rsidRDefault="00610640" w:rsidP="00AF1A83">
            <w:pPr>
              <w:pStyle w:val="Title1"/>
              <w:rPr>
                <w:rFonts w:asciiTheme="minorHAnsi" w:eastAsiaTheme="minorEastAsia" w:hAnsiTheme="minorHAnsi" w:cstheme="minorHAnsi"/>
                <w:b/>
                <w:lang w:eastAsia="zh-CN"/>
              </w:rPr>
            </w:pPr>
            <w:r w:rsidRPr="00AA679A">
              <w:rPr>
                <w:rFonts w:cs="Calibri" w:hint="eastAsia"/>
                <w:lang w:eastAsia="zh-CN"/>
              </w:rPr>
              <w:t>对《国际电信规则》的全面审议</w:t>
            </w:r>
          </w:p>
        </w:tc>
      </w:tr>
    </w:tbl>
    <w:p w14:paraId="1B0003E7" w14:textId="040512D4" w:rsidR="00436F1F" w:rsidRPr="00436F1F" w:rsidRDefault="00436F1F" w:rsidP="00436F1F">
      <w:pPr>
        <w:tabs>
          <w:tab w:val="clear" w:pos="794"/>
          <w:tab w:val="clear" w:pos="1191"/>
          <w:tab w:val="clear" w:pos="1588"/>
          <w:tab w:val="clear" w:pos="1985"/>
        </w:tabs>
        <w:snapToGrid w:val="0"/>
        <w:spacing w:before="240"/>
        <w:jc w:val="both"/>
        <w:rPr>
          <w:rFonts w:eastAsiaTheme="minorEastAsia" w:cs="Calibri"/>
          <w:b/>
          <w:color w:val="000000" w:themeColor="text1"/>
          <w:sz w:val="22"/>
          <w:szCs w:val="24"/>
          <w:lang w:eastAsia="zh-CN"/>
        </w:rPr>
      </w:pPr>
      <w:r>
        <w:rPr>
          <w:rFonts w:hint="eastAsia"/>
          <w:lang w:eastAsia="zh-CN"/>
        </w:rPr>
        <w:t>1</w:t>
      </w:r>
      <w:r>
        <w:rPr>
          <w:lang w:eastAsia="zh-CN"/>
        </w:rPr>
        <w:tab/>
      </w:r>
      <w:r w:rsidRPr="00AA679A">
        <w:rPr>
          <w:rFonts w:hint="eastAsia"/>
          <w:lang w:eastAsia="zh-CN"/>
        </w:rPr>
        <w:t>南非共和国感谢</w:t>
      </w:r>
      <w:r w:rsidR="00BC1507">
        <w:rPr>
          <w:rFonts w:hint="eastAsia"/>
          <w:lang w:eastAsia="zh-CN"/>
        </w:rPr>
        <w:t>再次</w:t>
      </w:r>
      <w:r w:rsidRPr="00AA679A">
        <w:rPr>
          <w:rFonts w:hint="eastAsia"/>
          <w:lang w:eastAsia="zh-CN"/>
        </w:rPr>
        <w:t>有机会再次参加《国际电信规则》专家组（</w:t>
      </w:r>
      <w:r w:rsidRPr="00AA679A">
        <w:rPr>
          <w:rFonts w:hint="eastAsia"/>
          <w:lang w:eastAsia="zh-CN"/>
        </w:rPr>
        <w:t>E</w:t>
      </w:r>
      <w:r w:rsidRPr="00AA679A">
        <w:rPr>
          <w:lang w:eastAsia="zh-CN"/>
        </w:rPr>
        <w:t>G-ITRs</w:t>
      </w:r>
      <w:r w:rsidRPr="00AA679A">
        <w:rPr>
          <w:rFonts w:hint="eastAsia"/>
          <w:lang w:eastAsia="zh-CN"/>
        </w:rPr>
        <w:t>）与全面审议《国际电信规则》（</w:t>
      </w:r>
      <w:r w:rsidRPr="00AA679A">
        <w:rPr>
          <w:rFonts w:hint="eastAsia"/>
          <w:lang w:eastAsia="zh-CN"/>
        </w:rPr>
        <w:t>ITR</w:t>
      </w:r>
      <w:r w:rsidRPr="00AA679A">
        <w:rPr>
          <w:rFonts w:hint="eastAsia"/>
          <w:lang w:eastAsia="zh-CN"/>
        </w:rPr>
        <w:t>）有关的重要工作。</w:t>
      </w:r>
    </w:p>
    <w:p w14:paraId="2F89E863" w14:textId="564EF6A0" w:rsidR="00436F1F" w:rsidRDefault="00436F1F" w:rsidP="00436F1F">
      <w:pPr>
        <w:tabs>
          <w:tab w:val="clear" w:pos="794"/>
          <w:tab w:val="clear" w:pos="1191"/>
          <w:tab w:val="clear" w:pos="1588"/>
          <w:tab w:val="clear" w:pos="1985"/>
        </w:tabs>
        <w:snapToGrid w:val="0"/>
        <w:spacing w:before="240"/>
        <w:jc w:val="both"/>
        <w:rPr>
          <w:rFonts w:cstheme="minorHAnsi"/>
          <w:szCs w:val="24"/>
          <w:lang w:eastAsia="zh-CN"/>
        </w:rPr>
      </w:pPr>
      <w:r w:rsidRPr="00436F1F">
        <w:rPr>
          <w:rFonts w:cs="Calibri" w:hint="eastAsia"/>
          <w:bCs/>
          <w:color w:val="000000" w:themeColor="text1"/>
          <w:szCs w:val="24"/>
          <w:lang w:eastAsia="zh-CN"/>
        </w:rPr>
        <w:t>2</w:t>
      </w:r>
      <w:r>
        <w:rPr>
          <w:rFonts w:cs="Calibri"/>
          <w:b/>
          <w:color w:val="000000" w:themeColor="text1"/>
          <w:szCs w:val="24"/>
          <w:lang w:eastAsia="zh-CN"/>
        </w:rPr>
        <w:tab/>
      </w:r>
      <w:r w:rsidR="00BC1507" w:rsidRPr="00BC1507">
        <w:rPr>
          <w:lang w:eastAsia="zh-CN"/>
        </w:rPr>
        <w:t>南非共和国</w:t>
      </w:r>
      <w:r w:rsidR="00BC1507">
        <w:rPr>
          <w:rFonts w:hint="eastAsia"/>
          <w:lang w:eastAsia="zh-CN"/>
        </w:rPr>
        <w:t>谨</w:t>
      </w:r>
      <w:r w:rsidR="00BC1507" w:rsidRPr="00BC1507">
        <w:rPr>
          <w:lang w:eastAsia="zh-CN"/>
        </w:rPr>
        <w:t>通过对</w:t>
      </w:r>
      <w:r w:rsidR="00BC1507" w:rsidRPr="00BC1507">
        <w:rPr>
          <w:lang w:eastAsia="zh-CN"/>
        </w:rPr>
        <w:t>2012</w:t>
      </w:r>
      <w:r w:rsidR="00BC1507" w:rsidRPr="00BC1507">
        <w:rPr>
          <w:lang w:eastAsia="zh-CN"/>
        </w:rPr>
        <w:t>年</w:t>
      </w:r>
      <w:r w:rsidR="00BC1507">
        <w:rPr>
          <w:rFonts w:hint="eastAsia"/>
          <w:lang w:eastAsia="zh-CN"/>
        </w:rPr>
        <w:t>版</w:t>
      </w:r>
      <w:r w:rsidR="00BC1507" w:rsidRPr="00BC1507">
        <w:rPr>
          <w:lang w:eastAsia="zh-CN"/>
        </w:rPr>
        <w:t>《</w:t>
      </w:r>
      <w:r w:rsidR="00BC1507" w:rsidRPr="00AA679A">
        <w:rPr>
          <w:rFonts w:hint="eastAsia"/>
          <w:lang w:eastAsia="zh-CN"/>
        </w:rPr>
        <w:t>国际电信规则</w:t>
      </w:r>
      <w:r w:rsidR="00BC1507" w:rsidRPr="00BC1507">
        <w:rPr>
          <w:lang w:eastAsia="zh-CN"/>
        </w:rPr>
        <w:t>》</w:t>
      </w:r>
      <w:r w:rsidR="00BC1507" w:rsidRPr="00655EB8">
        <w:rPr>
          <w:b/>
          <w:bCs/>
          <w:lang w:eastAsia="zh-CN"/>
        </w:rPr>
        <w:t>第</w:t>
      </w:r>
      <w:r w:rsidR="00BC1507" w:rsidRPr="00655EB8">
        <w:rPr>
          <w:b/>
          <w:bCs/>
          <w:lang w:eastAsia="zh-CN"/>
        </w:rPr>
        <w:t>5-8</w:t>
      </w:r>
      <w:r w:rsidR="00BC1507" w:rsidRPr="00655EB8">
        <w:rPr>
          <w:b/>
          <w:bCs/>
          <w:lang w:eastAsia="zh-CN"/>
        </w:rPr>
        <w:t>条和附录</w:t>
      </w:r>
      <w:r w:rsidR="00BC1507" w:rsidRPr="00655EB8">
        <w:rPr>
          <w:b/>
          <w:bCs/>
          <w:lang w:eastAsia="zh-CN"/>
        </w:rPr>
        <w:t>1</w:t>
      </w:r>
      <w:r w:rsidR="00BC1507">
        <w:rPr>
          <w:rFonts w:hint="eastAsia"/>
          <w:lang w:eastAsia="zh-CN"/>
        </w:rPr>
        <w:t>进行逐条</w:t>
      </w:r>
      <w:r w:rsidR="00BC1507" w:rsidRPr="00BC1507">
        <w:rPr>
          <w:lang w:eastAsia="zh-CN"/>
        </w:rPr>
        <w:t>审查</w:t>
      </w:r>
      <w:r w:rsidR="00BC1507">
        <w:rPr>
          <w:rFonts w:hint="eastAsia"/>
          <w:lang w:eastAsia="zh-CN"/>
        </w:rPr>
        <w:t>的方式</w:t>
      </w:r>
      <w:r w:rsidR="00BC1507" w:rsidRPr="00BC1507">
        <w:rPr>
          <w:lang w:eastAsia="zh-CN"/>
        </w:rPr>
        <w:t>提交</w:t>
      </w:r>
      <w:r w:rsidR="00BC1507">
        <w:rPr>
          <w:rFonts w:hint="eastAsia"/>
          <w:lang w:eastAsia="zh-CN"/>
        </w:rPr>
        <w:t>我国</w:t>
      </w:r>
      <w:r w:rsidR="00BC1507" w:rsidRPr="00BC1507">
        <w:rPr>
          <w:lang w:eastAsia="zh-CN"/>
        </w:rPr>
        <w:t>的</w:t>
      </w:r>
      <w:r w:rsidR="00BC1507">
        <w:rPr>
          <w:rFonts w:hint="eastAsia"/>
          <w:lang w:eastAsia="zh-CN"/>
        </w:rPr>
        <w:t>文稿（</w:t>
      </w:r>
      <w:r w:rsidR="00BC1507" w:rsidRPr="00BC1507">
        <w:rPr>
          <w:lang w:eastAsia="zh-CN"/>
        </w:rPr>
        <w:t>附件一</w:t>
      </w:r>
      <w:r w:rsidR="00BC1507">
        <w:rPr>
          <w:rFonts w:hint="eastAsia"/>
          <w:lang w:eastAsia="zh-CN"/>
        </w:rPr>
        <w:t>）</w:t>
      </w:r>
      <w:r w:rsidR="00BC1507" w:rsidRPr="00BC1507">
        <w:rPr>
          <w:lang w:eastAsia="zh-CN"/>
        </w:rPr>
        <w:t>。</w:t>
      </w:r>
    </w:p>
    <w:p w14:paraId="652D44C9" w14:textId="0800483A" w:rsidR="00436F1F" w:rsidRPr="00436F1F" w:rsidRDefault="00436F1F" w:rsidP="00436F1F">
      <w:pPr>
        <w:tabs>
          <w:tab w:val="clear" w:pos="794"/>
          <w:tab w:val="clear" w:pos="1191"/>
          <w:tab w:val="clear" w:pos="1588"/>
          <w:tab w:val="clear" w:pos="1985"/>
        </w:tabs>
        <w:snapToGrid w:val="0"/>
        <w:spacing w:before="240"/>
        <w:jc w:val="both"/>
        <w:rPr>
          <w:rFonts w:cs="Calibri"/>
          <w:b/>
          <w:color w:val="000000" w:themeColor="text1"/>
          <w:szCs w:val="24"/>
          <w:lang w:eastAsia="zh-CN"/>
        </w:rPr>
      </w:pPr>
      <w:r>
        <w:rPr>
          <w:rFonts w:cstheme="minorHAnsi" w:hint="eastAsia"/>
          <w:szCs w:val="24"/>
          <w:lang w:eastAsia="zh-CN"/>
        </w:rPr>
        <w:t>3</w:t>
      </w:r>
      <w:r>
        <w:rPr>
          <w:rFonts w:cstheme="minorHAnsi"/>
          <w:szCs w:val="24"/>
          <w:lang w:eastAsia="zh-CN"/>
        </w:rPr>
        <w:tab/>
      </w:r>
      <w:r w:rsidRPr="00AA679A">
        <w:rPr>
          <w:rFonts w:hint="eastAsia"/>
          <w:lang w:eastAsia="zh-CN"/>
        </w:rPr>
        <w:t>南非共和国期待着与其他成员国合作，实现国际电联的目标。</w:t>
      </w:r>
    </w:p>
    <w:p w14:paraId="6D55DC1A" w14:textId="69B4F0F7" w:rsidR="00436F1F" w:rsidRPr="00E928F3" w:rsidRDefault="00436F1F" w:rsidP="00436F1F">
      <w:pPr>
        <w:tabs>
          <w:tab w:val="clear" w:pos="794"/>
          <w:tab w:val="clear" w:pos="1191"/>
          <w:tab w:val="clear" w:pos="1588"/>
          <w:tab w:val="clear" w:pos="1985"/>
        </w:tabs>
        <w:snapToGrid w:val="0"/>
        <w:spacing w:before="480"/>
        <w:jc w:val="both"/>
        <w:rPr>
          <w:rFonts w:cs="Calibri"/>
          <w:b/>
          <w:color w:val="000000" w:themeColor="text1"/>
          <w:szCs w:val="24"/>
          <w:lang w:val="en-US" w:eastAsia="zh-CN"/>
        </w:rPr>
      </w:pPr>
      <w:r w:rsidRPr="00436F1F">
        <w:rPr>
          <w:rFonts w:cs="Calibri" w:hint="eastAsia"/>
          <w:b/>
          <w:color w:val="000000" w:themeColor="text1"/>
          <w:szCs w:val="24"/>
          <w:lang w:eastAsia="zh-CN"/>
        </w:rPr>
        <w:t>附件：</w:t>
      </w:r>
      <w:r w:rsidRPr="00436F1F">
        <w:rPr>
          <w:rFonts w:cs="Calibri" w:hint="eastAsia"/>
          <w:b/>
          <w:color w:val="000000" w:themeColor="text1"/>
          <w:szCs w:val="24"/>
          <w:lang w:eastAsia="zh-CN"/>
        </w:rPr>
        <w:t>1</w:t>
      </w:r>
      <w:r w:rsidRPr="00436F1F">
        <w:rPr>
          <w:rFonts w:cs="Calibri" w:hint="eastAsia"/>
          <w:b/>
          <w:color w:val="000000" w:themeColor="text1"/>
          <w:szCs w:val="24"/>
          <w:lang w:eastAsia="zh-CN"/>
        </w:rPr>
        <w:t>件</w:t>
      </w:r>
    </w:p>
    <w:p w14:paraId="5D8D22EC" w14:textId="0A81A6DB" w:rsidR="00436F1F" w:rsidRDefault="00436F1F">
      <w:pPr>
        <w:tabs>
          <w:tab w:val="clear" w:pos="794"/>
          <w:tab w:val="clear" w:pos="1191"/>
          <w:tab w:val="clear" w:pos="1588"/>
          <w:tab w:val="clear" w:pos="1985"/>
        </w:tabs>
        <w:overflowPunct/>
        <w:autoSpaceDE/>
        <w:autoSpaceDN/>
        <w:adjustRightInd/>
        <w:spacing w:before="0"/>
        <w:textAlignment w:val="auto"/>
        <w:rPr>
          <w:rFonts w:cs="Calibri"/>
          <w:b/>
          <w:color w:val="000000" w:themeColor="text1"/>
          <w:szCs w:val="24"/>
        </w:rPr>
      </w:pPr>
      <w:r>
        <w:rPr>
          <w:rFonts w:cs="Calibri"/>
          <w:b/>
          <w:color w:val="000000" w:themeColor="text1"/>
          <w:szCs w:val="24"/>
        </w:rPr>
        <w:br w:type="page"/>
      </w:r>
    </w:p>
    <w:p w14:paraId="654B82A5" w14:textId="53B7C2DE" w:rsidR="005E70C9" w:rsidRDefault="005E70C9" w:rsidP="005E70C9">
      <w:pPr>
        <w:pStyle w:val="AnnexNo"/>
        <w:rPr>
          <w:lang w:eastAsia="zh-CN"/>
        </w:rPr>
      </w:pPr>
      <w:bookmarkStart w:id="2" w:name="lt_pId025"/>
      <w:r>
        <w:rPr>
          <w:rFonts w:hint="eastAsia"/>
          <w:lang w:eastAsia="zh-CN"/>
        </w:rPr>
        <w:lastRenderedPageBreak/>
        <w:t>附件</w:t>
      </w:r>
      <w:r>
        <w:rPr>
          <w:rFonts w:hint="eastAsia"/>
          <w:lang w:eastAsia="zh-CN"/>
        </w:rPr>
        <w:t>1</w:t>
      </w:r>
    </w:p>
    <w:p w14:paraId="139D0E93" w14:textId="1CDFE097" w:rsidR="00436F1F" w:rsidRPr="005E70C9" w:rsidRDefault="005E70C9" w:rsidP="005E70C9">
      <w:pPr>
        <w:pStyle w:val="Annextitle"/>
        <w:rPr>
          <w:u w:val="single"/>
        </w:rPr>
      </w:pPr>
      <w:proofErr w:type="spellStart"/>
      <w:r w:rsidRPr="005E70C9">
        <w:rPr>
          <w:u w:val="single"/>
        </w:rPr>
        <w:t>审查表</w:t>
      </w:r>
      <w:bookmarkEnd w:id="2"/>
      <w:proofErr w:type="spellEnd"/>
    </w:p>
    <w:tbl>
      <w:tblPr>
        <w:tblStyle w:val="TableGrid11"/>
        <w:tblW w:w="10519" w:type="dxa"/>
        <w:jc w:val="center"/>
        <w:tblLayout w:type="fixed"/>
        <w:tblLook w:val="04A0" w:firstRow="1" w:lastRow="0" w:firstColumn="1" w:lastColumn="0" w:noHBand="0" w:noVBand="1"/>
      </w:tblPr>
      <w:tblGrid>
        <w:gridCol w:w="909"/>
        <w:gridCol w:w="2104"/>
        <w:gridCol w:w="2104"/>
        <w:gridCol w:w="2047"/>
        <w:gridCol w:w="2045"/>
        <w:gridCol w:w="1310"/>
      </w:tblGrid>
      <w:tr w:rsidR="00436F1F" w:rsidRPr="00436F1F" w14:paraId="0E5F23DB" w14:textId="77777777" w:rsidTr="00436F1F">
        <w:trPr>
          <w:jc w:val="center"/>
        </w:trPr>
        <w:tc>
          <w:tcPr>
            <w:tcW w:w="909" w:type="dxa"/>
            <w:tcMar>
              <w:left w:w="85" w:type="dxa"/>
              <w:right w:w="85" w:type="dxa"/>
            </w:tcMar>
            <w:vAlign w:val="center"/>
          </w:tcPr>
          <w:p w14:paraId="0B44DE25" w14:textId="77777777" w:rsidR="00436F1F" w:rsidRPr="005E70C9" w:rsidRDefault="00436F1F" w:rsidP="005E70C9">
            <w:pPr>
              <w:pStyle w:val="Tabletitle"/>
              <w:rPr>
                <w:rFonts w:asciiTheme="minorHAnsi" w:eastAsiaTheme="minorEastAsia" w:hAnsiTheme="minorHAnsi" w:cstheme="minorHAnsi"/>
                <w:sz w:val="18"/>
                <w:szCs w:val="18"/>
                <w:highlight w:val="yellow"/>
              </w:rPr>
            </w:pPr>
            <w:r w:rsidRPr="005E70C9">
              <w:rPr>
                <w:rFonts w:asciiTheme="minorHAnsi" w:eastAsiaTheme="minorEastAsia" w:hAnsiTheme="minorHAnsi" w:cstheme="minorHAnsi"/>
                <w:sz w:val="18"/>
                <w:szCs w:val="18"/>
              </w:rPr>
              <w:t>2012</w:t>
            </w:r>
            <w:proofErr w:type="spellStart"/>
            <w:r w:rsidRPr="005E70C9">
              <w:rPr>
                <w:rFonts w:asciiTheme="minorHAnsi" w:eastAsiaTheme="minorEastAsia" w:hAnsiTheme="minorHAnsi" w:cstheme="minorHAnsi"/>
                <w:sz w:val="18"/>
                <w:szCs w:val="18"/>
              </w:rPr>
              <w:t>年版条款</w:t>
            </w:r>
            <w:proofErr w:type="spellEnd"/>
          </w:p>
        </w:tc>
        <w:tc>
          <w:tcPr>
            <w:tcW w:w="2104" w:type="dxa"/>
            <w:tcMar>
              <w:left w:w="85" w:type="dxa"/>
              <w:right w:w="85" w:type="dxa"/>
            </w:tcMar>
            <w:vAlign w:val="center"/>
          </w:tcPr>
          <w:p w14:paraId="6C0AE284" w14:textId="0DB4A1A6" w:rsidR="007276F5" w:rsidRPr="005E70C9" w:rsidRDefault="00436F1F" w:rsidP="005E70C9">
            <w:pPr>
              <w:pStyle w:val="Tabletitle"/>
              <w:rPr>
                <w:rFonts w:asciiTheme="minorHAnsi" w:eastAsiaTheme="minorEastAsia" w:hAnsiTheme="minorHAnsi" w:cstheme="minorHAnsi"/>
                <w:sz w:val="18"/>
                <w:szCs w:val="18"/>
                <w:highlight w:val="yellow"/>
              </w:rPr>
            </w:pPr>
            <w:proofErr w:type="spellStart"/>
            <w:r w:rsidRPr="005E70C9">
              <w:rPr>
                <w:rFonts w:asciiTheme="minorHAnsi" w:eastAsiaTheme="minorEastAsia" w:hAnsiTheme="minorHAnsi" w:cstheme="minorHAnsi"/>
                <w:sz w:val="18"/>
                <w:szCs w:val="18"/>
              </w:rPr>
              <w:t>子条款</w:t>
            </w:r>
            <w:proofErr w:type="spellEnd"/>
          </w:p>
        </w:tc>
        <w:tc>
          <w:tcPr>
            <w:tcW w:w="2104" w:type="dxa"/>
            <w:tcMar>
              <w:left w:w="85" w:type="dxa"/>
              <w:right w:w="85" w:type="dxa"/>
            </w:tcMar>
            <w:vAlign w:val="center"/>
          </w:tcPr>
          <w:p w14:paraId="78A0E12E" w14:textId="489A7718" w:rsidR="007276F5" w:rsidRPr="005E70C9" w:rsidRDefault="00655EB8" w:rsidP="005E70C9">
            <w:pPr>
              <w:pStyle w:val="Tabletitle"/>
              <w:rPr>
                <w:rFonts w:asciiTheme="minorHAnsi" w:eastAsiaTheme="minorEastAsia" w:hAnsiTheme="minorHAnsi" w:cstheme="minorHAnsi"/>
                <w:sz w:val="18"/>
                <w:szCs w:val="18"/>
              </w:rPr>
            </w:pPr>
            <w:proofErr w:type="spellStart"/>
            <w:r w:rsidRPr="005E70C9">
              <w:rPr>
                <w:rFonts w:asciiTheme="minorHAnsi" w:eastAsiaTheme="minorEastAsia" w:hAnsiTheme="minorHAnsi" w:cstheme="minorHAnsi"/>
                <w:sz w:val="18"/>
                <w:szCs w:val="18"/>
              </w:rPr>
              <w:t>相关的</w:t>
            </w:r>
            <w:proofErr w:type="spellEnd"/>
            <w:r w:rsidR="00436F1F" w:rsidRPr="005E70C9">
              <w:rPr>
                <w:rFonts w:asciiTheme="minorHAnsi" w:eastAsiaTheme="minorEastAsia" w:hAnsiTheme="minorHAnsi" w:cstheme="minorHAnsi"/>
                <w:sz w:val="18"/>
                <w:szCs w:val="18"/>
              </w:rPr>
              <w:t>1988</w:t>
            </w:r>
            <w:proofErr w:type="spellStart"/>
            <w:r w:rsidR="00436F1F" w:rsidRPr="005E70C9">
              <w:rPr>
                <w:rFonts w:asciiTheme="minorHAnsi" w:eastAsiaTheme="minorEastAsia" w:hAnsiTheme="minorHAnsi" w:cstheme="minorHAnsi"/>
                <w:sz w:val="18"/>
                <w:szCs w:val="18"/>
              </w:rPr>
              <w:t>年版</w:t>
            </w:r>
            <w:proofErr w:type="spellEnd"/>
            <w:r w:rsidR="00436F1F" w:rsidRPr="005E70C9">
              <w:rPr>
                <w:rFonts w:asciiTheme="minorHAnsi" w:eastAsiaTheme="minorEastAsia" w:hAnsiTheme="minorHAnsi" w:cstheme="minorHAnsi"/>
                <w:sz w:val="18"/>
                <w:szCs w:val="18"/>
              </w:rPr>
              <w:br/>
            </w:r>
            <w:proofErr w:type="spellStart"/>
            <w:r w:rsidR="00436F1F" w:rsidRPr="005E70C9">
              <w:rPr>
                <w:rFonts w:asciiTheme="minorHAnsi" w:eastAsiaTheme="minorEastAsia" w:hAnsiTheme="minorHAnsi" w:cstheme="minorHAnsi"/>
                <w:sz w:val="18"/>
                <w:szCs w:val="18"/>
              </w:rPr>
              <w:t>子条款</w:t>
            </w:r>
            <w:proofErr w:type="spellEnd"/>
          </w:p>
        </w:tc>
        <w:tc>
          <w:tcPr>
            <w:tcW w:w="2047" w:type="dxa"/>
            <w:tcMar>
              <w:left w:w="85" w:type="dxa"/>
              <w:right w:w="85" w:type="dxa"/>
            </w:tcMar>
            <w:vAlign w:val="center"/>
          </w:tcPr>
          <w:p w14:paraId="4EEB8C09" w14:textId="42FBB725" w:rsidR="00436F1F" w:rsidRPr="005E70C9" w:rsidRDefault="00B27048" w:rsidP="005E70C9">
            <w:pPr>
              <w:pStyle w:val="Tabletitle"/>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sz w:val="18"/>
                <w:szCs w:val="18"/>
                <w:lang w:eastAsia="zh-CN"/>
              </w:rPr>
              <w:t>在促进网络和业务提供与发展</w:t>
            </w:r>
            <w:r w:rsidR="00655EB8" w:rsidRPr="005E70C9">
              <w:rPr>
                <w:rFonts w:asciiTheme="minorHAnsi" w:eastAsiaTheme="minorEastAsia" w:hAnsiTheme="minorHAnsi" w:cstheme="minorHAnsi"/>
                <w:sz w:val="18"/>
                <w:szCs w:val="18"/>
                <w:lang w:eastAsia="zh-CN"/>
              </w:rPr>
              <w:t>方面</w:t>
            </w:r>
            <w:r w:rsidRPr="005E70C9">
              <w:rPr>
                <w:rFonts w:asciiTheme="minorHAnsi" w:eastAsiaTheme="minorEastAsia" w:hAnsiTheme="minorHAnsi" w:cstheme="minorHAnsi"/>
                <w:sz w:val="18"/>
                <w:szCs w:val="18"/>
                <w:lang w:eastAsia="zh-CN"/>
              </w:rPr>
              <w:t>的</w:t>
            </w:r>
            <w:r w:rsidRPr="005E70C9">
              <w:rPr>
                <w:rFonts w:asciiTheme="minorHAnsi" w:eastAsiaTheme="minorEastAsia" w:hAnsiTheme="minorHAnsi" w:cstheme="minorHAnsi"/>
                <w:sz w:val="18"/>
                <w:szCs w:val="18"/>
                <w:lang w:eastAsia="zh-CN"/>
              </w:rPr>
              <w:br/>
            </w:r>
            <w:r w:rsidRPr="005E70C9">
              <w:rPr>
                <w:rFonts w:asciiTheme="minorHAnsi" w:eastAsiaTheme="minorEastAsia" w:hAnsiTheme="minorHAnsi" w:cstheme="minorHAnsi"/>
                <w:sz w:val="18"/>
                <w:szCs w:val="18"/>
                <w:lang w:eastAsia="zh-CN"/>
              </w:rPr>
              <w:t>适用性</w:t>
            </w:r>
          </w:p>
        </w:tc>
        <w:tc>
          <w:tcPr>
            <w:tcW w:w="2045" w:type="dxa"/>
            <w:tcMar>
              <w:left w:w="85" w:type="dxa"/>
              <w:right w:w="85" w:type="dxa"/>
            </w:tcMar>
            <w:vAlign w:val="center"/>
          </w:tcPr>
          <w:p w14:paraId="3D680585" w14:textId="55931AF1" w:rsidR="00436F1F" w:rsidRPr="005E70C9" w:rsidRDefault="00B27048" w:rsidP="005E70C9">
            <w:pPr>
              <w:pStyle w:val="Tabletitle"/>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sz w:val="18"/>
                <w:szCs w:val="18"/>
                <w:lang w:eastAsia="zh-CN"/>
              </w:rPr>
              <w:t>适应新趋势和</w:t>
            </w:r>
            <w:r w:rsidR="00BC1507" w:rsidRPr="005E70C9">
              <w:rPr>
                <w:rFonts w:asciiTheme="minorHAnsi" w:eastAsiaTheme="minorEastAsia" w:hAnsiTheme="minorHAnsi" w:cstheme="minorHAnsi"/>
                <w:sz w:val="18"/>
                <w:szCs w:val="18"/>
                <w:lang w:eastAsia="zh-CN"/>
              </w:rPr>
              <w:t>新问题</w:t>
            </w:r>
            <w:r w:rsidRPr="005E70C9">
              <w:rPr>
                <w:rFonts w:asciiTheme="minorHAnsi" w:eastAsiaTheme="minorEastAsia" w:hAnsiTheme="minorHAnsi" w:cstheme="minorHAnsi"/>
                <w:sz w:val="18"/>
                <w:szCs w:val="18"/>
                <w:lang w:eastAsia="zh-CN"/>
              </w:rPr>
              <w:t>的灵活性</w:t>
            </w:r>
          </w:p>
        </w:tc>
        <w:tc>
          <w:tcPr>
            <w:tcW w:w="1310" w:type="dxa"/>
            <w:tcMar>
              <w:left w:w="85" w:type="dxa"/>
              <w:right w:w="85" w:type="dxa"/>
            </w:tcMar>
          </w:tcPr>
          <w:p w14:paraId="5AA88765" w14:textId="077D68CB" w:rsidR="00436F1F" w:rsidRPr="005E70C9" w:rsidRDefault="00436F1F" w:rsidP="005E70C9">
            <w:pPr>
              <w:pStyle w:val="Tabletitle"/>
              <w:rPr>
                <w:rFonts w:asciiTheme="minorHAnsi" w:eastAsiaTheme="minorEastAsia" w:hAnsiTheme="minorHAnsi" w:cstheme="minorHAnsi"/>
                <w:sz w:val="18"/>
                <w:szCs w:val="18"/>
                <w:highlight w:val="cyan"/>
              </w:rPr>
            </w:pPr>
            <w:proofErr w:type="spellStart"/>
            <w:r w:rsidRPr="005E70C9">
              <w:rPr>
                <w:rFonts w:asciiTheme="minorHAnsi" w:eastAsiaTheme="minorEastAsia" w:hAnsiTheme="minorHAnsi" w:cstheme="minorHAnsi"/>
                <w:sz w:val="18"/>
                <w:szCs w:val="18"/>
              </w:rPr>
              <w:t>成果</w:t>
            </w:r>
            <w:proofErr w:type="spellEnd"/>
            <w:r w:rsidR="00B27048" w:rsidRPr="005E70C9">
              <w:rPr>
                <w:rFonts w:asciiTheme="minorHAnsi" w:eastAsiaTheme="minorEastAsia" w:hAnsiTheme="minorHAnsi" w:cstheme="minorHAnsi"/>
                <w:sz w:val="18"/>
                <w:szCs w:val="18"/>
              </w:rPr>
              <w:t>摘要</w:t>
            </w:r>
          </w:p>
        </w:tc>
      </w:tr>
      <w:tr w:rsidR="00154974" w:rsidRPr="00436F1F" w14:paraId="42D4EFDD" w14:textId="77777777" w:rsidTr="00436F1F">
        <w:trPr>
          <w:trHeight w:val="153"/>
          <w:jc w:val="center"/>
        </w:trPr>
        <w:tc>
          <w:tcPr>
            <w:tcW w:w="909" w:type="dxa"/>
            <w:tcMar>
              <w:left w:w="85" w:type="dxa"/>
              <w:right w:w="85" w:type="dxa"/>
            </w:tcMar>
          </w:tcPr>
          <w:p w14:paraId="72EF4D31" w14:textId="62AA30E3" w:rsidR="00154974" w:rsidRPr="005E70C9" w:rsidRDefault="00154974" w:rsidP="00154974">
            <w:pPr>
              <w:spacing w:after="60"/>
              <w:rPr>
                <w:rFonts w:asciiTheme="minorHAnsi" w:eastAsiaTheme="minorEastAsia" w:hAnsiTheme="minorHAnsi" w:cstheme="minorHAnsi"/>
                <w:b/>
                <w:bCs/>
                <w:sz w:val="18"/>
                <w:szCs w:val="18"/>
                <w:lang w:val="en-US"/>
              </w:rPr>
            </w:pPr>
            <w:bookmarkStart w:id="3" w:name="_Hlk31296445"/>
            <w:bookmarkStart w:id="4" w:name="_Hlk31296105"/>
            <w:r w:rsidRPr="005E70C9">
              <w:rPr>
                <w:rFonts w:asciiTheme="minorHAnsi" w:eastAsiaTheme="minorEastAsia" w:hAnsiTheme="minorHAnsi" w:cstheme="minorHAnsi"/>
                <w:b/>
                <w:bCs/>
                <w:sz w:val="18"/>
                <w:szCs w:val="18"/>
                <w:lang w:eastAsia="zh-CN"/>
              </w:rPr>
              <w:t>第</w:t>
            </w:r>
            <w:r w:rsidRPr="005E70C9">
              <w:rPr>
                <w:rFonts w:asciiTheme="minorHAnsi" w:eastAsiaTheme="minorEastAsia" w:hAnsiTheme="minorHAnsi" w:cstheme="minorHAnsi"/>
                <w:b/>
                <w:bCs/>
                <w:sz w:val="18"/>
                <w:szCs w:val="18"/>
                <w:lang w:eastAsia="zh-CN"/>
              </w:rPr>
              <w:t>5</w:t>
            </w:r>
            <w:r w:rsidRPr="005E70C9">
              <w:rPr>
                <w:rFonts w:asciiTheme="minorHAnsi" w:eastAsiaTheme="minorEastAsia" w:hAnsiTheme="minorHAnsi" w:cstheme="minorHAnsi"/>
                <w:b/>
                <w:bCs/>
                <w:sz w:val="18"/>
                <w:szCs w:val="18"/>
                <w:lang w:eastAsia="zh-CN"/>
              </w:rPr>
              <w:t>条</w:t>
            </w:r>
          </w:p>
        </w:tc>
        <w:tc>
          <w:tcPr>
            <w:tcW w:w="2104" w:type="dxa"/>
            <w:tcMar>
              <w:left w:w="85" w:type="dxa"/>
              <w:right w:w="85" w:type="dxa"/>
            </w:tcMar>
          </w:tcPr>
          <w:p w14:paraId="57B4DE0F" w14:textId="2F3C2371" w:rsidR="00154974" w:rsidRPr="005E70C9" w:rsidRDefault="00154974" w:rsidP="00154974">
            <w:pPr>
              <w:spacing w:after="60"/>
              <w:ind w:right="-111"/>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45</w:t>
            </w:r>
          </w:p>
          <w:p w14:paraId="61713953" w14:textId="7C86BAB0" w:rsidR="00154974" w:rsidRPr="005E70C9" w:rsidRDefault="00154974" w:rsidP="00154974">
            <w:pPr>
              <w:spacing w:after="60"/>
              <w:ind w:right="-111"/>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5.1</w:t>
            </w:r>
            <w:r w:rsidRPr="005E70C9">
              <w:rPr>
                <w:rFonts w:asciiTheme="minorHAnsi" w:eastAsiaTheme="minorEastAsia" w:hAnsiTheme="minorHAnsi" w:cstheme="minorHAnsi"/>
                <w:b/>
                <w:sz w:val="18"/>
                <w:szCs w:val="18"/>
                <w:lang w:eastAsia="zh-CN"/>
              </w:rPr>
              <w:tab/>
            </w:r>
            <w:r w:rsidRPr="005E70C9">
              <w:rPr>
                <w:rFonts w:asciiTheme="minorHAnsi" w:eastAsiaTheme="minorEastAsia" w:hAnsiTheme="minorHAnsi" w:cstheme="minorHAnsi"/>
                <w:sz w:val="18"/>
                <w:szCs w:val="18"/>
                <w:lang w:eastAsia="zh-CN"/>
              </w:rPr>
              <w:t>生命安全电信，如遇险通信，须享有当然传输的权利，并须在技术可行时，根据《组织法》和《公约》的相关条款以及适当考虑相关</w:t>
            </w:r>
            <w:r w:rsidRPr="005E70C9">
              <w:rPr>
                <w:rFonts w:asciiTheme="minorHAnsi" w:eastAsiaTheme="minorEastAsia" w:hAnsiTheme="minorHAnsi" w:cstheme="minorHAnsi"/>
                <w:sz w:val="18"/>
                <w:szCs w:val="18"/>
                <w:lang w:eastAsia="zh-CN"/>
              </w:rPr>
              <w:t>ITU-T</w:t>
            </w:r>
            <w:r w:rsidRPr="005E70C9">
              <w:rPr>
                <w:rFonts w:asciiTheme="minorHAnsi" w:eastAsiaTheme="minorEastAsia" w:hAnsiTheme="minorHAnsi" w:cstheme="minorHAnsi"/>
                <w:sz w:val="18"/>
                <w:szCs w:val="18"/>
                <w:lang w:eastAsia="zh-CN"/>
              </w:rPr>
              <w:t>建议书的情况下，与所有其它电信相比，享有绝对优先权。</w:t>
            </w:r>
          </w:p>
        </w:tc>
        <w:tc>
          <w:tcPr>
            <w:tcW w:w="2104" w:type="dxa"/>
            <w:tcMar>
              <w:left w:w="85" w:type="dxa"/>
              <w:right w:w="85" w:type="dxa"/>
            </w:tcMar>
          </w:tcPr>
          <w:p w14:paraId="707BD183" w14:textId="77777777" w:rsidR="00154974" w:rsidRPr="005E70C9" w:rsidRDefault="00154974" w:rsidP="00154974">
            <w:pPr>
              <w:spacing w:after="60"/>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39</w:t>
            </w:r>
          </w:p>
          <w:p w14:paraId="4FB10DFA" w14:textId="7183D143" w:rsidR="00B27048"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5.1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生命安全电信，如遇险电信，享有当然传输的权利，并且根据公约相关条款并适当考虑国际电报电话咨询委员会的相关建议，在技术可行的情况下，对一切其它电信享有绝对优先权。</w:t>
            </w:r>
          </w:p>
        </w:tc>
        <w:tc>
          <w:tcPr>
            <w:tcW w:w="2047" w:type="dxa"/>
            <w:tcMar>
              <w:left w:w="85" w:type="dxa"/>
              <w:right w:w="85" w:type="dxa"/>
            </w:tcMar>
          </w:tcPr>
          <w:p w14:paraId="56720E14" w14:textId="4C198358" w:rsidR="00154974" w:rsidRPr="005E70C9" w:rsidRDefault="008C37AF" w:rsidP="008C37AF">
            <w:pPr>
              <w:spacing w:after="60"/>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这一规定促进了网络和业务的提供和发展，因为它与生命安全业务相关。</w:t>
            </w:r>
          </w:p>
        </w:tc>
        <w:tc>
          <w:tcPr>
            <w:tcW w:w="2045" w:type="dxa"/>
            <w:tcMar>
              <w:left w:w="85" w:type="dxa"/>
              <w:right w:w="85" w:type="dxa"/>
            </w:tcMar>
          </w:tcPr>
          <w:p w14:paraId="790E5094" w14:textId="77777777" w:rsidR="00154974" w:rsidRPr="005E70C9" w:rsidRDefault="00154974" w:rsidP="008C37AF">
            <w:pPr>
              <w:spacing w:before="840"/>
              <w:contextualSpacing/>
              <w:rPr>
                <w:rFonts w:asciiTheme="minorHAnsi" w:eastAsiaTheme="minorEastAsia" w:hAnsiTheme="minorHAnsi" w:cstheme="minorHAnsi"/>
                <w:bCs/>
                <w:sz w:val="18"/>
                <w:szCs w:val="18"/>
                <w:lang w:eastAsia="zh-CN"/>
              </w:rPr>
            </w:pPr>
          </w:p>
          <w:p w14:paraId="3536478F" w14:textId="3A21C92D" w:rsidR="00154974" w:rsidRPr="005E70C9" w:rsidRDefault="00ED157E" w:rsidP="00C57589">
            <w:pPr>
              <w:numPr>
                <w:ilvl w:val="0"/>
                <w:numId w:val="6"/>
              </w:numPr>
              <w:tabs>
                <w:tab w:val="clear" w:pos="794"/>
                <w:tab w:val="clear" w:pos="1191"/>
                <w:tab w:val="clear" w:pos="1588"/>
                <w:tab w:val="clear" w:pos="1985"/>
              </w:tabs>
              <w:overflowPunct/>
              <w:autoSpaceDE/>
              <w:autoSpaceDN/>
              <w:adjustRightInd/>
              <w:spacing w:before="840"/>
              <w:ind w:left="260" w:hanging="283"/>
              <w:contextualSpacing/>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足够灵活；最新版的</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建议书适用。</w:t>
            </w:r>
          </w:p>
          <w:p w14:paraId="7093026F" w14:textId="2B7D5061" w:rsidR="00154974" w:rsidRPr="005E70C9" w:rsidRDefault="008C37AF" w:rsidP="00C57589">
            <w:pPr>
              <w:numPr>
                <w:ilvl w:val="0"/>
                <w:numId w:val="6"/>
              </w:numPr>
              <w:tabs>
                <w:tab w:val="clear" w:pos="794"/>
                <w:tab w:val="clear" w:pos="1191"/>
                <w:tab w:val="clear" w:pos="1588"/>
                <w:tab w:val="clear" w:pos="1985"/>
              </w:tabs>
              <w:overflowPunct/>
              <w:autoSpaceDE/>
              <w:autoSpaceDN/>
              <w:adjustRightInd/>
              <w:spacing w:before="840"/>
              <w:ind w:left="260" w:hanging="283"/>
              <w:contextualSpacing/>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此外，第</w:t>
            </w:r>
            <w:r w:rsidRPr="005E70C9">
              <w:rPr>
                <w:rFonts w:asciiTheme="minorHAnsi" w:eastAsiaTheme="minorEastAsia" w:hAnsiTheme="minorHAnsi" w:cstheme="minorHAnsi"/>
                <w:bCs/>
                <w:sz w:val="18"/>
                <w:szCs w:val="18"/>
                <w:lang w:eastAsia="zh-CN"/>
              </w:rPr>
              <w:t>5.1</w:t>
            </w:r>
            <w:r w:rsidRPr="005E70C9">
              <w:rPr>
                <w:rFonts w:asciiTheme="minorHAnsi" w:eastAsiaTheme="minorEastAsia" w:hAnsiTheme="minorHAnsi" w:cstheme="minorHAnsi"/>
                <w:bCs/>
                <w:sz w:val="18"/>
                <w:szCs w:val="18"/>
                <w:lang w:eastAsia="zh-CN"/>
              </w:rPr>
              <w:t>条可以适应网络安全等新发展趋势。</w:t>
            </w:r>
          </w:p>
        </w:tc>
        <w:tc>
          <w:tcPr>
            <w:tcW w:w="1310" w:type="dxa"/>
            <w:tcMar>
              <w:left w:w="85" w:type="dxa"/>
              <w:right w:w="85" w:type="dxa"/>
            </w:tcMar>
          </w:tcPr>
          <w:p w14:paraId="52D14F1D" w14:textId="77777777" w:rsidR="00154974" w:rsidRPr="005E70C9" w:rsidRDefault="00154974" w:rsidP="00154974">
            <w:pPr>
              <w:spacing w:after="60"/>
              <w:ind w:right="-111"/>
              <w:rPr>
                <w:rFonts w:asciiTheme="minorHAnsi" w:eastAsiaTheme="minorEastAsia" w:hAnsiTheme="minorHAnsi" w:cstheme="minorHAnsi"/>
                <w:b/>
                <w:bCs/>
                <w:sz w:val="18"/>
                <w:szCs w:val="18"/>
                <w:lang w:val="en-US"/>
              </w:rPr>
            </w:pPr>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tc>
      </w:tr>
      <w:bookmarkEnd w:id="3"/>
      <w:tr w:rsidR="00154974" w:rsidRPr="00436F1F" w14:paraId="2B6306E3" w14:textId="77777777" w:rsidTr="00436F1F">
        <w:trPr>
          <w:trHeight w:val="153"/>
          <w:jc w:val="center"/>
        </w:trPr>
        <w:tc>
          <w:tcPr>
            <w:tcW w:w="909" w:type="dxa"/>
            <w:tcMar>
              <w:left w:w="85" w:type="dxa"/>
              <w:right w:w="85" w:type="dxa"/>
            </w:tcMar>
          </w:tcPr>
          <w:p w14:paraId="7E02D370" w14:textId="24AF160A" w:rsidR="00154974" w:rsidRPr="005E70C9" w:rsidRDefault="00154974" w:rsidP="00154974">
            <w:pPr>
              <w:spacing w:after="60"/>
              <w:rPr>
                <w:rFonts w:asciiTheme="minorHAnsi" w:eastAsiaTheme="minorEastAsia" w:hAnsiTheme="minorHAnsi" w:cstheme="minorHAnsi"/>
                <w:b/>
                <w:bCs/>
                <w:sz w:val="18"/>
                <w:szCs w:val="18"/>
                <w:lang w:val="en-US"/>
              </w:rPr>
            </w:pPr>
            <w:r w:rsidRPr="005E70C9">
              <w:rPr>
                <w:rFonts w:asciiTheme="minorHAnsi" w:eastAsiaTheme="minorEastAsia" w:hAnsiTheme="minorHAnsi" w:cstheme="minorHAnsi"/>
                <w:b/>
                <w:bCs/>
                <w:sz w:val="18"/>
                <w:szCs w:val="18"/>
                <w:lang w:eastAsia="zh-CN"/>
              </w:rPr>
              <w:t>第</w:t>
            </w:r>
            <w:r w:rsidRPr="005E70C9">
              <w:rPr>
                <w:rFonts w:asciiTheme="minorHAnsi" w:eastAsiaTheme="minorEastAsia" w:hAnsiTheme="minorHAnsi" w:cstheme="minorHAnsi"/>
                <w:b/>
                <w:bCs/>
                <w:sz w:val="18"/>
                <w:szCs w:val="18"/>
                <w:lang w:eastAsia="zh-CN"/>
              </w:rPr>
              <w:t>5</w:t>
            </w:r>
            <w:r w:rsidRPr="005E70C9">
              <w:rPr>
                <w:rFonts w:asciiTheme="minorHAnsi" w:eastAsiaTheme="minorEastAsia" w:hAnsiTheme="minorHAnsi" w:cstheme="minorHAnsi"/>
                <w:b/>
                <w:bCs/>
                <w:sz w:val="18"/>
                <w:szCs w:val="18"/>
                <w:lang w:eastAsia="zh-CN"/>
              </w:rPr>
              <w:t>条</w:t>
            </w:r>
          </w:p>
        </w:tc>
        <w:tc>
          <w:tcPr>
            <w:tcW w:w="2104" w:type="dxa"/>
            <w:tcMar>
              <w:left w:w="85" w:type="dxa"/>
              <w:right w:w="85" w:type="dxa"/>
            </w:tcMar>
          </w:tcPr>
          <w:p w14:paraId="518E02D1" w14:textId="6C3D0E89" w:rsidR="00154974" w:rsidRPr="005E70C9" w:rsidRDefault="00154974" w:rsidP="00154974">
            <w:pPr>
              <w:spacing w:after="60"/>
              <w:ind w:right="-111"/>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47</w:t>
            </w:r>
          </w:p>
          <w:p w14:paraId="4D766DF1" w14:textId="0068DA5E" w:rsidR="00154974" w:rsidRPr="005E70C9" w:rsidRDefault="00154974" w:rsidP="00154974">
            <w:pPr>
              <w:spacing w:after="60"/>
              <w:ind w:right="-111"/>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5.3</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其它有关电信业务享有优先权的条款载于相关</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建议书中。</w:t>
            </w:r>
          </w:p>
        </w:tc>
        <w:tc>
          <w:tcPr>
            <w:tcW w:w="2104" w:type="dxa"/>
            <w:tcMar>
              <w:left w:w="85" w:type="dxa"/>
              <w:right w:w="85" w:type="dxa"/>
            </w:tcMar>
          </w:tcPr>
          <w:p w14:paraId="7874B24B" w14:textId="77777777" w:rsidR="00154974" w:rsidRPr="005E70C9" w:rsidRDefault="00154974" w:rsidP="00154974">
            <w:pPr>
              <w:spacing w:after="60"/>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41</w:t>
            </w:r>
          </w:p>
          <w:p w14:paraId="536492F0" w14:textId="682540B2" w:rsidR="00B27048"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5.3</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关于一切其它电信享有优先权的条款载于国际电报电话咨询委员会的相关建议内。</w:t>
            </w:r>
          </w:p>
        </w:tc>
        <w:tc>
          <w:tcPr>
            <w:tcW w:w="2047" w:type="dxa"/>
            <w:tcMar>
              <w:left w:w="85" w:type="dxa"/>
              <w:right w:w="85" w:type="dxa"/>
            </w:tcMar>
          </w:tcPr>
          <w:p w14:paraId="5465D99A" w14:textId="616CB444" w:rsidR="00154974" w:rsidRPr="005E70C9" w:rsidRDefault="008C37AF" w:rsidP="00154974">
            <w:pPr>
              <w:spacing w:after="60"/>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这一规定实际上与</w:t>
            </w:r>
            <w:r w:rsidRPr="005E70C9">
              <w:rPr>
                <w:rFonts w:asciiTheme="minorHAnsi" w:eastAsiaTheme="minorEastAsia" w:hAnsiTheme="minorHAnsi" w:cstheme="minorHAnsi"/>
                <w:bCs/>
                <w:sz w:val="18"/>
                <w:szCs w:val="18"/>
                <w:lang w:eastAsia="zh-CN"/>
              </w:rPr>
              <w:t>1988</w:t>
            </w:r>
            <w:r w:rsidRPr="005E70C9">
              <w:rPr>
                <w:rFonts w:asciiTheme="minorHAnsi" w:eastAsiaTheme="minorEastAsia" w:hAnsiTheme="minorHAnsi" w:cstheme="minorHAnsi"/>
                <w:bCs/>
                <w:sz w:val="18"/>
                <w:szCs w:val="18"/>
                <w:lang w:eastAsia="zh-CN"/>
              </w:rPr>
              <w:t>年《国际电信规则》中的规定相同，并不妨碍网络和业务的发展。</w:t>
            </w:r>
          </w:p>
        </w:tc>
        <w:tc>
          <w:tcPr>
            <w:tcW w:w="2045" w:type="dxa"/>
            <w:tcMar>
              <w:left w:w="85" w:type="dxa"/>
              <w:right w:w="85" w:type="dxa"/>
            </w:tcMar>
          </w:tcPr>
          <w:p w14:paraId="087CB571" w14:textId="77777777" w:rsidR="00154974" w:rsidRPr="005E70C9" w:rsidRDefault="00154974" w:rsidP="005E70C9">
            <w:pPr>
              <w:tabs>
                <w:tab w:val="clear" w:pos="794"/>
                <w:tab w:val="clear" w:pos="1191"/>
                <w:tab w:val="clear" w:pos="1588"/>
                <w:tab w:val="clear" w:pos="1985"/>
              </w:tabs>
              <w:overflowPunct/>
              <w:autoSpaceDE/>
              <w:autoSpaceDN/>
              <w:adjustRightInd/>
              <w:spacing w:before="840"/>
              <w:ind w:left="260"/>
              <w:contextualSpacing/>
              <w:textAlignment w:val="auto"/>
              <w:rPr>
                <w:rFonts w:asciiTheme="minorHAnsi" w:eastAsiaTheme="minorEastAsia" w:hAnsiTheme="minorHAnsi" w:cstheme="minorHAnsi"/>
                <w:bCs/>
                <w:sz w:val="18"/>
                <w:szCs w:val="18"/>
                <w:lang w:eastAsia="zh-CN"/>
              </w:rPr>
            </w:pPr>
          </w:p>
          <w:p w14:paraId="33496D58" w14:textId="12864AB2" w:rsidR="00154974" w:rsidRPr="005E70C9" w:rsidRDefault="00ED157E" w:rsidP="00C57589">
            <w:pPr>
              <w:numPr>
                <w:ilvl w:val="0"/>
                <w:numId w:val="6"/>
              </w:numPr>
              <w:tabs>
                <w:tab w:val="clear" w:pos="794"/>
                <w:tab w:val="clear" w:pos="1191"/>
                <w:tab w:val="clear" w:pos="1588"/>
                <w:tab w:val="clear" w:pos="1985"/>
              </w:tabs>
              <w:overflowPunct/>
              <w:autoSpaceDE/>
              <w:autoSpaceDN/>
              <w:adjustRightInd/>
              <w:spacing w:before="840"/>
              <w:ind w:left="260" w:hanging="283"/>
              <w:contextualSpacing/>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足够灵活；最新版的</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建议书适用。</w:t>
            </w:r>
          </w:p>
          <w:p w14:paraId="22F492C6" w14:textId="64137BCC" w:rsidR="00154974" w:rsidRPr="005E70C9" w:rsidRDefault="008C37AF" w:rsidP="00C57589">
            <w:pPr>
              <w:numPr>
                <w:ilvl w:val="0"/>
                <w:numId w:val="6"/>
              </w:numPr>
              <w:tabs>
                <w:tab w:val="clear" w:pos="794"/>
                <w:tab w:val="clear" w:pos="1191"/>
                <w:tab w:val="clear" w:pos="1588"/>
                <w:tab w:val="clear" w:pos="1985"/>
              </w:tabs>
              <w:overflowPunct/>
              <w:autoSpaceDE/>
              <w:autoSpaceDN/>
              <w:adjustRightInd/>
              <w:spacing w:before="840"/>
              <w:ind w:left="260" w:hanging="283"/>
              <w:contextualSpacing/>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必须谨慎确保政府通信仅在必要且影响到国家安全的情况下才享有优先权。必须考虑公民的宪法权利和言论自由。</w:t>
            </w:r>
          </w:p>
          <w:p w14:paraId="6259CFAC" w14:textId="606B1E77" w:rsidR="00154974" w:rsidRPr="005E70C9" w:rsidRDefault="00154974" w:rsidP="005E70C9">
            <w:pPr>
              <w:tabs>
                <w:tab w:val="clear" w:pos="794"/>
                <w:tab w:val="clear" w:pos="1191"/>
                <w:tab w:val="clear" w:pos="1588"/>
                <w:tab w:val="clear" w:pos="1985"/>
              </w:tabs>
              <w:overflowPunct/>
              <w:autoSpaceDE/>
              <w:autoSpaceDN/>
              <w:adjustRightInd/>
              <w:spacing w:before="840" w:after="60"/>
              <w:ind w:left="260"/>
              <w:contextualSpacing/>
              <w:textAlignment w:val="auto"/>
              <w:rPr>
                <w:rFonts w:asciiTheme="minorHAnsi" w:eastAsiaTheme="minorEastAsia" w:hAnsiTheme="minorHAnsi" w:cstheme="minorHAnsi"/>
                <w:bCs/>
                <w:sz w:val="18"/>
                <w:szCs w:val="18"/>
                <w:lang w:eastAsia="zh-CN"/>
              </w:rPr>
            </w:pPr>
          </w:p>
        </w:tc>
        <w:tc>
          <w:tcPr>
            <w:tcW w:w="1310" w:type="dxa"/>
            <w:tcMar>
              <w:left w:w="85" w:type="dxa"/>
              <w:right w:w="85" w:type="dxa"/>
            </w:tcMar>
          </w:tcPr>
          <w:p w14:paraId="544CC630" w14:textId="2C561B1F" w:rsidR="00154974" w:rsidRPr="005E70C9" w:rsidRDefault="00154974" w:rsidP="005E70C9">
            <w:pPr>
              <w:tabs>
                <w:tab w:val="clear" w:pos="794"/>
                <w:tab w:val="left" w:pos="198"/>
              </w:tabs>
              <w:spacing w:after="60"/>
              <w:rPr>
                <w:rFonts w:asciiTheme="minorHAnsi" w:eastAsiaTheme="minorEastAsia" w:hAnsiTheme="minorHAnsi" w:cstheme="minorHAnsi"/>
                <w:b/>
                <w:bCs/>
                <w:sz w:val="18"/>
                <w:szCs w:val="18"/>
                <w:lang w:val="en-US" w:eastAsia="zh-CN"/>
              </w:rPr>
            </w:pPr>
            <w:bookmarkStart w:id="5" w:name="lt_pId046"/>
            <w:r w:rsidRPr="005E70C9">
              <w:rPr>
                <w:rFonts w:asciiTheme="minorHAnsi" w:eastAsiaTheme="minorEastAsia" w:hAnsiTheme="minorHAnsi" w:cstheme="minorHAnsi"/>
                <w:b/>
                <w:bCs/>
                <w:sz w:val="18"/>
                <w:szCs w:val="18"/>
                <w:lang w:val="en-US" w:eastAsia="zh-CN"/>
              </w:rPr>
              <w:t>•</w:t>
            </w:r>
            <w:r w:rsidR="005E70C9">
              <w:rPr>
                <w:rFonts w:asciiTheme="minorHAnsi" w:eastAsiaTheme="minorEastAsia" w:hAnsiTheme="minorHAnsi" w:cstheme="minorHAnsi"/>
                <w:b/>
                <w:bCs/>
                <w:sz w:val="18"/>
                <w:szCs w:val="18"/>
                <w:lang w:val="en-US" w:eastAsia="zh-CN"/>
              </w:rPr>
              <w:tab/>
            </w:r>
            <w:r w:rsidRPr="005E70C9">
              <w:rPr>
                <w:rFonts w:asciiTheme="minorHAnsi" w:eastAsiaTheme="minorEastAsia" w:hAnsiTheme="minorHAnsi" w:cstheme="minorHAnsi"/>
                <w:b/>
                <w:bCs/>
                <w:sz w:val="18"/>
                <w:szCs w:val="18"/>
                <w:lang w:val="en-US" w:eastAsia="zh-CN"/>
              </w:rPr>
              <w:t>无需修改。</w:t>
            </w:r>
            <w:bookmarkEnd w:id="5"/>
          </w:p>
          <w:p w14:paraId="2A80D473" w14:textId="475894ED" w:rsidR="00154974" w:rsidRPr="005E70C9" w:rsidRDefault="00154974" w:rsidP="005E70C9">
            <w:pPr>
              <w:tabs>
                <w:tab w:val="clear" w:pos="794"/>
                <w:tab w:val="left" w:pos="198"/>
              </w:tabs>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
                <w:bCs/>
                <w:sz w:val="18"/>
                <w:szCs w:val="18"/>
                <w:lang w:val="en-US" w:eastAsia="zh-CN"/>
              </w:rPr>
              <w:t>•</w:t>
            </w:r>
            <w:r w:rsidR="005E70C9">
              <w:rPr>
                <w:rFonts w:asciiTheme="minorHAnsi" w:eastAsiaTheme="minorEastAsia" w:hAnsiTheme="minorHAnsi" w:cstheme="minorHAnsi"/>
                <w:bCs/>
                <w:sz w:val="18"/>
                <w:szCs w:val="18"/>
                <w:lang w:val="en-US" w:eastAsia="zh-CN"/>
              </w:rPr>
              <w:tab/>
            </w:r>
            <w:r w:rsidR="008C37AF" w:rsidRPr="005E70C9">
              <w:rPr>
                <w:rFonts w:asciiTheme="minorHAnsi" w:eastAsiaTheme="minorEastAsia" w:hAnsiTheme="minorHAnsi" w:cstheme="minorHAnsi"/>
                <w:bCs/>
                <w:sz w:val="18"/>
                <w:szCs w:val="18"/>
                <w:lang w:val="en-US" w:eastAsia="zh-CN"/>
              </w:rPr>
              <w:t>地方宪法权利和言论自由只能根据地方法律加以限制。</w:t>
            </w:r>
          </w:p>
        </w:tc>
      </w:tr>
      <w:tr w:rsidR="00154974" w:rsidRPr="00436F1F" w14:paraId="1430C77D" w14:textId="77777777" w:rsidTr="001C3F60">
        <w:trPr>
          <w:trHeight w:val="153"/>
          <w:jc w:val="center"/>
        </w:trPr>
        <w:tc>
          <w:tcPr>
            <w:tcW w:w="909" w:type="dxa"/>
            <w:tcMar>
              <w:left w:w="85" w:type="dxa"/>
              <w:right w:w="85" w:type="dxa"/>
            </w:tcMar>
          </w:tcPr>
          <w:p w14:paraId="110BF468" w14:textId="0775FA58" w:rsidR="00154974" w:rsidRPr="005E70C9" w:rsidRDefault="00154974" w:rsidP="00154974">
            <w:pPr>
              <w:spacing w:after="60"/>
              <w:rPr>
                <w:rFonts w:asciiTheme="minorHAnsi" w:eastAsiaTheme="minorEastAsia" w:hAnsiTheme="minorHAnsi" w:cstheme="minorHAnsi"/>
                <w:b/>
                <w:bCs/>
                <w:sz w:val="18"/>
                <w:szCs w:val="18"/>
                <w:lang w:val="en-US"/>
              </w:rPr>
            </w:pPr>
            <w:r w:rsidRPr="005E70C9">
              <w:rPr>
                <w:rFonts w:asciiTheme="minorHAnsi" w:eastAsiaTheme="minorEastAsia" w:hAnsiTheme="minorHAnsi" w:cstheme="minorHAnsi"/>
                <w:b/>
                <w:bCs/>
                <w:sz w:val="18"/>
                <w:szCs w:val="18"/>
                <w:lang w:eastAsia="zh-CN"/>
              </w:rPr>
              <w:t>第</w:t>
            </w:r>
            <w:r w:rsidRPr="005E70C9">
              <w:rPr>
                <w:rFonts w:asciiTheme="minorHAnsi" w:eastAsiaTheme="minorEastAsia" w:hAnsiTheme="minorHAnsi" w:cstheme="minorHAnsi"/>
                <w:b/>
                <w:bCs/>
                <w:sz w:val="18"/>
                <w:szCs w:val="18"/>
                <w:lang w:eastAsia="zh-CN"/>
              </w:rPr>
              <w:t>5</w:t>
            </w:r>
            <w:r w:rsidRPr="005E70C9">
              <w:rPr>
                <w:rFonts w:asciiTheme="minorHAnsi" w:eastAsiaTheme="minorEastAsia" w:hAnsiTheme="minorHAnsi" w:cstheme="minorHAnsi"/>
                <w:b/>
                <w:bCs/>
                <w:sz w:val="18"/>
                <w:szCs w:val="18"/>
                <w:lang w:eastAsia="zh-CN"/>
              </w:rPr>
              <w:t>条</w:t>
            </w:r>
          </w:p>
        </w:tc>
        <w:tc>
          <w:tcPr>
            <w:tcW w:w="2104" w:type="dxa"/>
            <w:tcMar>
              <w:left w:w="85" w:type="dxa"/>
              <w:right w:w="85" w:type="dxa"/>
            </w:tcMar>
          </w:tcPr>
          <w:p w14:paraId="3ED3CDEB" w14:textId="77777777" w:rsidR="00154974" w:rsidRPr="005E70C9" w:rsidRDefault="00154974" w:rsidP="00154974">
            <w:pPr>
              <w:spacing w:after="60"/>
              <w:ind w:right="-111"/>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
                <w:sz w:val="18"/>
                <w:szCs w:val="18"/>
                <w:lang w:eastAsia="zh-CN"/>
              </w:rPr>
              <w:t>48</w:t>
            </w:r>
          </w:p>
          <w:p w14:paraId="12ABE744" w14:textId="3B31D622" w:rsidR="00154974" w:rsidRPr="005E70C9" w:rsidRDefault="00154974" w:rsidP="00154974">
            <w:pPr>
              <w:spacing w:after="60"/>
              <w:ind w:right="-111"/>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5.4</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成员国应鼓励经授权的运营机构适时、免费地向包括漫游用户在内的所有用户告知应急服务号码。</w:t>
            </w:r>
          </w:p>
        </w:tc>
        <w:tc>
          <w:tcPr>
            <w:tcW w:w="2104" w:type="dxa"/>
            <w:tcMar>
              <w:left w:w="85" w:type="dxa"/>
              <w:right w:w="85" w:type="dxa"/>
            </w:tcMar>
          </w:tcPr>
          <w:p w14:paraId="67D3D8FE" w14:textId="77777777" w:rsidR="00154974" w:rsidRPr="005E70C9" w:rsidRDefault="00154974" w:rsidP="00154974">
            <w:pPr>
              <w:spacing w:after="60"/>
              <w:jc w:val="both"/>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p w14:paraId="45387871" w14:textId="77777777" w:rsidR="00154974" w:rsidRPr="005E70C9" w:rsidRDefault="00154974" w:rsidP="00154974">
            <w:pPr>
              <w:spacing w:after="60"/>
              <w:jc w:val="both"/>
              <w:rPr>
                <w:rFonts w:asciiTheme="minorHAnsi" w:eastAsiaTheme="minorEastAsia" w:hAnsiTheme="minorHAnsi" w:cstheme="minorHAnsi"/>
                <w:bCs/>
                <w:sz w:val="18"/>
                <w:szCs w:val="18"/>
                <w:lang w:val="en-US"/>
              </w:rPr>
            </w:pPr>
          </w:p>
        </w:tc>
        <w:tc>
          <w:tcPr>
            <w:tcW w:w="2047" w:type="dxa"/>
            <w:shd w:val="clear" w:color="auto" w:fill="auto"/>
            <w:tcMar>
              <w:left w:w="85" w:type="dxa"/>
              <w:right w:w="85" w:type="dxa"/>
            </w:tcMar>
          </w:tcPr>
          <w:p w14:paraId="22715DAC" w14:textId="143371EA" w:rsidR="00154974" w:rsidRPr="005E70C9" w:rsidRDefault="008C37AF" w:rsidP="00154974">
            <w:pPr>
              <w:spacing w:after="60"/>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这项规定不妨碍网络和业务的发展；支持在全国范围内使用紧急服务。</w:t>
            </w:r>
          </w:p>
        </w:tc>
        <w:tc>
          <w:tcPr>
            <w:tcW w:w="2045" w:type="dxa"/>
            <w:shd w:val="clear" w:color="auto" w:fill="auto"/>
            <w:tcMar>
              <w:left w:w="85" w:type="dxa"/>
              <w:right w:w="85" w:type="dxa"/>
            </w:tcMar>
          </w:tcPr>
          <w:p w14:paraId="38AFAFCD"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7223420F" w14:textId="41AF9F39" w:rsidR="00154974" w:rsidRPr="005E70C9" w:rsidRDefault="00285F4E" w:rsidP="00C57589">
            <w:pPr>
              <w:numPr>
                <w:ilvl w:val="0"/>
                <w:numId w:val="7"/>
              </w:numPr>
              <w:tabs>
                <w:tab w:val="clear" w:pos="794"/>
                <w:tab w:val="clear" w:pos="1191"/>
                <w:tab w:val="clear" w:pos="1588"/>
                <w:tab w:val="clear" w:pos="1985"/>
              </w:tabs>
              <w:overflowPunct/>
              <w:spacing w:before="0"/>
              <w:ind w:left="260" w:hanging="260"/>
              <w:textAlignment w:val="auto"/>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bCs/>
                <w:sz w:val="18"/>
                <w:szCs w:val="18"/>
                <w:lang w:eastAsia="zh-CN"/>
              </w:rPr>
              <w:t>足够灵活；非强制性</w:t>
            </w:r>
          </w:p>
        </w:tc>
        <w:tc>
          <w:tcPr>
            <w:tcW w:w="1310" w:type="dxa"/>
            <w:tcMar>
              <w:left w:w="85" w:type="dxa"/>
              <w:right w:w="85" w:type="dxa"/>
            </w:tcMar>
          </w:tcPr>
          <w:p w14:paraId="4DAA2A97" w14:textId="77777777" w:rsidR="00154974" w:rsidRPr="005E70C9" w:rsidRDefault="00154974" w:rsidP="00154974">
            <w:pPr>
              <w:spacing w:after="60"/>
              <w:rPr>
                <w:rFonts w:asciiTheme="minorHAnsi" w:eastAsiaTheme="minorEastAsia" w:hAnsiTheme="minorHAnsi" w:cstheme="minorHAnsi"/>
                <w:b/>
                <w:sz w:val="18"/>
                <w:szCs w:val="18"/>
              </w:rPr>
            </w:pPr>
            <w:proofErr w:type="spellStart"/>
            <w:r w:rsidRPr="005E70C9">
              <w:rPr>
                <w:rFonts w:asciiTheme="minorHAnsi" w:eastAsiaTheme="minorEastAsia" w:hAnsiTheme="minorHAnsi" w:cstheme="minorHAnsi"/>
                <w:b/>
                <w:sz w:val="18"/>
                <w:szCs w:val="18"/>
              </w:rPr>
              <w:t>无需修改</w:t>
            </w:r>
            <w:proofErr w:type="spellEnd"/>
            <w:r w:rsidRPr="005E70C9">
              <w:rPr>
                <w:rFonts w:asciiTheme="minorHAnsi" w:eastAsiaTheme="minorEastAsia" w:hAnsiTheme="minorHAnsi" w:cstheme="minorHAnsi"/>
                <w:b/>
                <w:sz w:val="18"/>
                <w:szCs w:val="18"/>
              </w:rPr>
              <w:t>。</w:t>
            </w:r>
          </w:p>
        </w:tc>
      </w:tr>
      <w:tr w:rsidR="00154974" w:rsidRPr="00436F1F" w14:paraId="68BD2C0C" w14:textId="77777777" w:rsidTr="00CB6936">
        <w:trPr>
          <w:trHeight w:val="153"/>
          <w:jc w:val="center"/>
        </w:trPr>
        <w:tc>
          <w:tcPr>
            <w:tcW w:w="909" w:type="dxa"/>
            <w:tcMar>
              <w:left w:w="85" w:type="dxa"/>
              <w:right w:w="85" w:type="dxa"/>
            </w:tcMar>
          </w:tcPr>
          <w:p w14:paraId="2E61B7B7" w14:textId="75346152" w:rsidR="00154974" w:rsidRPr="005E70C9" w:rsidRDefault="00154974" w:rsidP="00154974">
            <w:pPr>
              <w:spacing w:after="60"/>
              <w:rPr>
                <w:rFonts w:asciiTheme="minorHAnsi" w:eastAsiaTheme="minorEastAsia" w:hAnsiTheme="minorHAnsi" w:cstheme="minorHAnsi"/>
                <w:bCs/>
                <w:sz w:val="18"/>
                <w:szCs w:val="18"/>
                <w:lang w:val="en-US"/>
              </w:rPr>
            </w:pPr>
            <w:r w:rsidRPr="005E70C9">
              <w:rPr>
                <w:rFonts w:asciiTheme="minorHAnsi" w:eastAsiaTheme="minorEastAsia" w:hAnsiTheme="minorHAnsi" w:cstheme="minorHAnsi"/>
                <w:b/>
                <w:bCs/>
                <w:sz w:val="18"/>
                <w:szCs w:val="18"/>
                <w:lang w:eastAsia="zh-CN"/>
              </w:rPr>
              <w:t>第</w:t>
            </w:r>
            <w:r w:rsidRPr="005E70C9">
              <w:rPr>
                <w:rFonts w:asciiTheme="minorHAnsi" w:eastAsiaTheme="minorEastAsia" w:hAnsiTheme="minorHAnsi" w:cstheme="minorHAnsi"/>
                <w:b/>
                <w:bCs/>
                <w:sz w:val="18"/>
                <w:szCs w:val="18"/>
                <w:lang w:eastAsia="zh-CN"/>
              </w:rPr>
              <w:t>6</w:t>
            </w:r>
            <w:r w:rsidRPr="005E70C9">
              <w:rPr>
                <w:rFonts w:asciiTheme="minorHAnsi" w:eastAsiaTheme="minorEastAsia" w:hAnsiTheme="minorHAnsi" w:cstheme="minorHAnsi"/>
                <w:b/>
                <w:bCs/>
                <w:sz w:val="18"/>
                <w:szCs w:val="18"/>
                <w:lang w:eastAsia="zh-CN"/>
              </w:rPr>
              <w:t>条</w:t>
            </w:r>
          </w:p>
        </w:tc>
        <w:tc>
          <w:tcPr>
            <w:tcW w:w="2104" w:type="dxa"/>
            <w:tcMar>
              <w:left w:w="85" w:type="dxa"/>
              <w:right w:w="85" w:type="dxa"/>
            </w:tcMar>
          </w:tcPr>
          <w:p w14:paraId="73F0D59E" w14:textId="77777777" w:rsidR="00154974" w:rsidRPr="005E70C9" w:rsidRDefault="00154974" w:rsidP="00154974">
            <w:pPr>
              <w:spacing w:after="60"/>
              <w:ind w:right="-111"/>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49</w:t>
            </w:r>
          </w:p>
          <w:p w14:paraId="75D1AEE2" w14:textId="720A6867" w:rsidR="00154974" w:rsidRPr="005E70C9" w:rsidRDefault="00154974" w:rsidP="00154974">
            <w:pPr>
              <w:spacing w:after="60"/>
              <w:ind w:right="-111"/>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成员国须各自和共同努力确保国际电信网络安全和健壮性，以实现网络的有效利用，避免技术性损害，并实现公众国际电信业务的和谐发展。</w:t>
            </w:r>
          </w:p>
        </w:tc>
        <w:tc>
          <w:tcPr>
            <w:tcW w:w="2104" w:type="dxa"/>
            <w:tcMar>
              <w:left w:w="85" w:type="dxa"/>
              <w:right w:w="85" w:type="dxa"/>
            </w:tcMar>
          </w:tcPr>
          <w:p w14:paraId="66BA4F39" w14:textId="77777777" w:rsidR="00E8464F" w:rsidRPr="005E70C9" w:rsidRDefault="00E8464F" w:rsidP="00154974">
            <w:pPr>
              <w:spacing w:after="60"/>
              <w:rPr>
                <w:rFonts w:asciiTheme="minorHAnsi" w:eastAsiaTheme="minorEastAsia" w:hAnsiTheme="minorHAnsi" w:cstheme="minorHAnsi"/>
                <w:bCs/>
                <w:sz w:val="18"/>
                <w:szCs w:val="18"/>
                <w:lang w:val="en-US" w:eastAsia="zh-CN"/>
              </w:rPr>
            </w:pPr>
          </w:p>
          <w:p w14:paraId="082F1847" w14:textId="7A92A469"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tc>
        <w:tc>
          <w:tcPr>
            <w:tcW w:w="2047" w:type="dxa"/>
            <w:tcMar>
              <w:left w:w="85" w:type="dxa"/>
              <w:right w:w="85" w:type="dxa"/>
            </w:tcMar>
          </w:tcPr>
          <w:p w14:paraId="761F5330" w14:textId="2963743C" w:rsidR="008C37AF" w:rsidRPr="005E70C9" w:rsidRDefault="008C37AF" w:rsidP="00C57589">
            <w:pPr>
              <w:numPr>
                <w:ilvl w:val="0"/>
                <w:numId w:val="8"/>
              </w:numPr>
              <w:tabs>
                <w:tab w:val="clear" w:pos="794"/>
                <w:tab w:val="clear" w:pos="1191"/>
                <w:tab w:val="clear" w:pos="1588"/>
                <w:tab w:val="clear" w:pos="1985"/>
              </w:tabs>
              <w:overflowPunct/>
              <w:spacing w:before="0"/>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建议将</w:t>
            </w:r>
            <w:r w:rsidR="005E70C9" w:rsidRPr="005E70C9">
              <w:rPr>
                <w:rFonts w:ascii="SimSun" w:eastAsia="SimSun" w:hAnsi="SimSun" w:cstheme="minorHAnsi"/>
                <w:bCs/>
                <w:sz w:val="18"/>
                <w:szCs w:val="18"/>
                <w:lang w:eastAsia="zh-CN"/>
              </w:rPr>
              <w:t>“</w:t>
            </w:r>
            <w:r w:rsidRPr="005E70C9">
              <w:rPr>
                <w:rFonts w:asciiTheme="minorHAnsi" w:eastAsiaTheme="minorEastAsia" w:hAnsiTheme="minorHAnsi" w:cstheme="minorHAnsi"/>
                <w:bCs/>
                <w:sz w:val="18"/>
                <w:szCs w:val="18"/>
                <w:lang w:eastAsia="zh-CN"/>
              </w:rPr>
              <w:t>有效</w:t>
            </w:r>
            <w:r w:rsidR="005E70C9" w:rsidRPr="005E70C9">
              <w:rPr>
                <w:rFonts w:ascii="SimSun" w:eastAsia="SimSun" w:hAnsi="SimSun" w:cstheme="minorHAnsi"/>
                <w:bCs/>
                <w:sz w:val="18"/>
                <w:szCs w:val="18"/>
                <w:lang w:eastAsia="zh-CN"/>
              </w:rPr>
              <w:t>”</w:t>
            </w:r>
            <w:r w:rsidRPr="005E70C9">
              <w:rPr>
                <w:rFonts w:asciiTheme="minorHAnsi" w:eastAsiaTheme="minorEastAsia" w:hAnsiTheme="minorHAnsi" w:cstheme="minorHAnsi"/>
                <w:bCs/>
                <w:sz w:val="18"/>
                <w:szCs w:val="18"/>
                <w:lang w:eastAsia="zh-CN"/>
              </w:rPr>
              <w:t>一词替换为</w:t>
            </w:r>
            <w:r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高效</w:t>
            </w:r>
            <w:r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w:t>
            </w:r>
          </w:p>
          <w:p w14:paraId="6A03C655" w14:textId="77777777" w:rsidR="008C37AF" w:rsidRPr="005E70C9" w:rsidRDefault="008C37AF" w:rsidP="00C57589">
            <w:pPr>
              <w:numPr>
                <w:ilvl w:val="0"/>
                <w:numId w:val="8"/>
              </w:numPr>
              <w:tabs>
                <w:tab w:val="clear" w:pos="794"/>
                <w:tab w:val="clear" w:pos="1191"/>
                <w:tab w:val="clear" w:pos="1588"/>
                <w:tab w:val="clear" w:pos="1985"/>
              </w:tabs>
              <w:overflowPunct/>
              <w:spacing w:before="0"/>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通过国际合作实现网络的安全和稳健是电信网络发展的关键。</w:t>
            </w:r>
          </w:p>
          <w:p w14:paraId="11C31F28" w14:textId="6F6753B9" w:rsidR="00154974" w:rsidRPr="005E70C9" w:rsidRDefault="008C37AF" w:rsidP="00C57589">
            <w:pPr>
              <w:numPr>
                <w:ilvl w:val="0"/>
                <w:numId w:val="8"/>
              </w:numPr>
              <w:tabs>
                <w:tab w:val="clear" w:pos="794"/>
                <w:tab w:val="clear" w:pos="1191"/>
                <w:tab w:val="clear" w:pos="1588"/>
                <w:tab w:val="clear" w:pos="1985"/>
              </w:tabs>
              <w:overflowPunct/>
              <w:spacing w:before="0"/>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第</w:t>
            </w:r>
            <w:r w:rsidRPr="005E70C9">
              <w:rPr>
                <w:rFonts w:asciiTheme="minorHAnsi" w:eastAsiaTheme="minorEastAsia" w:hAnsiTheme="minorHAnsi" w:cstheme="minorHAnsi"/>
                <w:bCs/>
                <w:sz w:val="18"/>
                <w:szCs w:val="18"/>
                <w:lang w:eastAsia="zh-CN"/>
              </w:rPr>
              <w:t>6.1</w:t>
            </w:r>
            <w:r w:rsidRPr="005E70C9">
              <w:rPr>
                <w:rFonts w:asciiTheme="minorHAnsi" w:eastAsiaTheme="minorEastAsia" w:hAnsiTheme="minorHAnsi" w:cstheme="minorHAnsi"/>
                <w:bCs/>
                <w:sz w:val="18"/>
                <w:szCs w:val="18"/>
                <w:lang w:eastAsia="zh-CN"/>
              </w:rPr>
              <w:t>条仍然适用于促进网络和业务的提供。</w:t>
            </w:r>
          </w:p>
        </w:tc>
        <w:tc>
          <w:tcPr>
            <w:tcW w:w="2045" w:type="dxa"/>
            <w:tcMar>
              <w:left w:w="85" w:type="dxa"/>
              <w:right w:w="85" w:type="dxa"/>
            </w:tcMar>
          </w:tcPr>
          <w:p w14:paraId="139CC4AB" w14:textId="77777777" w:rsidR="00154974" w:rsidRPr="005E70C9" w:rsidRDefault="00154974" w:rsidP="008C37AF">
            <w:pPr>
              <w:ind w:right="-111"/>
              <w:rPr>
                <w:rFonts w:asciiTheme="minorHAnsi" w:eastAsiaTheme="minorEastAsia" w:hAnsiTheme="minorHAnsi" w:cstheme="minorHAnsi"/>
                <w:bCs/>
                <w:sz w:val="18"/>
                <w:szCs w:val="18"/>
                <w:lang w:eastAsia="zh-CN"/>
              </w:rPr>
            </w:pPr>
          </w:p>
          <w:p w14:paraId="5A0C2BDE" w14:textId="65D98168" w:rsidR="00154974" w:rsidRPr="005E70C9" w:rsidRDefault="00350461" w:rsidP="008C37AF">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w:t>
            </w:r>
          </w:p>
        </w:tc>
        <w:tc>
          <w:tcPr>
            <w:tcW w:w="1310" w:type="dxa"/>
            <w:tcMar>
              <w:left w:w="85" w:type="dxa"/>
              <w:right w:w="85" w:type="dxa"/>
            </w:tcMar>
          </w:tcPr>
          <w:p w14:paraId="388FEDA8" w14:textId="77777777" w:rsidR="00E8464F" w:rsidRPr="005E70C9" w:rsidRDefault="00E8464F" w:rsidP="00154974">
            <w:pPr>
              <w:spacing w:after="60"/>
              <w:rPr>
                <w:rFonts w:asciiTheme="minorHAnsi" w:eastAsiaTheme="minorEastAsia" w:hAnsiTheme="minorHAnsi" w:cstheme="minorHAnsi"/>
                <w:b/>
                <w:bCs/>
                <w:sz w:val="18"/>
                <w:szCs w:val="18"/>
                <w:lang w:val="en-US" w:eastAsia="zh-CN"/>
              </w:rPr>
            </w:pPr>
          </w:p>
          <w:p w14:paraId="1FFBDAF0" w14:textId="2C6549E0" w:rsidR="00154974" w:rsidRPr="005E70C9" w:rsidRDefault="00154974"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
                <w:bCs/>
                <w:sz w:val="18"/>
                <w:szCs w:val="18"/>
                <w:lang w:val="en-US" w:eastAsia="zh-CN"/>
              </w:rPr>
              <w:t>需要修改</w:t>
            </w:r>
            <w:r w:rsidR="00655EB8" w:rsidRPr="005E70C9">
              <w:rPr>
                <w:rFonts w:asciiTheme="minorHAnsi" w:eastAsiaTheme="minorEastAsia" w:hAnsiTheme="minorHAnsi" w:cstheme="minorHAnsi"/>
                <w:b/>
                <w:bCs/>
                <w:sz w:val="18"/>
                <w:szCs w:val="18"/>
                <w:lang w:val="en-US" w:eastAsia="zh-CN"/>
              </w:rPr>
              <w:t>。</w:t>
            </w:r>
          </w:p>
          <w:p w14:paraId="1C0AE342" w14:textId="2801B021" w:rsidR="00154974" w:rsidRPr="005E70C9" w:rsidRDefault="00154974" w:rsidP="00154974">
            <w:pPr>
              <w:spacing w:after="60"/>
              <w:rPr>
                <w:rFonts w:asciiTheme="minorHAnsi" w:eastAsiaTheme="minorEastAsia" w:hAnsiTheme="minorHAnsi" w:cstheme="minorHAnsi"/>
                <w:bCs/>
                <w:sz w:val="18"/>
                <w:szCs w:val="18"/>
                <w:lang w:val="en-US"/>
              </w:rPr>
            </w:pPr>
          </w:p>
        </w:tc>
      </w:tr>
      <w:tr w:rsidR="00154974" w:rsidRPr="00436F1F" w14:paraId="68835E4E" w14:textId="77777777" w:rsidTr="00436F1F">
        <w:trPr>
          <w:trHeight w:val="153"/>
          <w:jc w:val="center"/>
        </w:trPr>
        <w:tc>
          <w:tcPr>
            <w:tcW w:w="909" w:type="dxa"/>
            <w:tcMar>
              <w:left w:w="85" w:type="dxa"/>
              <w:right w:w="85" w:type="dxa"/>
            </w:tcMar>
          </w:tcPr>
          <w:p w14:paraId="5921ECC3" w14:textId="42B0EA25" w:rsidR="00154974" w:rsidRPr="005E70C9" w:rsidRDefault="00154974" w:rsidP="00154974">
            <w:pPr>
              <w:spacing w:after="60"/>
              <w:rPr>
                <w:rFonts w:asciiTheme="minorHAnsi" w:eastAsiaTheme="minorEastAsia" w:hAnsiTheme="minorHAnsi" w:cstheme="minorHAnsi"/>
                <w:b/>
                <w:bCs/>
                <w:sz w:val="18"/>
                <w:szCs w:val="18"/>
              </w:rPr>
            </w:pPr>
            <w:bookmarkStart w:id="6" w:name="lt_pId067"/>
            <w:r w:rsidRPr="005E70C9">
              <w:rPr>
                <w:rFonts w:asciiTheme="minorHAnsi" w:eastAsiaTheme="minorEastAsia" w:hAnsiTheme="minorHAnsi" w:cstheme="minorHAnsi"/>
                <w:b/>
                <w:bCs/>
                <w:sz w:val="18"/>
                <w:szCs w:val="18"/>
              </w:rPr>
              <w:t>第</w:t>
            </w:r>
            <w:bookmarkEnd w:id="6"/>
            <w:r w:rsidRPr="005E70C9">
              <w:rPr>
                <w:rFonts w:asciiTheme="minorHAnsi" w:eastAsiaTheme="minorEastAsia" w:hAnsiTheme="minorHAnsi" w:cstheme="minorHAnsi"/>
                <w:b/>
                <w:bCs/>
                <w:sz w:val="18"/>
                <w:szCs w:val="18"/>
                <w:lang w:eastAsia="zh-CN"/>
              </w:rPr>
              <w:t>7</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0034E469" w14:textId="77777777" w:rsidR="00154974" w:rsidRPr="005E70C9" w:rsidRDefault="00154974" w:rsidP="00154974">
            <w:pPr>
              <w:spacing w:after="60"/>
              <w:ind w:right="-111"/>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
                <w:sz w:val="18"/>
                <w:szCs w:val="18"/>
                <w:lang w:eastAsia="zh-CN"/>
              </w:rPr>
              <w:t>50</w:t>
            </w:r>
          </w:p>
          <w:p w14:paraId="0584E3F6" w14:textId="562E57ED" w:rsidR="00154974" w:rsidRPr="005E70C9" w:rsidRDefault="00154974" w:rsidP="00154974">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7.1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成员国应努力采取必要措施，防止未经请求的群发电子信息的传播，并尽可能减少其对国际电信业务的影响。</w:t>
            </w:r>
          </w:p>
        </w:tc>
        <w:tc>
          <w:tcPr>
            <w:tcW w:w="2104" w:type="dxa"/>
            <w:tcMar>
              <w:left w:w="85" w:type="dxa"/>
              <w:right w:w="85" w:type="dxa"/>
            </w:tcMar>
          </w:tcPr>
          <w:p w14:paraId="562A1627" w14:textId="77777777" w:rsidR="00154974" w:rsidRPr="005E70C9" w:rsidRDefault="00154974" w:rsidP="00154974">
            <w:pPr>
              <w:spacing w:after="60"/>
              <w:jc w:val="both"/>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p w14:paraId="27A0C271" w14:textId="77777777" w:rsidR="00154974" w:rsidRPr="005E70C9" w:rsidRDefault="00154974" w:rsidP="00154974">
            <w:pPr>
              <w:spacing w:after="60"/>
              <w:jc w:val="both"/>
              <w:rPr>
                <w:rFonts w:asciiTheme="minorHAnsi" w:eastAsiaTheme="minorEastAsia" w:hAnsiTheme="minorHAnsi" w:cstheme="minorHAnsi"/>
                <w:bCs/>
                <w:sz w:val="18"/>
                <w:szCs w:val="18"/>
                <w:lang w:val="en-US" w:eastAsia="zh-CN"/>
              </w:rPr>
            </w:pPr>
          </w:p>
          <w:p w14:paraId="5D502E95" w14:textId="77777777" w:rsidR="00154974" w:rsidRPr="005E70C9" w:rsidRDefault="00154974" w:rsidP="00154974">
            <w:pPr>
              <w:spacing w:after="60"/>
              <w:jc w:val="both"/>
              <w:rPr>
                <w:rFonts w:asciiTheme="minorHAnsi" w:eastAsiaTheme="minorEastAsia" w:hAnsiTheme="minorHAnsi" w:cstheme="minorHAnsi"/>
                <w:bCs/>
                <w:sz w:val="18"/>
                <w:szCs w:val="18"/>
                <w:lang w:val="en-US"/>
              </w:rPr>
            </w:pPr>
          </w:p>
        </w:tc>
        <w:tc>
          <w:tcPr>
            <w:tcW w:w="2047" w:type="dxa"/>
            <w:tcMar>
              <w:left w:w="85" w:type="dxa"/>
              <w:right w:w="85" w:type="dxa"/>
            </w:tcMar>
          </w:tcPr>
          <w:p w14:paraId="00895340" w14:textId="77777777" w:rsidR="00154974" w:rsidRPr="005E70C9" w:rsidRDefault="00154974" w:rsidP="00154974">
            <w:pPr>
              <w:rPr>
                <w:rFonts w:asciiTheme="minorHAnsi" w:eastAsiaTheme="minorEastAsia" w:hAnsiTheme="minorHAnsi" w:cstheme="minorHAnsi"/>
                <w:bCs/>
                <w:sz w:val="18"/>
                <w:szCs w:val="18"/>
                <w:lang w:val="en-US"/>
              </w:rPr>
            </w:pPr>
          </w:p>
          <w:p w14:paraId="2F4B69A3" w14:textId="3E6CF4F8" w:rsidR="00154974" w:rsidRPr="005E70C9" w:rsidRDefault="008C37AF" w:rsidP="00C57589">
            <w:pPr>
              <w:numPr>
                <w:ilvl w:val="0"/>
                <w:numId w:val="1"/>
              </w:numPr>
              <w:tabs>
                <w:tab w:val="clear" w:pos="794"/>
                <w:tab w:val="clear" w:pos="1191"/>
                <w:tab w:val="clear" w:pos="1588"/>
                <w:tab w:val="clear" w:pos="1985"/>
              </w:tabs>
              <w:overflowPunct/>
              <w:spacing w:before="0"/>
              <w:ind w:left="323" w:hanging="284"/>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未经请求的批量电子通信可能会对电信运营商和用户产生负面影响。</w:t>
            </w:r>
          </w:p>
          <w:p w14:paraId="7B204C35" w14:textId="752E7AC0" w:rsidR="00154974" w:rsidRPr="005E70C9" w:rsidRDefault="008C37AF" w:rsidP="00C57589">
            <w:pPr>
              <w:numPr>
                <w:ilvl w:val="0"/>
                <w:numId w:val="1"/>
              </w:numPr>
              <w:tabs>
                <w:tab w:val="clear" w:pos="794"/>
                <w:tab w:val="clear" w:pos="1191"/>
                <w:tab w:val="clear" w:pos="1588"/>
                <w:tab w:val="clear" w:pos="1985"/>
              </w:tabs>
              <w:overflowPunct/>
              <w:spacing w:before="0"/>
              <w:ind w:left="323" w:hanging="284"/>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第</w:t>
            </w:r>
            <w:r w:rsidRPr="005E70C9">
              <w:rPr>
                <w:rFonts w:asciiTheme="minorHAnsi" w:eastAsiaTheme="minorEastAsia" w:hAnsiTheme="minorHAnsi" w:cstheme="minorHAnsi"/>
                <w:bCs/>
                <w:sz w:val="18"/>
                <w:szCs w:val="18"/>
                <w:lang w:eastAsia="zh-CN"/>
              </w:rPr>
              <w:t>7.1</w:t>
            </w:r>
            <w:r w:rsidRPr="005E70C9">
              <w:rPr>
                <w:rFonts w:asciiTheme="minorHAnsi" w:eastAsiaTheme="minorEastAsia" w:hAnsiTheme="minorHAnsi" w:cstheme="minorHAnsi"/>
                <w:bCs/>
                <w:sz w:val="18"/>
                <w:szCs w:val="18"/>
                <w:lang w:eastAsia="zh-CN"/>
              </w:rPr>
              <w:t>条仍然适用于促进网络和业务的提供和发展。</w:t>
            </w:r>
          </w:p>
          <w:p w14:paraId="7ACD4D84" w14:textId="2480E977" w:rsidR="00154974" w:rsidRPr="005E70C9" w:rsidRDefault="00154974" w:rsidP="00154974">
            <w:pPr>
              <w:spacing w:after="60"/>
              <w:rPr>
                <w:rFonts w:asciiTheme="minorHAnsi" w:eastAsiaTheme="minorEastAsia" w:hAnsiTheme="minorHAnsi" w:cstheme="minorHAnsi"/>
                <w:bCs/>
                <w:sz w:val="18"/>
                <w:szCs w:val="18"/>
                <w:lang w:val="en-US" w:eastAsia="zh-CN"/>
              </w:rPr>
            </w:pPr>
          </w:p>
        </w:tc>
        <w:tc>
          <w:tcPr>
            <w:tcW w:w="2045" w:type="dxa"/>
            <w:tcMar>
              <w:left w:w="85" w:type="dxa"/>
              <w:right w:w="85" w:type="dxa"/>
            </w:tcMar>
          </w:tcPr>
          <w:p w14:paraId="2092B7E0" w14:textId="77777777" w:rsidR="00154974" w:rsidRPr="005E70C9" w:rsidRDefault="00154974" w:rsidP="00655EB8">
            <w:pPr>
              <w:spacing w:after="60"/>
              <w:ind w:right="-111"/>
              <w:rPr>
                <w:rFonts w:asciiTheme="minorHAnsi" w:eastAsiaTheme="minorEastAsia" w:hAnsiTheme="minorHAnsi" w:cstheme="minorHAnsi"/>
                <w:bCs/>
                <w:sz w:val="18"/>
                <w:szCs w:val="18"/>
                <w:lang w:eastAsia="zh-CN"/>
              </w:rPr>
            </w:pPr>
          </w:p>
          <w:p w14:paraId="3123C31B" w14:textId="79ED4ACC" w:rsidR="00154974" w:rsidRPr="005E70C9" w:rsidRDefault="00350461" w:rsidP="00655EB8">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w:t>
            </w:r>
          </w:p>
        </w:tc>
        <w:tc>
          <w:tcPr>
            <w:tcW w:w="1310" w:type="dxa"/>
            <w:tcMar>
              <w:left w:w="85" w:type="dxa"/>
              <w:right w:w="85" w:type="dxa"/>
            </w:tcMar>
          </w:tcPr>
          <w:p w14:paraId="4400A9EA" w14:textId="0850DF37" w:rsidR="00154974" w:rsidRPr="005E70C9" w:rsidRDefault="00154974" w:rsidP="00154974">
            <w:pPr>
              <w:spacing w:after="60"/>
              <w:rPr>
                <w:rFonts w:asciiTheme="minorHAnsi" w:eastAsiaTheme="minorEastAsia" w:hAnsiTheme="minorHAnsi" w:cstheme="minorHAnsi"/>
                <w:b/>
                <w:bCs/>
                <w:sz w:val="18"/>
                <w:szCs w:val="18"/>
                <w:lang w:val="en-US" w:eastAsia="zh-CN"/>
              </w:rPr>
            </w:pPr>
            <w:proofErr w:type="spellStart"/>
            <w:r w:rsidRPr="005E70C9">
              <w:rPr>
                <w:rFonts w:asciiTheme="minorHAnsi" w:eastAsiaTheme="minorEastAsia" w:hAnsiTheme="minorHAnsi" w:cstheme="minorHAnsi"/>
                <w:b/>
                <w:bCs/>
                <w:sz w:val="18"/>
                <w:szCs w:val="18"/>
                <w:lang w:val="en-US"/>
              </w:rPr>
              <w:t>无需修改</w:t>
            </w:r>
            <w:proofErr w:type="spellEnd"/>
            <w:r w:rsidR="00655EB8" w:rsidRPr="005E70C9">
              <w:rPr>
                <w:rFonts w:asciiTheme="minorHAnsi" w:eastAsiaTheme="minorEastAsia" w:hAnsiTheme="minorHAnsi" w:cstheme="minorHAnsi"/>
                <w:b/>
                <w:bCs/>
                <w:sz w:val="18"/>
                <w:szCs w:val="18"/>
                <w:lang w:val="en-US" w:eastAsia="zh-CN"/>
              </w:rPr>
              <w:t>。</w:t>
            </w:r>
          </w:p>
        </w:tc>
      </w:tr>
      <w:tr w:rsidR="00154974" w:rsidRPr="00436F1F" w14:paraId="5B795E57" w14:textId="77777777" w:rsidTr="00436F1F">
        <w:trPr>
          <w:trHeight w:val="70"/>
          <w:jc w:val="center"/>
        </w:trPr>
        <w:tc>
          <w:tcPr>
            <w:tcW w:w="909" w:type="dxa"/>
            <w:tcMar>
              <w:left w:w="85" w:type="dxa"/>
              <w:right w:w="85" w:type="dxa"/>
            </w:tcMar>
          </w:tcPr>
          <w:p w14:paraId="12C5D08C" w14:textId="7FB87394"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lastRenderedPageBreak/>
              <w:t>第</w:t>
            </w:r>
            <w:r w:rsidRPr="005E70C9">
              <w:rPr>
                <w:rFonts w:asciiTheme="minorHAnsi" w:eastAsiaTheme="minorEastAsia" w:hAnsiTheme="minorHAnsi" w:cstheme="minorHAnsi"/>
                <w:b/>
                <w:bCs/>
                <w:sz w:val="18"/>
                <w:szCs w:val="18"/>
                <w:lang w:eastAsia="zh-CN"/>
              </w:rPr>
              <w:t>7</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57EF107F"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51</w:t>
            </w:r>
          </w:p>
          <w:p w14:paraId="49DE4827" w14:textId="5616887F"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7.2</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鼓励成员国就此开展合作。</w:t>
            </w:r>
          </w:p>
        </w:tc>
        <w:tc>
          <w:tcPr>
            <w:tcW w:w="2104" w:type="dxa"/>
            <w:tcMar>
              <w:left w:w="85" w:type="dxa"/>
              <w:right w:w="85" w:type="dxa"/>
            </w:tcMar>
          </w:tcPr>
          <w:p w14:paraId="6F82C9F8" w14:textId="15ED850A"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tc>
        <w:tc>
          <w:tcPr>
            <w:tcW w:w="2047" w:type="dxa"/>
            <w:tcMar>
              <w:left w:w="85" w:type="dxa"/>
              <w:right w:w="85" w:type="dxa"/>
            </w:tcMar>
          </w:tcPr>
          <w:p w14:paraId="0BECBBCE" w14:textId="484D5F66" w:rsidR="00154974" w:rsidRPr="005E70C9" w:rsidRDefault="00774FB3" w:rsidP="0096747F">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没有这一条可能会对通信网络和</w:t>
            </w:r>
            <w:r w:rsidR="0096747F" w:rsidRPr="005E70C9">
              <w:rPr>
                <w:rFonts w:asciiTheme="minorHAnsi" w:eastAsiaTheme="minorEastAsia" w:hAnsiTheme="minorHAnsi" w:cstheme="minorHAnsi"/>
                <w:bCs/>
                <w:sz w:val="18"/>
                <w:szCs w:val="18"/>
                <w:lang w:eastAsia="zh-CN"/>
              </w:rPr>
              <w:t>业务</w:t>
            </w:r>
            <w:r w:rsidRPr="005E70C9">
              <w:rPr>
                <w:rFonts w:asciiTheme="minorHAnsi" w:eastAsiaTheme="minorEastAsia" w:hAnsiTheme="minorHAnsi" w:cstheme="minorHAnsi"/>
                <w:bCs/>
                <w:sz w:val="18"/>
                <w:szCs w:val="18"/>
                <w:lang w:eastAsia="zh-CN"/>
              </w:rPr>
              <w:t>产生负面影响</w:t>
            </w:r>
            <w:r w:rsidR="0096747F" w:rsidRPr="005E70C9">
              <w:rPr>
                <w:rFonts w:asciiTheme="minorHAnsi" w:eastAsiaTheme="minorEastAsia" w:hAnsiTheme="minorHAnsi" w:cstheme="minorHAnsi"/>
                <w:bCs/>
                <w:sz w:val="18"/>
                <w:szCs w:val="18"/>
                <w:lang w:eastAsia="zh-CN"/>
              </w:rPr>
              <w:t>。</w:t>
            </w:r>
          </w:p>
          <w:p w14:paraId="40EEC0D5" w14:textId="5B51ACC9" w:rsidR="00774FB3" w:rsidRPr="005E70C9" w:rsidRDefault="00774FB3" w:rsidP="0096747F">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这一规定仍然适用于促进网络和业务的提供和发展。</w:t>
            </w:r>
          </w:p>
          <w:p w14:paraId="078B2C14" w14:textId="34D4FF91" w:rsidR="00154974" w:rsidRPr="005E70C9" w:rsidRDefault="00154974" w:rsidP="00154974">
            <w:pPr>
              <w:spacing w:after="60"/>
              <w:rPr>
                <w:rFonts w:asciiTheme="minorHAnsi" w:eastAsiaTheme="minorEastAsia" w:hAnsiTheme="minorHAnsi" w:cstheme="minorHAnsi"/>
                <w:bCs/>
                <w:sz w:val="18"/>
                <w:szCs w:val="18"/>
                <w:lang w:val="en-US" w:eastAsia="zh-CN"/>
              </w:rPr>
            </w:pPr>
          </w:p>
        </w:tc>
        <w:tc>
          <w:tcPr>
            <w:tcW w:w="2045" w:type="dxa"/>
            <w:tcMar>
              <w:left w:w="85" w:type="dxa"/>
              <w:right w:w="85" w:type="dxa"/>
            </w:tcMar>
          </w:tcPr>
          <w:p w14:paraId="17975780" w14:textId="77777777" w:rsidR="00154974" w:rsidRPr="005E70C9" w:rsidRDefault="00154974" w:rsidP="00655EB8">
            <w:pPr>
              <w:spacing w:after="60"/>
              <w:ind w:right="-111"/>
              <w:rPr>
                <w:rFonts w:asciiTheme="minorHAnsi" w:eastAsiaTheme="minorEastAsia" w:hAnsiTheme="minorHAnsi" w:cstheme="minorHAnsi"/>
                <w:bCs/>
                <w:sz w:val="18"/>
                <w:szCs w:val="18"/>
                <w:lang w:eastAsia="zh-CN"/>
              </w:rPr>
            </w:pPr>
          </w:p>
          <w:p w14:paraId="0126ADD9" w14:textId="09BF94A8" w:rsidR="00154974" w:rsidRPr="005E70C9" w:rsidRDefault="00350461" w:rsidP="00655EB8">
            <w:pPr>
              <w:spacing w:after="60"/>
              <w:ind w:right="-111"/>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w:t>
            </w:r>
          </w:p>
        </w:tc>
        <w:tc>
          <w:tcPr>
            <w:tcW w:w="1310" w:type="dxa"/>
            <w:tcMar>
              <w:left w:w="85" w:type="dxa"/>
              <w:right w:w="85" w:type="dxa"/>
            </w:tcMar>
          </w:tcPr>
          <w:p w14:paraId="43E8023F" w14:textId="77777777" w:rsidR="00154974" w:rsidRPr="005E70C9" w:rsidRDefault="00154974" w:rsidP="00154974">
            <w:pPr>
              <w:spacing w:after="60"/>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无需修改。</w:t>
            </w:r>
          </w:p>
          <w:p w14:paraId="36AB0F5E" w14:textId="69E939EE" w:rsidR="00154974" w:rsidRPr="005E70C9" w:rsidRDefault="00154974" w:rsidP="00154974">
            <w:pPr>
              <w:spacing w:after="60"/>
              <w:rPr>
                <w:rFonts w:asciiTheme="minorHAnsi" w:eastAsiaTheme="minorEastAsia" w:hAnsiTheme="minorHAnsi" w:cstheme="minorHAnsi"/>
                <w:bCs/>
                <w:sz w:val="18"/>
                <w:szCs w:val="18"/>
                <w:lang w:val="en-US" w:eastAsia="zh-CN"/>
              </w:rPr>
            </w:pPr>
          </w:p>
        </w:tc>
      </w:tr>
      <w:tr w:rsidR="00154974" w:rsidRPr="00436F1F" w14:paraId="075CD63A" w14:textId="77777777" w:rsidTr="00436F1F">
        <w:trPr>
          <w:trHeight w:val="153"/>
          <w:jc w:val="center"/>
        </w:trPr>
        <w:tc>
          <w:tcPr>
            <w:tcW w:w="909" w:type="dxa"/>
            <w:tcMar>
              <w:left w:w="85" w:type="dxa"/>
              <w:right w:w="85" w:type="dxa"/>
            </w:tcMar>
          </w:tcPr>
          <w:p w14:paraId="5A251D99" w14:textId="0466903F" w:rsidR="00154974" w:rsidRPr="005E70C9" w:rsidRDefault="00154974" w:rsidP="00154974">
            <w:pPr>
              <w:spacing w:after="60"/>
              <w:rPr>
                <w:rFonts w:asciiTheme="minorHAnsi" w:eastAsiaTheme="minorEastAsia" w:hAnsiTheme="minorHAnsi" w:cstheme="minorHAnsi"/>
                <w:b/>
                <w:bCs/>
                <w:sz w:val="18"/>
                <w:szCs w:val="18"/>
              </w:rPr>
            </w:pPr>
            <w:bookmarkStart w:id="7" w:name="lt_pId082"/>
            <w:r w:rsidRPr="005E70C9">
              <w:rPr>
                <w:rFonts w:asciiTheme="minorHAnsi" w:eastAsiaTheme="minorEastAsia" w:hAnsiTheme="minorHAnsi" w:cstheme="minorHAnsi"/>
                <w:b/>
                <w:bCs/>
                <w:sz w:val="18"/>
                <w:szCs w:val="18"/>
              </w:rPr>
              <w:t>第</w:t>
            </w:r>
            <w:bookmarkEnd w:id="7"/>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7BA70B9E"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53</w:t>
            </w:r>
          </w:p>
          <w:p w14:paraId="5CED694C" w14:textId="557370ED"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8.1.1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根据适用的国内法律，可通过商业协议或符合国家监管规定的结算价原则制定国际电信业务安排的条款与条件。</w:t>
            </w:r>
          </w:p>
        </w:tc>
        <w:tc>
          <w:tcPr>
            <w:tcW w:w="2104" w:type="dxa"/>
            <w:tcMar>
              <w:left w:w="85" w:type="dxa"/>
              <w:right w:w="85" w:type="dxa"/>
            </w:tcMar>
          </w:tcPr>
          <w:p w14:paraId="1AED65F9" w14:textId="59FB2683"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tc>
        <w:tc>
          <w:tcPr>
            <w:tcW w:w="2047" w:type="dxa"/>
            <w:tcMar>
              <w:left w:w="85" w:type="dxa"/>
              <w:right w:w="85" w:type="dxa"/>
            </w:tcMar>
          </w:tcPr>
          <w:p w14:paraId="5A5B6C01"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rPr>
            </w:pPr>
          </w:p>
          <w:p w14:paraId="004B4220" w14:textId="16AA2B4A" w:rsidR="00154974" w:rsidRPr="005E70C9" w:rsidRDefault="0096747F" w:rsidP="00C57589">
            <w:pPr>
              <w:numPr>
                <w:ilvl w:val="0"/>
                <w:numId w:val="2"/>
              </w:numPr>
              <w:tabs>
                <w:tab w:val="clear" w:pos="794"/>
                <w:tab w:val="clear" w:pos="1191"/>
                <w:tab w:val="clear" w:pos="1588"/>
                <w:tab w:val="clear" w:pos="1985"/>
              </w:tabs>
              <w:overflowPunct/>
              <w:autoSpaceDE/>
              <w:autoSpaceDN/>
              <w:adjustRightInd/>
              <w:spacing w:before="840"/>
              <w:ind w:left="323" w:hanging="323"/>
              <w:contextualSpacing/>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这一规定反映了现有惯例，维护了各成员国在国际安排方面的主权。</w:t>
            </w:r>
          </w:p>
          <w:p w14:paraId="206DC160" w14:textId="55D055E6" w:rsidR="00154974" w:rsidRPr="005E70C9" w:rsidRDefault="005E70C9" w:rsidP="00C57589">
            <w:pPr>
              <w:numPr>
                <w:ilvl w:val="0"/>
                <w:numId w:val="2"/>
              </w:numPr>
              <w:tabs>
                <w:tab w:val="clear" w:pos="794"/>
                <w:tab w:val="clear" w:pos="1191"/>
                <w:tab w:val="clear" w:pos="1588"/>
                <w:tab w:val="clear" w:pos="1985"/>
              </w:tabs>
              <w:overflowPunct/>
              <w:autoSpaceDE/>
              <w:autoSpaceDN/>
              <w:adjustRightInd/>
              <w:spacing w:before="840"/>
              <w:ind w:left="323" w:hanging="323"/>
              <w:contextualSpacing/>
              <w:textAlignment w:val="auto"/>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该款将适用</w:t>
            </w:r>
            <w:proofErr w:type="spellEnd"/>
            <w:r w:rsidRPr="005E70C9">
              <w:rPr>
                <w:rFonts w:asciiTheme="minorHAnsi" w:eastAsiaTheme="minorEastAsia" w:hAnsiTheme="minorHAnsi" w:cstheme="minorHAnsi"/>
                <w:bCs/>
                <w:sz w:val="18"/>
                <w:szCs w:val="18"/>
                <w:lang w:val="en-US"/>
              </w:rPr>
              <w:t>。</w:t>
            </w:r>
          </w:p>
        </w:tc>
        <w:tc>
          <w:tcPr>
            <w:tcW w:w="2045" w:type="dxa"/>
            <w:tcMar>
              <w:left w:w="85" w:type="dxa"/>
              <w:right w:w="85" w:type="dxa"/>
            </w:tcMar>
          </w:tcPr>
          <w:p w14:paraId="6E7FDB12"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rPr>
            </w:pPr>
          </w:p>
          <w:p w14:paraId="2DA03108" w14:textId="1A47E71C" w:rsidR="00154974" w:rsidRPr="005E70C9" w:rsidRDefault="00350461" w:rsidP="00154974">
            <w:pPr>
              <w:spacing w:after="60"/>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tc>
        <w:tc>
          <w:tcPr>
            <w:tcW w:w="1310" w:type="dxa"/>
            <w:tcMar>
              <w:left w:w="85" w:type="dxa"/>
              <w:right w:w="85" w:type="dxa"/>
            </w:tcMar>
          </w:tcPr>
          <w:p w14:paraId="7585B960" w14:textId="70954554" w:rsidR="00154974" w:rsidRPr="005E70C9" w:rsidRDefault="00154974" w:rsidP="00154974">
            <w:pPr>
              <w:spacing w:after="60"/>
              <w:rPr>
                <w:rFonts w:asciiTheme="minorHAnsi" w:eastAsiaTheme="minorEastAsia" w:hAnsiTheme="minorHAnsi" w:cstheme="minorHAnsi"/>
                <w:b/>
                <w:bCs/>
                <w:sz w:val="18"/>
                <w:szCs w:val="18"/>
                <w:lang w:val="en-US" w:eastAsia="zh-CN"/>
              </w:rPr>
            </w:pPr>
            <w:bookmarkStart w:id="8" w:name="lt_pId089"/>
            <w:r w:rsidRPr="005E70C9">
              <w:rPr>
                <w:rFonts w:asciiTheme="minorHAnsi" w:eastAsiaTheme="minorEastAsia" w:hAnsiTheme="minorHAnsi" w:cstheme="minorHAnsi"/>
                <w:b/>
                <w:bCs/>
                <w:sz w:val="18"/>
                <w:szCs w:val="18"/>
                <w:lang w:val="en-US" w:eastAsia="zh-CN"/>
              </w:rPr>
              <w:t>•</w:t>
            </w:r>
            <w:r w:rsidRPr="005E70C9">
              <w:rPr>
                <w:rFonts w:asciiTheme="minorHAnsi" w:eastAsiaTheme="minorEastAsia" w:hAnsiTheme="minorHAnsi" w:cstheme="minorHAnsi"/>
                <w:b/>
                <w:bCs/>
                <w:sz w:val="18"/>
                <w:szCs w:val="18"/>
                <w:lang w:val="en-US" w:eastAsia="zh-CN"/>
              </w:rPr>
              <w:t>无需修改。</w:t>
            </w:r>
          </w:p>
          <w:p w14:paraId="5667713E" w14:textId="172B143D" w:rsidR="00154974" w:rsidRPr="005E70C9" w:rsidRDefault="00154974" w:rsidP="00154974">
            <w:pPr>
              <w:spacing w:after="60"/>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w:t>
            </w:r>
            <w:r w:rsidR="00B71BA2" w:rsidRPr="005E70C9">
              <w:rPr>
                <w:rFonts w:asciiTheme="minorHAnsi" w:eastAsiaTheme="minorEastAsia" w:hAnsiTheme="minorHAnsi" w:cstheme="minorHAnsi"/>
                <w:bCs/>
                <w:sz w:val="18"/>
                <w:szCs w:val="18"/>
                <w:lang w:val="en-US" w:eastAsia="zh-CN"/>
              </w:rPr>
              <w:t>支持通过商业协议做出安排，应该优先于结算价原则。</w:t>
            </w:r>
          </w:p>
          <w:bookmarkEnd w:id="8"/>
          <w:p w14:paraId="26257DEE" w14:textId="77777777" w:rsidR="00154974" w:rsidRPr="005E70C9" w:rsidRDefault="00154974" w:rsidP="00154974">
            <w:pPr>
              <w:spacing w:after="60"/>
              <w:rPr>
                <w:rFonts w:asciiTheme="minorHAnsi" w:eastAsiaTheme="minorEastAsia" w:hAnsiTheme="minorHAnsi" w:cstheme="minorHAnsi"/>
                <w:b/>
                <w:bCs/>
                <w:sz w:val="18"/>
                <w:szCs w:val="18"/>
                <w:lang w:val="en-US" w:eastAsia="zh-CN"/>
              </w:rPr>
            </w:pPr>
          </w:p>
        </w:tc>
      </w:tr>
      <w:tr w:rsidR="00154974" w:rsidRPr="00436F1F" w14:paraId="7AB5801E" w14:textId="77777777" w:rsidTr="00436F1F">
        <w:trPr>
          <w:trHeight w:val="153"/>
          <w:jc w:val="center"/>
        </w:trPr>
        <w:tc>
          <w:tcPr>
            <w:tcW w:w="909" w:type="dxa"/>
            <w:tcMar>
              <w:left w:w="85" w:type="dxa"/>
              <w:right w:w="85" w:type="dxa"/>
            </w:tcMar>
          </w:tcPr>
          <w:p w14:paraId="0F931C7B" w14:textId="3C0A046E"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17F85CED"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54</w:t>
            </w:r>
          </w:p>
          <w:p w14:paraId="19B85102" w14:textId="69BFE473"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8.1.2</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成员国须努力鼓励国际电信网络投资，并促进为此类电信网络所承载的业务量制定竞争性批发价格。</w:t>
            </w:r>
          </w:p>
        </w:tc>
        <w:tc>
          <w:tcPr>
            <w:tcW w:w="2104" w:type="dxa"/>
            <w:tcMar>
              <w:left w:w="85" w:type="dxa"/>
              <w:right w:w="85" w:type="dxa"/>
            </w:tcMar>
          </w:tcPr>
          <w:p w14:paraId="4F0887A7" w14:textId="36D4AB52"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tc>
        <w:tc>
          <w:tcPr>
            <w:tcW w:w="2047" w:type="dxa"/>
            <w:tcMar>
              <w:left w:w="85" w:type="dxa"/>
              <w:right w:w="85" w:type="dxa"/>
            </w:tcMar>
          </w:tcPr>
          <w:p w14:paraId="056DC31B"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rPr>
            </w:pPr>
          </w:p>
          <w:p w14:paraId="5EE2A6B1" w14:textId="264C8E49" w:rsidR="00154974" w:rsidRPr="005E70C9" w:rsidRDefault="0096747F" w:rsidP="00C57589">
            <w:pPr>
              <w:numPr>
                <w:ilvl w:val="0"/>
                <w:numId w:val="2"/>
              </w:numPr>
              <w:tabs>
                <w:tab w:val="clear" w:pos="794"/>
                <w:tab w:val="clear" w:pos="1191"/>
                <w:tab w:val="clear" w:pos="1588"/>
                <w:tab w:val="clear" w:pos="1985"/>
              </w:tabs>
              <w:overflowPunct/>
              <w:autoSpaceDE/>
              <w:autoSpaceDN/>
              <w:adjustRightInd/>
              <w:spacing w:before="840"/>
              <w:ind w:left="323" w:hanging="323"/>
              <w:contextualSpacing/>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促进国际网络和业务的提供和发展，要求投资者获得合理的投资回报。</w:t>
            </w:r>
          </w:p>
          <w:p w14:paraId="1548E7EA" w14:textId="2EA2B4BF" w:rsidR="00154974" w:rsidRPr="005E70C9" w:rsidRDefault="00350461" w:rsidP="00C57589">
            <w:pPr>
              <w:numPr>
                <w:ilvl w:val="0"/>
                <w:numId w:val="2"/>
              </w:numPr>
              <w:tabs>
                <w:tab w:val="clear" w:pos="794"/>
                <w:tab w:val="clear" w:pos="1191"/>
                <w:tab w:val="clear" w:pos="1588"/>
                <w:tab w:val="clear" w:pos="1985"/>
              </w:tabs>
              <w:overflowPunct/>
              <w:autoSpaceDE/>
              <w:autoSpaceDN/>
              <w:adjustRightInd/>
              <w:spacing w:before="840"/>
              <w:ind w:left="323" w:hanging="323"/>
              <w:contextualSpacing/>
              <w:textAlignment w:val="auto"/>
              <w:rPr>
                <w:rFonts w:asciiTheme="minorHAnsi" w:eastAsiaTheme="minorEastAsia" w:hAnsiTheme="minorHAnsi" w:cstheme="minorHAnsi"/>
                <w:bCs/>
                <w:sz w:val="18"/>
                <w:szCs w:val="18"/>
                <w:lang w:val="en-US"/>
              </w:rPr>
            </w:pPr>
            <w:r w:rsidRPr="005E70C9">
              <w:rPr>
                <w:rFonts w:asciiTheme="minorHAnsi" w:eastAsiaTheme="minorEastAsia" w:hAnsiTheme="minorHAnsi" w:cstheme="minorHAnsi"/>
                <w:bCs/>
                <w:sz w:val="18"/>
                <w:szCs w:val="18"/>
                <w:lang w:eastAsia="zh-CN"/>
              </w:rPr>
              <w:t>该款将适用。</w:t>
            </w:r>
          </w:p>
        </w:tc>
        <w:tc>
          <w:tcPr>
            <w:tcW w:w="2045" w:type="dxa"/>
            <w:tcMar>
              <w:left w:w="85" w:type="dxa"/>
              <w:right w:w="85" w:type="dxa"/>
            </w:tcMar>
          </w:tcPr>
          <w:p w14:paraId="5ACC5744"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rPr>
            </w:pPr>
          </w:p>
          <w:p w14:paraId="6C3CBBDE" w14:textId="43AF64D5" w:rsidR="00154974" w:rsidRPr="005E70C9" w:rsidRDefault="00350461" w:rsidP="00C57589">
            <w:pPr>
              <w:pStyle w:val="ListParagraph"/>
              <w:numPr>
                <w:ilvl w:val="0"/>
                <w:numId w:val="9"/>
              </w:numPr>
              <w:tabs>
                <w:tab w:val="clear" w:pos="567"/>
              </w:tabs>
              <w:spacing w:after="60"/>
              <w:ind w:left="260" w:hanging="295"/>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sz w:val="18"/>
                <w:szCs w:val="18"/>
                <w:lang w:eastAsia="zh-CN"/>
              </w:rPr>
              <w:t>足够灵活。</w:t>
            </w:r>
          </w:p>
          <w:p w14:paraId="28F5B21C" w14:textId="04A9484C" w:rsidR="00154974" w:rsidRPr="005E70C9" w:rsidRDefault="00350461" w:rsidP="00C57589">
            <w:pPr>
              <w:pStyle w:val="ListParagraph"/>
              <w:numPr>
                <w:ilvl w:val="0"/>
                <w:numId w:val="9"/>
              </w:numPr>
              <w:tabs>
                <w:tab w:val="clear" w:pos="567"/>
              </w:tabs>
              <w:spacing w:after="60"/>
              <w:ind w:left="260" w:hanging="295"/>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sz w:val="18"/>
                <w:szCs w:val="18"/>
                <w:lang w:eastAsia="zh-CN"/>
              </w:rPr>
              <w:t>鼓励投资、竞争和竞价。</w:t>
            </w:r>
          </w:p>
        </w:tc>
        <w:tc>
          <w:tcPr>
            <w:tcW w:w="1310" w:type="dxa"/>
            <w:tcMar>
              <w:left w:w="85" w:type="dxa"/>
              <w:right w:w="85" w:type="dxa"/>
            </w:tcMar>
          </w:tcPr>
          <w:p w14:paraId="74BE9530" w14:textId="77777777" w:rsidR="00154974" w:rsidRPr="005E70C9" w:rsidRDefault="00154974" w:rsidP="00154974">
            <w:pPr>
              <w:spacing w:after="60"/>
              <w:rPr>
                <w:rFonts w:asciiTheme="minorHAnsi" w:eastAsiaTheme="minorEastAsia" w:hAnsiTheme="minorHAnsi" w:cstheme="minorHAnsi"/>
                <w:b/>
                <w:bCs/>
                <w:sz w:val="18"/>
                <w:szCs w:val="18"/>
                <w:lang w:val="en-US"/>
              </w:rPr>
            </w:pPr>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p w14:paraId="4E6E5B68"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1069E6C6" w14:textId="77777777" w:rsidTr="001C3F60">
        <w:trPr>
          <w:trHeight w:val="153"/>
          <w:jc w:val="center"/>
        </w:trPr>
        <w:tc>
          <w:tcPr>
            <w:tcW w:w="909" w:type="dxa"/>
            <w:shd w:val="clear" w:color="auto" w:fill="auto"/>
            <w:tcMar>
              <w:left w:w="85" w:type="dxa"/>
              <w:right w:w="85" w:type="dxa"/>
            </w:tcMar>
          </w:tcPr>
          <w:p w14:paraId="2000E8D9" w14:textId="50FE14C7"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shd w:val="clear" w:color="auto" w:fill="auto"/>
            <w:tcMar>
              <w:left w:w="85" w:type="dxa"/>
              <w:right w:w="85" w:type="dxa"/>
            </w:tcMar>
          </w:tcPr>
          <w:p w14:paraId="01CA8B17"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57</w:t>
            </w:r>
          </w:p>
          <w:p w14:paraId="5DF1A0AD" w14:textId="3769728F"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8.2.1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下列规定可适用于通过符合国家监管规定的结算价原则确定的国际电信业务安排的条款与条件。这些条款不适用于通过商业协议做出的安排。</w:t>
            </w:r>
          </w:p>
        </w:tc>
        <w:tc>
          <w:tcPr>
            <w:tcW w:w="2104" w:type="dxa"/>
            <w:shd w:val="clear" w:color="auto" w:fill="auto"/>
            <w:tcMar>
              <w:left w:w="85" w:type="dxa"/>
              <w:right w:w="85" w:type="dxa"/>
            </w:tcMar>
          </w:tcPr>
          <w:p w14:paraId="19ADF081" w14:textId="4EDAD864"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t>没有类似条款</w:t>
            </w:r>
            <w:proofErr w:type="spellEnd"/>
            <w:r w:rsidRPr="005E70C9">
              <w:rPr>
                <w:rFonts w:asciiTheme="minorHAnsi" w:eastAsiaTheme="minorEastAsia" w:hAnsiTheme="minorHAnsi" w:cstheme="minorHAnsi"/>
                <w:bCs/>
                <w:sz w:val="18"/>
                <w:szCs w:val="18"/>
                <w:lang w:val="en-US"/>
              </w:rPr>
              <w:t>。</w:t>
            </w:r>
          </w:p>
        </w:tc>
        <w:tc>
          <w:tcPr>
            <w:tcW w:w="2047" w:type="dxa"/>
            <w:shd w:val="clear" w:color="auto" w:fill="auto"/>
            <w:tcMar>
              <w:left w:w="85" w:type="dxa"/>
              <w:right w:w="85" w:type="dxa"/>
            </w:tcMar>
          </w:tcPr>
          <w:p w14:paraId="188C2679" w14:textId="77777777" w:rsidR="00154974" w:rsidRPr="005E70C9" w:rsidRDefault="00154974" w:rsidP="00154974">
            <w:pPr>
              <w:tabs>
                <w:tab w:val="clear" w:pos="794"/>
                <w:tab w:val="clear" w:pos="1191"/>
                <w:tab w:val="clear" w:pos="1588"/>
                <w:tab w:val="clear" w:pos="1985"/>
              </w:tabs>
              <w:overflowPunct/>
              <w:spacing w:before="0"/>
              <w:textAlignment w:val="auto"/>
              <w:rPr>
                <w:rFonts w:asciiTheme="minorHAnsi" w:eastAsiaTheme="minorEastAsia" w:hAnsiTheme="minorHAnsi" w:cstheme="minorHAnsi"/>
                <w:bCs/>
                <w:sz w:val="18"/>
                <w:szCs w:val="18"/>
                <w:lang w:val="en-US" w:eastAsia="zh-CN"/>
              </w:rPr>
            </w:pPr>
          </w:p>
          <w:p w14:paraId="53ACC081" w14:textId="05D4B296" w:rsidR="00154974" w:rsidRPr="005E70C9" w:rsidRDefault="00350461" w:rsidP="00C57589">
            <w:pPr>
              <w:numPr>
                <w:ilvl w:val="0"/>
                <w:numId w:val="3"/>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val="en-US" w:eastAsia="zh-CN"/>
              </w:rPr>
              <w:t>允许达成商业性协议。</w:t>
            </w:r>
          </w:p>
          <w:p w14:paraId="5E06CCBD" w14:textId="25D1B902" w:rsidR="00154974" w:rsidRPr="005E70C9" w:rsidRDefault="00350461" w:rsidP="00C57589">
            <w:pPr>
              <w:numPr>
                <w:ilvl w:val="0"/>
                <w:numId w:val="3"/>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val="en-US" w:eastAsia="zh-CN"/>
              </w:rPr>
              <w:t>该款将适用。</w:t>
            </w:r>
          </w:p>
        </w:tc>
        <w:tc>
          <w:tcPr>
            <w:tcW w:w="2045" w:type="dxa"/>
            <w:tcMar>
              <w:left w:w="85" w:type="dxa"/>
              <w:right w:w="85" w:type="dxa"/>
            </w:tcMar>
          </w:tcPr>
          <w:p w14:paraId="21176BD1" w14:textId="77777777" w:rsidR="00154974" w:rsidRPr="005E70C9" w:rsidRDefault="00154974" w:rsidP="00154974">
            <w:pPr>
              <w:rPr>
                <w:rFonts w:asciiTheme="minorHAnsi" w:eastAsiaTheme="minorEastAsia" w:hAnsiTheme="minorHAnsi" w:cstheme="minorHAnsi"/>
                <w:bCs/>
                <w:sz w:val="18"/>
                <w:szCs w:val="18"/>
                <w:lang w:val="en-US"/>
              </w:rPr>
            </w:pPr>
          </w:p>
          <w:p w14:paraId="1A8FF603" w14:textId="5B90BCFE" w:rsidR="00154974" w:rsidRPr="005E70C9" w:rsidRDefault="00350461" w:rsidP="00C57589">
            <w:pPr>
              <w:numPr>
                <w:ilvl w:val="0"/>
                <w:numId w:val="3"/>
              </w:numPr>
              <w:tabs>
                <w:tab w:val="clear" w:pos="794"/>
                <w:tab w:val="clear" w:pos="1191"/>
                <w:tab w:val="clear" w:pos="1588"/>
                <w:tab w:val="clear" w:pos="1985"/>
              </w:tabs>
              <w:overflowPunct/>
              <w:spacing w:before="0"/>
              <w:ind w:left="260" w:hanging="325"/>
              <w:textAlignment w:val="auto"/>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p w14:paraId="216CA9BA" w14:textId="7F769D44" w:rsidR="00154974" w:rsidRPr="005E70C9" w:rsidRDefault="00B71BA2" w:rsidP="00C57589">
            <w:pPr>
              <w:numPr>
                <w:ilvl w:val="0"/>
                <w:numId w:val="3"/>
              </w:numPr>
              <w:tabs>
                <w:tab w:val="clear" w:pos="794"/>
                <w:tab w:val="clear" w:pos="1191"/>
                <w:tab w:val="clear" w:pos="1588"/>
                <w:tab w:val="clear" w:pos="1985"/>
              </w:tabs>
              <w:overflowPunct/>
              <w:spacing w:before="0"/>
              <w:ind w:left="260" w:hanging="325"/>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val="en-US" w:eastAsia="zh-CN"/>
              </w:rPr>
              <w:t>需要考虑电信安排是否仍通过结算价原则做出。如果不是，可考虑修改文本，只考虑商业安排。南非只通过商业安排进行交易。</w:t>
            </w:r>
          </w:p>
        </w:tc>
        <w:tc>
          <w:tcPr>
            <w:tcW w:w="1310" w:type="dxa"/>
            <w:shd w:val="clear" w:color="auto" w:fill="auto"/>
            <w:tcMar>
              <w:left w:w="85" w:type="dxa"/>
              <w:right w:w="85" w:type="dxa"/>
            </w:tcMar>
          </w:tcPr>
          <w:p w14:paraId="60B802AF" w14:textId="2AB704E5" w:rsidR="00154974" w:rsidRPr="005E70C9" w:rsidRDefault="00154974" w:rsidP="00154974">
            <w:pPr>
              <w:spacing w:after="60"/>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无需修改</w:t>
            </w:r>
            <w:r w:rsidR="00E8464F" w:rsidRPr="005E70C9">
              <w:rPr>
                <w:rFonts w:asciiTheme="minorHAnsi" w:eastAsiaTheme="minorEastAsia" w:hAnsiTheme="minorHAnsi" w:cstheme="minorHAnsi"/>
                <w:b/>
                <w:bCs/>
                <w:sz w:val="18"/>
                <w:szCs w:val="18"/>
                <w:lang w:val="en-US" w:eastAsia="zh-CN"/>
              </w:rPr>
              <w:t>。</w:t>
            </w:r>
          </w:p>
          <w:p w14:paraId="0E4BE3AC" w14:textId="4C0A9083" w:rsidR="00154974" w:rsidRPr="005E70C9" w:rsidRDefault="00154974" w:rsidP="00154974">
            <w:pPr>
              <w:spacing w:after="60"/>
              <w:rPr>
                <w:rFonts w:asciiTheme="minorHAnsi" w:eastAsiaTheme="minorEastAsia" w:hAnsiTheme="minorHAnsi" w:cstheme="minorHAnsi"/>
                <w:b/>
                <w:sz w:val="18"/>
                <w:szCs w:val="18"/>
                <w:lang w:eastAsia="zh-CN"/>
              </w:rPr>
            </w:pPr>
          </w:p>
        </w:tc>
      </w:tr>
      <w:tr w:rsidR="00154974" w:rsidRPr="00436F1F" w14:paraId="65386C23" w14:textId="77777777" w:rsidTr="00436F1F">
        <w:trPr>
          <w:jc w:val="center"/>
        </w:trPr>
        <w:tc>
          <w:tcPr>
            <w:tcW w:w="909" w:type="dxa"/>
            <w:tcMar>
              <w:left w:w="85" w:type="dxa"/>
              <w:right w:w="85" w:type="dxa"/>
            </w:tcMar>
          </w:tcPr>
          <w:p w14:paraId="49C6F0A1" w14:textId="68C92999"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54A8718E"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58</w:t>
            </w:r>
          </w:p>
          <w:p w14:paraId="700A1AE4" w14:textId="3193DCAD"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8.2.2</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对某通信关系中各种适用的业务，经授权的运营机构须根据附录</w:t>
            </w:r>
            <w:r w:rsidRPr="005E70C9">
              <w:rPr>
                <w:rFonts w:asciiTheme="minorHAnsi" w:eastAsiaTheme="minorEastAsia" w:hAnsiTheme="minorHAnsi" w:cstheme="minorHAnsi"/>
                <w:bCs/>
                <w:sz w:val="18"/>
                <w:szCs w:val="18"/>
                <w:lang w:eastAsia="zh-CN"/>
              </w:rPr>
              <w:t>1</w:t>
            </w:r>
            <w:r w:rsidRPr="005E70C9">
              <w:rPr>
                <w:rFonts w:asciiTheme="minorHAnsi" w:eastAsiaTheme="minorEastAsia" w:hAnsiTheme="minorHAnsi" w:cstheme="minorHAnsi"/>
                <w:bCs/>
                <w:sz w:val="18"/>
                <w:szCs w:val="18"/>
                <w:lang w:eastAsia="zh-CN"/>
              </w:rPr>
              <w:t>各项规定并考虑相关</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建议书，通过相互间协议制定和修改结算价。</w:t>
            </w:r>
          </w:p>
        </w:tc>
        <w:tc>
          <w:tcPr>
            <w:tcW w:w="2104" w:type="dxa"/>
            <w:tcMar>
              <w:left w:w="85" w:type="dxa"/>
              <w:right w:w="85" w:type="dxa"/>
            </w:tcMar>
          </w:tcPr>
          <w:p w14:paraId="14472870"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47</w:t>
            </w:r>
          </w:p>
          <w:p w14:paraId="4EB684D4" w14:textId="0F7DF634" w:rsidR="00154974"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6.2.1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对某一通信联络中每种适用的业务，各主管部门</w:t>
            </w:r>
            <w:r w:rsidR="004244E3"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4244E3" w:rsidRPr="005E70C9">
              <w:rPr>
                <w:rFonts w:asciiTheme="minorHAnsi" w:eastAsiaTheme="minorEastAsia" w:hAnsiTheme="minorHAnsi" w:cstheme="minorHAnsi"/>
                <w:bCs/>
                <w:sz w:val="18"/>
                <w:szCs w:val="18"/>
                <w:lang w:eastAsia="zh-CN"/>
              </w:rPr>
              <w:t>]</w:t>
            </w:r>
            <w:r w:rsidR="004244E3" w:rsidRPr="005E70C9">
              <w:rPr>
                <w:rFonts w:asciiTheme="minorHAnsi" w:eastAsiaTheme="minorEastAsia" w:hAnsiTheme="minorHAnsi" w:cstheme="minorHAnsi"/>
                <w:bCs/>
                <w:sz w:val="18"/>
                <w:szCs w:val="18"/>
                <w:lang w:eastAsia="zh-CN"/>
              </w:rPr>
              <w:t>须</w:t>
            </w:r>
            <w:r w:rsidRPr="005E70C9">
              <w:rPr>
                <w:rFonts w:asciiTheme="minorHAnsi" w:eastAsiaTheme="minorEastAsia" w:hAnsiTheme="minorHAnsi" w:cstheme="minorHAnsi"/>
                <w:bCs/>
                <w:sz w:val="18"/>
                <w:szCs w:val="18"/>
                <w:lang w:eastAsia="zh-CN"/>
              </w:rPr>
              <w:t>根据附录一的各项规定并考虑国际电报电话咨询委员会的相关建议及相关的成本趋向，通过</w:t>
            </w:r>
            <w:r w:rsidR="004244E3" w:rsidRPr="005E70C9">
              <w:rPr>
                <w:rFonts w:asciiTheme="minorHAnsi" w:eastAsiaTheme="minorEastAsia" w:hAnsiTheme="minorHAnsi" w:cstheme="minorHAnsi"/>
                <w:bCs/>
                <w:sz w:val="18"/>
                <w:szCs w:val="18"/>
                <w:lang w:eastAsia="zh-CN"/>
              </w:rPr>
              <w:t>相互</w:t>
            </w:r>
            <w:r w:rsidRPr="005E70C9">
              <w:rPr>
                <w:rFonts w:asciiTheme="minorHAnsi" w:eastAsiaTheme="minorEastAsia" w:hAnsiTheme="minorHAnsi" w:cstheme="minorHAnsi"/>
                <w:bCs/>
                <w:sz w:val="18"/>
                <w:szCs w:val="18"/>
                <w:lang w:eastAsia="zh-CN"/>
              </w:rPr>
              <w:t>协议制定和修改它们之间拟采用的结算价。</w:t>
            </w:r>
          </w:p>
        </w:tc>
        <w:tc>
          <w:tcPr>
            <w:tcW w:w="2047" w:type="dxa"/>
            <w:tcMar>
              <w:left w:w="85" w:type="dxa"/>
              <w:right w:w="85" w:type="dxa"/>
            </w:tcMar>
          </w:tcPr>
          <w:p w14:paraId="1044DCB9" w14:textId="68277610" w:rsidR="00154974" w:rsidRPr="005E70C9" w:rsidRDefault="0096747F" w:rsidP="00C57589">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这一规定与</w:t>
            </w:r>
            <w:r w:rsidRPr="005E70C9">
              <w:rPr>
                <w:rFonts w:asciiTheme="minorHAnsi" w:eastAsiaTheme="minorEastAsia" w:hAnsiTheme="minorHAnsi" w:cstheme="minorHAnsi"/>
                <w:bCs/>
                <w:sz w:val="18"/>
                <w:szCs w:val="18"/>
                <w:lang w:eastAsia="zh-CN"/>
              </w:rPr>
              <w:t>1988</w:t>
            </w:r>
            <w:r w:rsidRPr="005E70C9">
              <w:rPr>
                <w:rFonts w:asciiTheme="minorHAnsi" w:eastAsiaTheme="minorEastAsia" w:hAnsiTheme="minorHAnsi" w:cstheme="minorHAnsi"/>
                <w:bCs/>
                <w:sz w:val="18"/>
                <w:szCs w:val="18"/>
                <w:lang w:eastAsia="zh-CN"/>
              </w:rPr>
              <w:t>年的相关规定相差甚小。不会延迟网络和业务服务的提供。</w:t>
            </w:r>
          </w:p>
          <w:p w14:paraId="23452579" w14:textId="5A9BC2A1" w:rsidR="00154974" w:rsidRPr="005E70C9" w:rsidRDefault="00350461" w:rsidP="00C57589">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val="en-US" w:eastAsia="zh-CN"/>
              </w:rPr>
              <w:t>该款将适用。</w:t>
            </w:r>
          </w:p>
        </w:tc>
        <w:tc>
          <w:tcPr>
            <w:tcW w:w="2045" w:type="dxa"/>
            <w:tcMar>
              <w:left w:w="85" w:type="dxa"/>
              <w:right w:w="85" w:type="dxa"/>
            </w:tcMar>
          </w:tcPr>
          <w:p w14:paraId="32B8EB81" w14:textId="77777777" w:rsidR="00154974" w:rsidRPr="005E70C9" w:rsidRDefault="00154974" w:rsidP="00154974">
            <w:pPr>
              <w:rPr>
                <w:rFonts w:asciiTheme="minorHAnsi" w:eastAsiaTheme="minorEastAsia" w:hAnsiTheme="minorHAnsi" w:cstheme="minorHAnsi"/>
                <w:bCs/>
                <w:sz w:val="18"/>
                <w:szCs w:val="18"/>
                <w:lang w:val="en-US"/>
              </w:rPr>
            </w:pPr>
          </w:p>
          <w:p w14:paraId="7B2F775F" w14:textId="0E45ED83" w:rsidR="00154974" w:rsidRPr="005E70C9" w:rsidRDefault="00350461" w:rsidP="00C57589">
            <w:pPr>
              <w:numPr>
                <w:ilvl w:val="0"/>
                <w:numId w:val="3"/>
              </w:numPr>
              <w:tabs>
                <w:tab w:val="clear" w:pos="794"/>
                <w:tab w:val="clear" w:pos="1191"/>
                <w:tab w:val="clear" w:pos="1588"/>
                <w:tab w:val="clear" w:pos="1985"/>
              </w:tabs>
              <w:overflowPunct/>
              <w:spacing w:before="0"/>
              <w:ind w:left="260" w:hanging="325"/>
              <w:textAlignment w:val="auto"/>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p w14:paraId="2EBB5B44" w14:textId="1AC0435F" w:rsidR="00154974" w:rsidRPr="005E70C9" w:rsidRDefault="00350461" w:rsidP="00C57589">
            <w:pPr>
              <w:numPr>
                <w:ilvl w:val="0"/>
                <w:numId w:val="3"/>
              </w:numPr>
              <w:tabs>
                <w:tab w:val="clear" w:pos="794"/>
                <w:tab w:val="clear" w:pos="1191"/>
                <w:tab w:val="clear" w:pos="1588"/>
                <w:tab w:val="clear" w:pos="1985"/>
              </w:tabs>
              <w:overflowPunct/>
              <w:spacing w:before="0"/>
              <w:ind w:left="260" w:hanging="325"/>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val="en-US"/>
              </w:rPr>
              <w:t>这些条款排除了达成商业性协议的可能。</w:t>
            </w:r>
          </w:p>
        </w:tc>
        <w:tc>
          <w:tcPr>
            <w:tcW w:w="1310" w:type="dxa"/>
            <w:tcMar>
              <w:left w:w="85" w:type="dxa"/>
              <w:right w:w="85" w:type="dxa"/>
            </w:tcMar>
          </w:tcPr>
          <w:p w14:paraId="64A8FE0B" w14:textId="77777777" w:rsidR="00154974" w:rsidRPr="005E70C9" w:rsidRDefault="00154974" w:rsidP="00154974">
            <w:pPr>
              <w:spacing w:after="60"/>
              <w:rPr>
                <w:rFonts w:asciiTheme="minorHAnsi" w:eastAsiaTheme="minorEastAsia" w:hAnsiTheme="minorHAnsi" w:cstheme="minorHAnsi"/>
                <w:b/>
                <w:bCs/>
                <w:sz w:val="18"/>
                <w:szCs w:val="18"/>
                <w:lang w:val="en-US"/>
              </w:rPr>
            </w:pPr>
            <w:bookmarkStart w:id="9" w:name="lt_pId115"/>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bookmarkEnd w:id="9"/>
          <w:p w14:paraId="4226CAA1"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0D872236" w14:textId="77777777" w:rsidTr="00436F1F">
        <w:trPr>
          <w:jc w:val="center"/>
        </w:trPr>
        <w:tc>
          <w:tcPr>
            <w:tcW w:w="909" w:type="dxa"/>
            <w:tcMar>
              <w:left w:w="85" w:type="dxa"/>
              <w:right w:w="85" w:type="dxa"/>
            </w:tcMar>
          </w:tcPr>
          <w:p w14:paraId="409958E6" w14:textId="4400276E"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2CE29D12"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59</w:t>
            </w:r>
          </w:p>
          <w:p w14:paraId="55F455C2" w14:textId="7ADA0E36"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8.2.3</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除另有协议外，提供国际电信业务的各方均须遵守附录</w:t>
            </w:r>
            <w:r w:rsidRPr="005E70C9">
              <w:rPr>
                <w:rFonts w:asciiTheme="minorHAnsi" w:eastAsiaTheme="minorEastAsia" w:hAnsiTheme="minorHAnsi" w:cstheme="minorHAnsi"/>
                <w:bCs/>
                <w:sz w:val="18"/>
                <w:szCs w:val="18"/>
                <w:lang w:eastAsia="zh-CN"/>
              </w:rPr>
              <w:t>1</w:t>
            </w:r>
            <w:r w:rsidRPr="005E70C9">
              <w:rPr>
                <w:rFonts w:asciiTheme="minorHAnsi" w:eastAsiaTheme="minorEastAsia" w:hAnsiTheme="minorHAnsi" w:cstheme="minorHAnsi"/>
                <w:bCs/>
                <w:sz w:val="18"/>
                <w:szCs w:val="18"/>
                <w:lang w:eastAsia="zh-CN"/>
              </w:rPr>
              <w:t>和</w:t>
            </w:r>
            <w:r w:rsidRPr="005E70C9">
              <w:rPr>
                <w:rFonts w:asciiTheme="minorHAnsi" w:eastAsiaTheme="minorEastAsia" w:hAnsiTheme="minorHAnsi" w:cstheme="minorHAnsi"/>
                <w:bCs/>
                <w:sz w:val="18"/>
                <w:szCs w:val="18"/>
                <w:lang w:eastAsia="zh-CN"/>
              </w:rPr>
              <w:t>2</w:t>
            </w:r>
            <w:r w:rsidRPr="005E70C9">
              <w:rPr>
                <w:rFonts w:asciiTheme="minorHAnsi" w:eastAsiaTheme="minorEastAsia" w:hAnsiTheme="minorHAnsi" w:cstheme="minorHAnsi"/>
                <w:bCs/>
                <w:sz w:val="18"/>
                <w:szCs w:val="18"/>
                <w:lang w:eastAsia="zh-CN"/>
              </w:rPr>
              <w:t>的各项规定。</w:t>
            </w:r>
          </w:p>
        </w:tc>
        <w:tc>
          <w:tcPr>
            <w:tcW w:w="2104" w:type="dxa"/>
            <w:tcMar>
              <w:left w:w="85" w:type="dxa"/>
              <w:right w:w="85" w:type="dxa"/>
            </w:tcMar>
          </w:tcPr>
          <w:p w14:paraId="54F1C554" w14:textId="399C80C7" w:rsidR="00154974" w:rsidRPr="005E70C9" w:rsidRDefault="00154974" w:rsidP="00154974">
            <w:pPr>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52</w:t>
            </w:r>
          </w:p>
          <w:p w14:paraId="198AC407" w14:textId="1F8B0F8B" w:rsidR="00154974"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6.4.1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除另有协议外，各主管部门</w:t>
            </w:r>
            <w:r w:rsidR="004244E3"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4244E3" w:rsidRPr="005E70C9">
              <w:rPr>
                <w:rFonts w:asciiTheme="minorHAnsi" w:eastAsiaTheme="minorEastAsia" w:hAnsiTheme="minorHAnsi" w:cstheme="minorHAnsi"/>
                <w:bCs/>
                <w:sz w:val="18"/>
                <w:szCs w:val="18"/>
                <w:lang w:eastAsia="zh-CN"/>
              </w:rPr>
              <w:t>]</w:t>
            </w:r>
            <w:r w:rsidR="004244E3" w:rsidRPr="005E70C9">
              <w:rPr>
                <w:rFonts w:asciiTheme="minorHAnsi" w:eastAsiaTheme="minorEastAsia" w:hAnsiTheme="minorHAnsi" w:cstheme="minorHAnsi"/>
                <w:bCs/>
                <w:sz w:val="18"/>
                <w:szCs w:val="18"/>
                <w:lang w:eastAsia="zh-CN"/>
              </w:rPr>
              <w:t>须</w:t>
            </w:r>
            <w:r w:rsidRPr="005E70C9">
              <w:rPr>
                <w:rFonts w:asciiTheme="minorHAnsi" w:eastAsiaTheme="minorEastAsia" w:hAnsiTheme="minorHAnsi" w:cstheme="minorHAnsi"/>
                <w:bCs/>
                <w:sz w:val="18"/>
                <w:szCs w:val="18"/>
                <w:lang w:eastAsia="zh-CN"/>
              </w:rPr>
              <w:t>遵守附录一和二中的</w:t>
            </w:r>
            <w:r w:rsidR="004244E3" w:rsidRPr="005E70C9">
              <w:rPr>
                <w:rFonts w:asciiTheme="minorHAnsi" w:eastAsiaTheme="minorEastAsia" w:hAnsiTheme="minorHAnsi" w:cstheme="minorHAnsi"/>
                <w:bCs/>
                <w:sz w:val="18"/>
                <w:szCs w:val="18"/>
                <w:lang w:eastAsia="zh-CN"/>
              </w:rPr>
              <w:t>相关规定</w:t>
            </w:r>
            <w:r w:rsidRPr="005E70C9">
              <w:rPr>
                <w:rFonts w:asciiTheme="minorHAnsi" w:eastAsiaTheme="minorEastAsia" w:hAnsiTheme="minorHAnsi" w:cstheme="minorHAnsi"/>
                <w:bCs/>
                <w:sz w:val="18"/>
                <w:szCs w:val="18"/>
                <w:lang w:eastAsia="zh-CN"/>
              </w:rPr>
              <w:t>。</w:t>
            </w:r>
          </w:p>
        </w:tc>
        <w:tc>
          <w:tcPr>
            <w:tcW w:w="2047" w:type="dxa"/>
            <w:tcMar>
              <w:left w:w="85" w:type="dxa"/>
              <w:right w:w="85" w:type="dxa"/>
            </w:tcMar>
          </w:tcPr>
          <w:p w14:paraId="17552785"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38D9C7FF" w14:textId="5F8DA243" w:rsidR="00154974" w:rsidRPr="005E70C9" w:rsidRDefault="00350461" w:rsidP="00C57589">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不会对网络和服务条款带来负面影响。</w:t>
            </w:r>
          </w:p>
          <w:p w14:paraId="1F2D2444" w14:textId="432428B1" w:rsidR="00E8464F" w:rsidRPr="005E70C9" w:rsidRDefault="00350461" w:rsidP="00C57589">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eastAsia="zh-CN"/>
              </w:rPr>
            </w:pPr>
            <w:proofErr w:type="spellStart"/>
            <w:r w:rsidRPr="005E70C9">
              <w:rPr>
                <w:rFonts w:asciiTheme="minorHAnsi" w:eastAsiaTheme="minorEastAsia" w:hAnsiTheme="minorHAnsi" w:cstheme="minorHAnsi"/>
                <w:bCs/>
                <w:sz w:val="18"/>
                <w:szCs w:val="18"/>
                <w:lang w:eastAsia="zh-CN"/>
              </w:rPr>
              <w:t>条款仍然适用</w:t>
            </w:r>
            <w:proofErr w:type="spellEnd"/>
            <w:r w:rsidRPr="005E70C9">
              <w:rPr>
                <w:rFonts w:asciiTheme="minorHAnsi" w:eastAsiaTheme="minorEastAsia" w:hAnsiTheme="minorHAnsi" w:cstheme="minorHAnsi"/>
                <w:bCs/>
                <w:sz w:val="18"/>
                <w:szCs w:val="18"/>
                <w:lang w:eastAsia="zh-CN"/>
              </w:rPr>
              <w:t>。</w:t>
            </w:r>
          </w:p>
          <w:p w14:paraId="37B84408" w14:textId="05839153" w:rsidR="00154974" w:rsidRPr="005E70C9" w:rsidRDefault="00154974" w:rsidP="00154974">
            <w:pPr>
              <w:spacing w:after="60"/>
              <w:rPr>
                <w:rFonts w:asciiTheme="minorHAnsi" w:eastAsiaTheme="minorEastAsia" w:hAnsiTheme="minorHAnsi" w:cstheme="minorHAnsi"/>
                <w:sz w:val="18"/>
                <w:szCs w:val="18"/>
                <w:lang w:eastAsia="zh-CN"/>
              </w:rPr>
            </w:pPr>
          </w:p>
        </w:tc>
        <w:tc>
          <w:tcPr>
            <w:tcW w:w="2045" w:type="dxa"/>
            <w:tcMar>
              <w:left w:w="85" w:type="dxa"/>
              <w:right w:w="85" w:type="dxa"/>
            </w:tcMar>
          </w:tcPr>
          <w:p w14:paraId="495643B1" w14:textId="77777777" w:rsidR="00154974" w:rsidRPr="005E70C9" w:rsidRDefault="00154974" w:rsidP="005E70C9">
            <w:pPr>
              <w:tabs>
                <w:tab w:val="clear" w:pos="794"/>
                <w:tab w:val="clear" w:pos="1191"/>
                <w:tab w:val="clear" w:pos="1588"/>
                <w:tab w:val="clear" w:pos="1985"/>
              </w:tabs>
              <w:overflowPunct/>
              <w:spacing w:before="0"/>
              <w:ind w:left="260"/>
              <w:textAlignment w:val="auto"/>
              <w:rPr>
                <w:rFonts w:asciiTheme="minorHAnsi" w:eastAsiaTheme="minorEastAsia" w:hAnsiTheme="minorHAnsi" w:cstheme="minorHAnsi"/>
                <w:bCs/>
                <w:sz w:val="18"/>
                <w:szCs w:val="18"/>
                <w:lang w:val="en-US"/>
              </w:rPr>
            </w:pPr>
          </w:p>
          <w:p w14:paraId="0D6FB6B2" w14:textId="6C8E19DA" w:rsidR="00154974" w:rsidRPr="005E70C9" w:rsidRDefault="00350461" w:rsidP="00C57589">
            <w:pPr>
              <w:numPr>
                <w:ilvl w:val="0"/>
                <w:numId w:val="3"/>
              </w:numPr>
              <w:tabs>
                <w:tab w:val="clear" w:pos="794"/>
                <w:tab w:val="clear" w:pos="1191"/>
                <w:tab w:val="clear" w:pos="1588"/>
                <w:tab w:val="clear" w:pos="1985"/>
              </w:tabs>
              <w:overflowPunct/>
              <w:spacing w:before="0"/>
              <w:ind w:left="260" w:hanging="325"/>
              <w:textAlignment w:val="auto"/>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p w14:paraId="3316AD1D" w14:textId="24F8A5AA" w:rsidR="00154974" w:rsidRPr="005E70C9" w:rsidRDefault="00350461" w:rsidP="00C57589">
            <w:pPr>
              <w:numPr>
                <w:ilvl w:val="0"/>
                <w:numId w:val="3"/>
              </w:numPr>
              <w:tabs>
                <w:tab w:val="clear" w:pos="794"/>
                <w:tab w:val="clear" w:pos="1191"/>
                <w:tab w:val="clear" w:pos="1588"/>
                <w:tab w:val="clear" w:pos="1985"/>
              </w:tabs>
              <w:overflowPunct/>
              <w:spacing w:before="0" w:after="60"/>
              <w:ind w:left="260" w:hanging="325"/>
              <w:textAlignment w:val="auto"/>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允许达成商业性协议</w:t>
            </w:r>
            <w:proofErr w:type="spellEnd"/>
            <w:r w:rsidRPr="005E70C9">
              <w:rPr>
                <w:rFonts w:asciiTheme="minorHAnsi" w:eastAsiaTheme="minorEastAsia" w:hAnsiTheme="minorHAnsi" w:cstheme="minorHAnsi"/>
                <w:bCs/>
                <w:sz w:val="18"/>
                <w:szCs w:val="18"/>
                <w:lang w:val="en-US"/>
              </w:rPr>
              <w:t>。</w:t>
            </w:r>
          </w:p>
        </w:tc>
        <w:tc>
          <w:tcPr>
            <w:tcW w:w="1310" w:type="dxa"/>
            <w:tcMar>
              <w:left w:w="85" w:type="dxa"/>
              <w:right w:w="85" w:type="dxa"/>
            </w:tcMar>
          </w:tcPr>
          <w:p w14:paraId="07FC12F2" w14:textId="77777777" w:rsidR="00154974" w:rsidRPr="005E70C9" w:rsidRDefault="00154974" w:rsidP="00154974">
            <w:pPr>
              <w:spacing w:after="60"/>
              <w:rPr>
                <w:rFonts w:asciiTheme="minorHAnsi" w:eastAsiaTheme="minorEastAsia" w:hAnsiTheme="minorHAnsi" w:cstheme="minorHAnsi"/>
                <w:b/>
                <w:bCs/>
                <w:sz w:val="18"/>
                <w:szCs w:val="18"/>
                <w:lang w:val="en-US"/>
              </w:rPr>
            </w:pPr>
            <w:bookmarkStart w:id="10" w:name="lt_pId125"/>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bookmarkEnd w:id="10"/>
          <w:p w14:paraId="6C6F867C"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50318CAD" w14:textId="77777777" w:rsidTr="00436F1F">
        <w:trPr>
          <w:jc w:val="center"/>
        </w:trPr>
        <w:tc>
          <w:tcPr>
            <w:tcW w:w="909" w:type="dxa"/>
            <w:tcMar>
              <w:left w:w="85" w:type="dxa"/>
              <w:right w:w="85" w:type="dxa"/>
            </w:tcMar>
          </w:tcPr>
          <w:p w14:paraId="1438191B" w14:textId="685B35A7"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11D62F7E"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60</w:t>
            </w:r>
          </w:p>
          <w:p w14:paraId="4727F015" w14:textId="60713D82" w:rsidR="00154974" w:rsidRPr="005E70C9" w:rsidRDefault="00154974" w:rsidP="00154974">
            <w:pPr>
              <w:tabs>
                <w:tab w:val="clear" w:pos="794"/>
                <w:tab w:val="left" w:pos="416"/>
              </w:tabs>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8.2.4</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如果经授权的运营机构之间没有特别安排，则用于国际电信业务结算价和用于国际账目编制的货</w:t>
            </w:r>
            <w:r w:rsidRPr="005E70C9">
              <w:rPr>
                <w:rFonts w:asciiTheme="minorHAnsi" w:eastAsiaTheme="minorEastAsia" w:hAnsiTheme="minorHAnsi" w:cstheme="minorHAnsi"/>
                <w:bCs/>
                <w:sz w:val="18"/>
                <w:szCs w:val="18"/>
                <w:lang w:eastAsia="zh-CN"/>
              </w:rPr>
              <w:lastRenderedPageBreak/>
              <w:t>币单位须为：</w:t>
            </w:r>
            <w:r w:rsidRPr="005E70C9">
              <w:rPr>
                <w:rFonts w:asciiTheme="minorHAnsi" w:eastAsiaTheme="minorEastAsia" w:hAnsiTheme="minorHAnsi" w:cstheme="minorHAnsi"/>
                <w:bCs/>
                <w:sz w:val="18"/>
                <w:szCs w:val="18"/>
                <w:lang w:eastAsia="zh-CN"/>
              </w:rPr>
              <w:br/>
              <w:t>–</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国际货币基金组织（</w:t>
            </w:r>
            <w:r w:rsidRPr="005E70C9">
              <w:rPr>
                <w:rFonts w:asciiTheme="minorHAnsi" w:eastAsiaTheme="minorEastAsia" w:hAnsiTheme="minorHAnsi" w:cstheme="minorHAnsi"/>
                <w:bCs/>
                <w:sz w:val="18"/>
                <w:szCs w:val="18"/>
                <w:lang w:eastAsia="zh-CN"/>
              </w:rPr>
              <w:t>IMF</w:t>
            </w:r>
            <w:r w:rsidRPr="005E70C9">
              <w:rPr>
                <w:rFonts w:asciiTheme="minorHAnsi" w:eastAsiaTheme="minorEastAsia" w:hAnsiTheme="minorHAnsi" w:cstheme="minorHAnsi"/>
                <w:bCs/>
                <w:sz w:val="18"/>
                <w:szCs w:val="18"/>
                <w:lang w:eastAsia="zh-CN"/>
              </w:rPr>
              <w:t>）的货币单位，即，目前该组织确定的特别提款权（</w:t>
            </w:r>
            <w:r w:rsidRPr="005E70C9">
              <w:rPr>
                <w:rFonts w:asciiTheme="minorHAnsi" w:eastAsiaTheme="minorEastAsia" w:hAnsiTheme="minorHAnsi" w:cstheme="minorHAnsi"/>
                <w:bCs/>
                <w:sz w:val="18"/>
                <w:szCs w:val="18"/>
                <w:lang w:eastAsia="zh-CN"/>
              </w:rPr>
              <w:t>SDR</w:t>
            </w:r>
            <w:r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br/>
              <w:t>–</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或是可自由兑换货币或经授权的运营机构协商一致的其它货币单位。</w:t>
            </w:r>
          </w:p>
        </w:tc>
        <w:tc>
          <w:tcPr>
            <w:tcW w:w="2104" w:type="dxa"/>
            <w:tcMar>
              <w:left w:w="85" w:type="dxa"/>
              <w:right w:w="85" w:type="dxa"/>
            </w:tcMar>
          </w:tcPr>
          <w:p w14:paraId="0A2940F7" w14:textId="79B89797" w:rsidR="00154974" w:rsidRPr="005E70C9" w:rsidRDefault="00154974" w:rsidP="00154974">
            <w:pPr>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lastRenderedPageBreak/>
              <w:t>49</w:t>
            </w:r>
          </w:p>
          <w:p w14:paraId="6BADEF90" w14:textId="3335F0BA" w:rsidR="00154974" w:rsidRPr="005E70C9" w:rsidRDefault="00B27048" w:rsidP="00154974">
            <w:pPr>
              <w:rPr>
                <w:rFonts w:asciiTheme="minorHAnsi" w:eastAsiaTheme="minorEastAsia" w:hAnsiTheme="minorHAnsi" w:cstheme="minorHAnsi"/>
                <w:bCs/>
                <w:sz w:val="18"/>
                <w:szCs w:val="18"/>
                <w:highlight w:val="cyan"/>
                <w:lang w:val="en-US" w:eastAsia="zh-CN"/>
              </w:rPr>
            </w:pPr>
            <w:r w:rsidRPr="005E70C9">
              <w:rPr>
                <w:rFonts w:asciiTheme="minorHAnsi" w:eastAsiaTheme="minorEastAsia" w:hAnsiTheme="minorHAnsi" w:cstheme="minorHAnsi"/>
                <w:bCs/>
                <w:sz w:val="18"/>
                <w:szCs w:val="18"/>
                <w:lang w:eastAsia="zh-CN"/>
              </w:rPr>
              <w:t>6.3.1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如果主管部门</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05304E"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间没有特别协议，构成国际电信业务结算价</w:t>
            </w:r>
            <w:r w:rsidRPr="005E70C9">
              <w:rPr>
                <w:rFonts w:asciiTheme="minorHAnsi" w:eastAsiaTheme="minorEastAsia" w:hAnsiTheme="minorHAnsi" w:cstheme="minorHAnsi"/>
                <w:bCs/>
                <w:sz w:val="18"/>
                <w:szCs w:val="18"/>
                <w:lang w:eastAsia="zh-CN"/>
              </w:rPr>
              <w:lastRenderedPageBreak/>
              <w:t>和编制国际帐目使用的货币单位应为：</w:t>
            </w:r>
          </w:p>
          <w:p w14:paraId="0ACC569F" w14:textId="4D5B78B7" w:rsidR="00154974" w:rsidRPr="005E70C9" w:rsidRDefault="00B27048" w:rsidP="00B27048">
            <w:pPr>
              <w:spacing w:after="60"/>
              <w:ind w:right="-111"/>
              <w:rPr>
                <w:rFonts w:asciiTheme="minorHAnsi" w:eastAsiaTheme="minorEastAsia" w:hAnsiTheme="minorHAnsi" w:cstheme="minorHAnsi"/>
                <w:bCs/>
                <w:sz w:val="18"/>
                <w:szCs w:val="18"/>
                <w:highlight w:val="green"/>
                <w:lang w:val="en-US" w:eastAsia="zh-CN"/>
              </w:rPr>
            </w:pPr>
            <w:r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ab/>
            </w:r>
            <w:r w:rsidR="0005304E" w:rsidRPr="005E70C9">
              <w:rPr>
                <w:rFonts w:asciiTheme="minorHAnsi" w:eastAsiaTheme="minorEastAsia" w:hAnsiTheme="minorHAnsi" w:cstheme="minorHAnsi"/>
                <w:bCs/>
                <w:sz w:val="18"/>
                <w:szCs w:val="18"/>
                <w:lang w:eastAsia="zh-CN"/>
              </w:rPr>
              <w:t>或者为</w:t>
            </w:r>
            <w:r w:rsidRPr="005E70C9">
              <w:rPr>
                <w:rFonts w:asciiTheme="minorHAnsi" w:eastAsiaTheme="minorEastAsia" w:hAnsiTheme="minorHAnsi" w:cstheme="minorHAnsi"/>
                <w:bCs/>
                <w:sz w:val="18"/>
                <w:szCs w:val="18"/>
                <w:lang w:eastAsia="zh-CN"/>
              </w:rPr>
              <w:t>国际货币基金组织（</w:t>
            </w:r>
            <w:r w:rsidRPr="005E70C9">
              <w:rPr>
                <w:rFonts w:asciiTheme="minorHAnsi" w:eastAsiaTheme="minorEastAsia" w:hAnsiTheme="minorHAnsi" w:cstheme="minorHAnsi"/>
                <w:bCs/>
                <w:sz w:val="18"/>
                <w:szCs w:val="18"/>
                <w:lang w:eastAsia="zh-CN"/>
              </w:rPr>
              <w:t>IMF</w:t>
            </w:r>
            <w:r w:rsidRPr="005E70C9">
              <w:rPr>
                <w:rFonts w:asciiTheme="minorHAnsi" w:eastAsiaTheme="minorEastAsia" w:hAnsiTheme="minorHAnsi" w:cstheme="minorHAnsi"/>
                <w:bCs/>
                <w:sz w:val="18"/>
                <w:szCs w:val="18"/>
                <w:lang w:eastAsia="zh-CN"/>
              </w:rPr>
              <w:t>）的货币单位，即目前为该组织规定的特别提款权（</w:t>
            </w:r>
            <w:r w:rsidRPr="005E70C9">
              <w:rPr>
                <w:rFonts w:asciiTheme="minorHAnsi" w:eastAsiaTheme="minorEastAsia" w:hAnsiTheme="minorHAnsi" w:cstheme="minorHAnsi"/>
                <w:bCs/>
                <w:sz w:val="18"/>
                <w:szCs w:val="18"/>
                <w:lang w:eastAsia="zh-CN"/>
              </w:rPr>
              <w:t>SDR</w:t>
            </w:r>
            <w:r w:rsidRPr="005E70C9">
              <w:rPr>
                <w:rFonts w:asciiTheme="minorHAnsi" w:eastAsiaTheme="minorEastAsia" w:hAnsiTheme="minorHAnsi" w:cstheme="minorHAnsi"/>
                <w:bCs/>
                <w:sz w:val="18"/>
                <w:szCs w:val="18"/>
                <w:lang w:eastAsia="zh-CN"/>
              </w:rPr>
              <w:t>）；</w:t>
            </w:r>
          </w:p>
          <w:p w14:paraId="5C23D1D3" w14:textId="4932E36A" w:rsidR="00154974" w:rsidRPr="005E70C9" w:rsidRDefault="00B27048" w:rsidP="00154974">
            <w:pPr>
              <w:rPr>
                <w:rFonts w:asciiTheme="minorHAnsi" w:eastAsiaTheme="minorEastAsia" w:hAnsiTheme="minorHAnsi" w:cstheme="minorHAnsi"/>
                <w:bCs/>
                <w:sz w:val="18"/>
                <w:szCs w:val="18"/>
                <w:highlight w:val="yellow"/>
                <w:lang w:val="en-US"/>
              </w:rPr>
            </w:pPr>
            <w:r w:rsidRPr="005E70C9">
              <w:rPr>
                <w:rFonts w:asciiTheme="minorHAnsi" w:eastAsiaTheme="minorEastAsia" w:hAnsiTheme="minorHAnsi" w:cstheme="minorHAnsi"/>
                <w:bCs/>
                <w:sz w:val="18"/>
                <w:szCs w:val="18"/>
                <w:highlight w:val="yellow"/>
                <w:lang w:val="en-US" w:eastAsia="zh-CN"/>
              </w:rPr>
              <w:br/>
            </w:r>
            <w:r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或者相当于</w:t>
            </w:r>
            <w:r w:rsidRPr="005E70C9">
              <w:rPr>
                <w:rFonts w:asciiTheme="minorHAnsi" w:eastAsiaTheme="minorEastAsia" w:hAnsiTheme="minorHAnsi" w:cstheme="minorHAnsi"/>
                <w:bCs/>
                <w:sz w:val="18"/>
                <w:szCs w:val="18"/>
                <w:lang w:eastAsia="zh-CN"/>
              </w:rPr>
              <w:t>1/3.061 SDR</w:t>
            </w:r>
            <w:r w:rsidRPr="005E70C9">
              <w:rPr>
                <w:rFonts w:asciiTheme="minorHAnsi" w:eastAsiaTheme="minorEastAsia" w:hAnsiTheme="minorHAnsi" w:cstheme="minorHAnsi"/>
                <w:bCs/>
                <w:sz w:val="18"/>
                <w:szCs w:val="18"/>
                <w:lang w:eastAsia="zh-CN"/>
              </w:rPr>
              <w:t>的金法郎。</w:t>
            </w:r>
          </w:p>
          <w:p w14:paraId="62323636" w14:textId="00990A35" w:rsidR="00154974" w:rsidRPr="005E70C9" w:rsidRDefault="00154974" w:rsidP="00154974">
            <w:pPr>
              <w:spacing w:after="60"/>
              <w:rPr>
                <w:rFonts w:asciiTheme="minorHAnsi" w:eastAsiaTheme="minorEastAsia" w:hAnsiTheme="minorHAnsi" w:cstheme="minorHAnsi"/>
                <w:bCs/>
                <w:sz w:val="18"/>
                <w:szCs w:val="18"/>
                <w:lang w:val="en-US" w:eastAsia="zh-CN"/>
              </w:rPr>
            </w:pPr>
          </w:p>
        </w:tc>
        <w:tc>
          <w:tcPr>
            <w:tcW w:w="2047" w:type="dxa"/>
            <w:tcMar>
              <w:left w:w="85" w:type="dxa"/>
              <w:right w:w="85" w:type="dxa"/>
            </w:tcMar>
          </w:tcPr>
          <w:p w14:paraId="16A9C697" w14:textId="77777777" w:rsidR="00154974" w:rsidRPr="005E70C9" w:rsidRDefault="00154974" w:rsidP="00154974">
            <w:pPr>
              <w:rPr>
                <w:rFonts w:asciiTheme="minorHAnsi" w:eastAsiaTheme="minorEastAsia" w:hAnsiTheme="minorHAnsi" w:cstheme="minorHAnsi"/>
                <w:bCs/>
                <w:sz w:val="18"/>
                <w:szCs w:val="18"/>
                <w:lang w:val="en-US"/>
              </w:rPr>
            </w:pPr>
          </w:p>
          <w:p w14:paraId="0A3455D1" w14:textId="4D63D860" w:rsidR="00154974" w:rsidRPr="005E70C9" w:rsidRDefault="00350461" w:rsidP="00C57589">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不会对网络和服务条款带来负面影响。</w:t>
            </w:r>
          </w:p>
          <w:p w14:paraId="3B5694A0" w14:textId="636B0E1A" w:rsidR="00154974" w:rsidRPr="005D7180" w:rsidRDefault="00350461" w:rsidP="005D7180">
            <w:pPr>
              <w:numPr>
                <w:ilvl w:val="0"/>
                <w:numId w:val="4"/>
              </w:numPr>
              <w:tabs>
                <w:tab w:val="clear" w:pos="794"/>
                <w:tab w:val="clear" w:pos="1191"/>
                <w:tab w:val="clear" w:pos="1588"/>
                <w:tab w:val="clear" w:pos="1985"/>
              </w:tabs>
              <w:overflowPunct/>
              <w:autoSpaceDE/>
              <w:autoSpaceDN/>
              <w:adjustRightInd/>
              <w:spacing w:before="0" w:after="160" w:line="259" w:lineRule="auto"/>
              <w:ind w:left="323" w:hanging="323"/>
              <w:textAlignment w:val="auto"/>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lastRenderedPageBreak/>
              <w:t>条款仍然适用。</w:t>
            </w:r>
          </w:p>
        </w:tc>
        <w:tc>
          <w:tcPr>
            <w:tcW w:w="2045" w:type="dxa"/>
            <w:tcMar>
              <w:left w:w="85" w:type="dxa"/>
              <w:right w:w="85" w:type="dxa"/>
            </w:tcMar>
          </w:tcPr>
          <w:p w14:paraId="6F520E16" w14:textId="77777777" w:rsidR="00154974" w:rsidRPr="005E70C9" w:rsidRDefault="00154974" w:rsidP="00154974">
            <w:pPr>
              <w:rPr>
                <w:rFonts w:asciiTheme="minorHAnsi" w:eastAsiaTheme="minorEastAsia" w:hAnsiTheme="minorHAnsi" w:cstheme="minorHAnsi"/>
                <w:bCs/>
                <w:sz w:val="18"/>
                <w:szCs w:val="18"/>
                <w:lang w:val="en-US"/>
              </w:rPr>
            </w:pPr>
          </w:p>
          <w:p w14:paraId="0390A442" w14:textId="041AF869" w:rsidR="00154974" w:rsidRPr="005E70C9" w:rsidRDefault="00350461" w:rsidP="00154974">
            <w:pPr>
              <w:spacing w:after="60"/>
              <w:rPr>
                <w:rFonts w:asciiTheme="minorHAnsi" w:eastAsiaTheme="minorEastAsia" w:hAnsiTheme="minorHAnsi" w:cstheme="minorHAnsi"/>
                <w:sz w:val="18"/>
                <w:szCs w:val="18"/>
                <w:lang w:eastAsia="zh-CN"/>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tc>
        <w:tc>
          <w:tcPr>
            <w:tcW w:w="1310" w:type="dxa"/>
            <w:tcMar>
              <w:left w:w="85" w:type="dxa"/>
              <w:right w:w="85" w:type="dxa"/>
            </w:tcMar>
          </w:tcPr>
          <w:p w14:paraId="5EFA1B31" w14:textId="5F0815DC" w:rsidR="00154974" w:rsidRPr="005E70C9" w:rsidRDefault="00154974" w:rsidP="00154974">
            <w:pPr>
              <w:spacing w:after="60"/>
              <w:rPr>
                <w:rFonts w:asciiTheme="minorHAnsi" w:eastAsiaTheme="minorEastAsia" w:hAnsiTheme="minorHAnsi" w:cstheme="minorHAnsi"/>
                <w:b/>
                <w:bCs/>
                <w:sz w:val="18"/>
                <w:szCs w:val="18"/>
                <w:lang w:val="en-US"/>
              </w:rPr>
            </w:pPr>
            <w:bookmarkStart w:id="11" w:name="lt_pId132"/>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bookmarkEnd w:id="11"/>
          <w:p w14:paraId="3BF20EE0"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7BBE1926" w14:textId="77777777" w:rsidTr="00436F1F">
        <w:trPr>
          <w:jc w:val="center"/>
        </w:trPr>
        <w:tc>
          <w:tcPr>
            <w:tcW w:w="909" w:type="dxa"/>
            <w:shd w:val="clear" w:color="auto" w:fill="auto"/>
            <w:tcMar>
              <w:left w:w="85" w:type="dxa"/>
              <w:right w:w="85" w:type="dxa"/>
            </w:tcMar>
          </w:tcPr>
          <w:p w14:paraId="17EEB8DE" w14:textId="6B08058E"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shd w:val="clear" w:color="auto" w:fill="auto"/>
            <w:tcMar>
              <w:left w:w="85" w:type="dxa"/>
              <w:right w:w="85" w:type="dxa"/>
            </w:tcMar>
          </w:tcPr>
          <w:p w14:paraId="6EBBF2B0"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62</w:t>
            </w:r>
          </w:p>
          <w:p w14:paraId="3C36E554" w14:textId="580A24D7"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8.2.5</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某通信关系中，不管为该通信选择了何种国际路由，向用户收取的特定通信资费原则上应当相同。在制定这些资费时，成员国应尽量避免适用于同一通信关系来去方向的资费不对称。</w:t>
            </w:r>
          </w:p>
        </w:tc>
        <w:tc>
          <w:tcPr>
            <w:tcW w:w="2104" w:type="dxa"/>
            <w:shd w:val="clear" w:color="auto" w:fill="auto"/>
            <w:tcMar>
              <w:left w:w="85" w:type="dxa"/>
              <w:right w:w="85" w:type="dxa"/>
            </w:tcMar>
          </w:tcPr>
          <w:p w14:paraId="162BA777" w14:textId="2E454B85" w:rsidR="00154974" w:rsidRPr="005E70C9" w:rsidRDefault="00154974" w:rsidP="00154974">
            <w:pPr>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43</w:t>
            </w:r>
          </w:p>
          <w:p w14:paraId="23C4404C" w14:textId="372810CC" w:rsidR="00154974" w:rsidRPr="005E70C9" w:rsidRDefault="00B27048" w:rsidP="00154974">
            <w:pPr>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6.1.1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各主管部门</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须</w:t>
            </w:r>
            <w:r w:rsidRPr="005E70C9">
              <w:rPr>
                <w:rFonts w:asciiTheme="minorHAnsi" w:eastAsiaTheme="minorEastAsia" w:hAnsiTheme="minorHAnsi" w:cstheme="minorHAnsi"/>
                <w:bCs/>
                <w:sz w:val="18"/>
                <w:szCs w:val="18"/>
                <w:lang w:eastAsia="zh-CN"/>
              </w:rPr>
              <w:t>根据适用的国内法律制定向其用户收取的资费。资费标准是一种国内事务；但各主管部门在制定这些资费时应设法避免在同一通信联络的来去方向上所采用的资费相差过大。</w:t>
            </w:r>
          </w:p>
          <w:p w14:paraId="3AE362B3" w14:textId="77777777" w:rsidR="00154974" w:rsidRPr="005E70C9" w:rsidRDefault="00154974" w:rsidP="00154974">
            <w:pPr>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44</w:t>
            </w:r>
          </w:p>
          <w:p w14:paraId="404E449E" w14:textId="136344EF" w:rsidR="00154974" w:rsidRPr="005E70C9" w:rsidRDefault="00B27048" w:rsidP="00154974">
            <w:pPr>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6.1.2</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在某一通信联络中，不管主管部门</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05304E"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选择何种路由，该主管部门</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05304E" w:rsidRPr="005E70C9">
              <w:rPr>
                <w:rFonts w:asciiTheme="minorHAnsi" w:eastAsiaTheme="minorEastAsia" w:hAnsiTheme="minorHAnsi" w:cstheme="minorHAnsi"/>
                <w:bCs/>
                <w:sz w:val="18"/>
                <w:szCs w:val="18"/>
                <w:lang w:eastAsia="zh-CN"/>
              </w:rPr>
              <w:t>]</w:t>
            </w:r>
            <w:r w:rsidRPr="005E70C9">
              <w:rPr>
                <w:rFonts w:asciiTheme="minorHAnsi" w:eastAsiaTheme="minorEastAsia" w:hAnsiTheme="minorHAnsi" w:cstheme="minorHAnsi"/>
                <w:bCs/>
                <w:sz w:val="18"/>
                <w:szCs w:val="18"/>
                <w:lang w:eastAsia="zh-CN"/>
              </w:rPr>
              <w:t>向用户收取的某种通信的资费原则上应当相同。</w:t>
            </w:r>
          </w:p>
          <w:p w14:paraId="2108A8B3" w14:textId="77C9DCE1" w:rsidR="00154974" w:rsidRPr="005E70C9" w:rsidRDefault="00154974" w:rsidP="00154974">
            <w:pPr>
              <w:spacing w:after="60"/>
              <w:rPr>
                <w:rFonts w:asciiTheme="minorHAnsi" w:eastAsiaTheme="minorEastAsia" w:hAnsiTheme="minorHAnsi" w:cstheme="minorHAnsi"/>
                <w:bCs/>
                <w:sz w:val="18"/>
                <w:szCs w:val="18"/>
                <w:lang w:val="en-US" w:eastAsia="zh-CN"/>
              </w:rPr>
            </w:pPr>
          </w:p>
        </w:tc>
        <w:tc>
          <w:tcPr>
            <w:tcW w:w="2047" w:type="dxa"/>
            <w:shd w:val="clear" w:color="auto" w:fill="auto"/>
            <w:tcMar>
              <w:left w:w="85" w:type="dxa"/>
              <w:right w:w="85" w:type="dxa"/>
            </w:tcMar>
          </w:tcPr>
          <w:p w14:paraId="78857DFF"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643CA50E" w14:textId="57BC43E0" w:rsidR="00154974" w:rsidRPr="005E70C9" w:rsidRDefault="00350461" w:rsidP="00154974">
            <w:pPr>
              <w:spacing w:after="60"/>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bCs/>
                <w:sz w:val="18"/>
                <w:szCs w:val="18"/>
                <w:lang w:val="en-US" w:eastAsia="zh-CN"/>
              </w:rPr>
              <w:t>足够灵活且鼓励采用最有效的路由。</w:t>
            </w:r>
          </w:p>
        </w:tc>
        <w:tc>
          <w:tcPr>
            <w:tcW w:w="2045" w:type="dxa"/>
            <w:shd w:val="clear" w:color="auto" w:fill="auto"/>
            <w:tcMar>
              <w:left w:w="85" w:type="dxa"/>
              <w:right w:w="85" w:type="dxa"/>
            </w:tcMar>
          </w:tcPr>
          <w:p w14:paraId="33C389B5"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0594F59D" w14:textId="57712DD9" w:rsidR="00154974" w:rsidRPr="005E70C9" w:rsidRDefault="00350461" w:rsidP="00154974">
            <w:pPr>
              <w:spacing w:after="60"/>
              <w:rPr>
                <w:rFonts w:asciiTheme="minorHAnsi" w:eastAsiaTheme="minorEastAsia" w:hAnsiTheme="minorHAnsi" w:cstheme="minorHAnsi"/>
                <w:sz w:val="18"/>
                <w:szCs w:val="18"/>
                <w:lang w:eastAsia="zh-CN"/>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tc>
        <w:tc>
          <w:tcPr>
            <w:tcW w:w="1310" w:type="dxa"/>
            <w:shd w:val="clear" w:color="auto" w:fill="auto"/>
            <w:tcMar>
              <w:left w:w="85" w:type="dxa"/>
              <w:right w:w="85" w:type="dxa"/>
            </w:tcMar>
          </w:tcPr>
          <w:p w14:paraId="3E9F2E40" w14:textId="6F971BCF" w:rsidR="00154974" w:rsidRPr="005E70C9" w:rsidRDefault="00154974" w:rsidP="00154974">
            <w:pPr>
              <w:spacing w:after="60"/>
              <w:rPr>
                <w:rFonts w:asciiTheme="minorHAnsi" w:eastAsiaTheme="minorEastAsia" w:hAnsiTheme="minorHAnsi" w:cstheme="minorHAnsi"/>
                <w:b/>
                <w:sz w:val="18"/>
                <w:szCs w:val="18"/>
                <w:lang w:eastAsia="zh-CN"/>
              </w:rPr>
            </w:pPr>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tc>
      </w:tr>
      <w:tr w:rsidR="00154974" w:rsidRPr="00436F1F" w14:paraId="5E1CCBA4" w14:textId="77777777" w:rsidTr="001C3F60">
        <w:trPr>
          <w:jc w:val="center"/>
        </w:trPr>
        <w:tc>
          <w:tcPr>
            <w:tcW w:w="909" w:type="dxa"/>
            <w:tcMar>
              <w:left w:w="85" w:type="dxa"/>
              <w:right w:w="85" w:type="dxa"/>
            </w:tcMar>
          </w:tcPr>
          <w:p w14:paraId="46D7C715" w14:textId="3C037C44"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17E37DAB"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64</w:t>
            </w:r>
          </w:p>
          <w:p w14:paraId="5EFD4944" w14:textId="3F1C03E9"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8.3.1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根据某国国内法律对国际电信业务收取费征收财政税时，除针对特殊情况另有安排外，该税款通常仅限于向该国用户付费的国际电信业务收取。</w:t>
            </w:r>
          </w:p>
        </w:tc>
        <w:tc>
          <w:tcPr>
            <w:tcW w:w="2104" w:type="dxa"/>
            <w:tcMar>
              <w:left w:w="85" w:type="dxa"/>
              <w:right w:w="85" w:type="dxa"/>
            </w:tcMar>
          </w:tcPr>
          <w:p w14:paraId="2F8D7A77" w14:textId="6D63F1EF" w:rsidR="00154974" w:rsidRPr="005E70C9" w:rsidRDefault="00154974" w:rsidP="00154974">
            <w:pPr>
              <w:tabs>
                <w:tab w:val="clear" w:pos="794"/>
                <w:tab w:val="clear" w:pos="1191"/>
                <w:tab w:val="clear" w:pos="1588"/>
                <w:tab w:val="clear" w:pos="1985"/>
              </w:tabs>
              <w:overflowPunct/>
              <w:spacing w:before="0"/>
              <w:textAlignment w:val="auto"/>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45</w:t>
            </w:r>
          </w:p>
          <w:p w14:paraId="35F0B156" w14:textId="54D57ED6" w:rsidR="00154974"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6.1.3</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如果根据一个国家的国内法律对国际电信业务的收取费征收财政税，除非为适应特殊的情况另有协议，这种税款通常只</w:t>
            </w:r>
            <w:r w:rsidR="0005304E" w:rsidRPr="005E70C9">
              <w:rPr>
                <w:rFonts w:asciiTheme="minorHAnsi" w:eastAsiaTheme="minorEastAsia" w:hAnsiTheme="minorHAnsi" w:cstheme="minorHAnsi"/>
                <w:bCs/>
                <w:sz w:val="18"/>
                <w:szCs w:val="18"/>
                <w:lang w:eastAsia="zh-CN"/>
              </w:rPr>
              <w:t>能</w:t>
            </w:r>
            <w:r w:rsidRPr="005E70C9">
              <w:rPr>
                <w:rFonts w:asciiTheme="minorHAnsi" w:eastAsiaTheme="minorEastAsia" w:hAnsiTheme="minorHAnsi" w:cstheme="minorHAnsi"/>
                <w:bCs/>
                <w:sz w:val="18"/>
                <w:szCs w:val="18"/>
                <w:lang w:eastAsia="zh-CN"/>
              </w:rPr>
              <w:t>对向该国用户开具帐单的国际电信业务收取。</w:t>
            </w:r>
          </w:p>
        </w:tc>
        <w:tc>
          <w:tcPr>
            <w:tcW w:w="2047" w:type="dxa"/>
            <w:shd w:val="clear" w:color="auto" w:fill="auto"/>
            <w:tcMar>
              <w:left w:w="85" w:type="dxa"/>
              <w:right w:w="85" w:type="dxa"/>
            </w:tcMar>
          </w:tcPr>
          <w:p w14:paraId="008B6809"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6DCFFED7" w14:textId="20E902B1" w:rsidR="00154974" w:rsidRPr="005E70C9" w:rsidRDefault="00350461" w:rsidP="00154974">
            <w:pPr>
              <w:spacing w:after="60"/>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bCs/>
                <w:sz w:val="18"/>
                <w:szCs w:val="18"/>
                <w:lang w:val="en-US" w:eastAsia="zh-CN"/>
              </w:rPr>
              <w:t>该条规定似乎与</w:t>
            </w:r>
            <w:r w:rsidRPr="005E70C9">
              <w:rPr>
                <w:rFonts w:asciiTheme="minorHAnsi" w:eastAsiaTheme="minorEastAsia" w:hAnsiTheme="minorHAnsi" w:cstheme="minorHAnsi"/>
                <w:bCs/>
                <w:sz w:val="18"/>
                <w:szCs w:val="18"/>
                <w:lang w:val="en-US" w:eastAsia="zh-CN"/>
              </w:rPr>
              <w:t>1988</w:t>
            </w:r>
            <w:r w:rsidRPr="005E70C9">
              <w:rPr>
                <w:rFonts w:asciiTheme="minorHAnsi" w:eastAsiaTheme="minorEastAsia" w:hAnsiTheme="minorHAnsi" w:cstheme="minorHAnsi"/>
                <w:bCs/>
                <w:sz w:val="18"/>
                <w:szCs w:val="18"/>
                <w:lang w:val="en-US" w:eastAsia="zh-CN"/>
              </w:rPr>
              <w:t>年版的相关规定相同。</w:t>
            </w:r>
          </w:p>
        </w:tc>
        <w:tc>
          <w:tcPr>
            <w:tcW w:w="2045" w:type="dxa"/>
            <w:shd w:val="clear" w:color="auto" w:fill="auto"/>
            <w:tcMar>
              <w:left w:w="85" w:type="dxa"/>
              <w:right w:w="85" w:type="dxa"/>
            </w:tcMar>
          </w:tcPr>
          <w:p w14:paraId="7F6E2DEB"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40E48137" w14:textId="09A3A2D7" w:rsidR="00154974" w:rsidRPr="005E70C9" w:rsidRDefault="00350461" w:rsidP="00C57589">
            <w:pPr>
              <w:numPr>
                <w:ilvl w:val="0"/>
                <w:numId w:val="5"/>
              </w:numPr>
              <w:tabs>
                <w:tab w:val="clear" w:pos="794"/>
                <w:tab w:val="clear" w:pos="1191"/>
                <w:tab w:val="clear" w:pos="1588"/>
                <w:tab w:val="clear" w:pos="1985"/>
              </w:tabs>
              <w:overflowPunct/>
              <w:spacing w:before="0"/>
              <w:ind w:left="402" w:hanging="402"/>
              <w:textAlignment w:val="auto"/>
              <w:rPr>
                <w:rFonts w:asciiTheme="minorHAnsi" w:eastAsiaTheme="minorEastAsia" w:hAnsiTheme="minorHAnsi" w:cstheme="minorHAnsi"/>
                <w:bCs/>
                <w:sz w:val="18"/>
                <w:szCs w:val="18"/>
                <w:lang w:val="en-US"/>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p w14:paraId="5F706CB3" w14:textId="516DFC45" w:rsidR="00154974" w:rsidRPr="005E70C9" w:rsidRDefault="00B71BA2" w:rsidP="00C57589">
            <w:pPr>
              <w:numPr>
                <w:ilvl w:val="0"/>
                <w:numId w:val="5"/>
              </w:numPr>
              <w:tabs>
                <w:tab w:val="clear" w:pos="794"/>
                <w:tab w:val="clear" w:pos="1191"/>
                <w:tab w:val="clear" w:pos="1588"/>
                <w:tab w:val="clear" w:pos="1985"/>
              </w:tabs>
              <w:overflowPunct/>
              <w:spacing w:before="0"/>
              <w:ind w:left="402" w:hanging="402"/>
              <w:textAlignment w:val="auto"/>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不会自动向其他国家征收财政税，从而维护了成员国的主权。</w:t>
            </w:r>
          </w:p>
        </w:tc>
        <w:tc>
          <w:tcPr>
            <w:tcW w:w="1310" w:type="dxa"/>
            <w:tcMar>
              <w:left w:w="85" w:type="dxa"/>
              <w:right w:w="85" w:type="dxa"/>
            </w:tcMar>
          </w:tcPr>
          <w:p w14:paraId="7706ECC2" w14:textId="77777777" w:rsidR="00154974" w:rsidRPr="005E70C9" w:rsidRDefault="00154974" w:rsidP="00154974">
            <w:pPr>
              <w:spacing w:after="60"/>
              <w:rPr>
                <w:rFonts w:asciiTheme="minorHAnsi" w:eastAsiaTheme="minorEastAsia" w:hAnsiTheme="minorHAnsi" w:cstheme="minorHAnsi"/>
                <w:b/>
                <w:bCs/>
                <w:sz w:val="18"/>
                <w:szCs w:val="18"/>
                <w:lang w:val="en-US"/>
              </w:rPr>
            </w:pPr>
            <w:bookmarkStart w:id="12" w:name="lt_pId145"/>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bookmarkEnd w:id="12"/>
          <w:p w14:paraId="5FB5D798"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18EC643E" w14:textId="77777777" w:rsidTr="00436F1F">
        <w:trPr>
          <w:jc w:val="center"/>
        </w:trPr>
        <w:tc>
          <w:tcPr>
            <w:tcW w:w="909" w:type="dxa"/>
            <w:tcMar>
              <w:left w:w="85" w:type="dxa"/>
              <w:right w:w="85" w:type="dxa"/>
            </w:tcMar>
          </w:tcPr>
          <w:p w14:paraId="11BD4239" w14:textId="146CB6DA"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39F1F926"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66</w:t>
            </w:r>
          </w:p>
          <w:p w14:paraId="24A250E9" w14:textId="7F4E7B20"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8.4.1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根据《组织法》、《公约》和本《规则》的有关规定并适当注意互惠安排的需要，经授权的运营机构原则上可不在国际结算中列入公务电信。经授权的运营机构可免费提供公务电信。</w:t>
            </w:r>
          </w:p>
        </w:tc>
        <w:tc>
          <w:tcPr>
            <w:tcW w:w="2104" w:type="dxa"/>
            <w:tcMar>
              <w:left w:w="85" w:type="dxa"/>
              <w:right w:w="85" w:type="dxa"/>
            </w:tcMar>
          </w:tcPr>
          <w:p w14:paraId="3B940A1A" w14:textId="0DE863AC" w:rsidR="00154974" w:rsidRPr="005E70C9" w:rsidRDefault="00154974" w:rsidP="00154974">
            <w:pPr>
              <w:tabs>
                <w:tab w:val="clear" w:pos="794"/>
                <w:tab w:val="clear" w:pos="1191"/>
                <w:tab w:val="clear" w:pos="1588"/>
                <w:tab w:val="clear" w:pos="1985"/>
              </w:tabs>
              <w:overflowPunct/>
              <w:spacing w:before="0"/>
              <w:textAlignment w:val="auto"/>
              <w:rPr>
                <w:rFonts w:asciiTheme="minorHAnsi" w:eastAsiaTheme="minorEastAsia" w:hAnsiTheme="minorHAnsi" w:cstheme="minorHAnsi"/>
                <w:b/>
                <w:bCs/>
                <w:sz w:val="18"/>
                <w:szCs w:val="18"/>
                <w:lang w:val="en-US" w:eastAsia="zh-CN"/>
              </w:rPr>
            </w:pPr>
            <w:r w:rsidRPr="005E70C9">
              <w:rPr>
                <w:rFonts w:asciiTheme="minorHAnsi" w:eastAsiaTheme="minorEastAsia" w:hAnsiTheme="minorHAnsi" w:cstheme="minorHAnsi"/>
                <w:b/>
                <w:bCs/>
                <w:sz w:val="18"/>
                <w:szCs w:val="18"/>
                <w:lang w:val="en-US" w:eastAsia="zh-CN"/>
              </w:rPr>
              <w:t>54</w:t>
            </w:r>
          </w:p>
          <w:p w14:paraId="0206CA13" w14:textId="1F56DD5D" w:rsidR="00154974" w:rsidRPr="005E70C9" w:rsidRDefault="00B27048" w:rsidP="0015497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6.5.1</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各主管部门</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或经认可的私营运营机构</w:t>
            </w:r>
            <w:r w:rsidR="0005304E" w:rsidRPr="005E70C9">
              <w:rPr>
                <w:rFonts w:asciiTheme="minorHAnsi" w:eastAsiaTheme="minorEastAsia" w:hAnsiTheme="minorHAnsi" w:cstheme="minorHAnsi"/>
                <w:bCs/>
                <w:sz w:val="18"/>
                <w:szCs w:val="18"/>
                <w:lang w:eastAsia="zh-CN"/>
              </w:rPr>
              <w:t>]</w:t>
            </w:r>
            <w:r w:rsidR="0005304E" w:rsidRPr="005E70C9">
              <w:rPr>
                <w:rFonts w:asciiTheme="minorHAnsi" w:eastAsiaTheme="minorEastAsia" w:hAnsiTheme="minorHAnsi" w:cstheme="minorHAnsi"/>
                <w:bCs/>
                <w:sz w:val="18"/>
                <w:szCs w:val="18"/>
                <w:lang w:eastAsia="zh-CN"/>
              </w:rPr>
              <w:t>须</w:t>
            </w:r>
            <w:r w:rsidRPr="005E70C9">
              <w:rPr>
                <w:rFonts w:asciiTheme="minorHAnsi" w:eastAsiaTheme="minorEastAsia" w:hAnsiTheme="minorHAnsi" w:cstheme="minorHAnsi"/>
                <w:bCs/>
                <w:sz w:val="18"/>
                <w:szCs w:val="18"/>
                <w:lang w:eastAsia="zh-CN"/>
              </w:rPr>
              <w:t>遵守附录三中所制定的有关条款。</w:t>
            </w:r>
          </w:p>
        </w:tc>
        <w:tc>
          <w:tcPr>
            <w:tcW w:w="2047" w:type="dxa"/>
            <w:tcMar>
              <w:left w:w="85" w:type="dxa"/>
              <w:right w:w="85" w:type="dxa"/>
            </w:tcMar>
          </w:tcPr>
          <w:p w14:paraId="4F493366"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5982DCB2" w14:textId="395282D9" w:rsidR="00154974" w:rsidRPr="005E70C9" w:rsidRDefault="00ED157E" w:rsidP="00154974">
            <w:pPr>
              <w:spacing w:after="60"/>
              <w:rPr>
                <w:rFonts w:asciiTheme="minorHAnsi" w:eastAsiaTheme="minorEastAsia" w:hAnsiTheme="minorHAnsi" w:cstheme="minorHAnsi"/>
                <w:sz w:val="18"/>
                <w:szCs w:val="18"/>
                <w:lang w:eastAsia="zh-CN"/>
              </w:rPr>
            </w:pPr>
            <w:r w:rsidRPr="005E70C9">
              <w:rPr>
                <w:rFonts w:asciiTheme="minorHAnsi" w:eastAsiaTheme="minorEastAsia" w:hAnsiTheme="minorHAnsi" w:cstheme="minorHAnsi"/>
                <w:bCs/>
                <w:sz w:val="18"/>
                <w:szCs w:val="18"/>
                <w:lang w:val="en-US" w:eastAsia="zh-CN"/>
              </w:rPr>
              <w:t>1988</w:t>
            </w:r>
            <w:r w:rsidRPr="005E70C9">
              <w:rPr>
                <w:rFonts w:asciiTheme="minorHAnsi" w:eastAsiaTheme="minorEastAsia" w:hAnsiTheme="minorHAnsi" w:cstheme="minorHAnsi"/>
                <w:bCs/>
                <w:sz w:val="18"/>
                <w:szCs w:val="18"/>
                <w:lang w:val="en-US" w:eastAsia="zh-CN"/>
              </w:rPr>
              <w:t>年版《国际电信规则》附录</w:t>
            </w:r>
            <w:r w:rsidRPr="005E70C9">
              <w:rPr>
                <w:rFonts w:asciiTheme="minorHAnsi" w:eastAsiaTheme="minorEastAsia" w:hAnsiTheme="minorHAnsi" w:cstheme="minorHAnsi"/>
                <w:bCs/>
                <w:sz w:val="18"/>
                <w:szCs w:val="18"/>
                <w:lang w:val="en-US" w:eastAsia="zh-CN"/>
              </w:rPr>
              <w:t>3</w:t>
            </w:r>
            <w:r w:rsidRPr="005E70C9">
              <w:rPr>
                <w:rFonts w:asciiTheme="minorHAnsi" w:eastAsiaTheme="minorEastAsia" w:hAnsiTheme="minorHAnsi" w:cstheme="minorHAnsi"/>
                <w:bCs/>
                <w:sz w:val="18"/>
                <w:szCs w:val="18"/>
                <w:lang w:val="en-US" w:eastAsia="zh-CN"/>
              </w:rPr>
              <w:t>的条款已纳入</w:t>
            </w:r>
            <w:r w:rsidRPr="005E70C9">
              <w:rPr>
                <w:rFonts w:asciiTheme="minorHAnsi" w:eastAsiaTheme="minorEastAsia" w:hAnsiTheme="minorHAnsi" w:cstheme="minorHAnsi"/>
                <w:bCs/>
                <w:sz w:val="18"/>
                <w:szCs w:val="18"/>
                <w:lang w:val="en-US" w:eastAsia="zh-CN"/>
              </w:rPr>
              <w:t>2012</w:t>
            </w:r>
            <w:r w:rsidRPr="005E70C9">
              <w:rPr>
                <w:rFonts w:asciiTheme="minorHAnsi" w:eastAsiaTheme="minorEastAsia" w:hAnsiTheme="minorHAnsi" w:cstheme="minorHAnsi"/>
                <w:bCs/>
                <w:sz w:val="18"/>
                <w:szCs w:val="18"/>
                <w:lang w:val="en-US" w:eastAsia="zh-CN"/>
              </w:rPr>
              <w:t>年版《国际电信规则》的文本中。</w:t>
            </w:r>
          </w:p>
        </w:tc>
        <w:tc>
          <w:tcPr>
            <w:tcW w:w="2045" w:type="dxa"/>
            <w:tcMar>
              <w:left w:w="85" w:type="dxa"/>
              <w:right w:w="85" w:type="dxa"/>
            </w:tcMar>
          </w:tcPr>
          <w:p w14:paraId="713080AF" w14:textId="77777777" w:rsidR="00154974" w:rsidRPr="005E70C9" w:rsidRDefault="00154974" w:rsidP="00154974">
            <w:pPr>
              <w:rPr>
                <w:rFonts w:asciiTheme="minorHAnsi" w:eastAsiaTheme="minorEastAsia" w:hAnsiTheme="minorHAnsi" w:cstheme="minorHAnsi"/>
                <w:bCs/>
                <w:sz w:val="18"/>
                <w:szCs w:val="18"/>
                <w:lang w:val="en-US" w:eastAsia="zh-CN"/>
              </w:rPr>
            </w:pPr>
          </w:p>
          <w:p w14:paraId="0C596F70" w14:textId="7EBF5DC2" w:rsidR="00154974" w:rsidRPr="005E70C9" w:rsidRDefault="00350461" w:rsidP="00154974">
            <w:pPr>
              <w:spacing w:after="60"/>
              <w:rPr>
                <w:rFonts w:asciiTheme="minorHAnsi" w:eastAsiaTheme="minorEastAsia" w:hAnsiTheme="minorHAnsi" w:cstheme="minorHAnsi"/>
                <w:sz w:val="18"/>
                <w:szCs w:val="18"/>
              </w:rPr>
            </w:pPr>
            <w:proofErr w:type="spellStart"/>
            <w:r w:rsidRPr="005E70C9">
              <w:rPr>
                <w:rFonts w:asciiTheme="minorHAnsi" w:eastAsiaTheme="minorEastAsia" w:hAnsiTheme="minorHAnsi" w:cstheme="minorHAnsi"/>
                <w:bCs/>
                <w:sz w:val="18"/>
                <w:szCs w:val="18"/>
                <w:lang w:val="en-US"/>
              </w:rPr>
              <w:t>足够灵活</w:t>
            </w:r>
            <w:proofErr w:type="spellEnd"/>
            <w:r w:rsidRPr="005E70C9">
              <w:rPr>
                <w:rFonts w:asciiTheme="minorHAnsi" w:eastAsiaTheme="minorEastAsia" w:hAnsiTheme="minorHAnsi" w:cstheme="minorHAnsi"/>
                <w:bCs/>
                <w:sz w:val="18"/>
                <w:szCs w:val="18"/>
                <w:lang w:val="en-US"/>
              </w:rPr>
              <w:t>。</w:t>
            </w:r>
          </w:p>
        </w:tc>
        <w:tc>
          <w:tcPr>
            <w:tcW w:w="1310" w:type="dxa"/>
            <w:tcMar>
              <w:left w:w="85" w:type="dxa"/>
              <w:right w:w="85" w:type="dxa"/>
            </w:tcMar>
          </w:tcPr>
          <w:p w14:paraId="5E14CCD7" w14:textId="77777777" w:rsidR="00154974" w:rsidRPr="005E70C9" w:rsidRDefault="00154974" w:rsidP="00154974">
            <w:pPr>
              <w:spacing w:after="60"/>
              <w:rPr>
                <w:rFonts w:asciiTheme="minorHAnsi" w:eastAsiaTheme="minorEastAsia" w:hAnsiTheme="minorHAnsi" w:cstheme="minorHAnsi"/>
                <w:b/>
                <w:bCs/>
                <w:sz w:val="18"/>
                <w:szCs w:val="18"/>
                <w:lang w:val="en-US"/>
              </w:rPr>
            </w:pPr>
            <w:bookmarkStart w:id="13" w:name="lt_pId154"/>
            <w:proofErr w:type="spellStart"/>
            <w:r w:rsidRPr="005E70C9">
              <w:rPr>
                <w:rFonts w:asciiTheme="minorHAnsi" w:eastAsiaTheme="minorEastAsia" w:hAnsiTheme="minorHAnsi" w:cstheme="minorHAnsi"/>
                <w:b/>
                <w:bCs/>
                <w:sz w:val="18"/>
                <w:szCs w:val="18"/>
                <w:lang w:val="en-US"/>
              </w:rPr>
              <w:t>无需修改</w:t>
            </w:r>
            <w:proofErr w:type="spellEnd"/>
            <w:r w:rsidRPr="005E70C9">
              <w:rPr>
                <w:rFonts w:asciiTheme="minorHAnsi" w:eastAsiaTheme="minorEastAsia" w:hAnsiTheme="minorHAnsi" w:cstheme="minorHAnsi"/>
                <w:b/>
                <w:bCs/>
                <w:sz w:val="18"/>
                <w:szCs w:val="18"/>
                <w:lang w:val="en-US"/>
              </w:rPr>
              <w:t>。</w:t>
            </w:r>
          </w:p>
          <w:bookmarkEnd w:id="13"/>
          <w:p w14:paraId="5F0333F0" w14:textId="77777777" w:rsidR="00154974" w:rsidRPr="005E70C9" w:rsidRDefault="00154974" w:rsidP="00154974">
            <w:pPr>
              <w:spacing w:after="60"/>
              <w:rPr>
                <w:rFonts w:asciiTheme="minorHAnsi" w:eastAsiaTheme="minorEastAsia" w:hAnsiTheme="minorHAnsi" w:cstheme="minorHAnsi"/>
                <w:b/>
                <w:sz w:val="18"/>
                <w:szCs w:val="18"/>
              </w:rPr>
            </w:pPr>
          </w:p>
        </w:tc>
      </w:tr>
      <w:tr w:rsidR="00154974" w:rsidRPr="00436F1F" w14:paraId="72179123" w14:textId="77777777" w:rsidTr="00436F1F">
        <w:trPr>
          <w:jc w:val="center"/>
        </w:trPr>
        <w:tc>
          <w:tcPr>
            <w:tcW w:w="909" w:type="dxa"/>
            <w:tcMar>
              <w:left w:w="85" w:type="dxa"/>
              <w:right w:w="85" w:type="dxa"/>
            </w:tcMar>
          </w:tcPr>
          <w:p w14:paraId="3FCE6123" w14:textId="4BE16912" w:rsidR="00154974" w:rsidRPr="005E70C9" w:rsidRDefault="00154974" w:rsidP="00154974">
            <w:pPr>
              <w:spacing w:after="60"/>
              <w:rPr>
                <w:rFonts w:asciiTheme="minorHAnsi" w:eastAsiaTheme="minorEastAsia" w:hAnsiTheme="minorHAnsi" w:cstheme="minorHAnsi"/>
                <w:b/>
                <w:bCs/>
                <w:sz w:val="18"/>
                <w:szCs w:val="18"/>
              </w:rPr>
            </w:pPr>
            <w:r w:rsidRPr="005E70C9">
              <w:rPr>
                <w:rFonts w:asciiTheme="minorHAnsi" w:eastAsiaTheme="minorEastAsia" w:hAnsiTheme="minorHAnsi" w:cstheme="minorHAnsi"/>
                <w:b/>
                <w:bCs/>
                <w:sz w:val="18"/>
                <w:szCs w:val="18"/>
              </w:rPr>
              <w:t>第</w:t>
            </w:r>
            <w:r w:rsidRPr="005E70C9">
              <w:rPr>
                <w:rFonts w:asciiTheme="minorHAnsi" w:eastAsiaTheme="minorEastAsia" w:hAnsiTheme="minorHAnsi" w:cstheme="minorHAnsi"/>
                <w:b/>
                <w:bCs/>
                <w:sz w:val="18"/>
                <w:szCs w:val="18"/>
                <w:lang w:eastAsia="zh-CN"/>
              </w:rPr>
              <w:t>8</w:t>
            </w:r>
            <w:r w:rsidRPr="005E70C9">
              <w:rPr>
                <w:rFonts w:asciiTheme="minorHAnsi" w:eastAsiaTheme="minorEastAsia" w:hAnsiTheme="minorHAnsi" w:cstheme="minorHAnsi"/>
                <w:b/>
                <w:bCs/>
                <w:sz w:val="18"/>
                <w:szCs w:val="18"/>
              </w:rPr>
              <w:t>条</w:t>
            </w:r>
          </w:p>
        </w:tc>
        <w:tc>
          <w:tcPr>
            <w:tcW w:w="2104" w:type="dxa"/>
            <w:tcMar>
              <w:left w:w="85" w:type="dxa"/>
              <w:right w:w="85" w:type="dxa"/>
            </w:tcMar>
          </w:tcPr>
          <w:p w14:paraId="1F7BCF21" w14:textId="77777777" w:rsidR="00154974" w:rsidRPr="005E70C9" w:rsidRDefault="00154974" w:rsidP="00154974">
            <w:pPr>
              <w:spacing w:after="60"/>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
                <w:sz w:val="18"/>
                <w:szCs w:val="18"/>
                <w:lang w:val="en-US" w:eastAsia="zh-CN"/>
              </w:rPr>
              <w:t>67</w:t>
            </w:r>
          </w:p>
          <w:p w14:paraId="6B71418C" w14:textId="2C901E38" w:rsidR="00154974" w:rsidRPr="005E70C9" w:rsidRDefault="00154974" w:rsidP="00154974">
            <w:pPr>
              <w:spacing w:after="60"/>
              <w:ind w:right="-111"/>
              <w:rPr>
                <w:rFonts w:asciiTheme="minorHAnsi" w:eastAsiaTheme="minorEastAsia" w:hAnsiTheme="minorHAnsi" w:cstheme="minorHAnsi"/>
                <w:b/>
                <w:sz w:val="18"/>
                <w:szCs w:val="18"/>
                <w:lang w:val="en-US" w:eastAsia="zh-CN"/>
              </w:rPr>
            </w:pPr>
            <w:r w:rsidRPr="005E70C9">
              <w:rPr>
                <w:rFonts w:asciiTheme="minorHAnsi" w:eastAsiaTheme="minorEastAsia" w:hAnsiTheme="minorHAnsi" w:cstheme="minorHAnsi"/>
                <w:bCs/>
                <w:sz w:val="18"/>
                <w:szCs w:val="18"/>
                <w:lang w:eastAsia="zh-CN"/>
              </w:rPr>
              <w:t>8.4.2</w:t>
            </w:r>
            <w:r w:rsidRPr="005E70C9">
              <w:rPr>
                <w:rFonts w:asciiTheme="minorHAnsi" w:eastAsiaTheme="minorEastAsia" w:hAnsiTheme="minorHAnsi" w:cstheme="minorHAnsi"/>
                <w:bCs/>
                <w:sz w:val="18"/>
                <w:szCs w:val="18"/>
                <w:lang w:eastAsia="zh-CN"/>
              </w:rPr>
              <w:tab/>
            </w:r>
            <w:r w:rsidRPr="005E70C9">
              <w:rPr>
                <w:rFonts w:asciiTheme="minorHAnsi" w:eastAsiaTheme="minorEastAsia" w:hAnsiTheme="minorHAnsi" w:cstheme="minorHAnsi"/>
                <w:bCs/>
                <w:sz w:val="18"/>
                <w:szCs w:val="18"/>
                <w:lang w:eastAsia="zh-CN"/>
              </w:rPr>
              <w:t>公务电信所适用的有关操作、计费和结</w:t>
            </w:r>
            <w:r w:rsidRPr="005E70C9">
              <w:rPr>
                <w:rFonts w:asciiTheme="minorHAnsi" w:eastAsiaTheme="minorEastAsia" w:hAnsiTheme="minorHAnsi" w:cstheme="minorHAnsi"/>
                <w:bCs/>
                <w:sz w:val="18"/>
                <w:szCs w:val="18"/>
                <w:lang w:eastAsia="zh-CN"/>
              </w:rPr>
              <w:lastRenderedPageBreak/>
              <w:t>算的一般性原则应考虑相关</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w:t>
            </w:r>
          </w:p>
        </w:tc>
        <w:tc>
          <w:tcPr>
            <w:tcW w:w="2104" w:type="dxa"/>
            <w:tcMar>
              <w:left w:w="85" w:type="dxa"/>
              <w:right w:w="85" w:type="dxa"/>
            </w:tcMar>
          </w:tcPr>
          <w:p w14:paraId="72EC7CC9" w14:textId="6ED763AA" w:rsidR="00154974" w:rsidRPr="005E70C9" w:rsidRDefault="00154974" w:rsidP="00154974">
            <w:pPr>
              <w:spacing w:after="60"/>
              <w:rPr>
                <w:rFonts w:asciiTheme="minorHAnsi" w:eastAsiaTheme="minorEastAsia" w:hAnsiTheme="minorHAnsi" w:cstheme="minorHAnsi"/>
                <w:bCs/>
                <w:sz w:val="18"/>
                <w:szCs w:val="18"/>
                <w:lang w:val="en-US" w:eastAsia="zh-CN"/>
              </w:rPr>
            </w:pPr>
            <w:proofErr w:type="spellStart"/>
            <w:r w:rsidRPr="005E70C9">
              <w:rPr>
                <w:rFonts w:asciiTheme="minorHAnsi" w:eastAsiaTheme="minorEastAsia" w:hAnsiTheme="minorHAnsi" w:cstheme="minorHAnsi"/>
                <w:bCs/>
                <w:sz w:val="18"/>
                <w:szCs w:val="18"/>
                <w:lang w:val="en-US"/>
              </w:rPr>
              <w:lastRenderedPageBreak/>
              <w:t>没有类似条款</w:t>
            </w:r>
            <w:proofErr w:type="spellEnd"/>
            <w:r w:rsidRPr="005E70C9">
              <w:rPr>
                <w:rFonts w:asciiTheme="minorHAnsi" w:eastAsiaTheme="minorEastAsia" w:hAnsiTheme="minorHAnsi" w:cstheme="minorHAnsi"/>
                <w:bCs/>
                <w:sz w:val="18"/>
                <w:szCs w:val="18"/>
                <w:lang w:val="en-US"/>
              </w:rPr>
              <w:t>。</w:t>
            </w:r>
          </w:p>
        </w:tc>
        <w:tc>
          <w:tcPr>
            <w:tcW w:w="2047" w:type="dxa"/>
            <w:tcMar>
              <w:left w:w="85" w:type="dxa"/>
              <w:right w:w="85" w:type="dxa"/>
            </w:tcMar>
          </w:tcPr>
          <w:p w14:paraId="58C5A336"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eastAsia="zh-CN"/>
              </w:rPr>
            </w:pPr>
          </w:p>
          <w:p w14:paraId="35B0112E" w14:textId="6E951F1F" w:rsidR="00154974" w:rsidRPr="005E70C9" w:rsidRDefault="008714A6" w:rsidP="00833009">
            <w:pPr>
              <w:spacing w:before="840"/>
              <w:contextualSpacing/>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这一规定重新实施了应适用于国际协议的结算</w:t>
            </w:r>
            <w:r w:rsidRPr="005E70C9">
              <w:rPr>
                <w:rFonts w:asciiTheme="minorHAnsi" w:eastAsiaTheme="minorEastAsia" w:hAnsiTheme="minorHAnsi" w:cstheme="minorHAnsi"/>
                <w:bCs/>
                <w:sz w:val="18"/>
                <w:szCs w:val="18"/>
                <w:lang w:eastAsia="zh-CN"/>
              </w:rPr>
              <w:lastRenderedPageBreak/>
              <w:t>原则。这不会危及网络和业务的提供。</w:t>
            </w:r>
          </w:p>
        </w:tc>
        <w:tc>
          <w:tcPr>
            <w:tcW w:w="2045" w:type="dxa"/>
            <w:tcMar>
              <w:left w:w="85" w:type="dxa"/>
              <w:right w:w="85" w:type="dxa"/>
            </w:tcMar>
          </w:tcPr>
          <w:p w14:paraId="67738696" w14:textId="77777777" w:rsidR="00154974" w:rsidRPr="005E70C9" w:rsidRDefault="00154974" w:rsidP="00154974">
            <w:pPr>
              <w:spacing w:before="840"/>
              <w:contextualSpacing/>
              <w:rPr>
                <w:rFonts w:asciiTheme="minorHAnsi" w:eastAsiaTheme="minorEastAsia" w:hAnsiTheme="minorHAnsi" w:cstheme="minorHAnsi"/>
                <w:bCs/>
                <w:sz w:val="18"/>
                <w:szCs w:val="18"/>
                <w:lang w:val="en-US" w:eastAsia="zh-CN"/>
              </w:rPr>
            </w:pPr>
          </w:p>
          <w:p w14:paraId="338E4369" w14:textId="29B76319" w:rsidR="00154974" w:rsidRPr="005E70C9" w:rsidRDefault="00350461" w:rsidP="00B27048">
            <w:pPr>
              <w:spacing w:after="60"/>
              <w:rPr>
                <w:rFonts w:asciiTheme="minorHAnsi" w:eastAsiaTheme="minorEastAsia" w:hAnsiTheme="minorHAnsi" w:cstheme="minorHAnsi"/>
                <w:b/>
                <w:sz w:val="18"/>
                <w:szCs w:val="18"/>
                <w:lang w:eastAsia="zh-CN"/>
              </w:rPr>
            </w:pPr>
            <w:r w:rsidRPr="005E70C9">
              <w:rPr>
                <w:rFonts w:asciiTheme="minorHAnsi" w:eastAsiaTheme="minorEastAsia" w:hAnsiTheme="minorHAnsi" w:cstheme="minorHAnsi"/>
                <w:bCs/>
                <w:sz w:val="18"/>
                <w:szCs w:val="18"/>
                <w:lang w:eastAsia="zh-CN"/>
              </w:rPr>
              <w:t>足够灵活；最新版的</w:t>
            </w:r>
            <w:r w:rsidRPr="005E70C9">
              <w:rPr>
                <w:rFonts w:asciiTheme="minorHAnsi" w:eastAsiaTheme="minorEastAsia" w:hAnsiTheme="minorHAnsi" w:cstheme="minorHAnsi"/>
                <w:bCs/>
                <w:sz w:val="18"/>
                <w:szCs w:val="18"/>
                <w:lang w:eastAsia="zh-CN"/>
              </w:rPr>
              <w:t>ITU-T</w:t>
            </w:r>
            <w:r w:rsidRPr="005E70C9">
              <w:rPr>
                <w:rFonts w:asciiTheme="minorHAnsi" w:eastAsiaTheme="minorEastAsia" w:hAnsiTheme="minorHAnsi" w:cstheme="minorHAnsi"/>
                <w:bCs/>
                <w:sz w:val="18"/>
                <w:szCs w:val="18"/>
                <w:lang w:eastAsia="zh-CN"/>
              </w:rPr>
              <w:t>建议书适用。</w:t>
            </w:r>
          </w:p>
        </w:tc>
        <w:tc>
          <w:tcPr>
            <w:tcW w:w="1310" w:type="dxa"/>
            <w:tcMar>
              <w:left w:w="85" w:type="dxa"/>
              <w:right w:w="85" w:type="dxa"/>
            </w:tcMar>
          </w:tcPr>
          <w:p w14:paraId="73BCEB55" w14:textId="20ECFDD4" w:rsidR="00154974" w:rsidRPr="005E70C9" w:rsidRDefault="00154974" w:rsidP="00154974">
            <w:pPr>
              <w:spacing w:after="60"/>
              <w:rPr>
                <w:rFonts w:asciiTheme="minorHAnsi" w:eastAsiaTheme="minorEastAsia" w:hAnsiTheme="minorHAnsi" w:cstheme="minorHAnsi"/>
                <w:b/>
                <w:bCs/>
                <w:sz w:val="18"/>
                <w:szCs w:val="18"/>
                <w:lang w:val="en-US" w:eastAsia="zh-CN"/>
              </w:rPr>
            </w:pPr>
            <w:bookmarkStart w:id="14" w:name="lt_pId163"/>
            <w:r w:rsidRPr="005E70C9">
              <w:rPr>
                <w:rFonts w:asciiTheme="minorHAnsi" w:eastAsiaTheme="minorEastAsia" w:hAnsiTheme="minorHAnsi" w:cstheme="minorHAnsi"/>
                <w:b/>
                <w:bCs/>
                <w:sz w:val="18"/>
                <w:szCs w:val="18"/>
                <w:lang w:val="en-US" w:eastAsia="zh-CN"/>
              </w:rPr>
              <w:t>无需修改。</w:t>
            </w:r>
          </w:p>
          <w:bookmarkEnd w:id="14"/>
          <w:p w14:paraId="319D1411" w14:textId="1312C5DE" w:rsidR="00154974" w:rsidRPr="005E70C9" w:rsidRDefault="00154974" w:rsidP="00154974">
            <w:pPr>
              <w:spacing w:after="60"/>
              <w:rPr>
                <w:rFonts w:asciiTheme="minorHAnsi" w:eastAsiaTheme="minorEastAsia" w:hAnsiTheme="minorHAnsi" w:cstheme="minorHAnsi"/>
                <w:b/>
                <w:sz w:val="18"/>
                <w:szCs w:val="18"/>
                <w:lang w:eastAsia="zh-CN"/>
              </w:rPr>
            </w:pPr>
          </w:p>
        </w:tc>
      </w:tr>
      <w:tr w:rsidR="006402C4" w:rsidRPr="00436F1F" w14:paraId="1B738C86" w14:textId="77777777" w:rsidTr="00D4499D">
        <w:trPr>
          <w:jc w:val="center"/>
        </w:trPr>
        <w:tc>
          <w:tcPr>
            <w:tcW w:w="909" w:type="dxa"/>
            <w:shd w:val="clear" w:color="auto" w:fill="FFFFFF"/>
            <w:tcMar>
              <w:left w:w="85" w:type="dxa"/>
              <w:right w:w="85" w:type="dxa"/>
            </w:tcMar>
          </w:tcPr>
          <w:p w14:paraId="0D27D811" w14:textId="455027D8" w:rsidR="006402C4" w:rsidRPr="005E70C9" w:rsidRDefault="006402C4" w:rsidP="006402C4">
            <w:pPr>
              <w:spacing w:after="60"/>
              <w:rPr>
                <w:rFonts w:asciiTheme="minorHAnsi" w:eastAsiaTheme="minorEastAsia" w:hAnsiTheme="minorHAnsi" w:cstheme="minorHAnsi"/>
                <w:b/>
                <w:bCs/>
                <w:sz w:val="18"/>
                <w:szCs w:val="18"/>
              </w:rPr>
            </w:pPr>
            <w:proofErr w:type="spellStart"/>
            <w:r w:rsidRPr="005E70C9">
              <w:rPr>
                <w:rFonts w:asciiTheme="minorHAnsi" w:eastAsiaTheme="minorEastAsia" w:hAnsiTheme="minorHAnsi" w:cstheme="minorHAnsi"/>
                <w:b/>
                <w:bCs/>
                <w:sz w:val="18"/>
                <w:szCs w:val="18"/>
              </w:rPr>
              <w:t>附录</w:t>
            </w:r>
            <w:proofErr w:type="spellEnd"/>
            <w:r w:rsidRPr="005E70C9">
              <w:rPr>
                <w:rFonts w:asciiTheme="minorHAnsi" w:eastAsiaTheme="minorEastAsia" w:hAnsiTheme="minorHAnsi" w:cstheme="minorHAnsi"/>
                <w:b/>
                <w:bCs/>
                <w:sz w:val="18"/>
                <w:szCs w:val="18"/>
              </w:rPr>
              <w:t>1</w:t>
            </w:r>
          </w:p>
        </w:tc>
        <w:tc>
          <w:tcPr>
            <w:tcW w:w="2104" w:type="dxa"/>
            <w:tcMar>
              <w:left w:w="85" w:type="dxa"/>
              <w:right w:w="85" w:type="dxa"/>
            </w:tcMar>
          </w:tcPr>
          <w:p w14:paraId="4C98AA77" w14:textId="26CD96F8" w:rsidR="006402C4" w:rsidRPr="005E70C9" w:rsidRDefault="00B27048" w:rsidP="008714A6">
            <w:pPr>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关于结算的一般条款</w:t>
            </w:r>
          </w:p>
        </w:tc>
        <w:tc>
          <w:tcPr>
            <w:tcW w:w="2104" w:type="dxa"/>
            <w:tcMar>
              <w:left w:w="85" w:type="dxa"/>
              <w:right w:w="85" w:type="dxa"/>
            </w:tcMar>
          </w:tcPr>
          <w:p w14:paraId="17D06A1B" w14:textId="38256B9B" w:rsidR="006402C4" w:rsidRPr="005E70C9" w:rsidRDefault="00B27048" w:rsidP="006402C4">
            <w:pPr>
              <w:spacing w:after="60"/>
              <w:rPr>
                <w:rFonts w:asciiTheme="minorHAnsi" w:eastAsiaTheme="minorEastAsia" w:hAnsiTheme="minorHAnsi" w:cstheme="minorHAnsi"/>
                <w:bCs/>
                <w:sz w:val="18"/>
                <w:szCs w:val="18"/>
                <w:lang w:val="en-US" w:eastAsia="zh-CN"/>
              </w:rPr>
            </w:pPr>
            <w:r w:rsidRPr="005E70C9">
              <w:rPr>
                <w:rFonts w:asciiTheme="minorHAnsi" w:eastAsiaTheme="minorEastAsia" w:hAnsiTheme="minorHAnsi" w:cstheme="minorHAnsi"/>
                <w:bCs/>
                <w:sz w:val="18"/>
                <w:szCs w:val="18"/>
                <w:lang w:eastAsia="zh-CN"/>
              </w:rPr>
              <w:t>关于结算的一般条款</w:t>
            </w:r>
          </w:p>
        </w:tc>
        <w:tc>
          <w:tcPr>
            <w:tcW w:w="2047" w:type="dxa"/>
            <w:tcMar>
              <w:left w:w="85" w:type="dxa"/>
              <w:right w:w="85" w:type="dxa"/>
            </w:tcMar>
          </w:tcPr>
          <w:p w14:paraId="31833D3D" w14:textId="1F8CB106" w:rsidR="006402C4" w:rsidRPr="005E70C9" w:rsidRDefault="00ED157E" w:rsidP="006402C4">
            <w:pPr>
              <w:rPr>
                <w:rFonts w:asciiTheme="minorHAnsi" w:eastAsiaTheme="minorEastAsia" w:hAnsiTheme="minorHAnsi" w:cstheme="minorHAnsi"/>
                <w:color w:val="000000"/>
                <w:sz w:val="18"/>
                <w:szCs w:val="18"/>
                <w:lang w:eastAsia="zh-CN"/>
              </w:rPr>
            </w:pPr>
            <w:r w:rsidRPr="005E70C9">
              <w:rPr>
                <w:rFonts w:asciiTheme="minorHAnsi" w:eastAsiaTheme="minorEastAsia" w:hAnsiTheme="minorHAnsi" w:cstheme="minorHAnsi"/>
                <w:color w:val="000000"/>
                <w:sz w:val="18"/>
                <w:szCs w:val="18"/>
                <w:lang w:eastAsia="zh-CN"/>
              </w:rPr>
              <w:t>不妨碍网络和业务的提供和发展。</w:t>
            </w:r>
          </w:p>
        </w:tc>
        <w:tc>
          <w:tcPr>
            <w:tcW w:w="2045" w:type="dxa"/>
            <w:tcMar>
              <w:left w:w="85" w:type="dxa"/>
              <w:right w:w="85" w:type="dxa"/>
            </w:tcMar>
          </w:tcPr>
          <w:p w14:paraId="158E4EAE" w14:textId="668CB2B8" w:rsidR="006402C4" w:rsidRPr="005E70C9" w:rsidRDefault="00350461" w:rsidP="008714A6">
            <w:pPr>
              <w:spacing w:after="60"/>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足够灵活。</w:t>
            </w:r>
          </w:p>
          <w:p w14:paraId="12D1262E" w14:textId="16FD4BE2" w:rsidR="006402C4" w:rsidRPr="005E70C9" w:rsidRDefault="00350461" w:rsidP="008714A6">
            <w:pPr>
              <w:spacing w:after="60"/>
              <w:rPr>
                <w:rFonts w:asciiTheme="minorHAnsi" w:eastAsiaTheme="minorEastAsia" w:hAnsiTheme="minorHAnsi" w:cstheme="minorHAnsi"/>
                <w:bCs/>
                <w:sz w:val="18"/>
                <w:szCs w:val="18"/>
                <w:lang w:eastAsia="zh-CN"/>
              </w:rPr>
            </w:pPr>
            <w:r w:rsidRPr="005E70C9">
              <w:rPr>
                <w:rFonts w:asciiTheme="minorHAnsi" w:eastAsiaTheme="minorEastAsia" w:hAnsiTheme="minorHAnsi" w:cstheme="minorHAnsi"/>
                <w:bCs/>
                <w:sz w:val="18"/>
                <w:szCs w:val="18"/>
                <w:lang w:eastAsia="zh-CN"/>
              </w:rPr>
              <w:t>允许达成商业性协议。</w:t>
            </w:r>
          </w:p>
        </w:tc>
        <w:tc>
          <w:tcPr>
            <w:tcW w:w="1310" w:type="dxa"/>
            <w:shd w:val="clear" w:color="auto" w:fill="FFFFFF"/>
            <w:tcMar>
              <w:left w:w="85" w:type="dxa"/>
              <w:right w:w="85" w:type="dxa"/>
            </w:tcMar>
          </w:tcPr>
          <w:p w14:paraId="7CB25E17" w14:textId="77777777" w:rsidR="006402C4" w:rsidRPr="005E70C9" w:rsidRDefault="006402C4" w:rsidP="008714A6">
            <w:pPr>
              <w:spacing w:after="60"/>
              <w:rPr>
                <w:rFonts w:asciiTheme="minorHAnsi" w:eastAsiaTheme="minorEastAsia" w:hAnsiTheme="minorHAnsi" w:cstheme="minorHAnsi"/>
                <w:bCs/>
                <w:sz w:val="18"/>
                <w:szCs w:val="18"/>
                <w:lang w:eastAsia="zh-CN"/>
              </w:rPr>
            </w:pPr>
            <w:bookmarkStart w:id="15" w:name="lt_pId171"/>
            <w:r w:rsidRPr="005E70C9">
              <w:rPr>
                <w:rFonts w:asciiTheme="minorHAnsi" w:eastAsiaTheme="minorEastAsia" w:hAnsiTheme="minorHAnsi" w:cstheme="minorHAnsi"/>
                <w:bCs/>
                <w:sz w:val="18"/>
                <w:szCs w:val="18"/>
                <w:lang w:eastAsia="zh-CN"/>
              </w:rPr>
              <w:t>无需修改。</w:t>
            </w:r>
          </w:p>
          <w:bookmarkEnd w:id="15"/>
          <w:p w14:paraId="61D09F13" w14:textId="77777777" w:rsidR="006402C4" w:rsidRPr="005E70C9" w:rsidRDefault="006402C4" w:rsidP="008714A6">
            <w:pPr>
              <w:spacing w:after="60"/>
              <w:rPr>
                <w:rFonts w:asciiTheme="minorHAnsi" w:eastAsiaTheme="minorEastAsia" w:hAnsiTheme="minorHAnsi" w:cstheme="minorHAnsi"/>
                <w:bCs/>
                <w:sz w:val="18"/>
                <w:szCs w:val="18"/>
                <w:lang w:eastAsia="zh-CN"/>
              </w:rPr>
            </w:pPr>
          </w:p>
        </w:tc>
      </w:tr>
      <w:bookmarkEnd w:id="4"/>
    </w:tbl>
    <w:p w14:paraId="16796F2A" w14:textId="77777777" w:rsidR="00436F1F" w:rsidRDefault="00436F1F" w:rsidP="00436F1F">
      <w:pPr>
        <w:pStyle w:val="Reasons"/>
      </w:pPr>
    </w:p>
    <w:p w14:paraId="2AEAE159" w14:textId="61AC5858" w:rsidR="00436F1F" w:rsidRPr="00436F1F" w:rsidRDefault="00436F1F" w:rsidP="00436F1F">
      <w:pPr>
        <w:jc w:val="center"/>
      </w:pPr>
      <w:r>
        <w:t>______________</w:t>
      </w:r>
    </w:p>
    <w:sectPr w:rsidR="00436F1F" w:rsidRPr="00436F1F" w:rsidSect="00436F1F">
      <w:headerReference w:type="default" r:id="rId12"/>
      <w:footerReference w:type="default" r:id="rId13"/>
      <w:footerReference w:type="first" r:id="rId14"/>
      <w:pgSz w:w="11907" w:h="16834"/>
      <w:pgMar w:top="1418"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D155A" w14:textId="77777777" w:rsidR="00436F1F" w:rsidRDefault="00436F1F">
      <w:r>
        <w:separator/>
      </w:r>
    </w:p>
  </w:endnote>
  <w:endnote w:type="continuationSeparator" w:id="0">
    <w:p w14:paraId="3E1C2003" w14:textId="77777777" w:rsidR="00436F1F" w:rsidRDefault="0043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AC410" w14:textId="3AA46312" w:rsidR="00436F1F" w:rsidRPr="00F80891" w:rsidRDefault="005D7180" w:rsidP="00436F1F">
    <w:pPr>
      <w:pStyle w:val="Footer"/>
    </w:pPr>
    <w:r>
      <w:fldChar w:fldCharType="begin"/>
    </w:r>
    <w:r>
      <w:instrText xml:space="preserve"> FILENAME \p  \* MERGEFORMAT </w:instrText>
    </w:r>
    <w:r>
      <w:fldChar w:fldCharType="separate"/>
    </w:r>
    <w:r w:rsidR="005E70C9">
      <w:t>P:\CHI\SG\CONSEIL\EG-ITR\EG-ITR-3\000\002C.docx</w:t>
    </w:r>
    <w:r>
      <w:fldChar w:fldCharType="end"/>
    </w:r>
    <w:r w:rsidR="00436F1F" w:rsidRPr="00436F1F">
      <w:t xml:space="preserve"> (</w:t>
    </w:r>
    <w:r w:rsidR="00436F1F">
      <w:rPr>
        <w:rFonts w:hint="eastAsia"/>
        <w:lang w:eastAsia="zh-CN"/>
      </w:rPr>
      <w:t>476444</w:t>
    </w:r>
    <w:r w:rsidR="00436F1F" w:rsidRPr="00436F1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DF7C" w14:textId="7D12CF2B" w:rsidR="00436F1F" w:rsidRPr="00436F1F" w:rsidRDefault="00436F1F" w:rsidP="00436F1F">
    <w:pPr>
      <w:tabs>
        <w:tab w:val="clear" w:pos="794"/>
        <w:tab w:val="clear" w:pos="1191"/>
        <w:tab w:val="clear" w:pos="1588"/>
        <w:tab w:val="clear" w:pos="1985"/>
      </w:tabs>
      <w:overflowPunct/>
      <w:autoSpaceDE/>
      <w:autoSpaceDN/>
      <w:adjustRightInd/>
      <w:spacing w:before="0" w:after="120" w:line="259" w:lineRule="auto"/>
      <w:jc w:val="center"/>
      <w:textAlignment w:val="auto"/>
      <w:rPr>
        <w:rFonts w:asciiTheme="minorHAnsi" w:eastAsiaTheme="minorEastAsia" w:hAnsiTheme="minorHAnsi" w:cstheme="minorBidi"/>
        <w:sz w:val="22"/>
        <w:szCs w:val="22"/>
        <w:lang w:val="es-ES" w:eastAsia="zh-CN"/>
      </w:rPr>
    </w:pPr>
    <w:r w:rsidRPr="00436F1F">
      <w:rPr>
        <w:rFonts w:asciiTheme="minorHAnsi" w:eastAsiaTheme="minorEastAsia" w:hAnsiTheme="minorHAnsi" w:cstheme="minorBidi"/>
        <w:sz w:val="22"/>
        <w:szCs w:val="22"/>
        <w:lang w:val="es-ES" w:eastAsia="zh-CN"/>
      </w:rPr>
      <w:t xml:space="preserve">• </w:t>
    </w:r>
    <w:hyperlink r:id="rId1" w:history="1">
      <w:r w:rsidRPr="00436F1F">
        <w:rPr>
          <w:rFonts w:asciiTheme="minorHAnsi" w:eastAsiaTheme="minorEastAsia" w:hAnsiTheme="minorHAnsi" w:cstheme="minorHAnsi"/>
          <w:color w:val="0000FF"/>
          <w:sz w:val="22"/>
          <w:szCs w:val="22"/>
          <w:u w:val="single"/>
          <w:lang w:val="es-ES" w:eastAsia="zh-CN"/>
        </w:rPr>
        <w:t>http://www.itu.int/council</w:t>
      </w:r>
    </w:hyperlink>
    <w:r w:rsidRPr="00436F1F">
      <w:rPr>
        <w:rFonts w:asciiTheme="minorHAnsi" w:eastAsiaTheme="minorEastAsia" w:hAnsiTheme="minorHAnsi" w:cstheme="minorBidi"/>
        <w:sz w:val="22"/>
        <w:szCs w:val="22"/>
        <w:lang w:val="es-ES"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0F181" w14:textId="77777777" w:rsidR="00436F1F" w:rsidRDefault="00436F1F">
      <w:r>
        <w:t>____________________</w:t>
      </w:r>
    </w:p>
  </w:footnote>
  <w:footnote w:type="continuationSeparator" w:id="0">
    <w:p w14:paraId="4D026C4E" w14:textId="77777777" w:rsidR="00436F1F" w:rsidRDefault="0043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4E731" w14:textId="4248EF83" w:rsidR="00436F1F" w:rsidRDefault="00436F1F" w:rsidP="00E6204B">
    <w:pPr>
      <w:pStyle w:val="Header"/>
      <w:rPr>
        <w:lang w:eastAsia="zh-CN"/>
      </w:rPr>
    </w:pPr>
    <w:r>
      <w:fldChar w:fldCharType="begin"/>
    </w:r>
    <w:r>
      <w:instrText xml:space="preserve"> PAGE   \* MERGEFORMAT </w:instrText>
    </w:r>
    <w:r>
      <w:fldChar w:fldCharType="separate"/>
    </w:r>
    <w:r>
      <w:t>3</w:t>
    </w:r>
    <w:r>
      <w:rPr>
        <w:noProof/>
      </w:rPr>
      <w:fldChar w:fldCharType="end"/>
    </w:r>
    <w:r>
      <w:rPr>
        <w:noProof/>
      </w:rPr>
      <w:br/>
      <w:t>EG-ITRs-3\2-</w:t>
    </w:r>
    <w:r>
      <w:rPr>
        <w:rFonts w:hint="eastAsia"/>
        <w:noProof/>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62B0"/>
    <w:multiLevelType w:val="hybridMultilevel"/>
    <w:tmpl w:val="79008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D9536CE"/>
    <w:multiLevelType w:val="hybridMultilevel"/>
    <w:tmpl w:val="5E1E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93579"/>
    <w:multiLevelType w:val="hybridMultilevel"/>
    <w:tmpl w:val="4016E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8EE5B0E"/>
    <w:multiLevelType w:val="hybridMultilevel"/>
    <w:tmpl w:val="BF8CF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955576A"/>
    <w:multiLevelType w:val="hybridMultilevel"/>
    <w:tmpl w:val="B448A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E148E5"/>
    <w:multiLevelType w:val="hybridMultilevel"/>
    <w:tmpl w:val="4CBA05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B24050"/>
    <w:multiLevelType w:val="hybridMultilevel"/>
    <w:tmpl w:val="F54CE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B8B12D7"/>
    <w:multiLevelType w:val="hybridMultilevel"/>
    <w:tmpl w:val="FDA43A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5853AC7"/>
    <w:multiLevelType w:val="hybridMultilevel"/>
    <w:tmpl w:val="662284D0"/>
    <w:lvl w:ilvl="0" w:tplc="1C090001">
      <w:start w:val="1"/>
      <w:numFmt w:val="bullet"/>
      <w:lvlText w:val=""/>
      <w:lvlJc w:val="left"/>
      <w:pPr>
        <w:ind w:left="762" w:hanging="360"/>
      </w:pPr>
      <w:rPr>
        <w:rFonts w:ascii="Symbol" w:hAnsi="Symbol" w:hint="default"/>
      </w:rPr>
    </w:lvl>
    <w:lvl w:ilvl="1" w:tplc="1C090003" w:tentative="1">
      <w:start w:val="1"/>
      <w:numFmt w:val="bullet"/>
      <w:lvlText w:val="o"/>
      <w:lvlJc w:val="left"/>
      <w:pPr>
        <w:ind w:left="1482" w:hanging="360"/>
      </w:pPr>
      <w:rPr>
        <w:rFonts w:ascii="Courier New" w:hAnsi="Courier New" w:cs="Courier New" w:hint="default"/>
      </w:rPr>
    </w:lvl>
    <w:lvl w:ilvl="2" w:tplc="1C090005" w:tentative="1">
      <w:start w:val="1"/>
      <w:numFmt w:val="bullet"/>
      <w:lvlText w:val=""/>
      <w:lvlJc w:val="left"/>
      <w:pPr>
        <w:ind w:left="2202" w:hanging="360"/>
      </w:pPr>
      <w:rPr>
        <w:rFonts w:ascii="Wingdings" w:hAnsi="Wingdings" w:hint="default"/>
      </w:rPr>
    </w:lvl>
    <w:lvl w:ilvl="3" w:tplc="1C090001" w:tentative="1">
      <w:start w:val="1"/>
      <w:numFmt w:val="bullet"/>
      <w:lvlText w:val=""/>
      <w:lvlJc w:val="left"/>
      <w:pPr>
        <w:ind w:left="2922" w:hanging="360"/>
      </w:pPr>
      <w:rPr>
        <w:rFonts w:ascii="Symbol" w:hAnsi="Symbol" w:hint="default"/>
      </w:rPr>
    </w:lvl>
    <w:lvl w:ilvl="4" w:tplc="1C090003" w:tentative="1">
      <w:start w:val="1"/>
      <w:numFmt w:val="bullet"/>
      <w:lvlText w:val="o"/>
      <w:lvlJc w:val="left"/>
      <w:pPr>
        <w:ind w:left="3642" w:hanging="360"/>
      </w:pPr>
      <w:rPr>
        <w:rFonts w:ascii="Courier New" w:hAnsi="Courier New" w:cs="Courier New" w:hint="default"/>
      </w:rPr>
    </w:lvl>
    <w:lvl w:ilvl="5" w:tplc="1C090005" w:tentative="1">
      <w:start w:val="1"/>
      <w:numFmt w:val="bullet"/>
      <w:lvlText w:val=""/>
      <w:lvlJc w:val="left"/>
      <w:pPr>
        <w:ind w:left="4362" w:hanging="360"/>
      </w:pPr>
      <w:rPr>
        <w:rFonts w:ascii="Wingdings" w:hAnsi="Wingdings" w:hint="default"/>
      </w:rPr>
    </w:lvl>
    <w:lvl w:ilvl="6" w:tplc="1C090001" w:tentative="1">
      <w:start w:val="1"/>
      <w:numFmt w:val="bullet"/>
      <w:lvlText w:val=""/>
      <w:lvlJc w:val="left"/>
      <w:pPr>
        <w:ind w:left="5082" w:hanging="360"/>
      </w:pPr>
      <w:rPr>
        <w:rFonts w:ascii="Symbol" w:hAnsi="Symbol" w:hint="default"/>
      </w:rPr>
    </w:lvl>
    <w:lvl w:ilvl="7" w:tplc="1C090003" w:tentative="1">
      <w:start w:val="1"/>
      <w:numFmt w:val="bullet"/>
      <w:lvlText w:val="o"/>
      <w:lvlJc w:val="left"/>
      <w:pPr>
        <w:ind w:left="5802" w:hanging="360"/>
      </w:pPr>
      <w:rPr>
        <w:rFonts w:ascii="Courier New" w:hAnsi="Courier New" w:cs="Courier New" w:hint="default"/>
      </w:rPr>
    </w:lvl>
    <w:lvl w:ilvl="8" w:tplc="1C090005" w:tentative="1">
      <w:start w:val="1"/>
      <w:numFmt w:val="bullet"/>
      <w:lvlText w:val=""/>
      <w:lvlJc w:val="left"/>
      <w:pPr>
        <w:ind w:left="6522"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4"/>
  </w:num>
  <w:num w:numId="6">
    <w:abstractNumId w:val="2"/>
  </w:num>
  <w:num w:numId="7">
    <w:abstractNumId w:val="3"/>
  </w:num>
  <w:num w:numId="8">
    <w:abstractNumId w:va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A"/>
    <w:rsid w:val="00001B77"/>
    <w:rsid w:val="00002D88"/>
    <w:rsid w:val="0000517A"/>
    <w:rsid w:val="0001284E"/>
    <w:rsid w:val="00015BB0"/>
    <w:rsid w:val="0002618B"/>
    <w:rsid w:val="00031E72"/>
    <w:rsid w:val="0003530A"/>
    <w:rsid w:val="000404D2"/>
    <w:rsid w:val="00045547"/>
    <w:rsid w:val="0004689E"/>
    <w:rsid w:val="0005304E"/>
    <w:rsid w:val="0005433F"/>
    <w:rsid w:val="00055038"/>
    <w:rsid w:val="00057164"/>
    <w:rsid w:val="0006423C"/>
    <w:rsid w:val="00072841"/>
    <w:rsid w:val="00075E99"/>
    <w:rsid w:val="0008311B"/>
    <w:rsid w:val="00084033"/>
    <w:rsid w:val="000853C0"/>
    <w:rsid w:val="00091A70"/>
    <w:rsid w:val="00091FA9"/>
    <w:rsid w:val="0009520B"/>
    <w:rsid w:val="000A1C21"/>
    <w:rsid w:val="000A7B7E"/>
    <w:rsid w:val="000B5812"/>
    <w:rsid w:val="000D15EA"/>
    <w:rsid w:val="000D3B1A"/>
    <w:rsid w:val="000D48E0"/>
    <w:rsid w:val="000D70EF"/>
    <w:rsid w:val="000D7AC1"/>
    <w:rsid w:val="000E6912"/>
    <w:rsid w:val="000F121D"/>
    <w:rsid w:val="00100D84"/>
    <w:rsid w:val="00110719"/>
    <w:rsid w:val="00124C9D"/>
    <w:rsid w:val="00135A1C"/>
    <w:rsid w:val="00143FE8"/>
    <w:rsid w:val="00154974"/>
    <w:rsid w:val="00157773"/>
    <w:rsid w:val="00161BE9"/>
    <w:rsid w:val="001650A4"/>
    <w:rsid w:val="00165A33"/>
    <w:rsid w:val="00167078"/>
    <w:rsid w:val="00171CC2"/>
    <w:rsid w:val="0018251A"/>
    <w:rsid w:val="00184C8D"/>
    <w:rsid w:val="00190272"/>
    <w:rsid w:val="00191B83"/>
    <w:rsid w:val="00193244"/>
    <w:rsid w:val="00195C6C"/>
    <w:rsid w:val="00195FED"/>
    <w:rsid w:val="001A2B63"/>
    <w:rsid w:val="001A33F1"/>
    <w:rsid w:val="001A4BD6"/>
    <w:rsid w:val="001A561B"/>
    <w:rsid w:val="001A5790"/>
    <w:rsid w:val="001B0906"/>
    <w:rsid w:val="001D5A18"/>
    <w:rsid w:val="001D67B8"/>
    <w:rsid w:val="001F02F4"/>
    <w:rsid w:val="001F2FE7"/>
    <w:rsid w:val="001F33DB"/>
    <w:rsid w:val="00200E4B"/>
    <w:rsid w:val="00205F52"/>
    <w:rsid w:val="002068EC"/>
    <w:rsid w:val="00211AC0"/>
    <w:rsid w:val="00211E28"/>
    <w:rsid w:val="00232ABA"/>
    <w:rsid w:val="00236183"/>
    <w:rsid w:val="00242D0F"/>
    <w:rsid w:val="00243697"/>
    <w:rsid w:val="00243996"/>
    <w:rsid w:val="00252E8B"/>
    <w:rsid w:val="00255E7F"/>
    <w:rsid w:val="00262547"/>
    <w:rsid w:val="002672EE"/>
    <w:rsid w:val="0027034D"/>
    <w:rsid w:val="002735A7"/>
    <w:rsid w:val="00273C45"/>
    <w:rsid w:val="00280EB8"/>
    <w:rsid w:val="00285F4E"/>
    <w:rsid w:val="00286C21"/>
    <w:rsid w:val="002A6670"/>
    <w:rsid w:val="002B2E43"/>
    <w:rsid w:val="002C7A64"/>
    <w:rsid w:val="002E7496"/>
    <w:rsid w:val="00303502"/>
    <w:rsid w:val="003051F1"/>
    <w:rsid w:val="00310C1B"/>
    <w:rsid w:val="00320C77"/>
    <w:rsid w:val="00325C25"/>
    <w:rsid w:val="0033253D"/>
    <w:rsid w:val="00332DAE"/>
    <w:rsid w:val="003345C6"/>
    <w:rsid w:val="003366A4"/>
    <w:rsid w:val="00345261"/>
    <w:rsid w:val="00350461"/>
    <w:rsid w:val="0035200F"/>
    <w:rsid w:val="00355266"/>
    <w:rsid w:val="0036356D"/>
    <w:rsid w:val="00372C8F"/>
    <w:rsid w:val="00380030"/>
    <w:rsid w:val="00380ECE"/>
    <w:rsid w:val="003819AF"/>
    <w:rsid w:val="00386AE5"/>
    <w:rsid w:val="00393DDF"/>
    <w:rsid w:val="00395ABF"/>
    <w:rsid w:val="00397F55"/>
    <w:rsid w:val="003A3F24"/>
    <w:rsid w:val="003B4332"/>
    <w:rsid w:val="003B4454"/>
    <w:rsid w:val="003C2E37"/>
    <w:rsid w:val="003F1415"/>
    <w:rsid w:val="003F4726"/>
    <w:rsid w:val="0040144C"/>
    <w:rsid w:val="00403EB7"/>
    <w:rsid w:val="0040561F"/>
    <w:rsid w:val="004056CC"/>
    <w:rsid w:val="0041142C"/>
    <w:rsid w:val="00422F7E"/>
    <w:rsid w:val="004244E3"/>
    <w:rsid w:val="00424927"/>
    <w:rsid w:val="00430BF0"/>
    <w:rsid w:val="00432F54"/>
    <w:rsid w:val="00435336"/>
    <w:rsid w:val="00436F1F"/>
    <w:rsid w:val="004441CC"/>
    <w:rsid w:val="004508C3"/>
    <w:rsid w:val="00466351"/>
    <w:rsid w:val="004672E6"/>
    <w:rsid w:val="00474ED1"/>
    <w:rsid w:val="00483B9A"/>
    <w:rsid w:val="00485F42"/>
    <w:rsid w:val="00493085"/>
    <w:rsid w:val="004A0257"/>
    <w:rsid w:val="004A36EC"/>
    <w:rsid w:val="004B3706"/>
    <w:rsid w:val="004C041F"/>
    <w:rsid w:val="004C4BBB"/>
    <w:rsid w:val="004D163F"/>
    <w:rsid w:val="004E4BFF"/>
    <w:rsid w:val="004E56E0"/>
    <w:rsid w:val="004F0DE3"/>
    <w:rsid w:val="004F2598"/>
    <w:rsid w:val="005107C0"/>
    <w:rsid w:val="005260A5"/>
    <w:rsid w:val="005403F7"/>
    <w:rsid w:val="00540632"/>
    <w:rsid w:val="00541CF4"/>
    <w:rsid w:val="005451E8"/>
    <w:rsid w:val="005507F2"/>
    <w:rsid w:val="005509A6"/>
    <w:rsid w:val="00556BF8"/>
    <w:rsid w:val="00561745"/>
    <w:rsid w:val="005640E4"/>
    <w:rsid w:val="005675E9"/>
    <w:rsid w:val="00571CA5"/>
    <w:rsid w:val="005759CC"/>
    <w:rsid w:val="00582875"/>
    <w:rsid w:val="0058495B"/>
    <w:rsid w:val="00584EAD"/>
    <w:rsid w:val="00592CFC"/>
    <w:rsid w:val="005A72E1"/>
    <w:rsid w:val="005B7592"/>
    <w:rsid w:val="005C0065"/>
    <w:rsid w:val="005C29E2"/>
    <w:rsid w:val="005C64FE"/>
    <w:rsid w:val="005C6632"/>
    <w:rsid w:val="005D19F0"/>
    <w:rsid w:val="005D1C9E"/>
    <w:rsid w:val="005D56DD"/>
    <w:rsid w:val="005D7180"/>
    <w:rsid w:val="005E70C9"/>
    <w:rsid w:val="005F1361"/>
    <w:rsid w:val="005F6E4F"/>
    <w:rsid w:val="006054ED"/>
    <w:rsid w:val="00610640"/>
    <w:rsid w:val="00614C74"/>
    <w:rsid w:val="00621BF1"/>
    <w:rsid w:val="006240AC"/>
    <w:rsid w:val="00625A73"/>
    <w:rsid w:val="00635BF4"/>
    <w:rsid w:val="00637DC8"/>
    <w:rsid w:val="006402C4"/>
    <w:rsid w:val="00643017"/>
    <w:rsid w:val="00646C20"/>
    <w:rsid w:val="00654257"/>
    <w:rsid w:val="0065435A"/>
    <w:rsid w:val="00655EB8"/>
    <w:rsid w:val="00664AF3"/>
    <w:rsid w:val="0068284C"/>
    <w:rsid w:val="00684E65"/>
    <w:rsid w:val="00685194"/>
    <w:rsid w:val="006877F5"/>
    <w:rsid w:val="00692629"/>
    <w:rsid w:val="006941DB"/>
    <w:rsid w:val="00696051"/>
    <w:rsid w:val="006A292D"/>
    <w:rsid w:val="006A2DD3"/>
    <w:rsid w:val="006A5AF8"/>
    <w:rsid w:val="006B0DFF"/>
    <w:rsid w:val="006B2EEB"/>
    <w:rsid w:val="006C29FD"/>
    <w:rsid w:val="006C36CD"/>
    <w:rsid w:val="006D22B4"/>
    <w:rsid w:val="006D7174"/>
    <w:rsid w:val="006D7427"/>
    <w:rsid w:val="006E3D71"/>
    <w:rsid w:val="00700307"/>
    <w:rsid w:val="00700D1F"/>
    <w:rsid w:val="007164A3"/>
    <w:rsid w:val="007205CB"/>
    <w:rsid w:val="00726073"/>
    <w:rsid w:val="007276F5"/>
    <w:rsid w:val="00730A63"/>
    <w:rsid w:val="0073138C"/>
    <w:rsid w:val="00734FE8"/>
    <w:rsid w:val="007360CE"/>
    <w:rsid w:val="0073702A"/>
    <w:rsid w:val="007379E8"/>
    <w:rsid w:val="00746123"/>
    <w:rsid w:val="00761726"/>
    <w:rsid w:val="00764BFC"/>
    <w:rsid w:val="007662BE"/>
    <w:rsid w:val="0076737E"/>
    <w:rsid w:val="00772315"/>
    <w:rsid w:val="007739C7"/>
    <w:rsid w:val="00774FB3"/>
    <w:rsid w:val="00775157"/>
    <w:rsid w:val="00776870"/>
    <w:rsid w:val="007813AE"/>
    <w:rsid w:val="007846E8"/>
    <w:rsid w:val="00787FBC"/>
    <w:rsid w:val="007A37DB"/>
    <w:rsid w:val="007A62F8"/>
    <w:rsid w:val="007B0B1C"/>
    <w:rsid w:val="007B1E80"/>
    <w:rsid w:val="007C1ADC"/>
    <w:rsid w:val="007E189D"/>
    <w:rsid w:val="007F082F"/>
    <w:rsid w:val="007F4FBE"/>
    <w:rsid w:val="00806D9D"/>
    <w:rsid w:val="0081005E"/>
    <w:rsid w:val="00811259"/>
    <w:rsid w:val="00811BDA"/>
    <w:rsid w:val="00813AA2"/>
    <w:rsid w:val="00816B27"/>
    <w:rsid w:val="008173A3"/>
    <w:rsid w:val="00821868"/>
    <w:rsid w:val="00822293"/>
    <w:rsid w:val="00832BBB"/>
    <w:rsid w:val="00833009"/>
    <w:rsid w:val="008523E5"/>
    <w:rsid w:val="008574F8"/>
    <w:rsid w:val="00857905"/>
    <w:rsid w:val="0086059C"/>
    <w:rsid w:val="0086089B"/>
    <w:rsid w:val="008608CC"/>
    <w:rsid w:val="00863F4B"/>
    <w:rsid w:val="00864589"/>
    <w:rsid w:val="00870423"/>
    <w:rsid w:val="008714A6"/>
    <w:rsid w:val="00872283"/>
    <w:rsid w:val="00874641"/>
    <w:rsid w:val="008852C6"/>
    <w:rsid w:val="0088706E"/>
    <w:rsid w:val="00890AFB"/>
    <w:rsid w:val="00890FC4"/>
    <w:rsid w:val="008933EB"/>
    <w:rsid w:val="0089574F"/>
    <w:rsid w:val="00895905"/>
    <w:rsid w:val="008A48A0"/>
    <w:rsid w:val="008A6421"/>
    <w:rsid w:val="008B3AD1"/>
    <w:rsid w:val="008B4F70"/>
    <w:rsid w:val="008C37AF"/>
    <w:rsid w:val="008C5C6D"/>
    <w:rsid w:val="008C5FF2"/>
    <w:rsid w:val="008D3F6E"/>
    <w:rsid w:val="008D4DE9"/>
    <w:rsid w:val="008E54DC"/>
    <w:rsid w:val="008E54DE"/>
    <w:rsid w:val="008E592C"/>
    <w:rsid w:val="008F2BA2"/>
    <w:rsid w:val="008F3257"/>
    <w:rsid w:val="00902F64"/>
    <w:rsid w:val="00906C16"/>
    <w:rsid w:val="00911307"/>
    <w:rsid w:val="009113E8"/>
    <w:rsid w:val="00911A79"/>
    <w:rsid w:val="009164A9"/>
    <w:rsid w:val="00916E42"/>
    <w:rsid w:val="009227D8"/>
    <w:rsid w:val="00923F0A"/>
    <w:rsid w:val="009246E6"/>
    <w:rsid w:val="009258CB"/>
    <w:rsid w:val="0093362E"/>
    <w:rsid w:val="00942BA7"/>
    <w:rsid w:val="00944563"/>
    <w:rsid w:val="00951E83"/>
    <w:rsid w:val="00953160"/>
    <w:rsid w:val="0095546C"/>
    <w:rsid w:val="009625D8"/>
    <w:rsid w:val="00966F55"/>
    <w:rsid w:val="0096747F"/>
    <w:rsid w:val="0097130F"/>
    <w:rsid w:val="009750DC"/>
    <w:rsid w:val="009768D0"/>
    <w:rsid w:val="0098459B"/>
    <w:rsid w:val="009915E0"/>
    <w:rsid w:val="00992A80"/>
    <w:rsid w:val="00995F57"/>
    <w:rsid w:val="00997185"/>
    <w:rsid w:val="009975A4"/>
    <w:rsid w:val="00997802"/>
    <w:rsid w:val="009A01BD"/>
    <w:rsid w:val="009A5388"/>
    <w:rsid w:val="009C2458"/>
    <w:rsid w:val="009C4A7B"/>
    <w:rsid w:val="009C5D72"/>
    <w:rsid w:val="009C6123"/>
    <w:rsid w:val="009E52E0"/>
    <w:rsid w:val="009F0D47"/>
    <w:rsid w:val="009F1612"/>
    <w:rsid w:val="009F1E3E"/>
    <w:rsid w:val="009F2292"/>
    <w:rsid w:val="009F3403"/>
    <w:rsid w:val="00A0122B"/>
    <w:rsid w:val="00A062DE"/>
    <w:rsid w:val="00A10D4C"/>
    <w:rsid w:val="00A1213C"/>
    <w:rsid w:val="00A122DF"/>
    <w:rsid w:val="00A12613"/>
    <w:rsid w:val="00A2395A"/>
    <w:rsid w:val="00A272FF"/>
    <w:rsid w:val="00A27BAB"/>
    <w:rsid w:val="00A35CC4"/>
    <w:rsid w:val="00A41148"/>
    <w:rsid w:val="00A434BC"/>
    <w:rsid w:val="00A5014D"/>
    <w:rsid w:val="00A5354B"/>
    <w:rsid w:val="00A631C5"/>
    <w:rsid w:val="00A739C3"/>
    <w:rsid w:val="00A831AC"/>
    <w:rsid w:val="00A871EC"/>
    <w:rsid w:val="00AA5343"/>
    <w:rsid w:val="00AA7729"/>
    <w:rsid w:val="00AA7ED2"/>
    <w:rsid w:val="00AB39FA"/>
    <w:rsid w:val="00AB3C76"/>
    <w:rsid w:val="00AB4224"/>
    <w:rsid w:val="00AB42C1"/>
    <w:rsid w:val="00AB70D3"/>
    <w:rsid w:val="00AC330F"/>
    <w:rsid w:val="00AC516F"/>
    <w:rsid w:val="00AC59E3"/>
    <w:rsid w:val="00AD0138"/>
    <w:rsid w:val="00AD20D2"/>
    <w:rsid w:val="00AD3B19"/>
    <w:rsid w:val="00AD4FA9"/>
    <w:rsid w:val="00AE202E"/>
    <w:rsid w:val="00AE2926"/>
    <w:rsid w:val="00AE2F1C"/>
    <w:rsid w:val="00AE33F8"/>
    <w:rsid w:val="00AF11F2"/>
    <w:rsid w:val="00AF1A83"/>
    <w:rsid w:val="00B0184B"/>
    <w:rsid w:val="00B035CD"/>
    <w:rsid w:val="00B04DB0"/>
    <w:rsid w:val="00B0769D"/>
    <w:rsid w:val="00B217F8"/>
    <w:rsid w:val="00B23FBB"/>
    <w:rsid w:val="00B27048"/>
    <w:rsid w:val="00B332EA"/>
    <w:rsid w:val="00B33DED"/>
    <w:rsid w:val="00B40425"/>
    <w:rsid w:val="00B40A53"/>
    <w:rsid w:val="00B45365"/>
    <w:rsid w:val="00B46A65"/>
    <w:rsid w:val="00B60184"/>
    <w:rsid w:val="00B6239A"/>
    <w:rsid w:val="00B629EC"/>
    <w:rsid w:val="00B62D20"/>
    <w:rsid w:val="00B668C0"/>
    <w:rsid w:val="00B71271"/>
    <w:rsid w:val="00B71BA2"/>
    <w:rsid w:val="00B75A9B"/>
    <w:rsid w:val="00B81E75"/>
    <w:rsid w:val="00B851FB"/>
    <w:rsid w:val="00B91ACF"/>
    <w:rsid w:val="00B941A1"/>
    <w:rsid w:val="00B9549E"/>
    <w:rsid w:val="00BB49D6"/>
    <w:rsid w:val="00BC1507"/>
    <w:rsid w:val="00BC51FA"/>
    <w:rsid w:val="00BC5430"/>
    <w:rsid w:val="00BD1A5A"/>
    <w:rsid w:val="00BD1D73"/>
    <w:rsid w:val="00BD37E9"/>
    <w:rsid w:val="00BD4173"/>
    <w:rsid w:val="00BD7A9B"/>
    <w:rsid w:val="00BD7BE1"/>
    <w:rsid w:val="00BE4585"/>
    <w:rsid w:val="00BF378E"/>
    <w:rsid w:val="00BF416B"/>
    <w:rsid w:val="00C0233A"/>
    <w:rsid w:val="00C023DD"/>
    <w:rsid w:val="00C02845"/>
    <w:rsid w:val="00C03321"/>
    <w:rsid w:val="00C06DEB"/>
    <w:rsid w:val="00C10842"/>
    <w:rsid w:val="00C13F3F"/>
    <w:rsid w:val="00C15C91"/>
    <w:rsid w:val="00C3192A"/>
    <w:rsid w:val="00C462A9"/>
    <w:rsid w:val="00C51A97"/>
    <w:rsid w:val="00C55F00"/>
    <w:rsid w:val="00C57589"/>
    <w:rsid w:val="00C605C3"/>
    <w:rsid w:val="00C64E4E"/>
    <w:rsid w:val="00C66C03"/>
    <w:rsid w:val="00C66E64"/>
    <w:rsid w:val="00C761A0"/>
    <w:rsid w:val="00C80A5E"/>
    <w:rsid w:val="00C85F7E"/>
    <w:rsid w:val="00C93E70"/>
    <w:rsid w:val="00CA0251"/>
    <w:rsid w:val="00CC0196"/>
    <w:rsid w:val="00CC0F29"/>
    <w:rsid w:val="00CC5187"/>
    <w:rsid w:val="00CD1E2D"/>
    <w:rsid w:val="00CD3E58"/>
    <w:rsid w:val="00CD47F0"/>
    <w:rsid w:val="00CD5566"/>
    <w:rsid w:val="00CD64D7"/>
    <w:rsid w:val="00CD7A43"/>
    <w:rsid w:val="00CE6F22"/>
    <w:rsid w:val="00CF05ED"/>
    <w:rsid w:val="00CF41F6"/>
    <w:rsid w:val="00CF7D3E"/>
    <w:rsid w:val="00CF7D6F"/>
    <w:rsid w:val="00D02B4E"/>
    <w:rsid w:val="00D044E9"/>
    <w:rsid w:val="00D12CB0"/>
    <w:rsid w:val="00D170BB"/>
    <w:rsid w:val="00D24B3C"/>
    <w:rsid w:val="00D33C42"/>
    <w:rsid w:val="00D36817"/>
    <w:rsid w:val="00D43F01"/>
    <w:rsid w:val="00D5666C"/>
    <w:rsid w:val="00D57D08"/>
    <w:rsid w:val="00D666BC"/>
    <w:rsid w:val="00D709C3"/>
    <w:rsid w:val="00D81264"/>
    <w:rsid w:val="00D83542"/>
    <w:rsid w:val="00D92F45"/>
    <w:rsid w:val="00D94637"/>
    <w:rsid w:val="00D96EFC"/>
    <w:rsid w:val="00D9725C"/>
    <w:rsid w:val="00DA3092"/>
    <w:rsid w:val="00DA7006"/>
    <w:rsid w:val="00DC05DC"/>
    <w:rsid w:val="00DC6332"/>
    <w:rsid w:val="00DC6427"/>
    <w:rsid w:val="00DC7760"/>
    <w:rsid w:val="00DD66A1"/>
    <w:rsid w:val="00DE196D"/>
    <w:rsid w:val="00DE2543"/>
    <w:rsid w:val="00DE67BD"/>
    <w:rsid w:val="00DF105B"/>
    <w:rsid w:val="00DF18F5"/>
    <w:rsid w:val="00DF4046"/>
    <w:rsid w:val="00DF6B49"/>
    <w:rsid w:val="00DF6B5D"/>
    <w:rsid w:val="00E007A4"/>
    <w:rsid w:val="00E0220B"/>
    <w:rsid w:val="00E03248"/>
    <w:rsid w:val="00E064EE"/>
    <w:rsid w:val="00E067C5"/>
    <w:rsid w:val="00E07E1B"/>
    <w:rsid w:val="00E11301"/>
    <w:rsid w:val="00E265BF"/>
    <w:rsid w:val="00E30875"/>
    <w:rsid w:val="00E31580"/>
    <w:rsid w:val="00E33092"/>
    <w:rsid w:val="00E378D8"/>
    <w:rsid w:val="00E42A39"/>
    <w:rsid w:val="00E43A12"/>
    <w:rsid w:val="00E47648"/>
    <w:rsid w:val="00E518DF"/>
    <w:rsid w:val="00E6204B"/>
    <w:rsid w:val="00E67C67"/>
    <w:rsid w:val="00E756FC"/>
    <w:rsid w:val="00E77476"/>
    <w:rsid w:val="00E800ED"/>
    <w:rsid w:val="00E8228B"/>
    <w:rsid w:val="00E8464F"/>
    <w:rsid w:val="00E928F3"/>
    <w:rsid w:val="00E93BD2"/>
    <w:rsid w:val="00E9405F"/>
    <w:rsid w:val="00E94612"/>
    <w:rsid w:val="00EB2337"/>
    <w:rsid w:val="00EB610A"/>
    <w:rsid w:val="00EB7CFA"/>
    <w:rsid w:val="00EC34F3"/>
    <w:rsid w:val="00ED157E"/>
    <w:rsid w:val="00EE0CE5"/>
    <w:rsid w:val="00EE5706"/>
    <w:rsid w:val="00EF319B"/>
    <w:rsid w:val="00EF373D"/>
    <w:rsid w:val="00EF4109"/>
    <w:rsid w:val="00F048DB"/>
    <w:rsid w:val="00F11595"/>
    <w:rsid w:val="00F1374C"/>
    <w:rsid w:val="00F13BC9"/>
    <w:rsid w:val="00F21190"/>
    <w:rsid w:val="00F357B2"/>
    <w:rsid w:val="00F36556"/>
    <w:rsid w:val="00F431D5"/>
    <w:rsid w:val="00F44444"/>
    <w:rsid w:val="00F5626E"/>
    <w:rsid w:val="00F705DF"/>
    <w:rsid w:val="00F70622"/>
    <w:rsid w:val="00F75CE8"/>
    <w:rsid w:val="00F80891"/>
    <w:rsid w:val="00F834C4"/>
    <w:rsid w:val="00F84855"/>
    <w:rsid w:val="00F85624"/>
    <w:rsid w:val="00F86209"/>
    <w:rsid w:val="00F87C05"/>
    <w:rsid w:val="00F93191"/>
    <w:rsid w:val="00F93A17"/>
    <w:rsid w:val="00FA1096"/>
    <w:rsid w:val="00FA20F9"/>
    <w:rsid w:val="00FA2AF6"/>
    <w:rsid w:val="00FA6C5A"/>
    <w:rsid w:val="00FB073D"/>
    <w:rsid w:val="00FB4EA0"/>
    <w:rsid w:val="00FB771F"/>
    <w:rsid w:val="00FC5386"/>
    <w:rsid w:val="00FD18AD"/>
    <w:rsid w:val="00FD5D07"/>
    <w:rsid w:val="00FF6B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88D1736"/>
  <w15:docId w15:val="{3ADD3C9B-1DFD-4CA6-BAEE-9260D786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rsid w:val="006C36CD"/>
  </w:style>
  <w:style w:type="paragraph" w:styleId="TOC2">
    <w:name w:val="toc 2"/>
    <w:basedOn w:val="TOC1"/>
    <w:semiHidden/>
    <w:rsid w:val="006C36CD"/>
    <w:pPr>
      <w:spacing w:before="160"/>
    </w:pPr>
  </w:style>
  <w:style w:type="paragraph" w:styleId="TOC1">
    <w:name w:val="toc 1"/>
    <w:basedOn w:val="Normal"/>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6C36CD"/>
    <w:rPr>
      <w:position w:val="6"/>
      <w:sz w:val="18"/>
    </w:rPr>
  </w:style>
  <w:style w:type="paragraph" w:styleId="FootnoteText">
    <w:name w:val="footnote text"/>
    <w:aliases w:val="ALTS FOOTNOTE,Char1,DN,DNV,DNV-FT,Footnote Text Char Char1,Footnote Text Char Char1 Char1 Char Char,Footnote Text Char1,Footnote Text Char1 Char1 Char1 Char,Footnote Text Char1 Char1 Char1 Char Char Char1,Footnote Text Char4 Char Char,fn"/>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LTS FOOTNOTE Char,Char1 Char,DN Char,DNV Char,DNV-FT Char,Footnote Text Char Char1 Char,Footnote Text Char Char1 Char1 Char Char Char,Footnote Text Char1 Char,Footnote Text Char1 Char1 Char1 Char Char,fn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numbering" w:customStyle="1" w:styleId="NoList1">
    <w:name w:val="No List1"/>
    <w:next w:val="NoList"/>
    <w:uiPriority w:val="99"/>
    <w:semiHidden/>
    <w:unhideWhenUsed/>
    <w:rsid w:val="00AD0138"/>
  </w:style>
  <w:style w:type="character" w:customStyle="1" w:styleId="HeaderChar">
    <w:name w:val="Header Char"/>
    <w:basedOn w:val="DefaultParagraphFont"/>
    <w:link w:val="Header"/>
    <w:uiPriority w:val="99"/>
    <w:rsid w:val="00AD0138"/>
    <w:rPr>
      <w:rFonts w:ascii="Calibri" w:hAnsi="Calibri"/>
      <w:sz w:val="18"/>
      <w:lang w:val="fr-FR" w:eastAsia="en-US"/>
    </w:rPr>
  </w:style>
  <w:style w:type="paragraph" w:styleId="BalloonText">
    <w:name w:val="Balloon Text"/>
    <w:basedOn w:val="Normal"/>
    <w:link w:val="BalloonTextChar"/>
    <w:uiPriority w:val="99"/>
    <w:semiHidden/>
    <w:unhideWhenUsed/>
    <w:rsid w:val="00AD0138"/>
    <w:pPr>
      <w:tabs>
        <w:tab w:val="clear" w:pos="794"/>
        <w:tab w:val="clear" w:pos="1191"/>
        <w:tab w:val="clear" w:pos="1588"/>
        <w:tab w:val="clear" w:pos="1985"/>
      </w:tabs>
      <w:overflowPunct/>
      <w:autoSpaceDE/>
      <w:autoSpaceDN/>
      <w:adjustRightInd/>
      <w:spacing w:before="0"/>
      <w:textAlignment w:val="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D0138"/>
    <w:rPr>
      <w:rFonts w:ascii="Segoe UI" w:eastAsia="Calibr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AD0138"/>
    <w:rPr>
      <w:color w:val="605E5C"/>
      <w:shd w:val="clear" w:color="auto" w:fill="E1DFDD"/>
    </w:rPr>
  </w:style>
  <w:style w:type="table" w:customStyle="1" w:styleId="GridTable1Light-Accent11">
    <w:name w:val="Grid Table 1 Light - Accent 11"/>
    <w:basedOn w:val="TableNormal"/>
    <w:next w:val="GridTable1Light-Accent1"/>
    <w:uiPriority w:val="46"/>
    <w:rsid w:val="00AD0138"/>
    <w:rPr>
      <w:rFonts w:ascii="Calibri" w:eastAsia="Calibri" w:hAnsi="Calibri" w:cs="Arial"/>
      <w:sz w:val="22"/>
      <w:szCs w:val="22"/>
      <w:lang w:val="en-GB"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ps">
    <w:name w:val="hps"/>
    <w:basedOn w:val="DefaultParagraphFont"/>
    <w:rsid w:val="00AD0138"/>
  </w:style>
  <w:style w:type="character" w:customStyle="1" w:styleId="DateChar">
    <w:name w:val="Date Char"/>
    <w:basedOn w:val="DefaultParagraphFont"/>
    <w:link w:val="Date"/>
    <w:uiPriority w:val="99"/>
    <w:rsid w:val="00AD0138"/>
    <w:rPr>
      <w:rFonts w:ascii="Times New Roman" w:eastAsia="Times New Roman" w:hAnsi="Times New Roman"/>
      <w:sz w:val="24"/>
    </w:rPr>
  </w:style>
  <w:style w:type="paragraph" w:styleId="Date">
    <w:name w:val="Date"/>
    <w:basedOn w:val="Normal"/>
    <w:next w:val="Normal"/>
    <w:link w:val="DateChar"/>
    <w:uiPriority w:val="99"/>
    <w:unhideWhenUsed/>
    <w:rsid w:val="00AD0138"/>
    <w:rPr>
      <w:rFonts w:ascii="Times New Roman" w:eastAsia="Times New Roman" w:hAnsi="Times New Roman"/>
      <w:lang w:val="en-US" w:eastAsia="zh-CN"/>
    </w:rPr>
  </w:style>
  <w:style w:type="character" w:customStyle="1" w:styleId="DateChar1">
    <w:name w:val="Date Char1"/>
    <w:basedOn w:val="DefaultParagraphFont"/>
    <w:rsid w:val="00AD0138"/>
    <w:rPr>
      <w:rFonts w:ascii="Calibri" w:hAnsi="Calibri"/>
      <w:sz w:val="24"/>
      <w:lang w:val="en-GB" w:eastAsia="en-US"/>
    </w:rPr>
  </w:style>
  <w:style w:type="character" w:customStyle="1" w:styleId="PlainTextChar">
    <w:name w:val="Plain Text Char"/>
    <w:basedOn w:val="DefaultParagraphFont"/>
    <w:link w:val="PlainText"/>
    <w:uiPriority w:val="99"/>
    <w:semiHidden/>
    <w:rsid w:val="00AD0138"/>
    <w:rPr>
      <w:rFonts w:ascii="Calibri" w:eastAsia="DengXian" w:hAnsi="Calibri" w:cs="Consolas"/>
      <w:szCs w:val="21"/>
      <w:lang w:val="en-US" w:eastAsia="zh-CN"/>
    </w:rPr>
  </w:style>
  <w:style w:type="paragraph" w:customStyle="1" w:styleId="PlainText1">
    <w:name w:val="Plain Text1"/>
    <w:basedOn w:val="Normal"/>
    <w:next w:val="PlainText"/>
    <w:uiPriority w:val="99"/>
    <w:semiHidden/>
    <w:unhideWhenUsed/>
    <w:rsid w:val="00AD0138"/>
    <w:pPr>
      <w:tabs>
        <w:tab w:val="clear" w:pos="794"/>
        <w:tab w:val="clear" w:pos="1191"/>
        <w:tab w:val="clear" w:pos="1588"/>
        <w:tab w:val="clear" w:pos="1985"/>
      </w:tabs>
      <w:overflowPunct/>
      <w:autoSpaceDE/>
      <w:autoSpaceDN/>
      <w:adjustRightInd/>
      <w:spacing w:before="0"/>
      <w:textAlignment w:val="auto"/>
    </w:pPr>
    <w:rPr>
      <w:rFonts w:eastAsia="DengXian" w:cs="Consolas"/>
      <w:sz w:val="22"/>
      <w:szCs w:val="21"/>
      <w:lang w:val="en-US" w:eastAsia="zh-CN"/>
    </w:rPr>
  </w:style>
  <w:style w:type="character" w:customStyle="1" w:styleId="CommentTextChar">
    <w:name w:val="Comment Text Char"/>
    <w:basedOn w:val="DefaultParagraphFont"/>
    <w:link w:val="CommentText"/>
    <w:uiPriority w:val="99"/>
    <w:semiHidden/>
    <w:rsid w:val="00AD0138"/>
    <w:rPr>
      <w:rFonts w:ascii="Times New Roman" w:eastAsia="Times New Roman" w:hAnsi="Times New Roman"/>
    </w:rPr>
  </w:style>
  <w:style w:type="paragraph" w:styleId="CommentText">
    <w:name w:val="annotation text"/>
    <w:basedOn w:val="Normal"/>
    <w:link w:val="CommentTextChar"/>
    <w:uiPriority w:val="99"/>
    <w:semiHidden/>
    <w:unhideWhenUsed/>
    <w:rsid w:val="00AD0138"/>
    <w:rPr>
      <w:rFonts w:ascii="Times New Roman" w:eastAsia="Times New Roman" w:hAnsi="Times New Roman"/>
      <w:sz w:val="20"/>
      <w:lang w:val="en-US" w:eastAsia="zh-CN"/>
    </w:rPr>
  </w:style>
  <w:style w:type="character" w:customStyle="1" w:styleId="CommentTextChar1">
    <w:name w:val="Comment Text Char1"/>
    <w:basedOn w:val="DefaultParagraphFont"/>
    <w:semiHidden/>
    <w:rsid w:val="00AD0138"/>
    <w:rPr>
      <w:rFonts w:ascii="Calibri" w:hAnsi="Calibri"/>
      <w:lang w:val="en-GB" w:eastAsia="en-US"/>
    </w:rPr>
  </w:style>
  <w:style w:type="character" w:customStyle="1" w:styleId="CommentSubjectChar">
    <w:name w:val="Comment Subject Char"/>
    <w:basedOn w:val="CommentTextChar"/>
    <w:link w:val="CommentSubject"/>
    <w:uiPriority w:val="99"/>
    <w:semiHidden/>
    <w:rsid w:val="00AD013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AD0138"/>
    <w:rPr>
      <w:b/>
      <w:bCs/>
    </w:rPr>
  </w:style>
  <w:style w:type="character" w:customStyle="1" w:styleId="CommentSubjectChar1">
    <w:name w:val="Comment Subject Char1"/>
    <w:basedOn w:val="CommentTextChar1"/>
    <w:semiHidden/>
    <w:rsid w:val="00AD0138"/>
    <w:rPr>
      <w:rFonts w:ascii="Calibri" w:hAnsi="Calibri"/>
      <w:b/>
      <w:bCs/>
      <w:lang w:val="en-GB" w:eastAsia="en-US"/>
    </w:rPr>
  </w:style>
  <w:style w:type="table" w:customStyle="1" w:styleId="TableGrid1">
    <w:name w:val="Table Grid1"/>
    <w:basedOn w:val="TableNormal"/>
    <w:next w:val="TableGrid"/>
    <w:uiPriority w:val="39"/>
    <w:rsid w:val="00AD013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D013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semiHidden/>
    <w:unhideWhenUsed/>
    <w:rsid w:val="00AD0138"/>
    <w:pPr>
      <w:spacing w:before="0"/>
    </w:pPr>
    <w:rPr>
      <w:rFonts w:eastAsia="DengXian" w:cs="Consolas"/>
      <w:sz w:val="20"/>
      <w:szCs w:val="21"/>
      <w:lang w:val="en-US" w:eastAsia="zh-CN"/>
    </w:rPr>
  </w:style>
  <w:style w:type="character" w:customStyle="1" w:styleId="PlainTextChar1">
    <w:name w:val="Plain Text Char1"/>
    <w:basedOn w:val="DefaultParagraphFont"/>
    <w:semiHidden/>
    <w:rsid w:val="00AD0138"/>
    <w:rPr>
      <w:rFonts w:ascii="Consolas" w:hAnsi="Consolas" w:cs="Consolas"/>
      <w:sz w:val="21"/>
      <w:szCs w:val="21"/>
      <w:lang w:val="en-GB" w:eastAsia="en-US"/>
    </w:rPr>
  </w:style>
  <w:style w:type="numbering" w:customStyle="1" w:styleId="NoList2">
    <w:name w:val="No List2"/>
    <w:next w:val="NoList"/>
    <w:uiPriority w:val="99"/>
    <w:semiHidden/>
    <w:unhideWhenUsed/>
    <w:rsid w:val="001A561B"/>
  </w:style>
  <w:style w:type="table" w:customStyle="1" w:styleId="GridTable1Light-Accent12">
    <w:name w:val="Grid Table 1 Light - Accent 12"/>
    <w:basedOn w:val="TableNormal"/>
    <w:next w:val="GridTable1Light-Accent1"/>
    <w:uiPriority w:val="46"/>
    <w:rsid w:val="001A561B"/>
    <w:rPr>
      <w:rFonts w:ascii="Calibri" w:eastAsia="Calibri" w:hAnsi="Calibri" w:cs="Arial"/>
      <w:sz w:val="22"/>
      <w:szCs w:val="22"/>
      <w:lang w:val="en-GB"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1A561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03321"/>
    <w:rPr>
      <w:sz w:val="16"/>
      <w:szCs w:val="16"/>
    </w:rPr>
  </w:style>
  <w:style w:type="paragraph" w:styleId="Revision">
    <w:name w:val="Revision"/>
    <w:hidden/>
    <w:uiPriority w:val="99"/>
    <w:semiHidden/>
    <w:rsid w:val="00C03321"/>
    <w:rPr>
      <w:rFonts w:ascii="Calibri" w:hAnsi="Calibri"/>
      <w:sz w:val="24"/>
      <w:lang w:val="en-GB" w:eastAsia="en-US"/>
    </w:rPr>
  </w:style>
  <w:style w:type="table" w:customStyle="1" w:styleId="TableGrid11">
    <w:name w:val="Table Grid11"/>
    <w:basedOn w:val="TableNormal"/>
    <w:next w:val="TableGrid"/>
    <w:uiPriority w:val="39"/>
    <w:rsid w:val="00436F1F"/>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729450954">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POOL%20C%20-%20ITU\PC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F828C-E568-4916-AF4E-4B480E6700F3}">
  <ds:schemaRefs>
    <ds:schemaRef ds:uri="http://schemas.microsoft.com/sharepoint/v3/contenttype/forms"/>
  </ds:schemaRefs>
</ds:datastoreItem>
</file>

<file path=customXml/itemProps2.xml><?xml version="1.0" encoding="utf-8"?>
<ds:datastoreItem xmlns:ds="http://schemas.openxmlformats.org/officeDocument/2006/customXml" ds:itemID="{8A309CD6-2FD6-46AC-855E-88D0A896A7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C98888-1DBA-492C-A2C4-4AB9C52DEA26}">
  <ds:schemaRefs>
    <ds:schemaRef ds:uri="http://schemas.openxmlformats.org/officeDocument/2006/bibliography"/>
  </ds:schemaRefs>
</ds:datastoreItem>
</file>

<file path=customXml/itemProps4.xml><?xml version="1.0" encoding="utf-8"?>
<ds:datastoreItem xmlns:ds="http://schemas.openxmlformats.org/officeDocument/2006/customXml" ds:itemID="{C6501467-0E96-4A45-8072-45EB62E67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PC_EG-ITR.dotx</Template>
  <TotalTime>64</TotalTime>
  <Pages>5</Pages>
  <Words>2981</Words>
  <Characters>543</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Report of the second meeting of the Expert Group on the ITRs</vt:lpstr>
    </vt:vector>
  </TitlesOfParts>
  <Manager>General Secretariat - Pool</Manager>
  <Company>International Telecommunication Union (ITU)</Company>
  <LinksUpToDate>false</LinksUpToDate>
  <CharactersWithSpaces>3517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second meeting of the Expert Group on the ITRs</dc:title>
  <dc:subject>Council 2020</dc:subject>
  <dc:creator>LI, Ziqian</dc:creator>
  <cp:keywords>C2020, C20</cp:keywords>
  <dc:description/>
  <cp:lastModifiedBy>Kong, Hongli</cp:lastModifiedBy>
  <cp:revision>5</cp:revision>
  <cp:lastPrinted>2015-02-24T13:23:00Z</cp:lastPrinted>
  <dcterms:created xsi:type="dcterms:W3CDTF">2020-09-07T09:44:00Z</dcterms:created>
  <dcterms:modified xsi:type="dcterms:W3CDTF">2020-09-07T10:47:00Z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ContentTypeId">
    <vt:lpwstr>0x010100B638F4433E584047A097BE66491F0F20</vt:lpwstr>
  </property>
</Properties>
</file>