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D66DE" w14:paraId="5C140FCA" w14:textId="77777777">
        <w:trPr>
          <w:cantSplit/>
        </w:trPr>
        <w:tc>
          <w:tcPr>
            <w:tcW w:w="6912" w:type="dxa"/>
          </w:tcPr>
          <w:p w14:paraId="67E89F19" w14:textId="77777777" w:rsidR="00520F36" w:rsidRPr="002D66DE" w:rsidRDefault="00D837AA" w:rsidP="00C176DF">
            <w:pPr>
              <w:spacing w:before="240"/>
            </w:pPr>
            <w:r w:rsidRPr="002D66DE">
              <w:rPr>
                <w:rFonts w:eastAsia="Calibri" w:cs="Calibri"/>
                <w:b/>
                <w:bCs/>
                <w:color w:val="000000"/>
                <w:position w:val="6"/>
                <w:sz w:val="30"/>
                <w:szCs w:val="30"/>
              </w:rPr>
              <w:t>Groupe d'experts sur le Règlement des télécommunications internationales (EG</w:t>
            </w:r>
            <w:r w:rsidRPr="002D66DE">
              <w:rPr>
                <w:rFonts w:eastAsia="Calibri" w:cs="Calibri"/>
                <w:b/>
                <w:bCs/>
                <w:color w:val="000000"/>
                <w:position w:val="6"/>
                <w:sz w:val="30"/>
                <w:szCs w:val="30"/>
              </w:rPr>
              <w:noBreakHyphen/>
              <w:t>RTI)</w:t>
            </w:r>
          </w:p>
        </w:tc>
        <w:tc>
          <w:tcPr>
            <w:tcW w:w="3261" w:type="dxa"/>
          </w:tcPr>
          <w:p w14:paraId="622C6463" w14:textId="77777777" w:rsidR="00520F36" w:rsidRPr="002D66DE" w:rsidRDefault="00B84194" w:rsidP="00C176DF">
            <w:pPr>
              <w:spacing w:before="0"/>
            </w:pPr>
            <w:bookmarkStart w:id="0" w:name="ditulogo"/>
            <w:bookmarkEnd w:id="0"/>
            <w:r w:rsidRPr="002D66DE">
              <w:rPr>
                <w:noProof/>
              </w:rPr>
              <w:drawing>
                <wp:inline distT="0" distB="0" distL="0" distR="0" wp14:anchorId="16BD469E" wp14:editId="764ADAB6">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2D66DE" w14:paraId="20065F12" w14:textId="77777777" w:rsidTr="009C5218">
        <w:trPr>
          <w:cantSplit/>
          <w:trHeight w:val="20"/>
        </w:trPr>
        <w:tc>
          <w:tcPr>
            <w:tcW w:w="6912" w:type="dxa"/>
            <w:tcBorders>
              <w:bottom w:val="single" w:sz="12" w:space="0" w:color="auto"/>
            </w:tcBorders>
            <w:vAlign w:val="center"/>
          </w:tcPr>
          <w:p w14:paraId="08AEB2D2" w14:textId="77777777" w:rsidR="00520F36" w:rsidRPr="002D66DE" w:rsidRDefault="00D06D06" w:rsidP="00C176DF">
            <w:pPr>
              <w:spacing w:before="0"/>
              <w:rPr>
                <w:b/>
                <w:bCs/>
                <w:szCs w:val="24"/>
              </w:rPr>
            </w:pPr>
            <w:r w:rsidRPr="002D66DE">
              <w:rPr>
                <w:b/>
                <w:bCs/>
                <w:szCs w:val="24"/>
              </w:rPr>
              <w:t xml:space="preserve">Deuxième </w:t>
            </w:r>
            <w:r w:rsidR="00D837AA" w:rsidRPr="002D66DE">
              <w:rPr>
                <w:b/>
                <w:bCs/>
                <w:szCs w:val="24"/>
              </w:rPr>
              <w:t>réunion –</w:t>
            </w:r>
            <w:r w:rsidR="00F06D00" w:rsidRPr="002D66DE">
              <w:rPr>
                <w:b/>
                <w:bCs/>
                <w:szCs w:val="24"/>
              </w:rPr>
              <w:t xml:space="preserve"> </w:t>
            </w:r>
            <w:r w:rsidR="009B3BDE" w:rsidRPr="002D66DE">
              <w:rPr>
                <w:b/>
                <w:bCs/>
                <w:szCs w:val="24"/>
              </w:rPr>
              <w:t>Genève</w:t>
            </w:r>
            <w:r w:rsidR="00D837AA" w:rsidRPr="002D66DE">
              <w:rPr>
                <w:b/>
                <w:bCs/>
                <w:szCs w:val="24"/>
              </w:rPr>
              <w:t xml:space="preserve">, </w:t>
            </w:r>
            <w:r w:rsidRPr="002D66DE">
              <w:rPr>
                <w:b/>
                <w:bCs/>
                <w:szCs w:val="24"/>
              </w:rPr>
              <w:t>12</w:t>
            </w:r>
            <w:r w:rsidR="00D837AA" w:rsidRPr="002D66DE">
              <w:rPr>
                <w:b/>
                <w:bCs/>
                <w:szCs w:val="24"/>
              </w:rPr>
              <w:t>-</w:t>
            </w:r>
            <w:r w:rsidRPr="002D66DE">
              <w:rPr>
                <w:b/>
                <w:bCs/>
                <w:szCs w:val="24"/>
              </w:rPr>
              <w:t>13</w:t>
            </w:r>
            <w:r w:rsidR="00D837AA" w:rsidRPr="002D66DE">
              <w:rPr>
                <w:b/>
                <w:bCs/>
                <w:szCs w:val="24"/>
              </w:rPr>
              <w:t xml:space="preserve"> </w:t>
            </w:r>
            <w:r w:rsidRPr="002D66DE">
              <w:rPr>
                <w:b/>
                <w:bCs/>
                <w:szCs w:val="24"/>
              </w:rPr>
              <w:t>février</w:t>
            </w:r>
            <w:r w:rsidR="00D837AA" w:rsidRPr="002D66DE">
              <w:rPr>
                <w:b/>
                <w:bCs/>
                <w:szCs w:val="24"/>
              </w:rPr>
              <w:t xml:space="preserve"> 20</w:t>
            </w:r>
            <w:r w:rsidRPr="002D66DE">
              <w:rPr>
                <w:b/>
                <w:bCs/>
                <w:szCs w:val="24"/>
              </w:rPr>
              <w:t>20</w:t>
            </w:r>
          </w:p>
        </w:tc>
        <w:tc>
          <w:tcPr>
            <w:tcW w:w="3261" w:type="dxa"/>
            <w:tcBorders>
              <w:bottom w:val="single" w:sz="12" w:space="0" w:color="auto"/>
            </w:tcBorders>
          </w:tcPr>
          <w:p w14:paraId="310ECE20" w14:textId="77777777" w:rsidR="00520F36" w:rsidRPr="002D66DE" w:rsidRDefault="00520F36" w:rsidP="00C176DF">
            <w:pPr>
              <w:spacing w:before="0"/>
              <w:rPr>
                <w:b/>
                <w:bCs/>
              </w:rPr>
            </w:pPr>
          </w:p>
        </w:tc>
      </w:tr>
      <w:tr w:rsidR="00520F36" w:rsidRPr="002D66DE" w14:paraId="7BDCE013" w14:textId="77777777">
        <w:trPr>
          <w:cantSplit/>
          <w:trHeight w:val="20"/>
        </w:trPr>
        <w:tc>
          <w:tcPr>
            <w:tcW w:w="6912" w:type="dxa"/>
            <w:tcBorders>
              <w:top w:val="single" w:sz="12" w:space="0" w:color="auto"/>
            </w:tcBorders>
          </w:tcPr>
          <w:p w14:paraId="2F79E6EB" w14:textId="77777777" w:rsidR="00520F36" w:rsidRPr="002D66DE" w:rsidRDefault="00520F36" w:rsidP="00C176DF">
            <w:pPr>
              <w:spacing w:before="0"/>
              <w:rPr>
                <w:smallCaps/>
                <w:sz w:val="22"/>
              </w:rPr>
            </w:pPr>
          </w:p>
        </w:tc>
        <w:tc>
          <w:tcPr>
            <w:tcW w:w="3261" w:type="dxa"/>
            <w:tcBorders>
              <w:top w:val="single" w:sz="12" w:space="0" w:color="auto"/>
            </w:tcBorders>
          </w:tcPr>
          <w:p w14:paraId="729C93BE" w14:textId="77777777" w:rsidR="00520F36" w:rsidRPr="002D66DE" w:rsidRDefault="00520F36" w:rsidP="00C176DF">
            <w:pPr>
              <w:spacing w:before="0"/>
              <w:rPr>
                <w:b/>
                <w:bCs/>
              </w:rPr>
            </w:pPr>
          </w:p>
        </w:tc>
      </w:tr>
      <w:tr w:rsidR="00520F36" w:rsidRPr="002D66DE" w14:paraId="40299617" w14:textId="77777777">
        <w:trPr>
          <w:cantSplit/>
          <w:trHeight w:val="20"/>
        </w:trPr>
        <w:tc>
          <w:tcPr>
            <w:tcW w:w="6912" w:type="dxa"/>
            <w:vMerge w:val="restart"/>
          </w:tcPr>
          <w:p w14:paraId="638D2313" w14:textId="77777777" w:rsidR="00520F36" w:rsidRPr="002D66DE" w:rsidRDefault="00520F36" w:rsidP="00C176DF">
            <w:pPr>
              <w:spacing w:before="0"/>
              <w:rPr>
                <w:rFonts w:cs="Times"/>
                <w:b/>
                <w:bCs/>
                <w:szCs w:val="24"/>
              </w:rPr>
            </w:pPr>
            <w:bookmarkStart w:id="1" w:name="dnum" w:colFirst="1" w:colLast="1"/>
            <w:bookmarkStart w:id="2" w:name="dmeeting" w:colFirst="0" w:colLast="0"/>
          </w:p>
        </w:tc>
        <w:tc>
          <w:tcPr>
            <w:tcW w:w="3261" w:type="dxa"/>
          </w:tcPr>
          <w:p w14:paraId="38877894" w14:textId="345AFC6D" w:rsidR="00520F36" w:rsidRPr="002D66DE" w:rsidRDefault="00520F36" w:rsidP="00C176DF">
            <w:pPr>
              <w:spacing w:before="0"/>
              <w:rPr>
                <w:b/>
                <w:bCs/>
              </w:rPr>
            </w:pPr>
            <w:r w:rsidRPr="002D66DE">
              <w:rPr>
                <w:b/>
                <w:bCs/>
              </w:rPr>
              <w:t xml:space="preserve">Document </w:t>
            </w:r>
            <w:r w:rsidR="00D837AA" w:rsidRPr="002D66DE">
              <w:rPr>
                <w:b/>
              </w:rPr>
              <w:t>EG-ITRs</w:t>
            </w:r>
            <w:r w:rsidR="00F06D00" w:rsidRPr="002D66DE">
              <w:rPr>
                <w:b/>
              </w:rPr>
              <w:t>-</w:t>
            </w:r>
            <w:r w:rsidR="00D06D06" w:rsidRPr="002D66DE">
              <w:rPr>
                <w:b/>
              </w:rPr>
              <w:t>2</w:t>
            </w:r>
            <w:r w:rsidR="00D837AA" w:rsidRPr="002D66DE">
              <w:rPr>
                <w:b/>
              </w:rPr>
              <w:t>/</w:t>
            </w:r>
            <w:r w:rsidR="00797E94" w:rsidRPr="002D66DE">
              <w:rPr>
                <w:b/>
              </w:rPr>
              <w:t>13</w:t>
            </w:r>
            <w:r w:rsidR="00D837AA" w:rsidRPr="002D66DE">
              <w:rPr>
                <w:b/>
              </w:rPr>
              <w:t>-F</w:t>
            </w:r>
          </w:p>
        </w:tc>
      </w:tr>
      <w:tr w:rsidR="00520F36" w:rsidRPr="002D66DE" w14:paraId="4993A7E0" w14:textId="77777777">
        <w:trPr>
          <w:cantSplit/>
          <w:trHeight w:val="20"/>
        </w:trPr>
        <w:tc>
          <w:tcPr>
            <w:tcW w:w="6912" w:type="dxa"/>
            <w:vMerge/>
          </w:tcPr>
          <w:p w14:paraId="166FBF68" w14:textId="77777777" w:rsidR="00520F36" w:rsidRPr="002D66DE" w:rsidRDefault="00520F36" w:rsidP="00C176DF">
            <w:pPr>
              <w:shd w:val="solid" w:color="FFFFFF" w:fill="FFFFFF"/>
              <w:spacing w:before="180"/>
              <w:rPr>
                <w:smallCaps/>
              </w:rPr>
            </w:pPr>
            <w:bookmarkStart w:id="3" w:name="ddate" w:colFirst="1" w:colLast="1"/>
            <w:bookmarkEnd w:id="1"/>
            <w:bookmarkEnd w:id="2"/>
          </w:p>
        </w:tc>
        <w:tc>
          <w:tcPr>
            <w:tcW w:w="3261" w:type="dxa"/>
          </w:tcPr>
          <w:p w14:paraId="580EC475" w14:textId="7FB72A17" w:rsidR="00520F36" w:rsidRPr="002D66DE" w:rsidRDefault="00797E94" w:rsidP="00C176DF">
            <w:pPr>
              <w:spacing w:before="0"/>
              <w:rPr>
                <w:b/>
                <w:bCs/>
              </w:rPr>
            </w:pPr>
            <w:r w:rsidRPr="002D66DE">
              <w:rPr>
                <w:b/>
                <w:bCs/>
              </w:rPr>
              <w:t>21 avril</w:t>
            </w:r>
            <w:r w:rsidR="00520F36" w:rsidRPr="002D66DE">
              <w:rPr>
                <w:b/>
                <w:bCs/>
              </w:rPr>
              <w:t xml:space="preserve"> 20</w:t>
            </w:r>
            <w:r w:rsidR="00D06D06" w:rsidRPr="002D66DE">
              <w:rPr>
                <w:b/>
                <w:bCs/>
              </w:rPr>
              <w:t>20</w:t>
            </w:r>
          </w:p>
        </w:tc>
      </w:tr>
      <w:tr w:rsidR="00520F36" w:rsidRPr="002D66DE" w14:paraId="21CD3AC5" w14:textId="77777777">
        <w:trPr>
          <w:cantSplit/>
          <w:trHeight w:val="20"/>
        </w:trPr>
        <w:tc>
          <w:tcPr>
            <w:tcW w:w="6912" w:type="dxa"/>
            <w:vMerge/>
          </w:tcPr>
          <w:p w14:paraId="409C2161" w14:textId="77777777" w:rsidR="00520F36" w:rsidRPr="002D66DE" w:rsidRDefault="00520F36" w:rsidP="00C176DF">
            <w:pPr>
              <w:shd w:val="solid" w:color="FFFFFF" w:fill="FFFFFF"/>
              <w:spacing w:before="180"/>
              <w:rPr>
                <w:smallCaps/>
              </w:rPr>
            </w:pPr>
            <w:bookmarkStart w:id="4" w:name="dorlang" w:colFirst="1" w:colLast="1"/>
            <w:bookmarkEnd w:id="3"/>
          </w:p>
        </w:tc>
        <w:tc>
          <w:tcPr>
            <w:tcW w:w="3261" w:type="dxa"/>
          </w:tcPr>
          <w:p w14:paraId="40B95A62" w14:textId="77777777" w:rsidR="00520F36" w:rsidRPr="002D66DE" w:rsidRDefault="00520F36" w:rsidP="00C176DF">
            <w:pPr>
              <w:spacing w:before="0"/>
              <w:rPr>
                <w:b/>
                <w:bCs/>
              </w:rPr>
            </w:pPr>
            <w:r w:rsidRPr="002D66DE">
              <w:rPr>
                <w:b/>
                <w:bCs/>
              </w:rPr>
              <w:t>Original: anglais</w:t>
            </w:r>
          </w:p>
        </w:tc>
      </w:tr>
      <w:tr w:rsidR="00797E94" w:rsidRPr="002D66DE" w14:paraId="12AFEC95" w14:textId="77777777" w:rsidTr="00797E94">
        <w:trPr>
          <w:cantSplit/>
          <w:trHeight w:val="1890"/>
        </w:trPr>
        <w:tc>
          <w:tcPr>
            <w:tcW w:w="10173" w:type="dxa"/>
            <w:gridSpan w:val="2"/>
            <w:vAlign w:val="bottom"/>
          </w:tcPr>
          <w:p w14:paraId="595450E3" w14:textId="628A10B7" w:rsidR="00797E94" w:rsidRPr="002D66DE" w:rsidRDefault="00797E94" w:rsidP="00C176DF">
            <w:pPr>
              <w:pStyle w:val="Title1"/>
            </w:pPr>
            <w:bookmarkStart w:id="5" w:name="dsource" w:colFirst="0" w:colLast="0"/>
            <w:bookmarkEnd w:id="4"/>
            <w:r w:rsidRPr="002D66DE">
              <w:t xml:space="preserve">rapport de la </w:t>
            </w:r>
            <w:r w:rsidR="0004701C" w:rsidRPr="002D66DE">
              <w:t>DEUXIèME</w:t>
            </w:r>
            <w:r w:rsidRPr="002D66DE">
              <w:t xml:space="preserve"> réunion du Groupe d'experts </w:t>
            </w:r>
            <w:r w:rsidR="003712D4" w:rsidRPr="002D66DE">
              <w:br/>
            </w:r>
            <w:r w:rsidRPr="002D66DE">
              <w:t xml:space="preserve">sur le règlement des télécommunications </w:t>
            </w:r>
            <w:r w:rsidR="003712D4" w:rsidRPr="002D66DE">
              <w:br/>
            </w:r>
            <w:r w:rsidRPr="002D66DE">
              <w:t>internationales (eg-RTI)</w:t>
            </w:r>
          </w:p>
        </w:tc>
      </w:tr>
    </w:tbl>
    <w:bookmarkEnd w:id="5"/>
    <w:p w14:paraId="4F0BD8BF" w14:textId="77777777" w:rsidR="00797E94" w:rsidRPr="002D66DE" w:rsidRDefault="00797E94" w:rsidP="00C176DF">
      <w:pPr>
        <w:pStyle w:val="Heading1"/>
      </w:pPr>
      <w:r w:rsidRPr="002D66DE">
        <w:t>1</w:t>
      </w:r>
      <w:r w:rsidRPr="002D66DE">
        <w:tab/>
        <w:t>Introduction</w:t>
      </w:r>
    </w:p>
    <w:p w14:paraId="374ACA16" w14:textId="50FE201C" w:rsidR="00797E94" w:rsidRPr="002D66DE" w:rsidRDefault="00797E94" w:rsidP="00C176DF">
      <w:pPr>
        <w:snapToGrid w:val="0"/>
        <w:spacing w:after="120"/>
        <w:rPr>
          <w:rFonts w:asciiTheme="minorHAnsi" w:hAnsiTheme="minorHAnsi" w:cstheme="minorHAnsi"/>
          <w:szCs w:val="24"/>
        </w:rPr>
      </w:pPr>
      <w:r w:rsidRPr="002D66DE">
        <w:rPr>
          <w:b/>
          <w:bCs/>
        </w:rPr>
        <w:t>1.1</w:t>
      </w:r>
      <w:r w:rsidRPr="002D66DE">
        <w:tab/>
      </w:r>
      <w:bookmarkStart w:id="6" w:name="lt_pId014"/>
      <w:r w:rsidR="00D5270A" w:rsidRPr="002D66DE">
        <w:t>Le</w:t>
      </w:r>
      <w:r w:rsidRPr="002D66DE">
        <w:t xml:space="preserve"> Secrétaire général, M. Houlin Zhao, a souhaité la bienvenue aux participants à la </w:t>
      </w:r>
      <w:r w:rsidR="0004701C" w:rsidRPr="002D66DE">
        <w:t>deuxième</w:t>
      </w:r>
      <w:r w:rsidRPr="002D66DE">
        <w:t xml:space="preserve"> réunion du Groupe EG-RTI.</w:t>
      </w:r>
      <w:bookmarkEnd w:id="6"/>
      <w:r w:rsidRPr="002D66DE">
        <w:t xml:space="preserve"> </w:t>
      </w:r>
      <w:r w:rsidR="00D5270A" w:rsidRPr="002D66DE">
        <w:rPr>
          <w:rFonts w:asciiTheme="minorHAnsi" w:hAnsiTheme="minorHAnsi" w:cstheme="minorHAnsi"/>
          <w:szCs w:val="24"/>
        </w:rPr>
        <w:t>Il a</w:t>
      </w:r>
      <w:r w:rsidRPr="002D66DE">
        <w:rPr>
          <w:rFonts w:asciiTheme="minorHAnsi" w:hAnsiTheme="minorHAnsi" w:cstheme="minorHAnsi"/>
          <w:szCs w:val="24"/>
        </w:rPr>
        <w:t xml:space="preserve"> </w:t>
      </w:r>
      <w:r w:rsidR="00006388" w:rsidRPr="002D66DE">
        <w:rPr>
          <w:rFonts w:asciiTheme="minorHAnsi" w:hAnsiTheme="minorHAnsi" w:cstheme="minorHAnsi"/>
          <w:szCs w:val="24"/>
        </w:rPr>
        <w:t>rappelé</w:t>
      </w:r>
      <w:r w:rsidR="00D936DB" w:rsidRPr="002D66DE">
        <w:rPr>
          <w:rFonts w:asciiTheme="minorHAnsi" w:hAnsiTheme="minorHAnsi" w:cstheme="minorHAnsi"/>
          <w:szCs w:val="24"/>
        </w:rPr>
        <w:t xml:space="preserve"> </w:t>
      </w:r>
      <w:r w:rsidR="00F57CFC" w:rsidRPr="002D66DE">
        <w:rPr>
          <w:rFonts w:asciiTheme="minorHAnsi" w:hAnsiTheme="minorHAnsi" w:cstheme="minorHAnsi"/>
          <w:szCs w:val="24"/>
        </w:rPr>
        <w:t xml:space="preserve">les résultats fructueux </w:t>
      </w:r>
      <w:r w:rsidR="00006388" w:rsidRPr="002D66DE">
        <w:rPr>
          <w:rFonts w:asciiTheme="minorHAnsi" w:hAnsiTheme="minorHAnsi" w:cstheme="minorHAnsi"/>
          <w:szCs w:val="24"/>
        </w:rPr>
        <w:t>atteints lors de</w:t>
      </w:r>
      <w:r w:rsidR="00D936DB" w:rsidRPr="002D66DE">
        <w:rPr>
          <w:rFonts w:asciiTheme="minorHAnsi" w:hAnsiTheme="minorHAnsi" w:cstheme="minorHAnsi"/>
          <w:szCs w:val="24"/>
        </w:rPr>
        <w:t xml:space="preserve"> la première réunion du Groupe</w:t>
      </w:r>
      <w:r w:rsidRPr="002D66DE">
        <w:rPr>
          <w:rFonts w:asciiTheme="minorHAnsi" w:hAnsiTheme="minorHAnsi" w:cstheme="minorHAnsi"/>
          <w:szCs w:val="24"/>
        </w:rPr>
        <w:t>,</w:t>
      </w:r>
      <w:r w:rsidR="00D936DB" w:rsidRPr="002D66DE">
        <w:rPr>
          <w:rFonts w:asciiTheme="minorHAnsi" w:hAnsiTheme="minorHAnsi" w:cstheme="minorHAnsi"/>
          <w:szCs w:val="24"/>
        </w:rPr>
        <w:t xml:space="preserve"> et a invité les membres à procéder à l</w:t>
      </w:r>
      <w:r w:rsidR="009F4D21" w:rsidRPr="002D66DE">
        <w:rPr>
          <w:rFonts w:asciiTheme="minorHAnsi" w:hAnsiTheme="minorHAnsi" w:cstheme="minorHAnsi"/>
          <w:szCs w:val="24"/>
        </w:rPr>
        <w:t>'</w:t>
      </w:r>
      <w:r w:rsidR="00D936DB" w:rsidRPr="002D66DE">
        <w:rPr>
          <w:rFonts w:asciiTheme="minorHAnsi" w:hAnsiTheme="minorHAnsi" w:cstheme="minorHAnsi"/>
          <w:szCs w:val="24"/>
        </w:rPr>
        <w:t>examen de chacune des dispositions du RTI</w:t>
      </w:r>
      <w:r w:rsidRPr="002D66DE">
        <w:rPr>
          <w:rFonts w:asciiTheme="minorHAnsi" w:hAnsiTheme="minorHAnsi" w:cstheme="minorHAnsi"/>
          <w:szCs w:val="24"/>
        </w:rPr>
        <w:t>,</w:t>
      </w:r>
      <w:r w:rsidR="00D936DB" w:rsidRPr="002D66DE">
        <w:rPr>
          <w:rFonts w:asciiTheme="minorHAnsi" w:hAnsiTheme="minorHAnsi" w:cstheme="minorHAnsi"/>
          <w:szCs w:val="24"/>
        </w:rPr>
        <w:t xml:space="preserve"> conformément au</w:t>
      </w:r>
      <w:r w:rsidRPr="002D66DE">
        <w:rPr>
          <w:rFonts w:asciiTheme="minorHAnsi" w:hAnsiTheme="minorHAnsi" w:cstheme="minorHAnsi"/>
          <w:szCs w:val="24"/>
        </w:rPr>
        <w:t xml:space="preserve"> </w:t>
      </w:r>
      <w:r w:rsidR="00D936DB" w:rsidRPr="002D66DE">
        <w:rPr>
          <w:rFonts w:asciiTheme="minorHAnsi" w:hAnsiTheme="minorHAnsi" w:cstheme="minorHAnsi"/>
          <w:szCs w:val="24"/>
        </w:rPr>
        <w:t xml:space="preserve">programme de travail </w:t>
      </w:r>
      <w:r w:rsidR="003A7CEB" w:rsidRPr="002D66DE">
        <w:rPr>
          <w:rFonts w:asciiTheme="minorHAnsi" w:hAnsiTheme="minorHAnsi" w:cstheme="minorHAnsi"/>
          <w:szCs w:val="24"/>
        </w:rPr>
        <w:t>approuvé</w:t>
      </w:r>
      <w:r w:rsidRPr="002D66DE">
        <w:rPr>
          <w:rFonts w:asciiTheme="minorHAnsi" w:hAnsiTheme="minorHAnsi" w:cstheme="minorHAnsi"/>
          <w:szCs w:val="24"/>
        </w:rPr>
        <w:t xml:space="preserve">, </w:t>
      </w:r>
      <w:r w:rsidR="00D936DB" w:rsidRPr="002D66DE">
        <w:rPr>
          <w:rFonts w:asciiTheme="minorHAnsi" w:hAnsiTheme="minorHAnsi" w:cstheme="minorHAnsi"/>
          <w:szCs w:val="24"/>
        </w:rPr>
        <w:t>dans un esprit de</w:t>
      </w:r>
      <w:r w:rsidRPr="002D66DE">
        <w:rPr>
          <w:rFonts w:asciiTheme="minorHAnsi" w:hAnsiTheme="minorHAnsi" w:cstheme="minorHAnsi"/>
          <w:szCs w:val="24"/>
        </w:rPr>
        <w:t xml:space="preserve"> consensus </w:t>
      </w:r>
      <w:r w:rsidR="00D936DB" w:rsidRPr="002D66DE">
        <w:rPr>
          <w:rFonts w:asciiTheme="minorHAnsi" w:hAnsiTheme="minorHAnsi" w:cstheme="minorHAnsi"/>
          <w:szCs w:val="24"/>
        </w:rPr>
        <w:t xml:space="preserve">et de </w:t>
      </w:r>
      <w:r w:rsidRPr="002D66DE">
        <w:rPr>
          <w:rFonts w:asciiTheme="minorHAnsi" w:hAnsiTheme="minorHAnsi" w:cstheme="minorHAnsi"/>
          <w:szCs w:val="24"/>
        </w:rPr>
        <w:t>collaboration.</w:t>
      </w:r>
    </w:p>
    <w:p w14:paraId="4B379192" w14:textId="7C12FE38" w:rsidR="00797E94" w:rsidRPr="002D66DE" w:rsidRDefault="00797E94" w:rsidP="00C176DF">
      <w:pPr>
        <w:snapToGrid w:val="0"/>
        <w:spacing w:after="120"/>
        <w:jc w:val="both"/>
        <w:rPr>
          <w:rFonts w:asciiTheme="minorHAnsi" w:hAnsiTheme="minorHAnsi" w:cstheme="minorHAnsi"/>
          <w:szCs w:val="24"/>
        </w:rPr>
      </w:pPr>
      <w:r w:rsidRPr="002D66DE">
        <w:rPr>
          <w:rFonts w:asciiTheme="minorHAnsi" w:hAnsiTheme="minorHAnsi" w:cstheme="minorHAnsi"/>
          <w:b/>
          <w:bCs/>
          <w:szCs w:val="24"/>
        </w:rPr>
        <w:t>1.2</w:t>
      </w:r>
      <w:r w:rsidRPr="002D66DE">
        <w:rPr>
          <w:rFonts w:asciiTheme="minorHAnsi" w:hAnsiTheme="minorHAnsi" w:cstheme="minorHAnsi"/>
          <w:szCs w:val="24"/>
        </w:rPr>
        <w:tab/>
      </w:r>
      <w:r w:rsidR="00C246EF" w:rsidRPr="002D66DE">
        <w:rPr>
          <w:rFonts w:asciiTheme="minorHAnsi" w:hAnsiTheme="minorHAnsi" w:cstheme="minorHAnsi"/>
          <w:szCs w:val="24"/>
        </w:rPr>
        <w:t>L</w:t>
      </w:r>
      <w:r w:rsidRPr="002D66DE">
        <w:rPr>
          <w:rFonts w:asciiTheme="minorHAnsi" w:hAnsiTheme="minorHAnsi" w:cstheme="minorHAnsi"/>
          <w:szCs w:val="24"/>
        </w:rPr>
        <w:t xml:space="preserve">e </w:t>
      </w:r>
      <w:r w:rsidR="00C246EF" w:rsidRPr="002D66DE">
        <w:rPr>
          <w:rFonts w:asciiTheme="minorHAnsi" w:hAnsiTheme="minorHAnsi" w:cstheme="minorHAnsi"/>
          <w:szCs w:val="24"/>
        </w:rPr>
        <w:t>Vice-Secrétaire général</w:t>
      </w:r>
      <w:r w:rsidRPr="002D66DE">
        <w:rPr>
          <w:rFonts w:asciiTheme="minorHAnsi" w:hAnsiTheme="minorHAnsi" w:cstheme="minorHAnsi"/>
          <w:szCs w:val="24"/>
        </w:rPr>
        <w:t xml:space="preserve">, M. Malcolm Johnson, </w:t>
      </w:r>
      <w:r w:rsidR="00A96E9F" w:rsidRPr="002D66DE">
        <w:rPr>
          <w:rFonts w:asciiTheme="minorHAnsi" w:hAnsiTheme="minorHAnsi" w:cstheme="minorHAnsi"/>
          <w:szCs w:val="24"/>
        </w:rPr>
        <w:t>a souhaité au</w:t>
      </w:r>
      <w:r w:rsidRPr="002D66DE">
        <w:rPr>
          <w:rFonts w:asciiTheme="minorHAnsi" w:hAnsiTheme="minorHAnsi" w:cstheme="minorHAnsi"/>
          <w:szCs w:val="24"/>
        </w:rPr>
        <w:t xml:space="preserve"> Group</w:t>
      </w:r>
      <w:r w:rsidR="00A96E9F" w:rsidRPr="002D66DE">
        <w:rPr>
          <w:rFonts w:asciiTheme="minorHAnsi" w:hAnsiTheme="minorHAnsi" w:cstheme="minorHAnsi"/>
          <w:szCs w:val="24"/>
        </w:rPr>
        <w:t>e plein succès dans l</w:t>
      </w:r>
      <w:r w:rsidR="009F4D21" w:rsidRPr="002D66DE">
        <w:rPr>
          <w:rFonts w:asciiTheme="minorHAnsi" w:hAnsiTheme="minorHAnsi" w:cstheme="minorHAnsi"/>
          <w:szCs w:val="24"/>
        </w:rPr>
        <w:t>'</w:t>
      </w:r>
      <w:r w:rsidR="00A96E9F" w:rsidRPr="002D66DE">
        <w:rPr>
          <w:rFonts w:asciiTheme="minorHAnsi" w:hAnsiTheme="minorHAnsi" w:cstheme="minorHAnsi"/>
          <w:szCs w:val="24"/>
        </w:rPr>
        <w:t xml:space="preserve">examen de chacune des dispositions du RTI et a </w:t>
      </w:r>
      <w:r w:rsidR="0065795C" w:rsidRPr="002D66DE">
        <w:rPr>
          <w:rFonts w:asciiTheme="minorHAnsi" w:hAnsiTheme="minorHAnsi" w:cstheme="minorHAnsi"/>
          <w:szCs w:val="24"/>
        </w:rPr>
        <w:t>redit</w:t>
      </w:r>
      <w:r w:rsidR="00A96E9F" w:rsidRPr="002D66DE">
        <w:rPr>
          <w:rFonts w:asciiTheme="minorHAnsi" w:hAnsiTheme="minorHAnsi" w:cstheme="minorHAnsi"/>
          <w:szCs w:val="24"/>
        </w:rPr>
        <w:t xml:space="preserve"> que le Secrétariat </w:t>
      </w:r>
      <w:r w:rsidR="003A05CB" w:rsidRPr="002D66DE">
        <w:rPr>
          <w:rFonts w:asciiTheme="minorHAnsi" w:hAnsiTheme="minorHAnsi" w:cstheme="minorHAnsi"/>
          <w:szCs w:val="24"/>
        </w:rPr>
        <w:t>se tenait à la disposition du Groupe pour l</w:t>
      </w:r>
      <w:r w:rsidR="009F4D21" w:rsidRPr="002D66DE">
        <w:rPr>
          <w:rFonts w:asciiTheme="minorHAnsi" w:hAnsiTheme="minorHAnsi" w:cstheme="minorHAnsi"/>
          <w:szCs w:val="24"/>
        </w:rPr>
        <w:t>'</w:t>
      </w:r>
      <w:r w:rsidR="00B01611" w:rsidRPr="002D66DE">
        <w:rPr>
          <w:rFonts w:asciiTheme="minorHAnsi" w:hAnsiTheme="minorHAnsi" w:cstheme="minorHAnsi"/>
          <w:szCs w:val="24"/>
        </w:rPr>
        <w:t xml:space="preserve">appuyer </w:t>
      </w:r>
      <w:r w:rsidR="003A05CB" w:rsidRPr="002D66DE">
        <w:rPr>
          <w:rFonts w:asciiTheme="minorHAnsi" w:hAnsiTheme="minorHAnsi" w:cstheme="minorHAnsi"/>
          <w:szCs w:val="24"/>
        </w:rPr>
        <w:t>dans ses</w:t>
      </w:r>
      <w:r w:rsidR="00A96E9F" w:rsidRPr="002D66DE">
        <w:rPr>
          <w:rFonts w:asciiTheme="minorHAnsi" w:hAnsiTheme="minorHAnsi" w:cstheme="minorHAnsi"/>
          <w:szCs w:val="24"/>
        </w:rPr>
        <w:t xml:space="preserve"> travaux</w:t>
      </w:r>
      <w:r w:rsidR="00006388" w:rsidRPr="002D66DE">
        <w:rPr>
          <w:rFonts w:asciiTheme="minorHAnsi" w:hAnsiTheme="minorHAnsi" w:cstheme="minorHAnsi"/>
          <w:szCs w:val="24"/>
        </w:rPr>
        <w:t>,</w:t>
      </w:r>
      <w:r w:rsidR="00A96E9F" w:rsidRPr="002D66DE">
        <w:rPr>
          <w:rFonts w:asciiTheme="minorHAnsi" w:hAnsiTheme="minorHAnsi" w:cstheme="minorHAnsi"/>
          <w:szCs w:val="24"/>
        </w:rPr>
        <w:t xml:space="preserve"> si nécessaire</w:t>
      </w:r>
      <w:r w:rsidRPr="002D66DE">
        <w:rPr>
          <w:rFonts w:asciiTheme="minorHAnsi" w:hAnsiTheme="minorHAnsi" w:cstheme="minorHAnsi"/>
          <w:szCs w:val="24"/>
        </w:rPr>
        <w:t>.</w:t>
      </w:r>
    </w:p>
    <w:p w14:paraId="6C389E76" w14:textId="3DDA3489" w:rsidR="00D837AA" w:rsidRPr="002D66DE" w:rsidRDefault="00797E94" w:rsidP="00C176DF">
      <w:pPr>
        <w:rPr>
          <w:rFonts w:asciiTheme="minorHAnsi" w:hAnsiTheme="minorHAnsi" w:cstheme="minorHAnsi"/>
          <w:szCs w:val="24"/>
        </w:rPr>
      </w:pPr>
      <w:r w:rsidRPr="002D66DE">
        <w:rPr>
          <w:rFonts w:asciiTheme="minorHAnsi" w:hAnsiTheme="minorHAnsi" w:cstheme="minorHAnsi"/>
          <w:b/>
          <w:bCs/>
          <w:szCs w:val="24"/>
        </w:rPr>
        <w:t>1.3</w:t>
      </w:r>
      <w:r w:rsidRPr="002D66DE">
        <w:rPr>
          <w:rFonts w:asciiTheme="minorHAnsi" w:hAnsiTheme="minorHAnsi" w:cstheme="minorHAnsi"/>
          <w:szCs w:val="24"/>
        </w:rPr>
        <w:tab/>
      </w:r>
      <w:r w:rsidR="00A96E9F" w:rsidRPr="002D66DE">
        <w:rPr>
          <w:rFonts w:asciiTheme="minorHAnsi" w:hAnsiTheme="minorHAnsi" w:cstheme="minorHAnsi"/>
          <w:szCs w:val="24"/>
        </w:rPr>
        <w:t>La Directrice du Bureau de développement des télécommunications</w:t>
      </w:r>
      <w:r w:rsidRPr="002D66DE">
        <w:rPr>
          <w:rFonts w:asciiTheme="minorHAnsi" w:hAnsiTheme="minorHAnsi" w:cstheme="minorHAnsi"/>
          <w:szCs w:val="24"/>
        </w:rPr>
        <w:t>, M</w:t>
      </w:r>
      <w:r w:rsidR="00A96E9F" w:rsidRPr="002D66DE">
        <w:rPr>
          <w:rFonts w:asciiTheme="minorHAnsi" w:hAnsiTheme="minorHAnsi" w:cstheme="minorHAnsi"/>
          <w:szCs w:val="24"/>
        </w:rPr>
        <w:t>me</w:t>
      </w:r>
      <w:r w:rsidRPr="002D66DE">
        <w:rPr>
          <w:rFonts w:asciiTheme="minorHAnsi" w:hAnsiTheme="minorHAnsi" w:cstheme="minorHAnsi"/>
          <w:szCs w:val="24"/>
        </w:rPr>
        <w:t xml:space="preserve"> Doreen Bogdan</w:t>
      </w:r>
      <w:r w:rsidR="00E47D11" w:rsidRPr="002D66DE">
        <w:rPr>
          <w:rFonts w:asciiTheme="minorHAnsi" w:hAnsiTheme="minorHAnsi" w:cstheme="minorHAnsi"/>
          <w:szCs w:val="24"/>
        </w:rPr>
        <w:noBreakHyphen/>
      </w:r>
      <w:r w:rsidRPr="002D66DE">
        <w:rPr>
          <w:rFonts w:asciiTheme="minorHAnsi" w:hAnsiTheme="minorHAnsi" w:cstheme="minorHAnsi"/>
          <w:szCs w:val="24"/>
        </w:rPr>
        <w:t xml:space="preserve">Martin, </w:t>
      </w:r>
      <w:r w:rsidR="00A96E9F" w:rsidRPr="002D66DE">
        <w:rPr>
          <w:rFonts w:asciiTheme="minorHAnsi" w:hAnsiTheme="minorHAnsi" w:cstheme="minorHAnsi"/>
          <w:szCs w:val="24"/>
        </w:rPr>
        <w:t xml:space="preserve">a </w:t>
      </w:r>
      <w:r w:rsidR="0065795C" w:rsidRPr="002D66DE">
        <w:rPr>
          <w:rFonts w:asciiTheme="minorHAnsi" w:hAnsiTheme="minorHAnsi" w:cstheme="minorHAnsi"/>
          <w:szCs w:val="24"/>
        </w:rPr>
        <w:t>rappelé</w:t>
      </w:r>
      <w:r w:rsidR="00682475" w:rsidRPr="002D66DE">
        <w:rPr>
          <w:rFonts w:asciiTheme="minorHAnsi" w:hAnsiTheme="minorHAnsi" w:cstheme="minorHAnsi"/>
          <w:szCs w:val="24"/>
        </w:rPr>
        <w:t xml:space="preserve"> qu</w:t>
      </w:r>
      <w:r w:rsidR="009F4D21" w:rsidRPr="002D66DE">
        <w:rPr>
          <w:rFonts w:asciiTheme="minorHAnsi" w:hAnsiTheme="minorHAnsi" w:cstheme="minorHAnsi"/>
          <w:szCs w:val="24"/>
        </w:rPr>
        <w:t>'</w:t>
      </w:r>
      <w:r w:rsidR="00682475" w:rsidRPr="002D66DE">
        <w:rPr>
          <w:rFonts w:asciiTheme="minorHAnsi" w:hAnsiTheme="minorHAnsi" w:cstheme="minorHAnsi"/>
          <w:szCs w:val="24"/>
        </w:rPr>
        <w:t>à l</w:t>
      </w:r>
      <w:r w:rsidR="009F4D21" w:rsidRPr="002D66DE">
        <w:rPr>
          <w:rFonts w:asciiTheme="minorHAnsi" w:hAnsiTheme="minorHAnsi" w:cstheme="minorHAnsi"/>
          <w:szCs w:val="24"/>
        </w:rPr>
        <w:t>'</w:t>
      </w:r>
      <w:r w:rsidR="00682475" w:rsidRPr="002D66DE">
        <w:rPr>
          <w:rFonts w:asciiTheme="minorHAnsi" w:hAnsiTheme="minorHAnsi" w:cstheme="minorHAnsi"/>
          <w:szCs w:val="24"/>
        </w:rPr>
        <w:t>issue de sa première réunion</w:t>
      </w:r>
      <w:r w:rsidR="00FB53BB" w:rsidRPr="002D66DE">
        <w:rPr>
          <w:rFonts w:asciiTheme="minorHAnsi" w:hAnsiTheme="minorHAnsi" w:cstheme="minorHAnsi"/>
          <w:szCs w:val="24"/>
        </w:rPr>
        <w:t>,</w:t>
      </w:r>
      <w:r w:rsidR="00682475" w:rsidRPr="002D66DE">
        <w:rPr>
          <w:rFonts w:asciiTheme="minorHAnsi" w:hAnsiTheme="minorHAnsi" w:cstheme="minorHAnsi"/>
          <w:szCs w:val="24"/>
        </w:rPr>
        <w:t xml:space="preserve"> l</w:t>
      </w:r>
      <w:r w:rsidR="00A96E9F" w:rsidRPr="002D66DE">
        <w:rPr>
          <w:rFonts w:asciiTheme="minorHAnsi" w:hAnsiTheme="minorHAnsi" w:cstheme="minorHAnsi"/>
          <w:szCs w:val="24"/>
        </w:rPr>
        <w:t>e Groupe</w:t>
      </w:r>
      <w:r w:rsidR="00682475" w:rsidRPr="002D66DE">
        <w:rPr>
          <w:rFonts w:asciiTheme="minorHAnsi" w:hAnsiTheme="minorHAnsi" w:cstheme="minorHAnsi"/>
          <w:szCs w:val="24"/>
        </w:rPr>
        <w:t xml:space="preserve"> avait </w:t>
      </w:r>
      <w:r w:rsidR="00FB53BB" w:rsidRPr="002D66DE">
        <w:rPr>
          <w:rFonts w:asciiTheme="minorHAnsi" w:hAnsiTheme="minorHAnsi" w:cstheme="minorHAnsi"/>
          <w:szCs w:val="24"/>
        </w:rPr>
        <w:t>invité</w:t>
      </w:r>
      <w:r w:rsidR="00682475" w:rsidRPr="002D66DE">
        <w:rPr>
          <w:rFonts w:asciiTheme="minorHAnsi" w:hAnsiTheme="minorHAnsi" w:cstheme="minorHAnsi"/>
          <w:szCs w:val="24"/>
        </w:rPr>
        <w:t xml:space="preserve"> </w:t>
      </w:r>
      <w:r w:rsidR="00FB53BB" w:rsidRPr="002D66DE">
        <w:rPr>
          <w:rFonts w:asciiTheme="minorHAnsi" w:hAnsiTheme="minorHAnsi" w:cstheme="minorHAnsi"/>
          <w:szCs w:val="24"/>
        </w:rPr>
        <w:t>les</w:t>
      </w:r>
      <w:r w:rsidR="00682475" w:rsidRPr="002D66DE">
        <w:rPr>
          <w:rFonts w:asciiTheme="minorHAnsi" w:hAnsiTheme="minorHAnsi" w:cstheme="minorHAnsi"/>
          <w:szCs w:val="24"/>
        </w:rPr>
        <w:t xml:space="preserve"> Directeurs des différents Bureaux </w:t>
      </w:r>
      <w:r w:rsidR="00FB53BB" w:rsidRPr="002D66DE">
        <w:rPr>
          <w:rFonts w:asciiTheme="minorHAnsi" w:hAnsiTheme="minorHAnsi" w:cstheme="minorHAnsi"/>
          <w:szCs w:val="24"/>
        </w:rPr>
        <w:t>à</w:t>
      </w:r>
      <w:r w:rsidR="00432BA0" w:rsidRPr="002D66DE">
        <w:rPr>
          <w:rFonts w:asciiTheme="minorHAnsi" w:hAnsiTheme="minorHAnsi" w:cstheme="minorHAnsi"/>
          <w:szCs w:val="24"/>
        </w:rPr>
        <w:t xml:space="preserve"> solliciter l</w:t>
      </w:r>
      <w:r w:rsidR="009F4D21" w:rsidRPr="002D66DE">
        <w:rPr>
          <w:rFonts w:asciiTheme="minorHAnsi" w:hAnsiTheme="minorHAnsi" w:cstheme="minorHAnsi"/>
          <w:szCs w:val="24"/>
        </w:rPr>
        <w:t>'</w:t>
      </w:r>
      <w:r w:rsidR="00432BA0" w:rsidRPr="002D66DE">
        <w:rPr>
          <w:rFonts w:asciiTheme="minorHAnsi" w:hAnsiTheme="minorHAnsi" w:cstheme="minorHAnsi"/>
          <w:szCs w:val="24"/>
        </w:rPr>
        <w:t>avis d</w:t>
      </w:r>
      <w:r w:rsidR="001D7591" w:rsidRPr="002D66DE">
        <w:rPr>
          <w:rFonts w:asciiTheme="minorHAnsi" w:hAnsiTheme="minorHAnsi" w:cstheme="minorHAnsi"/>
          <w:szCs w:val="24"/>
        </w:rPr>
        <w:t>es g</w:t>
      </w:r>
      <w:r w:rsidR="00432BA0" w:rsidRPr="002D66DE">
        <w:rPr>
          <w:rFonts w:asciiTheme="minorHAnsi" w:hAnsiTheme="minorHAnsi" w:cstheme="minorHAnsi"/>
          <w:szCs w:val="24"/>
        </w:rPr>
        <w:t>roupe</w:t>
      </w:r>
      <w:r w:rsidR="001D7591" w:rsidRPr="002D66DE">
        <w:rPr>
          <w:rFonts w:asciiTheme="minorHAnsi" w:hAnsiTheme="minorHAnsi" w:cstheme="minorHAnsi"/>
          <w:szCs w:val="24"/>
        </w:rPr>
        <w:t>s</w:t>
      </w:r>
      <w:r w:rsidR="00432BA0" w:rsidRPr="002D66DE">
        <w:rPr>
          <w:rFonts w:asciiTheme="minorHAnsi" w:hAnsiTheme="minorHAnsi" w:cstheme="minorHAnsi"/>
          <w:szCs w:val="24"/>
        </w:rPr>
        <w:t xml:space="preserve"> consultatif</w:t>
      </w:r>
      <w:r w:rsidR="001D7591" w:rsidRPr="002D66DE">
        <w:rPr>
          <w:rFonts w:asciiTheme="minorHAnsi" w:hAnsiTheme="minorHAnsi" w:cstheme="minorHAnsi"/>
          <w:szCs w:val="24"/>
        </w:rPr>
        <w:t>s</w:t>
      </w:r>
      <w:r w:rsidR="00432BA0" w:rsidRPr="002D66DE">
        <w:rPr>
          <w:rFonts w:asciiTheme="minorHAnsi" w:hAnsiTheme="minorHAnsi" w:cstheme="minorHAnsi"/>
          <w:szCs w:val="24"/>
        </w:rPr>
        <w:t xml:space="preserve"> </w:t>
      </w:r>
      <w:r w:rsidR="005B61F5" w:rsidRPr="002D66DE">
        <w:rPr>
          <w:rFonts w:asciiTheme="minorHAnsi" w:hAnsiTheme="minorHAnsi" w:cstheme="minorHAnsi"/>
          <w:szCs w:val="24"/>
        </w:rPr>
        <w:t>concernés</w:t>
      </w:r>
      <w:r w:rsidRPr="002D66DE">
        <w:rPr>
          <w:rFonts w:asciiTheme="minorHAnsi" w:hAnsiTheme="minorHAnsi" w:cstheme="minorHAnsi"/>
          <w:szCs w:val="24"/>
        </w:rPr>
        <w:t xml:space="preserve">, </w:t>
      </w:r>
      <w:r w:rsidR="00682475" w:rsidRPr="002D66DE">
        <w:rPr>
          <w:rFonts w:asciiTheme="minorHAnsi" w:hAnsiTheme="minorHAnsi" w:cstheme="minorHAnsi"/>
          <w:szCs w:val="24"/>
        </w:rPr>
        <w:t>et a fait part des progrès accomplis par l</w:t>
      </w:r>
      <w:r w:rsidR="009F4D21" w:rsidRPr="002D66DE">
        <w:rPr>
          <w:rFonts w:asciiTheme="minorHAnsi" w:hAnsiTheme="minorHAnsi" w:cstheme="minorHAnsi"/>
          <w:szCs w:val="24"/>
        </w:rPr>
        <w:t>'</w:t>
      </w:r>
      <w:r w:rsidR="00682475" w:rsidRPr="002D66DE">
        <w:rPr>
          <w:rFonts w:asciiTheme="minorHAnsi" w:hAnsiTheme="minorHAnsi" w:cstheme="minorHAnsi"/>
          <w:szCs w:val="24"/>
        </w:rPr>
        <w:t xml:space="preserve">UIT-D pour </w:t>
      </w:r>
      <w:r w:rsidR="00DF54FD" w:rsidRPr="002D66DE">
        <w:rPr>
          <w:rFonts w:asciiTheme="minorHAnsi" w:hAnsiTheme="minorHAnsi" w:cstheme="minorHAnsi"/>
          <w:szCs w:val="24"/>
        </w:rPr>
        <w:t>contribuer,</w:t>
      </w:r>
      <w:r w:rsidR="002A3BD3" w:rsidRPr="002D66DE">
        <w:rPr>
          <w:rFonts w:asciiTheme="minorHAnsi" w:hAnsiTheme="minorHAnsi" w:cstheme="minorHAnsi"/>
          <w:szCs w:val="24"/>
        </w:rPr>
        <w:t xml:space="preserve"> en tant que de besoin</w:t>
      </w:r>
      <w:r w:rsidR="00DF54FD" w:rsidRPr="002D66DE">
        <w:rPr>
          <w:rFonts w:asciiTheme="minorHAnsi" w:hAnsiTheme="minorHAnsi" w:cstheme="minorHAnsi"/>
          <w:szCs w:val="24"/>
        </w:rPr>
        <w:t>,</w:t>
      </w:r>
      <w:r w:rsidR="002A3BD3" w:rsidRPr="002D66DE">
        <w:rPr>
          <w:rFonts w:asciiTheme="minorHAnsi" w:hAnsiTheme="minorHAnsi" w:cstheme="minorHAnsi"/>
          <w:szCs w:val="24"/>
        </w:rPr>
        <w:t xml:space="preserve"> aux </w:t>
      </w:r>
      <w:r w:rsidRPr="002D66DE">
        <w:rPr>
          <w:rFonts w:asciiTheme="minorHAnsi" w:hAnsiTheme="minorHAnsi" w:cstheme="minorHAnsi"/>
          <w:szCs w:val="24"/>
        </w:rPr>
        <w:t>d</w:t>
      </w:r>
      <w:r w:rsidR="002A3BD3" w:rsidRPr="002D66DE">
        <w:rPr>
          <w:rFonts w:asciiTheme="minorHAnsi" w:hAnsiTheme="minorHAnsi" w:cstheme="minorHAnsi"/>
          <w:szCs w:val="24"/>
        </w:rPr>
        <w:t>é</w:t>
      </w:r>
      <w:r w:rsidRPr="002D66DE">
        <w:rPr>
          <w:rFonts w:asciiTheme="minorHAnsi" w:hAnsiTheme="minorHAnsi" w:cstheme="minorHAnsi"/>
          <w:szCs w:val="24"/>
        </w:rPr>
        <w:t>lib</w:t>
      </w:r>
      <w:r w:rsidR="002A3BD3" w:rsidRPr="002D66DE">
        <w:rPr>
          <w:rFonts w:asciiTheme="minorHAnsi" w:hAnsiTheme="minorHAnsi" w:cstheme="minorHAnsi"/>
          <w:szCs w:val="24"/>
        </w:rPr>
        <w:t>é</w:t>
      </w:r>
      <w:r w:rsidRPr="002D66DE">
        <w:rPr>
          <w:rFonts w:asciiTheme="minorHAnsi" w:hAnsiTheme="minorHAnsi" w:cstheme="minorHAnsi"/>
          <w:szCs w:val="24"/>
        </w:rPr>
        <w:t xml:space="preserve">rations </w:t>
      </w:r>
      <w:r w:rsidR="002A3BD3" w:rsidRPr="002D66DE">
        <w:rPr>
          <w:rFonts w:asciiTheme="minorHAnsi" w:hAnsiTheme="minorHAnsi" w:cstheme="minorHAnsi"/>
          <w:szCs w:val="24"/>
        </w:rPr>
        <w:t>du Groupe à cet é</w:t>
      </w:r>
      <w:r w:rsidRPr="002D66DE">
        <w:rPr>
          <w:rFonts w:asciiTheme="minorHAnsi" w:hAnsiTheme="minorHAnsi" w:cstheme="minorHAnsi"/>
          <w:szCs w:val="24"/>
        </w:rPr>
        <w:t>gard.</w:t>
      </w:r>
    </w:p>
    <w:p w14:paraId="36E0569C" w14:textId="71C9178D" w:rsidR="00797E94" w:rsidRPr="002D66DE" w:rsidRDefault="00797E94" w:rsidP="00C176DF">
      <w:bookmarkStart w:id="7" w:name="lt_pId019"/>
      <w:r w:rsidRPr="002D66DE">
        <w:rPr>
          <w:b/>
          <w:bCs/>
        </w:rPr>
        <w:t>1.4</w:t>
      </w:r>
      <w:r w:rsidRPr="002D66DE">
        <w:tab/>
        <w:t>Le Président a remercié les fonctionnaires élus de leur présence et de leur appui à la réunion</w:t>
      </w:r>
      <w:r w:rsidR="00DF54FD" w:rsidRPr="002D66DE">
        <w:t>,</w:t>
      </w:r>
      <w:r w:rsidRPr="002D66DE">
        <w:t xml:space="preserve"> et a souligné la nécessité, pour le Groupe, de collaborer efficacement dans un esprit de consensus </w:t>
      </w:r>
      <w:r w:rsidR="00E71E99" w:rsidRPr="002D66DE">
        <w:t xml:space="preserve">pour </w:t>
      </w:r>
      <w:r w:rsidR="001B211A" w:rsidRPr="002D66DE">
        <w:t xml:space="preserve">mener à bien </w:t>
      </w:r>
      <w:r w:rsidR="00E71E99" w:rsidRPr="002D66DE">
        <w:t>la</w:t>
      </w:r>
      <w:r w:rsidR="001667FB" w:rsidRPr="002D66DE">
        <w:t xml:space="preserve"> partie du programme de travail</w:t>
      </w:r>
      <w:r w:rsidR="001B211A" w:rsidRPr="002D66DE">
        <w:t xml:space="preserve"> définie pour </w:t>
      </w:r>
      <w:r w:rsidR="00D77660" w:rsidRPr="002D66DE">
        <w:t>la deuxième réunion</w:t>
      </w:r>
      <w:r w:rsidRPr="002D66DE">
        <w:t>.</w:t>
      </w:r>
      <w:bookmarkEnd w:id="7"/>
      <w:r w:rsidRPr="002D66DE">
        <w:t xml:space="preserve"> </w:t>
      </w:r>
      <w:r w:rsidR="00D77660" w:rsidRPr="002D66DE">
        <w:t xml:space="preserve">Il a également remercié son Vice-Président </w:t>
      </w:r>
      <w:r w:rsidR="001B211A" w:rsidRPr="002D66DE">
        <w:t>pour</w:t>
      </w:r>
      <w:r w:rsidR="00D77660" w:rsidRPr="002D66DE">
        <w:t xml:space="preserve"> son soutien et </w:t>
      </w:r>
      <w:r w:rsidR="001B211A" w:rsidRPr="002D66DE">
        <w:t>sa détermination à</w:t>
      </w:r>
      <w:r w:rsidR="00D77660" w:rsidRPr="002D66DE">
        <w:t xml:space="preserve"> faire progresser les travaux du Groupe</w:t>
      </w:r>
      <w:r w:rsidRPr="002D66DE">
        <w:t>.</w:t>
      </w:r>
    </w:p>
    <w:p w14:paraId="007A669A" w14:textId="09A9AA4E" w:rsidR="00797E94" w:rsidRPr="002D66DE" w:rsidRDefault="00797E94" w:rsidP="00C176DF">
      <w:pPr>
        <w:pStyle w:val="Heading1"/>
        <w:rPr>
          <w:bCs/>
        </w:rPr>
      </w:pPr>
      <w:r w:rsidRPr="002D66DE">
        <w:t>2</w:t>
      </w:r>
      <w:r w:rsidRPr="002D66DE">
        <w:tab/>
      </w:r>
      <w:bookmarkStart w:id="8" w:name="lt_pId024"/>
      <w:r w:rsidRPr="002D66DE">
        <w:t>Adoption de l'ordre du jour et attribution des documents</w:t>
      </w:r>
      <w:bookmarkEnd w:id="8"/>
    </w:p>
    <w:p w14:paraId="41327003" w14:textId="62BA091C" w:rsidR="004C7683" w:rsidRPr="002D66DE" w:rsidRDefault="00797E94" w:rsidP="004C7683">
      <w:pPr>
        <w:rPr>
          <w:rFonts w:asciiTheme="minorHAnsi" w:hAnsiTheme="minorHAnsi" w:cstheme="minorHAnsi"/>
          <w:szCs w:val="24"/>
        </w:rPr>
      </w:pPr>
      <w:bookmarkStart w:id="9" w:name="lt_pId025"/>
      <w:r w:rsidRPr="002D66DE">
        <w:t>Le Président a présenté l'ordre du jour (</w:t>
      </w:r>
      <w:bookmarkEnd w:id="9"/>
      <w:r w:rsidR="00B15722" w:rsidRPr="002D66DE">
        <w:t xml:space="preserve">Document </w:t>
      </w:r>
      <w:hyperlink r:id="rId12" w:history="1">
        <w:r w:rsidRPr="002D66DE">
          <w:rPr>
            <w:rStyle w:val="Hyperlink"/>
          </w:rPr>
          <w:t>EG-ITRs-2/1(Rév.2)</w:t>
        </w:r>
      </w:hyperlink>
      <w:r w:rsidRPr="002D66DE">
        <w:t xml:space="preserve">). Il a proposé de </w:t>
      </w:r>
      <w:r w:rsidR="00C77E70" w:rsidRPr="002D66DE">
        <w:t>réorganiser et regrouper la</w:t>
      </w:r>
      <w:r w:rsidR="00DE51F1" w:rsidRPr="002D66DE">
        <w:t xml:space="preserve"> présentation des contributions</w:t>
      </w:r>
      <w:r w:rsidR="00E71E99" w:rsidRPr="002D66DE">
        <w:t xml:space="preserve"> et</w:t>
      </w:r>
      <w:r w:rsidR="00C77E70" w:rsidRPr="002D66DE">
        <w:t xml:space="preserve"> les discussions correspondantes </w:t>
      </w:r>
      <w:r w:rsidRPr="002D66DE">
        <w:t xml:space="preserve">en </w:t>
      </w:r>
      <w:r w:rsidR="00B15722" w:rsidRPr="002D66DE">
        <w:t>deux</w:t>
      </w:r>
      <w:r w:rsidRPr="002D66DE">
        <w:t xml:space="preserve"> catégories </w:t>
      </w:r>
      <w:r w:rsidRPr="002D66DE">
        <w:rPr>
          <w:rFonts w:asciiTheme="minorHAnsi" w:hAnsiTheme="minorHAnsi" w:cstheme="minorHAnsi"/>
          <w:szCs w:val="24"/>
        </w:rPr>
        <w:t>(</w:t>
      </w:r>
      <w:r w:rsidR="00B15722" w:rsidRPr="002D66DE">
        <w:rPr>
          <w:rFonts w:asciiTheme="minorHAnsi" w:hAnsiTheme="minorHAnsi" w:cstheme="minorHAnsi"/>
          <w:szCs w:val="24"/>
        </w:rPr>
        <w:t xml:space="preserve">Examen des </w:t>
      </w:r>
      <w:r w:rsidR="00BE448D" w:rsidRPr="002D66DE">
        <w:rPr>
          <w:rFonts w:asciiTheme="minorHAnsi" w:hAnsiTheme="minorHAnsi" w:cstheme="minorHAnsi"/>
          <w:szCs w:val="24"/>
        </w:rPr>
        <w:t>c</w:t>
      </w:r>
      <w:r w:rsidRPr="002D66DE">
        <w:rPr>
          <w:rFonts w:asciiTheme="minorHAnsi" w:hAnsiTheme="minorHAnsi" w:cstheme="minorHAnsi"/>
          <w:szCs w:val="24"/>
        </w:rPr>
        <w:t xml:space="preserve">ontributions </w:t>
      </w:r>
      <w:r w:rsidR="00BE448D" w:rsidRPr="002D66DE">
        <w:rPr>
          <w:rFonts w:asciiTheme="minorHAnsi" w:hAnsiTheme="minorHAnsi" w:cstheme="minorHAnsi"/>
          <w:szCs w:val="24"/>
        </w:rPr>
        <w:t>reçues sur les dispositions</w:t>
      </w:r>
      <w:r w:rsidRPr="002D66DE">
        <w:rPr>
          <w:rFonts w:asciiTheme="minorHAnsi" w:hAnsiTheme="minorHAnsi" w:cstheme="minorHAnsi"/>
          <w:szCs w:val="24"/>
        </w:rPr>
        <w:t xml:space="preserve"> </w:t>
      </w:r>
      <w:r w:rsidR="003A7CEB" w:rsidRPr="002D66DE">
        <w:rPr>
          <w:rFonts w:asciiTheme="minorHAnsi" w:hAnsiTheme="minorHAnsi" w:cstheme="minorHAnsi"/>
          <w:szCs w:val="24"/>
        </w:rPr>
        <w:t xml:space="preserve">du RTI, </w:t>
      </w:r>
      <w:r w:rsidR="00BE448D" w:rsidRPr="002D66DE">
        <w:rPr>
          <w:rFonts w:asciiTheme="minorHAnsi" w:hAnsiTheme="minorHAnsi" w:cstheme="minorHAnsi"/>
          <w:szCs w:val="24"/>
        </w:rPr>
        <w:t xml:space="preserve">du </w:t>
      </w:r>
      <w:r w:rsidRPr="002D66DE">
        <w:rPr>
          <w:rFonts w:asciiTheme="minorHAnsi" w:hAnsiTheme="minorHAnsi" w:cstheme="minorHAnsi"/>
          <w:szCs w:val="24"/>
        </w:rPr>
        <w:t>Pr</w:t>
      </w:r>
      <w:r w:rsidR="00BE448D" w:rsidRPr="002D66DE">
        <w:rPr>
          <w:rFonts w:asciiTheme="minorHAnsi" w:hAnsiTheme="minorHAnsi" w:cstheme="minorHAnsi"/>
          <w:szCs w:val="24"/>
        </w:rPr>
        <w:t>é</w:t>
      </w:r>
      <w:r w:rsidRPr="002D66DE">
        <w:rPr>
          <w:rFonts w:asciiTheme="minorHAnsi" w:hAnsiTheme="minorHAnsi" w:cstheme="minorHAnsi"/>
          <w:szCs w:val="24"/>
        </w:rPr>
        <w:t>amb</w:t>
      </w:r>
      <w:r w:rsidR="00BE448D" w:rsidRPr="002D66DE">
        <w:rPr>
          <w:rFonts w:asciiTheme="minorHAnsi" w:hAnsiTheme="minorHAnsi" w:cstheme="minorHAnsi"/>
          <w:szCs w:val="24"/>
        </w:rPr>
        <w:t>u</w:t>
      </w:r>
      <w:r w:rsidRPr="002D66DE">
        <w:rPr>
          <w:rFonts w:asciiTheme="minorHAnsi" w:hAnsiTheme="minorHAnsi" w:cstheme="minorHAnsi"/>
          <w:szCs w:val="24"/>
        </w:rPr>
        <w:t>le</w:t>
      </w:r>
      <w:r w:rsidR="00BE448D" w:rsidRPr="002D66DE">
        <w:rPr>
          <w:rFonts w:asciiTheme="minorHAnsi" w:hAnsiTheme="minorHAnsi" w:cstheme="minorHAnsi"/>
          <w:szCs w:val="24"/>
        </w:rPr>
        <w:t xml:space="preserve"> à l</w:t>
      </w:r>
      <w:r w:rsidR="009F4D21" w:rsidRPr="002D66DE">
        <w:rPr>
          <w:rFonts w:asciiTheme="minorHAnsi" w:hAnsiTheme="minorHAnsi" w:cstheme="minorHAnsi"/>
          <w:szCs w:val="24"/>
        </w:rPr>
        <w:t>'</w:t>
      </w:r>
      <w:r w:rsidRPr="002D66DE">
        <w:rPr>
          <w:rFonts w:asciiTheme="minorHAnsi" w:hAnsiTheme="minorHAnsi" w:cstheme="minorHAnsi"/>
          <w:szCs w:val="24"/>
        </w:rPr>
        <w:t>Article 4</w:t>
      </w:r>
      <w:r w:rsidR="003A7CEB" w:rsidRPr="002D66DE">
        <w:rPr>
          <w:rFonts w:asciiTheme="minorHAnsi" w:hAnsiTheme="minorHAnsi" w:cstheme="minorHAnsi"/>
          <w:szCs w:val="24"/>
        </w:rPr>
        <w:t xml:space="preserve"> (</w:t>
      </w:r>
      <w:r w:rsidR="00BE448D" w:rsidRPr="002D66DE">
        <w:rPr>
          <w:rFonts w:asciiTheme="minorHAnsi" w:hAnsiTheme="minorHAnsi" w:cstheme="minorHAnsi"/>
          <w:szCs w:val="24"/>
        </w:rPr>
        <w:t>sur la base du programme de travail approuvé à la première réunion du Groupe EG-RTI)</w:t>
      </w:r>
      <w:r w:rsidR="003A7CEB" w:rsidRPr="002D66DE">
        <w:rPr>
          <w:rFonts w:asciiTheme="minorHAnsi" w:hAnsiTheme="minorHAnsi" w:cstheme="minorHAnsi"/>
          <w:szCs w:val="24"/>
        </w:rPr>
        <w:t>,</w:t>
      </w:r>
      <w:r w:rsidR="00BE448D" w:rsidRPr="002D66DE">
        <w:rPr>
          <w:rFonts w:asciiTheme="minorHAnsi" w:hAnsiTheme="minorHAnsi" w:cstheme="minorHAnsi"/>
          <w:szCs w:val="24"/>
        </w:rPr>
        <w:t xml:space="preserve"> </w:t>
      </w:r>
      <w:r w:rsidR="00A06D1E" w:rsidRPr="002D66DE">
        <w:rPr>
          <w:rFonts w:asciiTheme="minorHAnsi" w:hAnsiTheme="minorHAnsi" w:cstheme="minorHAnsi"/>
          <w:szCs w:val="24"/>
        </w:rPr>
        <w:t xml:space="preserve">et Examen des </w:t>
      </w:r>
      <w:r w:rsidR="00D561EE" w:rsidRPr="002D66DE">
        <w:rPr>
          <w:rFonts w:asciiTheme="minorHAnsi" w:hAnsiTheme="minorHAnsi" w:cstheme="minorHAnsi"/>
          <w:szCs w:val="24"/>
        </w:rPr>
        <w:t xml:space="preserve">autres </w:t>
      </w:r>
      <w:r w:rsidR="00A06D1E" w:rsidRPr="002D66DE">
        <w:rPr>
          <w:rFonts w:asciiTheme="minorHAnsi" w:hAnsiTheme="minorHAnsi" w:cstheme="minorHAnsi"/>
          <w:szCs w:val="24"/>
        </w:rPr>
        <w:t>c</w:t>
      </w:r>
      <w:r w:rsidRPr="002D66DE">
        <w:rPr>
          <w:rFonts w:asciiTheme="minorHAnsi" w:hAnsiTheme="minorHAnsi" w:cstheme="minorHAnsi"/>
          <w:szCs w:val="24"/>
        </w:rPr>
        <w:t xml:space="preserve">ontributions </w:t>
      </w:r>
      <w:r w:rsidR="00A06D1E" w:rsidRPr="002D66DE">
        <w:rPr>
          <w:rFonts w:asciiTheme="minorHAnsi" w:hAnsiTheme="minorHAnsi" w:cstheme="minorHAnsi"/>
          <w:szCs w:val="24"/>
        </w:rPr>
        <w:t>reçues sur le questionnaire de la</w:t>
      </w:r>
      <w:r w:rsidRPr="002D66DE">
        <w:rPr>
          <w:rFonts w:asciiTheme="minorHAnsi" w:hAnsiTheme="minorHAnsi" w:cstheme="minorHAnsi"/>
          <w:szCs w:val="24"/>
        </w:rPr>
        <w:t xml:space="preserve"> CITEL). </w:t>
      </w:r>
      <w:r w:rsidR="00854792" w:rsidRPr="002D66DE">
        <w:rPr>
          <w:rFonts w:asciiTheme="minorHAnsi" w:hAnsiTheme="minorHAnsi" w:cstheme="minorHAnsi"/>
          <w:szCs w:val="24"/>
        </w:rPr>
        <w:t>Il a également proposé, a</w:t>
      </w:r>
      <w:r w:rsidR="00FF31FB" w:rsidRPr="002D66DE">
        <w:rPr>
          <w:rFonts w:asciiTheme="minorHAnsi" w:hAnsiTheme="minorHAnsi" w:cstheme="minorHAnsi"/>
          <w:szCs w:val="24"/>
        </w:rPr>
        <w:t>fin de</w:t>
      </w:r>
      <w:r w:rsidR="00A06D1E" w:rsidRPr="002D66DE">
        <w:rPr>
          <w:rFonts w:asciiTheme="minorHAnsi" w:hAnsiTheme="minorHAnsi" w:cstheme="minorHAnsi"/>
          <w:szCs w:val="24"/>
        </w:rPr>
        <w:t xml:space="preserve"> gagner du temps et </w:t>
      </w:r>
      <w:r w:rsidR="00FF31FB" w:rsidRPr="002D66DE">
        <w:rPr>
          <w:rFonts w:asciiTheme="minorHAnsi" w:hAnsiTheme="minorHAnsi" w:cstheme="minorHAnsi"/>
          <w:szCs w:val="24"/>
        </w:rPr>
        <w:t xml:space="preserve">de </w:t>
      </w:r>
      <w:r w:rsidR="003A7CEB" w:rsidRPr="002D66DE">
        <w:rPr>
          <w:rFonts w:asciiTheme="minorHAnsi" w:hAnsiTheme="minorHAnsi" w:cstheme="minorHAnsi"/>
          <w:szCs w:val="24"/>
        </w:rPr>
        <w:t>faire en sorte</w:t>
      </w:r>
      <w:r w:rsidR="00B61550" w:rsidRPr="002D66DE">
        <w:rPr>
          <w:rFonts w:asciiTheme="minorHAnsi" w:hAnsiTheme="minorHAnsi" w:cstheme="minorHAnsi"/>
          <w:szCs w:val="24"/>
        </w:rPr>
        <w:t xml:space="preserve"> que toutes les dispositions du Tableau d</w:t>
      </w:r>
      <w:r w:rsidR="009F4D21" w:rsidRPr="002D66DE">
        <w:rPr>
          <w:rFonts w:asciiTheme="minorHAnsi" w:hAnsiTheme="minorHAnsi" w:cstheme="minorHAnsi"/>
          <w:szCs w:val="24"/>
        </w:rPr>
        <w:t>'</w:t>
      </w:r>
      <w:r w:rsidR="00B61550" w:rsidRPr="002D66DE">
        <w:rPr>
          <w:rFonts w:asciiTheme="minorHAnsi" w:hAnsiTheme="minorHAnsi" w:cstheme="minorHAnsi"/>
          <w:szCs w:val="24"/>
        </w:rPr>
        <w:t xml:space="preserve">examen </w:t>
      </w:r>
      <w:r w:rsidR="004C7683" w:rsidRPr="002D66DE">
        <w:rPr>
          <w:rFonts w:asciiTheme="minorHAnsi" w:hAnsiTheme="minorHAnsi" w:cstheme="minorHAnsi"/>
          <w:szCs w:val="24"/>
        </w:rPr>
        <w:br w:type="page"/>
      </w:r>
    </w:p>
    <w:p w14:paraId="0A742FCB" w14:textId="275D4BD2" w:rsidR="00797E94" w:rsidRPr="002D66DE" w:rsidRDefault="006859AE" w:rsidP="009F4D21">
      <w:pPr>
        <w:rPr>
          <w:rFonts w:asciiTheme="minorHAnsi" w:hAnsiTheme="minorHAnsi" w:cstheme="minorHAnsi"/>
          <w:szCs w:val="24"/>
        </w:rPr>
      </w:pPr>
      <w:r w:rsidRPr="002D66DE">
        <w:rPr>
          <w:rFonts w:asciiTheme="minorHAnsi" w:hAnsiTheme="minorHAnsi" w:cstheme="minorHAnsi"/>
          <w:szCs w:val="24"/>
        </w:rPr>
        <w:lastRenderedPageBreak/>
        <w:t>confiées à l</w:t>
      </w:r>
      <w:r w:rsidR="009F4D21" w:rsidRPr="002D66DE">
        <w:rPr>
          <w:rFonts w:asciiTheme="minorHAnsi" w:hAnsiTheme="minorHAnsi" w:cstheme="minorHAnsi"/>
          <w:szCs w:val="24"/>
        </w:rPr>
        <w:t>'</w:t>
      </w:r>
      <w:r w:rsidRPr="002D66DE">
        <w:rPr>
          <w:rFonts w:asciiTheme="minorHAnsi" w:hAnsiTheme="minorHAnsi" w:cstheme="minorHAnsi"/>
          <w:szCs w:val="24"/>
        </w:rPr>
        <w:t>attention de</w:t>
      </w:r>
      <w:r w:rsidR="003A7CEB" w:rsidRPr="002D66DE">
        <w:rPr>
          <w:rFonts w:asciiTheme="minorHAnsi" w:hAnsiTheme="minorHAnsi" w:cstheme="minorHAnsi"/>
          <w:szCs w:val="24"/>
        </w:rPr>
        <w:t xml:space="preserve"> </w:t>
      </w:r>
      <w:r w:rsidR="00B61550" w:rsidRPr="002D66DE">
        <w:rPr>
          <w:rFonts w:asciiTheme="minorHAnsi" w:hAnsiTheme="minorHAnsi" w:cstheme="minorHAnsi"/>
          <w:szCs w:val="24"/>
        </w:rPr>
        <w:t xml:space="preserve">la deuxième </w:t>
      </w:r>
      <w:r w:rsidR="003A05CB" w:rsidRPr="002D66DE">
        <w:rPr>
          <w:rFonts w:asciiTheme="minorHAnsi" w:hAnsiTheme="minorHAnsi" w:cstheme="minorHAnsi"/>
          <w:szCs w:val="24"/>
        </w:rPr>
        <w:t>réunion</w:t>
      </w:r>
      <w:r w:rsidR="00B61550" w:rsidRPr="002D66DE">
        <w:rPr>
          <w:rFonts w:asciiTheme="minorHAnsi" w:hAnsiTheme="minorHAnsi" w:cstheme="minorHAnsi"/>
          <w:szCs w:val="24"/>
        </w:rPr>
        <w:t xml:space="preserve"> du Groupe puissent être examinées </w:t>
      </w:r>
      <w:r w:rsidR="00347759" w:rsidRPr="002D66DE">
        <w:rPr>
          <w:rFonts w:asciiTheme="minorHAnsi" w:hAnsiTheme="minorHAnsi" w:cstheme="minorHAnsi"/>
          <w:szCs w:val="24"/>
        </w:rPr>
        <w:t>au titre</w:t>
      </w:r>
      <w:r w:rsidR="00B61550" w:rsidRPr="002D66DE">
        <w:rPr>
          <w:rFonts w:asciiTheme="minorHAnsi" w:hAnsiTheme="minorHAnsi" w:cstheme="minorHAnsi"/>
          <w:szCs w:val="24"/>
        </w:rPr>
        <w:t xml:space="preserve"> de</w:t>
      </w:r>
      <w:r w:rsidR="00854792" w:rsidRPr="002D66DE">
        <w:rPr>
          <w:rFonts w:asciiTheme="minorHAnsi" w:hAnsiTheme="minorHAnsi" w:cstheme="minorHAnsi"/>
          <w:szCs w:val="24"/>
        </w:rPr>
        <w:t xml:space="preserve"> chacun des</w:t>
      </w:r>
      <w:r w:rsidR="00B61550" w:rsidRPr="002D66DE">
        <w:rPr>
          <w:rFonts w:asciiTheme="minorHAnsi" w:hAnsiTheme="minorHAnsi" w:cstheme="minorHAnsi"/>
          <w:szCs w:val="24"/>
        </w:rPr>
        <w:t xml:space="preserve"> poin</w:t>
      </w:r>
      <w:r w:rsidR="00854792" w:rsidRPr="002D66DE">
        <w:rPr>
          <w:rFonts w:asciiTheme="minorHAnsi" w:hAnsiTheme="minorHAnsi" w:cstheme="minorHAnsi"/>
          <w:szCs w:val="24"/>
        </w:rPr>
        <w:t>ts</w:t>
      </w:r>
      <w:r w:rsidR="00B61550" w:rsidRPr="002D66DE">
        <w:rPr>
          <w:rFonts w:asciiTheme="minorHAnsi" w:hAnsiTheme="minorHAnsi" w:cstheme="minorHAnsi"/>
          <w:szCs w:val="24"/>
        </w:rPr>
        <w:t xml:space="preserve"> </w:t>
      </w:r>
      <w:r w:rsidR="003A05CB" w:rsidRPr="002D66DE">
        <w:rPr>
          <w:rFonts w:asciiTheme="minorHAnsi" w:hAnsiTheme="minorHAnsi" w:cstheme="minorHAnsi"/>
          <w:szCs w:val="24"/>
        </w:rPr>
        <w:t>de l</w:t>
      </w:r>
      <w:r w:rsidR="009F4D21" w:rsidRPr="002D66DE">
        <w:rPr>
          <w:rFonts w:asciiTheme="minorHAnsi" w:hAnsiTheme="minorHAnsi" w:cstheme="minorHAnsi"/>
          <w:szCs w:val="24"/>
        </w:rPr>
        <w:t>'</w:t>
      </w:r>
      <w:r w:rsidR="003A05CB" w:rsidRPr="002D66DE">
        <w:rPr>
          <w:rFonts w:asciiTheme="minorHAnsi" w:hAnsiTheme="minorHAnsi" w:cstheme="minorHAnsi"/>
          <w:szCs w:val="24"/>
        </w:rPr>
        <w:t>ordre du jour</w:t>
      </w:r>
      <w:r w:rsidR="003A7CEB" w:rsidRPr="002D66DE">
        <w:rPr>
          <w:rFonts w:asciiTheme="minorHAnsi" w:hAnsiTheme="minorHAnsi" w:cstheme="minorHAnsi"/>
          <w:szCs w:val="24"/>
        </w:rPr>
        <w:t xml:space="preserve"> </w:t>
      </w:r>
      <w:r w:rsidRPr="002D66DE">
        <w:rPr>
          <w:rFonts w:asciiTheme="minorHAnsi" w:hAnsiTheme="minorHAnsi" w:cstheme="minorHAnsi"/>
          <w:szCs w:val="24"/>
        </w:rPr>
        <w:t>susmentionné</w:t>
      </w:r>
      <w:r w:rsidR="00797E94" w:rsidRPr="002D66DE">
        <w:rPr>
          <w:rFonts w:asciiTheme="minorHAnsi" w:hAnsiTheme="minorHAnsi" w:cstheme="minorHAnsi"/>
          <w:szCs w:val="24"/>
        </w:rPr>
        <w:t>,</w:t>
      </w:r>
      <w:r w:rsidR="003A7CEB" w:rsidRPr="002D66DE">
        <w:rPr>
          <w:rFonts w:asciiTheme="minorHAnsi" w:hAnsiTheme="minorHAnsi" w:cstheme="minorHAnsi"/>
          <w:szCs w:val="24"/>
        </w:rPr>
        <w:t xml:space="preserve"> </w:t>
      </w:r>
      <w:r w:rsidR="00347759" w:rsidRPr="002D66DE">
        <w:rPr>
          <w:rFonts w:asciiTheme="minorHAnsi" w:hAnsiTheme="minorHAnsi" w:cstheme="minorHAnsi"/>
          <w:szCs w:val="24"/>
        </w:rPr>
        <w:t>de procéder d</w:t>
      </w:r>
      <w:r w:rsidR="009F4D21" w:rsidRPr="002D66DE">
        <w:rPr>
          <w:rFonts w:asciiTheme="minorHAnsi" w:hAnsiTheme="minorHAnsi" w:cstheme="minorHAnsi"/>
          <w:szCs w:val="24"/>
        </w:rPr>
        <w:t>'</w:t>
      </w:r>
      <w:r w:rsidR="00347759" w:rsidRPr="002D66DE">
        <w:rPr>
          <w:rFonts w:asciiTheme="minorHAnsi" w:hAnsiTheme="minorHAnsi" w:cstheme="minorHAnsi"/>
          <w:szCs w:val="24"/>
        </w:rPr>
        <w:t>abord à une présentation de</w:t>
      </w:r>
      <w:r w:rsidR="003A05CB" w:rsidRPr="002D66DE">
        <w:rPr>
          <w:rFonts w:asciiTheme="minorHAnsi" w:hAnsiTheme="minorHAnsi" w:cstheme="minorHAnsi"/>
          <w:szCs w:val="24"/>
        </w:rPr>
        <w:t xml:space="preserve"> </w:t>
      </w:r>
      <w:r w:rsidR="00854792" w:rsidRPr="002D66DE">
        <w:rPr>
          <w:rFonts w:asciiTheme="minorHAnsi" w:hAnsiTheme="minorHAnsi" w:cstheme="minorHAnsi"/>
          <w:szCs w:val="24"/>
        </w:rPr>
        <w:t>toutes les</w:t>
      </w:r>
      <w:r w:rsidR="003A05CB" w:rsidRPr="002D66DE">
        <w:rPr>
          <w:rFonts w:asciiTheme="minorHAnsi" w:hAnsiTheme="minorHAnsi" w:cstheme="minorHAnsi"/>
          <w:szCs w:val="24"/>
        </w:rPr>
        <w:t xml:space="preserve"> </w:t>
      </w:r>
      <w:r w:rsidR="00797E94" w:rsidRPr="002D66DE">
        <w:rPr>
          <w:rFonts w:asciiTheme="minorHAnsi" w:hAnsiTheme="minorHAnsi" w:cstheme="minorHAnsi"/>
          <w:szCs w:val="24"/>
        </w:rPr>
        <w:t>contribution</w:t>
      </w:r>
      <w:r w:rsidR="00854792" w:rsidRPr="002D66DE">
        <w:rPr>
          <w:rFonts w:asciiTheme="minorHAnsi" w:hAnsiTheme="minorHAnsi" w:cstheme="minorHAnsi"/>
          <w:szCs w:val="24"/>
        </w:rPr>
        <w:t>s</w:t>
      </w:r>
      <w:r w:rsidR="00347759" w:rsidRPr="002D66DE">
        <w:rPr>
          <w:rFonts w:asciiTheme="minorHAnsi" w:hAnsiTheme="minorHAnsi" w:cstheme="minorHAnsi"/>
          <w:szCs w:val="24"/>
        </w:rPr>
        <w:t xml:space="preserve">, </w:t>
      </w:r>
      <w:r w:rsidR="00854792" w:rsidRPr="002D66DE">
        <w:rPr>
          <w:rFonts w:asciiTheme="minorHAnsi" w:hAnsiTheme="minorHAnsi" w:cstheme="minorHAnsi"/>
          <w:szCs w:val="24"/>
        </w:rPr>
        <w:t>et de poursuivre</w:t>
      </w:r>
      <w:r w:rsidR="00347759" w:rsidRPr="002D66DE">
        <w:rPr>
          <w:rFonts w:asciiTheme="minorHAnsi" w:hAnsiTheme="minorHAnsi" w:cstheme="minorHAnsi"/>
          <w:szCs w:val="24"/>
        </w:rPr>
        <w:t xml:space="preserve"> par une</w:t>
      </w:r>
      <w:r w:rsidR="00FF31FB" w:rsidRPr="002D66DE">
        <w:rPr>
          <w:rFonts w:asciiTheme="minorHAnsi" w:hAnsiTheme="minorHAnsi" w:cstheme="minorHAnsi"/>
          <w:szCs w:val="24"/>
        </w:rPr>
        <w:t xml:space="preserve"> discussion commune qui sera</w:t>
      </w:r>
      <w:r w:rsidR="00347759" w:rsidRPr="002D66DE">
        <w:rPr>
          <w:rFonts w:asciiTheme="minorHAnsi" w:hAnsiTheme="minorHAnsi" w:cstheme="minorHAnsi"/>
          <w:szCs w:val="24"/>
        </w:rPr>
        <w:t>it</w:t>
      </w:r>
      <w:r w:rsidR="00EB0DB0" w:rsidRPr="002D66DE">
        <w:rPr>
          <w:rFonts w:asciiTheme="minorHAnsi" w:hAnsiTheme="minorHAnsi" w:cstheme="minorHAnsi"/>
          <w:szCs w:val="24"/>
        </w:rPr>
        <w:t xml:space="preserve"> </w:t>
      </w:r>
      <w:r w:rsidR="001454BE" w:rsidRPr="002D66DE">
        <w:rPr>
          <w:rFonts w:asciiTheme="minorHAnsi" w:hAnsiTheme="minorHAnsi" w:cstheme="minorHAnsi"/>
          <w:szCs w:val="24"/>
        </w:rPr>
        <w:t>rapportée</w:t>
      </w:r>
      <w:r w:rsidR="00EB0DB0" w:rsidRPr="002D66DE">
        <w:rPr>
          <w:rFonts w:asciiTheme="minorHAnsi" w:hAnsiTheme="minorHAnsi" w:cstheme="minorHAnsi"/>
          <w:szCs w:val="24"/>
        </w:rPr>
        <w:t xml:space="preserve"> dans le Tableau d</w:t>
      </w:r>
      <w:r w:rsidR="009F4D21" w:rsidRPr="002D66DE">
        <w:rPr>
          <w:rFonts w:asciiTheme="minorHAnsi" w:hAnsiTheme="minorHAnsi" w:cstheme="minorHAnsi"/>
          <w:szCs w:val="24"/>
        </w:rPr>
        <w:t>'</w:t>
      </w:r>
      <w:r w:rsidR="00EB0DB0" w:rsidRPr="002D66DE">
        <w:rPr>
          <w:rFonts w:asciiTheme="minorHAnsi" w:hAnsiTheme="minorHAnsi" w:cstheme="minorHAnsi"/>
          <w:szCs w:val="24"/>
        </w:rPr>
        <w:t>examen</w:t>
      </w:r>
      <w:r w:rsidR="00797E94" w:rsidRPr="002D66DE">
        <w:rPr>
          <w:rFonts w:asciiTheme="minorHAnsi" w:hAnsiTheme="minorHAnsi" w:cstheme="minorHAnsi"/>
          <w:szCs w:val="24"/>
        </w:rPr>
        <w:t>.</w:t>
      </w:r>
    </w:p>
    <w:p w14:paraId="265A3DFD" w14:textId="7AB7C376" w:rsidR="00797E94" w:rsidRPr="002D66DE" w:rsidRDefault="00EB0DB0" w:rsidP="009F4D21">
      <w:pPr>
        <w:rPr>
          <w:rFonts w:asciiTheme="minorHAnsi" w:hAnsiTheme="minorHAnsi" w:cstheme="minorHAnsi"/>
          <w:szCs w:val="24"/>
        </w:rPr>
      </w:pPr>
      <w:r w:rsidRPr="002D66DE">
        <w:rPr>
          <w:rFonts w:asciiTheme="minorHAnsi" w:hAnsiTheme="minorHAnsi" w:cstheme="minorHAnsi"/>
          <w:szCs w:val="24"/>
        </w:rPr>
        <w:t xml:space="preserve">Certains membres </w:t>
      </w:r>
      <w:r w:rsidR="00347759" w:rsidRPr="002D66DE">
        <w:rPr>
          <w:rFonts w:asciiTheme="minorHAnsi" w:hAnsiTheme="minorHAnsi" w:cstheme="minorHAnsi"/>
          <w:szCs w:val="24"/>
        </w:rPr>
        <w:t>ont soutenu</w:t>
      </w:r>
      <w:r w:rsidRPr="002D66DE">
        <w:rPr>
          <w:rFonts w:asciiTheme="minorHAnsi" w:hAnsiTheme="minorHAnsi" w:cstheme="minorHAnsi"/>
          <w:szCs w:val="24"/>
        </w:rPr>
        <w:t xml:space="preserve"> cette approche </w:t>
      </w:r>
      <w:r w:rsidR="00347759" w:rsidRPr="002D66DE">
        <w:rPr>
          <w:rFonts w:asciiTheme="minorHAnsi" w:hAnsiTheme="minorHAnsi" w:cstheme="minorHAnsi"/>
          <w:szCs w:val="24"/>
        </w:rPr>
        <w:t>au vu du</w:t>
      </w:r>
      <w:r w:rsidRPr="002D66DE">
        <w:rPr>
          <w:rFonts w:asciiTheme="minorHAnsi" w:hAnsiTheme="minorHAnsi" w:cstheme="minorHAnsi"/>
          <w:szCs w:val="24"/>
        </w:rPr>
        <w:t xml:space="preserve"> temps limité imparti </w:t>
      </w:r>
      <w:r w:rsidR="00DC5EEB" w:rsidRPr="002D66DE">
        <w:rPr>
          <w:rFonts w:asciiTheme="minorHAnsi" w:hAnsiTheme="minorHAnsi" w:cstheme="minorHAnsi"/>
          <w:szCs w:val="24"/>
        </w:rPr>
        <w:t>à</w:t>
      </w:r>
      <w:r w:rsidRPr="002D66DE">
        <w:rPr>
          <w:rFonts w:asciiTheme="minorHAnsi" w:hAnsiTheme="minorHAnsi" w:cstheme="minorHAnsi"/>
          <w:szCs w:val="24"/>
        </w:rPr>
        <w:t xml:space="preserve"> la réunion</w:t>
      </w:r>
      <w:r w:rsidR="00797E94" w:rsidRPr="002D66DE">
        <w:rPr>
          <w:rFonts w:asciiTheme="minorHAnsi" w:hAnsiTheme="minorHAnsi" w:cstheme="minorHAnsi"/>
          <w:szCs w:val="24"/>
        </w:rPr>
        <w:t>,</w:t>
      </w:r>
      <w:r w:rsidRPr="002D66DE">
        <w:rPr>
          <w:rFonts w:asciiTheme="minorHAnsi" w:hAnsiTheme="minorHAnsi" w:cstheme="minorHAnsi"/>
          <w:szCs w:val="24"/>
        </w:rPr>
        <w:t xml:space="preserve"> d</w:t>
      </w:r>
      <w:r w:rsidR="009F4D21" w:rsidRPr="002D66DE">
        <w:rPr>
          <w:rFonts w:asciiTheme="minorHAnsi" w:hAnsiTheme="minorHAnsi" w:cstheme="minorHAnsi"/>
          <w:szCs w:val="24"/>
        </w:rPr>
        <w:t>'</w:t>
      </w:r>
      <w:r w:rsidRPr="002D66DE">
        <w:rPr>
          <w:rFonts w:asciiTheme="minorHAnsi" w:hAnsiTheme="minorHAnsi" w:cstheme="minorHAnsi"/>
          <w:szCs w:val="24"/>
        </w:rPr>
        <w:t>autres ont demandé que les deux points de l</w:t>
      </w:r>
      <w:r w:rsidR="009F4D21" w:rsidRPr="002D66DE">
        <w:rPr>
          <w:rFonts w:asciiTheme="minorHAnsi" w:hAnsiTheme="minorHAnsi" w:cstheme="minorHAnsi"/>
          <w:szCs w:val="24"/>
        </w:rPr>
        <w:t>'</w:t>
      </w:r>
      <w:r w:rsidRPr="002D66DE">
        <w:rPr>
          <w:rFonts w:asciiTheme="minorHAnsi" w:hAnsiTheme="minorHAnsi" w:cstheme="minorHAnsi"/>
          <w:szCs w:val="24"/>
        </w:rPr>
        <w:t>ordre du jour</w:t>
      </w:r>
      <w:r w:rsidR="00797E94" w:rsidRPr="002D66DE">
        <w:rPr>
          <w:rFonts w:asciiTheme="minorHAnsi" w:hAnsiTheme="minorHAnsi" w:cstheme="minorHAnsi"/>
          <w:szCs w:val="24"/>
        </w:rPr>
        <w:t xml:space="preserve"> </w:t>
      </w:r>
      <w:r w:rsidRPr="002D66DE">
        <w:rPr>
          <w:rFonts w:asciiTheme="minorHAnsi" w:hAnsiTheme="minorHAnsi" w:cstheme="minorHAnsi"/>
          <w:szCs w:val="24"/>
        </w:rPr>
        <w:t>soient fusionnés et que</w:t>
      </w:r>
      <w:r w:rsidR="002664F7" w:rsidRPr="002D66DE">
        <w:rPr>
          <w:rFonts w:asciiTheme="minorHAnsi" w:hAnsiTheme="minorHAnsi" w:cstheme="minorHAnsi"/>
          <w:szCs w:val="24"/>
        </w:rPr>
        <w:t xml:space="preserve"> toutes</w:t>
      </w:r>
      <w:r w:rsidRPr="002D66DE">
        <w:rPr>
          <w:rFonts w:asciiTheme="minorHAnsi" w:hAnsiTheme="minorHAnsi" w:cstheme="minorHAnsi"/>
          <w:szCs w:val="24"/>
        </w:rPr>
        <w:t xml:space="preserve"> les</w:t>
      </w:r>
      <w:r w:rsidR="00797E94" w:rsidRPr="002D66DE">
        <w:rPr>
          <w:rFonts w:asciiTheme="minorHAnsi" w:hAnsiTheme="minorHAnsi" w:cstheme="minorHAnsi"/>
          <w:szCs w:val="24"/>
        </w:rPr>
        <w:t xml:space="preserve"> contributions </w:t>
      </w:r>
      <w:r w:rsidRPr="002D66DE">
        <w:rPr>
          <w:rFonts w:asciiTheme="minorHAnsi" w:hAnsiTheme="minorHAnsi" w:cstheme="minorHAnsi"/>
          <w:szCs w:val="24"/>
        </w:rPr>
        <w:t xml:space="preserve">soient présentées ensemble </w:t>
      </w:r>
      <w:r w:rsidR="00854792" w:rsidRPr="002D66DE">
        <w:rPr>
          <w:rFonts w:asciiTheme="minorHAnsi" w:hAnsiTheme="minorHAnsi" w:cstheme="minorHAnsi"/>
          <w:szCs w:val="24"/>
        </w:rPr>
        <w:t>de sorte</w:t>
      </w:r>
      <w:r w:rsidRPr="002D66DE">
        <w:rPr>
          <w:rFonts w:asciiTheme="minorHAnsi" w:hAnsiTheme="minorHAnsi" w:cstheme="minorHAnsi"/>
          <w:szCs w:val="24"/>
        </w:rPr>
        <w:t xml:space="preserve"> que toute</w:t>
      </w:r>
      <w:r w:rsidR="00854792" w:rsidRPr="002D66DE">
        <w:rPr>
          <w:rFonts w:asciiTheme="minorHAnsi" w:hAnsiTheme="minorHAnsi" w:cstheme="minorHAnsi"/>
          <w:szCs w:val="24"/>
        </w:rPr>
        <w:t>s les</w:t>
      </w:r>
      <w:r w:rsidRPr="002D66DE">
        <w:rPr>
          <w:rFonts w:asciiTheme="minorHAnsi" w:hAnsiTheme="minorHAnsi" w:cstheme="minorHAnsi"/>
          <w:szCs w:val="24"/>
        </w:rPr>
        <w:t xml:space="preserve"> discussion</w:t>
      </w:r>
      <w:r w:rsidR="00854792" w:rsidRPr="002D66DE">
        <w:rPr>
          <w:rFonts w:asciiTheme="minorHAnsi" w:hAnsiTheme="minorHAnsi" w:cstheme="minorHAnsi"/>
          <w:szCs w:val="24"/>
        </w:rPr>
        <w:t>s</w:t>
      </w:r>
      <w:r w:rsidRPr="002D66DE">
        <w:rPr>
          <w:rFonts w:asciiTheme="minorHAnsi" w:hAnsiTheme="minorHAnsi" w:cstheme="minorHAnsi"/>
          <w:szCs w:val="24"/>
        </w:rPr>
        <w:t xml:space="preserve"> portant sur le Tableau d</w:t>
      </w:r>
      <w:r w:rsidR="009F4D21" w:rsidRPr="002D66DE">
        <w:rPr>
          <w:rFonts w:asciiTheme="minorHAnsi" w:hAnsiTheme="minorHAnsi" w:cstheme="minorHAnsi"/>
          <w:szCs w:val="24"/>
        </w:rPr>
        <w:t>'</w:t>
      </w:r>
      <w:r w:rsidRPr="002D66DE">
        <w:rPr>
          <w:rFonts w:asciiTheme="minorHAnsi" w:hAnsiTheme="minorHAnsi" w:cstheme="minorHAnsi"/>
          <w:szCs w:val="24"/>
        </w:rPr>
        <w:t xml:space="preserve">examen </w:t>
      </w:r>
      <w:r w:rsidR="00854792" w:rsidRPr="002D66DE">
        <w:rPr>
          <w:rFonts w:asciiTheme="minorHAnsi" w:hAnsiTheme="minorHAnsi" w:cstheme="minorHAnsi"/>
          <w:szCs w:val="24"/>
        </w:rPr>
        <w:t>tiennent</w:t>
      </w:r>
      <w:r w:rsidR="002664F7" w:rsidRPr="002D66DE">
        <w:rPr>
          <w:rFonts w:asciiTheme="minorHAnsi" w:hAnsiTheme="minorHAnsi" w:cstheme="minorHAnsi"/>
          <w:szCs w:val="24"/>
        </w:rPr>
        <w:t xml:space="preserve"> compte </w:t>
      </w:r>
      <w:r w:rsidR="00854792" w:rsidRPr="002D66DE">
        <w:rPr>
          <w:rFonts w:asciiTheme="minorHAnsi" w:hAnsiTheme="minorHAnsi" w:cstheme="minorHAnsi"/>
          <w:szCs w:val="24"/>
        </w:rPr>
        <w:t>d</w:t>
      </w:r>
      <w:r w:rsidR="002664F7" w:rsidRPr="002D66DE">
        <w:rPr>
          <w:rFonts w:asciiTheme="minorHAnsi" w:hAnsiTheme="minorHAnsi" w:cstheme="minorHAnsi"/>
          <w:szCs w:val="24"/>
        </w:rPr>
        <w:t>es vues exprimées dans toutes les</w:t>
      </w:r>
      <w:r w:rsidR="00797E94" w:rsidRPr="002D66DE">
        <w:rPr>
          <w:rFonts w:asciiTheme="minorHAnsi" w:hAnsiTheme="minorHAnsi" w:cstheme="minorHAnsi"/>
          <w:szCs w:val="24"/>
        </w:rPr>
        <w:t xml:space="preserve"> contributions </w:t>
      </w:r>
      <w:r w:rsidR="002664F7" w:rsidRPr="002D66DE">
        <w:rPr>
          <w:rFonts w:asciiTheme="minorHAnsi" w:hAnsiTheme="minorHAnsi" w:cstheme="minorHAnsi"/>
          <w:szCs w:val="24"/>
        </w:rPr>
        <w:t>reçues</w:t>
      </w:r>
      <w:r w:rsidR="00797E94" w:rsidRPr="002D66DE">
        <w:rPr>
          <w:rFonts w:asciiTheme="minorHAnsi" w:hAnsiTheme="minorHAnsi" w:cstheme="minorHAnsi"/>
          <w:szCs w:val="24"/>
        </w:rPr>
        <w:t xml:space="preserve">. </w:t>
      </w:r>
      <w:r w:rsidR="00DC5EEB" w:rsidRPr="002D66DE">
        <w:rPr>
          <w:rFonts w:asciiTheme="minorHAnsi" w:hAnsiTheme="minorHAnsi" w:cstheme="minorHAnsi"/>
          <w:szCs w:val="24"/>
        </w:rPr>
        <w:t>Il a été d</w:t>
      </w:r>
      <w:r w:rsidR="002664F7" w:rsidRPr="002D66DE">
        <w:rPr>
          <w:rFonts w:asciiTheme="minorHAnsi" w:hAnsiTheme="minorHAnsi" w:cstheme="minorHAnsi"/>
          <w:szCs w:val="24"/>
        </w:rPr>
        <w:t xml:space="preserve">écidé que toutes les </w:t>
      </w:r>
      <w:r w:rsidR="00797E94" w:rsidRPr="002D66DE">
        <w:rPr>
          <w:rFonts w:asciiTheme="minorHAnsi" w:hAnsiTheme="minorHAnsi" w:cstheme="minorHAnsi"/>
          <w:szCs w:val="24"/>
        </w:rPr>
        <w:t xml:space="preserve">contributions </w:t>
      </w:r>
      <w:r w:rsidR="002664F7" w:rsidRPr="002D66DE">
        <w:rPr>
          <w:rFonts w:asciiTheme="minorHAnsi" w:hAnsiTheme="minorHAnsi" w:cstheme="minorHAnsi"/>
          <w:szCs w:val="24"/>
        </w:rPr>
        <w:t xml:space="preserve">soumises à la deuxième réunion du Groupe EG-RTI par les </w:t>
      </w:r>
      <w:r w:rsidR="00945FD5" w:rsidRPr="002D66DE">
        <w:rPr>
          <w:rFonts w:asciiTheme="minorHAnsi" w:hAnsiTheme="minorHAnsi" w:cstheme="minorHAnsi"/>
          <w:szCs w:val="24"/>
        </w:rPr>
        <w:t>États</w:t>
      </w:r>
      <w:r w:rsidR="002664F7" w:rsidRPr="002D66DE">
        <w:rPr>
          <w:rFonts w:asciiTheme="minorHAnsi" w:hAnsiTheme="minorHAnsi" w:cstheme="minorHAnsi"/>
          <w:szCs w:val="24"/>
        </w:rPr>
        <w:t xml:space="preserve"> Membres et les Membres de </w:t>
      </w:r>
      <w:r w:rsidR="00797E94" w:rsidRPr="002D66DE">
        <w:rPr>
          <w:rFonts w:asciiTheme="minorHAnsi" w:hAnsiTheme="minorHAnsi" w:cstheme="minorHAnsi"/>
          <w:szCs w:val="24"/>
        </w:rPr>
        <w:t>Sect</w:t>
      </w:r>
      <w:r w:rsidR="00DE74A3" w:rsidRPr="002D66DE">
        <w:rPr>
          <w:rFonts w:asciiTheme="minorHAnsi" w:hAnsiTheme="minorHAnsi" w:cstheme="minorHAnsi"/>
          <w:szCs w:val="24"/>
        </w:rPr>
        <w:t>eur seraient d</w:t>
      </w:r>
      <w:r w:rsidR="009F4D21" w:rsidRPr="002D66DE">
        <w:rPr>
          <w:rFonts w:asciiTheme="minorHAnsi" w:hAnsiTheme="minorHAnsi" w:cstheme="minorHAnsi"/>
          <w:szCs w:val="24"/>
        </w:rPr>
        <w:t>'</w:t>
      </w:r>
      <w:r w:rsidR="00DE74A3" w:rsidRPr="002D66DE">
        <w:rPr>
          <w:rFonts w:asciiTheme="minorHAnsi" w:hAnsiTheme="minorHAnsi" w:cstheme="minorHAnsi"/>
          <w:szCs w:val="24"/>
        </w:rPr>
        <w:t>abord présentées en même temps</w:t>
      </w:r>
      <w:r w:rsidR="00797E94" w:rsidRPr="002D66DE">
        <w:rPr>
          <w:rFonts w:asciiTheme="minorHAnsi" w:hAnsiTheme="minorHAnsi" w:cstheme="minorHAnsi"/>
          <w:szCs w:val="24"/>
        </w:rPr>
        <w:t>,</w:t>
      </w:r>
      <w:r w:rsidR="00DE74A3" w:rsidRPr="002D66DE">
        <w:rPr>
          <w:rFonts w:asciiTheme="minorHAnsi" w:hAnsiTheme="minorHAnsi" w:cstheme="minorHAnsi"/>
          <w:szCs w:val="24"/>
        </w:rPr>
        <w:t xml:space="preserve"> </w:t>
      </w:r>
      <w:r w:rsidR="00854792" w:rsidRPr="002D66DE">
        <w:rPr>
          <w:rFonts w:asciiTheme="minorHAnsi" w:hAnsiTheme="minorHAnsi" w:cstheme="minorHAnsi"/>
          <w:szCs w:val="24"/>
        </w:rPr>
        <w:t>avant de faire</w:t>
      </w:r>
      <w:r w:rsidR="00DE74A3" w:rsidRPr="002D66DE">
        <w:rPr>
          <w:rFonts w:asciiTheme="minorHAnsi" w:hAnsiTheme="minorHAnsi" w:cstheme="minorHAnsi"/>
          <w:szCs w:val="24"/>
        </w:rPr>
        <w:t xml:space="preserve"> l</w:t>
      </w:r>
      <w:r w:rsidR="009F4D21" w:rsidRPr="002D66DE">
        <w:rPr>
          <w:rFonts w:asciiTheme="minorHAnsi" w:hAnsiTheme="minorHAnsi" w:cstheme="minorHAnsi"/>
          <w:szCs w:val="24"/>
        </w:rPr>
        <w:t>'</w:t>
      </w:r>
      <w:r w:rsidR="00DE74A3" w:rsidRPr="002D66DE">
        <w:rPr>
          <w:rFonts w:asciiTheme="minorHAnsi" w:hAnsiTheme="minorHAnsi" w:cstheme="minorHAnsi"/>
          <w:szCs w:val="24"/>
        </w:rPr>
        <w:t>objet de discussions dans le cadre du Tableau d</w:t>
      </w:r>
      <w:r w:rsidR="009F4D21" w:rsidRPr="002D66DE">
        <w:rPr>
          <w:rFonts w:asciiTheme="minorHAnsi" w:hAnsiTheme="minorHAnsi" w:cstheme="minorHAnsi"/>
          <w:szCs w:val="24"/>
        </w:rPr>
        <w:t>'</w:t>
      </w:r>
      <w:r w:rsidR="00DE74A3" w:rsidRPr="002D66DE">
        <w:rPr>
          <w:rFonts w:asciiTheme="minorHAnsi" w:hAnsiTheme="minorHAnsi" w:cstheme="minorHAnsi"/>
          <w:szCs w:val="24"/>
        </w:rPr>
        <w:t>examen</w:t>
      </w:r>
      <w:r w:rsidR="00797E94" w:rsidRPr="002D66DE">
        <w:rPr>
          <w:rFonts w:asciiTheme="minorHAnsi" w:hAnsiTheme="minorHAnsi" w:cstheme="minorHAnsi"/>
          <w:szCs w:val="24"/>
        </w:rPr>
        <w:t>.</w:t>
      </w:r>
    </w:p>
    <w:p w14:paraId="7C909C1F" w14:textId="06FAE071" w:rsidR="00797E94" w:rsidRPr="002D66DE" w:rsidRDefault="00945FD5" w:rsidP="009F4D21">
      <w:pPr>
        <w:rPr>
          <w:rFonts w:asciiTheme="minorHAnsi" w:hAnsiTheme="minorHAnsi" w:cstheme="minorHAnsi"/>
          <w:szCs w:val="24"/>
        </w:rPr>
      </w:pPr>
      <w:r w:rsidRPr="002D66DE">
        <w:rPr>
          <w:rFonts w:asciiTheme="minorHAnsi" w:hAnsiTheme="minorHAnsi" w:cstheme="minorHAnsi"/>
          <w:szCs w:val="24"/>
        </w:rPr>
        <w:t>L</w:t>
      </w:r>
      <w:r w:rsidR="009F4D21" w:rsidRPr="002D66DE">
        <w:rPr>
          <w:rFonts w:asciiTheme="minorHAnsi" w:hAnsiTheme="minorHAnsi" w:cstheme="minorHAnsi"/>
          <w:szCs w:val="24"/>
        </w:rPr>
        <w:t>'</w:t>
      </w:r>
      <w:r w:rsidRPr="002D66DE">
        <w:rPr>
          <w:rFonts w:asciiTheme="minorHAnsi" w:hAnsiTheme="minorHAnsi" w:cstheme="minorHAnsi"/>
          <w:szCs w:val="24"/>
        </w:rPr>
        <w:t>ordre du jour a été adopté</w:t>
      </w:r>
      <w:r w:rsidR="00797E94" w:rsidRPr="002D66DE">
        <w:rPr>
          <w:rFonts w:asciiTheme="minorHAnsi" w:hAnsiTheme="minorHAnsi" w:cstheme="minorHAnsi"/>
          <w:szCs w:val="24"/>
        </w:rPr>
        <w:t>.</w:t>
      </w:r>
    </w:p>
    <w:p w14:paraId="2AA20891" w14:textId="036FA9E1" w:rsidR="00797E94" w:rsidRPr="002D66DE" w:rsidRDefault="00797E94" w:rsidP="00C176DF">
      <w:pPr>
        <w:pStyle w:val="Heading1"/>
      </w:pPr>
      <w:r w:rsidRPr="002D66DE">
        <w:t>3</w:t>
      </w:r>
      <w:r w:rsidRPr="002D66DE">
        <w:tab/>
        <w:t xml:space="preserve">Contributions des États Membres et des Membres de Secteur </w:t>
      </w:r>
    </w:p>
    <w:p w14:paraId="2AE1C954" w14:textId="275E6C72" w:rsidR="00797E94" w:rsidRPr="002D66DE" w:rsidRDefault="00797E94" w:rsidP="009F4D21">
      <w:r w:rsidRPr="002D66DE">
        <w:t>Le</w:t>
      </w:r>
      <w:r w:rsidR="00307B10" w:rsidRPr="002D66DE">
        <w:t xml:space="preserve">s </w:t>
      </w:r>
      <w:r w:rsidRPr="002D66DE">
        <w:t xml:space="preserve">diverses contributions </w:t>
      </w:r>
      <w:r w:rsidR="00307B10" w:rsidRPr="002D66DE">
        <w:t>soumises à la deuxième réunion ont été présentées au Groupe</w:t>
      </w:r>
      <w:r w:rsidR="00DC5EEB" w:rsidRPr="002D66DE">
        <w:t xml:space="preserve"> EG-RTI</w:t>
      </w:r>
      <w:r w:rsidR="00307B10" w:rsidRPr="002D66DE">
        <w:t xml:space="preserve"> qui en </w:t>
      </w:r>
      <w:r w:rsidRPr="002D66DE">
        <w:t>a pris note. On trouvera ci-après un résumé des contributions (telles qu</w:t>
      </w:r>
      <w:r w:rsidR="00DC5EEB" w:rsidRPr="002D66DE">
        <w:t>e</w:t>
      </w:r>
      <w:r w:rsidRPr="002D66DE">
        <w:t xml:space="preserve"> soumises par leurs auteurs) </w:t>
      </w:r>
      <w:r w:rsidR="00F94F0C" w:rsidRPr="002D66DE">
        <w:t xml:space="preserve">dans </w:t>
      </w:r>
      <w:r w:rsidR="00D214DF" w:rsidRPr="002D66DE">
        <w:t>l</w:t>
      </w:r>
      <w:r w:rsidR="009F4D21" w:rsidRPr="002D66DE">
        <w:t>'</w:t>
      </w:r>
      <w:r w:rsidR="00F94F0C" w:rsidRPr="002D66DE">
        <w:t xml:space="preserve">ordre </w:t>
      </w:r>
      <w:r w:rsidR="001C4DCE" w:rsidRPr="002D66DE">
        <w:t>d</w:t>
      </w:r>
      <w:r w:rsidR="00D214DF" w:rsidRPr="002D66DE">
        <w:t xml:space="preserve">ans lequel </w:t>
      </w:r>
      <w:r w:rsidR="006F75DF" w:rsidRPr="002D66DE">
        <w:t>celles-ci</w:t>
      </w:r>
      <w:r w:rsidR="00D214DF" w:rsidRPr="002D66DE">
        <w:t xml:space="preserve"> ont été</w:t>
      </w:r>
      <w:r w:rsidR="00F94F0C" w:rsidRPr="002D66DE">
        <w:t xml:space="preserve"> présent</w:t>
      </w:r>
      <w:r w:rsidR="00D214DF" w:rsidRPr="002D66DE">
        <w:t>ées</w:t>
      </w:r>
      <w:r w:rsidR="00F94F0C" w:rsidRPr="002D66DE">
        <w:t xml:space="preserve"> à la réunion</w:t>
      </w:r>
      <w:r w:rsidR="006F75DF" w:rsidRPr="002D66DE">
        <w:t>.</w:t>
      </w:r>
    </w:p>
    <w:p w14:paraId="2A0723F6" w14:textId="4DDE6C83" w:rsidR="00797E94" w:rsidRPr="002D66DE" w:rsidRDefault="00920195" w:rsidP="00C176DF">
      <w:pPr>
        <w:pStyle w:val="Heading2"/>
      </w:pPr>
      <w:r w:rsidRPr="002D66DE">
        <w:t>3.1</w:t>
      </w:r>
      <w:r w:rsidRPr="002D66DE">
        <w:tab/>
        <w:t xml:space="preserve">Contribution </w:t>
      </w:r>
      <w:hyperlink r:id="rId13" w:history="1">
        <w:r w:rsidRPr="002D66DE">
          <w:rPr>
            <w:rStyle w:val="Hyperlink"/>
            <w:bCs/>
          </w:rPr>
          <w:t>EG-ITRs-2/2</w:t>
        </w:r>
      </w:hyperlink>
      <w:r w:rsidRPr="002D66DE">
        <w:t xml:space="preserve"> de la Fédération de Russie – "</w:t>
      </w:r>
      <w:r w:rsidR="007C0B29" w:rsidRPr="002D66DE">
        <w:t>E</w:t>
      </w:r>
      <w:r w:rsidRPr="002D66DE">
        <w:t xml:space="preserve">xamen disposition par disposition des parties du règlement des télécommunications internationales à la deuxième réunion du groupe </w:t>
      </w:r>
      <w:r w:rsidR="00F94F0C" w:rsidRPr="002D66DE">
        <w:rPr>
          <w:rFonts w:asciiTheme="minorHAnsi" w:hAnsiTheme="minorHAnsi"/>
          <w:bCs/>
          <w:szCs w:val="24"/>
        </w:rPr>
        <w:t>EG-RTI</w:t>
      </w:r>
      <w:r w:rsidRPr="002D66DE">
        <w:t xml:space="preserve"> conformément au programme de travail adopté à la première réunion"</w:t>
      </w:r>
    </w:p>
    <w:p w14:paraId="336987A8" w14:textId="6C731898" w:rsidR="00920195" w:rsidRPr="002D66DE" w:rsidRDefault="00920195" w:rsidP="00C176DF">
      <w:r w:rsidRPr="002D66DE">
        <w:t xml:space="preserve">La position de la Fédération de Russie en ce qui concerne les dispositions du RTI qui seront examinées à la deuxième réunion du Groupe EG-RTI est présentée dans le Tableau 1 </w:t>
      </w:r>
      <w:r w:rsidR="00F94F0C" w:rsidRPr="002D66DE">
        <w:t>figurant dans l</w:t>
      </w:r>
      <w:r w:rsidR="009F4D21" w:rsidRPr="002D66DE">
        <w:t>'</w:t>
      </w:r>
      <w:r w:rsidR="00F94F0C" w:rsidRPr="002D66DE">
        <w:t>annexe à la contribution</w:t>
      </w:r>
      <w:r w:rsidRPr="002D66DE">
        <w:t>.</w:t>
      </w:r>
    </w:p>
    <w:p w14:paraId="72860009" w14:textId="77777777" w:rsidR="00920195" w:rsidRPr="002D66DE" w:rsidRDefault="00920195" w:rsidP="00C176DF">
      <w:r w:rsidRPr="002D66DE">
        <w:t>Il convient de noter que, dans de nombreux cas, la version de 1988 du RTI n'est plus adaptée compte tenu de l'évolution de l'écosystème des télécommunications/TIC depuis 1988, en particulier de l'éventail beaucoup plus large d'entités fournissant des services internationaux de télécommunication, qui dépasse largement les seules "exploitations privées reconnues". En outre, la version de 1988 du RTI utilise une terminologie qui n'est pas alignée sur celle utilisée dans la Constitution et dans la Convention de l'UIT, ainsi que des termes obsolètes, ce qui entraîne une mauvaise interprétation et/ou des erreurs dans l'application du Règlement.</w:t>
      </w:r>
    </w:p>
    <w:p w14:paraId="268350BE" w14:textId="7F5E0C99" w:rsidR="00571EEA" w:rsidRPr="002D66DE" w:rsidRDefault="00920195" w:rsidP="00C176DF">
      <w:r w:rsidRPr="002D66DE">
        <w:t>Afin d'améliorer encore le RTI, il serait utile d'y faire figurer des termes et/ou des dispositions se rapportant au service universel, à l'itinérance, aux communications non sollicitées et aux principales dispositions des Résolutions 20, 29, 52, 61, 65 et 91 de l'AMNT.</w:t>
      </w:r>
    </w:p>
    <w:p w14:paraId="56163793" w14:textId="7908A19D" w:rsidR="00920195" w:rsidRPr="002D66DE" w:rsidRDefault="007C0B29" w:rsidP="00C176DF">
      <w:pPr>
        <w:pStyle w:val="Heading2"/>
      </w:pPr>
      <w:r w:rsidRPr="002D66DE">
        <w:t>3.2</w:t>
      </w:r>
      <w:r w:rsidRPr="002D66DE">
        <w:tab/>
        <w:t xml:space="preserve">Contribution </w:t>
      </w:r>
      <w:hyperlink r:id="rId14" w:history="1">
        <w:r w:rsidRPr="002D66DE">
          <w:rPr>
            <w:rStyle w:val="Hyperlink"/>
            <w:bCs/>
          </w:rPr>
          <w:t>EG-ITRs-2/5</w:t>
        </w:r>
      </w:hyperlink>
      <w:r w:rsidRPr="002D66DE">
        <w:t xml:space="preserve"> du Royaume-Uni – "Examen de chacune des dispositions du RTI"</w:t>
      </w:r>
    </w:p>
    <w:p w14:paraId="2EE63FB3" w14:textId="16836E7D" w:rsidR="007C0B29" w:rsidRPr="002D66DE" w:rsidRDefault="007C0B29" w:rsidP="00C176DF">
      <w:bookmarkStart w:id="10" w:name="lt_pId018"/>
      <w:r w:rsidRPr="002D66DE">
        <w:t xml:space="preserve">Le Royaume-Uni </w:t>
      </w:r>
      <w:r w:rsidR="006E25AC" w:rsidRPr="002D66DE">
        <w:t>a</w:t>
      </w:r>
      <w:r w:rsidRPr="002D66DE">
        <w:t xml:space="preserve"> l'honneur de soumettre </w:t>
      </w:r>
      <w:r w:rsidR="00D214DF" w:rsidRPr="002D66DE">
        <w:t>la présente</w:t>
      </w:r>
      <w:r w:rsidRPr="002D66DE">
        <w:t xml:space="preserve"> contribution à la deuxième réunion du Groupe d'experts sur le RTI.</w:t>
      </w:r>
      <w:bookmarkEnd w:id="10"/>
      <w:r w:rsidRPr="002D66DE">
        <w:t xml:space="preserve"> </w:t>
      </w:r>
      <w:r w:rsidR="00D214DF" w:rsidRPr="002D66DE">
        <w:t>Nous nous</w:t>
      </w:r>
      <w:r w:rsidR="00177DE8" w:rsidRPr="002D66DE">
        <w:t xml:space="preserve"> félicit</w:t>
      </w:r>
      <w:r w:rsidR="00D214DF" w:rsidRPr="002D66DE">
        <w:t>ons</w:t>
      </w:r>
      <w:r w:rsidR="00177DE8" w:rsidRPr="002D66DE">
        <w:t xml:space="preserve"> de l</w:t>
      </w:r>
      <w:r w:rsidRPr="002D66DE">
        <w:t xml:space="preserve">'invitation qui </w:t>
      </w:r>
      <w:r w:rsidR="00D214DF" w:rsidRPr="002D66DE">
        <w:t>nous est</w:t>
      </w:r>
      <w:r w:rsidRPr="002D66DE">
        <w:t xml:space="preserve"> faite de soumettre des contributions pour appuyer l'examen de chacune des dispositions du RTI, conformément au mandat du Groupe. </w:t>
      </w:r>
      <w:r w:rsidR="00C10C4A" w:rsidRPr="002D66DE">
        <w:t>La présente</w:t>
      </w:r>
      <w:r w:rsidRPr="002D66DE">
        <w:t xml:space="preserve"> contribution porte sur les dispositions ci-après du </w:t>
      </w:r>
      <w:bookmarkStart w:id="11" w:name="lt_pId020"/>
      <w:r w:rsidRPr="002D66DE">
        <w:t>RTI: Préambule, Article 1, Article 2, Article 3 et Article 4</w:t>
      </w:r>
      <w:bookmarkEnd w:id="11"/>
      <w:r w:rsidRPr="002D66DE">
        <w:t>.</w:t>
      </w:r>
    </w:p>
    <w:p w14:paraId="2930176C" w14:textId="3EAD70BE" w:rsidR="007C0B29" w:rsidRPr="002D66DE" w:rsidRDefault="008D4677" w:rsidP="009F4D21">
      <w:pPr>
        <w:keepNext/>
        <w:keepLines/>
      </w:pPr>
      <w:r w:rsidRPr="002D66DE">
        <w:lastRenderedPageBreak/>
        <w:t>E</w:t>
      </w:r>
      <w:r w:rsidR="007C0B29" w:rsidRPr="002D66DE">
        <w:t>n</w:t>
      </w:r>
      <w:r w:rsidRPr="002D66DE">
        <w:t xml:space="preserve"> résumé,</w:t>
      </w:r>
      <w:r w:rsidR="00177DE8" w:rsidRPr="002D66DE">
        <w:t xml:space="preserve"> </w:t>
      </w:r>
      <w:r w:rsidR="00D214DF" w:rsidRPr="002D66DE">
        <w:t>nous</w:t>
      </w:r>
      <w:r w:rsidR="00177DE8" w:rsidRPr="002D66DE">
        <w:t xml:space="preserve"> </w:t>
      </w:r>
      <w:r w:rsidR="00965213" w:rsidRPr="002D66DE">
        <w:t>consid</w:t>
      </w:r>
      <w:r w:rsidR="00D214DF" w:rsidRPr="002D66DE">
        <w:t>érons</w:t>
      </w:r>
      <w:r w:rsidRPr="002D66DE">
        <w:t xml:space="preserve"> que le marché des </w:t>
      </w:r>
      <w:r w:rsidR="007C0B29" w:rsidRPr="002D66DE">
        <w:t>t</w:t>
      </w:r>
      <w:r w:rsidRPr="002D66DE">
        <w:t>é</w:t>
      </w:r>
      <w:r w:rsidR="007C0B29" w:rsidRPr="002D66DE">
        <w:t>l</w:t>
      </w:r>
      <w:r w:rsidRPr="002D66DE">
        <w:t>é</w:t>
      </w:r>
      <w:r w:rsidR="007C0B29" w:rsidRPr="002D66DE">
        <w:t xml:space="preserve">communications </w:t>
      </w:r>
      <w:r w:rsidRPr="002D66DE">
        <w:t>internationales est complètement différent aujourd</w:t>
      </w:r>
      <w:r w:rsidR="009F4D21" w:rsidRPr="002D66DE">
        <w:t>'</w:t>
      </w:r>
      <w:r w:rsidRPr="002D66DE">
        <w:t>hui, en 2020, de ce qu</w:t>
      </w:r>
      <w:r w:rsidR="009F4D21" w:rsidRPr="002D66DE">
        <w:t>'</w:t>
      </w:r>
      <w:r w:rsidRPr="002D66DE">
        <w:t xml:space="preserve">il était </w:t>
      </w:r>
      <w:r w:rsidR="001755CC" w:rsidRPr="002D66DE">
        <w:t>dans les années</w:t>
      </w:r>
      <w:r w:rsidRPr="002D66DE">
        <w:t xml:space="preserve"> </w:t>
      </w:r>
      <w:r w:rsidR="007C0B29" w:rsidRPr="002D66DE">
        <w:t xml:space="preserve">1980. </w:t>
      </w:r>
      <w:r w:rsidR="00965213" w:rsidRPr="002D66DE">
        <w:t xml:space="preserve">Le RTI </w:t>
      </w:r>
      <w:r w:rsidR="001755CC" w:rsidRPr="002D66DE">
        <w:t>a été conçu pour</w:t>
      </w:r>
      <w:r w:rsidR="00965213" w:rsidRPr="002D66DE">
        <w:t xml:space="preserve"> réglementer les </w:t>
      </w:r>
      <w:r w:rsidR="001755CC" w:rsidRPr="002D66DE">
        <w:t xml:space="preserve">arrangements </w:t>
      </w:r>
      <w:r w:rsidR="00A95870" w:rsidRPr="002D66DE">
        <w:t>permettant d</w:t>
      </w:r>
      <w:r w:rsidR="009F4D21" w:rsidRPr="002D66DE">
        <w:t>'</w:t>
      </w:r>
      <w:r w:rsidR="00AC61C4" w:rsidRPr="002D66DE">
        <w:t>établir</w:t>
      </w:r>
      <w:r w:rsidR="00965213" w:rsidRPr="002D66DE">
        <w:t xml:space="preserve"> et </w:t>
      </w:r>
      <w:r w:rsidR="00A95870" w:rsidRPr="002D66DE">
        <w:t xml:space="preserve">de </w:t>
      </w:r>
      <w:r w:rsidR="00965213" w:rsidRPr="002D66DE">
        <w:t>taxer</w:t>
      </w:r>
      <w:r w:rsidR="00AC61C4" w:rsidRPr="002D66DE">
        <w:t xml:space="preserve"> les communications téléphoniques internationales</w:t>
      </w:r>
      <w:r w:rsidR="001755CC" w:rsidRPr="002D66DE">
        <w:t>,</w:t>
      </w:r>
      <w:r w:rsidR="007C0B29" w:rsidRPr="002D66DE">
        <w:t xml:space="preserve"> </w:t>
      </w:r>
      <w:r w:rsidR="00A95870" w:rsidRPr="002D66DE">
        <w:t>à</w:t>
      </w:r>
      <w:r w:rsidR="00AC61C4" w:rsidRPr="002D66DE">
        <w:t xml:space="preserve"> une époque où les services téléphoniques étaient la plupart du temps fournis par des monopoles d</w:t>
      </w:r>
      <w:r w:rsidR="009F4D21" w:rsidRPr="002D66DE">
        <w:t>'</w:t>
      </w:r>
      <w:r w:rsidR="00AC61C4" w:rsidRPr="002D66DE">
        <w:t>État</w:t>
      </w:r>
      <w:r w:rsidR="007C0B29" w:rsidRPr="002D66DE">
        <w:t xml:space="preserve">. </w:t>
      </w:r>
    </w:p>
    <w:p w14:paraId="34FF4235" w14:textId="0DED388C" w:rsidR="007C0B29" w:rsidRPr="002D66DE" w:rsidRDefault="00AC61C4" w:rsidP="009F4D21">
      <w:r w:rsidRPr="002D66DE">
        <w:t>Aujourd</w:t>
      </w:r>
      <w:r w:rsidR="009F4D21" w:rsidRPr="002D66DE">
        <w:t>'</w:t>
      </w:r>
      <w:r w:rsidRPr="002D66DE">
        <w:t xml:space="preserve">hui, la téléphonie internationale est essentiellement gérée par des accords commerciaux </w:t>
      </w:r>
      <w:r w:rsidR="00A95870" w:rsidRPr="002D66DE">
        <w:t xml:space="preserve">conclus </w:t>
      </w:r>
      <w:r w:rsidRPr="002D66DE">
        <w:t>entre entreprises du secteur privé</w:t>
      </w:r>
      <w:r w:rsidR="007C0B29" w:rsidRPr="002D66DE">
        <w:t xml:space="preserve"> </w:t>
      </w:r>
      <w:r w:rsidR="00510A5F" w:rsidRPr="002D66DE">
        <w:t>–</w:t>
      </w:r>
      <w:r w:rsidR="007C0B29" w:rsidRPr="002D66DE">
        <w:t xml:space="preserve"> </w:t>
      </w:r>
      <w:r w:rsidR="00A95870" w:rsidRPr="002D66DE">
        <w:t xml:space="preserve">comme en témoigne </w:t>
      </w:r>
      <w:r w:rsidR="00510A5F" w:rsidRPr="002D66DE">
        <w:t>la contribution conjointe de</w:t>
      </w:r>
      <w:r w:rsidR="004C7683" w:rsidRPr="002D66DE">
        <w:t xml:space="preserve"> </w:t>
      </w:r>
      <w:r w:rsidR="007C0B29" w:rsidRPr="002D66DE">
        <w:t xml:space="preserve">America Movil, AT&amp;T, Bell Canada Mobility, Telefonica </w:t>
      </w:r>
      <w:r w:rsidR="00510A5F" w:rsidRPr="002D66DE">
        <w:t>et</w:t>
      </w:r>
      <w:r w:rsidR="007C0B29" w:rsidRPr="002D66DE">
        <w:t xml:space="preserve"> Verizon.</w:t>
      </w:r>
      <w:r w:rsidR="0089204E" w:rsidRPr="002D66DE">
        <w:t xml:space="preserve"> Une grande partie du </w:t>
      </w:r>
      <w:r w:rsidR="00510A5F" w:rsidRPr="002D66DE">
        <w:t xml:space="preserve">RTI </w:t>
      </w:r>
      <w:r w:rsidR="0089204E" w:rsidRPr="002D66DE">
        <w:t>n</w:t>
      </w:r>
      <w:r w:rsidR="009F4D21" w:rsidRPr="002D66DE">
        <w:t>'</w:t>
      </w:r>
      <w:r w:rsidR="0089204E" w:rsidRPr="002D66DE">
        <w:t>est</w:t>
      </w:r>
      <w:r w:rsidR="004C7683" w:rsidRPr="002D66DE">
        <w:t xml:space="preserve"> </w:t>
      </w:r>
      <w:r w:rsidR="0089204E" w:rsidRPr="002D66DE">
        <w:t>plus adaptée au marché mondial des télécommunications actuel</w:t>
      </w:r>
      <w:r w:rsidR="007C0B29" w:rsidRPr="002D66DE">
        <w:t>.</w:t>
      </w:r>
      <w:r w:rsidR="0089204E" w:rsidRPr="002D66DE">
        <w:t xml:space="preserve"> </w:t>
      </w:r>
      <w:r w:rsidR="00D214DF" w:rsidRPr="002D66DE">
        <w:t>Nous</w:t>
      </w:r>
      <w:r w:rsidR="00A92F1D" w:rsidRPr="002D66DE">
        <w:t xml:space="preserve"> rel</w:t>
      </w:r>
      <w:r w:rsidR="00D214DF" w:rsidRPr="002D66DE">
        <w:t xml:space="preserve">evons </w:t>
      </w:r>
      <w:r w:rsidR="0089204E" w:rsidRPr="002D66DE">
        <w:t>qu</w:t>
      </w:r>
      <w:r w:rsidR="009F4D21" w:rsidRPr="002D66DE">
        <w:t>'</w:t>
      </w:r>
      <w:r w:rsidR="00A92F1D" w:rsidRPr="002D66DE">
        <w:t>un grand</w:t>
      </w:r>
      <w:r w:rsidR="00997728" w:rsidRPr="002D66DE">
        <w:t xml:space="preserve"> </w:t>
      </w:r>
      <w:r w:rsidR="0089204E" w:rsidRPr="002D66DE">
        <w:t>nombre de dispositions du RTI sont des déclarations d</w:t>
      </w:r>
      <w:r w:rsidR="009F4D21" w:rsidRPr="002D66DE">
        <w:t>'</w:t>
      </w:r>
      <w:r w:rsidR="0089204E" w:rsidRPr="002D66DE">
        <w:t xml:space="preserve">intention ou des </w:t>
      </w:r>
      <w:r w:rsidR="000E301A" w:rsidRPr="002D66DE">
        <w:t>invitations à</w:t>
      </w:r>
      <w:r w:rsidR="007C0B29" w:rsidRPr="002D66DE">
        <w:t xml:space="preserve"> </w:t>
      </w:r>
      <w:r w:rsidR="00A92F1D" w:rsidRPr="002D66DE">
        <w:t>"</w:t>
      </w:r>
      <w:r w:rsidR="000E301A" w:rsidRPr="002D66DE">
        <w:t>faire tous les efforts possibles</w:t>
      </w:r>
      <w:r w:rsidR="00A92F1D" w:rsidRPr="002D66DE">
        <w:t>",</w:t>
      </w:r>
      <w:r w:rsidR="000E301A" w:rsidRPr="002D66DE">
        <w:t xml:space="preserve"> ou </w:t>
      </w:r>
      <w:r w:rsidR="00A92F1D" w:rsidRPr="002D66DE">
        <w:t>manquent de clarté</w:t>
      </w:r>
      <w:r w:rsidR="00997728" w:rsidRPr="002D66DE">
        <w:t>, ce qui signifie qu</w:t>
      </w:r>
      <w:r w:rsidR="009F4D21" w:rsidRPr="002D66DE">
        <w:t>'</w:t>
      </w:r>
      <w:r w:rsidR="00997728" w:rsidRPr="002D66DE">
        <w:t>elles ne sont pas juridiquement exécutoires</w:t>
      </w:r>
      <w:r w:rsidR="007C0B29" w:rsidRPr="002D66DE">
        <w:t xml:space="preserve">. </w:t>
      </w:r>
      <w:r w:rsidR="00A92F1D" w:rsidRPr="002D66DE">
        <w:t>En outre, de</w:t>
      </w:r>
      <w:r w:rsidR="00997728" w:rsidRPr="002D66DE">
        <w:t xml:space="preserve"> nombreuses dispositions du RTI </w:t>
      </w:r>
      <w:r w:rsidR="00A92F1D" w:rsidRPr="002D66DE">
        <w:t xml:space="preserve">font double emploi avec </w:t>
      </w:r>
      <w:r w:rsidR="006F75DF" w:rsidRPr="002D66DE">
        <w:t>les dispositions d</w:t>
      </w:r>
      <w:r w:rsidR="009F4D21" w:rsidRPr="002D66DE">
        <w:t>'</w:t>
      </w:r>
      <w:r w:rsidR="006F75DF" w:rsidRPr="002D66DE">
        <w:t>autres textes</w:t>
      </w:r>
      <w:r w:rsidR="00A92F1D" w:rsidRPr="002D66DE">
        <w:t xml:space="preserve"> existant</w:t>
      </w:r>
      <w:r w:rsidR="006F75DF" w:rsidRPr="002D66DE">
        <w:t>s</w:t>
      </w:r>
      <w:r w:rsidR="007C0B29" w:rsidRPr="002D66DE">
        <w:t>.</w:t>
      </w:r>
    </w:p>
    <w:p w14:paraId="3F9BB908" w14:textId="470BAA40" w:rsidR="007C0B29" w:rsidRPr="002D66DE" w:rsidRDefault="00D214DF" w:rsidP="009F4D21">
      <w:r w:rsidRPr="002D66DE">
        <w:t>Nous</w:t>
      </w:r>
      <w:r w:rsidR="000F7EDA" w:rsidRPr="002D66DE">
        <w:t xml:space="preserve"> estim</w:t>
      </w:r>
      <w:r w:rsidRPr="002D66DE">
        <w:t>ons</w:t>
      </w:r>
      <w:r w:rsidR="000F7EDA" w:rsidRPr="002D66DE">
        <w:t xml:space="preserve"> </w:t>
      </w:r>
      <w:r w:rsidR="00DC158A" w:rsidRPr="002D66DE">
        <w:t>que le fait d</w:t>
      </w:r>
      <w:r w:rsidR="009F4D21" w:rsidRPr="002D66DE">
        <w:t>'</w:t>
      </w:r>
      <w:r w:rsidR="00DC158A" w:rsidRPr="002D66DE">
        <w:t>accorder trop d</w:t>
      </w:r>
      <w:r w:rsidR="009F4D21" w:rsidRPr="002D66DE">
        <w:t>'</w:t>
      </w:r>
      <w:r w:rsidR="00DC158A" w:rsidRPr="002D66DE">
        <w:t>importance à</w:t>
      </w:r>
      <w:r w:rsidR="000F7EDA" w:rsidRPr="002D66DE">
        <w:t xml:space="preserve"> l</w:t>
      </w:r>
      <w:r w:rsidR="009F4D21" w:rsidRPr="002D66DE">
        <w:t>'</w:t>
      </w:r>
      <w:r w:rsidR="000F7EDA" w:rsidRPr="002D66DE">
        <w:t>intervention de l</w:t>
      </w:r>
      <w:r w:rsidR="009F4D21" w:rsidRPr="002D66DE">
        <w:t>'</w:t>
      </w:r>
      <w:r w:rsidR="00C82271" w:rsidRPr="002D66DE">
        <w:t>État</w:t>
      </w:r>
      <w:r w:rsidR="007C0B29" w:rsidRPr="002D66DE">
        <w:t xml:space="preserve"> </w:t>
      </w:r>
      <w:r w:rsidR="000F7EDA" w:rsidRPr="002D66DE">
        <w:t xml:space="preserve">et </w:t>
      </w:r>
      <w:r w:rsidR="00DC158A" w:rsidRPr="002D66DE">
        <w:t xml:space="preserve">à </w:t>
      </w:r>
      <w:r w:rsidR="000F7EDA" w:rsidRPr="002D66DE">
        <w:t>l</w:t>
      </w:r>
      <w:r w:rsidR="009F4D21" w:rsidRPr="002D66DE">
        <w:t>'</w:t>
      </w:r>
      <w:r w:rsidR="000F7EDA" w:rsidRPr="002D66DE">
        <w:t xml:space="preserve">adhésion </w:t>
      </w:r>
      <w:r w:rsidR="009F655C" w:rsidRPr="002D66DE">
        <w:t xml:space="preserve">à </w:t>
      </w:r>
      <w:r w:rsidR="000F7EDA" w:rsidRPr="002D66DE">
        <w:t xml:space="preserve">des normes techniques redondantes pourrait réellement </w:t>
      </w:r>
      <w:r w:rsidR="00DC158A" w:rsidRPr="002D66DE">
        <w:t>freiner</w:t>
      </w:r>
      <w:r w:rsidR="000F7EDA" w:rsidRPr="002D66DE">
        <w:t xml:space="preserve"> le développement des services de télécom</w:t>
      </w:r>
      <w:r w:rsidR="007C0B29" w:rsidRPr="002D66DE">
        <w:t xml:space="preserve">munication. </w:t>
      </w:r>
      <w:r w:rsidRPr="002D66DE">
        <w:t>Nous</w:t>
      </w:r>
      <w:r w:rsidR="00DC158A" w:rsidRPr="002D66DE">
        <w:t xml:space="preserve"> consid</w:t>
      </w:r>
      <w:r w:rsidRPr="002D66DE">
        <w:t>érons</w:t>
      </w:r>
      <w:r w:rsidR="00DC158A" w:rsidRPr="002D66DE">
        <w:t xml:space="preserve"> que</w:t>
      </w:r>
      <w:r w:rsidR="000F7EDA" w:rsidRPr="002D66DE">
        <w:t xml:space="preserve"> </w:t>
      </w:r>
      <w:r w:rsidR="00AF19E4" w:rsidRPr="002D66DE">
        <w:t>l</w:t>
      </w:r>
      <w:r w:rsidR="009F4D21" w:rsidRPr="002D66DE">
        <w:t>'</w:t>
      </w:r>
      <w:r w:rsidR="00AF19E4" w:rsidRPr="002D66DE">
        <w:t>existence de</w:t>
      </w:r>
      <w:r w:rsidR="00DC158A" w:rsidRPr="002D66DE">
        <w:t xml:space="preserve"> </w:t>
      </w:r>
      <w:r w:rsidR="00C82271" w:rsidRPr="002D66DE">
        <w:t>deux versions d</w:t>
      </w:r>
      <w:r w:rsidR="00DC158A" w:rsidRPr="002D66DE">
        <w:t>u</w:t>
      </w:r>
      <w:r w:rsidR="00C82271" w:rsidRPr="002D66DE">
        <w:t xml:space="preserve"> </w:t>
      </w:r>
      <w:r w:rsidR="00DC158A" w:rsidRPr="002D66DE">
        <w:t>Règlement</w:t>
      </w:r>
      <w:r w:rsidR="00C82271" w:rsidRPr="002D66DE">
        <w:t xml:space="preserve"> n</w:t>
      </w:r>
      <w:r w:rsidR="009F4D21" w:rsidRPr="002D66DE">
        <w:t>'</w:t>
      </w:r>
      <w:r w:rsidR="00C82271" w:rsidRPr="002D66DE">
        <w:t xml:space="preserve">a </w:t>
      </w:r>
      <w:r w:rsidR="00DC158A" w:rsidRPr="002D66DE">
        <w:t>causé aucune</w:t>
      </w:r>
      <w:r w:rsidR="00C82271" w:rsidRPr="002D66DE">
        <w:t xml:space="preserve"> difficulté ni entravé d</w:t>
      </w:r>
      <w:r w:rsidR="009F4D21" w:rsidRPr="002D66DE">
        <w:t>'</w:t>
      </w:r>
      <w:r w:rsidR="00C82271" w:rsidRPr="002D66DE">
        <w:t>aucune façon le développement des communications mondiales,</w:t>
      </w:r>
      <w:r w:rsidR="007C0B29" w:rsidRPr="002D66DE">
        <w:t xml:space="preserve"> </w:t>
      </w:r>
      <w:r w:rsidR="00C82271" w:rsidRPr="002D66DE">
        <w:t>qu</w:t>
      </w:r>
      <w:r w:rsidR="009F4D21" w:rsidRPr="002D66DE">
        <w:t>'</w:t>
      </w:r>
      <w:r w:rsidR="00C82271" w:rsidRPr="002D66DE">
        <w:t>il n</w:t>
      </w:r>
      <w:r w:rsidR="009F4D21" w:rsidRPr="002D66DE">
        <w:t>'</w:t>
      </w:r>
      <w:r w:rsidR="00C82271" w:rsidRPr="002D66DE">
        <w:t>y a clairement pas de consensus sur cette question entre les États Membres de l</w:t>
      </w:r>
      <w:r w:rsidR="009F4D21" w:rsidRPr="002D66DE">
        <w:t>'</w:t>
      </w:r>
      <w:r w:rsidR="00C82271" w:rsidRPr="002D66DE">
        <w:t xml:space="preserve">UIT et que </w:t>
      </w:r>
      <w:r w:rsidR="00AF19E4" w:rsidRPr="002D66DE">
        <w:t>toute tentative de révision de</w:t>
      </w:r>
      <w:r w:rsidR="00C82271" w:rsidRPr="002D66DE">
        <w:t xml:space="preserve"> ce traité pourrait </w:t>
      </w:r>
      <w:r w:rsidR="00AF19E4" w:rsidRPr="002D66DE">
        <w:t>engendrer</w:t>
      </w:r>
      <w:r w:rsidR="00C82271" w:rsidRPr="002D66DE">
        <w:t xml:space="preserve"> de nouvelles divisions</w:t>
      </w:r>
      <w:r w:rsidR="007C0B29" w:rsidRPr="002D66DE">
        <w:t>.</w:t>
      </w:r>
    </w:p>
    <w:p w14:paraId="54163036" w14:textId="1D26AF07" w:rsidR="007C0B29" w:rsidRPr="002D66DE" w:rsidRDefault="00D214DF" w:rsidP="009F4D21">
      <w:r w:rsidRPr="002D66DE">
        <w:t xml:space="preserve">Nous </w:t>
      </w:r>
      <w:r w:rsidR="00C82271" w:rsidRPr="002D66DE">
        <w:t>attend</w:t>
      </w:r>
      <w:r w:rsidRPr="002D66DE">
        <w:t>ons</w:t>
      </w:r>
      <w:r w:rsidR="00C82271" w:rsidRPr="002D66DE">
        <w:t xml:space="preserve"> avec intérêt </w:t>
      </w:r>
      <w:r w:rsidR="005E2F9E" w:rsidRPr="002D66DE">
        <w:t>d</w:t>
      </w:r>
      <w:r w:rsidR="009F4D21" w:rsidRPr="002D66DE">
        <w:t>'</w:t>
      </w:r>
      <w:r w:rsidR="005E2F9E" w:rsidRPr="002D66DE">
        <w:t>examiner les di</w:t>
      </w:r>
      <w:r w:rsidR="00C82271" w:rsidRPr="002D66DE">
        <w:t xml:space="preserve">verses contributions </w:t>
      </w:r>
      <w:r w:rsidR="005E2F9E" w:rsidRPr="002D66DE">
        <w:t>afin</w:t>
      </w:r>
      <w:r w:rsidR="00C82271" w:rsidRPr="002D66DE">
        <w:t xml:space="preserve"> d</w:t>
      </w:r>
      <w:r w:rsidR="009F4D21" w:rsidRPr="002D66DE">
        <w:t>'</w:t>
      </w:r>
      <w:r w:rsidR="00C82271" w:rsidRPr="002D66DE">
        <w:t xml:space="preserve">avoir une meilleure compréhension des </w:t>
      </w:r>
      <w:r w:rsidR="005E2F9E" w:rsidRPr="002D66DE">
        <w:t>divergences de</w:t>
      </w:r>
      <w:r w:rsidR="00C82271" w:rsidRPr="002D66DE">
        <w:t xml:space="preserve"> vues et des points d</w:t>
      </w:r>
      <w:r w:rsidR="009F4D21" w:rsidRPr="002D66DE">
        <w:t>'</w:t>
      </w:r>
      <w:r w:rsidR="00C82271" w:rsidRPr="002D66DE">
        <w:t xml:space="preserve">accord </w:t>
      </w:r>
      <w:r w:rsidR="005E2F9E" w:rsidRPr="002D66DE">
        <w:t>pour</w:t>
      </w:r>
      <w:r w:rsidR="00C82271" w:rsidRPr="002D66DE">
        <w:t xml:space="preserve"> l</w:t>
      </w:r>
      <w:r w:rsidR="009F4D21" w:rsidRPr="002D66DE">
        <w:t>'</w:t>
      </w:r>
      <w:r w:rsidR="00C82271" w:rsidRPr="002D66DE">
        <w:t>avenir</w:t>
      </w:r>
      <w:r w:rsidR="007C0B29" w:rsidRPr="002D66DE">
        <w:t>.</w:t>
      </w:r>
      <w:r w:rsidR="004C7683" w:rsidRPr="002D66DE">
        <w:t xml:space="preserve"> </w:t>
      </w:r>
    </w:p>
    <w:p w14:paraId="359C2B0D" w14:textId="3B58E0A5" w:rsidR="007C0B29" w:rsidRPr="002D66DE" w:rsidRDefault="007C0B29" w:rsidP="00C176DF">
      <w:pPr>
        <w:pStyle w:val="Heading2"/>
        <w:rPr>
          <w:bCs/>
        </w:rPr>
      </w:pPr>
      <w:r w:rsidRPr="002D66DE">
        <w:rPr>
          <w:rFonts w:asciiTheme="minorHAnsi" w:hAnsiTheme="minorHAnsi" w:cstheme="minorHAnsi"/>
          <w:szCs w:val="24"/>
        </w:rPr>
        <w:t>3.3</w:t>
      </w:r>
      <w:r w:rsidRPr="002D66DE">
        <w:rPr>
          <w:rFonts w:asciiTheme="minorHAnsi" w:hAnsiTheme="minorHAnsi" w:cstheme="minorHAnsi"/>
          <w:szCs w:val="24"/>
        </w:rPr>
        <w:tab/>
        <w:t xml:space="preserve">Contribution </w:t>
      </w:r>
      <w:hyperlink r:id="rId15" w:history="1">
        <w:r w:rsidRPr="002D66DE">
          <w:rPr>
            <w:rStyle w:val="Hyperlink"/>
            <w:rFonts w:asciiTheme="minorHAnsi" w:hAnsiTheme="minorHAnsi" w:cstheme="minorHAnsi"/>
            <w:szCs w:val="24"/>
          </w:rPr>
          <w:t>EG-ITRs-2/7</w:t>
        </w:r>
      </w:hyperlink>
      <w:r w:rsidRPr="002D66DE">
        <w:t xml:space="preserve"> des États-Unis, </w:t>
      </w:r>
      <w:r w:rsidR="00297A92" w:rsidRPr="002D66DE">
        <w:t xml:space="preserve">du </w:t>
      </w:r>
      <w:r w:rsidRPr="002D66DE">
        <w:t>Canada</w:t>
      </w:r>
      <w:r w:rsidR="00297A92" w:rsidRPr="002D66DE">
        <w:t xml:space="preserve"> et de l</w:t>
      </w:r>
      <w:r w:rsidR="009F4D21" w:rsidRPr="002D66DE">
        <w:t>'</w:t>
      </w:r>
      <w:r w:rsidRPr="002D66DE">
        <w:t xml:space="preserve">Australie et </w:t>
      </w:r>
      <w:r w:rsidR="00A95870" w:rsidRPr="002D66DE">
        <w:t xml:space="preserve">du </w:t>
      </w:r>
      <w:r w:rsidRPr="002D66DE">
        <w:t>Guatemala – "</w:t>
      </w:r>
      <w:r w:rsidRPr="002D66DE">
        <w:rPr>
          <w:bCs/>
        </w:rPr>
        <w:t>Points de vue sur l'examen de chacune des dispositions de la version de 2012 du Règlement des télécommunications internationales"</w:t>
      </w:r>
    </w:p>
    <w:p w14:paraId="36D922E9" w14:textId="19402C48" w:rsidR="007C0B29" w:rsidRPr="002D66DE" w:rsidRDefault="007C0B29" w:rsidP="00C176DF">
      <w:r w:rsidRPr="002D66DE">
        <w:t>Conformément au programme de travail approuvé à la réunion du Groupe d'experts sur le Règlement des télécommunications internationales (EG-RTI) tenue en septembre, l'Australie, le Canada</w:t>
      </w:r>
      <w:r w:rsidR="00A95870" w:rsidRPr="002D66DE">
        <w:t>, l</w:t>
      </w:r>
      <w:r w:rsidRPr="002D66DE">
        <w:t>es États-Unis</w:t>
      </w:r>
      <w:r w:rsidR="00A95870" w:rsidRPr="002D66DE">
        <w:t xml:space="preserve"> et le Guatemala</w:t>
      </w:r>
      <w:r w:rsidRPr="002D66DE">
        <w:t xml:space="preserve"> ont l'honneur de soumettre leurs points de vue concernant le Préambule et les Articles 1 à 4 du RTI dans sa version de 2012. Nous estimons que la plupart des dispositions détaillées du RTI dans sa version de 2012 ne sont ni applicables, ni utilisables dans la pratique dans l'environnement actuel des communications. Toute tentative visant à réviser la version de 2012 du RTI afin de tenir compte de la conjoncture économique actuelle et des technologies et services qui se font jour connaîtra le même sort que les dispositions en vigueur, à savoir qu'en raison de l'évolution rapide de l'environnement commercial et réglementaire, les dispositions détaillées ayant valeur de traité seront toujours obsolètes.</w:t>
      </w:r>
    </w:p>
    <w:p w14:paraId="10A62107" w14:textId="3BAE1F04" w:rsidR="007C0B29" w:rsidRPr="002D66DE" w:rsidRDefault="007C0B29" w:rsidP="00C176DF">
      <w:pPr>
        <w:pStyle w:val="Heading2"/>
        <w:rPr>
          <w:rFonts w:cstheme="minorHAnsi"/>
          <w:szCs w:val="24"/>
        </w:rPr>
      </w:pPr>
      <w:r w:rsidRPr="002D66DE">
        <w:t>3.4</w:t>
      </w:r>
      <w:r w:rsidRPr="002D66DE">
        <w:tab/>
        <w:t xml:space="preserve">Contribution </w:t>
      </w:r>
      <w:hyperlink r:id="rId16" w:history="1">
        <w:hyperlink r:id="rId17" w:history="1">
          <w:r w:rsidRPr="002D66DE">
            <w:rPr>
              <w:rStyle w:val="Hyperlink"/>
              <w:rFonts w:asciiTheme="minorHAnsi" w:hAnsiTheme="minorHAnsi" w:cstheme="minorHAnsi"/>
              <w:spacing w:val="-4"/>
              <w:szCs w:val="24"/>
            </w:rPr>
            <w:t>EG-ITRs-2/8</w:t>
          </w:r>
        </w:hyperlink>
        <w:r w:rsidRPr="002D66DE">
          <w:t xml:space="preserve"> de l'Afrique du Sud – "Examen détaillé du règlement des télécommunications internationales"</w:t>
        </w:r>
      </w:hyperlink>
    </w:p>
    <w:p w14:paraId="21E8AEA7" w14:textId="4DEF7283" w:rsidR="007C0B29" w:rsidRPr="002D66DE" w:rsidRDefault="007C0B29" w:rsidP="00C176DF">
      <w:r w:rsidRPr="002D66DE">
        <w:t>La République sudafricaine est reconnaissante de la possibilité qui lui est donnée de participer à nouveau aux travaux importants menés par le Groupe d'experts sur le Règlement des télécommunications internationales (EG-RTI) concernant l'examen détaillé du Règlement des télécommunications internationales (RTI).</w:t>
      </w:r>
    </w:p>
    <w:p w14:paraId="176C8AFB" w14:textId="1D211571" w:rsidR="007C0B29" w:rsidRPr="002D66DE" w:rsidRDefault="007C0B29" w:rsidP="00C55BDB">
      <w:pPr>
        <w:keepNext/>
        <w:keepLines/>
      </w:pPr>
      <w:r w:rsidRPr="002D66DE">
        <w:lastRenderedPageBreak/>
        <w:t>Les États Membres n'ont pas été en mesure de s'entendre sur un RTI à adopter ou à mettre en œuvre par tous. Dans le cadre de la conduite de cet examen détaillé du RTI, il est rappelé aux États Membres ce qui suit: "L'UIT est déterminée à connecter tous les habitants de la planète – quel que soit l'endroit où ils vivent et quels que soient leurs moyens. Par son travail, elle protège et appuie le droit de chacun à communiquer".</w:t>
      </w:r>
    </w:p>
    <w:p w14:paraId="3A1C8E4F" w14:textId="7ED684B3" w:rsidR="007C0B29" w:rsidRPr="002D66DE" w:rsidRDefault="007C0B29" w:rsidP="00C176DF">
      <w:r w:rsidRPr="002D66DE">
        <w:t xml:space="preserve">Ayant pris note des discussions tenues lors de la réunion du Groupe EG-RTI des 16 </w:t>
      </w:r>
      <w:r w:rsidR="00297A92" w:rsidRPr="002D66DE">
        <w:t>e</w:t>
      </w:r>
      <w:r w:rsidRPr="002D66DE">
        <w:t>t 17 septembre 2019,</w:t>
      </w:r>
      <w:r w:rsidR="004C7683" w:rsidRPr="002D66DE">
        <w:t xml:space="preserve"> </w:t>
      </w:r>
      <w:r w:rsidR="005033CE" w:rsidRPr="002D66DE">
        <w:t xml:space="preserve">ainsi que </w:t>
      </w:r>
      <w:r w:rsidRPr="002D66DE">
        <w:t xml:space="preserve">du programme de travail et du </w:t>
      </w:r>
      <w:r w:rsidR="00562608" w:rsidRPr="002D66DE">
        <w:t>t</w:t>
      </w:r>
      <w:r w:rsidRPr="002D66DE">
        <w:t>ableau d'examen</w:t>
      </w:r>
      <w:r w:rsidR="005033CE" w:rsidRPr="002D66DE">
        <w:t xml:space="preserve"> qui ont été approuvés</w:t>
      </w:r>
      <w:r w:rsidRPr="002D66DE">
        <w:t>, la République sudafricaine soumet la présente contribution relative à l'examen disposition par disposition de la version de 2012 du RTI, en particulier le Préambule et les Articles</w:t>
      </w:r>
      <w:r w:rsidR="00C55BDB" w:rsidRPr="002D66DE">
        <w:t> </w:t>
      </w:r>
      <w:r w:rsidRPr="002D66DE">
        <w:t>1 à 4</w:t>
      </w:r>
      <w:r w:rsidR="009949A8" w:rsidRPr="002D66DE">
        <w:t xml:space="preserve"> </w:t>
      </w:r>
      <w:r w:rsidR="00C55BDB" w:rsidRPr="002D66DE">
        <w:t>−</w:t>
      </w:r>
      <w:r w:rsidR="009949A8" w:rsidRPr="002D66DE">
        <w:t xml:space="preserve"> V</w:t>
      </w:r>
      <w:r w:rsidRPr="002D66DE">
        <w:t>oir l'Annexe I</w:t>
      </w:r>
      <w:r w:rsidR="009949A8" w:rsidRPr="002D66DE">
        <w:t xml:space="preserve"> à la contribution</w:t>
      </w:r>
      <w:r w:rsidRPr="002D66DE">
        <w:t>.</w:t>
      </w:r>
    </w:p>
    <w:p w14:paraId="17580FFA" w14:textId="65E214EB" w:rsidR="007C0B29" w:rsidRPr="002D66DE" w:rsidRDefault="007C0B29" w:rsidP="00C176DF">
      <w:r w:rsidRPr="002D66DE">
        <w:t>Ayant en outre pris note des divergences d'opinion entre États Membres concernant la pertinence du RTI, la République sudafricaine a tenu des consultations avec les exploitations autorisées sur cette question. Les résultats de ces consultations font l'objet de l'Annexe II</w:t>
      </w:r>
      <w:r w:rsidR="009949A8" w:rsidRPr="002D66DE">
        <w:rPr>
          <w:b/>
          <w:bCs/>
        </w:rPr>
        <w:t xml:space="preserve"> </w:t>
      </w:r>
      <w:r w:rsidR="006F75DF" w:rsidRPr="002D66DE">
        <w:t>à</w:t>
      </w:r>
      <w:r w:rsidR="009949A8" w:rsidRPr="002D66DE">
        <w:t xml:space="preserve"> la contribution</w:t>
      </w:r>
      <w:r w:rsidRPr="002D66DE">
        <w:t>.</w:t>
      </w:r>
    </w:p>
    <w:p w14:paraId="04B14792" w14:textId="18570131" w:rsidR="007C0B29" w:rsidRPr="002D66DE" w:rsidRDefault="007C0B29" w:rsidP="00C176DF">
      <w:pPr>
        <w:pStyle w:val="Heading2"/>
      </w:pPr>
      <w:r w:rsidRPr="002D66DE">
        <w:t>3.5</w:t>
      </w:r>
      <w:r w:rsidRPr="002D66DE">
        <w:tab/>
        <w:t xml:space="preserve">Contribution </w:t>
      </w:r>
      <w:hyperlink r:id="rId18" w:history="1">
        <w:r w:rsidRPr="002D66DE">
          <w:rPr>
            <w:rStyle w:val="Hyperlink"/>
            <w:bCs/>
          </w:rPr>
          <w:t>EG-ITRs-2/9</w:t>
        </w:r>
      </w:hyperlink>
      <w:r w:rsidRPr="002D66DE">
        <w:t xml:space="preserve"> de la Côte d'Ivoire – "Tableau d</w:t>
      </w:r>
      <w:r w:rsidR="006A0602" w:rsidRPr="002D66DE">
        <w:t>'</w:t>
      </w:r>
      <w:r w:rsidRPr="002D66DE">
        <w:t xml:space="preserve">examen des dispositions du </w:t>
      </w:r>
      <w:r w:rsidR="009949A8" w:rsidRPr="002D66DE">
        <w:t>RTI</w:t>
      </w:r>
      <w:r w:rsidRPr="002D66DE">
        <w:t>: Préambule – Article 4"</w:t>
      </w:r>
    </w:p>
    <w:p w14:paraId="7B2CDA59" w14:textId="1873DFFB" w:rsidR="007C0B29" w:rsidRPr="002D66DE" w:rsidRDefault="007C0B29" w:rsidP="00C176DF">
      <w:r w:rsidRPr="002D66DE">
        <w:t>Comme convenu à la réunion du Groupe EG-RTI tenue en septembre 2019, la Côte d</w:t>
      </w:r>
      <w:r w:rsidR="006A0602" w:rsidRPr="002D66DE">
        <w:t>'</w:t>
      </w:r>
      <w:r w:rsidRPr="002D66DE">
        <w:t>Ivoire a examiné l</w:t>
      </w:r>
      <w:r w:rsidR="006A0602" w:rsidRPr="002D66DE">
        <w:t>'</w:t>
      </w:r>
      <w:r w:rsidRPr="002D66DE">
        <w:t>applicabilité et la souplesse des dispositions du RTI allant du Préambule à l</w:t>
      </w:r>
      <w:r w:rsidR="006A0602" w:rsidRPr="002D66DE">
        <w:t>'</w:t>
      </w:r>
      <w:r w:rsidRPr="002D66DE">
        <w:t>Article 4. Cet examen s</w:t>
      </w:r>
      <w:r w:rsidR="006A0602" w:rsidRPr="002D66DE">
        <w:t>'</w:t>
      </w:r>
      <w:r w:rsidRPr="002D66DE">
        <w:t xml:space="preserve">est effectué conformément au </w:t>
      </w:r>
      <w:r w:rsidR="00C55BDB" w:rsidRPr="002D66DE">
        <w:t>"</w:t>
      </w:r>
      <w:r w:rsidRPr="002D66DE">
        <w:t>tableau d</w:t>
      </w:r>
      <w:r w:rsidR="006A0602" w:rsidRPr="002D66DE">
        <w:t>'</w:t>
      </w:r>
      <w:r w:rsidRPr="002D66DE">
        <w:t>examen</w:t>
      </w:r>
      <w:r w:rsidR="00C55BDB" w:rsidRPr="002D66DE">
        <w:t>"</w:t>
      </w:r>
      <w:r w:rsidRPr="002D66DE">
        <w:t xml:space="preserve"> et au programme de travail </w:t>
      </w:r>
      <w:r w:rsidR="00562608" w:rsidRPr="002D66DE">
        <w:t>validés</w:t>
      </w:r>
      <w:r w:rsidRPr="002D66DE">
        <w:t xml:space="preserve"> et disponibles aux </w:t>
      </w:r>
      <w:r w:rsidR="00C55BDB" w:rsidRPr="002D66DE">
        <w:t>A</w:t>
      </w:r>
      <w:r w:rsidRPr="002D66DE">
        <w:t>nnexes 1 et 3 du compte</w:t>
      </w:r>
      <w:r w:rsidR="00562608" w:rsidRPr="002D66DE">
        <w:t>-</w:t>
      </w:r>
      <w:r w:rsidRPr="002D66DE">
        <w:t>rendu de la réunion du groupe EG-RTI de septembre</w:t>
      </w:r>
      <w:r w:rsidR="00C55BDB" w:rsidRPr="002D66DE">
        <w:t> </w:t>
      </w:r>
      <w:r w:rsidRPr="002D66DE">
        <w:t>2019.</w:t>
      </w:r>
    </w:p>
    <w:p w14:paraId="0F00213F" w14:textId="2996099E" w:rsidR="007C0B29" w:rsidRPr="002D66DE" w:rsidRDefault="0004376B" w:rsidP="00C176DF">
      <w:pPr>
        <w:pStyle w:val="Heading2"/>
      </w:pPr>
      <w:r w:rsidRPr="002D66DE">
        <w:t>3.6</w:t>
      </w:r>
      <w:r w:rsidRPr="002D66DE">
        <w:tab/>
        <w:t xml:space="preserve">Contribution </w:t>
      </w:r>
      <w:hyperlink r:id="rId19" w:history="1">
        <w:r w:rsidRPr="002D66DE">
          <w:rPr>
            <w:rStyle w:val="Hyperlink"/>
            <w:bCs/>
          </w:rPr>
          <w:t>EG-ITRs-2/10</w:t>
        </w:r>
      </w:hyperlink>
      <w:r w:rsidRPr="002D66DE">
        <w:t xml:space="preserve"> de la République arabe d'Égypte et du Royaume d'Arabie saoudite – "Examen disposition par disposition du Règlement des télécommunications internationales"</w:t>
      </w:r>
    </w:p>
    <w:p w14:paraId="7BFBB515" w14:textId="145096DC" w:rsidR="0004376B" w:rsidRPr="002D66DE" w:rsidRDefault="0004376B" w:rsidP="00C55BDB">
      <w:r w:rsidRPr="002D66DE">
        <w:t xml:space="preserve">L'Égypte et l'Arabie saoudite sont reconnaissantes d'avoir la possibilité de participer aux travaux du Groupe d'experts sur le Règlement des télécommunications internationales (EG-RTI). Nous sommes convaincus que l'examen disposition par disposition du Règlement sera très utile et guidera les travaux sur l'avenir du RTI. </w:t>
      </w:r>
      <w:r w:rsidR="0064119C" w:rsidRPr="002D66DE">
        <w:t>L</w:t>
      </w:r>
      <w:r w:rsidRPr="002D66DE">
        <w:t>a position de l'Égypte et de l'Arabie saoudite concernant les dispositions du Préambule et des Articles 1, 2, 3 et 4</w:t>
      </w:r>
      <w:r w:rsidR="0064119C" w:rsidRPr="002D66DE">
        <w:t xml:space="preserve"> est exposée dans le tableau d</w:t>
      </w:r>
      <w:r w:rsidR="009F4D21" w:rsidRPr="002D66DE">
        <w:t>'</w:t>
      </w:r>
      <w:r w:rsidR="0064119C" w:rsidRPr="002D66DE">
        <w:t>examen figurant dans la contribution</w:t>
      </w:r>
      <w:r w:rsidRPr="002D66DE">
        <w:t>.</w:t>
      </w:r>
    </w:p>
    <w:p w14:paraId="6A7012FD" w14:textId="568F2FA8" w:rsidR="0004376B" w:rsidRPr="002D66DE" w:rsidRDefault="00304489" w:rsidP="00C176DF">
      <w:pPr>
        <w:pStyle w:val="Heading2"/>
      </w:pPr>
      <w:r w:rsidRPr="002D66DE">
        <w:t>3.7</w:t>
      </w:r>
      <w:r w:rsidRPr="002D66DE">
        <w:tab/>
        <w:t xml:space="preserve">Contribution </w:t>
      </w:r>
      <w:hyperlink r:id="rId20" w:history="1">
        <w:r w:rsidRPr="002D66DE">
          <w:rPr>
            <w:rStyle w:val="Hyperlink"/>
            <w:bCs/>
          </w:rPr>
          <w:t>EG-ITRs-2/11</w:t>
        </w:r>
      </w:hyperlink>
      <w:r w:rsidRPr="002D66DE">
        <w:t xml:space="preserve"> de la République du Zimbabwe – "Examen disposition par disposition du règlement des télécommunications internationales"</w:t>
      </w:r>
    </w:p>
    <w:p w14:paraId="4E24233C" w14:textId="2064D548" w:rsidR="00304489" w:rsidRPr="002D66DE" w:rsidRDefault="00304489" w:rsidP="00C176DF">
      <w:bookmarkStart w:id="12" w:name="lt_pId013"/>
      <w:r w:rsidRPr="002D66DE">
        <w:t>Le Zimbabwe a l'honneur de soumettre son point de vue et ses observations concernant l'examen détaillé du Règlement des télécommunications internationales conformément au programme de travail approuvé par le Groupe d'experts sur le Règlement des télécommunications internationales (EG-RTI) à sa réunion de septembre.</w:t>
      </w:r>
      <w:bookmarkEnd w:id="12"/>
    </w:p>
    <w:p w14:paraId="4FA00363" w14:textId="14EA208F" w:rsidR="00304489" w:rsidRPr="002D66DE" w:rsidRDefault="00304489" w:rsidP="00C176DF">
      <w:bookmarkStart w:id="13" w:name="lt_pId015"/>
      <w:r w:rsidRPr="002D66DE">
        <w:t>Le Zimbabwe a tenu des consultations avec le secteur privé concernant l'applicabilité et la souplesse de la version de 2012 du Règlement des télécommunications internationales. D'une manière générale, il est ressorti des consultations que les opérateurs considèrent que le RTI est pertinent pour ce qui est de réguler les télécommunications internationales. Des propositions de révision de certaines dispositions ont par ailleurs été proposées et sont reproduites dans l'Annexe</w:t>
      </w:r>
      <w:r w:rsidR="00C55BDB" w:rsidRPr="002D66DE">
        <w:t> </w:t>
      </w:r>
      <w:r w:rsidRPr="002D66DE">
        <w:t>1</w:t>
      </w:r>
      <w:r w:rsidR="0064119C" w:rsidRPr="002D66DE">
        <w:t xml:space="preserve"> </w:t>
      </w:r>
      <w:r w:rsidR="006F75DF" w:rsidRPr="002D66DE">
        <w:t>à</w:t>
      </w:r>
      <w:r w:rsidR="0064119C" w:rsidRPr="002D66DE">
        <w:t xml:space="preserve"> la contribution</w:t>
      </w:r>
      <w:r w:rsidRPr="002D66DE">
        <w:t>.</w:t>
      </w:r>
      <w:bookmarkEnd w:id="13"/>
    </w:p>
    <w:p w14:paraId="4A6D652E" w14:textId="02A73E09" w:rsidR="00304489" w:rsidRPr="002D66DE" w:rsidRDefault="00304489" w:rsidP="00C176DF">
      <w:pPr>
        <w:pStyle w:val="Heading2"/>
      </w:pPr>
      <w:r w:rsidRPr="002D66DE">
        <w:rPr>
          <w:bCs/>
        </w:rPr>
        <w:lastRenderedPageBreak/>
        <w:t>3.8</w:t>
      </w:r>
      <w:r w:rsidRPr="002D66DE">
        <w:rPr>
          <w:bCs/>
        </w:rPr>
        <w:tab/>
        <w:t xml:space="preserve">Contribution </w:t>
      </w:r>
      <w:hyperlink r:id="rId21" w:history="1">
        <w:r w:rsidRPr="002D66DE">
          <w:rPr>
            <w:rStyle w:val="Hyperlink"/>
            <w:bCs/>
          </w:rPr>
          <w:t>EG-ITRs-2/3</w:t>
        </w:r>
      </w:hyperlink>
      <w:r w:rsidRPr="002D66DE">
        <w:t xml:space="preserve"> du Canada – "Réponse au questionnaire de la CITEL"</w:t>
      </w:r>
    </w:p>
    <w:p w14:paraId="55AE7573" w14:textId="74EFD1D5" w:rsidR="00304489" w:rsidRPr="002D66DE" w:rsidRDefault="00304489" w:rsidP="00C176DF">
      <w:r w:rsidRPr="002D66DE">
        <w:t xml:space="preserve">Au cours de la réunion du Groupe EG-RTI tenue en septembre 2019, les administrations du Commonwealth des Bahamas, du Brésil, du Canada, du Mexique, du Paraguay et des États-Unis d'Amérique ont décidé de transmettre les questions ci-dessous à toutes les administrations des États membres ainsi qu'à tous </w:t>
      </w:r>
      <w:r w:rsidR="0064119C" w:rsidRPr="002D66DE">
        <w:t xml:space="preserve">les </w:t>
      </w:r>
      <w:r w:rsidRPr="002D66DE">
        <w:t>membres associés de la CITEL.</w:t>
      </w:r>
    </w:p>
    <w:p w14:paraId="20DCB317" w14:textId="77777777" w:rsidR="00304489" w:rsidRPr="002D66DE" w:rsidRDefault="00304489" w:rsidP="00C176DF">
      <w:r w:rsidRPr="002D66DE">
        <w:t>"Compte tenu du mandat défini dans la Résolution 1379 du Conseil:</w:t>
      </w:r>
    </w:p>
    <w:p w14:paraId="4DCF4BED" w14:textId="77777777" w:rsidR="00304489" w:rsidRPr="002D66DE" w:rsidRDefault="00304489" w:rsidP="00C176DF">
      <w:pPr>
        <w:pStyle w:val="enumlev1"/>
      </w:pPr>
      <w:r w:rsidRPr="002D66DE">
        <w:t>1)</w:t>
      </w:r>
      <w:r w:rsidRPr="002D66DE">
        <w:tab/>
        <w:t>Utilisez-vous le RTI? Dans l'affirmative, comment? Si tel n'est pas le cas, pourquoi?</w:t>
      </w:r>
    </w:p>
    <w:p w14:paraId="24A0A362" w14:textId="77777777" w:rsidR="00304489" w:rsidRPr="002D66DE" w:rsidRDefault="00304489" w:rsidP="00C176DF">
      <w:pPr>
        <w:pStyle w:val="enumlev1"/>
      </w:pPr>
      <w:r w:rsidRPr="002D66DE">
        <w:t>2)</w:t>
      </w:r>
      <w:r w:rsidRPr="002D66DE">
        <w:tab/>
        <w:t>Dans l'environnement international actuel des télécommunications/TIC, le RTI dans sa version de 2012 est-il applicable pour ce qui est de favoriser la fourniture et le développement des services et des réseaux internationaux de télécommunications/TIC? Veuillez donner des exemples.</w:t>
      </w:r>
    </w:p>
    <w:p w14:paraId="6503918B" w14:textId="068E6E55" w:rsidR="00304489" w:rsidRPr="002D66DE" w:rsidRDefault="00304489" w:rsidP="00C176DF">
      <w:pPr>
        <w:pStyle w:val="enumlev1"/>
      </w:pPr>
      <w:r w:rsidRPr="002D66DE">
        <w:t>3)</w:t>
      </w:r>
      <w:r w:rsidRPr="002D66DE">
        <w:tab/>
        <w:t>Dans l'environnement international actuel des télécommunications/TIC, le RTI dans sa version de 2012 est-il suffisamment souple pour tenir compte des nouvelles tendances dans le domaine des télécommunications/TIC ainsi que des problèmes qui se font jour? Veuillez donner des exemples."</w:t>
      </w:r>
    </w:p>
    <w:p w14:paraId="212B5E7D" w14:textId="2F51C7F3" w:rsidR="00304489" w:rsidRPr="002D66DE" w:rsidRDefault="0064119C" w:rsidP="00C176DF">
      <w:r w:rsidRPr="002D66DE">
        <w:t xml:space="preserve">Le </w:t>
      </w:r>
      <w:r w:rsidR="00304489" w:rsidRPr="002D66DE">
        <w:t xml:space="preserve">Canada </w:t>
      </w:r>
      <w:r w:rsidR="00DD4E9A" w:rsidRPr="002D66DE">
        <w:t>a le plaisir de fournir une réponse aux questions ci-dessus.</w:t>
      </w:r>
      <w:r w:rsidR="00304489" w:rsidRPr="002D66DE">
        <w:t xml:space="preserve"> </w:t>
      </w:r>
      <w:r w:rsidR="00DD4E9A" w:rsidRPr="002D66DE">
        <w:t>E</w:t>
      </w:r>
      <w:r w:rsidR="00304489" w:rsidRPr="002D66DE">
        <w:t xml:space="preserve">n conclusion, </w:t>
      </w:r>
      <w:r w:rsidR="00DD4E9A" w:rsidRPr="002D66DE">
        <w:t>le Canada considère que l'UIT devrait consacrer essentiellement ses ressources financières et ses ressources humaines à la mise en œuvre de priorités telles que la réduction de la fracture numérique, et contribuer, dans le cadre du SMSI et compte tenu de son mandat ainsi que de ses compétences fondamentales, à la réalisation des Objectifs de développement durable (ODD) à l'horizon 2030</w:t>
      </w:r>
      <w:r w:rsidR="00304489" w:rsidRPr="002D66DE">
        <w:t>.</w:t>
      </w:r>
    </w:p>
    <w:p w14:paraId="3513B086" w14:textId="6E8F189D" w:rsidR="00304489" w:rsidRPr="002D66DE" w:rsidRDefault="00304489" w:rsidP="00C176DF">
      <w:pPr>
        <w:pStyle w:val="Heading2"/>
      </w:pPr>
      <w:r w:rsidRPr="002D66DE">
        <w:rPr>
          <w:bCs/>
        </w:rPr>
        <w:t>3.9</w:t>
      </w:r>
      <w:r w:rsidRPr="002D66DE">
        <w:rPr>
          <w:bCs/>
        </w:rPr>
        <w:tab/>
        <w:t xml:space="preserve">Contribution </w:t>
      </w:r>
      <w:hyperlink r:id="rId22" w:history="1">
        <w:r w:rsidRPr="002D66DE">
          <w:rPr>
            <w:rStyle w:val="Hyperlink"/>
            <w:bCs/>
          </w:rPr>
          <w:t>EG-ITRs-2/6</w:t>
        </w:r>
      </w:hyperlink>
      <w:r w:rsidRPr="002D66DE">
        <w:t xml:space="preserve"> de </w:t>
      </w:r>
      <w:bookmarkStart w:id="14" w:name="lt_pId010"/>
      <w:r w:rsidRPr="002D66DE">
        <w:t>America Movil, AT&amp;T, Bell Canada Mobility, Telefonica et Verizon</w:t>
      </w:r>
      <w:bookmarkEnd w:id="14"/>
      <w:r w:rsidRPr="002D66DE">
        <w:t xml:space="preserve"> – "</w:t>
      </w:r>
      <w:bookmarkStart w:id="15" w:name="lt_pId011"/>
      <w:r w:rsidRPr="002D66DE">
        <w:t>Réponse conjointe aux questions soul</w:t>
      </w:r>
      <w:r w:rsidR="006E59F9" w:rsidRPr="002D66DE">
        <w:t>e</w:t>
      </w:r>
      <w:r w:rsidRPr="002D66DE">
        <w:t>vées par la CITEL au sujet du r</w:t>
      </w:r>
      <w:bookmarkEnd w:id="15"/>
      <w:r w:rsidRPr="002D66DE">
        <w:t>èglement des télécommunications internationales"</w:t>
      </w:r>
    </w:p>
    <w:p w14:paraId="388EBBD5" w14:textId="1B85F35D" w:rsidR="00304489" w:rsidRPr="002D66DE" w:rsidRDefault="00304489" w:rsidP="00C176DF">
      <w:r w:rsidRPr="002D66DE">
        <w:t>Afin de donner suite à la demande formulée par le Vice-Président du Groupe d'experts sur le Règlement des télécommunications internationales (EG-RTI) pour la région Amériques, les entreprises susmentionnées soumettent conjointement les réponses ci-après aux questions soulevées par la CITEL au sujet du RTI. Les entreprises précitées se félicitent de l'occasion qui leur a été offerte de présenter leurs vues.</w:t>
      </w:r>
    </w:p>
    <w:p w14:paraId="7CD607EE" w14:textId="6FB5BA7C" w:rsidR="00304489" w:rsidRPr="002D66DE" w:rsidRDefault="007248C6" w:rsidP="00C176DF">
      <w:pPr>
        <w:pStyle w:val="Heading2"/>
      </w:pPr>
      <w:r w:rsidRPr="002D66DE">
        <w:rPr>
          <w:bCs/>
        </w:rPr>
        <w:t>3.10</w:t>
      </w:r>
      <w:r w:rsidRPr="002D66DE">
        <w:rPr>
          <w:bCs/>
        </w:rPr>
        <w:tab/>
        <w:t xml:space="preserve">Contribution </w:t>
      </w:r>
      <w:hyperlink r:id="rId23" w:history="1">
        <w:r w:rsidRPr="002D66DE">
          <w:rPr>
            <w:rStyle w:val="Hyperlink"/>
            <w:bCs/>
          </w:rPr>
          <w:t>EG-ITRs-2/12</w:t>
        </w:r>
      </w:hyperlink>
      <w:r w:rsidRPr="002D66DE">
        <w:t xml:space="preserve"> du Mexique – "Réponse au questionnaire adressé aux membres de la CITEL"</w:t>
      </w:r>
    </w:p>
    <w:p w14:paraId="537DBDD9" w14:textId="77777777" w:rsidR="007248C6" w:rsidRPr="002D66DE" w:rsidRDefault="007248C6" w:rsidP="00C176DF">
      <w:r w:rsidRPr="002D66DE">
        <w:t>Lors de la réunion du Groupe d'experts sur le Règlement des télécommunications internationales (EG-RTI) tenue en septembre 2019, les Administrations du Commonwealth des Bahamas, du Brésil, du Canada, du Mexique, du Paraguay et des États-Unis d'Amérique ont décidé d'envoyer les questions ci-après à toutes les administrations et Associés de la CITEL.</w:t>
      </w:r>
    </w:p>
    <w:p w14:paraId="29C01C63" w14:textId="5914AD64" w:rsidR="007248C6" w:rsidRPr="002D66DE" w:rsidRDefault="007248C6" w:rsidP="00C176DF">
      <w:r w:rsidRPr="002D66DE">
        <w:t xml:space="preserve">Le Mexique a l'honneur de soumettre ses réponses </w:t>
      </w:r>
      <w:r w:rsidR="00A903A7" w:rsidRPr="002D66DE">
        <w:t>à ces</w:t>
      </w:r>
      <w:r w:rsidRPr="002D66DE">
        <w:t xml:space="preserve"> questions.</w:t>
      </w:r>
    </w:p>
    <w:p w14:paraId="0B4F963B" w14:textId="09891D45" w:rsidR="007248C6" w:rsidRPr="002D66DE" w:rsidRDefault="007248C6" w:rsidP="00C176DF">
      <w:pPr>
        <w:pStyle w:val="Heading2"/>
      </w:pPr>
      <w:r w:rsidRPr="002D66DE">
        <w:rPr>
          <w:bCs/>
        </w:rPr>
        <w:lastRenderedPageBreak/>
        <w:t>3.11</w:t>
      </w:r>
      <w:r w:rsidRPr="002D66DE">
        <w:rPr>
          <w:bCs/>
        </w:rPr>
        <w:tab/>
        <w:t xml:space="preserve">Contribution </w:t>
      </w:r>
      <w:hyperlink r:id="rId24" w:history="1">
        <w:r w:rsidRPr="002D66DE">
          <w:rPr>
            <w:rStyle w:val="Hyperlink"/>
            <w:bCs/>
          </w:rPr>
          <w:t>EG-ITRs-2/4</w:t>
        </w:r>
      </w:hyperlink>
      <w:r w:rsidRPr="002D66DE">
        <w:t xml:space="preserve"> de la République populaire de Chine – "Commentaires concernant l'examen détaillé du Règlement des télécommunications internationales, du Préambule à l'Article 4</w:t>
      </w:r>
      <w:r w:rsidR="00D67DD4" w:rsidRPr="002D66DE">
        <w:t>"</w:t>
      </w:r>
    </w:p>
    <w:p w14:paraId="6C3484A1" w14:textId="78A44D4A" w:rsidR="00D67DD4" w:rsidRPr="002D66DE" w:rsidRDefault="00D67DD4" w:rsidP="00C176DF">
      <w:r w:rsidRPr="002D66DE">
        <w:t xml:space="preserve">Conformément au mandat du Groupe EG-RTI et sur la base du consensus trouvé à la première réunion du Groupe, </w:t>
      </w:r>
      <w:r w:rsidR="0082634D" w:rsidRPr="002D66DE">
        <w:t>la République populaire de Chine a fait</w:t>
      </w:r>
      <w:r w:rsidRPr="002D66DE">
        <w:t xml:space="preserve"> </w:t>
      </w:r>
      <w:r w:rsidR="0082634D" w:rsidRPr="002D66DE">
        <w:t>des</w:t>
      </w:r>
      <w:r w:rsidRPr="002D66DE">
        <w:t xml:space="preserve"> propositions concernant l'examen des dispositions pertinentes du RTI, du Préambule à l'Article 4.</w:t>
      </w:r>
    </w:p>
    <w:p w14:paraId="54EB7FA1" w14:textId="44322D54" w:rsidR="00372A50" w:rsidRPr="002D66DE" w:rsidRDefault="00372A50" w:rsidP="00C176DF">
      <w:pPr>
        <w:pStyle w:val="Heading1"/>
      </w:pPr>
      <w:r w:rsidRPr="002D66DE">
        <w:t>4</w:t>
      </w:r>
      <w:r w:rsidRPr="002D66DE">
        <w:tab/>
        <w:t xml:space="preserve">Discussions </w:t>
      </w:r>
      <w:r w:rsidR="002109A1" w:rsidRPr="002D66DE">
        <w:t>sur les c</w:t>
      </w:r>
      <w:r w:rsidRPr="002D66DE">
        <w:t>ontributions</w:t>
      </w:r>
    </w:p>
    <w:p w14:paraId="698C1622" w14:textId="7C601F89" w:rsidR="00372A50" w:rsidRPr="002D66DE" w:rsidRDefault="00372A50" w:rsidP="00C55BDB">
      <w:r w:rsidRPr="002D66DE">
        <w:rPr>
          <w:b/>
        </w:rPr>
        <w:t>4.1</w:t>
      </w:r>
      <w:r w:rsidRPr="002D66DE">
        <w:rPr>
          <w:b/>
        </w:rPr>
        <w:tab/>
      </w:r>
      <w:r w:rsidR="002109A1" w:rsidRPr="002D66DE">
        <w:t xml:space="preserve">Les vues </w:t>
      </w:r>
      <w:r w:rsidR="00E52B1F" w:rsidRPr="002D66DE">
        <w:t xml:space="preserve">exprimées </w:t>
      </w:r>
      <w:r w:rsidR="002109A1" w:rsidRPr="002D66DE">
        <w:t>sur les différentes dispositions</w:t>
      </w:r>
      <w:r w:rsidRPr="002D66DE">
        <w:t xml:space="preserve"> </w:t>
      </w:r>
      <w:r w:rsidR="00365703" w:rsidRPr="002D66DE">
        <w:t>dans les c</w:t>
      </w:r>
      <w:r w:rsidRPr="002D66DE">
        <w:t>ontributions</w:t>
      </w:r>
      <w:r w:rsidR="00365703" w:rsidRPr="002D66DE">
        <w:t xml:space="preserve"> et</w:t>
      </w:r>
      <w:r w:rsidR="000C1B05" w:rsidRPr="002D66DE">
        <w:t xml:space="preserve"> </w:t>
      </w:r>
      <w:r w:rsidR="00E52B1F" w:rsidRPr="002D66DE">
        <w:t>pendant le</w:t>
      </w:r>
      <w:r w:rsidR="000C1B05" w:rsidRPr="002D66DE">
        <w:t xml:space="preserve">s </w:t>
      </w:r>
      <w:r w:rsidR="00E52B1F" w:rsidRPr="002D66DE">
        <w:t>délibérations</w:t>
      </w:r>
      <w:r w:rsidR="000C1B05" w:rsidRPr="002D66DE">
        <w:t xml:space="preserve"> du Groupe</w:t>
      </w:r>
      <w:r w:rsidR="00834D2B" w:rsidRPr="002D66DE">
        <w:t>,</w:t>
      </w:r>
      <w:r w:rsidR="000C1B05" w:rsidRPr="002D66DE">
        <w:t xml:space="preserve"> </w:t>
      </w:r>
      <w:r w:rsidR="00E52B1F" w:rsidRPr="002D66DE">
        <w:t>au cours de</w:t>
      </w:r>
      <w:r w:rsidR="000C1B05" w:rsidRPr="002D66DE">
        <w:t xml:space="preserve"> la deuxième réunion</w:t>
      </w:r>
      <w:r w:rsidR="00834D2B" w:rsidRPr="002D66DE">
        <w:t>,</w:t>
      </w:r>
      <w:r w:rsidR="000C1B05" w:rsidRPr="002D66DE">
        <w:t xml:space="preserve"> ont été rassemblées dans le Tableau d</w:t>
      </w:r>
      <w:r w:rsidR="009F4D21" w:rsidRPr="002D66DE">
        <w:t>'</w:t>
      </w:r>
      <w:r w:rsidR="000C1B05" w:rsidRPr="002D66DE">
        <w:t>examen</w:t>
      </w:r>
      <w:r w:rsidRPr="002D66DE">
        <w:t xml:space="preserve"> (Pr</w:t>
      </w:r>
      <w:r w:rsidR="00777B06" w:rsidRPr="002D66DE">
        <w:t>éambule</w:t>
      </w:r>
      <w:r w:rsidR="004C7683" w:rsidRPr="002D66DE">
        <w:t xml:space="preserve"> − </w:t>
      </w:r>
      <w:r w:rsidR="00E52B1F" w:rsidRPr="002D66DE">
        <w:t>A</w:t>
      </w:r>
      <w:r w:rsidR="00777B06" w:rsidRPr="002D66DE">
        <w:t xml:space="preserve">rticle </w:t>
      </w:r>
      <w:r w:rsidRPr="002D66DE">
        <w:t xml:space="preserve">4) </w:t>
      </w:r>
      <w:r w:rsidR="004C4D4F" w:rsidRPr="002D66DE">
        <w:t xml:space="preserve">figurant </w:t>
      </w:r>
      <w:r w:rsidR="00E52B1F" w:rsidRPr="002D66DE">
        <w:t>dans</w:t>
      </w:r>
      <w:r w:rsidR="004C4D4F" w:rsidRPr="002D66DE">
        <w:t xml:space="preserve"> l</w:t>
      </w:r>
      <w:r w:rsidR="009F4D21" w:rsidRPr="002D66DE">
        <w:t>'</w:t>
      </w:r>
      <w:r w:rsidRPr="002D66DE">
        <w:t>Annex</w:t>
      </w:r>
      <w:r w:rsidR="004C4D4F" w:rsidRPr="002D66DE">
        <w:t>e</w:t>
      </w:r>
      <w:r w:rsidRPr="002D66DE">
        <w:t xml:space="preserve"> I</w:t>
      </w:r>
      <w:r w:rsidR="004C4D4F" w:rsidRPr="002D66DE">
        <w:t xml:space="preserve"> au présent document</w:t>
      </w:r>
      <w:r w:rsidRPr="002D66DE">
        <w:t xml:space="preserve">. </w:t>
      </w:r>
      <w:r w:rsidR="004C4D4F" w:rsidRPr="002D66DE">
        <w:t xml:space="preserve">La colonne </w:t>
      </w:r>
      <w:r w:rsidR="00C55BDB" w:rsidRPr="002D66DE">
        <w:t>"</w:t>
      </w:r>
      <w:r w:rsidR="004C4D4F" w:rsidRPr="002D66DE">
        <w:t>Résumé des résultats</w:t>
      </w:r>
      <w:r w:rsidR="00C55BDB" w:rsidRPr="002D66DE">
        <w:t>"</w:t>
      </w:r>
      <w:r w:rsidR="004C4D4F" w:rsidRPr="002D66DE">
        <w:t xml:space="preserve"> a été remplie</w:t>
      </w:r>
      <w:r w:rsidR="00834D2B" w:rsidRPr="002D66DE">
        <w:t>,</w:t>
      </w:r>
      <w:r w:rsidR="005A3D42" w:rsidRPr="002D66DE">
        <w:t xml:space="preserve"> comme convenu</w:t>
      </w:r>
      <w:r w:rsidR="00834D2B" w:rsidRPr="002D66DE">
        <w:t>,</w:t>
      </w:r>
      <w:r w:rsidR="005A3D42" w:rsidRPr="002D66DE">
        <w:t xml:space="preserve"> par les</w:t>
      </w:r>
      <w:r w:rsidR="004C4D4F" w:rsidRPr="002D66DE">
        <w:t xml:space="preserve"> membres pendant la réunion, tandis que les deux autres colonnes</w:t>
      </w:r>
      <w:r w:rsidR="00777B06" w:rsidRPr="002D66DE">
        <w:t xml:space="preserve">, </w:t>
      </w:r>
      <w:r w:rsidR="00834D2B" w:rsidRPr="002D66DE">
        <w:t>respectivement</w:t>
      </w:r>
      <w:r w:rsidR="004C4D4F" w:rsidRPr="002D66DE">
        <w:t xml:space="preserve"> </w:t>
      </w:r>
      <w:r w:rsidR="00C55BDB" w:rsidRPr="002D66DE">
        <w:t>"</w:t>
      </w:r>
      <w:bookmarkStart w:id="16" w:name="lt_pId260"/>
      <w:r w:rsidR="004C4D4F" w:rsidRPr="002D66DE">
        <w:t>Applicabilité pour ce qui est de favoriser la fourniture et le développement des réseaux et des service</w:t>
      </w:r>
      <w:r w:rsidR="004B6D45" w:rsidRPr="002D66DE">
        <w:t>s</w:t>
      </w:r>
      <w:r w:rsidR="00C55BDB" w:rsidRPr="002D66DE">
        <w:t>"</w:t>
      </w:r>
      <w:r w:rsidR="004C4D4F" w:rsidRPr="002D66DE">
        <w:t xml:space="preserve"> et </w:t>
      </w:r>
      <w:r w:rsidR="00C55BDB" w:rsidRPr="002D66DE">
        <w:t>"</w:t>
      </w:r>
      <w:bookmarkStart w:id="17" w:name="lt_pId261"/>
      <w:r w:rsidR="004C4D4F" w:rsidRPr="002D66DE">
        <w:t>Souplesse pour tenir compte des nouvelles tendances et des nouveaux problèmes qui se font jour</w:t>
      </w:r>
      <w:bookmarkEnd w:id="17"/>
      <w:r w:rsidR="00C55BDB" w:rsidRPr="002D66DE">
        <w:t>"</w:t>
      </w:r>
      <w:bookmarkEnd w:id="16"/>
      <w:r w:rsidR="005A3D42" w:rsidRPr="002D66DE">
        <w:t>,</w:t>
      </w:r>
      <w:r w:rsidR="004C4D4F" w:rsidRPr="002D66DE">
        <w:t xml:space="preserve"> ont été </w:t>
      </w:r>
      <w:r w:rsidR="00777B06" w:rsidRPr="002D66DE">
        <w:t>complétées de manière informelle par les Vice-Présidents, en concertation avec les membres de leurs régions, sur la base des contributions reçues et des discussions tenues à la réunion</w:t>
      </w:r>
      <w:r w:rsidRPr="002D66DE">
        <w:t>.</w:t>
      </w:r>
    </w:p>
    <w:p w14:paraId="3E39FD9A" w14:textId="2ACFFF4A" w:rsidR="00372A50" w:rsidRPr="002D66DE" w:rsidRDefault="00372A50" w:rsidP="00C55BDB">
      <w:r w:rsidRPr="002D66DE">
        <w:rPr>
          <w:b/>
        </w:rPr>
        <w:t>4.2</w:t>
      </w:r>
      <w:r w:rsidRPr="002D66DE">
        <w:rPr>
          <w:b/>
        </w:rPr>
        <w:tab/>
      </w:r>
      <w:r w:rsidR="00777B06" w:rsidRPr="002D66DE">
        <w:t xml:space="preserve">Dans le cadre </w:t>
      </w:r>
      <w:r w:rsidR="00411443" w:rsidRPr="002D66DE">
        <w:t>des</w:t>
      </w:r>
      <w:r w:rsidR="00777B06" w:rsidRPr="002D66DE">
        <w:t xml:space="preserve"> </w:t>
      </w:r>
      <w:r w:rsidR="005A3D42" w:rsidRPr="002D66DE">
        <w:t>o</w:t>
      </w:r>
      <w:r w:rsidR="00777B06" w:rsidRPr="002D66DE">
        <w:t>bservation</w:t>
      </w:r>
      <w:r w:rsidR="00411443" w:rsidRPr="002D66DE">
        <w:t>s</w:t>
      </w:r>
      <w:r w:rsidR="00777B06" w:rsidRPr="002D66DE">
        <w:t xml:space="preserve"> générale</w:t>
      </w:r>
      <w:r w:rsidR="00411443" w:rsidRPr="002D66DE">
        <w:t>s</w:t>
      </w:r>
      <w:r w:rsidR="005A3D42" w:rsidRPr="002D66DE">
        <w:t xml:space="preserve"> formulée</w:t>
      </w:r>
      <w:r w:rsidR="00411443" w:rsidRPr="002D66DE">
        <w:t>s</w:t>
      </w:r>
      <w:r w:rsidR="00777B06" w:rsidRPr="002D66DE">
        <w:t xml:space="preserve"> sur l</w:t>
      </w:r>
      <w:r w:rsidR="009F4D21" w:rsidRPr="002D66DE">
        <w:t>'</w:t>
      </w:r>
      <w:r w:rsidR="00777B06" w:rsidRPr="002D66DE">
        <w:t>examen du traité</w:t>
      </w:r>
      <w:r w:rsidRPr="002D66DE">
        <w:t xml:space="preserve">, </w:t>
      </w:r>
      <w:r w:rsidR="00777B06" w:rsidRPr="002D66DE">
        <w:t xml:space="preserve">certains membres ont </w:t>
      </w:r>
      <w:r w:rsidR="00411443" w:rsidRPr="002D66DE">
        <w:t xml:space="preserve">avancé </w:t>
      </w:r>
      <w:r w:rsidR="00F506E6" w:rsidRPr="002D66DE">
        <w:t>que</w:t>
      </w:r>
      <w:r w:rsidR="00777B06" w:rsidRPr="002D66DE">
        <w:t xml:space="preserve"> le RTI de 2012 n</w:t>
      </w:r>
      <w:r w:rsidR="009F4D21" w:rsidRPr="002D66DE">
        <w:t>'</w:t>
      </w:r>
      <w:r w:rsidR="00777B06" w:rsidRPr="002D66DE">
        <w:t>était p</w:t>
      </w:r>
      <w:r w:rsidR="00F506E6" w:rsidRPr="002D66DE">
        <w:t>as adapté ou ne présentait pas d</w:t>
      </w:r>
      <w:r w:rsidR="009F4D21" w:rsidRPr="002D66DE">
        <w:t>'</w:t>
      </w:r>
      <w:r w:rsidR="00F506E6" w:rsidRPr="002D66DE">
        <w:t>utilité pratique dans l</w:t>
      </w:r>
      <w:r w:rsidR="009F4D21" w:rsidRPr="002D66DE">
        <w:t>'</w:t>
      </w:r>
      <w:r w:rsidR="00F506E6" w:rsidRPr="002D66DE">
        <w:t xml:space="preserve">environnement </w:t>
      </w:r>
      <w:r w:rsidR="00A43FA1" w:rsidRPr="002D66DE">
        <w:t xml:space="preserve">actuel des </w:t>
      </w:r>
      <w:r w:rsidR="00F506E6" w:rsidRPr="002D66DE">
        <w:t>communications</w:t>
      </w:r>
      <w:r w:rsidRPr="002D66DE">
        <w:t xml:space="preserve">, </w:t>
      </w:r>
      <w:r w:rsidR="00A43FA1" w:rsidRPr="002D66DE">
        <w:t>et que</w:t>
      </w:r>
      <w:r w:rsidR="00EA1A8D" w:rsidRPr="002D66DE">
        <w:t xml:space="preserve"> c</w:t>
      </w:r>
      <w:r w:rsidR="009F4D21" w:rsidRPr="002D66DE">
        <w:t>'</w:t>
      </w:r>
      <w:r w:rsidR="00EA1A8D" w:rsidRPr="002D66DE">
        <w:t>était la raison</w:t>
      </w:r>
      <w:r w:rsidR="00523E55" w:rsidRPr="002D66DE">
        <w:t xml:space="preserve"> pour laquelle </w:t>
      </w:r>
      <w:r w:rsidR="00A43FA1" w:rsidRPr="002D66DE">
        <w:t>de nombreux membres n</w:t>
      </w:r>
      <w:r w:rsidR="00EA1A8D" w:rsidRPr="002D66DE">
        <w:t>e l</w:t>
      </w:r>
      <w:r w:rsidR="009F4D21" w:rsidRPr="002D66DE">
        <w:t>'</w:t>
      </w:r>
      <w:r w:rsidR="00A43FA1" w:rsidRPr="002D66DE">
        <w:t xml:space="preserve">avaient pas </w:t>
      </w:r>
      <w:r w:rsidR="00EA1A8D" w:rsidRPr="002D66DE">
        <w:t xml:space="preserve">non plus </w:t>
      </w:r>
      <w:r w:rsidR="00A43FA1" w:rsidRPr="002D66DE">
        <w:t>signé</w:t>
      </w:r>
      <w:r w:rsidRPr="002D66DE">
        <w:t xml:space="preserve">. </w:t>
      </w:r>
    </w:p>
    <w:p w14:paraId="51C2E253" w14:textId="3FB726B3" w:rsidR="00372A50" w:rsidRPr="002D66DE" w:rsidRDefault="00A43FA1" w:rsidP="00C55BDB">
      <w:r w:rsidRPr="002D66DE">
        <w:t xml:space="preserve">Certains membres ont fait observer que le RTI de </w:t>
      </w:r>
      <w:r w:rsidR="00372A50" w:rsidRPr="002D66DE">
        <w:t xml:space="preserve">2012, </w:t>
      </w:r>
      <w:r w:rsidRPr="002D66DE">
        <w:t>en tant qu</w:t>
      </w:r>
      <w:r w:rsidR="009F4D21" w:rsidRPr="002D66DE">
        <w:t>'</w:t>
      </w:r>
      <w:r w:rsidRPr="002D66DE">
        <w:t>instrument ayant valeur de traité</w:t>
      </w:r>
      <w:r w:rsidR="00372A50" w:rsidRPr="002D66DE">
        <w:t xml:space="preserve">, </w:t>
      </w:r>
      <w:r w:rsidRPr="002D66DE">
        <w:t xml:space="preserve">était </w:t>
      </w:r>
      <w:r w:rsidR="00372A50" w:rsidRPr="002D66DE">
        <w:t xml:space="preserve">applicable </w:t>
      </w:r>
      <w:r w:rsidRPr="002D66DE">
        <w:t xml:space="preserve">et </w:t>
      </w:r>
      <w:r w:rsidR="00EA1A8D" w:rsidRPr="002D66DE">
        <w:t xml:space="preserve">offrait la </w:t>
      </w:r>
      <w:r w:rsidRPr="002D66DE">
        <w:t>souple</w:t>
      </w:r>
      <w:r w:rsidR="00EA1A8D" w:rsidRPr="002D66DE">
        <w:t>sse nécessaire,</w:t>
      </w:r>
      <w:r w:rsidRPr="002D66DE">
        <w:t xml:space="preserve"> et que ce processus</w:t>
      </w:r>
      <w:r w:rsidR="00372A50" w:rsidRPr="002D66DE">
        <w:t xml:space="preserve"> </w:t>
      </w:r>
      <w:r w:rsidR="009D0934" w:rsidRPr="002D66DE">
        <w:t>d</w:t>
      </w:r>
      <w:r w:rsidR="009F4D21" w:rsidRPr="002D66DE">
        <w:t>'</w:t>
      </w:r>
      <w:r w:rsidR="009D0934" w:rsidRPr="002D66DE">
        <w:t xml:space="preserve">examen était important pour </w:t>
      </w:r>
      <w:r w:rsidR="00372A50" w:rsidRPr="002D66DE">
        <w:t>examine</w:t>
      </w:r>
      <w:r w:rsidR="009D0934" w:rsidRPr="002D66DE">
        <w:t>r les dispositions à cet égard en vue de parvenir à un consensus sur la voie à suivre</w:t>
      </w:r>
      <w:r w:rsidR="00372A50" w:rsidRPr="002D66DE">
        <w:t>.</w:t>
      </w:r>
    </w:p>
    <w:p w14:paraId="3C715AC7" w14:textId="5B7A766C" w:rsidR="00372A50" w:rsidRPr="002D66DE" w:rsidRDefault="00372A50" w:rsidP="00C55BDB">
      <w:r w:rsidRPr="002D66DE">
        <w:rPr>
          <w:b/>
        </w:rPr>
        <w:t>4.3</w:t>
      </w:r>
      <w:r w:rsidRPr="002D66DE">
        <w:rPr>
          <w:b/>
        </w:rPr>
        <w:tab/>
      </w:r>
      <w:r w:rsidR="009D0934" w:rsidRPr="002D66DE">
        <w:t>En outre,</w:t>
      </w:r>
      <w:r w:rsidRPr="002D66DE">
        <w:t xml:space="preserve"> </w:t>
      </w:r>
      <w:r w:rsidR="00E32904" w:rsidRPr="002D66DE">
        <w:t>pour ce qui est</w:t>
      </w:r>
      <w:r w:rsidR="008870D0" w:rsidRPr="002D66DE">
        <w:t xml:space="preserve"> des dispositions figur</w:t>
      </w:r>
      <w:r w:rsidR="00E32904" w:rsidRPr="002D66DE">
        <w:t>a</w:t>
      </w:r>
      <w:r w:rsidR="008870D0" w:rsidRPr="002D66DE">
        <w:t xml:space="preserve">nt à la fois dans la version du RTI de </w:t>
      </w:r>
      <w:r w:rsidRPr="002D66DE">
        <w:t xml:space="preserve">1988 </w:t>
      </w:r>
      <w:r w:rsidR="008870D0" w:rsidRPr="002D66DE">
        <w:t>et dans celle de</w:t>
      </w:r>
      <w:r w:rsidRPr="002D66DE">
        <w:t xml:space="preserve"> 2012,</w:t>
      </w:r>
      <w:r w:rsidR="00523E55" w:rsidRPr="002D66DE">
        <w:t xml:space="preserve"> certains membres ont </w:t>
      </w:r>
      <w:r w:rsidR="00E32904" w:rsidRPr="002D66DE">
        <w:t>fait observer</w:t>
      </w:r>
      <w:r w:rsidR="00523E55" w:rsidRPr="002D66DE">
        <w:t xml:space="preserve"> que</w:t>
      </w:r>
      <w:r w:rsidR="002A677F" w:rsidRPr="002D66DE">
        <w:t xml:space="preserve">, bien </w:t>
      </w:r>
      <w:r w:rsidR="00523E55" w:rsidRPr="002D66DE">
        <w:t xml:space="preserve">les </w:t>
      </w:r>
      <w:r w:rsidR="00C6519E" w:rsidRPr="002D66DE">
        <w:t>États</w:t>
      </w:r>
      <w:r w:rsidR="00523E55" w:rsidRPr="002D66DE">
        <w:t xml:space="preserve"> Membres</w:t>
      </w:r>
      <w:r w:rsidRPr="002D66DE">
        <w:t xml:space="preserve"> </w:t>
      </w:r>
      <w:r w:rsidR="00C6519E" w:rsidRPr="002D66DE">
        <w:t xml:space="preserve">qui sont parties au traité de </w:t>
      </w:r>
      <w:r w:rsidRPr="002D66DE">
        <w:t xml:space="preserve">1988 </w:t>
      </w:r>
      <w:r w:rsidR="00C6519E" w:rsidRPr="002D66DE">
        <w:t>s</w:t>
      </w:r>
      <w:r w:rsidR="002A677F" w:rsidRPr="002D66DE">
        <w:t>oie</w:t>
      </w:r>
      <w:r w:rsidR="00C6519E" w:rsidRPr="002D66DE">
        <w:t>nt juridiquement tenus de respecter les dispositions de ce traité</w:t>
      </w:r>
      <w:r w:rsidRPr="002D66DE">
        <w:t>,</w:t>
      </w:r>
      <w:r w:rsidR="00C6519E" w:rsidRPr="002D66DE">
        <w:t xml:space="preserve"> lorsque </w:t>
      </w:r>
      <w:r w:rsidR="00E32904" w:rsidRPr="002D66DE">
        <w:t xml:space="preserve">ces dispositions </w:t>
      </w:r>
      <w:r w:rsidR="00C6519E" w:rsidRPr="002D66DE">
        <w:t>figurent dans le RTI de 2012,</w:t>
      </w:r>
      <w:r w:rsidRPr="002D66DE">
        <w:t xml:space="preserve"> </w:t>
      </w:r>
      <w:r w:rsidR="00C6519E" w:rsidRPr="002D66DE">
        <w:t xml:space="preserve">ces mêmes </w:t>
      </w:r>
      <w:r w:rsidR="001312DB" w:rsidRPr="002D66DE">
        <w:t>États</w:t>
      </w:r>
      <w:r w:rsidR="00C6519E" w:rsidRPr="002D66DE">
        <w:t xml:space="preserve"> Membres ne les </w:t>
      </w:r>
      <w:r w:rsidR="002A677F" w:rsidRPr="002D66DE">
        <w:t>jugent</w:t>
      </w:r>
      <w:r w:rsidR="00C6519E" w:rsidRPr="002D66DE">
        <w:t xml:space="preserve"> pas applicables ou </w:t>
      </w:r>
      <w:r w:rsidR="00EA1A8D" w:rsidRPr="002D66DE">
        <w:t xml:space="preserve">suffisamment </w:t>
      </w:r>
      <w:r w:rsidR="00C6519E" w:rsidRPr="002D66DE">
        <w:t>souples</w:t>
      </w:r>
      <w:r w:rsidRPr="002D66DE">
        <w:t xml:space="preserve">, </w:t>
      </w:r>
      <w:r w:rsidR="00C6519E" w:rsidRPr="002D66DE">
        <w:t>à la lumière de cet examen</w:t>
      </w:r>
      <w:r w:rsidRPr="002D66DE">
        <w:t xml:space="preserve">. </w:t>
      </w:r>
    </w:p>
    <w:p w14:paraId="63B448DA" w14:textId="67D48416" w:rsidR="00372A50" w:rsidRPr="002D66DE" w:rsidRDefault="00C6519E" w:rsidP="00C55BDB">
      <w:r w:rsidRPr="002D66DE">
        <w:t xml:space="preserve">Certains membres ont </w:t>
      </w:r>
      <w:r w:rsidR="00EA1A8D" w:rsidRPr="002D66DE">
        <w:t>fait valoir</w:t>
      </w:r>
      <w:r w:rsidRPr="002D66DE">
        <w:t xml:space="preserve"> qu</w:t>
      </w:r>
      <w:r w:rsidR="009F4D21" w:rsidRPr="002D66DE">
        <w:t>'</w:t>
      </w:r>
      <w:r w:rsidRPr="002D66DE">
        <w:t xml:space="preserve">il </w:t>
      </w:r>
      <w:r w:rsidR="002A677F" w:rsidRPr="002D66DE">
        <w:t>importait</w:t>
      </w:r>
      <w:r w:rsidRPr="002D66DE">
        <w:t xml:space="preserve"> </w:t>
      </w:r>
      <w:r w:rsidR="00AE5350" w:rsidRPr="002D66DE">
        <w:t>de se demander</w:t>
      </w:r>
      <w:r w:rsidRPr="002D66DE">
        <w:t xml:space="preserve"> si les</w:t>
      </w:r>
      <w:r w:rsidR="00EA1A8D" w:rsidRPr="002D66DE">
        <w:t xml:space="preserve"> </w:t>
      </w:r>
      <w:r w:rsidRPr="002D66DE">
        <w:t xml:space="preserve">dispositions étaient applicables </w:t>
      </w:r>
      <w:r w:rsidR="0073661E" w:rsidRPr="002D66DE">
        <w:t xml:space="preserve">pour ce qui est de </w:t>
      </w:r>
      <w:r w:rsidR="00C55BDB" w:rsidRPr="002D66DE">
        <w:t>"</w:t>
      </w:r>
      <w:r w:rsidR="0073661E" w:rsidRPr="002D66DE">
        <w:t>favoriser la fourniture et le développement des réseaux et des services</w:t>
      </w:r>
      <w:r w:rsidR="00C55BDB" w:rsidRPr="002D66DE">
        <w:t>"</w:t>
      </w:r>
      <w:r w:rsidR="0073661E" w:rsidRPr="002D66DE">
        <w:t xml:space="preserve"> et non de savoir si elles étaient juridiquement applicables. Selon eux</w:t>
      </w:r>
      <w:r w:rsidR="002A677F" w:rsidRPr="002D66DE">
        <w:t>, ils conviendrait, dans le cadre de la réunion, de</w:t>
      </w:r>
      <w:r w:rsidR="0073661E" w:rsidRPr="002D66DE">
        <w:t xml:space="preserve"> s</w:t>
      </w:r>
      <w:r w:rsidR="009F4D21" w:rsidRPr="002D66DE">
        <w:t>'</w:t>
      </w:r>
      <w:r w:rsidR="0073661E" w:rsidRPr="002D66DE">
        <w:t>abstenir d</w:t>
      </w:r>
      <w:r w:rsidR="009F4D21" w:rsidRPr="002D66DE">
        <w:t>'</w:t>
      </w:r>
      <w:r w:rsidR="0073661E" w:rsidRPr="002D66DE">
        <w:t xml:space="preserve">examiner des questions </w:t>
      </w:r>
      <w:r w:rsidR="00217633" w:rsidRPr="002D66DE">
        <w:t xml:space="preserve">touchant aux obligations juridiques des </w:t>
      </w:r>
      <w:r w:rsidR="001312DB" w:rsidRPr="002D66DE">
        <w:t>États</w:t>
      </w:r>
      <w:r w:rsidR="00217633" w:rsidRPr="002D66DE">
        <w:t xml:space="preserve"> Membres ou à l</w:t>
      </w:r>
      <w:r w:rsidR="009F4D21" w:rsidRPr="002D66DE">
        <w:t>'</w:t>
      </w:r>
      <w:r w:rsidR="00217633" w:rsidRPr="002D66DE">
        <w:t>applicabilité sur le plan juridique des dispositions du RTI de</w:t>
      </w:r>
      <w:r w:rsidR="00726B4D" w:rsidRPr="002D66DE">
        <w:t> </w:t>
      </w:r>
      <w:r w:rsidR="00372A50" w:rsidRPr="002D66DE">
        <w:t>1988</w:t>
      </w:r>
      <w:r w:rsidR="002A677F" w:rsidRPr="002D66DE">
        <w:t xml:space="preserve">, </w:t>
      </w:r>
      <w:r w:rsidR="00217633" w:rsidRPr="002D66DE">
        <w:t>puisque ces questions ne</w:t>
      </w:r>
      <w:r w:rsidR="004C7683" w:rsidRPr="002D66DE">
        <w:t xml:space="preserve"> </w:t>
      </w:r>
      <w:r w:rsidR="001312DB" w:rsidRPr="002D66DE">
        <w:t>relèvent pas du mandat du Groupe</w:t>
      </w:r>
      <w:r w:rsidR="00372A50" w:rsidRPr="002D66DE">
        <w:t>,</w:t>
      </w:r>
      <w:r w:rsidR="001312DB" w:rsidRPr="002D66DE">
        <w:t xml:space="preserve"> </w:t>
      </w:r>
      <w:r w:rsidR="002A677F" w:rsidRPr="002D66DE">
        <w:t xml:space="preserve">lequel </w:t>
      </w:r>
      <w:r w:rsidR="001312DB" w:rsidRPr="002D66DE">
        <w:t>se limite spécifiquement à l</w:t>
      </w:r>
      <w:r w:rsidR="009F4D21" w:rsidRPr="002D66DE">
        <w:t>'</w:t>
      </w:r>
      <w:r w:rsidR="001312DB" w:rsidRPr="002D66DE">
        <w:t>examen des dispositions du RTI de 2012 au regard des critères d</w:t>
      </w:r>
      <w:r w:rsidR="009F4D21" w:rsidRPr="002D66DE">
        <w:t>'</w:t>
      </w:r>
      <w:r w:rsidR="001312DB" w:rsidRPr="002D66DE">
        <w:t xml:space="preserve">applicabilité </w:t>
      </w:r>
      <w:r w:rsidR="00372A50" w:rsidRPr="002D66DE">
        <w:t>(</w:t>
      </w:r>
      <w:r w:rsidR="001312DB" w:rsidRPr="002D66DE">
        <w:t>pour ce qui est de favoriser la fourniture et le développement des réseaux et des ser</w:t>
      </w:r>
      <w:r w:rsidR="00372A50" w:rsidRPr="002D66DE">
        <w:t xml:space="preserve">vices) </w:t>
      </w:r>
      <w:r w:rsidR="001312DB" w:rsidRPr="002D66DE">
        <w:t>et</w:t>
      </w:r>
      <w:r w:rsidR="002A677F" w:rsidRPr="002D66DE">
        <w:t xml:space="preserve"> de</w:t>
      </w:r>
      <w:r w:rsidR="001312DB" w:rsidRPr="002D66DE">
        <w:t xml:space="preserve"> la souplesse</w:t>
      </w:r>
      <w:r w:rsidR="00372A50" w:rsidRPr="002D66DE">
        <w:t xml:space="preserve"> (</w:t>
      </w:r>
      <w:r w:rsidR="001312DB" w:rsidRPr="002D66DE">
        <w:t>pour tenir compte des nouvelles tendances et des nouveaux problèmes qui se font jour</w:t>
      </w:r>
      <w:r w:rsidR="00372A50" w:rsidRPr="002D66DE">
        <w:t xml:space="preserve">) </w:t>
      </w:r>
      <w:r w:rsidR="001312DB" w:rsidRPr="002D66DE">
        <w:t>comme indiqué plus haut</w:t>
      </w:r>
      <w:r w:rsidR="00372A50" w:rsidRPr="002D66DE">
        <w:t xml:space="preserve">. </w:t>
      </w:r>
    </w:p>
    <w:p w14:paraId="165BB4C1" w14:textId="16BEADEC" w:rsidR="00372A50" w:rsidRPr="002D66DE" w:rsidRDefault="00372A50" w:rsidP="00C55BDB">
      <w:pPr>
        <w:keepLines/>
      </w:pPr>
      <w:r w:rsidRPr="002D66DE">
        <w:rPr>
          <w:b/>
        </w:rPr>
        <w:lastRenderedPageBreak/>
        <w:t>4.4</w:t>
      </w:r>
      <w:r w:rsidRPr="002D66DE">
        <w:tab/>
      </w:r>
      <w:r w:rsidR="00177D0B" w:rsidRPr="002D66DE">
        <w:t>S</w:t>
      </w:r>
      <w:r w:rsidR="009F4D21" w:rsidRPr="002D66DE">
        <w:t>'</w:t>
      </w:r>
      <w:r w:rsidR="00177D0B" w:rsidRPr="002D66DE">
        <w:t>agissant d</w:t>
      </w:r>
      <w:r w:rsidR="001312DB" w:rsidRPr="002D66DE">
        <w:t>es dispositions</w:t>
      </w:r>
      <w:r w:rsidR="00260A97" w:rsidRPr="002D66DE">
        <w:t xml:space="preserve"> pour lesquelles </w:t>
      </w:r>
      <w:r w:rsidR="001312DB" w:rsidRPr="002D66DE">
        <w:t xml:space="preserve">une mise à jour </w:t>
      </w:r>
      <w:r w:rsidR="00260A97" w:rsidRPr="002D66DE">
        <w:t xml:space="preserve">a été proposée dans la colonne </w:t>
      </w:r>
      <w:r w:rsidR="00C55BDB" w:rsidRPr="002D66DE">
        <w:t>"</w:t>
      </w:r>
      <w:r w:rsidR="00260A97" w:rsidRPr="002D66DE">
        <w:t>Résumé des résultats</w:t>
      </w:r>
      <w:r w:rsidR="00C55BDB" w:rsidRPr="002D66DE">
        <w:t>"</w:t>
      </w:r>
      <w:r w:rsidR="00411443" w:rsidRPr="002D66DE">
        <w:t xml:space="preserve"> du Tableau d</w:t>
      </w:r>
      <w:r w:rsidR="009F4D21" w:rsidRPr="002D66DE">
        <w:t>'</w:t>
      </w:r>
      <w:r w:rsidR="00411443" w:rsidRPr="002D66DE">
        <w:t>examen</w:t>
      </w:r>
      <w:r w:rsidR="001312DB" w:rsidRPr="002D66DE">
        <w:t>, certains membres ont souligné que de telles recommandations constitu</w:t>
      </w:r>
      <w:r w:rsidR="00260A97" w:rsidRPr="002D66DE">
        <w:t>ai</w:t>
      </w:r>
      <w:r w:rsidR="001312DB" w:rsidRPr="002D66DE">
        <w:t xml:space="preserve">ent une révision du RTI de </w:t>
      </w:r>
      <w:r w:rsidRPr="002D66DE">
        <w:t>2012</w:t>
      </w:r>
      <w:r w:rsidR="00260A97" w:rsidRPr="002D66DE">
        <w:t xml:space="preserve"> – </w:t>
      </w:r>
      <w:r w:rsidR="00493A6F" w:rsidRPr="002D66DE">
        <w:t>qui n</w:t>
      </w:r>
      <w:r w:rsidR="00260A97" w:rsidRPr="002D66DE">
        <w:t>e relève pas</w:t>
      </w:r>
      <w:r w:rsidR="00493A6F" w:rsidRPr="002D66DE">
        <w:t xml:space="preserve"> de la compétence du Groupe </w:t>
      </w:r>
      <w:r w:rsidR="00260A97" w:rsidRPr="002D66DE">
        <w:t xml:space="preserve">– </w:t>
      </w:r>
      <w:r w:rsidR="00493A6F" w:rsidRPr="002D66DE">
        <w:t>et qu</w:t>
      </w:r>
      <w:r w:rsidR="009F4D21" w:rsidRPr="002D66DE">
        <w:t>'</w:t>
      </w:r>
      <w:r w:rsidR="00493A6F" w:rsidRPr="002D66DE">
        <w:t>elle</w:t>
      </w:r>
      <w:r w:rsidR="00260A97" w:rsidRPr="002D66DE">
        <w:t>s</w:t>
      </w:r>
      <w:r w:rsidR="00493A6F" w:rsidRPr="002D66DE">
        <w:t xml:space="preserve"> ne devrai</w:t>
      </w:r>
      <w:r w:rsidR="00260A97" w:rsidRPr="002D66DE">
        <w:t>en</w:t>
      </w:r>
      <w:r w:rsidR="00493A6F" w:rsidRPr="002D66DE">
        <w:t>t pas y figurer, alors que d</w:t>
      </w:r>
      <w:r w:rsidR="009F4D21" w:rsidRPr="002D66DE">
        <w:t>'</w:t>
      </w:r>
      <w:r w:rsidR="00493A6F" w:rsidRPr="002D66DE">
        <w:t>autres membres ont estimé que ces r</w:t>
      </w:r>
      <w:r w:rsidRPr="002D66DE">
        <w:t>ecomm</w:t>
      </w:r>
      <w:r w:rsidR="00493A6F" w:rsidRPr="002D66DE">
        <w:t>a</w:t>
      </w:r>
      <w:r w:rsidRPr="002D66DE">
        <w:t xml:space="preserve">ndations </w:t>
      </w:r>
      <w:r w:rsidR="00260A97" w:rsidRPr="002D66DE">
        <w:t>font avancer le</w:t>
      </w:r>
      <w:r w:rsidR="00493A6F" w:rsidRPr="002D66DE">
        <w:t xml:space="preserve"> processus de révision et aideront à identifier les</w:t>
      </w:r>
      <w:r w:rsidRPr="002D66DE">
        <w:t xml:space="preserve"> </w:t>
      </w:r>
      <w:r w:rsidR="00260A97" w:rsidRPr="002D66DE">
        <w:t>dispositions</w:t>
      </w:r>
      <w:r w:rsidRPr="002D66DE">
        <w:t xml:space="preserve"> </w:t>
      </w:r>
      <w:r w:rsidR="00493A6F" w:rsidRPr="002D66DE">
        <w:t>qui doivent être mises à jour à cette fin</w:t>
      </w:r>
      <w:r w:rsidRPr="002D66DE">
        <w:t>.</w:t>
      </w:r>
    </w:p>
    <w:p w14:paraId="5732169F" w14:textId="5711EBD9" w:rsidR="00372A50" w:rsidRPr="002D66DE" w:rsidRDefault="00372A50" w:rsidP="00C55BDB">
      <w:r w:rsidRPr="002D66DE">
        <w:rPr>
          <w:b/>
        </w:rPr>
        <w:t>4.5</w:t>
      </w:r>
      <w:r w:rsidRPr="002D66DE">
        <w:rPr>
          <w:b/>
        </w:rPr>
        <w:tab/>
      </w:r>
      <w:r w:rsidR="004D095F" w:rsidRPr="002D66DE">
        <w:t xml:space="preserve">Pendant la réunion, </w:t>
      </w:r>
      <w:r w:rsidR="00C73937" w:rsidRPr="002D66DE">
        <w:t>l</w:t>
      </w:r>
      <w:r w:rsidR="004D095F" w:rsidRPr="002D66DE">
        <w:t xml:space="preserve">es membres ont lancé un appel pour que davantage de Membres de Secteur participent activement aux </w:t>
      </w:r>
      <w:r w:rsidR="00C73937" w:rsidRPr="002D66DE">
        <w:t>discussions</w:t>
      </w:r>
      <w:r w:rsidR="004D095F" w:rsidRPr="002D66DE">
        <w:t xml:space="preserve"> du Groupe et </w:t>
      </w:r>
      <w:r w:rsidRPr="002D66DE">
        <w:t>continue</w:t>
      </w:r>
      <w:r w:rsidR="004D095F" w:rsidRPr="002D66DE">
        <w:t xml:space="preserve">nt de présenter des contributions </w:t>
      </w:r>
      <w:r w:rsidR="00C73937" w:rsidRPr="002D66DE">
        <w:t>susceptibles de</w:t>
      </w:r>
      <w:r w:rsidR="004D095F" w:rsidRPr="002D66DE">
        <w:t xml:space="preserve"> faciliter les </w:t>
      </w:r>
      <w:r w:rsidRPr="002D66DE">
        <w:t>d</w:t>
      </w:r>
      <w:r w:rsidR="004D095F" w:rsidRPr="002D66DE">
        <w:t>é</w:t>
      </w:r>
      <w:r w:rsidRPr="002D66DE">
        <w:t>lib</w:t>
      </w:r>
      <w:r w:rsidR="004D095F" w:rsidRPr="002D66DE">
        <w:t>é</w:t>
      </w:r>
      <w:r w:rsidRPr="002D66DE">
        <w:t xml:space="preserve">rations </w:t>
      </w:r>
      <w:r w:rsidR="004D095F" w:rsidRPr="002D66DE">
        <w:t>et le processus d</w:t>
      </w:r>
      <w:r w:rsidR="009F4D21" w:rsidRPr="002D66DE">
        <w:t>'</w:t>
      </w:r>
      <w:r w:rsidR="004D095F" w:rsidRPr="002D66DE">
        <w:t>examen</w:t>
      </w:r>
      <w:r w:rsidRPr="002D66DE">
        <w:t xml:space="preserve">. </w:t>
      </w:r>
    </w:p>
    <w:p w14:paraId="0E040FDE" w14:textId="5F81CBFE" w:rsidR="00D67DD4" w:rsidRPr="002D66DE" w:rsidRDefault="00372A50" w:rsidP="00C55BDB">
      <w:r w:rsidRPr="002D66DE">
        <w:rPr>
          <w:b/>
        </w:rPr>
        <w:t>4.6</w:t>
      </w:r>
      <w:r w:rsidRPr="002D66DE">
        <w:tab/>
      </w:r>
      <w:r w:rsidR="009B70F2" w:rsidRPr="002D66DE">
        <w:t xml:space="preserve">Aux fins du présent rapport, </w:t>
      </w:r>
      <w:r w:rsidR="00C73937" w:rsidRPr="002D66DE">
        <w:t>l</w:t>
      </w:r>
      <w:r w:rsidR="009B70F2" w:rsidRPr="002D66DE">
        <w:t xml:space="preserve">es membres ont souhaité </w:t>
      </w:r>
      <w:r w:rsidR="00D95DC1" w:rsidRPr="002D66DE">
        <w:t xml:space="preserve">souligner </w:t>
      </w:r>
      <w:r w:rsidR="009B70F2" w:rsidRPr="002D66DE">
        <w:t>que</w:t>
      </w:r>
      <w:r w:rsidR="00495518" w:rsidRPr="002D66DE">
        <w:t xml:space="preserve"> le Tableau d</w:t>
      </w:r>
      <w:r w:rsidR="009F4D21" w:rsidRPr="002D66DE">
        <w:t>'</w:t>
      </w:r>
      <w:r w:rsidR="00495518" w:rsidRPr="002D66DE">
        <w:t>examen figurant à l</w:t>
      </w:r>
      <w:r w:rsidR="009F4D21" w:rsidRPr="002D66DE">
        <w:t>'</w:t>
      </w:r>
      <w:r w:rsidR="00495518" w:rsidRPr="002D66DE">
        <w:t>Annexe 1</w:t>
      </w:r>
      <w:r w:rsidRPr="002D66DE">
        <w:t xml:space="preserve"> </w:t>
      </w:r>
      <w:r w:rsidR="00495518" w:rsidRPr="002D66DE">
        <w:t>avait été complété en anglais et qu</w:t>
      </w:r>
      <w:r w:rsidR="00C73937" w:rsidRPr="002D66DE">
        <w:t>e sa traduction dans les cinq autres langues p</w:t>
      </w:r>
      <w:r w:rsidR="00B47629" w:rsidRPr="002D66DE">
        <w:t xml:space="preserve">ouvait </w:t>
      </w:r>
      <w:r w:rsidR="00C73937" w:rsidRPr="002D66DE">
        <w:t>entraîner de</w:t>
      </w:r>
      <w:r w:rsidR="00495518" w:rsidRPr="002D66DE">
        <w:t xml:space="preserve"> légères </w:t>
      </w:r>
      <w:r w:rsidR="00723587" w:rsidRPr="002D66DE">
        <w:t>différences</w:t>
      </w:r>
      <w:r w:rsidR="00495518" w:rsidRPr="002D66DE">
        <w:t xml:space="preserve"> dans l</w:t>
      </w:r>
      <w:r w:rsidR="009F4D21" w:rsidRPr="002D66DE">
        <w:t>'</w:t>
      </w:r>
      <w:r w:rsidR="00C73937" w:rsidRPr="002D66DE">
        <w:t>emploi de</w:t>
      </w:r>
      <w:r w:rsidR="00495518" w:rsidRPr="002D66DE">
        <w:t>s termes</w:t>
      </w:r>
      <w:r w:rsidRPr="002D66DE">
        <w:t>.</w:t>
      </w:r>
    </w:p>
    <w:p w14:paraId="23E9B04A" w14:textId="77777777" w:rsidR="00372A50" w:rsidRPr="002D66DE" w:rsidRDefault="00372A50" w:rsidP="00C176DF">
      <w:pPr>
        <w:pStyle w:val="Heading1"/>
      </w:pPr>
      <w:r w:rsidRPr="002D66DE">
        <w:rPr>
          <w:rFonts w:asciiTheme="minorHAnsi" w:hAnsiTheme="minorHAnsi" w:cstheme="minorHAnsi"/>
          <w:bCs/>
          <w:szCs w:val="24"/>
        </w:rPr>
        <w:t>5</w:t>
      </w:r>
      <w:r w:rsidRPr="002D66DE">
        <w:rPr>
          <w:rFonts w:asciiTheme="minorHAnsi" w:hAnsiTheme="minorHAnsi" w:cstheme="minorHAnsi"/>
          <w:bCs/>
          <w:szCs w:val="24"/>
        </w:rPr>
        <w:tab/>
      </w:r>
      <w:r w:rsidRPr="002D66DE">
        <w:t>Examen des prochaines étapes</w:t>
      </w:r>
    </w:p>
    <w:p w14:paraId="2ABC24B0" w14:textId="4BF25C44" w:rsidR="00372A50" w:rsidRPr="002D66DE" w:rsidRDefault="00592CCA" w:rsidP="00C176DF">
      <w:bookmarkStart w:id="18" w:name="lt_pId238"/>
      <w:r w:rsidRPr="002D66DE">
        <w:t>Conformément à la pratique, l</w:t>
      </w:r>
      <w:r w:rsidR="00372A50" w:rsidRPr="002D66DE">
        <w:t xml:space="preserve">e Président a proposé que le rapport de </w:t>
      </w:r>
      <w:r w:rsidR="0039656D" w:rsidRPr="002D66DE">
        <w:t>la deuxième</w:t>
      </w:r>
      <w:r w:rsidR="00372A50" w:rsidRPr="002D66DE">
        <w:t xml:space="preserve"> réunion du Groupe EG-RTI soit élaboré de manière informelle et transmis aux Vice-Présidents afin qu</w:t>
      </w:r>
      <w:r w:rsidR="009364F2" w:rsidRPr="002D66DE">
        <w:t>e ceux-ci</w:t>
      </w:r>
      <w:r w:rsidR="00372A50" w:rsidRPr="002D66DE">
        <w:t xml:space="preserve"> le diffusent dans leur région/leurs réseaux pour examen, avant d'être établi sous sa version définitive</w:t>
      </w:r>
      <w:r w:rsidR="0039656D" w:rsidRPr="002D66DE">
        <w:t xml:space="preserve"> selon la procédure convenue pendant la réunion</w:t>
      </w:r>
      <w:bookmarkEnd w:id="18"/>
      <w:r w:rsidR="00372A50" w:rsidRPr="002D66DE">
        <w:t xml:space="preserve"> </w:t>
      </w:r>
      <w:bookmarkStart w:id="19" w:name="lt_pId239"/>
      <w:r w:rsidR="00372A50" w:rsidRPr="002D66DE">
        <w:rPr>
          <w:bCs/>
        </w:rPr>
        <w:t>(</w:t>
      </w:r>
      <w:hyperlink r:id="rId25" w:history="1">
        <w:r w:rsidR="00372A50" w:rsidRPr="002D66DE">
          <w:rPr>
            <w:rStyle w:val="Hyperlink"/>
            <w:bCs/>
          </w:rPr>
          <w:t>Document EG-ITRs-2/DL/2</w:t>
        </w:r>
      </w:hyperlink>
      <w:r w:rsidR="00372A50" w:rsidRPr="002D66DE">
        <w:rPr>
          <w:bCs/>
        </w:rPr>
        <w:t>)</w:t>
      </w:r>
      <w:r w:rsidR="0039656D" w:rsidRPr="002D66DE">
        <w:rPr>
          <w:bCs/>
        </w:rPr>
        <w:t xml:space="preserve">. </w:t>
      </w:r>
      <w:r w:rsidR="0039656D" w:rsidRPr="002D66DE">
        <w:t>Les rapports des réunions</w:t>
      </w:r>
      <w:r w:rsidR="00372A50" w:rsidRPr="002D66DE">
        <w:rPr>
          <w:bCs/>
        </w:rPr>
        <w:t xml:space="preserve"> </w:t>
      </w:r>
      <w:r w:rsidR="00372A50" w:rsidRPr="002D66DE">
        <w:t>tenues en septembre</w:t>
      </w:r>
      <w:r w:rsidR="0039656D" w:rsidRPr="002D66DE">
        <w:t xml:space="preserve"> 2019</w:t>
      </w:r>
      <w:r w:rsidR="00372A50" w:rsidRPr="002D66DE">
        <w:t xml:space="preserve"> et février</w:t>
      </w:r>
      <w:r w:rsidR="0039656D" w:rsidRPr="002D66DE">
        <w:t xml:space="preserve"> 2020</w:t>
      </w:r>
      <w:r w:rsidR="00372A50" w:rsidRPr="002D66DE">
        <w:t xml:space="preserve"> seront regroupés pour être présentés au Conseil en 2020 en tant que rapports d'activité.</w:t>
      </w:r>
      <w:bookmarkEnd w:id="19"/>
    </w:p>
    <w:p w14:paraId="48FE19DA" w14:textId="77777777" w:rsidR="00372A50" w:rsidRPr="002D66DE" w:rsidRDefault="00372A50" w:rsidP="00C176DF">
      <w:pPr>
        <w:pStyle w:val="Heading1"/>
      </w:pPr>
      <w:r w:rsidRPr="002D66DE">
        <w:t>6</w:t>
      </w:r>
      <w:r w:rsidRPr="002D66DE">
        <w:tab/>
      </w:r>
      <w:bookmarkStart w:id="20" w:name="lt_pId250"/>
      <w:r w:rsidRPr="002D66DE">
        <w:t>Clôture de la réunion</w:t>
      </w:r>
      <w:bookmarkEnd w:id="20"/>
    </w:p>
    <w:p w14:paraId="5732923E" w14:textId="77777777" w:rsidR="00372A50" w:rsidRPr="002D66DE" w:rsidRDefault="00372A50" w:rsidP="00C176DF">
      <w:pPr>
        <w:rPr>
          <w:b/>
        </w:rPr>
      </w:pPr>
      <w:bookmarkStart w:id="21" w:name="lt_pId251"/>
      <w:r w:rsidRPr="002D66DE">
        <w:t>En conclusion, le Président a remercié tous les États Membres et tous les Membres de Secteur de l'UIT ayant présenté des contributions et participé aux travaux du Groupe d'experts, les Vice</w:t>
      </w:r>
      <w:r w:rsidRPr="002D66DE">
        <w:noBreakHyphen/>
        <w:t>Présidents ainsi que les fonctionnaires élus de l'UIT et le secrétariat, pour leur précieux concours pendant la réunion.</w:t>
      </w:r>
      <w:bookmarkEnd w:id="21"/>
    </w:p>
    <w:p w14:paraId="4A212A64" w14:textId="77777777" w:rsidR="00372A50" w:rsidRPr="002D66DE" w:rsidRDefault="00372A50" w:rsidP="00C176DF">
      <w:pPr>
        <w:rPr>
          <w:b/>
        </w:rPr>
      </w:pPr>
      <w:bookmarkStart w:id="22" w:name="lt_pId252"/>
      <w:r w:rsidRPr="002D66DE">
        <w:t>Le Groupe a remercié le Président et le secrétariat pour l'efficacité de l'organisation et de la gestion des travaux du Groupe.</w:t>
      </w:r>
      <w:bookmarkEnd w:id="22"/>
    </w:p>
    <w:p w14:paraId="62847F82" w14:textId="77777777" w:rsidR="00401AD4" w:rsidRPr="002D66DE" w:rsidRDefault="00372A50" w:rsidP="00C176DF">
      <w:pPr>
        <w:rPr>
          <w:b/>
          <w:bCs/>
        </w:rPr>
      </w:pPr>
      <w:bookmarkStart w:id="23" w:name="lt_pId253"/>
      <w:r w:rsidRPr="002D66DE">
        <w:rPr>
          <w:b/>
          <w:bCs/>
        </w:rPr>
        <w:t>Président: M. Lwando Bbuku (Zambie)</w:t>
      </w:r>
      <w:bookmarkEnd w:id="23"/>
    </w:p>
    <w:p w14:paraId="318CDAF3" w14:textId="77777777" w:rsidR="00C55BDB" w:rsidRPr="002D66DE" w:rsidRDefault="00C55BDB" w:rsidP="00C176DF">
      <w:pPr>
        <w:rPr>
          <w:b/>
          <w:bCs/>
        </w:rPr>
      </w:pPr>
    </w:p>
    <w:p w14:paraId="013A6B4E" w14:textId="101C87A7" w:rsidR="00C55BDB" w:rsidRPr="002D66DE" w:rsidRDefault="00C55BDB" w:rsidP="00C176DF">
      <w:pPr>
        <w:rPr>
          <w:b/>
          <w:bCs/>
        </w:rPr>
        <w:sectPr w:rsidR="00C55BDB" w:rsidRPr="002D66DE" w:rsidSect="00401AD4">
          <w:headerReference w:type="even" r:id="rId26"/>
          <w:headerReference w:type="default" r:id="rId27"/>
          <w:footerReference w:type="even" r:id="rId28"/>
          <w:footerReference w:type="default" r:id="rId29"/>
          <w:footerReference w:type="first" r:id="rId30"/>
          <w:pgSz w:w="11907" w:h="16840" w:code="9"/>
          <w:pgMar w:top="1418" w:right="1134" w:bottom="1418" w:left="1134" w:header="720" w:footer="720" w:gutter="0"/>
          <w:paperSrc w:first="261" w:other="261"/>
          <w:cols w:space="720"/>
          <w:titlePg/>
          <w:docGrid w:linePitch="326"/>
        </w:sectPr>
      </w:pPr>
    </w:p>
    <w:p w14:paraId="65889B6A" w14:textId="13B589A6" w:rsidR="00F476A1" w:rsidRPr="002D66DE" w:rsidRDefault="00F476A1" w:rsidP="00C55BDB">
      <w:pPr>
        <w:pStyle w:val="AnnexNo"/>
        <w:spacing w:before="240"/>
      </w:pPr>
      <w:r w:rsidRPr="002D66DE">
        <w:lastRenderedPageBreak/>
        <w:t>ANNEXE I</w:t>
      </w:r>
    </w:p>
    <w:p w14:paraId="702EA0FD" w14:textId="242A9F81" w:rsidR="00F476A1" w:rsidRPr="002D66DE" w:rsidRDefault="00F476A1" w:rsidP="00C176DF">
      <w:pPr>
        <w:pStyle w:val="Annextitle"/>
      </w:pPr>
      <w:r w:rsidRPr="002D66DE">
        <w:t>Table</w:t>
      </w:r>
      <w:r w:rsidR="002A16A2" w:rsidRPr="002D66DE">
        <w:t>au d</w:t>
      </w:r>
      <w:r w:rsidR="009F4D21" w:rsidRPr="002D66DE">
        <w:t>'</w:t>
      </w:r>
      <w:r w:rsidR="002A16A2" w:rsidRPr="002D66DE">
        <w:t>examen</w:t>
      </w:r>
      <w:r w:rsidRPr="002D66DE">
        <w:t xml:space="preserve"> (Pr</w:t>
      </w:r>
      <w:r w:rsidR="002A16A2" w:rsidRPr="002D66DE">
        <w:t xml:space="preserve">éambule – Article </w:t>
      </w:r>
      <w:r w:rsidRPr="002D66DE">
        <w:t>4)</w:t>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A74E53" w:rsidRPr="002D66DE" w14:paraId="28315015" w14:textId="77777777" w:rsidTr="00C55BDB">
        <w:trPr>
          <w:tblHeader/>
        </w:trPr>
        <w:tc>
          <w:tcPr>
            <w:tcW w:w="987" w:type="dxa"/>
            <w:vAlign w:val="center"/>
          </w:tcPr>
          <w:p w14:paraId="197B3C38" w14:textId="77777777" w:rsidR="009C5218" w:rsidRPr="002D66DE" w:rsidRDefault="009C5218" w:rsidP="00C55BDB">
            <w:pPr>
              <w:pStyle w:val="Tablehead"/>
              <w:rPr>
                <w:rFonts w:asciiTheme="minorHAnsi" w:hAnsiTheme="minorHAnsi" w:cstheme="minorHAnsi"/>
                <w:sz w:val="20"/>
                <w:szCs w:val="20"/>
              </w:rPr>
            </w:pPr>
            <w:r w:rsidRPr="002D66DE">
              <w:rPr>
                <w:sz w:val="20"/>
                <w:szCs w:val="20"/>
              </w:rPr>
              <w:t>Article de la version de 2012</w:t>
            </w:r>
          </w:p>
        </w:tc>
        <w:tc>
          <w:tcPr>
            <w:tcW w:w="2860" w:type="dxa"/>
            <w:vAlign w:val="center"/>
          </w:tcPr>
          <w:p w14:paraId="27C1F282" w14:textId="77777777" w:rsidR="009C5218" w:rsidRPr="002D66DE" w:rsidRDefault="009C5218" w:rsidP="00C55BDB">
            <w:pPr>
              <w:pStyle w:val="Tablehead"/>
              <w:rPr>
                <w:rFonts w:asciiTheme="minorHAnsi" w:hAnsiTheme="minorHAnsi" w:cstheme="minorHAnsi"/>
                <w:sz w:val="20"/>
                <w:szCs w:val="20"/>
              </w:rPr>
            </w:pPr>
            <w:bookmarkStart w:id="24" w:name="lt_pId258"/>
            <w:r w:rsidRPr="002D66DE">
              <w:rPr>
                <w:sz w:val="20"/>
                <w:szCs w:val="20"/>
              </w:rPr>
              <w:t>Paragraphe et disposition</w:t>
            </w:r>
            <w:bookmarkEnd w:id="24"/>
          </w:p>
        </w:tc>
        <w:tc>
          <w:tcPr>
            <w:tcW w:w="3716" w:type="dxa"/>
            <w:vAlign w:val="center"/>
          </w:tcPr>
          <w:p w14:paraId="5681279D" w14:textId="77777777" w:rsidR="009C5218" w:rsidRPr="002D66DE" w:rsidRDefault="009C5218" w:rsidP="00C55BDB">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vAlign w:val="center"/>
          </w:tcPr>
          <w:p w14:paraId="33D98954" w14:textId="77777777" w:rsidR="009C5218" w:rsidRPr="002D66DE" w:rsidRDefault="009C5218" w:rsidP="00C55BDB">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vAlign w:val="center"/>
          </w:tcPr>
          <w:p w14:paraId="3B762672" w14:textId="77777777" w:rsidR="009C5218" w:rsidRPr="002D66DE" w:rsidRDefault="009C5218" w:rsidP="00C55BDB">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vAlign w:val="center"/>
          </w:tcPr>
          <w:p w14:paraId="3EADAF77" w14:textId="77777777" w:rsidR="009C5218" w:rsidRPr="002D66DE" w:rsidRDefault="009C5218" w:rsidP="00C55BDB">
            <w:pPr>
              <w:pStyle w:val="Tablehead"/>
              <w:rPr>
                <w:rFonts w:asciiTheme="minorHAnsi" w:hAnsiTheme="minorHAnsi" w:cstheme="minorHAnsi"/>
                <w:sz w:val="20"/>
                <w:szCs w:val="20"/>
              </w:rPr>
            </w:pPr>
            <w:r w:rsidRPr="002D66DE">
              <w:rPr>
                <w:sz w:val="20"/>
                <w:szCs w:val="20"/>
              </w:rPr>
              <w:t>Résumé des résultats</w:t>
            </w:r>
          </w:p>
        </w:tc>
      </w:tr>
      <w:tr w:rsidR="00A74E53" w:rsidRPr="002D66DE" w14:paraId="6DA0E745" w14:textId="77777777" w:rsidTr="00C55BDB">
        <w:tc>
          <w:tcPr>
            <w:tcW w:w="987" w:type="dxa"/>
          </w:tcPr>
          <w:p w14:paraId="06DA0608" w14:textId="5379444B" w:rsidR="00F476A1" w:rsidRPr="002D66DE" w:rsidRDefault="00F476A1" w:rsidP="00C55BDB">
            <w:pPr>
              <w:pStyle w:val="Tablehead"/>
              <w:rPr>
                <w:sz w:val="20"/>
                <w:szCs w:val="20"/>
              </w:rPr>
            </w:pPr>
            <w:r w:rsidRPr="002D66DE">
              <w:rPr>
                <w:sz w:val="20"/>
                <w:szCs w:val="20"/>
              </w:rPr>
              <w:t>1</w:t>
            </w:r>
          </w:p>
        </w:tc>
        <w:tc>
          <w:tcPr>
            <w:tcW w:w="2860" w:type="dxa"/>
          </w:tcPr>
          <w:p w14:paraId="2E1377A9" w14:textId="77777777" w:rsidR="00F476A1" w:rsidRPr="002D66DE" w:rsidRDefault="00F476A1" w:rsidP="00C55BDB">
            <w:pPr>
              <w:pStyle w:val="Tabletext"/>
              <w:rPr>
                <w:b/>
                <w:sz w:val="20"/>
                <w:szCs w:val="20"/>
                <w:lang w:eastAsia="zh-CN"/>
              </w:rPr>
            </w:pPr>
            <w:r w:rsidRPr="002D66DE">
              <w:rPr>
                <w:b/>
                <w:sz w:val="20"/>
                <w:szCs w:val="20"/>
              </w:rPr>
              <w:t>1</w:t>
            </w:r>
            <w:r w:rsidRPr="002D66DE">
              <w:rPr>
                <w:b/>
                <w:sz w:val="20"/>
                <w:szCs w:val="20"/>
              </w:rPr>
              <w:tab/>
            </w:r>
            <w:r w:rsidRPr="002D66DE">
              <w:rPr>
                <w:b/>
                <w:sz w:val="20"/>
                <w:szCs w:val="20"/>
                <w:lang w:eastAsia="zh-CN"/>
              </w:rPr>
              <w:t>Le droit souverain de réglementer ses télécommunications étant pleinement reconnu à chaque État, les dispositions contenues dans le présent Règlement des télécommunications internationales (ci</w:t>
            </w:r>
            <w:r w:rsidRPr="002D66DE">
              <w:rPr>
                <w:b/>
                <w:sz w:val="20"/>
                <w:szCs w:val="20"/>
                <w:lang w:eastAsia="zh-CN"/>
              </w:rPr>
              <w:noBreakHyphen/>
              <w:t>après désigné le "Règlement")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t>
            </w:r>
          </w:p>
          <w:p w14:paraId="14DDCF79" w14:textId="0EA6BFA9" w:rsidR="004C7683" w:rsidRPr="002D66DE" w:rsidRDefault="004C7683" w:rsidP="004C7683">
            <w:pPr>
              <w:jc w:val="center"/>
              <w:rPr>
                <w:lang w:eastAsia="zh-CN"/>
              </w:rPr>
            </w:pPr>
          </w:p>
        </w:tc>
        <w:tc>
          <w:tcPr>
            <w:tcW w:w="3716" w:type="dxa"/>
          </w:tcPr>
          <w:p w14:paraId="1C6D170C" w14:textId="19E40FAA" w:rsidR="00F476A1" w:rsidRPr="002D66DE" w:rsidRDefault="00F476A1" w:rsidP="00C55BDB">
            <w:pPr>
              <w:pStyle w:val="Tabletext"/>
            </w:pPr>
            <w:r w:rsidRPr="002D66DE">
              <w:rPr>
                <w:sz w:val="20"/>
                <w:szCs w:val="20"/>
              </w:rPr>
              <w:t>Le droit souverain de réglementer ses télécommunications étant pleinement reconnu à chaque pays, les dispositions contenues dans le présent Règlement complètent la Convention 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tc>
        <w:tc>
          <w:tcPr>
            <w:tcW w:w="2613" w:type="dxa"/>
          </w:tcPr>
          <w:p w14:paraId="77F69ED0" w14:textId="3328336A" w:rsidR="00F476A1" w:rsidRPr="002D66DE" w:rsidRDefault="0061045F" w:rsidP="00C55BDB">
            <w:pPr>
              <w:pStyle w:val="Tabletext"/>
              <w:rPr>
                <w:sz w:val="20"/>
                <w:szCs w:val="20"/>
              </w:rPr>
            </w:pPr>
            <w:r w:rsidRPr="002D66DE">
              <w:rPr>
                <w:sz w:val="20"/>
                <w:szCs w:val="20"/>
              </w:rPr>
              <w:t>De l</w:t>
            </w:r>
            <w:r w:rsidR="009F4D21" w:rsidRPr="002D66DE">
              <w:rPr>
                <w:sz w:val="20"/>
                <w:szCs w:val="20"/>
              </w:rPr>
              <w:t>'</w:t>
            </w:r>
            <w:r w:rsidRPr="002D66DE">
              <w:rPr>
                <w:sz w:val="20"/>
                <w:szCs w:val="20"/>
              </w:rPr>
              <w:t>avis de cer</w:t>
            </w:r>
            <w:r w:rsidR="002A16A2" w:rsidRPr="002D66DE">
              <w:rPr>
                <w:sz w:val="20"/>
                <w:szCs w:val="20"/>
              </w:rPr>
              <w:t>tains membres</w:t>
            </w:r>
            <w:r w:rsidR="00604BE9" w:rsidRPr="002D66DE">
              <w:rPr>
                <w:sz w:val="20"/>
                <w:szCs w:val="20"/>
              </w:rPr>
              <w:t>,</w:t>
            </w:r>
            <w:r w:rsidR="002A16A2" w:rsidRPr="002D66DE">
              <w:rPr>
                <w:sz w:val="20"/>
                <w:szCs w:val="20"/>
              </w:rPr>
              <w:t xml:space="preserve"> cette disposition </w:t>
            </w:r>
            <w:r w:rsidR="00661C12" w:rsidRPr="002D66DE">
              <w:rPr>
                <w:sz w:val="20"/>
                <w:szCs w:val="20"/>
              </w:rPr>
              <w:t>est</w:t>
            </w:r>
            <w:r w:rsidR="002A16A2" w:rsidRPr="002D66DE">
              <w:rPr>
                <w:sz w:val="20"/>
                <w:szCs w:val="20"/>
              </w:rPr>
              <w:t xml:space="preserve"> a</w:t>
            </w:r>
            <w:r w:rsidR="00F476A1" w:rsidRPr="002D66DE">
              <w:rPr>
                <w:sz w:val="20"/>
                <w:szCs w:val="20"/>
              </w:rPr>
              <w:t xml:space="preserve">pplicable </w:t>
            </w:r>
            <w:r w:rsidR="002A16A2" w:rsidRPr="002D66DE">
              <w:rPr>
                <w:sz w:val="20"/>
                <w:szCs w:val="20"/>
              </w:rPr>
              <w:t>pour ce qui est de</w:t>
            </w:r>
            <w:r w:rsidR="004C7683" w:rsidRPr="002D66DE">
              <w:rPr>
                <w:sz w:val="20"/>
                <w:szCs w:val="20"/>
              </w:rPr>
              <w:t xml:space="preserve"> </w:t>
            </w:r>
            <w:r w:rsidR="002A16A2" w:rsidRPr="002D66DE">
              <w:rPr>
                <w:sz w:val="20"/>
                <w:szCs w:val="20"/>
              </w:rPr>
              <w:t>favoriser la fourniture et le développement des réseaux et des services</w:t>
            </w:r>
            <w:r w:rsidR="00F476A1" w:rsidRPr="002D66DE">
              <w:rPr>
                <w:sz w:val="20"/>
                <w:szCs w:val="20"/>
              </w:rPr>
              <w:t>.</w:t>
            </w:r>
          </w:p>
          <w:p w14:paraId="534DDC26" w14:textId="4CE77770" w:rsidR="00F476A1" w:rsidRPr="002D66DE" w:rsidRDefault="0094529B" w:rsidP="00C55BDB">
            <w:pPr>
              <w:pStyle w:val="Tabletext"/>
              <w:rPr>
                <w:sz w:val="20"/>
                <w:szCs w:val="20"/>
              </w:rPr>
            </w:pPr>
            <w:r w:rsidRPr="002D66DE">
              <w:rPr>
                <w:sz w:val="20"/>
                <w:szCs w:val="20"/>
              </w:rPr>
              <w:t>Certains membres ont estimé que l</w:t>
            </w:r>
            <w:r w:rsidR="00F476A1" w:rsidRPr="002D66DE">
              <w:rPr>
                <w:sz w:val="20"/>
                <w:szCs w:val="20"/>
              </w:rPr>
              <w:t xml:space="preserve">e </w:t>
            </w:r>
            <w:r w:rsidR="00A94729" w:rsidRPr="002D66DE">
              <w:rPr>
                <w:sz w:val="20"/>
                <w:szCs w:val="20"/>
              </w:rPr>
              <w:t>P</w:t>
            </w:r>
            <w:r w:rsidR="00F476A1" w:rsidRPr="002D66DE">
              <w:rPr>
                <w:sz w:val="20"/>
                <w:szCs w:val="20"/>
              </w:rPr>
              <w:t xml:space="preserve">réambule </w:t>
            </w:r>
            <w:r w:rsidR="00661C12" w:rsidRPr="002D66DE">
              <w:rPr>
                <w:sz w:val="20"/>
                <w:szCs w:val="20"/>
              </w:rPr>
              <w:t>d</w:t>
            </w:r>
            <w:r w:rsidR="0061045F" w:rsidRPr="002D66DE">
              <w:rPr>
                <w:sz w:val="20"/>
                <w:szCs w:val="20"/>
              </w:rPr>
              <w:t>ev</w:t>
            </w:r>
            <w:r w:rsidR="003042CF" w:rsidRPr="002D66DE">
              <w:rPr>
                <w:sz w:val="20"/>
                <w:szCs w:val="20"/>
              </w:rPr>
              <w:t>r</w:t>
            </w:r>
            <w:r w:rsidR="0061045F" w:rsidRPr="002D66DE">
              <w:rPr>
                <w:sz w:val="20"/>
                <w:szCs w:val="20"/>
              </w:rPr>
              <w:t>ait</w:t>
            </w:r>
            <w:r w:rsidR="00F476A1" w:rsidRPr="002D66DE">
              <w:rPr>
                <w:sz w:val="20"/>
                <w:szCs w:val="20"/>
              </w:rPr>
              <w:t xml:space="preserve"> être actualisé en tenant compte des évolutions constatées dans la fourniture des services de télécommunication à l'utilisateur final.</w:t>
            </w:r>
          </w:p>
          <w:p w14:paraId="2019E2C8" w14:textId="5D39A3D4" w:rsidR="00F476A1" w:rsidRPr="002D66DE" w:rsidRDefault="003E36BD" w:rsidP="00C55BDB">
            <w:pPr>
              <w:pStyle w:val="Tabletext"/>
              <w:rPr>
                <w:sz w:val="20"/>
                <w:szCs w:val="20"/>
              </w:rPr>
            </w:pPr>
            <w:bookmarkStart w:id="25" w:name="lt_pId035"/>
            <w:r w:rsidRPr="002D66DE">
              <w:rPr>
                <w:sz w:val="20"/>
                <w:szCs w:val="20"/>
              </w:rPr>
              <w:t>De l</w:t>
            </w:r>
            <w:r w:rsidR="009F4D21" w:rsidRPr="002D66DE">
              <w:rPr>
                <w:sz w:val="20"/>
                <w:szCs w:val="20"/>
              </w:rPr>
              <w:t>'</w:t>
            </w:r>
            <w:r w:rsidRPr="002D66DE">
              <w:rPr>
                <w:sz w:val="20"/>
                <w:szCs w:val="20"/>
              </w:rPr>
              <w:t>avis de certains membres, cette</w:t>
            </w:r>
            <w:r w:rsidR="00F476A1" w:rsidRPr="002D66DE">
              <w:rPr>
                <w:sz w:val="20"/>
                <w:szCs w:val="20"/>
              </w:rPr>
              <w:t xml:space="preserve"> disposition</w:t>
            </w:r>
            <w:r w:rsidRPr="002D66DE">
              <w:rPr>
                <w:sz w:val="20"/>
                <w:szCs w:val="20"/>
              </w:rPr>
              <w:t xml:space="preserve"> fait double emploi avec la Constitution de l'UIT </w:t>
            </w:r>
            <w:r w:rsidR="000A04EF" w:rsidRPr="002D66DE">
              <w:rPr>
                <w:sz w:val="20"/>
                <w:szCs w:val="20"/>
              </w:rPr>
              <w:t>dans laquelle</w:t>
            </w:r>
            <w:r w:rsidRPr="002D66DE">
              <w:rPr>
                <w:sz w:val="20"/>
                <w:szCs w:val="20"/>
              </w:rPr>
              <w:t xml:space="preserve"> le </w:t>
            </w:r>
            <w:r w:rsidR="00F476A1" w:rsidRPr="002D66DE">
              <w:rPr>
                <w:sz w:val="20"/>
                <w:szCs w:val="20"/>
              </w:rPr>
              <w:t>droit souverain</w:t>
            </w:r>
            <w:r w:rsidRPr="002D66DE">
              <w:rPr>
                <w:sz w:val="20"/>
                <w:szCs w:val="20"/>
              </w:rPr>
              <w:t xml:space="preserve"> de chaque État</w:t>
            </w:r>
            <w:r w:rsidR="00F476A1" w:rsidRPr="002D66DE">
              <w:rPr>
                <w:sz w:val="20"/>
                <w:szCs w:val="20"/>
              </w:rPr>
              <w:t xml:space="preserve"> de réglementer ses télécommunications est déjà reconnu.</w:t>
            </w:r>
            <w:bookmarkEnd w:id="25"/>
          </w:p>
        </w:tc>
        <w:tc>
          <w:tcPr>
            <w:tcW w:w="2595" w:type="dxa"/>
          </w:tcPr>
          <w:p w14:paraId="28580DD6" w14:textId="43126C6E" w:rsidR="00F476A1" w:rsidRPr="002D66DE" w:rsidRDefault="005B61F5" w:rsidP="00C55BDB">
            <w:pPr>
              <w:pStyle w:val="Tabletext"/>
              <w:rPr>
                <w:color w:val="000000"/>
                <w:sz w:val="20"/>
                <w:szCs w:val="20"/>
              </w:rPr>
            </w:pPr>
            <w:r w:rsidRPr="002D66DE">
              <w:rPr>
                <w:sz w:val="20"/>
                <w:szCs w:val="20"/>
              </w:rPr>
              <w:t>C</w:t>
            </w:r>
            <w:r w:rsidR="00946A12" w:rsidRPr="002D66DE">
              <w:rPr>
                <w:sz w:val="20"/>
                <w:szCs w:val="20"/>
              </w:rPr>
              <w:t xml:space="preserve">ertains membres </w:t>
            </w:r>
            <w:r w:rsidRPr="002D66DE">
              <w:rPr>
                <w:sz w:val="20"/>
                <w:szCs w:val="20"/>
              </w:rPr>
              <w:t xml:space="preserve">ont estimé que </w:t>
            </w:r>
            <w:r w:rsidR="00A94729" w:rsidRPr="002D66DE">
              <w:rPr>
                <w:color w:val="000000"/>
                <w:sz w:val="20"/>
                <w:szCs w:val="20"/>
              </w:rPr>
              <w:t xml:space="preserve">cette disposition </w:t>
            </w:r>
            <w:r w:rsidR="003042CF" w:rsidRPr="002D66DE">
              <w:rPr>
                <w:color w:val="000000"/>
                <w:sz w:val="20"/>
                <w:szCs w:val="20"/>
              </w:rPr>
              <w:t>était</w:t>
            </w:r>
            <w:r w:rsidR="00F476A1" w:rsidRPr="002D66DE">
              <w:rPr>
                <w:color w:val="000000"/>
                <w:sz w:val="20"/>
                <w:szCs w:val="20"/>
              </w:rPr>
              <w:t xml:space="preserve"> suffisamment </w:t>
            </w:r>
            <w:r w:rsidR="00A94729" w:rsidRPr="002D66DE">
              <w:rPr>
                <w:color w:val="000000"/>
                <w:sz w:val="20"/>
                <w:szCs w:val="20"/>
              </w:rPr>
              <w:t>souple</w:t>
            </w:r>
            <w:r w:rsidR="00F476A1" w:rsidRPr="002D66DE">
              <w:rPr>
                <w:color w:val="000000"/>
                <w:sz w:val="20"/>
                <w:szCs w:val="20"/>
              </w:rPr>
              <w:t xml:space="preserve"> pour prendre en compte les nouvelles tendances et les nouveaux problèmes qui se font jour, tout en reconnaissant le droit souverain de chaque État de réglementer ses services de télécommunication.</w:t>
            </w:r>
          </w:p>
          <w:p w14:paraId="27C8F617" w14:textId="3B97C823" w:rsidR="00F476A1" w:rsidRPr="002D66DE" w:rsidRDefault="00C27244" w:rsidP="00C55BDB">
            <w:pPr>
              <w:pStyle w:val="Tabletext"/>
              <w:rPr>
                <w:sz w:val="20"/>
                <w:szCs w:val="20"/>
              </w:rPr>
            </w:pPr>
            <w:r w:rsidRPr="002D66DE">
              <w:rPr>
                <w:bCs/>
                <w:color w:val="000000"/>
                <w:sz w:val="20"/>
                <w:szCs w:val="20"/>
              </w:rPr>
              <w:t>Certains membres ont également souligné que</w:t>
            </w:r>
            <w:r w:rsidR="004C7683" w:rsidRPr="002D66DE">
              <w:rPr>
                <w:bCs/>
                <w:color w:val="000000"/>
                <w:sz w:val="20"/>
                <w:szCs w:val="20"/>
              </w:rPr>
              <w:t xml:space="preserve"> </w:t>
            </w:r>
            <w:r w:rsidRPr="002D66DE">
              <w:rPr>
                <w:rFonts w:cstheme="minorHAnsi"/>
                <w:sz w:val="20"/>
                <w:szCs w:val="20"/>
              </w:rPr>
              <w:t>cette disposition est aussi</w:t>
            </w:r>
            <w:r w:rsidR="004C7683" w:rsidRPr="002D66DE">
              <w:rPr>
                <w:rFonts w:cstheme="minorHAnsi"/>
                <w:sz w:val="20"/>
                <w:szCs w:val="20"/>
              </w:rPr>
              <w:t xml:space="preserve"> </w:t>
            </w:r>
            <w:r w:rsidRPr="002D66DE">
              <w:rPr>
                <w:sz w:val="20"/>
                <w:szCs w:val="20"/>
              </w:rPr>
              <w:t>suffisamment souple pour permettre aux États Membres d</w:t>
            </w:r>
            <w:r w:rsidR="009F4D21" w:rsidRPr="002D66DE">
              <w:rPr>
                <w:sz w:val="20"/>
                <w:szCs w:val="20"/>
              </w:rPr>
              <w:t>'</w:t>
            </w:r>
            <w:r w:rsidRPr="002D66DE">
              <w:rPr>
                <w:sz w:val="20"/>
                <w:szCs w:val="20"/>
              </w:rPr>
              <w:t>innover tout en encourageant l</w:t>
            </w:r>
            <w:r w:rsidR="009F4D21" w:rsidRPr="002D66DE">
              <w:rPr>
                <w:sz w:val="20"/>
                <w:szCs w:val="20"/>
              </w:rPr>
              <w:t>'</w:t>
            </w:r>
            <w:r w:rsidRPr="002D66DE">
              <w:rPr>
                <w:sz w:val="20"/>
                <w:szCs w:val="20"/>
              </w:rPr>
              <w:t>uniformité, sans porter atteinte aux droits de l</w:t>
            </w:r>
            <w:r w:rsidR="009F4D21" w:rsidRPr="002D66DE">
              <w:rPr>
                <w:sz w:val="20"/>
                <w:szCs w:val="20"/>
              </w:rPr>
              <w:t>'</w:t>
            </w:r>
            <w:r w:rsidRPr="002D66DE">
              <w:rPr>
                <w:sz w:val="20"/>
                <w:szCs w:val="20"/>
              </w:rPr>
              <w:t>homme</w:t>
            </w:r>
            <w:r w:rsidR="00F476A1" w:rsidRPr="002D66DE">
              <w:rPr>
                <w:sz w:val="20"/>
                <w:szCs w:val="20"/>
              </w:rPr>
              <w:t>.</w:t>
            </w:r>
          </w:p>
          <w:p w14:paraId="060F01A4" w14:textId="04597F9B" w:rsidR="00F476A1" w:rsidRPr="002D66DE" w:rsidRDefault="00845378" w:rsidP="00C55BDB">
            <w:pPr>
              <w:pStyle w:val="Tabletext"/>
              <w:keepNext/>
              <w:keepLines/>
              <w:rPr>
                <w:sz w:val="20"/>
                <w:szCs w:val="20"/>
              </w:rPr>
            </w:pPr>
            <w:r w:rsidRPr="002D66DE">
              <w:rPr>
                <w:sz w:val="20"/>
                <w:szCs w:val="20"/>
              </w:rPr>
              <w:lastRenderedPageBreak/>
              <w:t>De l</w:t>
            </w:r>
            <w:r w:rsidR="009F4D21" w:rsidRPr="002D66DE">
              <w:rPr>
                <w:sz w:val="20"/>
                <w:szCs w:val="20"/>
              </w:rPr>
              <w:t>'</w:t>
            </w:r>
            <w:r w:rsidRPr="002D66DE">
              <w:rPr>
                <w:sz w:val="20"/>
                <w:szCs w:val="20"/>
              </w:rPr>
              <w:t>avis de certains membres,</w:t>
            </w:r>
            <w:r w:rsidR="00F476A1" w:rsidRPr="002D66DE">
              <w:rPr>
                <w:sz w:val="20"/>
                <w:szCs w:val="20"/>
              </w:rPr>
              <w:t xml:space="preserve"> un traité international n'est ni nécessaire ni efficace pour favoriser le développement des services de télécommunication, tout en permettant le développement harmonieux des moyens utilisés pour les télécommunications à l'échelle mondiale.</w:t>
            </w:r>
          </w:p>
          <w:p w14:paraId="1C1DC7B5" w14:textId="2C2D059E" w:rsidR="00F476A1" w:rsidRPr="002D66DE" w:rsidRDefault="0021637E" w:rsidP="00C55BDB">
            <w:pPr>
              <w:pStyle w:val="Tabletext"/>
              <w:keepNext/>
              <w:keepLines/>
              <w:rPr>
                <w:sz w:val="20"/>
                <w:szCs w:val="20"/>
              </w:rPr>
            </w:pPr>
            <w:bookmarkStart w:id="26" w:name="lt_pId158"/>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avis de c</w:t>
            </w:r>
            <w:r w:rsidR="004E656E" w:rsidRPr="002D66DE">
              <w:rPr>
                <w:rFonts w:cstheme="minorHAnsi"/>
                <w:sz w:val="20"/>
                <w:szCs w:val="20"/>
              </w:rPr>
              <w:t>ertains membres</w:t>
            </w:r>
            <w:r w:rsidRPr="002D66DE">
              <w:rPr>
                <w:rFonts w:cstheme="minorHAnsi"/>
                <w:sz w:val="20"/>
                <w:szCs w:val="20"/>
              </w:rPr>
              <w:t>, cet</w:t>
            </w:r>
            <w:r w:rsidR="004E656E" w:rsidRPr="002D66DE">
              <w:rPr>
                <w:rFonts w:cstheme="minorHAnsi"/>
                <w:sz w:val="20"/>
                <w:szCs w:val="20"/>
              </w:rPr>
              <w:t xml:space="preserve">te disposition ne </w:t>
            </w:r>
            <w:r w:rsidRPr="002D66DE">
              <w:rPr>
                <w:rFonts w:cstheme="minorHAnsi"/>
                <w:sz w:val="20"/>
                <w:szCs w:val="20"/>
              </w:rPr>
              <w:t>tient</w:t>
            </w:r>
            <w:r w:rsidR="004E656E" w:rsidRPr="002D66DE">
              <w:rPr>
                <w:rFonts w:cstheme="minorHAnsi"/>
                <w:sz w:val="20"/>
                <w:szCs w:val="20"/>
              </w:rPr>
              <w:t xml:space="preserve"> pas compte des innovations en matière de services de télécommunication à l</w:t>
            </w:r>
            <w:r w:rsidR="009F4D21" w:rsidRPr="002D66DE">
              <w:rPr>
                <w:rFonts w:cstheme="minorHAnsi"/>
                <w:sz w:val="20"/>
                <w:szCs w:val="20"/>
              </w:rPr>
              <w:t>'</w:t>
            </w:r>
            <w:r w:rsidR="004E656E" w:rsidRPr="002D66DE">
              <w:rPr>
                <w:rFonts w:cstheme="minorHAnsi"/>
                <w:sz w:val="20"/>
                <w:szCs w:val="20"/>
              </w:rPr>
              <w:t>utilisateur final</w:t>
            </w:r>
            <w:r w:rsidRPr="002D66DE">
              <w:rPr>
                <w:rFonts w:cstheme="minorHAnsi"/>
                <w:sz w:val="20"/>
                <w:szCs w:val="20"/>
              </w:rPr>
              <w:t xml:space="preserve">, lesquelles </w:t>
            </w:r>
            <w:r w:rsidR="004E656E" w:rsidRPr="002D66DE">
              <w:rPr>
                <w:rFonts w:cstheme="minorHAnsi"/>
                <w:sz w:val="20"/>
                <w:szCs w:val="20"/>
              </w:rPr>
              <w:t>sont portées essentiellement par la couche service.</w:t>
            </w:r>
            <w:bookmarkEnd w:id="26"/>
          </w:p>
        </w:tc>
        <w:tc>
          <w:tcPr>
            <w:tcW w:w="2406" w:type="dxa"/>
          </w:tcPr>
          <w:p w14:paraId="50102819" w14:textId="68085A2F" w:rsidR="00661C12" w:rsidRPr="002D66DE" w:rsidRDefault="00661C12" w:rsidP="00C55BDB">
            <w:pPr>
              <w:pStyle w:val="Tabletext"/>
              <w:rPr>
                <w:sz w:val="20"/>
                <w:szCs w:val="20"/>
              </w:rPr>
            </w:pPr>
            <w:r w:rsidRPr="002D66DE">
              <w:rPr>
                <w:sz w:val="20"/>
                <w:szCs w:val="20"/>
              </w:rPr>
              <w:lastRenderedPageBreak/>
              <w:t>Certains membres ont estimé que cette disposition n</w:t>
            </w:r>
            <w:r w:rsidR="009F4D21" w:rsidRPr="002D66DE">
              <w:rPr>
                <w:sz w:val="20"/>
                <w:szCs w:val="20"/>
              </w:rPr>
              <w:t>'</w:t>
            </w:r>
            <w:r w:rsidR="00946A12" w:rsidRPr="002D66DE">
              <w:rPr>
                <w:sz w:val="20"/>
                <w:szCs w:val="20"/>
              </w:rPr>
              <w:t>a</w:t>
            </w:r>
            <w:r w:rsidRPr="002D66DE">
              <w:rPr>
                <w:sz w:val="20"/>
                <w:szCs w:val="20"/>
              </w:rPr>
              <w:t xml:space="preserve">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 xml:space="preserve">elle </w:t>
            </w:r>
            <w:r w:rsidR="00F91884" w:rsidRPr="002D66DE">
              <w:rPr>
                <w:sz w:val="20"/>
                <w:szCs w:val="20"/>
              </w:rPr>
              <w:t>est</w:t>
            </w:r>
            <w:r w:rsidRPr="002D66DE">
              <w:rPr>
                <w:sz w:val="20"/>
                <w:szCs w:val="20"/>
              </w:rPr>
              <w:t xml:space="preserve"> applicable et souple.</w:t>
            </w:r>
          </w:p>
          <w:p w14:paraId="222EC9DA" w14:textId="5CBE7FAC" w:rsidR="00F476A1" w:rsidRPr="002D66DE" w:rsidRDefault="00661C12" w:rsidP="00C55BDB">
            <w:pPr>
              <w:pStyle w:val="Tabletext"/>
              <w:rPr>
                <w:sz w:val="20"/>
                <w:szCs w:val="20"/>
              </w:rPr>
            </w:pPr>
            <w:r w:rsidRPr="002D66DE">
              <w:rPr>
                <w:sz w:val="20"/>
                <w:szCs w:val="20"/>
              </w:rPr>
              <w:t xml:space="preserve">Certains membres ont </w:t>
            </w:r>
            <w:r w:rsidR="00946A12" w:rsidRPr="002D66DE">
              <w:rPr>
                <w:sz w:val="20"/>
                <w:szCs w:val="20"/>
              </w:rPr>
              <w:t>estimé</w:t>
            </w:r>
            <w:r w:rsidRPr="002D66DE">
              <w:rPr>
                <w:sz w:val="20"/>
                <w:szCs w:val="20"/>
              </w:rPr>
              <w:t xml:space="preserve"> que cette disposition </w:t>
            </w:r>
            <w:r w:rsidR="005B61F5" w:rsidRPr="002D66DE">
              <w:rPr>
                <w:sz w:val="20"/>
                <w:szCs w:val="20"/>
              </w:rPr>
              <w:t>n</w:t>
            </w:r>
            <w:r w:rsidR="009F4D21" w:rsidRPr="002D66DE">
              <w:rPr>
                <w:sz w:val="20"/>
                <w:szCs w:val="20"/>
              </w:rPr>
              <w:t>'</w:t>
            </w:r>
            <w:r w:rsidR="00F91884" w:rsidRPr="002D66DE">
              <w:rPr>
                <w:sz w:val="20"/>
                <w:szCs w:val="20"/>
              </w:rPr>
              <w:t>est</w:t>
            </w:r>
            <w:r w:rsidR="005B61F5" w:rsidRPr="002D66DE">
              <w:rPr>
                <w:sz w:val="20"/>
                <w:szCs w:val="20"/>
              </w:rPr>
              <w:t xml:space="preserve"> pas nécessaire</w:t>
            </w:r>
            <w:r w:rsidR="00946A12" w:rsidRPr="002D66DE">
              <w:rPr>
                <w:sz w:val="20"/>
                <w:szCs w:val="20"/>
              </w:rPr>
              <w:t>,</w:t>
            </w:r>
            <w:r w:rsidRPr="002D66DE">
              <w:rPr>
                <w:sz w:val="20"/>
                <w:szCs w:val="20"/>
              </w:rPr>
              <w:t xml:space="preserve"> puisqu</w:t>
            </w:r>
            <w:r w:rsidR="009F4D21" w:rsidRPr="002D66DE">
              <w:rPr>
                <w:sz w:val="20"/>
                <w:szCs w:val="20"/>
              </w:rPr>
              <w:t>'</w:t>
            </w:r>
            <w:r w:rsidRPr="002D66DE">
              <w:rPr>
                <w:sz w:val="20"/>
                <w:szCs w:val="20"/>
              </w:rPr>
              <w:t>elle n</w:t>
            </w:r>
            <w:r w:rsidR="009F4D21" w:rsidRPr="002D66DE">
              <w:rPr>
                <w:sz w:val="20"/>
                <w:szCs w:val="20"/>
              </w:rPr>
              <w:t>'</w:t>
            </w:r>
            <w:r w:rsidR="00F91884" w:rsidRPr="002D66DE">
              <w:rPr>
                <w:sz w:val="20"/>
                <w:szCs w:val="20"/>
              </w:rPr>
              <w:t>est</w:t>
            </w:r>
            <w:r w:rsidRPr="002D66DE">
              <w:rPr>
                <w:sz w:val="20"/>
                <w:szCs w:val="20"/>
              </w:rPr>
              <w:t xml:space="preserve"> plus applicable ni souple.</w:t>
            </w:r>
          </w:p>
          <w:p w14:paraId="3D83354F" w14:textId="37F4D53B" w:rsidR="00F476A1" w:rsidRPr="002D66DE" w:rsidRDefault="0029565A" w:rsidP="00C55BDB">
            <w:pPr>
              <w:pStyle w:val="Tabletext"/>
              <w:rPr>
                <w:sz w:val="20"/>
                <w:szCs w:val="20"/>
              </w:rPr>
            </w:pPr>
            <w:r w:rsidRPr="002D66DE">
              <w:rPr>
                <w:sz w:val="20"/>
                <w:szCs w:val="20"/>
              </w:rPr>
              <w:t xml:space="preserve">Certains autres membres ont fait valoir que cette disposition </w:t>
            </w:r>
            <w:r w:rsidR="00F91884" w:rsidRPr="002D66DE">
              <w:rPr>
                <w:sz w:val="20"/>
                <w:szCs w:val="20"/>
              </w:rPr>
              <w:t>doit</w:t>
            </w:r>
            <w:r w:rsidRPr="002D66DE">
              <w:rPr>
                <w:sz w:val="20"/>
                <w:szCs w:val="20"/>
              </w:rPr>
              <w:t xml:space="preserve">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122EF5" w:rsidRPr="002D66DE">
              <w:rPr>
                <w:sz w:val="20"/>
                <w:szCs w:val="20"/>
              </w:rPr>
              <w:t>.</w:t>
            </w:r>
            <w:r w:rsidR="00705F7D" w:rsidRPr="002D66DE">
              <w:rPr>
                <w:sz w:val="20"/>
                <w:szCs w:val="20"/>
              </w:rPr>
              <w:t xml:space="preserve"> </w:t>
            </w:r>
          </w:p>
        </w:tc>
      </w:tr>
    </w:tbl>
    <w:p w14:paraId="28BEE635" w14:textId="4CE0F609"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217EB703" w14:textId="77777777" w:rsidTr="00E47D11">
        <w:trPr>
          <w:tblHeader/>
        </w:trPr>
        <w:tc>
          <w:tcPr>
            <w:tcW w:w="987" w:type="dxa"/>
            <w:vAlign w:val="center"/>
          </w:tcPr>
          <w:p w14:paraId="09E541D4"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vAlign w:val="center"/>
          </w:tcPr>
          <w:p w14:paraId="3B1B2176"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vAlign w:val="center"/>
          </w:tcPr>
          <w:p w14:paraId="1ADF87CA"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vAlign w:val="center"/>
          </w:tcPr>
          <w:p w14:paraId="0C6906DC"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vAlign w:val="center"/>
          </w:tcPr>
          <w:p w14:paraId="3438DB6C"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vAlign w:val="center"/>
          </w:tcPr>
          <w:p w14:paraId="04468C3D"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1695F5EA" w14:textId="77777777" w:rsidTr="00C55BDB">
        <w:tc>
          <w:tcPr>
            <w:tcW w:w="987" w:type="dxa"/>
          </w:tcPr>
          <w:p w14:paraId="2B7411A3" w14:textId="06E37291" w:rsidR="00F476A1" w:rsidRPr="002D66DE" w:rsidRDefault="00F476A1" w:rsidP="00C55BDB">
            <w:pPr>
              <w:pStyle w:val="Tablehead"/>
              <w:rPr>
                <w:sz w:val="20"/>
                <w:szCs w:val="20"/>
              </w:rPr>
            </w:pPr>
            <w:r w:rsidRPr="002D66DE">
              <w:rPr>
                <w:sz w:val="20"/>
                <w:szCs w:val="20"/>
              </w:rPr>
              <w:t>2</w:t>
            </w:r>
          </w:p>
        </w:tc>
        <w:tc>
          <w:tcPr>
            <w:tcW w:w="2860" w:type="dxa"/>
          </w:tcPr>
          <w:p w14:paraId="1ED558C8" w14:textId="47BF09B0" w:rsidR="00F476A1" w:rsidRPr="002D66DE" w:rsidRDefault="00F476A1" w:rsidP="00C55BDB">
            <w:pPr>
              <w:pStyle w:val="Tabletext"/>
              <w:rPr>
                <w:b/>
                <w:bCs/>
                <w:sz w:val="20"/>
              </w:rPr>
            </w:pPr>
            <w:r w:rsidRPr="002D66DE">
              <w:rPr>
                <w:b/>
                <w:bCs/>
                <w:sz w:val="20"/>
                <w:szCs w:val="20"/>
                <w:lang w:eastAsia="zh-CN"/>
              </w:rPr>
              <w:t>Les États Membres réaffirment qu'ils s'engagent à mettre en œuvre le présent Règlement dans le respect de leurs obligations en ce qui concerne les droits de l'homme et conformément à ces obligations.</w:t>
            </w:r>
          </w:p>
        </w:tc>
        <w:tc>
          <w:tcPr>
            <w:tcW w:w="3716" w:type="dxa"/>
          </w:tcPr>
          <w:p w14:paraId="79BBBDD4" w14:textId="77777777" w:rsidR="00F476A1" w:rsidRPr="002D66DE" w:rsidRDefault="00F476A1" w:rsidP="00C55BDB">
            <w:pPr>
              <w:pStyle w:val="Tabletext"/>
              <w:rPr>
                <w:b/>
                <w:sz w:val="20"/>
              </w:rPr>
            </w:pPr>
          </w:p>
        </w:tc>
        <w:tc>
          <w:tcPr>
            <w:tcW w:w="2613" w:type="dxa"/>
          </w:tcPr>
          <w:p w14:paraId="6FCE5D15" w14:textId="59FF84E2" w:rsidR="00F476A1" w:rsidRPr="002D66DE" w:rsidRDefault="009E3214" w:rsidP="00C55BDB">
            <w:pPr>
              <w:pStyle w:val="Tabletext"/>
              <w:rPr>
                <w:sz w:val="20"/>
              </w:rPr>
            </w:pPr>
            <w:r w:rsidRPr="002D66DE">
              <w:rPr>
                <w:sz w:val="20"/>
              </w:rPr>
              <w:t>De l</w:t>
            </w:r>
            <w:r w:rsidR="009F4D21" w:rsidRPr="002D66DE">
              <w:rPr>
                <w:sz w:val="20"/>
              </w:rPr>
              <w:t>'</w:t>
            </w:r>
            <w:r w:rsidRPr="002D66DE">
              <w:rPr>
                <w:sz w:val="20"/>
              </w:rPr>
              <w:t>avis de c</w:t>
            </w:r>
            <w:r w:rsidR="00122EF5" w:rsidRPr="002D66DE">
              <w:rPr>
                <w:sz w:val="20"/>
              </w:rPr>
              <w:t>ertains membres</w:t>
            </w:r>
            <w:r w:rsidRPr="002D66DE">
              <w:rPr>
                <w:sz w:val="20"/>
              </w:rPr>
              <w:t xml:space="preserve">, </w:t>
            </w:r>
            <w:r w:rsidR="00122EF5" w:rsidRPr="002D66DE">
              <w:rPr>
                <w:sz w:val="20"/>
              </w:rPr>
              <w:t xml:space="preserve">cette disposition </w:t>
            </w:r>
            <w:r w:rsidR="002A582F" w:rsidRPr="002D66DE">
              <w:rPr>
                <w:sz w:val="20"/>
              </w:rPr>
              <w:t>est</w:t>
            </w:r>
            <w:r w:rsidR="00122EF5" w:rsidRPr="002D66DE">
              <w:rPr>
                <w:sz w:val="20"/>
              </w:rPr>
              <w:t xml:space="preserve"> </w:t>
            </w:r>
            <w:r w:rsidR="00F476A1" w:rsidRPr="002D66DE">
              <w:rPr>
                <w:sz w:val="20"/>
              </w:rPr>
              <w:t xml:space="preserve">applicable </w:t>
            </w:r>
            <w:r w:rsidR="00122EF5" w:rsidRPr="002D66DE">
              <w:rPr>
                <w:sz w:val="20"/>
              </w:rPr>
              <w:t xml:space="preserve">aux réseaux et aux </w:t>
            </w:r>
            <w:r w:rsidR="00F476A1" w:rsidRPr="002D66DE">
              <w:rPr>
                <w:sz w:val="20"/>
              </w:rPr>
              <w:t xml:space="preserve">services, </w:t>
            </w:r>
            <w:r w:rsidR="0088572D" w:rsidRPr="002D66DE">
              <w:rPr>
                <w:sz w:val="20"/>
              </w:rPr>
              <w:t xml:space="preserve">et </w:t>
            </w:r>
            <w:r w:rsidR="00556266" w:rsidRPr="002D66DE">
              <w:rPr>
                <w:sz w:val="20"/>
              </w:rPr>
              <w:t>n</w:t>
            </w:r>
            <w:r w:rsidR="009F4D21" w:rsidRPr="002D66DE">
              <w:rPr>
                <w:sz w:val="20"/>
              </w:rPr>
              <w:t>'</w:t>
            </w:r>
            <w:r w:rsidR="002A582F" w:rsidRPr="002D66DE">
              <w:rPr>
                <w:sz w:val="20"/>
              </w:rPr>
              <w:t>est</w:t>
            </w:r>
            <w:r w:rsidR="00556266" w:rsidRPr="002D66DE">
              <w:rPr>
                <w:sz w:val="20"/>
              </w:rPr>
              <w:t xml:space="preserve"> pas</w:t>
            </w:r>
            <w:r w:rsidR="004C7683" w:rsidRPr="002D66DE">
              <w:rPr>
                <w:sz w:val="20"/>
              </w:rPr>
              <w:t xml:space="preserve"> </w:t>
            </w:r>
            <w:r w:rsidR="00556266" w:rsidRPr="002D66DE">
              <w:rPr>
                <w:sz w:val="20"/>
              </w:rPr>
              <w:t xml:space="preserve">incompatible avec le </w:t>
            </w:r>
            <w:r w:rsidR="0088572D" w:rsidRPr="002D66DE">
              <w:rPr>
                <w:sz w:val="20"/>
              </w:rPr>
              <w:t xml:space="preserve">droit souverain des États </w:t>
            </w:r>
            <w:r w:rsidR="00C4082D" w:rsidRPr="002D66DE">
              <w:rPr>
                <w:sz w:val="20"/>
              </w:rPr>
              <w:t>Membre</w:t>
            </w:r>
            <w:r w:rsidR="00A45103" w:rsidRPr="002D66DE">
              <w:rPr>
                <w:sz w:val="20"/>
              </w:rPr>
              <w:t>s</w:t>
            </w:r>
            <w:r w:rsidR="00C4082D" w:rsidRPr="002D66DE">
              <w:rPr>
                <w:sz w:val="20"/>
              </w:rPr>
              <w:t xml:space="preserve"> </w:t>
            </w:r>
            <w:r w:rsidR="0088572D" w:rsidRPr="002D66DE">
              <w:rPr>
                <w:sz w:val="20"/>
              </w:rPr>
              <w:t>de fournir des services de réseau</w:t>
            </w:r>
            <w:r w:rsidR="00F476A1" w:rsidRPr="002D66DE">
              <w:rPr>
                <w:sz w:val="20"/>
              </w:rPr>
              <w:t>.</w:t>
            </w:r>
          </w:p>
          <w:p w14:paraId="60EC1B97" w14:textId="1ED4E243" w:rsidR="00F476A1" w:rsidRPr="002D66DE" w:rsidRDefault="007E713F" w:rsidP="00C55BDB">
            <w:pPr>
              <w:pStyle w:val="Tabletext"/>
              <w:rPr>
                <w:sz w:val="20"/>
              </w:rPr>
            </w:pPr>
            <w:r w:rsidRPr="002D66DE">
              <w:rPr>
                <w:sz w:val="20"/>
              </w:rPr>
              <w:t>De l</w:t>
            </w:r>
            <w:r w:rsidR="009F4D21" w:rsidRPr="002D66DE">
              <w:rPr>
                <w:sz w:val="20"/>
              </w:rPr>
              <w:t>'</w:t>
            </w:r>
            <w:r w:rsidRPr="002D66DE">
              <w:rPr>
                <w:sz w:val="20"/>
              </w:rPr>
              <w:t xml:space="preserve">avis de certains membres, </w:t>
            </w:r>
            <w:r w:rsidR="00F476A1" w:rsidRPr="002D66DE">
              <w:rPr>
                <w:sz w:val="20"/>
              </w:rPr>
              <w:t>les questions ayant trait aux droits de l'homme pourraient comprendre la protection des données personnelles, le droit d'accès aux technologies de communication mobiles et fondées sur l'Internet, la liberté d'expression, la promotion de l'accès universel à l'Internet, etc.</w:t>
            </w:r>
          </w:p>
          <w:p w14:paraId="326E71AA" w14:textId="45E1E978" w:rsidR="00F476A1" w:rsidRPr="002D66DE" w:rsidRDefault="00DC4811" w:rsidP="00C55BDB">
            <w:pPr>
              <w:pStyle w:val="Tabletext"/>
              <w:rPr>
                <w:sz w:val="20"/>
                <w:szCs w:val="20"/>
              </w:rPr>
            </w:pPr>
            <w:bookmarkStart w:id="27" w:name="lt_pId165"/>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avis de certains membres, cette disposition est sans intérêt pour ce qui est de favoriser la fourniture et le développement des</w:t>
            </w:r>
            <w:r w:rsidR="004C7683" w:rsidRPr="002D66DE">
              <w:rPr>
                <w:rFonts w:cstheme="minorHAnsi"/>
                <w:sz w:val="20"/>
                <w:szCs w:val="20"/>
              </w:rPr>
              <w:t xml:space="preserve"> </w:t>
            </w:r>
            <w:r w:rsidRPr="002D66DE">
              <w:rPr>
                <w:rFonts w:cstheme="minorHAnsi"/>
                <w:sz w:val="20"/>
                <w:szCs w:val="20"/>
              </w:rPr>
              <w:t>réseaux</w:t>
            </w:r>
            <w:r w:rsidR="0021637E" w:rsidRPr="002D66DE">
              <w:rPr>
                <w:rFonts w:cstheme="minorHAnsi"/>
                <w:sz w:val="20"/>
                <w:szCs w:val="20"/>
              </w:rPr>
              <w:t xml:space="preserve"> et des services</w:t>
            </w:r>
            <w:r w:rsidRPr="002D66DE">
              <w:rPr>
                <w:rFonts w:cstheme="minorHAnsi"/>
                <w:sz w:val="20"/>
                <w:szCs w:val="20"/>
              </w:rPr>
              <w:t>, étant donné que les États Membres sont déjà liés par le droit international relatif aux droits de l'homme</w:t>
            </w:r>
            <w:r w:rsidR="00A21725" w:rsidRPr="002D66DE">
              <w:rPr>
                <w:rFonts w:cstheme="minorHAnsi"/>
                <w:sz w:val="20"/>
                <w:szCs w:val="20"/>
              </w:rPr>
              <w:t>, et que d</w:t>
            </w:r>
            <w:r w:rsidR="009F4D21" w:rsidRPr="002D66DE">
              <w:rPr>
                <w:rFonts w:cstheme="minorHAnsi"/>
                <w:sz w:val="20"/>
                <w:szCs w:val="20"/>
              </w:rPr>
              <w:t>'</w:t>
            </w:r>
            <w:r w:rsidR="00A21725" w:rsidRPr="002D66DE">
              <w:rPr>
                <w:rFonts w:cstheme="minorHAnsi"/>
                <w:sz w:val="20"/>
                <w:szCs w:val="20"/>
              </w:rPr>
              <w:t xml:space="preserve">autres instruments de </w:t>
            </w:r>
            <w:r w:rsidR="00A21725" w:rsidRPr="002D66DE">
              <w:rPr>
                <w:rFonts w:cstheme="minorHAnsi"/>
                <w:sz w:val="20"/>
                <w:szCs w:val="20"/>
              </w:rPr>
              <w:lastRenderedPageBreak/>
              <w:t>l</w:t>
            </w:r>
            <w:r w:rsidR="009F4D21" w:rsidRPr="002D66DE">
              <w:rPr>
                <w:rFonts w:cstheme="minorHAnsi"/>
                <w:sz w:val="20"/>
                <w:szCs w:val="20"/>
              </w:rPr>
              <w:t>'</w:t>
            </w:r>
            <w:r w:rsidR="00A21725" w:rsidRPr="002D66DE">
              <w:rPr>
                <w:rFonts w:cstheme="minorHAnsi"/>
                <w:sz w:val="20"/>
                <w:szCs w:val="20"/>
              </w:rPr>
              <w:t>Organisation des Nations Unies couvrent déjà la question des droits de l</w:t>
            </w:r>
            <w:r w:rsidR="009F4D21" w:rsidRPr="002D66DE">
              <w:rPr>
                <w:rFonts w:cstheme="minorHAnsi"/>
                <w:sz w:val="20"/>
                <w:szCs w:val="20"/>
              </w:rPr>
              <w:t>'</w:t>
            </w:r>
            <w:r w:rsidR="00A21725" w:rsidRPr="002D66DE">
              <w:rPr>
                <w:rFonts w:cstheme="minorHAnsi"/>
                <w:sz w:val="20"/>
                <w:szCs w:val="20"/>
              </w:rPr>
              <w:t>homme</w:t>
            </w:r>
            <w:r w:rsidR="00F476A1" w:rsidRPr="002D66DE">
              <w:rPr>
                <w:rFonts w:cstheme="minorHAnsi"/>
                <w:sz w:val="20"/>
                <w:szCs w:val="20"/>
              </w:rPr>
              <w:t>.</w:t>
            </w:r>
            <w:bookmarkEnd w:id="27"/>
          </w:p>
        </w:tc>
        <w:tc>
          <w:tcPr>
            <w:tcW w:w="2595" w:type="dxa"/>
          </w:tcPr>
          <w:p w14:paraId="251FB68E" w14:textId="03C89384" w:rsidR="00F476A1" w:rsidRPr="002D66DE" w:rsidRDefault="0021637E" w:rsidP="00C55BDB">
            <w:pPr>
              <w:pStyle w:val="Tabletext"/>
              <w:rPr>
                <w:color w:val="000000"/>
                <w:sz w:val="20"/>
              </w:rPr>
            </w:pPr>
            <w:r w:rsidRPr="002D66DE">
              <w:rPr>
                <w:bCs/>
                <w:color w:val="000000"/>
                <w:sz w:val="20"/>
              </w:rPr>
              <w:lastRenderedPageBreak/>
              <w:t>De l</w:t>
            </w:r>
            <w:r w:rsidR="009F4D21" w:rsidRPr="002D66DE">
              <w:rPr>
                <w:bCs/>
                <w:color w:val="000000"/>
                <w:sz w:val="20"/>
              </w:rPr>
              <w:t>'</w:t>
            </w:r>
            <w:r w:rsidRPr="002D66DE">
              <w:rPr>
                <w:bCs/>
                <w:color w:val="000000"/>
                <w:sz w:val="20"/>
              </w:rPr>
              <w:t>avis de certains</w:t>
            </w:r>
            <w:r w:rsidR="00556266" w:rsidRPr="002D66DE">
              <w:rPr>
                <w:bCs/>
                <w:color w:val="000000"/>
                <w:sz w:val="20"/>
              </w:rPr>
              <w:t xml:space="preserve"> membres</w:t>
            </w:r>
            <w:r w:rsidRPr="002D66DE">
              <w:rPr>
                <w:bCs/>
                <w:color w:val="000000"/>
                <w:sz w:val="20"/>
              </w:rPr>
              <w:t>,</w:t>
            </w:r>
            <w:r w:rsidR="00556266" w:rsidRPr="002D66DE">
              <w:rPr>
                <w:bCs/>
                <w:color w:val="000000"/>
                <w:sz w:val="20"/>
              </w:rPr>
              <w:t xml:space="preserve"> c</w:t>
            </w:r>
            <w:r w:rsidR="00F476A1" w:rsidRPr="002D66DE">
              <w:rPr>
                <w:bCs/>
                <w:color w:val="000000"/>
                <w:sz w:val="20"/>
              </w:rPr>
              <w:t xml:space="preserve">ette disposition </w:t>
            </w:r>
            <w:r w:rsidR="002A582F" w:rsidRPr="002D66DE">
              <w:rPr>
                <w:bCs/>
                <w:color w:val="000000"/>
                <w:sz w:val="20"/>
              </w:rPr>
              <w:t>a</w:t>
            </w:r>
            <w:r w:rsidR="000A451D" w:rsidRPr="002D66DE">
              <w:rPr>
                <w:bCs/>
                <w:color w:val="000000"/>
                <w:sz w:val="20"/>
              </w:rPr>
              <w:t xml:space="preserve"> des incidences sur</w:t>
            </w:r>
            <w:r w:rsidR="00F476A1" w:rsidRPr="002D66DE">
              <w:rPr>
                <w:bCs/>
                <w:color w:val="000000"/>
                <w:sz w:val="20"/>
              </w:rPr>
              <w:t xml:space="preserve"> la souplesse nécessaire</w:t>
            </w:r>
            <w:r w:rsidR="00F476A1" w:rsidRPr="002D66DE">
              <w:rPr>
                <w:b/>
                <w:color w:val="000000"/>
                <w:sz w:val="20"/>
              </w:rPr>
              <w:t xml:space="preserve"> </w:t>
            </w:r>
            <w:r w:rsidR="00F476A1" w:rsidRPr="002D66DE">
              <w:rPr>
                <w:color w:val="000000"/>
                <w:sz w:val="20"/>
              </w:rPr>
              <w:t xml:space="preserve">pour </w:t>
            </w:r>
            <w:r w:rsidR="000A451D" w:rsidRPr="002D66DE">
              <w:rPr>
                <w:color w:val="000000"/>
                <w:sz w:val="20"/>
              </w:rPr>
              <w:t>tenir</w:t>
            </w:r>
            <w:r w:rsidR="00F476A1" w:rsidRPr="002D66DE">
              <w:rPr>
                <w:color w:val="000000"/>
                <w:sz w:val="20"/>
              </w:rPr>
              <w:t xml:space="preserve"> compte </w:t>
            </w:r>
            <w:r w:rsidR="000A451D" w:rsidRPr="002D66DE">
              <w:rPr>
                <w:color w:val="000000"/>
                <w:sz w:val="20"/>
              </w:rPr>
              <w:t>d</w:t>
            </w:r>
            <w:r w:rsidR="00F476A1" w:rsidRPr="002D66DE">
              <w:rPr>
                <w:color w:val="000000"/>
                <w:sz w:val="20"/>
              </w:rPr>
              <w:t xml:space="preserve">es nouvelles tendances et </w:t>
            </w:r>
            <w:r w:rsidR="000A451D" w:rsidRPr="002D66DE">
              <w:rPr>
                <w:color w:val="000000"/>
                <w:sz w:val="20"/>
              </w:rPr>
              <w:t>d</w:t>
            </w:r>
            <w:r w:rsidR="00F476A1" w:rsidRPr="002D66DE">
              <w:rPr>
                <w:color w:val="000000"/>
                <w:sz w:val="20"/>
              </w:rPr>
              <w:t>es nouveaux problèmes qui se font jour.</w:t>
            </w:r>
          </w:p>
          <w:p w14:paraId="6148035A" w14:textId="7252B008" w:rsidR="00F476A1" w:rsidRPr="002D66DE" w:rsidRDefault="007E713F" w:rsidP="00C55BDB">
            <w:pPr>
              <w:pStyle w:val="Tabletext"/>
              <w:rPr>
                <w:color w:val="000000"/>
                <w:sz w:val="20"/>
              </w:rPr>
            </w:pPr>
            <w:bookmarkStart w:id="28" w:name="lt_pId046"/>
            <w:r w:rsidRPr="002D66DE">
              <w:rPr>
                <w:color w:val="000000"/>
                <w:sz w:val="20"/>
              </w:rPr>
              <w:t>Certains membres ont estimé que l</w:t>
            </w:r>
            <w:r w:rsidR="00F476A1" w:rsidRPr="002D66DE">
              <w:rPr>
                <w:color w:val="000000"/>
                <w:sz w:val="20"/>
              </w:rPr>
              <w:t xml:space="preserve">a question de la souplesse </w:t>
            </w:r>
            <w:r w:rsidR="0021637E" w:rsidRPr="002D66DE">
              <w:rPr>
                <w:color w:val="000000"/>
                <w:sz w:val="20"/>
              </w:rPr>
              <w:t>était</w:t>
            </w:r>
            <w:r w:rsidRPr="002D66DE">
              <w:rPr>
                <w:color w:val="000000"/>
                <w:sz w:val="20"/>
              </w:rPr>
              <w:t xml:space="preserve"> san</w:t>
            </w:r>
            <w:r w:rsidR="00F476A1" w:rsidRPr="002D66DE">
              <w:rPr>
                <w:color w:val="000000"/>
                <w:sz w:val="20"/>
              </w:rPr>
              <w:t xml:space="preserve">s </w:t>
            </w:r>
            <w:bookmarkEnd w:id="28"/>
            <w:r w:rsidRPr="002D66DE">
              <w:rPr>
                <w:color w:val="000000"/>
                <w:sz w:val="20"/>
              </w:rPr>
              <w:t>objet étant donné que l</w:t>
            </w:r>
            <w:r w:rsidR="00F476A1" w:rsidRPr="002D66DE">
              <w:rPr>
                <w:color w:val="000000"/>
                <w:sz w:val="20"/>
              </w:rPr>
              <w:t xml:space="preserve">es obligations en matière de droits de l'homme sont d'application générale et </w:t>
            </w:r>
            <w:r w:rsidRPr="002D66DE">
              <w:rPr>
                <w:color w:val="000000"/>
                <w:sz w:val="20"/>
              </w:rPr>
              <w:t xml:space="preserve">que </w:t>
            </w:r>
            <w:r w:rsidR="00F476A1" w:rsidRPr="002D66DE">
              <w:rPr>
                <w:color w:val="000000"/>
                <w:sz w:val="20"/>
              </w:rPr>
              <w:t>l'Assemblée générale des Nations Unies a reconnu que les droits de l'homme devaient être protégés en ligne et hors ligne.</w:t>
            </w:r>
          </w:p>
          <w:p w14:paraId="666576A5" w14:textId="3319EC53" w:rsidR="00F476A1" w:rsidRPr="002D66DE" w:rsidRDefault="004352DC" w:rsidP="00C55BDB">
            <w:pPr>
              <w:pStyle w:val="Tabletext"/>
              <w:rPr>
                <w:rFonts w:cstheme="minorHAnsi"/>
                <w:sz w:val="20"/>
                <w:szCs w:val="20"/>
              </w:rPr>
            </w:pPr>
            <w:bookmarkStart w:id="29" w:name="lt_pId168"/>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 xml:space="preserve">avis de certains membres, </w:t>
            </w:r>
            <w:r w:rsidR="007E713F" w:rsidRPr="002D66DE">
              <w:rPr>
                <w:rFonts w:cstheme="minorHAnsi"/>
                <w:sz w:val="20"/>
                <w:szCs w:val="20"/>
              </w:rPr>
              <w:t>cette disposition n</w:t>
            </w:r>
            <w:r w:rsidR="009F4D21" w:rsidRPr="002D66DE">
              <w:rPr>
                <w:rFonts w:cstheme="minorHAnsi"/>
                <w:sz w:val="20"/>
                <w:szCs w:val="20"/>
              </w:rPr>
              <w:t>'</w:t>
            </w:r>
            <w:r w:rsidR="007E713F" w:rsidRPr="002D66DE">
              <w:rPr>
                <w:rFonts w:cstheme="minorHAnsi"/>
                <w:sz w:val="20"/>
                <w:szCs w:val="20"/>
              </w:rPr>
              <w:t>a pas d</w:t>
            </w:r>
            <w:r w:rsidR="009F4D21" w:rsidRPr="002D66DE">
              <w:rPr>
                <w:rFonts w:cstheme="minorHAnsi"/>
                <w:sz w:val="20"/>
                <w:szCs w:val="20"/>
              </w:rPr>
              <w:t>'</w:t>
            </w:r>
            <w:r w:rsidR="007E713F" w:rsidRPr="002D66DE">
              <w:rPr>
                <w:rFonts w:cstheme="minorHAnsi"/>
                <w:sz w:val="20"/>
                <w:szCs w:val="20"/>
              </w:rPr>
              <w:t xml:space="preserve">incidences sur la souplesse nécessaire </w:t>
            </w:r>
            <w:r w:rsidR="0004096C" w:rsidRPr="002D66DE">
              <w:rPr>
                <w:rFonts w:cstheme="minorHAnsi"/>
                <w:sz w:val="20"/>
                <w:szCs w:val="20"/>
              </w:rPr>
              <w:t xml:space="preserve">pour tenir compte des nouvelles tendances et </w:t>
            </w:r>
            <w:r w:rsidR="006071F3" w:rsidRPr="002D66DE">
              <w:rPr>
                <w:rFonts w:cstheme="minorHAnsi"/>
                <w:sz w:val="20"/>
                <w:szCs w:val="20"/>
              </w:rPr>
              <w:t xml:space="preserve">des </w:t>
            </w:r>
            <w:r w:rsidR="0004096C" w:rsidRPr="002D66DE">
              <w:rPr>
                <w:rFonts w:cstheme="minorHAnsi"/>
                <w:sz w:val="20"/>
                <w:szCs w:val="20"/>
              </w:rPr>
              <w:t>nouveaux problèmes qui se font jour</w:t>
            </w:r>
            <w:r w:rsidR="00F476A1" w:rsidRPr="002D66DE">
              <w:rPr>
                <w:rFonts w:cstheme="minorHAnsi"/>
                <w:sz w:val="20"/>
                <w:szCs w:val="20"/>
              </w:rPr>
              <w:t xml:space="preserve">, </w:t>
            </w:r>
            <w:r w:rsidR="0021637E" w:rsidRPr="002D66DE">
              <w:rPr>
                <w:rFonts w:cstheme="minorHAnsi"/>
                <w:sz w:val="20"/>
                <w:szCs w:val="20"/>
              </w:rPr>
              <w:t xml:space="preserve">et </w:t>
            </w:r>
            <w:r w:rsidR="0034168A" w:rsidRPr="002D66DE">
              <w:rPr>
                <w:rFonts w:cstheme="minorHAnsi"/>
                <w:sz w:val="20"/>
                <w:szCs w:val="20"/>
              </w:rPr>
              <w:t xml:space="preserve">certains </w:t>
            </w:r>
            <w:r w:rsidR="0021637E" w:rsidRPr="002D66DE">
              <w:rPr>
                <w:rFonts w:cstheme="minorHAnsi"/>
                <w:sz w:val="20"/>
                <w:szCs w:val="20"/>
              </w:rPr>
              <w:t>d</w:t>
            </w:r>
            <w:r w:rsidR="009F4D21" w:rsidRPr="002D66DE">
              <w:rPr>
                <w:rFonts w:cstheme="minorHAnsi"/>
                <w:sz w:val="20"/>
                <w:szCs w:val="20"/>
              </w:rPr>
              <w:t>'</w:t>
            </w:r>
            <w:r w:rsidR="0021637E" w:rsidRPr="002D66DE">
              <w:rPr>
                <w:rFonts w:cstheme="minorHAnsi"/>
                <w:sz w:val="20"/>
                <w:szCs w:val="20"/>
              </w:rPr>
              <w:t xml:space="preserve">entre eux ont </w:t>
            </w:r>
            <w:r w:rsidR="0034168A" w:rsidRPr="002D66DE">
              <w:rPr>
                <w:rFonts w:cstheme="minorHAnsi"/>
                <w:sz w:val="20"/>
                <w:szCs w:val="20"/>
              </w:rPr>
              <w:t>fait observer que</w:t>
            </w:r>
            <w:r w:rsidR="0004096C" w:rsidRPr="002D66DE">
              <w:rPr>
                <w:rFonts w:cstheme="minorHAnsi"/>
                <w:sz w:val="20"/>
                <w:szCs w:val="20"/>
              </w:rPr>
              <w:t xml:space="preserve"> la référence aux obligations en ce qui concerne les droits de l'homme </w:t>
            </w:r>
            <w:r w:rsidR="006071F3" w:rsidRPr="002D66DE">
              <w:rPr>
                <w:rFonts w:cstheme="minorHAnsi"/>
                <w:sz w:val="20"/>
                <w:szCs w:val="20"/>
              </w:rPr>
              <w:t>est</w:t>
            </w:r>
            <w:r w:rsidR="0004096C" w:rsidRPr="002D66DE">
              <w:rPr>
                <w:rFonts w:cstheme="minorHAnsi"/>
                <w:sz w:val="20"/>
                <w:szCs w:val="20"/>
              </w:rPr>
              <w:t xml:space="preserve"> très générale, alors que des éléments </w:t>
            </w:r>
            <w:r w:rsidR="0004096C" w:rsidRPr="002D66DE">
              <w:rPr>
                <w:rFonts w:cstheme="minorHAnsi"/>
                <w:sz w:val="20"/>
                <w:szCs w:val="20"/>
              </w:rPr>
              <w:lastRenderedPageBreak/>
              <w:t>précis concernant ces obligations figurent dans d'autres instruments contraignants ou non contraignants</w:t>
            </w:r>
            <w:r w:rsidR="00F476A1" w:rsidRPr="002D66DE">
              <w:rPr>
                <w:rFonts w:cstheme="minorHAnsi"/>
                <w:sz w:val="20"/>
                <w:szCs w:val="20"/>
              </w:rPr>
              <w:t>.</w:t>
            </w:r>
            <w:bookmarkEnd w:id="29"/>
          </w:p>
          <w:p w14:paraId="520B6624" w14:textId="38E6A885" w:rsidR="00F476A1" w:rsidRPr="002D66DE" w:rsidRDefault="00C27244" w:rsidP="00C55BDB">
            <w:pPr>
              <w:pStyle w:val="Tabletext"/>
              <w:rPr>
                <w:sz w:val="20"/>
                <w:szCs w:val="20"/>
              </w:rPr>
            </w:pPr>
            <w:r w:rsidRPr="002D66DE">
              <w:rPr>
                <w:bCs/>
                <w:color w:val="000000"/>
                <w:sz w:val="20"/>
                <w:szCs w:val="20"/>
              </w:rPr>
              <w:t>Certains membres ont également souligné que</w:t>
            </w:r>
            <w:r w:rsidR="004C7683" w:rsidRPr="002D66DE">
              <w:rPr>
                <w:bCs/>
                <w:color w:val="000000"/>
                <w:sz w:val="20"/>
                <w:szCs w:val="20"/>
              </w:rPr>
              <w:t xml:space="preserve"> </w:t>
            </w:r>
            <w:r w:rsidRPr="002D66DE">
              <w:rPr>
                <w:rFonts w:cstheme="minorHAnsi"/>
                <w:sz w:val="20"/>
                <w:szCs w:val="20"/>
              </w:rPr>
              <w:t>cette disposition est aussi</w:t>
            </w:r>
            <w:r w:rsidR="004C7683" w:rsidRPr="002D66DE">
              <w:rPr>
                <w:rFonts w:cstheme="minorHAnsi"/>
                <w:sz w:val="20"/>
                <w:szCs w:val="20"/>
              </w:rPr>
              <w:t xml:space="preserve"> </w:t>
            </w:r>
            <w:r w:rsidR="00F91884" w:rsidRPr="002D66DE">
              <w:rPr>
                <w:sz w:val="20"/>
                <w:szCs w:val="20"/>
              </w:rPr>
              <w:t>suffisamment souple pour permettre aux États Membres d</w:t>
            </w:r>
            <w:r w:rsidR="009F4D21" w:rsidRPr="002D66DE">
              <w:rPr>
                <w:sz w:val="20"/>
                <w:szCs w:val="20"/>
              </w:rPr>
              <w:t>'</w:t>
            </w:r>
            <w:r w:rsidR="00F91884" w:rsidRPr="002D66DE">
              <w:rPr>
                <w:sz w:val="20"/>
                <w:szCs w:val="20"/>
              </w:rPr>
              <w:t>innover tout en encourageant l</w:t>
            </w:r>
            <w:r w:rsidR="009F4D21" w:rsidRPr="002D66DE">
              <w:rPr>
                <w:sz w:val="20"/>
                <w:szCs w:val="20"/>
              </w:rPr>
              <w:t>'</w:t>
            </w:r>
            <w:r w:rsidR="00F91884" w:rsidRPr="002D66DE">
              <w:rPr>
                <w:sz w:val="20"/>
                <w:szCs w:val="20"/>
              </w:rPr>
              <w:t>uniformité, sans porter atteinte aux droits de l</w:t>
            </w:r>
            <w:r w:rsidR="009F4D21" w:rsidRPr="002D66DE">
              <w:rPr>
                <w:sz w:val="20"/>
                <w:szCs w:val="20"/>
              </w:rPr>
              <w:t>'</w:t>
            </w:r>
            <w:r w:rsidR="00F91884" w:rsidRPr="002D66DE">
              <w:rPr>
                <w:sz w:val="20"/>
                <w:szCs w:val="20"/>
              </w:rPr>
              <w:t>homme.</w:t>
            </w:r>
          </w:p>
        </w:tc>
        <w:tc>
          <w:tcPr>
            <w:tcW w:w="2406" w:type="dxa"/>
          </w:tcPr>
          <w:p w14:paraId="14023F3B" w14:textId="395F4EB6" w:rsidR="00D31A27" w:rsidRPr="002D66DE" w:rsidRDefault="00D31A27" w:rsidP="00C55BDB">
            <w:pPr>
              <w:pStyle w:val="Tabletext"/>
              <w:rPr>
                <w:sz w:val="20"/>
                <w:szCs w:val="20"/>
              </w:rPr>
            </w:pPr>
            <w:r w:rsidRPr="002D66DE">
              <w:rPr>
                <w:sz w:val="20"/>
                <w:szCs w:val="20"/>
              </w:rPr>
              <w:lastRenderedPageBreak/>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1A5A55B0" w14:textId="1CDFDA1D" w:rsidR="00F476A1" w:rsidRPr="002D66DE" w:rsidRDefault="00D31A27"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r w:rsidR="00A74E53" w:rsidRPr="002D66DE" w14:paraId="405C7FC7" w14:textId="77777777" w:rsidTr="00C55BDB">
        <w:tc>
          <w:tcPr>
            <w:tcW w:w="987" w:type="dxa"/>
          </w:tcPr>
          <w:p w14:paraId="44381600" w14:textId="2B4AF46E" w:rsidR="00F476A1" w:rsidRPr="002D66DE" w:rsidRDefault="00F476A1" w:rsidP="00C55BDB">
            <w:pPr>
              <w:pStyle w:val="Tablehead"/>
              <w:rPr>
                <w:sz w:val="20"/>
                <w:szCs w:val="20"/>
              </w:rPr>
            </w:pPr>
            <w:r w:rsidRPr="002D66DE">
              <w:rPr>
                <w:sz w:val="20"/>
                <w:szCs w:val="20"/>
              </w:rPr>
              <w:t>3</w:t>
            </w:r>
          </w:p>
        </w:tc>
        <w:tc>
          <w:tcPr>
            <w:tcW w:w="2860" w:type="dxa"/>
          </w:tcPr>
          <w:p w14:paraId="36B0D1C5" w14:textId="758FFBD2" w:rsidR="00F476A1" w:rsidRPr="002D66DE" w:rsidRDefault="00F476A1" w:rsidP="00C55BDB">
            <w:pPr>
              <w:pStyle w:val="Tabletext"/>
              <w:rPr>
                <w:b/>
                <w:bCs/>
                <w:sz w:val="20"/>
                <w:lang w:eastAsia="zh-CN"/>
              </w:rPr>
            </w:pPr>
            <w:r w:rsidRPr="002D66DE">
              <w:rPr>
                <w:b/>
                <w:bCs/>
                <w:sz w:val="20"/>
                <w:szCs w:val="20"/>
                <w:lang w:eastAsia="zh-CN"/>
              </w:rPr>
              <w:t>Le présent Règlement reconnaît aux États-Membres le droit d'accéder aux services internationaux de télécommunication.</w:t>
            </w:r>
          </w:p>
        </w:tc>
        <w:tc>
          <w:tcPr>
            <w:tcW w:w="3716" w:type="dxa"/>
          </w:tcPr>
          <w:p w14:paraId="386C4F41" w14:textId="77777777" w:rsidR="00F476A1" w:rsidRPr="002D66DE" w:rsidRDefault="00F476A1" w:rsidP="00C55BDB">
            <w:pPr>
              <w:pStyle w:val="Tabletext"/>
              <w:rPr>
                <w:b/>
                <w:sz w:val="20"/>
              </w:rPr>
            </w:pPr>
          </w:p>
        </w:tc>
        <w:tc>
          <w:tcPr>
            <w:tcW w:w="2613" w:type="dxa"/>
          </w:tcPr>
          <w:p w14:paraId="1684613E" w14:textId="18BDE177" w:rsidR="00F476A1" w:rsidRPr="002D66DE" w:rsidRDefault="00C4082D" w:rsidP="00C55BDB">
            <w:pPr>
              <w:pStyle w:val="Tabletext"/>
              <w:rPr>
                <w:sz w:val="20"/>
              </w:rPr>
            </w:pPr>
            <w:bookmarkStart w:id="30" w:name="lt_pId173"/>
            <w:r w:rsidRPr="002D66DE">
              <w:rPr>
                <w:sz w:val="20"/>
              </w:rPr>
              <w:t>De l</w:t>
            </w:r>
            <w:r w:rsidR="009F4D21" w:rsidRPr="002D66DE">
              <w:rPr>
                <w:sz w:val="20"/>
              </w:rPr>
              <w:t>'</w:t>
            </w:r>
            <w:r w:rsidRPr="002D66DE">
              <w:rPr>
                <w:sz w:val="20"/>
              </w:rPr>
              <w:t xml:space="preserve">avis de certains membres cette disposition est applicable </w:t>
            </w:r>
            <w:r w:rsidRPr="002D66DE">
              <w:rPr>
                <w:rFonts w:cstheme="minorHAnsi"/>
                <w:sz w:val="20"/>
                <w:szCs w:val="20"/>
              </w:rPr>
              <w:t>pour ce qui est de favoriser</w:t>
            </w:r>
            <w:r w:rsidR="008078D4" w:rsidRPr="002D66DE">
              <w:rPr>
                <w:rFonts w:cstheme="minorHAnsi"/>
                <w:sz w:val="20"/>
                <w:szCs w:val="20"/>
              </w:rPr>
              <w:t xml:space="preserve"> la fourniture et</w:t>
            </w:r>
            <w:r w:rsidRPr="002D66DE">
              <w:rPr>
                <w:rFonts w:cstheme="minorHAnsi"/>
                <w:sz w:val="20"/>
                <w:szCs w:val="20"/>
              </w:rPr>
              <w:t xml:space="preserve"> le développement des</w:t>
            </w:r>
            <w:r w:rsidRPr="002D66DE">
              <w:rPr>
                <w:sz w:val="20"/>
              </w:rPr>
              <w:t xml:space="preserve"> réseaux et des services, et n</w:t>
            </w:r>
            <w:r w:rsidR="009F4D21" w:rsidRPr="002D66DE">
              <w:rPr>
                <w:sz w:val="20"/>
              </w:rPr>
              <w:t>'</w:t>
            </w:r>
            <w:r w:rsidRPr="002D66DE">
              <w:rPr>
                <w:sz w:val="20"/>
              </w:rPr>
              <w:t>est pas</w:t>
            </w:r>
            <w:r w:rsidR="004C7683" w:rsidRPr="002D66DE">
              <w:rPr>
                <w:sz w:val="20"/>
              </w:rPr>
              <w:t xml:space="preserve"> </w:t>
            </w:r>
            <w:r w:rsidRPr="002D66DE">
              <w:rPr>
                <w:sz w:val="20"/>
              </w:rPr>
              <w:t>incompatible avec le droit souverain des États Membres</w:t>
            </w:r>
            <w:r w:rsidR="004C7683" w:rsidRPr="002D66DE">
              <w:rPr>
                <w:sz w:val="20"/>
              </w:rPr>
              <w:t xml:space="preserve"> </w:t>
            </w:r>
            <w:r w:rsidRPr="002D66DE">
              <w:rPr>
                <w:sz w:val="20"/>
              </w:rPr>
              <w:t>de fournir des services de réseau.</w:t>
            </w:r>
            <w:bookmarkEnd w:id="30"/>
          </w:p>
          <w:p w14:paraId="5EFCDE45" w14:textId="10D052EE" w:rsidR="00F476A1" w:rsidRPr="002D66DE" w:rsidRDefault="006A399D" w:rsidP="00C55BDB">
            <w:pPr>
              <w:pStyle w:val="Tabletext"/>
              <w:rPr>
                <w:rFonts w:cstheme="minorHAnsi"/>
                <w:sz w:val="20"/>
                <w:szCs w:val="20"/>
              </w:rPr>
            </w:pPr>
            <w:bookmarkStart w:id="31" w:name="lt_pId174"/>
            <w:r w:rsidRPr="002D66DE">
              <w:rPr>
                <w:sz w:val="20"/>
                <w:szCs w:val="20"/>
              </w:rPr>
              <w:t xml:space="preserve">Certains membres ont estimé que </w:t>
            </w:r>
            <w:r w:rsidR="00C4082D" w:rsidRPr="002D66DE">
              <w:rPr>
                <w:rFonts w:cstheme="minorHAnsi"/>
                <w:sz w:val="20"/>
                <w:szCs w:val="20"/>
              </w:rPr>
              <w:t>cette disposition cré</w:t>
            </w:r>
            <w:r w:rsidR="002A582F" w:rsidRPr="002D66DE">
              <w:rPr>
                <w:rFonts w:cstheme="minorHAnsi"/>
                <w:sz w:val="20"/>
                <w:szCs w:val="20"/>
              </w:rPr>
              <w:t xml:space="preserve">e </w:t>
            </w:r>
            <w:r w:rsidR="00C4082D" w:rsidRPr="002D66DE">
              <w:rPr>
                <w:rFonts w:cstheme="minorHAnsi"/>
                <w:sz w:val="20"/>
                <w:szCs w:val="20"/>
              </w:rPr>
              <w:t>une ambigüité juridique puisqu</w:t>
            </w:r>
            <w:r w:rsidR="009F4D21" w:rsidRPr="002D66DE">
              <w:rPr>
                <w:rFonts w:cstheme="minorHAnsi"/>
                <w:sz w:val="20"/>
                <w:szCs w:val="20"/>
              </w:rPr>
              <w:t>'</w:t>
            </w:r>
            <w:r w:rsidR="00C4082D" w:rsidRPr="002D66DE">
              <w:rPr>
                <w:rFonts w:cstheme="minorHAnsi"/>
                <w:sz w:val="20"/>
                <w:szCs w:val="20"/>
              </w:rPr>
              <w:t>elle cré</w:t>
            </w:r>
            <w:r w:rsidR="002A582F" w:rsidRPr="002D66DE">
              <w:rPr>
                <w:rFonts w:cstheme="minorHAnsi"/>
                <w:sz w:val="20"/>
                <w:szCs w:val="20"/>
              </w:rPr>
              <w:t>e</w:t>
            </w:r>
            <w:r w:rsidR="00C4082D" w:rsidRPr="002D66DE">
              <w:rPr>
                <w:rFonts w:cstheme="minorHAnsi"/>
                <w:sz w:val="20"/>
                <w:szCs w:val="20"/>
              </w:rPr>
              <w:t xml:space="preserve"> un droit nouveau pour les </w:t>
            </w:r>
            <w:r w:rsidR="00386D0B" w:rsidRPr="002D66DE">
              <w:rPr>
                <w:rFonts w:cstheme="minorHAnsi"/>
                <w:sz w:val="20"/>
                <w:szCs w:val="20"/>
              </w:rPr>
              <w:t>États</w:t>
            </w:r>
            <w:r w:rsidR="00C4082D" w:rsidRPr="002D66DE">
              <w:rPr>
                <w:rFonts w:cstheme="minorHAnsi"/>
                <w:sz w:val="20"/>
                <w:szCs w:val="20"/>
              </w:rPr>
              <w:t xml:space="preserve"> Membres </w:t>
            </w:r>
            <w:r w:rsidR="00F476A1" w:rsidRPr="002D66DE">
              <w:rPr>
                <w:rFonts w:cstheme="minorHAnsi"/>
                <w:sz w:val="20"/>
                <w:szCs w:val="20"/>
              </w:rPr>
              <w:t>–</w:t>
            </w:r>
            <w:r w:rsidR="00C4082D" w:rsidRPr="002D66DE">
              <w:rPr>
                <w:rFonts w:cstheme="minorHAnsi"/>
                <w:sz w:val="20"/>
                <w:szCs w:val="20"/>
              </w:rPr>
              <w:t xml:space="preserve"> le droit d</w:t>
            </w:r>
            <w:r w:rsidR="009F4D21" w:rsidRPr="002D66DE">
              <w:rPr>
                <w:rFonts w:cstheme="minorHAnsi"/>
                <w:sz w:val="20"/>
                <w:szCs w:val="20"/>
              </w:rPr>
              <w:t>'</w:t>
            </w:r>
            <w:r w:rsidR="00C4082D" w:rsidRPr="002D66DE">
              <w:rPr>
                <w:rFonts w:cstheme="minorHAnsi"/>
                <w:sz w:val="20"/>
                <w:szCs w:val="20"/>
              </w:rPr>
              <w:t xml:space="preserve">accès – sans </w:t>
            </w:r>
            <w:r w:rsidR="00A676ED" w:rsidRPr="002D66DE">
              <w:rPr>
                <w:rFonts w:cstheme="minorHAnsi"/>
                <w:sz w:val="20"/>
                <w:szCs w:val="20"/>
              </w:rPr>
              <w:t xml:space="preserve">indiquer clairement </w:t>
            </w:r>
            <w:r w:rsidR="00C4082D" w:rsidRPr="002D66DE">
              <w:rPr>
                <w:rFonts w:cstheme="minorHAnsi"/>
                <w:sz w:val="20"/>
                <w:szCs w:val="20"/>
              </w:rPr>
              <w:t xml:space="preserve">les devoirs et obligations que </w:t>
            </w:r>
            <w:r w:rsidR="00386D0B" w:rsidRPr="002D66DE">
              <w:rPr>
                <w:rFonts w:cstheme="minorHAnsi"/>
                <w:sz w:val="20"/>
                <w:szCs w:val="20"/>
              </w:rPr>
              <w:lastRenderedPageBreak/>
              <w:t xml:space="preserve">cela </w:t>
            </w:r>
            <w:r w:rsidR="007662D0" w:rsidRPr="002D66DE">
              <w:rPr>
                <w:rFonts w:cstheme="minorHAnsi"/>
                <w:sz w:val="20"/>
                <w:szCs w:val="20"/>
              </w:rPr>
              <w:t>impose aux</w:t>
            </w:r>
            <w:r w:rsidR="00386D0B" w:rsidRPr="002D66DE">
              <w:rPr>
                <w:rFonts w:cstheme="minorHAnsi"/>
                <w:sz w:val="20"/>
                <w:szCs w:val="20"/>
              </w:rPr>
              <w:t xml:space="preserve"> </w:t>
            </w:r>
            <w:r w:rsidR="00414731" w:rsidRPr="002D66DE">
              <w:rPr>
                <w:rFonts w:cstheme="minorHAnsi"/>
                <w:sz w:val="20"/>
                <w:szCs w:val="20"/>
              </w:rPr>
              <w:t>États</w:t>
            </w:r>
            <w:r w:rsidR="00386D0B" w:rsidRPr="002D66DE">
              <w:rPr>
                <w:rFonts w:cstheme="minorHAnsi"/>
                <w:sz w:val="20"/>
                <w:szCs w:val="20"/>
              </w:rPr>
              <w:t xml:space="preserve"> ou </w:t>
            </w:r>
            <w:r w:rsidR="007662D0" w:rsidRPr="002D66DE">
              <w:rPr>
                <w:rFonts w:cstheme="minorHAnsi"/>
                <w:sz w:val="20"/>
                <w:szCs w:val="20"/>
              </w:rPr>
              <w:t>aux</w:t>
            </w:r>
            <w:r w:rsidR="00386D0B" w:rsidRPr="002D66DE">
              <w:rPr>
                <w:rFonts w:cstheme="minorHAnsi"/>
                <w:sz w:val="20"/>
                <w:szCs w:val="20"/>
              </w:rPr>
              <w:t xml:space="preserve"> entreprises et qu</w:t>
            </w:r>
            <w:r w:rsidR="009F4D21" w:rsidRPr="002D66DE">
              <w:rPr>
                <w:rFonts w:cstheme="minorHAnsi"/>
                <w:sz w:val="20"/>
                <w:szCs w:val="20"/>
              </w:rPr>
              <w:t>'</w:t>
            </w:r>
            <w:r w:rsidR="00386D0B" w:rsidRPr="002D66DE">
              <w:rPr>
                <w:rFonts w:cstheme="minorHAnsi"/>
                <w:sz w:val="20"/>
                <w:szCs w:val="20"/>
              </w:rPr>
              <w:t xml:space="preserve">elle </w:t>
            </w:r>
            <w:r w:rsidR="002A582F" w:rsidRPr="002D66DE">
              <w:rPr>
                <w:rFonts w:cstheme="minorHAnsi"/>
                <w:sz w:val="20"/>
                <w:szCs w:val="20"/>
              </w:rPr>
              <w:t>n</w:t>
            </w:r>
            <w:r w:rsidR="009F4D21" w:rsidRPr="002D66DE">
              <w:rPr>
                <w:rFonts w:cstheme="minorHAnsi"/>
                <w:sz w:val="20"/>
                <w:szCs w:val="20"/>
              </w:rPr>
              <w:t>'</w:t>
            </w:r>
            <w:r w:rsidR="002A582F" w:rsidRPr="002D66DE">
              <w:rPr>
                <w:rFonts w:cstheme="minorHAnsi"/>
                <w:sz w:val="20"/>
                <w:szCs w:val="20"/>
              </w:rPr>
              <w:t>est</w:t>
            </w:r>
            <w:r w:rsidR="00414731" w:rsidRPr="002D66DE">
              <w:rPr>
                <w:rFonts w:cstheme="minorHAnsi"/>
                <w:sz w:val="20"/>
                <w:szCs w:val="20"/>
              </w:rPr>
              <w:t>,</w:t>
            </w:r>
            <w:r w:rsidR="00386D0B" w:rsidRPr="002D66DE">
              <w:rPr>
                <w:rFonts w:cstheme="minorHAnsi"/>
                <w:sz w:val="20"/>
                <w:szCs w:val="20"/>
              </w:rPr>
              <w:t xml:space="preserve"> par conséquent,</w:t>
            </w:r>
            <w:r w:rsidR="00414731" w:rsidRPr="002D66DE">
              <w:rPr>
                <w:rFonts w:cstheme="minorHAnsi"/>
                <w:sz w:val="20"/>
                <w:szCs w:val="20"/>
              </w:rPr>
              <w:t xml:space="preserve"> pas applicable pour ce qui est de</w:t>
            </w:r>
            <w:r w:rsidR="004C7683" w:rsidRPr="002D66DE">
              <w:rPr>
                <w:rFonts w:cstheme="minorHAnsi"/>
                <w:sz w:val="20"/>
                <w:szCs w:val="20"/>
              </w:rPr>
              <w:t xml:space="preserve"> </w:t>
            </w:r>
            <w:r w:rsidR="00414731" w:rsidRPr="002D66DE">
              <w:rPr>
                <w:rFonts w:cstheme="minorHAnsi"/>
                <w:sz w:val="20"/>
                <w:szCs w:val="20"/>
              </w:rPr>
              <w:t>favoriser la fourniture et le développemen</w:t>
            </w:r>
            <w:r w:rsidRPr="002D66DE">
              <w:rPr>
                <w:rFonts w:cstheme="minorHAnsi"/>
                <w:sz w:val="20"/>
                <w:szCs w:val="20"/>
              </w:rPr>
              <w:t>t</w:t>
            </w:r>
            <w:r w:rsidR="00414731" w:rsidRPr="002D66DE">
              <w:rPr>
                <w:rFonts w:cstheme="minorHAnsi"/>
                <w:sz w:val="20"/>
                <w:szCs w:val="20"/>
              </w:rPr>
              <w:t xml:space="preserve"> des réseaux</w:t>
            </w:r>
            <w:bookmarkEnd w:id="31"/>
            <w:r w:rsidRPr="002D66DE">
              <w:rPr>
                <w:rFonts w:cstheme="minorHAnsi"/>
                <w:sz w:val="20"/>
                <w:szCs w:val="20"/>
              </w:rPr>
              <w:t xml:space="preserve"> et des services</w:t>
            </w:r>
            <w:r w:rsidR="00F476A1" w:rsidRPr="002D66DE">
              <w:rPr>
                <w:rFonts w:cstheme="minorHAnsi"/>
                <w:sz w:val="20"/>
                <w:szCs w:val="20"/>
              </w:rPr>
              <w:t>.</w:t>
            </w:r>
          </w:p>
          <w:p w14:paraId="2E293E8A" w14:textId="6F52A532" w:rsidR="00F476A1" w:rsidRPr="002D66DE" w:rsidRDefault="007662D0" w:rsidP="00C55BDB">
            <w:pPr>
              <w:pStyle w:val="Tabletext"/>
              <w:rPr>
                <w:rFonts w:cstheme="minorHAnsi"/>
                <w:sz w:val="20"/>
                <w:szCs w:val="20"/>
              </w:rPr>
            </w:pPr>
            <w:r w:rsidRPr="002D66DE">
              <w:rPr>
                <w:bCs/>
                <w:color w:val="000000"/>
                <w:sz w:val="20"/>
                <w:szCs w:val="20"/>
              </w:rPr>
              <w:t>De l</w:t>
            </w:r>
            <w:r w:rsidR="009F4D21" w:rsidRPr="002D66DE">
              <w:rPr>
                <w:bCs/>
                <w:color w:val="000000"/>
                <w:sz w:val="20"/>
                <w:szCs w:val="20"/>
              </w:rPr>
              <w:t>'</w:t>
            </w:r>
            <w:r w:rsidRPr="002D66DE">
              <w:rPr>
                <w:bCs/>
                <w:color w:val="000000"/>
                <w:sz w:val="20"/>
                <w:szCs w:val="20"/>
              </w:rPr>
              <w:t>avis de certains membres,</w:t>
            </w:r>
            <w:r w:rsidRPr="002D66DE">
              <w:rPr>
                <w:rFonts w:cstheme="minorHAnsi"/>
                <w:sz w:val="20"/>
                <w:szCs w:val="20"/>
              </w:rPr>
              <w:t xml:space="preserve"> </w:t>
            </w:r>
            <w:r w:rsidR="0028165F" w:rsidRPr="002D66DE">
              <w:rPr>
                <w:rFonts w:cstheme="minorHAnsi"/>
                <w:sz w:val="20"/>
                <w:szCs w:val="20"/>
              </w:rPr>
              <w:t>ce</w:t>
            </w:r>
            <w:r w:rsidR="00F476A1" w:rsidRPr="002D66DE">
              <w:rPr>
                <w:rFonts w:cstheme="minorHAnsi"/>
                <w:sz w:val="20"/>
                <w:szCs w:val="20"/>
              </w:rPr>
              <w:t xml:space="preserve">tte disposition </w:t>
            </w:r>
            <w:r w:rsidR="002A582F" w:rsidRPr="002D66DE">
              <w:rPr>
                <w:rFonts w:cstheme="minorHAnsi"/>
                <w:sz w:val="20"/>
                <w:szCs w:val="20"/>
              </w:rPr>
              <w:t>est</w:t>
            </w:r>
            <w:r w:rsidR="00F476A1" w:rsidRPr="002D66DE">
              <w:rPr>
                <w:rFonts w:cstheme="minorHAnsi"/>
                <w:sz w:val="20"/>
                <w:szCs w:val="20"/>
              </w:rPr>
              <w:t xml:space="preserve"> difficilement applicable aux services de communications rendus disponibles sur les réseaux de données</w:t>
            </w:r>
            <w:r w:rsidR="000D6872" w:rsidRPr="002D66DE">
              <w:rPr>
                <w:rFonts w:cstheme="minorHAnsi"/>
                <w:sz w:val="20"/>
                <w:szCs w:val="20"/>
              </w:rPr>
              <w:t>,</w:t>
            </w:r>
            <w:r w:rsidR="00F476A1" w:rsidRPr="002D66DE">
              <w:rPr>
                <w:rFonts w:cstheme="minorHAnsi"/>
                <w:sz w:val="20"/>
                <w:szCs w:val="20"/>
              </w:rPr>
              <w:t xml:space="preserve"> notamment IP.</w:t>
            </w:r>
          </w:p>
        </w:tc>
        <w:tc>
          <w:tcPr>
            <w:tcW w:w="2595" w:type="dxa"/>
          </w:tcPr>
          <w:p w14:paraId="2DDB9346" w14:textId="02098581" w:rsidR="00F476A1" w:rsidRPr="002D66DE" w:rsidRDefault="007662D0" w:rsidP="00C55BDB">
            <w:pPr>
              <w:pStyle w:val="Tabletext"/>
              <w:rPr>
                <w:bCs/>
                <w:color w:val="000000"/>
                <w:sz w:val="20"/>
              </w:rPr>
            </w:pPr>
            <w:r w:rsidRPr="002D66DE">
              <w:rPr>
                <w:color w:val="000000"/>
                <w:sz w:val="20"/>
              </w:rPr>
              <w:lastRenderedPageBreak/>
              <w:t>De l</w:t>
            </w:r>
            <w:r w:rsidR="009F4D21" w:rsidRPr="002D66DE">
              <w:rPr>
                <w:color w:val="000000"/>
                <w:sz w:val="20"/>
              </w:rPr>
              <w:t>'</w:t>
            </w:r>
            <w:r w:rsidRPr="002D66DE">
              <w:rPr>
                <w:color w:val="000000"/>
                <w:sz w:val="20"/>
              </w:rPr>
              <w:t>avis de c</w:t>
            </w:r>
            <w:r w:rsidR="00F476A1" w:rsidRPr="002D66DE">
              <w:rPr>
                <w:color w:val="000000"/>
                <w:sz w:val="20"/>
              </w:rPr>
              <w:t>e</w:t>
            </w:r>
            <w:r w:rsidR="00414731" w:rsidRPr="002D66DE">
              <w:rPr>
                <w:color w:val="000000"/>
                <w:sz w:val="20"/>
              </w:rPr>
              <w:t>rtains membres</w:t>
            </w:r>
            <w:r w:rsidRPr="002D66DE">
              <w:rPr>
                <w:color w:val="000000"/>
                <w:sz w:val="20"/>
              </w:rPr>
              <w:t>,</w:t>
            </w:r>
            <w:r w:rsidR="00414731" w:rsidRPr="002D66DE">
              <w:rPr>
                <w:color w:val="000000"/>
                <w:sz w:val="20"/>
              </w:rPr>
              <w:t xml:space="preserve"> ce</w:t>
            </w:r>
            <w:r w:rsidR="00F476A1" w:rsidRPr="002D66DE">
              <w:rPr>
                <w:color w:val="000000"/>
                <w:sz w:val="20"/>
              </w:rPr>
              <w:t xml:space="preserve">tte disposition </w:t>
            </w:r>
            <w:r w:rsidR="00454C2C" w:rsidRPr="002D66DE">
              <w:rPr>
                <w:color w:val="000000"/>
                <w:sz w:val="20"/>
              </w:rPr>
              <w:t>a des incidences sur</w:t>
            </w:r>
            <w:r w:rsidR="00F476A1" w:rsidRPr="002D66DE">
              <w:rPr>
                <w:color w:val="000000"/>
                <w:sz w:val="20"/>
              </w:rPr>
              <w:t xml:space="preserve"> la souplesse nécessaire</w:t>
            </w:r>
            <w:r w:rsidR="00F476A1" w:rsidRPr="002D66DE">
              <w:rPr>
                <w:b/>
                <w:bCs/>
                <w:color w:val="000000"/>
                <w:sz w:val="20"/>
              </w:rPr>
              <w:t xml:space="preserve"> </w:t>
            </w:r>
            <w:r w:rsidR="00F476A1" w:rsidRPr="002D66DE">
              <w:rPr>
                <w:bCs/>
                <w:color w:val="000000"/>
                <w:sz w:val="20"/>
              </w:rPr>
              <w:t xml:space="preserve">pour </w:t>
            </w:r>
            <w:r w:rsidR="00454C2C" w:rsidRPr="002D66DE">
              <w:rPr>
                <w:bCs/>
                <w:color w:val="000000"/>
                <w:sz w:val="20"/>
              </w:rPr>
              <w:t xml:space="preserve">tenir </w:t>
            </w:r>
            <w:r w:rsidR="00F476A1" w:rsidRPr="002D66DE">
              <w:rPr>
                <w:bCs/>
                <w:color w:val="000000"/>
                <w:sz w:val="20"/>
              </w:rPr>
              <w:t xml:space="preserve">compte </w:t>
            </w:r>
            <w:r w:rsidR="00454C2C" w:rsidRPr="002D66DE">
              <w:rPr>
                <w:bCs/>
                <w:color w:val="000000"/>
                <w:sz w:val="20"/>
              </w:rPr>
              <w:t>d</w:t>
            </w:r>
            <w:r w:rsidR="00F476A1" w:rsidRPr="002D66DE">
              <w:rPr>
                <w:bCs/>
                <w:color w:val="000000"/>
                <w:sz w:val="20"/>
              </w:rPr>
              <w:t xml:space="preserve">es nouvelles tendances et </w:t>
            </w:r>
            <w:r w:rsidR="00454C2C" w:rsidRPr="002D66DE">
              <w:rPr>
                <w:bCs/>
                <w:color w:val="000000"/>
                <w:sz w:val="20"/>
              </w:rPr>
              <w:t>d</w:t>
            </w:r>
            <w:r w:rsidR="00F476A1" w:rsidRPr="002D66DE">
              <w:rPr>
                <w:bCs/>
                <w:color w:val="000000"/>
                <w:sz w:val="20"/>
              </w:rPr>
              <w:t>es nouveaux problèmes qui se font jour.</w:t>
            </w:r>
          </w:p>
          <w:p w14:paraId="2A7E9835" w14:textId="2262DCD4" w:rsidR="00F476A1" w:rsidRPr="002D66DE" w:rsidRDefault="007662D0" w:rsidP="00C55BDB">
            <w:pPr>
              <w:pStyle w:val="Tabletext"/>
              <w:rPr>
                <w:rFonts w:cstheme="minorHAnsi"/>
                <w:sz w:val="20"/>
                <w:szCs w:val="20"/>
              </w:rPr>
            </w:pPr>
            <w:r w:rsidRPr="002D66DE">
              <w:rPr>
                <w:color w:val="000000"/>
                <w:sz w:val="20"/>
              </w:rPr>
              <w:t>De l</w:t>
            </w:r>
            <w:r w:rsidR="009F4D21" w:rsidRPr="002D66DE">
              <w:rPr>
                <w:color w:val="000000"/>
                <w:sz w:val="20"/>
              </w:rPr>
              <w:t>'</w:t>
            </w:r>
            <w:r w:rsidRPr="002D66DE">
              <w:rPr>
                <w:color w:val="000000"/>
                <w:sz w:val="20"/>
              </w:rPr>
              <w:t xml:space="preserve">avis de certains membres, cette disposition </w:t>
            </w:r>
            <w:r w:rsidRPr="002D66DE">
              <w:rPr>
                <w:rFonts w:cstheme="minorHAnsi"/>
                <w:sz w:val="20"/>
                <w:szCs w:val="20"/>
              </w:rPr>
              <w:t>n</w:t>
            </w:r>
            <w:r w:rsidR="009F4D21" w:rsidRPr="002D66DE">
              <w:rPr>
                <w:rFonts w:cstheme="minorHAnsi"/>
                <w:sz w:val="20"/>
                <w:szCs w:val="20"/>
              </w:rPr>
              <w:t>'</w:t>
            </w:r>
            <w:r w:rsidRPr="002D66DE">
              <w:rPr>
                <w:rFonts w:cstheme="minorHAnsi"/>
                <w:sz w:val="20"/>
                <w:szCs w:val="20"/>
              </w:rPr>
              <w:t>a</w:t>
            </w:r>
            <w:r w:rsidR="00454C2C" w:rsidRPr="002D66DE">
              <w:rPr>
                <w:rFonts w:cstheme="minorHAnsi"/>
                <w:sz w:val="20"/>
                <w:szCs w:val="20"/>
              </w:rPr>
              <w:t xml:space="preserve"> pas d</w:t>
            </w:r>
            <w:r w:rsidR="009F4D21" w:rsidRPr="002D66DE">
              <w:rPr>
                <w:rFonts w:cstheme="minorHAnsi"/>
                <w:sz w:val="20"/>
                <w:szCs w:val="20"/>
              </w:rPr>
              <w:t>'</w:t>
            </w:r>
            <w:r w:rsidR="00454C2C" w:rsidRPr="002D66DE">
              <w:rPr>
                <w:rFonts w:cstheme="minorHAnsi"/>
                <w:sz w:val="20"/>
                <w:szCs w:val="20"/>
              </w:rPr>
              <w:t xml:space="preserve">incidences sur la souplesse nécessaire pour tenir compte des nouvelles tendances et </w:t>
            </w:r>
            <w:r w:rsidR="006071F3" w:rsidRPr="002D66DE">
              <w:rPr>
                <w:rFonts w:cstheme="minorHAnsi"/>
                <w:sz w:val="20"/>
                <w:szCs w:val="20"/>
              </w:rPr>
              <w:t xml:space="preserve">des </w:t>
            </w:r>
            <w:r w:rsidR="00454C2C" w:rsidRPr="002D66DE">
              <w:rPr>
                <w:rFonts w:cstheme="minorHAnsi"/>
                <w:sz w:val="20"/>
                <w:szCs w:val="20"/>
              </w:rPr>
              <w:t>nouveaux problèmes qui se font jour.</w:t>
            </w:r>
          </w:p>
          <w:p w14:paraId="7808E703" w14:textId="2C46D512" w:rsidR="00F476A1" w:rsidRPr="002D66DE" w:rsidRDefault="00C27244" w:rsidP="00C55BDB">
            <w:pPr>
              <w:pStyle w:val="Tabletext"/>
              <w:rPr>
                <w:bCs/>
                <w:color w:val="000000"/>
                <w:sz w:val="20"/>
                <w:szCs w:val="20"/>
              </w:rPr>
            </w:pPr>
            <w:r w:rsidRPr="002D66DE">
              <w:rPr>
                <w:sz w:val="20"/>
                <w:szCs w:val="20"/>
              </w:rPr>
              <w:t xml:space="preserve">Certains membres ont estimé que </w:t>
            </w:r>
            <w:r w:rsidR="004758B0" w:rsidRPr="002D66DE">
              <w:rPr>
                <w:bCs/>
                <w:color w:val="000000"/>
                <w:sz w:val="20"/>
                <w:szCs w:val="20"/>
              </w:rPr>
              <w:t>l</w:t>
            </w:r>
            <w:r w:rsidR="00F476A1" w:rsidRPr="002D66DE">
              <w:rPr>
                <w:bCs/>
                <w:color w:val="000000"/>
                <w:sz w:val="20"/>
                <w:szCs w:val="20"/>
              </w:rPr>
              <w:t>a signification des termes "droit d'accès" n'</w:t>
            </w:r>
            <w:r w:rsidR="002A582F" w:rsidRPr="002D66DE">
              <w:rPr>
                <w:bCs/>
                <w:color w:val="000000"/>
                <w:sz w:val="20"/>
                <w:szCs w:val="20"/>
              </w:rPr>
              <w:t>est</w:t>
            </w:r>
            <w:r w:rsidR="00F476A1" w:rsidRPr="002D66DE">
              <w:rPr>
                <w:bCs/>
                <w:color w:val="000000"/>
                <w:sz w:val="20"/>
                <w:szCs w:val="20"/>
              </w:rPr>
              <w:t xml:space="preserve"> pas claire, de sorte que </w:t>
            </w:r>
            <w:r w:rsidR="00F476A1" w:rsidRPr="002D66DE">
              <w:rPr>
                <w:bCs/>
                <w:color w:val="000000"/>
                <w:sz w:val="20"/>
                <w:szCs w:val="20"/>
              </w:rPr>
              <w:lastRenderedPageBreak/>
              <w:t>ces termes n</w:t>
            </w:r>
            <w:r w:rsidR="002A582F" w:rsidRPr="002D66DE">
              <w:rPr>
                <w:bCs/>
                <w:color w:val="000000"/>
                <w:sz w:val="20"/>
                <w:szCs w:val="20"/>
              </w:rPr>
              <w:t>e sont</w:t>
            </w:r>
            <w:r w:rsidR="00A676ED" w:rsidRPr="002D66DE">
              <w:rPr>
                <w:bCs/>
                <w:color w:val="000000"/>
                <w:sz w:val="20"/>
                <w:szCs w:val="20"/>
              </w:rPr>
              <w:t xml:space="preserve"> </w:t>
            </w:r>
            <w:r w:rsidR="00F476A1" w:rsidRPr="002D66DE">
              <w:rPr>
                <w:bCs/>
                <w:color w:val="000000"/>
                <w:sz w:val="20"/>
                <w:szCs w:val="20"/>
              </w:rPr>
              <w:t>pas adaptés pour tenir compte des nouvelles tendances et des nouveaux problèmes qui se font jour.</w:t>
            </w:r>
          </w:p>
          <w:p w14:paraId="08C07D0D" w14:textId="36CE28AB" w:rsidR="00F476A1" w:rsidRPr="002D66DE" w:rsidRDefault="007662D0" w:rsidP="00C55BDB">
            <w:pPr>
              <w:pStyle w:val="Tabletext"/>
              <w:rPr>
                <w:bCs/>
                <w:color w:val="000000"/>
                <w:sz w:val="20"/>
                <w:szCs w:val="20"/>
              </w:rPr>
            </w:pPr>
            <w:r w:rsidRPr="002D66DE">
              <w:rPr>
                <w:bCs/>
                <w:color w:val="000000"/>
                <w:sz w:val="20"/>
                <w:szCs w:val="20"/>
              </w:rPr>
              <w:t>De l</w:t>
            </w:r>
            <w:r w:rsidR="009F4D21" w:rsidRPr="002D66DE">
              <w:rPr>
                <w:bCs/>
                <w:color w:val="000000"/>
                <w:sz w:val="20"/>
                <w:szCs w:val="20"/>
              </w:rPr>
              <w:t>'</w:t>
            </w:r>
            <w:r w:rsidRPr="002D66DE">
              <w:rPr>
                <w:bCs/>
                <w:color w:val="000000"/>
                <w:sz w:val="20"/>
                <w:szCs w:val="20"/>
              </w:rPr>
              <w:t xml:space="preserve">avis de certains membres, </w:t>
            </w:r>
            <w:r w:rsidR="00B3153F" w:rsidRPr="002D66DE">
              <w:rPr>
                <w:bCs/>
                <w:color w:val="000000"/>
                <w:sz w:val="20"/>
                <w:szCs w:val="20"/>
              </w:rPr>
              <w:t>cette disposition ne couvr</w:t>
            </w:r>
            <w:r w:rsidR="002A582F" w:rsidRPr="002D66DE">
              <w:rPr>
                <w:bCs/>
                <w:color w:val="000000"/>
                <w:sz w:val="20"/>
                <w:szCs w:val="20"/>
              </w:rPr>
              <w:t>e</w:t>
            </w:r>
            <w:r w:rsidR="00B3153F" w:rsidRPr="002D66DE">
              <w:rPr>
                <w:bCs/>
                <w:color w:val="000000"/>
                <w:sz w:val="20"/>
                <w:szCs w:val="20"/>
              </w:rPr>
              <w:t xml:space="preserve"> </w:t>
            </w:r>
            <w:r w:rsidR="00F476A1" w:rsidRPr="002D66DE">
              <w:rPr>
                <w:bCs/>
                <w:color w:val="000000"/>
                <w:sz w:val="20"/>
                <w:szCs w:val="20"/>
              </w:rPr>
              <w:t>pas les nouvelles tendances en raison de la définition de "service international des télécommunications" qui est restrictive.</w:t>
            </w:r>
          </w:p>
          <w:p w14:paraId="7F510A5F" w14:textId="007C66ED" w:rsidR="00F476A1" w:rsidRPr="002D66DE" w:rsidRDefault="00C27244" w:rsidP="00C55BDB">
            <w:pPr>
              <w:pStyle w:val="Tabletext"/>
              <w:rPr>
                <w:bCs/>
                <w:color w:val="000000"/>
                <w:sz w:val="20"/>
                <w:szCs w:val="20"/>
              </w:rPr>
            </w:pPr>
            <w:r w:rsidRPr="002D66DE">
              <w:rPr>
                <w:bCs/>
                <w:color w:val="000000"/>
                <w:sz w:val="20"/>
                <w:szCs w:val="20"/>
              </w:rPr>
              <w:t xml:space="preserve">Certains membres ont également souligné que </w:t>
            </w:r>
            <w:r w:rsidRPr="002D66DE">
              <w:rPr>
                <w:rFonts w:cstheme="minorHAnsi"/>
                <w:sz w:val="20"/>
                <w:szCs w:val="20"/>
              </w:rPr>
              <w:t xml:space="preserve">cette disposition est aussi </w:t>
            </w:r>
            <w:r w:rsidRPr="002D66DE">
              <w:rPr>
                <w:sz w:val="20"/>
                <w:szCs w:val="20"/>
              </w:rPr>
              <w:t>suffisamment souple pour permettre aux États Membres d</w:t>
            </w:r>
            <w:r w:rsidR="009F4D21" w:rsidRPr="002D66DE">
              <w:rPr>
                <w:sz w:val="20"/>
                <w:szCs w:val="20"/>
              </w:rPr>
              <w:t>'</w:t>
            </w:r>
            <w:r w:rsidRPr="002D66DE">
              <w:rPr>
                <w:sz w:val="20"/>
                <w:szCs w:val="20"/>
              </w:rPr>
              <w:t>innover tout en encourageant l</w:t>
            </w:r>
            <w:r w:rsidR="009F4D21" w:rsidRPr="002D66DE">
              <w:rPr>
                <w:sz w:val="20"/>
                <w:szCs w:val="20"/>
              </w:rPr>
              <w:t>'</w:t>
            </w:r>
            <w:r w:rsidRPr="002D66DE">
              <w:rPr>
                <w:sz w:val="20"/>
                <w:szCs w:val="20"/>
              </w:rPr>
              <w:t>uniformité, sans porter atteinte aux droits de l</w:t>
            </w:r>
            <w:r w:rsidR="009F4D21" w:rsidRPr="002D66DE">
              <w:rPr>
                <w:sz w:val="20"/>
                <w:szCs w:val="20"/>
              </w:rPr>
              <w:t>'</w:t>
            </w:r>
            <w:r w:rsidRPr="002D66DE">
              <w:rPr>
                <w:sz w:val="20"/>
                <w:szCs w:val="20"/>
              </w:rPr>
              <w:t>homme</w:t>
            </w:r>
            <w:r w:rsidR="00B3153F" w:rsidRPr="002D66DE">
              <w:rPr>
                <w:rFonts w:cstheme="minorHAnsi"/>
                <w:sz w:val="20"/>
                <w:szCs w:val="20"/>
              </w:rPr>
              <w:t>.</w:t>
            </w:r>
          </w:p>
        </w:tc>
        <w:tc>
          <w:tcPr>
            <w:tcW w:w="2406" w:type="dxa"/>
          </w:tcPr>
          <w:p w14:paraId="7291BB0C" w14:textId="46A3F7FE" w:rsidR="00D31A27" w:rsidRPr="002D66DE" w:rsidRDefault="00D31A27" w:rsidP="00C55BDB">
            <w:pPr>
              <w:pStyle w:val="Tabletext"/>
              <w:rPr>
                <w:sz w:val="20"/>
                <w:szCs w:val="20"/>
              </w:rPr>
            </w:pPr>
            <w:r w:rsidRPr="002D66DE">
              <w:rPr>
                <w:sz w:val="20"/>
                <w:szCs w:val="20"/>
              </w:rPr>
              <w:lastRenderedPageBreak/>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2E37A3D2" w14:textId="34D34E83" w:rsidR="00D31A27" w:rsidRPr="002D66DE" w:rsidRDefault="00D31A27"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6307E156" w14:textId="5BB368D4" w:rsidR="00F476A1" w:rsidRPr="002D66DE" w:rsidRDefault="00F476A1" w:rsidP="00C55BDB">
            <w:pPr>
              <w:pStyle w:val="Tabletext"/>
            </w:pPr>
          </w:p>
        </w:tc>
      </w:tr>
    </w:tbl>
    <w:p w14:paraId="3C595D24" w14:textId="4B56F63C" w:rsidR="00C55BDB" w:rsidRPr="002D66DE" w:rsidRDefault="00C55BDB"/>
    <w:p w14:paraId="62313290" w14:textId="287B1F80"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6A06BF7F" w14:textId="77777777" w:rsidTr="00C55BDB">
        <w:tc>
          <w:tcPr>
            <w:tcW w:w="987" w:type="dxa"/>
          </w:tcPr>
          <w:p w14:paraId="0A22A5F4"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6E453F4E"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719A7FFB"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4F2CA8B5"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7F511093"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63F5DC06"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6CF6B60E" w14:textId="77777777" w:rsidTr="00C55BDB">
        <w:tc>
          <w:tcPr>
            <w:tcW w:w="987" w:type="dxa"/>
          </w:tcPr>
          <w:p w14:paraId="50D53E86" w14:textId="4EE5801B" w:rsidR="00F476A1" w:rsidRPr="002D66DE" w:rsidRDefault="00F476A1" w:rsidP="00C55BDB">
            <w:pPr>
              <w:pStyle w:val="Tablehead"/>
              <w:rPr>
                <w:sz w:val="20"/>
                <w:szCs w:val="20"/>
              </w:rPr>
            </w:pPr>
            <w:r w:rsidRPr="002D66DE">
              <w:rPr>
                <w:sz w:val="20"/>
                <w:szCs w:val="20"/>
              </w:rPr>
              <w:t>4</w:t>
            </w:r>
          </w:p>
        </w:tc>
        <w:tc>
          <w:tcPr>
            <w:tcW w:w="2860" w:type="dxa"/>
          </w:tcPr>
          <w:p w14:paraId="1FCC6948" w14:textId="77777777" w:rsidR="00F476A1" w:rsidRPr="002D66DE" w:rsidRDefault="00F476A1" w:rsidP="00C55BDB">
            <w:pPr>
              <w:pStyle w:val="Tabletext"/>
              <w:rPr>
                <w:b/>
                <w:bCs/>
                <w:sz w:val="20"/>
                <w:szCs w:val="20"/>
              </w:rPr>
            </w:pPr>
            <w:r w:rsidRPr="002D66DE">
              <w:rPr>
                <w:b/>
                <w:bCs/>
                <w:sz w:val="20"/>
                <w:szCs w:val="20"/>
              </w:rPr>
              <w:t>1.1</w:t>
            </w:r>
            <w:r w:rsidRPr="002D66DE">
              <w:rPr>
                <w:b/>
                <w:bCs/>
                <w:sz w:val="20"/>
                <w:szCs w:val="20"/>
              </w:rPr>
              <w:tab/>
            </w:r>
            <w:r w:rsidRPr="002D66DE">
              <w:rPr>
                <w:b/>
                <w:bCs/>
                <w:i/>
                <w:iCs/>
                <w:sz w:val="20"/>
                <w:szCs w:val="20"/>
              </w:rPr>
              <w:t>a)</w:t>
            </w:r>
            <w:r w:rsidRPr="002D66DE">
              <w:rPr>
                <w:b/>
                <w:bCs/>
                <w:sz w:val="20"/>
                <w:szCs w:val="20"/>
              </w:rPr>
              <w:tab/>
              <w:t>Le présent Règlement établit les principes généraux qui se rapportent à la fourniture et à l'exploitation des services internationaux de télécommunication offerts au public ainsi qu'aux moyens sous</w:t>
            </w:r>
            <w:r w:rsidRPr="002D66DE">
              <w:rPr>
                <w:b/>
                <w:bCs/>
                <w:sz w:val="20"/>
                <w:szCs w:val="20"/>
              </w:rPr>
              <w:noBreakHyphen/>
              <w:t>jacents de transport internationaux pour les télécommunications utilisés pour fournir ces services. Le présent Règlement ne concerne pas les aspects des télécommunications ayant trait au contenu.</w:t>
            </w:r>
          </w:p>
        </w:tc>
        <w:tc>
          <w:tcPr>
            <w:tcW w:w="3716" w:type="dxa"/>
          </w:tcPr>
          <w:p w14:paraId="7FEFB762" w14:textId="77777777" w:rsidR="00F476A1" w:rsidRPr="002D66DE" w:rsidRDefault="00F476A1" w:rsidP="00C55BDB">
            <w:pPr>
              <w:pStyle w:val="Tabletext"/>
              <w:rPr>
                <w:b/>
                <w:bCs/>
                <w:sz w:val="20"/>
                <w:szCs w:val="20"/>
              </w:rPr>
            </w:pPr>
            <w:r w:rsidRPr="002D66DE">
              <w:rPr>
                <w:rFonts w:eastAsia="Times New Roman" w:cs="Times New Roman"/>
                <w:sz w:val="20"/>
                <w:szCs w:val="20"/>
              </w:rPr>
              <w:t>1.1</w:t>
            </w:r>
            <w:r w:rsidRPr="002D66DE">
              <w:rPr>
                <w:rFonts w:eastAsia="Times New Roman" w:cs="Times New Roman"/>
                <w:sz w:val="20"/>
                <w:szCs w:val="20"/>
              </w:rPr>
              <w:tab/>
            </w:r>
            <w:r w:rsidRPr="002D66DE">
              <w:rPr>
                <w:rFonts w:eastAsia="Times New Roman" w:cs="Times New Roman"/>
                <w:i/>
                <w:iCs/>
                <w:sz w:val="20"/>
                <w:szCs w:val="20"/>
              </w:rPr>
              <w:t>a)</w:t>
            </w:r>
            <w:r w:rsidRPr="002D66DE">
              <w:rPr>
                <w:rFonts w:eastAsia="Times New Roman" w:cs="Times New Roman"/>
                <w:sz w:val="20"/>
                <w:szCs w:val="20"/>
              </w:rPr>
              <w:tab/>
              <w:t>Le présent Règlement établit les principes généraux qui se rapportent à la fourniture et à l'exploitation des services internationaux de télécommunication offerts au public ainsi qu'aux moyens sous</w:t>
            </w:r>
            <w:r w:rsidRPr="002D66DE">
              <w:rPr>
                <w:rFonts w:eastAsia="Times New Roman" w:cs="Times New Roman"/>
                <w:sz w:val="20"/>
                <w:szCs w:val="20"/>
              </w:rPr>
              <w:noBreakHyphen/>
              <w:t>jacents de transport internationaux pour les télécommunications utilisés pour fournir ces services. Il fixe aussi les règles applicables aux administrations</w:t>
            </w:r>
            <w:bookmarkStart w:id="32" w:name="_Ref319329538"/>
            <w:r w:rsidRPr="002D66DE">
              <w:rPr>
                <w:rFonts w:eastAsia="Times New Roman" w:cs="Times New Roman"/>
                <w:sz w:val="20"/>
                <w:szCs w:val="20"/>
              </w:rPr>
              <w:footnoteReference w:customMarkFollows="1" w:id="1"/>
              <w:t>*</w:t>
            </w:r>
            <w:bookmarkEnd w:id="32"/>
            <w:r w:rsidRPr="002D66DE">
              <w:rPr>
                <w:rFonts w:eastAsia="Times New Roman" w:cs="Times New Roman"/>
                <w:sz w:val="20"/>
                <w:szCs w:val="20"/>
              </w:rPr>
              <w:t>.</w:t>
            </w:r>
          </w:p>
        </w:tc>
        <w:tc>
          <w:tcPr>
            <w:tcW w:w="2613" w:type="dxa"/>
          </w:tcPr>
          <w:p w14:paraId="5C5932DB" w14:textId="6BA1F803" w:rsidR="00F476A1" w:rsidRPr="002D66DE" w:rsidRDefault="000443E8" w:rsidP="00C55BDB">
            <w:pPr>
              <w:pStyle w:val="Tabletext"/>
              <w:rPr>
                <w:sz w:val="20"/>
                <w:szCs w:val="20"/>
              </w:rPr>
            </w:pPr>
            <w:bookmarkStart w:id="33" w:name="lt_pId188"/>
            <w:r w:rsidRPr="002D66DE">
              <w:rPr>
                <w:sz w:val="20"/>
                <w:szCs w:val="20"/>
              </w:rPr>
              <w:t>De l</w:t>
            </w:r>
            <w:r w:rsidR="009F4D21" w:rsidRPr="002D66DE">
              <w:rPr>
                <w:sz w:val="20"/>
                <w:szCs w:val="20"/>
              </w:rPr>
              <w:t>'</w:t>
            </w:r>
            <w:r w:rsidRPr="002D66DE">
              <w:rPr>
                <w:sz w:val="20"/>
                <w:szCs w:val="20"/>
              </w:rPr>
              <w:t>avis de certains membres,</w:t>
            </w:r>
            <w:r w:rsidR="00836DD1" w:rsidRPr="002D66DE">
              <w:rPr>
                <w:sz w:val="20"/>
                <w:szCs w:val="20"/>
              </w:rPr>
              <w:t xml:space="preserve"> cette disposition </w:t>
            </w:r>
            <w:r w:rsidR="002A582F" w:rsidRPr="002D66DE">
              <w:rPr>
                <w:sz w:val="20"/>
                <w:szCs w:val="20"/>
              </w:rPr>
              <w:t>est</w:t>
            </w:r>
            <w:r w:rsidR="00836DD1" w:rsidRPr="002D66DE">
              <w:rPr>
                <w:sz w:val="20"/>
                <w:szCs w:val="20"/>
              </w:rPr>
              <w:t xml:space="preserve"> </w:t>
            </w:r>
            <w:r w:rsidR="00F476A1" w:rsidRPr="002D66DE">
              <w:rPr>
                <w:sz w:val="20"/>
                <w:szCs w:val="20"/>
              </w:rPr>
              <w:t>applicable</w:t>
            </w:r>
            <w:r w:rsidR="0089337B" w:rsidRPr="002D66DE">
              <w:rPr>
                <w:sz w:val="20"/>
                <w:szCs w:val="20"/>
              </w:rPr>
              <w:t xml:space="preserve">, </w:t>
            </w:r>
            <w:r w:rsidR="002A582F" w:rsidRPr="002D66DE">
              <w:rPr>
                <w:sz w:val="20"/>
                <w:szCs w:val="20"/>
              </w:rPr>
              <w:t>soutient</w:t>
            </w:r>
            <w:r w:rsidR="00836DD1" w:rsidRPr="002D66DE">
              <w:rPr>
                <w:sz w:val="20"/>
                <w:szCs w:val="20"/>
              </w:rPr>
              <w:t xml:space="preserve"> la concurrence et </w:t>
            </w:r>
            <w:r w:rsidR="00D45276" w:rsidRPr="002D66DE">
              <w:rPr>
                <w:sz w:val="20"/>
                <w:szCs w:val="20"/>
              </w:rPr>
              <w:t xml:space="preserve">permet </w:t>
            </w:r>
            <w:r w:rsidR="00836DD1" w:rsidRPr="002D66DE">
              <w:rPr>
                <w:sz w:val="20"/>
                <w:szCs w:val="20"/>
              </w:rPr>
              <w:t>la fourniture de services de qualité</w:t>
            </w:r>
            <w:r w:rsidR="0076575F" w:rsidRPr="002D66DE">
              <w:rPr>
                <w:sz w:val="20"/>
                <w:szCs w:val="20"/>
              </w:rPr>
              <w:t>,</w:t>
            </w:r>
            <w:r w:rsidR="00836DD1" w:rsidRPr="002D66DE">
              <w:rPr>
                <w:sz w:val="20"/>
                <w:szCs w:val="20"/>
              </w:rPr>
              <w:t xml:space="preserve"> </w:t>
            </w:r>
            <w:r w:rsidR="00A776F1" w:rsidRPr="002D66DE">
              <w:rPr>
                <w:sz w:val="20"/>
                <w:szCs w:val="20"/>
              </w:rPr>
              <w:t xml:space="preserve">et appuie également </w:t>
            </w:r>
            <w:r w:rsidR="00836DD1" w:rsidRPr="002D66DE">
              <w:rPr>
                <w:sz w:val="20"/>
                <w:szCs w:val="20"/>
              </w:rPr>
              <w:t xml:space="preserve">des aspects </w:t>
            </w:r>
            <w:r w:rsidR="0089337B" w:rsidRPr="002D66DE">
              <w:rPr>
                <w:sz w:val="20"/>
                <w:szCs w:val="20"/>
              </w:rPr>
              <w:t>ayant trait au contenu</w:t>
            </w:r>
            <w:r w:rsidR="00A776F1" w:rsidRPr="002D66DE">
              <w:rPr>
                <w:sz w:val="20"/>
                <w:szCs w:val="20"/>
              </w:rPr>
              <w:t xml:space="preserve"> qui ne sont pas ré</w:t>
            </w:r>
            <w:r w:rsidR="00836DD1" w:rsidRPr="002D66DE">
              <w:rPr>
                <w:sz w:val="20"/>
                <w:szCs w:val="20"/>
              </w:rPr>
              <w:t>glementés</w:t>
            </w:r>
            <w:r w:rsidR="00844FA7" w:rsidRPr="002D66DE">
              <w:rPr>
                <w:sz w:val="20"/>
                <w:szCs w:val="20"/>
              </w:rPr>
              <w:t>, à savoir les aspects liés au réseau</w:t>
            </w:r>
            <w:r w:rsidR="00F476A1" w:rsidRPr="002D66DE">
              <w:rPr>
                <w:sz w:val="20"/>
                <w:szCs w:val="20"/>
              </w:rPr>
              <w:t>.</w:t>
            </w:r>
            <w:bookmarkEnd w:id="33"/>
          </w:p>
          <w:p w14:paraId="2A5B2EB4" w14:textId="4485B0A4" w:rsidR="00F476A1" w:rsidRPr="002D66DE" w:rsidRDefault="002A582F" w:rsidP="00C55BDB">
            <w:pPr>
              <w:pStyle w:val="Tabletext"/>
            </w:pPr>
            <w:bookmarkStart w:id="34" w:name="lt_pId189"/>
            <w:r w:rsidRPr="002D66DE">
              <w:rPr>
                <w:sz w:val="20"/>
                <w:szCs w:val="20"/>
              </w:rPr>
              <w:t>De l</w:t>
            </w:r>
            <w:r w:rsidR="009F4D21" w:rsidRPr="002D66DE">
              <w:rPr>
                <w:sz w:val="20"/>
                <w:szCs w:val="20"/>
              </w:rPr>
              <w:t>'</w:t>
            </w:r>
            <w:r w:rsidRPr="002D66DE">
              <w:rPr>
                <w:sz w:val="20"/>
                <w:szCs w:val="20"/>
              </w:rPr>
              <w:t>avis de c</w:t>
            </w:r>
            <w:r w:rsidR="00844FA7" w:rsidRPr="002D66DE">
              <w:rPr>
                <w:sz w:val="20"/>
                <w:szCs w:val="20"/>
              </w:rPr>
              <w:t>ertains membres</w:t>
            </w:r>
            <w:r w:rsidRPr="002D66DE">
              <w:rPr>
                <w:sz w:val="20"/>
                <w:szCs w:val="20"/>
              </w:rPr>
              <w:t>,</w:t>
            </w:r>
            <w:r w:rsidR="00844FA7" w:rsidRPr="002D66DE">
              <w:rPr>
                <w:sz w:val="20"/>
                <w:szCs w:val="20"/>
              </w:rPr>
              <w:t xml:space="preserve"> cette disposition </w:t>
            </w:r>
            <w:r w:rsidRPr="002D66DE">
              <w:rPr>
                <w:sz w:val="20"/>
                <w:szCs w:val="20"/>
              </w:rPr>
              <w:t>n</w:t>
            </w:r>
            <w:r w:rsidR="009F4D21" w:rsidRPr="002D66DE">
              <w:rPr>
                <w:sz w:val="20"/>
                <w:szCs w:val="20"/>
              </w:rPr>
              <w:t>'</w:t>
            </w:r>
            <w:r w:rsidRPr="002D66DE">
              <w:rPr>
                <w:sz w:val="20"/>
                <w:szCs w:val="20"/>
              </w:rPr>
              <w:t>est</w:t>
            </w:r>
            <w:r w:rsidR="00844FA7" w:rsidRPr="002D66DE">
              <w:rPr>
                <w:sz w:val="20"/>
                <w:szCs w:val="20"/>
              </w:rPr>
              <w:t xml:space="preserve"> pas clair</w:t>
            </w:r>
            <w:r w:rsidR="00727D9A" w:rsidRPr="002D66DE">
              <w:rPr>
                <w:sz w:val="20"/>
                <w:szCs w:val="20"/>
              </w:rPr>
              <w:t>e</w:t>
            </w:r>
            <w:r w:rsidR="00A776F1" w:rsidRPr="002D66DE">
              <w:rPr>
                <w:sz w:val="20"/>
                <w:szCs w:val="20"/>
              </w:rPr>
              <w:t xml:space="preserve"> car, en faisant</w:t>
            </w:r>
            <w:r w:rsidR="00727D9A" w:rsidRPr="002D66DE">
              <w:rPr>
                <w:sz w:val="20"/>
                <w:szCs w:val="20"/>
              </w:rPr>
              <w:t xml:space="preserve"> référence</w:t>
            </w:r>
            <w:r w:rsidR="00A776F1" w:rsidRPr="002D66DE">
              <w:rPr>
                <w:sz w:val="20"/>
                <w:szCs w:val="20"/>
              </w:rPr>
              <w:t xml:space="preserve"> au</w:t>
            </w:r>
            <w:r w:rsidR="00727D9A" w:rsidRPr="002D66DE">
              <w:rPr>
                <w:sz w:val="20"/>
                <w:szCs w:val="20"/>
              </w:rPr>
              <w:t xml:space="preserve"> contenu</w:t>
            </w:r>
            <w:r w:rsidR="00A776F1" w:rsidRPr="002D66DE">
              <w:rPr>
                <w:sz w:val="20"/>
                <w:szCs w:val="20"/>
              </w:rPr>
              <w:t>, elle laisse entendre que les télécommunications ont aussi trait au contenu, ce qui porte à confusion</w:t>
            </w:r>
            <w:bookmarkEnd w:id="34"/>
            <w:r w:rsidR="00A776F1" w:rsidRPr="002D66DE">
              <w:rPr>
                <w:sz w:val="20"/>
                <w:szCs w:val="20"/>
              </w:rPr>
              <w:t>.</w:t>
            </w:r>
          </w:p>
        </w:tc>
        <w:tc>
          <w:tcPr>
            <w:tcW w:w="2595" w:type="dxa"/>
          </w:tcPr>
          <w:p w14:paraId="45BB087C" w14:textId="6617108C" w:rsidR="00F476A1" w:rsidRPr="002D66DE" w:rsidRDefault="00844FA7" w:rsidP="00C55BDB">
            <w:pPr>
              <w:pStyle w:val="Tabletext"/>
              <w:rPr>
                <w:rFonts w:cstheme="minorHAnsi"/>
                <w:sz w:val="20"/>
                <w:szCs w:val="20"/>
              </w:rPr>
            </w:pPr>
            <w:bookmarkStart w:id="35" w:name="lt_pId190"/>
            <w:r w:rsidRPr="002D66DE">
              <w:rPr>
                <w:rFonts w:cstheme="minorHAnsi"/>
                <w:sz w:val="20"/>
                <w:szCs w:val="20"/>
              </w:rPr>
              <w:t xml:space="preserve">Certains membres ont estimé que cette disposition </w:t>
            </w:r>
            <w:r w:rsidR="002A582F" w:rsidRPr="002D66DE">
              <w:rPr>
                <w:rFonts w:cstheme="minorHAnsi"/>
                <w:sz w:val="20"/>
                <w:szCs w:val="20"/>
              </w:rPr>
              <w:t>est</w:t>
            </w:r>
            <w:r w:rsidRPr="002D66DE">
              <w:rPr>
                <w:rFonts w:cstheme="minorHAnsi"/>
                <w:sz w:val="20"/>
                <w:szCs w:val="20"/>
              </w:rPr>
              <w:t xml:space="preserve"> suffisamment souple pour tenir compte des nouvelles tendances et des nouveaux problèmes qui se font jour</w:t>
            </w:r>
            <w:r w:rsidR="00F476A1" w:rsidRPr="002D66DE">
              <w:rPr>
                <w:rFonts w:cstheme="minorHAnsi"/>
                <w:sz w:val="20"/>
                <w:szCs w:val="20"/>
              </w:rPr>
              <w:t xml:space="preserve">, </w:t>
            </w:r>
            <w:r w:rsidR="00AA4213" w:rsidRPr="002D66DE">
              <w:rPr>
                <w:rFonts w:cstheme="minorHAnsi"/>
                <w:sz w:val="20"/>
                <w:szCs w:val="20"/>
              </w:rPr>
              <w:t>mais</w:t>
            </w:r>
            <w:r w:rsidR="00727D9A" w:rsidRPr="002D66DE">
              <w:rPr>
                <w:rFonts w:cstheme="minorHAnsi"/>
                <w:sz w:val="20"/>
                <w:szCs w:val="20"/>
              </w:rPr>
              <w:t xml:space="preserve"> certains experts ont souligné qu</w:t>
            </w:r>
            <w:r w:rsidR="009F4D21" w:rsidRPr="002D66DE">
              <w:rPr>
                <w:rFonts w:cstheme="minorHAnsi"/>
                <w:sz w:val="20"/>
                <w:szCs w:val="20"/>
              </w:rPr>
              <w:t>'</w:t>
            </w:r>
            <w:r w:rsidR="00727D9A" w:rsidRPr="002D66DE">
              <w:rPr>
                <w:rFonts w:cstheme="minorHAnsi"/>
                <w:sz w:val="20"/>
                <w:szCs w:val="20"/>
              </w:rPr>
              <w:t xml:space="preserve">elle ne </w:t>
            </w:r>
            <w:r w:rsidR="0076575F" w:rsidRPr="002D66DE">
              <w:rPr>
                <w:rFonts w:cstheme="minorHAnsi"/>
                <w:sz w:val="20"/>
                <w:szCs w:val="20"/>
              </w:rPr>
              <w:t>devrait</w:t>
            </w:r>
            <w:r w:rsidR="00727D9A" w:rsidRPr="002D66DE">
              <w:rPr>
                <w:rFonts w:cstheme="minorHAnsi"/>
                <w:sz w:val="20"/>
                <w:szCs w:val="20"/>
              </w:rPr>
              <w:t xml:space="preserve"> pas </w:t>
            </w:r>
            <w:r w:rsidR="00AA4213" w:rsidRPr="002D66DE">
              <w:rPr>
                <w:rFonts w:cstheme="minorHAnsi"/>
                <w:sz w:val="20"/>
                <w:szCs w:val="20"/>
              </w:rPr>
              <w:t>mentionner</w:t>
            </w:r>
            <w:r w:rsidR="00727D9A" w:rsidRPr="002D66DE">
              <w:rPr>
                <w:rFonts w:cstheme="minorHAnsi"/>
                <w:sz w:val="20"/>
                <w:szCs w:val="20"/>
              </w:rPr>
              <w:t xml:space="preserve"> les aspects ayant trait au contenu</w:t>
            </w:r>
            <w:r w:rsidR="00F476A1" w:rsidRPr="002D66DE">
              <w:rPr>
                <w:rFonts w:cstheme="minorHAnsi"/>
                <w:sz w:val="20"/>
                <w:szCs w:val="20"/>
              </w:rPr>
              <w:t>.</w:t>
            </w:r>
            <w:bookmarkEnd w:id="35"/>
          </w:p>
          <w:p w14:paraId="071B6BDD" w14:textId="4184FCAC" w:rsidR="00F476A1" w:rsidRPr="002D66DE" w:rsidRDefault="00F476A1" w:rsidP="00C55BDB">
            <w:pPr>
              <w:pStyle w:val="Tabletext"/>
              <w:rPr>
                <w:sz w:val="20"/>
                <w:szCs w:val="20"/>
              </w:rPr>
            </w:pPr>
            <w:bookmarkStart w:id="36" w:name="lt_pId082"/>
            <w:r w:rsidRPr="002D66DE">
              <w:rPr>
                <w:sz w:val="20"/>
                <w:szCs w:val="20"/>
              </w:rPr>
              <w:t>Ce</w:t>
            </w:r>
            <w:r w:rsidR="00727D9A" w:rsidRPr="002D66DE">
              <w:rPr>
                <w:sz w:val="20"/>
                <w:szCs w:val="20"/>
              </w:rPr>
              <w:t>rtains membres ont estimé que ce</w:t>
            </w:r>
            <w:r w:rsidRPr="002D66DE">
              <w:rPr>
                <w:sz w:val="20"/>
                <w:szCs w:val="20"/>
              </w:rPr>
              <w:t>tte disposition manqu</w:t>
            </w:r>
            <w:r w:rsidR="002A582F" w:rsidRPr="002D66DE">
              <w:rPr>
                <w:sz w:val="20"/>
                <w:szCs w:val="20"/>
              </w:rPr>
              <w:t>e</w:t>
            </w:r>
            <w:r w:rsidR="00727D9A" w:rsidRPr="002D66DE">
              <w:rPr>
                <w:sz w:val="20"/>
                <w:szCs w:val="20"/>
              </w:rPr>
              <w:t xml:space="preserve"> </w:t>
            </w:r>
            <w:r w:rsidRPr="002D66DE">
              <w:rPr>
                <w:sz w:val="20"/>
                <w:szCs w:val="20"/>
              </w:rPr>
              <w:t>de souplesse, en ce sens que</w:t>
            </w:r>
            <w:r w:rsidR="00D45276" w:rsidRPr="002D66DE">
              <w:rPr>
                <w:sz w:val="20"/>
                <w:szCs w:val="20"/>
              </w:rPr>
              <w:t xml:space="preserve"> la définition </w:t>
            </w:r>
            <w:r w:rsidR="002A582F" w:rsidRPr="002D66DE">
              <w:rPr>
                <w:sz w:val="20"/>
                <w:szCs w:val="20"/>
              </w:rPr>
              <w:t>est</w:t>
            </w:r>
            <w:r w:rsidR="00D45276" w:rsidRPr="002D66DE">
              <w:rPr>
                <w:sz w:val="20"/>
                <w:szCs w:val="20"/>
              </w:rPr>
              <w:t xml:space="preserve"> trop restrictive et que</w:t>
            </w:r>
            <w:r w:rsidRPr="002D66DE">
              <w:rPr>
                <w:sz w:val="20"/>
                <w:szCs w:val="20"/>
              </w:rPr>
              <w:t xml:space="preserve"> si les États Membres p</w:t>
            </w:r>
            <w:r w:rsidR="002A582F" w:rsidRPr="002D66DE">
              <w:rPr>
                <w:sz w:val="20"/>
                <w:szCs w:val="20"/>
              </w:rPr>
              <w:t>euv</w:t>
            </w:r>
            <w:r w:rsidRPr="002D66DE">
              <w:rPr>
                <w:sz w:val="20"/>
                <w:szCs w:val="20"/>
              </w:rPr>
              <w:t>ent formuler des réserves lorsqu'ils signent la Convention, ils ne peuvent par la suite annuler des réserves ou en ajouter de nouvelles</w:t>
            </w:r>
            <w:bookmarkEnd w:id="36"/>
            <w:r w:rsidRPr="002D66DE">
              <w:rPr>
                <w:sz w:val="20"/>
                <w:szCs w:val="20"/>
              </w:rPr>
              <w:t xml:space="preserve"> en fonction des impératifs de l'évolution technique.</w:t>
            </w:r>
          </w:p>
        </w:tc>
        <w:tc>
          <w:tcPr>
            <w:tcW w:w="2406" w:type="dxa"/>
          </w:tcPr>
          <w:p w14:paraId="41264BE0" w14:textId="205F115E"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4205A0CD" w14:textId="75201554" w:rsidR="00F476A1" w:rsidRPr="002D66DE" w:rsidRDefault="00D31A27"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7C52F46A" w14:textId="663C988E"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78168134" w14:textId="77777777" w:rsidTr="00C55BDB">
        <w:tc>
          <w:tcPr>
            <w:tcW w:w="987" w:type="dxa"/>
          </w:tcPr>
          <w:p w14:paraId="2BC7543D"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18F77125"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67BC48C5"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3D408D7A"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708047FA"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045626AE"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0C434421" w14:textId="77777777" w:rsidTr="00C55BDB">
        <w:tc>
          <w:tcPr>
            <w:tcW w:w="987" w:type="dxa"/>
          </w:tcPr>
          <w:p w14:paraId="4FB33244" w14:textId="38678CC6" w:rsidR="00F476A1" w:rsidRPr="002D66DE" w:rsidRDefault="00F476A1" w:rsidP="00C55BDB">
            <w:pPr>
              <w:pStyle w:val="Tablehead"/>
              <w:rPr>
                <w:sz w:val="20"/>
                <w:szCs w:val="20"/>
              </w:rPr>
            </w:pPr>
            <w:r w:rsidRPr="002D66DE">
              <w:rPr>
                <w:sz w:val="20"/>
                <w:szCs w:val="20"/>
              </w:rPr>
              <w:t>5</w:t>
            </w:r>
          </w:p>
        </w:tc>
        <w:tc>
          <w:tcPr>
            <w:tcW w:w="2860" w:type="dxa"/>
          </w:tcPr>
          <w:p w14:paraId="289C4C39" w14:textId="77777777" w:rsidR="00F476A1" w:rsidRPr="002D66DE" w:rsidRDefault="00F476A1" w:rsidP="00C55BDB">
            <w:pPr>
              <w:pStyle w:val="Tabletext"/>
              <w:rPr>
                <w:b/>
                <w:bCs/>
                <w:sz w:val="20"/>
                <w:szCs w:val="20"/>
              </w:rPr>
            </w:pPr>
            <w:r w:rsidRPr="002D66DE">
              <w:rPr>
                <w:b/>
                <w:bCs/>
                <w:sz w:val="20"/>
                <w:szCs w:val="20"/>
              </w:rPr>
              <w:t>1.1</w:t>
            </w:r>
            <w:r w:rsidRPr="002D66DE">
              <w:rPr>
                <w:b/>
                <w:bCs/>
                <w:sz w:val="20"/>
                <w:szCs w:val="20"/>
              </w:rPr>
              <w:tab/>
            </w:r>
            <w:r w:rsidRPr="002D66DE">
              <w:rPr>
                <w:b/>
                <w:bCs/>
                <w:i/>
                <w:iCs/>
                <w:sz w:val="20"/>
                <w:szCs w:val="20"/>
              </w:rPr>
              <w:t>b)</w:t>
            </w:r>
            <w:r w:rsidRPr="002D66DE">
              <w:rPr>
                <w:b/>
                <w:bCs/>
                <w:i/>
                <w:iCs/>
                <w:sz w:val="20"/>
                <w:szCs w:val="20"/>
              </w:rPr>
              <w:tab/>
            </w:r>
            <w:r w:rsidRPr="002D66DE">
              <w:rPr>
                <w:b/>
                <w:bCs/>
                <w:sz w:val="20"/>
                <w:szCs w:val="20"/>
              </w:rPr>
              <w:t>Le présent Règlement contient également des dispositions applicables aux exploitations, autorisées ou reconnues par un État Membre, pour établir, exploiter et assurer des services internationaux de télécommunication destinés au public, ci-après désignées "exploitations autorisées".</w:t>
            </w:r>
          </w:p>
        </w:tc>
        <w:tc>
          <w:tcPr>
            <w:tcW w:w="3716" w:type="dxa"/>
          </w:tcPr>
          <w:p w14:paraId="0F24E14E" w14:textId="77777777" w:rsidR="00F476A1" w:rsidRPr="002D66DE" w:rsidRDefault="00F476A1" w:rsidP="00C55BDB">
            <w:pPr>
              <w:pStyle w:val="Tabletext"/>
              <w:rPr>
                <w:sz w:val="20"/>
                <w:szCs w:val="20"/>
              </w:rPr>
            </w:pPr>
            <w:r w:rsidRPr="002D66DE">
              <w:rPr>
                <w:sz w:val="20"/>
                <w:szCs w:val="20"/>
              </w:rPr>
              <w:t>1.1</w:t>
            </w:r>
            <w:r w:rsidRPr="002D66DE">
              <w:rPr>
                <w:sz w:val="20"/>
                <w:szCs w:val="20"/>
              </w:rPr>
              <w:tab/>
            </w:r>
            <w:r w:rsidRPr="002D66DE">
              <w:rPr>
                <w:i/>
                <w:iCs/>
                <w:sz w:val="20"/>
                <w:szCs w:val="20"/>
              </w:rPr>
              <w:t>b)</w:t>
            </w:r>
            <w:r w:rsidRPr="002D66DE">
              <w:rPr>
                <w:sz w:val="20"/>
                <w:szCs w:val="20"/>
              </w:rPr>
              <w:tab/>
              <w:t xml:space="preserve">Le présent Règlement reconnaît aux Membres, dans l'Article 9, le droit de permettre la conclusion d'arrangements particuliers. (déplacé dans 1.1 </w:t>
            </w:r>
            <w:r w:rsidRPr="002D66DE">
              <w:rPr>
                <w:i/>
                <w:iCs/>
                <w:sz w:val="20"/>
                <w:szCs w:val="20"/>
              </w:rPr>
              <w:t>c)</w:t>
            </w:r>
            <w:r w:rsidRPr="002D66DE">
              <w:rPr>
                <w:sz w:val="20"/>
                <w:szCs w:val="20"/>
              </w:rPr>
              <w:t>)</w:t>
            </w:r>
          </w:p>
        </w:tc>
        <w:tc>
          <w:tcPr>
            <w:tcW w:w="2613" w:type="dxa"/>
          </w:tcPr>
          <w:p w14:paraId="7EA0370F" w14:textId="5E02C686" w:rsidR="00F476A1" w:rsidRPr="002D66DE" w:rsidRDefault="00D45276" w:rsidP="00C55BDB">
            <w:pPr>
              <w:pStyle w:val="Tabletext"/>
              <w:rPr>
                <w:rFonts w:cstheme="minorHAnsi"/>
                <w:sz w:val="20"/>
                <w:szCs w:val="20"/>
              </w:rPr>
            </w:pPr>
            <w:bookmarkStart w:id="37" w:name="lt_pId196"/>
            <w:r w:rsidRPr="002D66DE">
              <w:rPr>
                <w:rFonts w:cstheme="minorHAnsi"/>
                <w:sz w:val="20"/>
                <w:szCs w:val="20"/>
              </w:rPr>
              <w:t xml:space="preserve">Certains membres ont estimé que cette disposition </w:t>
            </w:r>
            <w:r w:rsidR="002A582F" w:rsidRPr="002D66DE">
              <w:rPr>
                <w:rFonts w:cstheme="minorHAnsi"/>
                <w:sz w:val="20"/>
                <w:szCs w:val="20"/>
              </w:rPr>
              <w:t>est</w:t>
            </w:r>
            <w:r w:rsidRPr="002D66DE">
              <w:rPr>
                <w:rFonts w:cstheme="minorHAnsi"/>
                <w:sz w:val="20"/>
                <w:szCs w:val="20"/>
              </w:rPr>
              <w:t xml:space="preserve"> applicable et </w:t>
            </w:r>
            <w:r w:rsidR="00D237ED" w:rsidRPr="002D66DE">
              <w:rPr>
                <w:rFonts w:cstheme="minorHAnsi"/>
                <w:sz w:val="20"/>
                <w:szCs w:val="20"/>
              </w:rPr>
              <w:t>permet</w:t>
            </w:r>
            <w:r w:rsidRPr="002D66DE">
              <w:rPr>
                <w:rFonts w:cstheme="minorHAnsi"/>
                <w:sz w:val="20"/>
                <w:szCs w:val="20"/>
              </w:rPr>
              <w:t xml:space="preserve"> la concurrence et la fourniture de services de qualité, et </w:t>
            </w:r>
            <w:r w:rsidR="00C9492F" w:rsidRPr="002D66DE">
              <w:rPr>
                <w:rFonts w:cstheme="minorHAnsi"/>
                <w:sz w:val="20"/>
                <w:szCs w:val="20"/>
              </w:rPr>
              <w:t>soutient</w:t>
            </w:r>
            <w:r w:rsidRPr="002D66DE">
              <w:rPr>
                <w:rFonts w:cstheme="minorHAnsi"/>
                <w:sz w:val="20"/>
                <w:szCs w:val="20"/>
              </w:rPr>
              <w:t xml:space="preserve"> </w:t>
            </w:r>
            <w:r w:rsidR="00C9492F" w:rsidRPr="002D66DE">
              <w:rPr>
                <w:rFonts w:cstheme="minorHAnsi"/>
                <w:sz w:val="20"/>
                <w:szCs w:val="20"/>
              </w:rPr>
              <w:t xml:space="preserve">également </w:t>
            </w:r>
            <w:r w:rsidRPr="002D66DE">
              <w:rPr>
                <w:rFonts w:cstheme="minorHAnsi"/>
                <w:sz w:val="20"/>
                <w:szCs w:val="20"/>
              </w:rPr>
              <w:t>tous les fournisseurs de service</w:t>
            </w:r>
            <w:bookmarkEnd w:id="37"/>
            <w:r w:rsidRPr="002D66DE">
              <w:rPr>
                <w:rFonts w:cstheme="minorHAnsi"/>
                <w:sz w:val="20"/>
                <w:szCs w:val="20"/>
              </w:rPr>
              <w:t>s.</w:t>
            </w:r>
          </w:p>
          <w:p w14:paraId="7E978191" w14:textId="465A26CC" w:rsidR="00F476A1" w:rsidRPr="002D66DE" w:rsidRDefault="004D5764" w:rsidP="00C55BDB">
            <w:pPr>
              <w:pStyle w:val="Tabletext"/>
              <w:rPr>
                <w:rFonts w:asciiTheme="minorHAnsi" w:hAnsiTheme="minorHAnsi"/>
                <w:sz w:val="20"/>
                <w:szCs w:val="20"/>
              </w:rPr>
            </w:pPr>
            <w:bookmarkStart w:id="38" w:name="lt_pId197"/>
            <w:r w:rsidRPr="002D66DE">
              <w:rPr>
                <w:sz w:val="20"/>
                <w:szCs w:val="20"/>
              </w:rPr>
              <w:t>Certains membres ont estimé que cette disposition ne couvr</w:t>
            </w:r>
            <w:r w:rsidR="002A582F" w:rsidRPr="002D66DE">
              <w:rPr>
                <w:sz w:val="20"/>
                <w:szCs w:val="20"/>
              </w:rPr>
              <w:t>e</w:t>
            </w:r>
            <w:r w:rsidRPr="002D66DE">
              <w:rPr>
                <w:sz w:val="20"/>
                <w:szCs w:val="20"/>
              </w:rPr>
              <w:t xml:space="preserve"> pas les fournisseurs qui proposent des services sans l</w:t>
            </w:r>
            <w:r w:rsidR="009F4D21" w:rsidRPr="002D66DE">
              <w:rPr>
                <w:sz w:val="20"/>
                <w:szCs w:val="20"/>
              </w:rPr>
              <w:t>'</w:t>
            </w:r>
            <w:r w:rsidRPr="002D66DE">
              <w:rPr>
                <w:sz w:val="20"/>
                <w:szCs w:val="20"/>
              </w:rPr>
              <w:t>autorisation de l</w:t>
            </w:r>
            <w:r w:rsidR="009F4D21" w:rsidRPr="002D66DE">
              <w:rPr>
                <w:sz w:val="20"/>
                <w:szCs w:val="20"/>
              </w:rPr>
              <w:t>'</w:t>
            </w:r>
            <w:r w:rsidRPr="002D66DE">
              <w:rPr>
                <w:sz w:val="20"/>
                <w:szCs w:val="20"/>
              </w:rPr>
              <w:t>État</w:t>
            </w:r>
            <w:r w:rsidR="00F476A1" w:rsidRPr="002D66DE">
              <w:rPr>
                <w:sz w:val="20"/>
                <w:szCs w:val="20"/>
              </w:rPr>
              <w:t>.</w:t>
            </w:r>
            <w:bookmarkEnd w:id="38"/>
            <w:r w:rsidR="00F476A1" w:rsidRPr="002D66DE">
              <w:rPr>
                <w:sz w:val="20"/>
                <w:szCs w:val="20"/>
              </w:rPr>
              <w:t xml:space="preserve"> </w:t>
            </w:r>
          </w:p>
          <w:p w14:paraId="14E42277" w14:textId="0E051B37" w:rsidR="00F476A1" w:rsidRPr="002D66DE" w:rsidRDefault="00A74E53" w:rsidP="00C55BDB">
            <w:pPr>
              <w:pStyle w:val="Tabletext"/>
              <w:rPr>
                <w:b/>
                <w:bCs/>
                <w:sz w:val="20"/>
                <w:szCs w:val="20"/>
              </w:rPr>
            </w:pPr>
            <w:bookmarkStart w:id="39" w:name="lt_pId198"/>
            <w:r w:rsidRPr="002D66DE">
              <w:rPr>
                <w:sz w:val="20"/>
                <w:szCs w:val="20"/>
              </w:rPr>
              <w:t>Certains membres ont estimé que cette disposition n</w:t>
            </w:r>
            <w:r w:rsidR="009F4D21" w:rsidRPr="002D66DE">
              <w:rPr>
                <w:sz w:val="20"/>
                <w:szCs w:val="20"/>
              </w:rPr>
              <w:t>'</w:t>
            </w:r>
            <w:r w:rsidRPr="002D66DE">
              <w:rPr>
                <w:sz w:val="20"/>
                <w:szCs w:val="20"/>
              </w:rPr>
              <w:t>indiqu</w:t>
            </w:r>
            <w:r w:rsidR="002A582F" w:rsidRPr="002D66DE">
              <w:rPr>
                <w:sz w:val="20"/>
                <w:szCs w:val="20"/>
              </w:rPr>
              <w:t>e</w:t>
            </w:r>
            <w:r w:rsidRPr="002D66DE">
              <w:rPr>
                <w:sz w:val="20"/>
                <w:szCs w:val="20"/>
              </w:rPr>
              <w:t xml:space="preserve"> pas clairement</w:t>
            </w:r>
            <w:r w:rsidR="004C7683" w:rsidRPr="002D66DE">
              <w:rPr>
                <w:sz w:val="20"/>
                <w:szCs w:val="20"/>
              </w:rPr>
              <w:t xml:space="preserve"> </w:t>
            </w:r>
            <w:r w:rsidRPr="002D66DE">
              <w:rPr>
                <w:sz w:val="20"/>
                <w:szCs w:val="20"/>
              </w:rPr>
              <w:t>à qui la définition fait référence exactement</w:t>
            </w:r>
            <w:r w:rsidR="00F476A1" w:rsidRPr="002D66DE">
              <w:rPr>
                <w:sz w:val="20"/>
                <w:szCs w:val="20"/>
              </w:rPr>
              <w:t>.</w:t>
            </w:r>
            <w:bookmarkEnd w:id="39"/>
          </w:p>
        </w:tc>
        <w:tc>
          <w:tcPr>
            <w:tcW w:w="2595" w:type="dxa"/>
          </w:tcPr>
          <w:p w14:paraId="219E42BB" w14:textId="6083162A" w:rsidR="00F476A1" w:rsidRPr="002D66DE" w:rsidRDefault="00F476A1" w:rsidP="00C55BDB">
            <w:pPr>
              <w:pStyle w:val="Tabletext"/>
              <w:rPr>
                <w:sz w:val="20"/>
                <w:szCs w:val="20"/>
              </w:rPr>
            </w:pPr>
            <w:r w:rsidRPr="002D66DE">
              <w:rPr>
                <w:sz w:val="20"/>
                <w:szCs w:val="20"/>
              </w:rPr>
              <w:t>Ce</w:t>
            </w:r>
            <w:r w:rsidR="0054391B" w:rsidRPr="002D66DE">
              <w:rPr>
                <w:sz w:val="20"/>
                <w:szCs w:val="20"/>
              </w:rPr>
              <w:t xml:space="preserve">rtains membres ont estimé que cette disposition </w:t>
            </w:r>
            <w:r w:rsidR="002A582F" w:rsidRPr="002D66DE">
              <w:rPr>
                <w:sz w:val="20"/>
                <w:szCs w:val="20"/>
              </w:rPr>
              <w:t>est</w:t>
            </w:r>
            <w:r w:rsidR="0054391B" w:rsidRPr="002D66DE">
              <w:rPr>
                <w:sz w:val="20"/>
                <w:szCs w:val="20"/>
              </w:rPr>
              <w:t xml:space="preserve"> suffisamment souple</w:t>
            </w:r>
            <w:r w:rsidR="004C7683" w:rsidRPr="002D66DE">
              <w:rPr>
                <w:sz w:val="20"/>
                <w:szCs w:val="20"/>
              </w:rPr>
              <w:t xml:space="preserve"> </w:t>
            </w:r>
            <w:r w:rsidR="0054391B" w:rsidRPr="002D66DE">
              <w:rPr>
                <w:rFonts w:cstheme="minorHAnsi"/>
                <w:sz w:val="20"/>
                <w:szCs w:val="20"/>
              </w:rPr>
              <w:t>pour tenir compte des nouvelles tendances et</w:t>
            </w:r>
            <w:r w:rsidR="000D6872" w:rsidRPr="002D66DE">
              <w:rPr>
                <w:rFonts w:cstheme="minorHAnsi"/>
                <w:sz w:val="20"/>
                <w:szCs w:val="20"/>
              </w:rPr>
              <w:t xml:space="preserve"> des</w:t>
            </w:r>
            <w:r w:rsidR="0054391B" w:rsidRPr="002D66DE">
              <w:rPr>
                <w:rFonts w:cstheme="minorHAnsi"/>
                <w:sz w:val="20"/>
                <w:szCs w:val="20"/>
              </w:rPr>
              <w:t xml:space="preserve"> nouveaux problèmes qui se font jour</w:t>
            </w:r>
            <w:r w:rsidR="00F852A2" w:rsidRPr="002D66DE">
              <w:rPr>
                <w:rFonts w:cstheme="minorHAnsi"/>
                <w:sz w:val="20"/>
                <w:szCs w:val="20"/>
              </w:rPr>
              <w:t>,</w:t>
            </w:r>
            <w:r w:rsidR="0054391B" w:rsidRPr="002D66DE">
              <w:rPr>
                <w:sz w:val="20"/>
                <w:szCs w:val="20"/>
              </w:rPr>
              <w:t xml:space="preserve"> et ont souligné que le fait que cette</w:t>
            </w:r>
            <w:r w:rsidRPr="002D66DE">
              <w:rPr>
                <w:sz w:val="20"/>
                <w:szCs w:val="20"/>
              </w:rPr>
              <w:t xml:space="preserve"> disposition fa</w:t>
            </w:r>
            <w:r w:rsidR="0054391B" w:rsidRPr="002D66DE">
              <w:rPr>
                <w:sz w:val="20"/>
                <w:szCs w:val="20"/>
              </w:rPr>
              <w:t>sse</w:t>
            </w:r>
            <w:r w:rsidRPr="002D66DE">
              <w:rPr>
                <w:sz w:val="20"/>
                <w:szCs w:val="20"/>
              </w:rPr>
              <w:t xml:space="preserve"> référence aux </w:t>
            </w:r>
            <w:r w:rsidR="00E45713" w:rsidRPr="002D66DE">
              <w:rPr>
                <w:sz w:val="20"/>
                <w:szCs w:val="20"/>
              </w:rPr>
              <w:t>"</w:t>
            </w:r>
            <w:r w:rsidRPr="002D66DE">
              <w:rPr>
                <w:sz w:val="20"/>
                <w:szCs w:val="20"/>
              </w:rPr>
              <w:t>exploitations autorisée</w:t>
            </w:r>
            <w:r w:rsidR="0054391B" w:rsidRPr="002D66DE">
              <w:rPr>
                <w:sz w:val="20"/>
                <w:szCs w:val="20"/>
              </w:rPr>
              <w:t>s</w:t>
            </w:r>
            <w:r w:rsidR="00E45713" w:rsidRPr="002D66DE">
              <w:rPr>
                <w:sz w:val="20"/>
                <w:szCs w:val="20"/>
              </w:rPr>
              <w:t>"</w:t>
            </w:r>
            <w:r w:rsidR="00A74E53" w:rsidRPr="002D66DE">
              <w:rPr>
                <w:sz w:val="20"/>
                <w:szCs w:val="20"/>
              </w:rPr>
              <w:t xml:space="preserve"> </w:t>
            </w:r>
            <w:r w:rsidRPr="002D66DE">
              <w:rPr>
                <w:sz w:val="20"/>
                <w:szCs w:val="20"/>
              </w:rPr>
              <w:t>offr</w:t>
            </w:r>
            <w:r w:rsidR="002A582F" w:rsidRPr="002D66DE">
              <w:rPr>
                <w:sz w:val="20"/>
                <w:szCs w:val="20"/>
              </w:rPr>
              <w:t>e</w:t>
            </w:r>
            <w:r w:rsidRPr="002D66DE">
              <w:rPr>
                <w:sz w:val="20"/>
                <w:szCs w:val="20"/>
              </w:rPr>
              <w:t xml:space="preserve"> suffisamment de souplesse pour pouvoir s'appliquer à toute entité pouvant être autorisée par un État Membre (par exemple des fournisseurs de service privés, ou si un État Membre autorise l'exploitation sans licence/permis, etc.).</w:t>
            </w:r>
          </w:p>
          <w:p w14:paraId="3E5B1A55" w14:textId="5B75D688" w:rsidR="00F476A1" w:rsidRPr="002D66DE" w:rsidRDefault="00C9492F" w:rsidP="00C55BDB">
            <w:pPr>
              <w:pStyle w:val="Tabletext"/>
              <w:rPr>
                <w:rFonts w:cstheme="minorHAnsi"/>
                <w:sz w:val="20"/>
                <w:szCs w:val="20"/>
              </w:rPr>
            </w:pPr>
            <w:bookmarkStart w:id="40" w:name="lt_pId200"/>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avis de certains</w:t>
            </w:r>
            <w:r w:rsidR="00206914" w:rsidRPr="002D66DE">
              <w:rPr>
                <w:rFonts w:cstheme="minorHAnsi"/>
                <w:sz w:val="20"/>
                <w:szCs w:val="20"/>
              </w:rPr>
              <w:t xml:space="preserve"> membres</w:t>
            </w:r>
            <w:r w:rsidRPr="002D66DE">
              <w:rPr>
                <w:rFonts w:cstheme="minorHAnsi"/>
                <w:sz w:val="20"/>
                <w:szCs w:val="20"/>
              </w:rPr>
              <w:t>,</w:t>
            </w:r>
            <w:r w:rsidR="00206914" w:rsidRPr="002D66DE">
              <w:rPr>
                <w:rFonts w:cstheme="minorHAnsi"/>
                <w:sz w:val="20"/>
                <w:szCs w:val="20"/>
              </w:rPr>
              <w:t xml:space="preserve"> cette disposition </w:t>
            </w:r>
            <w:r w:rsidR="002A582F" w:rsidRPr="002D66DE">
              <w:rPr>
                <w:rFonts w:cstheme="minorHAnsi"/>
                <w:sz w:val="20"/>
                <w:szCs w:val="20"/>
              </w:rPr>
              <w:t>n</w:t>
            </w:r>
            <w:r w:rsidR="009F4D21" w:rsidRPr="002D66DE">
              <w:rPr>
                <w:rFonts w:cstheme="minorHAnsi"/>
                <w:sz w:val="20"/>
                <w:szCs w:val="20"/>
              </w:rPr>
              <w:t>'</w:t>
            </w:r>
            <w:r w:rsidR="002A582F" w:rsidRPr="002D66DE">
              <w:rPr>
                <w:rFonts w:cstheme="minorHAnsi"/>
                <w:sz w:val="20"/>
                <w:szCs w:val="20"/>
              </w:rPr>
              <w:t>est</w:t>
            </w:r>
            <w:r w:rsidR="00206914" w:rsidRPr="002D66DE">
              <w:rPr>
                <w:rFonts w:cstheme="minorHAnsi"/>
                <w:sz w:val="20"/>
                <w:szCs w:val="20"/>
              </w:rPr>
              <w:t xml:space="preserve"> pas souple parce qu</w:t>
            </w:r>
            <w:r w:rsidR="009F4D21" w:rsidRPr="002D66DE">
              <w:rPr>
                <w:rFonts w:cstheme="minorHAnsi"/>
                <w:sz w:val="20"/>
                <w:szCs w:val="20"/>
              </w:rPr>
              <w:t>'</w:t>
            </w:r>
            <w:r w:rsidR="00206914" w:rsidRPr="002D66DE">
              <w:rPr>
                <w:rFonts w:cstheme="minorHAnsi"/>
                <w:sz w:val="20"/>
                <w:szCs w:val="20"/>
              </w:rPr>
              <w:t xml:space="preserve">elle </w:t>
            </w:r>
            <w:r w:rsidR="002A582F" w:rsidRPr="002D66DE">
              <w:rPr>
                <w:rFonts w:cstheme="minorHAnsi"/>
                <w:sz w:val="20"/>
                <w:szCs w:val="20"/>
              </w:rPr>
              <w:t>n</w:t>
            </w:r>
            <w:r w:rsidR="009F4D21" w:rsidRPr="002D66DE">
              <w:rPr>
                <w:rFonts w:cstheme="minorHAnsi"/>
                <w:sz w:val="20"/>
                <w:szCs w:val="20"/>
              </w:rPr>
              <w:t>'</w:t>
            </w:r>
            <w:r w:rsidR="002A582F" w:rsidRPr="002D66DE">
              <w:rPr>
                <w:rFonts w:cstheme="minorHAnsi"/>
                <w:sz w:val="20"/>
                <w:szCs w:val="20"/>
              </w:rPr>
              <w:t>inclut</w:t>
            </w:r>
            <w:r w:rsidR="00206914" w:rsidRPr="002D66DE">
              <w:rPr>
                <w:rFonts w:cstheme="minorHAnsi"/>
                <w:sz w:val="20"/>
                <w:szCs w:val="20"/>
              </w:rPr>
              <w:t xml:space="preserve"> pas de nouveaux acteurs</w:t>
            </w:r>
            <w:r w:rsidR="00F476A1" w:rsidRPr="002D66DE">
              <w:rPr>
                <w:rFonts w:cstheme="minorHAnsi"/>
                <w:sz w:val="20"/>
                <w:szCs w:val="20"/>
              </w:rPr>
              <w:t>.</w:t>
            </w:r>
            <w:bookmarkEnd w:id="40"/>
          </w:p>
          <w:p w14:paraId="0F0ADA64" w14:textId="2CA08CA2" w:rsidR="00F476A1" w:rsidRPr="002D66DE" w:rsidRDefault="0023238C" w:rsidP="00C55BDB">
            <w:pPr>
              <w:pStyle w:val="Tabletext"/>
              <w:rPr>
                <w:sz w:val="20"/>
                <w:szCs w:val="20"/>
              </w:rPr>
            </w:pPr>
            <w:bookmarkStart w:id="41" w:name="lt_pId201"/>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 xml:space="preserve">avis de </w:t>
            </w:r>
            <w:r w:rsidR="00F852A2" w:rsidRPr="002D66DE">
              <w:rPr>
                <w:rFonts w:cstheme="minorHAnsi"/>
                <w:sz w:val="20"/>
                <w:szCs w:val="20"/>
              </w:rPr>
              <w:t>certains autres membres, cette disposition manque de souplesse</w:t>
            </w:r>
            <w:r w:rsidR="00F476A1" w:rsidRPr="002D66DE">
              <w:rPr>
                <w:rFonts w:cstheme="minorHAnsi"/>
                <w:sz w:val="20"/>
                <w:szCs w:val="20"/>
              </w:rPr>
              <w:t xml:space="preserve"> </w:t>
            </w:r>
            <w:r w:rsidR="00F852A2" w:rsidRPr="002D66DE">
              <w:rPr>
                <w:rFonts w:cstheme="minorHAnsi"/>
                <w:sz w:val="20"/>
                <w:szCs w:val="20"/>
              </w:rPr>
              <w:t>en raison du manque de clarté s</w:t>
            </w:r>
            <w:r w:rsidR="009F4D21" w:rsidRPr="002D66DE">
              <w:rPr>
                <w:rFonts w:cstheme="minorHAnsi"/>
                <w:sz w:val="20"/>
                <w:szCs w:val="20"/>
              </w:rPr>
              <w:t>'</w:t>
            </w:r>
            <w:r w:rsidR="00F852A2" w:rsidRPr="002D66DE">
              <w:rPr>
                <w:rFonts w:cstheme="minorHAnsi"/>
                <w:sz w:val="20"/>
                <w:szCs w:val="20"/>
              </w:rPr>
              <w:t>agissant des exploitations autorisées et non autorisées</w:t>
            </w:r>
            <w:r w:rsidR="00F476A1" w:rsidRPr="002D66DE">
              <w:rPr>
                <w:rFonts w:cstheme="minorHAnsi"/>
                <w:sz w:val="20"/>
                <w:szCs w:val="20"/>
              </w:rPr>
              <w:t>.</w:t>
            </w:r>
            <w:bookmarkEnd w:id="41"/>
          </w:p>
        </w:tc>
        <w:tc>
          <w:tcPr>
            <w:tcW w:w="2406" w:type="dxa"/>
          </w:tcPr>
          <w:p w14:paraId="129BB3AF" w14:textId="7E795828"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5AEFD218" w14:textId="43E93983" w:rsidR="00D31A27" w:rsidRPr="002D66DE" w:rsidRDefault="00D31A27"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2E68F9C8" w14:textId="3CF3C32F" w:rsidR="00F476A1" w:rsidRPr="002D66DE" w:rsidRDefault="0029565A" w:rsidP="00C55BDB">
            <w:pPr>
              <w:pStyle w:val="Tabletext"/>
              <w:rPr>
                <w:sz w:val="20"/>
                <w:szCs w:val="20"/>
              </w:rPr>
            </w:pPr>
            <w:r w:rsidRPr="002D66DE">
              <w:rPr>
                <w:sz w:val="20"/>
                <w:szCs w:val="20"/>
              </w:rPr>
              <w:t xml:space="preserve">Certains autres membres ont fait valoir que cette disposition </w:t>
            </w:r>
            <w:r w:rsidR="00D31A27" w:rsidRPr="002D66DE">
              <w:rPr>
                <w:sz w:val="20"/>
                <w:szCs w:val="20"/>
              </w:rPr>
              <w:t>doit</w:t>
            </w:r>
            <w:r w:rsidRPr="002D66DE">
              <w:rPr>
                <w:sz w:val="20"/>
                <w:szCs w:val="20"/>
              </w:rPr>
              <w:t xml:space="preserve"> être mise à jour afin de tenir compte </w:t>
            </w:r>
            <w:bookmarkStart w:id="42" w:name="lt_pId204"/>
            <w:r w:rsidR="00395468" w:rsidRPr="002D66DE">
              <w:rPr>
                <w:rFonts w:cstheme="minorHAnsi"/>
                <w:sz w:val="20"/>
                <w:szCs w:val="20"/>
              </w:rPr>
              <w:t>des nouvelles tendances dans les télécommunications/TIC</w:t>
            </w:r>
            <w:bookmarkEnd w:id="42"/>
            <w:r w:rsidR="00F476A1" w:rsidRPr="002D66DE">
              <w:rPr>
                <w:rFonts w:cstheme="minorHAnsi"/>
                <w:sz w:val="20"/>
                <w:szCs w:val="20"/>
              </w:rPr>
              <w:t>.</w:t>
            </w:r>
          </w:p>
        </w:tc>
      </w:tr>
      <w:tr w:rsidR="00C55BDB" w:rsidRPr="002D66DE" w14:paraId="1D69FC84" w14:textId="77777777" w:rsidTr="00C55BDB">
        <w:tc>
          <w:tcPr>
            <w:tcW w:w="987" w:type="dxa"/>
          </w:tcPr>
          <w:p w14:paraId="2D11C1F2"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1D4A1E0F"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3F6FE151"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4223BF49"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706E2BB5"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4D8FB6F0"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5FD0AA10" w14:textId="77777777" w:rsidTr="00C55BDB">
        <w:tc>
          <w:tcPr>
            <w:tcW w:w="987" w:type="dxa"/>
          </w:tcPr>
          <w:p w14:paraId="0B994AA2" w14:textId="58F2C4FB" w:rsidR="00F476A1" w:rsidRPr="002D66DE" w:rsidRDefault="00F476A1" w:rsidP="00C55BDB">
            <w:pPr>
              <w:pStyle w:val="Tablehead"/>
              <w:rPr>
                <w:sz w:val="20"/>
                <w:szCs w:val="20"/>
              </w:rPr>
            </w:pPr>
            <w:r w:rsidRPr="002D66DE">
              <w:rPr>
                <w:sz w:val="20"/>
                <w:szCs w:val="20"/>
              </w:rPr>
              <w:t>6</w:t>
            </w:r>
          </w:p>
        </w:tc>
        <w:tc>
          <w:tcPr>
            <w:tcW w:w="2860" w:type="dxa"/>
          </w:tcPr>
          <w:p w14:paraId="12D0D583" w14:textId="77777777" w:rsidR="00F476A1" w:rsidRPr="002D66DE" w:rsidRDefault="00F476A1" w:rsidP="00C55BDB">
            <w:pPr>
              <w:pStyle w:val="Tabletext"/>
              <w:rPr>
                <w:b/>
                <w:bCs/>
                <w:sz w:val="20"/>
                <w:szCs w:val="20"/>
              </w:rPr>
            </w:pPr>
            <w:r w:rsidRPr="002D66DE">
              <w:rPr>
                <w:b/>
                <w:bCs/>
                <w:sz w:val="20"/>
              </w:rPr>
              <w:t>1.1</w:t>
            </w:r>
            <w:r w:rsidRPr="002D66DE">
              <w:rPr>
                <w:b/>
                <w:bCs/>
                <w:sz w:val="20"/>
              </w:rPr>
              <w:tab/>
            </w:r>
            <w:r w:rsidRPr="002D66DE">
              <w:rPr>
                <w:b/>
                <w:bCs/>
                <w:i/>
                <w:iCs/>
                <w:sz w:val="20"/>
              </w:rPr>
              <w:t>c)</w:t>
            </w:r>
            <w:r w:rsidRPr="002D66DE">
              <w:rPr>
                <w:b/>
                <w:bCs/>
                <w:sz w:val="20"/>
              </w:rPr>
              <w:tab/>
              <w:t>Le présent Règlement reconnaît aux États Membres, dans l'Article 13, le droit de permettre la conclusion d'arrangements particuliers.</w:t>
            </w:r>
          </w:p>
        </w:tc>
        <w:tc>
          <w:tcPr>
            <w:tcW w:w="3716" w:type="dxa"/>
          </w:tcPr>
          <w:p w14:paraId="709BBFF4" w14:textId="77777777" w:rsidR="00F476A1" w:rsidRPr="002D66DE" w:rsidRDefault="00F476A1" w:rsidP="00C55BDB">
            <w:pPr>
              <w:pStyle w:val="Tabletext"/>
              <w:rPr>
                <w:b/>
                <w:bCs/>
                <w:sz w:val="20"/>
                <w:szCs w:val="20"/>
              </w:rPr>
            </w:pPr>
          </w:p>
        </w:tc>
        <w:tc>
          <w:tcPr>
            <w:tcW w:w="2613" w:type="dxa"/>
          </w:tcPr>
          <w:p w14:paraId="54E1BCA6" w14:textId="2634D8B1" w:rsidR="00F476A1" w:rsidRPr="002D66DE" w:rsidRDefault="005A03D0" w:rsidP="00C55BDB">
            <w:pPr>
              <w:pStyle w:val="Tabletext"/>
              <w:rPr>
                <w:rFonts w:cstheme="minorHAnsi"/>
                <w:sz w:val="20"/>
                <w:szCs w:val="20"/>
              </w:rPr>
            </w:pPr>
            <w:r w:rsidRPr="002D66DE">
              <w:rPr>
                <w:rFonts w:cstheme="minorHAnsi"/>
                <w:sz w:val="20"/>
                <w:szCs w:val="20"/>
              </w:rPr>
              <w:t>Certains membres ont estimé que cette disposition est applicable et permet la concurrence et la fourniture de services de qualité, et soutient également tous les fournisseurs de services</w:t>
            </w:r>
            <w:r w:rsidR="00F852A2" w:rsidRPr="002D66DE">
              <w:rPr>
                <w:rFonts w:cstheme="minorHAnsi"/>
                <w:sz w:val="20"/>
                <w:szCs w:val="20"/>
              </w:rPr>
              <w:t>.</w:t>
            </w:r>
          </w:p>
          <w:p w14:paraId="221FEAC7" w14:textId="1C47080C" w:rsidR="00F476A1" w:rsidRPr="002D66DE" w:rsidRDefault="00F852A2" w:rsidP="00C55BDB">
            <w:pPr>
              <w:pStyle w:val="Tabletext"/>
              <w:rPr>
                <w:sz w:val="20"/>
                <w:szCs w:val="20"/>
              </w:rPr>
            </w:pPr>
            <w:bookmarkStart w:id="43" w:name="lt_pId207"/>
            <w:r w:rsidRPr="002D66DE">
              <w:rPr>
                <w:rFonts w:cstheme="minorHAnsi"/>
                <w:sz w:val="20"/>
                <w:szCs w:val="20"/>
              </w:rPr>
              <w:t xml:space="preserve">Certains membres ont estimé que cette disposition </w:t>
            </w:r>
            <w:r w:rsidR="002A582F" w:rsidRPr="002D66DE">
              <w:rPr>
                <w:rFonts w:cstheme="minorHAnsi"/>
                <w:sz w:val="20"/>
                <w:szCs w:val="20"/>
              </w:rPr>
              <w:t>n</w:t>
            </w:r>
            <w:r w:rsidR="009F4D21" w:rsidRPr="002D66DE">
              <w:rPr>
                <w:rFonts w:cstheme="minorHAnsi"/>
                <w:sz w:val="20"/>
                <w:szCs w:val="20"/>
              </w:rPr>
              <w:t>'</w:t>
            </w:r>
            <w:r w:rsidR="002A582F" w:rsidRPr="002D66DE">
              <w:rPr>
                <w:rFonts w:cstheme="minorHAnsi"/>
                <w:sz w:val="20"/>
                <w:szCs w:val="20"/>
              </w:rPr>
              <w:t>est</w:t>
            </w:r>
            <w:r w:rsidRPr="002D66DE">
              <w:rPr>
                <w:rFonts w:cstheme="minorHAnsi"/>
                <w:sz w:val="20"/>
                <w:szCs w:val="20"/>
              </w:rPr>
              <w:t xml:space="preserve"> pas souple </w:t>
            </w:r>
            <w:r w:rsidR="00171505" w:rsidRPr="002D66DE">
              <w:rPr>
                <w:rFonts w:cstheme="minorHAnsi"/>
                <w:sz w:val="20"/>
                <w:szCs w:val="20"/>
              </w:rPr>
              <w:t>étant donné qu</w:t>
            </w:r>
            <w:r w:rsidR="009F4D21" w:rsidRPr="002D66DE">
              <w:rPr>
                <w:rFonts w:cstheme="minorHAnsi"/>
                <w:sz w:val="20"/>
                <w:szCs w:val="20"/>
              </w:rPr>
              <w:t>'</w:t>
            </w:r>
            <w:r w:rsidR="00171505" w:rsidRPr="002D66DE">
              <w:rPr>
                <w:rFonts w:cstheme="minorHAnsi"/>
                <w:sz w:val="20"/>
                <w:szCs w:val="20"/>
              </w:rPr>
              <w:t xml:space="preserve">elle </w:t>
            </w:r>
            <w:r w:rsidRPr="002D66DE">
              <w:rPr>
                <w:rFonts w:cstheme="minorHAnsi"/>
                <w:sz w:val="20"/>
                <w:szCs w:val="20"/>
              </w:rPr>
              <w:t>n</w:t>
            </w:r>
            <w:r w:rsidR="009F4D21" w:rsidRPr="002D66DE">
              <w:rPr>
                <w:rFonts w:cstheme="minorHAnsi"/>
                <w:sz w:val="20"/>
                <w:szCs w:val="20"/>
              </w:rPr>
              <w:t>'</w:t>
            </w:r>
            <w:r w:rsidR="002A582F" w:rsidRPr="002D66DE">
              <w:rPr>
                <w:rFonts w:cstheme="minorHAnsi"/>
                <w:sz w:val="20"/>
                <w:szCs w:val="20"/>
              </w:rPr>
              <w:t>est</w:t>
            </w:r>
            <w:r w:rsidRPr="002D66DE">
              <w:rPr>
                <w:rFonts w:cstheme="minorHAnsi"/>
                <w:sz w:val="20"/>
                <w:szCs w:val="20"/>
              </w:rPr>
              <w:t xml:space="preserve"> plus applicable</w:t>
            </w:r>
            <w:bookmarkEnd w:id="43"/>
            <w:r w:rsidRPr="002D66DE">
              <w:rPr>
                <w:rFonts w:cstheme="minorHAnsi"/>
                <w:sz w:val="20"/>
                <w:szCs w:val="20"/>
              </w:rPr>
              <w:t>.</w:t>
            </w:r>
          </w:p>
        </w:tc>
        <w:tc>
          <w:tcPr>
            <w:tcW w:w="2595" w:type="dxa"/>
          </w:tcPr>
          <w:p w14:paraId="6DB84623" w14:textId="63C420AD" w:rsidR="00F476A1" w:rsidRPr="002D66DE" w:rsidRDefault="008E3DEF" w:rsidP="00C55BDB">
            <w:pPr>
              <w:pStyle w:val="Tabletext"/>
              <w:rPr>
                <w:sz w:val="20"/>
              </w:rPr>
            </w:pPr>
            <w:bookmarkStart w:id="44" w:name="lt_pId208"/>
            <w:r w:rsidRPr="002D66DE">
              <w:rPr>
                <w:sz w:val="20"/>
              </w:rPr>
              <w:t xml:space="preserve">Certains membres ont estimé que cette disposition </w:t>
            </w:r>
            <w:r w:rsidR="002A582F" w:rsidRPr="002D66DE">
              <w:rPr>
                <w:sz w:val="20"/>
              </w:rPr>
              <w:t>est</w:t>
            </w:r>
            <w:r w:rsidRPr="002D66DE">
              <w:rPr>
                <w:sz w:val="20"/>
              </w:rPr>
              <w:t xml:space="preserve"> </w:t>
            </w:r>
            <w:r w:rsidRPr="002D66DE">
              <w:rPr>
                <w:rFonts w:cstheme="minorHAnsi"/>
                <w:sz w:val="20"/>
                <w:szCs w:val="20"/>
              </w:rPr>
              <w:t xml:space="preserve">suffisamment souple pour tenir compte des nouvelles tendances et </w:t>
            </w:r>
            <w:r w:rsidR="000D6872" w:rsidRPr="002D66DE">
              <w:rPr>
                <w:rFonts w:cstheme="minorHAnsi"/>
                <w:sz w:val="20"/>
                <w:szCs w:val="20"/>
              </w:rPr>
              <w:t xml:space="preserve">des </w:t>
            </w:r>
            <w:r w:rsidRPr="002D66DE">
              <w:rPr>
                <w:rFonts w:cstheme="minorHAnsi"/>
                <w:sz w:val="20"/>
                <w:szCs w:val="20"/>
              </w:rPr>
              <w:t>nouveaux problèmes qui se font jour</w:t>
            </w:r>
            <w:r w:rsidR="00F476A1" w:rsidRPr="002D66DE">
              <w:rPr>
                <w:sz w:val="20"/>
              </w:rPr>
              <w:t xml:space="preserve">, </w:t>
            </w:r>
            <w:r w:rsidR="00171505" w:rsidRPr="002D66DE">
              <w:rPr>
                <w:sz w:val="20"/>
              </w:rPr>
              <w:t>également</w:t>
            </w:r>
            <w:r w:rsidR="00D71140" w:rsidRPr="002D66DE">
              <w:rPr>
                <w:sz w:val="20"/>
              </w:rPr>
              <w:t xml:space="preserve"> du fait de la possibilité de conclure des arrangements particuliers</w:t>
            </w:r>
            <w:r w:rsidR="00F476A1" w:rsidRPr="002D66DE">
              <w:rPr>
                <w:sz w:val="20"/>
              </w:rPr>
              <w:t>.</w:t>
            </w:r>
            <w:bookmarkEnd w:id="44"/>
          </w:p>
          <w:p w14:paraId="3D7EA6F0" w14:textId="5842203A" w:rsidR="00F476A1" w:rsidRPr="002D66DE" w:rsidRDefault="00906E83" w:rsidP="00C55BDB">
            <w:pPr>
              <w:pStyle w:val="Tabletext"/>
              <w:rPr>
                <w:sz w:val="20"/>
                <w:szCs w:val="20"/>
              </w:rPr>
            </w:pPr>
            <w:bookmarkStart w:id="45" w:name="lt_pId209"/>
            <w:r w:rsidRPr="002D66DE">
              <w:rPr>
                <w:rFonts w:cstheme="minorHAnsi"/>
                <w:sz w:val="20"/>
                <w:szCs w:val="20"/>
              </w:rPr>
              <w:t>Certains membres ont estimé que cette disposition n</w:t>
            </w:r>
            <w:r w:rsidR="009F4D21" w:rsidRPr="002D66DE">
              <w:rPr>
                <w:rFonts w:cstheme="minorHAnsi"/>
                <w:sz w:val="20"/>
                <w:szCs w:val="20"/>
              </w:rPr>
              <w:t>'</w:t>
            </w:r>
            <w:r w:rsidR="002A582F" w:rsidRPr="002D66DE">
              <w:rPr>
                <w:rFonts w:cstheme="minorHAnsi"/>
                <w:sz w:val="20"/>
                <w:szCs w:val="20"/>
              </w:rPr>
              <w:t>es</w:t>
            </w:r>
            <w:r w:rsidRPr="002D66DE">
              <w:rPr>
                <w:rFonts w:cstheme="minorHAnsi"/>
                <w:sz w:val="20"/>
                <w:szCs w:val="20"/>
              </w:rPr>
              <w:t>t pas</w:t>
            </w:r>
            <w:r w:rsidRPr="002D66DE">
              <w:rPr>
                <w:sz w:val="20"/>
              </w:rPr>
              <w:t xml:space="preserve"> souple </w:t>
            </w:r>
            <w:r w:rsidR="00171505" w:rsidRPr="002D66DE">
              <w:rPr>
                <w:rFonts w:cstheme="minorHAnsi"/>
                <w:sz w:val="20"/>
                <w:szCs w:val="20"/>
              </w:rPr>
              <w:t>étant donné qu</w:t>
            </w:r>
            <w:r w:rsidR="009F4D21" w:rsidRPr="002D66DE">
              <w:rPr>
                <w:rFonts w:cstheme="minorHAnsi"/>
                <w:sz w:val="20"/>
                <w:szCs w:val="20"/>
              </w:rPr>
              <w:t>'</w:t>
            </w:r>
            <w:r w:rsidR="00171505" w:rsidRPr="002D66DE">
              <w:rPr>
                <w:rFonts w:cstheme="minorHAnsi"/>
                <w:sz w:val="20"/>
                <w:szCs w:val="20"/>
              </w:rPr>
              <w:t>elle</w:t>
            </w:r>
            <w:r w:rsidRPr="002D66DE">
              <w:rPr>
                <w:sz w:val="20"/>
              </w:rPr>
              <w:t xml:space="preserve"> n</w:t>
            </w:r>
            <w:r w:rsidR="009F4D21" w:rsidRPr="002D66DE">
              <w:rPr>
                <w:sz w:val="20"/>
              </w:rPr>
              <w:t>'</w:t>
            </w:r>
            <w:r w:rsidR="002A582F" w:rsidRPr="002D66DE">
              <w:rPr>
                <w:sz w:val="20"/>
              </w:rPr>
              <w:t>es</w:t>
            </w:r>
            <w:r w:rsidRPr="002D66DE">
              <w:rPr>
                <w:sz w:val="20"/>
              </w:rPr>
              <w:t>t plus nécessaire</w:t>
            </w:r>
            <w:r w:rsidR="00F476A1" w:rsidRPr="002D66DE">
              <w:rPr>
                <w:sz w:val="20"/>
              </w:rPr>
              <w:t>.</w:t>
            </w:r>
            <w:bookmarkEnd w:id="45"/>
          </w:p>
        </w:tc>
        <w:tc>
          <w:tcPr>
            <w:tcW w:w="2406" w:type="dxa"/>
          </w:tcPr>
          <w:p w14:paraId="6E93A5A8" w14:textId="3E20844E"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3ED72C70" w14:textId="7873B2D4" w:rsidR="00F476A1"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5DEF47E1" w14:textId="1E0C6E9C"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49DE0CF2" w14:textId="77777777" w:rsidTr="00C55BDB">
        <w:tc>
          <w:tcPr>
            <w:tcW w:w="987" w:type="dxa"/>
          </w:tcPr>
          <w:p w14:paraId="1EC8ECD3"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1D322F06"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2942C0E3"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00EE97CA"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5C41D342"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645271A1"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20E6F4A5" w14:textId="77777777" w:rsidTr="00C55BDB">
        <w:tc>
          <w:tcPr>
            <w:tcW w:w="987" w:type="dxa"/>
          </w:tcPr>
          <w:p w14:paraId="63191ECC" w14:textId="01903CB8" w:rsidR="00F476A1" w:rsidRPr="002D66DE" w:rsidRDefault="00F476A1" w:rsidP="00C55BDB">
            <w:pPr>
              <w:pStyle w:val="Tablehead"/>
              <w:rPr>
                <w:sz w:val="20"/>
                <w:szCs w:val="20"/>
              </w:rPr>
            </w:pPr>
            <w:r w:rsidRPr="002D66DE">
              <w:rPr>
                <w:sz w:val="20"/>
                <w:szCs w:val="20"/>
              </w:rPr>
              <w:t>7</w:t>
            </w:r>
          </w:p>
        </w:tc>
        <w:tc>
          <w:tcPr>
            <w:tcW w:w="2860" w:type="dxa"/>
          </w:tcPr>
          <w:p w14:paraId="55BF6308" w14:textId="77777777" w:rsidR="00F476A1" w:rsidRPr="002D66DE" w:rsidRDefault="00F476A1" w:rsidP="00C55BDB">
            <w:pPr>
              <w:pStyle w:val="Tabletext"/>
              <w:rPr>
                <w:b/>
                <w:bCs/>
                <w:sz w:val="20"/>
                <w:szCs w:val="20"/>
              </w:rPr>
            </w:pPr>
            <w:r w:rsidRPr="002D66DE">
              <w:rPr>
                <w:b/>
                <w:bCs/>
                <w:sz w:val="20"/>
                <w:szCs w:val="20"/>
              </w:rPr>
              <w:t>1.2</w:t>
            </w:r>
            <w:r w:rsidRPr="002D66DE">
              <w:rPr>
                <w:b/>
                <w:bCs/>
                <w:sz w:val="20"/>
                <w:szCs w:val="20"/>
              </w:rPr>
              <w:tab/>
              <w:t>Dans le présent Règlement, le terme "public" désigne la population, y compris les organes gouvernementaux et les personnes morales.</w:t>
            </w:r>
          </w:p>
        </w:tc>
        <w:tc>
          <w:tcPr>
            <w:tcW w:w="3716" w:type="dxa"/>
          </w:tcPr>
          <w:p w14:paraId="2A470B77" w14:textId="77777777" w:rsidR="00F476A1" w:rsidRPr="002D66DE" w:rsidRDefault="00F476A1" w:rsidP="00C55BDB">
            <w:pPr>
              <w:pStyle w:val="Tabletext"/>
              <w:rPr>
                <w:sz w:val="20"/>
                <w:szCs w:val="20"/>
              </w:rPr>
            </w:pPr>
            <w:r w:rsidRPr="002D66DE">
              <w:rPr>
                <w:sz w:val="20"/>
                <w:szCs w:val="20"/>
              </w:rPr>
              <w:t>1.2</w:t>
            </w:r>
            <w:r w:rsidRPr="002D66DE">
              <w:rPr>
                <w:sz w:val="20"/>
                <w:szCs w:val="20"/>
              </w:rPr>
              <w:tab/>
              <w:t>Dans le présent Règlement, le terme "public" désigne la population, y compris les organes gouvernementaux et les personnes morales.</w:t>
            </w:r>
          </w:p>
        </w:tc>
        <w:tc>
          <w:tcPr>
            <w:tcW w:w="2613" w:type="dxa"/>
          </w:tcPr>
          <w:p w14:paraId="6165B320" w14:textId="71362F06" w:rsidR="00F476A1" w:rsidRPr="002D66DE" w:rsidRDefault="00906E83" w:rsidP="00C55BDB">
            <w:pPr>
              <w:pStyle w:val="Tabletext"/>
              <w:rPr>
                <w:rFonts w:cstheme="minorHAnsi"/>
                <w:sz w:val="20"/>
                <w:szCs w:val="20"/>
              </w:rPr>
            </w:pPr>
            <w:bookmarkStart w:id="46" w:name="lt_pId216"/>
            <w:r w:rsidRPr="002D66DE">
              <w:rPr>
                <w:rFonts w:cstheme="minorHAnsi"/>
                <w:sz w:val="20"/>
                <w:szCs w:val="20"/>
              </w:rPr>
              <w:t xml:space="preserve">Certains membres ont estimé que cette disposition </w:t>
            </w:r>
            <w:r w:rsidR="009D7425" w:rsidRPr="002D66DE">
              <w:rPr>
                <w:rFonts w:cstheme="minorHAnsi"/>
                <w:sz w:val="20"/>
                <w:szCs w:val="20"/>
              </w:rPr>
              <w:t>est</w:t>
            </w:r>
            <w:r w:rsidRPr="002D66DE">
              <w:rPr>
                <w:rFonts w:cstheme="minorHAnsi"/>
                <w:sz w:val="20"/>
                <w:szCs w:val="20"/>
              </w:rPr>
              <w:t xml:space="preserve"> applicable et permet la fourniture de services</w:t>
            </w:r>
            <w:r w:rsidR="00F476A1" w:rsidRPr="002D66DE">
              <w:rPr>
                <w:rFonts w:cstheme="minorHAnsi"/>
                <w:sz w:val="20"/>
                <w:szCs w:val="20"/>
              </w:rPr>
              <w:t>.</w:t>
            </w:r>
            <w:bookmarkEnd w:id="46"/>
          </w:p>
          <w:p w14:paraId="028F9ABE" w14:textId="4FEC5A7C" w:rsidR="00F476A1" w:rsidRPr="002D66DE" w:rsidRDefault="00E45713" w:rsidP="00C55BDB">
            <w:pPr>
              <w:pStyle w:val="Tabletext"/>
              <w:rPr>
                <w:sz w:val="20"/>
                <w:szCs w:val="20"/>
              </w:rPr>
            </w:pPr>
            <w:bookmarkStart w:id="47" w:name="lt_pId088"/>
            <w:r w:rsidRPr="002D66DE">
              <w:rPr>
                <w:sz w:val="20"/>
              </w:rPr>
              <w:t>Certains membres ont estimé que cette disposition</w:t>
            </w:r>
            <w:r w:rsidR="004C7683" w:rsidRPr="002D66DE">
              <w:rPr>
                <w:sz w:val="20"/>
              </w:rPr>
              <w:t xml:space="preserve"> </w:t>
            </w:r>
            <w:r w:rsidRPr="002D66DE">
              <w:rPr>
                <w:sz w:val="20"/>
                <w:szCs w:val="20"/>
              </w:rPr>
              <w:t>n</w:t>
            </w:r>
            <w:r w:rsidR="009F4D21" w:rsidRPr="002D66DE">
              <w:rPr>
                <w:sz w:val="20"/>
                <w:szCs w:val="20"/>
              </w:rPr>
              <w:t>'</w:t>
            </w:r>
            <w:r w:rsidR="00661C12" w:rsidRPr="002D66DE">
              <w:rPr>
                <w:sz w:val="20"/>
                <w:szCs w:val="20"/>
              </w:rPr>
              <w:t>es</w:t>
            </w:r>
            <w:r w:rsidRPr="002D66DE">
              <w:rPr>
                <w:sz w:val="20"/>
                <w:szCs w:val="20"/>
              </w:rPr>
              <w:t>t pas applicable</w:t>
            </w:r>
            <w:r w:rsidR="00F476A1" w:rsidRPr="002D66DE">
              <w:rPr>
                <w:sz w:val="20"/>
                <w:szCs w:val="20"/>
              </w:rPr>
              <w:t xml:space="preserve"> pour ce qui est de favoriser la fourniture et le développement des réseaux et des services </w:t>
            </w:r>
            <w:bookmarkStart w:id="48" w:name="lt_pId089"/>
            <w:bookmarkEnd w:id="47"/>
            <w:r w:rsidRPr="002D66DE">
              <w:rPr>
                <w:sz w:val="20"/>
                <w:szCs w:val="20"/>
              </w:rPr>
              <w:t>puisqu</w:t>
            </w:r>
            <w:r w:rsidR="009F4D21" w:rsidRPr="002D66DE">
              <w:rPr>
                <w:sz w:val="20"/>
                <w:szCs w:val="20"/>
              </w:rPr>
              <w:t>'</w:t>
            </w:r>
            <w:r w:rsidRPr="002D66DE">
              <w:rPr>
                <w:sz w:val="20"/>
                <w:szCs w:val="20"/>
              </w:rPr>
              <w:t>elle</w:t>
            </w:r>
            <w:r w:rsidR="004C7683" w:rsidRPr="002D66DE">
              <w:rPr>
                <w:sz w:val="20"/>
                <w:szCs w:val="20"/>
              </w:rPr>
              <w:t xml:space="preserve"> </w:t>
            </w:r>
            <w:r w:rsidR="00F476A1" w:rsidRPr="002D66DE">
              <w:rPr>
                <w:sz w:val="20"/>
                <w:szCs w:val="20"/>
              </w:rPr>
              <w:t>donn</w:t>
            </w:r>
            <w:r w:rsidR="00661C12" w:rsidRPr="002D66DE">
              <w:rPr>
                <w:sz w:val="20"/>
                <w:szCs w:val="20"/>
              </w:rPr>
              <w:t>e</w:t>
            </w:r>
            <w:r w:rsidR="00F476A1" w:rsidRPr="002D66DE">
              <w:rPr>
                <w:sz w:val="20"/>
                <w:szCs w:val="20"/>
              </w:rPr>
              <w:t xml:space="preserve"> uniquement une définition dans le traité</w:t>
            </w:r>
            <w:bookmarkEnd w:id="48"/>
            <w:r w:rsidR="00F476A1" w:rsidRPr="002D66DE">
              <w:rPr>
                <w:sz w:val="20"/>
                <w:szCs w:val="20"/>
              </w:rPr>
              <w:t>.</w:t>
            </w:r>
          </w:p>
        </w:tc>
        <w:tc>
          <w:tcPr>
            <w:tcW w:w="2595" w:type="dxa"/>
          </w:tcPr>
          <w:p w14:paraId="353DCACF" w14:textId="09F345B3" w:rsidR="00F476A1" w:rsidRPr="002D66DE" w:rsidRDefault="00E45713" w:rsidP="00C55BDB">
            <w:pPr>
              <w:pStyle w:val="Tabletext"/>
              <w:rPr>
                <w:sz w:val="20"/>
              </w:rPr>
            </w:pPr>
            <w:bookmarkStart w:id="49" w:name="lt_pId218"/>
            <w:r w:rsidRPr="002D66DE">
              <w:rPr>
                <w:sz w:val="20"/>
              </w:rPr>
              <w:t>Certains membres ont estimé que cette disposition offr</w:t>
            </w:r>
            <w:r w:rsidR="00661C12" w:rsidRPr="002D66DE">
              <w:rPr>
                <w:sz w:val="20"/>
              </w:rPr>
              <w:t>e</w:t>
            </w:r>
            <w:r w:rsidRPr="002D66DE">
              <w:rPr>
                <w:sz w:val="20"/>
              </w:rPr>
              <w:t xml:space="preserve"> la souplesse nécessaire pour</w:t>
            </w:r>
            <w:r w:rsidRPr="002D66DE">
              <w:rPr>
                <w:rFonts w:eastAsia="Times New Roman" w:cs="Times New Roman"/>
                <w:sz w:val="20"/>
                <w:szCs w:val="20"/>
              </w:rPr>
              <w:t xml:space="preserve"> </w:t>
            </w:r>
            <w:r w:rsidRPr="002D66DE">
              <w:rPr>
                <w:sz w:val="20"/>
              </w:rPr>
              <w:t>tenir compte des nouvelles tendances et des nouveaux problèmes qui se font jour, et certains membres ont</w:t>
            </w:r>
            <w:r w:rsidR="00F476A1" w:rsidRPr="002D66DE">
              <w:rPr>
                <w:sz w:val="20"/>
              </w:rPr>
              <w:t xml:space="preserve"> </w:t>
            </w:r>
            <w:r w:rsidR="00FC6FB5" w:rsidRPr="002D66DE">
              <w:rPr>
                <w:sz w:val="20"/>
              </w:rPr>
              <w:t>souligné qu</w:t>
            </w:r>
            <w:r w:rsidR="009F4D21" w:rsidRPr="002D66DE">
              <w:rPr>
                <w:sz w:val="20"/>
              </w:rPr>
              <w:t>'</w:t>
            </w:r>
            <w:r w:rsidR="00FC6FB5" w:rsidRPr="002D66DE">
              <w:rPr>
                <w:sz w:val="20"/>
              </w:rPr>
              <w:t xml:space="preserve">il </w:t>
            </w:r>
            <w:r w:rsidR="00661C12" w:rsidRPr="002D66DE">
              <w:rPr>
                <w:sz w:val="20"/>
              </w:rPr>
              <w:t>est</w:t>
            </w:r>
            <w:r w:rsidR="00FC6FB5" w:rsidRPr="002D66DE">
              <w:rPr>
                <w:sz w:val="20"/>
              </w:rPr>
              <w:t xml:space="preserve"> possible qu</w:t>
            </w:r>
            <w:r w:rsidR="009F4D21" w:rsidRPr="002D66DE">
              <w:rPr>
                <w:sz w:val="20"/>
              </w:rPr>
              <w:t>'</w:t>
            </w:r>
            <w:r w:rsidR="00FC6FB5" w:rsidRPr="002D66DE">
              <w:rPr>
                <w:sz w:val="20"/>
              </w:rPr>
              <w:t>avec l</w:t>
            </w:r>
            <w:r w:rsidR="009F4D21" w:rsidRPr="002D66DE">
              <w:rPr>
                <w:sz w:val="20"/>
              </w:rPr>
              <w:t>'</w:t>
            </w:r>
            <w:r w:rsidR="00FC6FB5" w:rsidRPr="002D66DE">
              <w:rPr>
                <w:sz w:val="20"/>
              </w:rPr>
              <w:t>apparition de technologies telles que l</w:t>
            </w:r>
            <w:r w:rsidR="009F4D21" w:rsidRPr="002D66DE">
              <w:rPr>
                <w:sz w:val="20"/>
              </w:rPr>
              <w:t>'</w:t>
            </w:r>
            <w:r w:rsidR="00FC6FB5" w:rsidRPr="002D66DE">
              <w:rPr>
                <w:sz w:val="20"/>
              </w:rPr>
              <w:t>intelligence artificielle et la robotique</w:t>
            </w:r>
            <w:r w:rsidR="00F476A1" w:rsidRPr="002D66DE">
              <w:rPr>
                <w:sz w:val="20"/>
              </w:rPr>
              <w:t xml:space="preserve">, </w:t>
            </w:r>
            <w:r w:rsidR="00FC6FB5" w:rsidRPr="002D66DE">
              <w:rPr>
                <w:sz w:val="20"/>
              </w:rPr>
              <w:t>la</w:t>
            </w:r>
            <w:r w:rsidR="00F476A1" w:rsidRPr="002D66DE">
              <w:rPr>
                <w:sz w:val="20"/>
              </w:rPr>
              <w:t xml:space="preserve"> d</w:t>
            </w:r>
            <w:r w:rsidR="00FC6FB5" w:rsidRPr="002D66DE">
              <w:rPr>
                <w:sz w:val="20"/>
              </w:rPr>
              <w:t>é</w:t>
            </w:r>
            <w:r w:rsidR="00F476A1" w:rsidRPr="002D66DE">
              <w:rPr>
                <w:sz w:val="20"/>
              </w:rPr>
              <w:t xml:space="preserve">finition </w:t>
            </w:r>
            <w:r w:rsidR="00FC6FB5" w:rsidRPr="002D66DE">
              <w:rPr>
                <w:sz w:val="20"/>
              </w:rPr>
              <w:t>du terme "public"</w:t>
            </w:r>
            <w:r w:rsidR="00FC6FB5" w:rsidRPr="002D66DE">
              <w:rPr>
                <w:b/>
                <w:bCs/>
                <w:sz w:val="20"/>
              </w:rPr>
              <w:t xml:space="preserve"> </w:t>
            </w:r>
            <w:r w:rsidR="00FC6FB5" w:rsidRPr="002D66DE">
              <w:rPr>
                <w:sz w:val="20"/>
              </w:rPr>
              <w:t>ne soit pas suffisamment large</w:t>
            </w:r>
            <w:r w:rsidR="00F476A1" w:rsidRPr="002D66DE">
              <w:rPr>
                <w:sz w:val="20"/>
              </w:rPr>
              <w:t>.</w:t>
            </w:r>
            <w:bookmarkEnd w:id="49"/>
          </w:p>
          <w:p w14:paraId="5A301B93" w14:textId="0DFD7188" w:rsidR="00F476A1" w:rsidRPr="002D66DE" w:rsidRDefault="00FC6FB5" w:rsidP="00C55BDB">
            <w:pPr>
              <w:pStyle w:val="Tabletext"/>
              <w:rPr>
                <w:sz w:val="20"/>
                <w:szCs w:val="20"/>
              </w:rPr>
            </w:pPr>
            <w:bookmarkStart w:id="50" w:name="lt_pId219"/>
            <w:r w:rsidRPr="002D66DE">
              <w:rPr>
                <w:sz w:val="20"/>
              </w:rPr>
              <w:t xml:space="preserve">Certains membres ont estimé que la question de la souplesse </w:t>
            </w:r>
            <w:r w:rsidR="00661C12" w:rsidRPr="002D66DE">
              <w:rPr>
                <w:sz w:val="20"/>
              </w:rPr>
              <w:t>est</w:t>
            </w:r>
            <w:r w:rsidRPr="002D66DE">
              <w:rPr>
                <w:sz w:val="20"/>
              </w:rPr>
              <w:t xml:space="preserve"> sans objet </w:t>
            </w:r>
            <w:r w:rsidR="00171505" w:rsidRPr="002D66DE">
              <w:rPr>
                <w:sz w:val="20"/>
              </w:rPr>
              <w:t>puisque ce</w:t>
            </w:r>
            <w:r w:rsidRPr="002D66DE">
              <w:rPr>
                <w:sz w:val="20"/>
              </w:rPr>
              <w:t>tte disposition</w:t>
            </w:r>
            <w:r w:rsidR="004C7683" w:rsidRPr="002D66DE">
              <w:rPr>
                <w:sz w:val="20"/>
              </w:rPr>
              <w:t xml:space="preserve"> </w:t>
            </w:r>
            <w:r w:rsidRPr="002D66DE">
              <w:rPr>
                <w:sz w:val="20"/>
              </w:rPr>
              <w:t>donn</w:t>
            </w:r>
            <w:r w:rsidR="00661C12" w:rsidRPr="002D66DE">
              <w:rPr>
                <w:sz w:val="20"/>
              </w:rPr>
              <w:t>e</w:t>
            </w:r>
            <w:r w:rsidRPr="002D66DE">
              <w:rPr>
                <w:sz w:val="20"/>
              </w:rPr>
              <w:t xml:space="preserve"> une définition dans le traité</w:t>
            </w:r>
            <w:bookmarkEnd w:id="50"/>
            <w:r w:rsidRPr="002D66DE">
              <w:rPr>
                <w:sz w:val="20"/>
              </w:rPr>
              <w:t>.</w:t>
            </w:r>
          </w:p>
        </w:tc>
        <w:tc>
          <w:tcPr>
            <w:tcW w:w="2406" w:type="dxa"/>
          </w:tcPr>
          <w:p w14:paraId="55114B89" w14:textId="4F9EAA31"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029ECB39" w14:textId="52BF38D7" w:rsidR="00F476A1" w:rsidRPr="002D66DE" w:rsidRDefault="00D31A27"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2ED47F73" w14:textId="162E4B09"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504A8118" w14:textId="77777777" w:rsidTr="00C55BDB">
        <w:tc>
          <w:tcPr>
            <w:tcW w:w="987" w:type="dxa"/>
          </w:tcPr>
          <w:p w14:paraId="16A4EBA3"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4FF09ABD"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5C6D2C49"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6348CE60"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7B221B41"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667C7968"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592BAE4E" w14:textId="77777777" w:rsidTr="00C55BDB">
        <w:trPr>
          <w:trHeight w:val="890"/>
        </w:trPr>
        <w:tc>
          <w:tcPr>
            <w:tcW w:w="987" w:type="dxa"/>
          </w:tcPr>
          <w:p w14:paraId="5744147E" w14:textId="73581CFE" w:rsidR="00F476A1" w:rsidRPr="002D66DE" w:rsidRDefault="00F476A1" w:rsidP="00C55BDB">
            <w:pPr>
              <w:pStyle w:val="Tablehead"/>
              <w:rPr>
                <w:sz w:val="20"/>
                <w:szCs w:val="20"/>
              </w:rPr>
            </w:pPr>
            <w:r w:rsidRPr="002D66DE">
              <w:rPr>
                <w:sz w:val="20"/>
                <w:szCs w:val="20"/>
              </w:rPr>
              <w:t>8</w:t>
            </w:r>
          </w:p>
        </w:tc>
        <w:tc>
          <w:tcPr>
            <w:tcW w:w="2860" w:type="dxa"/>
          </w:tcPr>
          <w:p w14:paraId="69D2F93E" w14:textId="77777777" w:rsidR="00F476A1" w:rsidRPr="002D66DE" w:rsidRDefault="00F476A1" w:rsidP="00C55BDB">
            <w:pPr>
              <w:pStyle w:val="Tabletext"/>
              <w:rPr>
                <w:b/>
                <w:bCs/>
                <w:sz w:val="20"/>
                <w:szCs w:val="20"/>
              </w:rPr>
            </w:pPr>
            <w:r w:rsidRPr="002D66DE">
              <w:rPr>
                <w:b/>
                <w:bCs/>
                <w:sz w:val="20"/>
                <w:szCs w:val="20"/>
              </w:rPr>
              <w:t>1.3</w:t>
            </w:r>
            <w:r w:rsidRPr="002D66DE">
              <w:rPr>
                <w:b/>
                <w:bCs/>
                <w:sz w:val="20"/>
                <w:szCs w:val="20"/>
              </w:rPr>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tc>
        <w:tc>
          <w:tcPr>
            <w:tcW w:w="3716" w:type="dxa"/>
          </w:tcPr>
          <w:p w14:paraId="5DB0A6B3" w14:textId="77777777" w:rsidR="00F476A1" w:rsidRPr="002D66DE" w:rsidRDefault="00F476A1" w:rsidP="00C55BDB">
            <w:pPr>
              <w:pStyle w:val="Tabletext"/>
              <w:rPr>
                <w:sz w:val="20"/>
                <w:szCs w:val="20"/>
              </w:rPr>
            </w:pPr>
            <w:r w:rsidRPr="002D66DE">
              <w:rPr>
                <w:sz w:val="20"/>
                <w:szCs w:val="20"/>
              </w:rPr>
              <w:t>1.3</w:t>
            </w:r>
            <w:r w:rsidRPr="002D66DE">
              <w:rPr>
                <w:sz w:val="20"/>
                <w:szCs w:val="20"/>
              </w:rPr>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tc>
        <w:tc>
          <w:tcPr>
            <w:tcW w:w="2613" w:type="dxa"/>
          </w:tcPr>
          <w:p w14:paraId="0E00BED7" w14:textId="2C5FB965" w:rsidR="00F476A1" w:rsidRPr="002D66DE" w:rsidRDefault="00171505" w:rsidP="00C55BDB">
            <w:pPr>
              <w:pStyle w:val="Tabletext"/>
              <w:rPr>
                <w:sz w:val="20"/>
              </w:rPr>
            </w:pPr>
            <w:bookmarkStart w:id="51" w:name="lt_pId226"/>
            <w:r w:rsidRPr="002D66DE">
              <w:rPr>
                <w:sz w:val="20"/>
              </w:rPr>
              <w:t>De l</w:t>
            </w:r>
            <w:r w:rsidR="009F4D21" w:rsidRPr="002D66DE">
              <w:rPr>
                <w:sz w:val="20"/>
              </w:rPr>
              <w:t>'</w:t>
            </w:r>
            <w:r w:rsidRPr="002D66DE">
              <w:rPr>
                <w:sz w:val="20"/>
              </w:rPr>
              <w:t>avis de c</w:t>
            </w:r>
            <w:r w:rsidR="002E3BB4" w:rsidRPr="002D66DE">
              <w:rPr>
                <w:sz w:val="20"/>
              </w:rPr>
              <w:t>ertains</w:t>
            </w:r>
            <w:r w:rsidR="009D0D24" w:rsidRPr="002D66DE">
              <w:rPr>
                <w:sz w:val="20"/>
              </w:rPr>
              <w:t xml:space="preserve"> </w:t>
            </w:r>
            <w:r w:rsidR="002E3BB4" w:rsidRPr="002D66DE">
              <w:rPr>
                <w:sz w:val="20"/>
              </w:rPr>
              <w:t>membres</w:t>
            </w:r>
            <w:r w:rsidRPr="002D66DE">
              <w:rPr>
                <w:sz w:val="20"/>
              </w:rPr>
              <w:t>,</w:t>
            </w:r>
            <w:r w:rsidR="002E3BB4" w:rsidRPr="002D66DE">
              <w:rPr>
                <w:sz w:val="20"/>
              </w:rPr>
              <w:t xml:space="preserve"> cette disposition </w:t>
            </w:r>
            <w:r w:rsidR="00661C12" w:rsidRPr="002D66DE">
              <w:rPr>
                <w:sz w:val="20"/>
              </w:rPr>
              <w:t>est</w:t>
            </w:r>
            <w:r w:rsidR="002E3BB4" w:rsidRPr="002D66DE">
              <w:rPr>
                <w:sz w:val="20"/>
              </w:rPr>
              <w:t xml:space="preserve"> a</w:t>
            </w:r>
            <w:r w:rsidR="00F476A1" w:rsidRPr="002D66DE">
              <w:rPr>
                <w:sz w:val="20"/>
              </w:rPr>
              <w:t xml:space="preserve">pplicable </w:t>
            </w:r>
            <w:r w:rsidR="002E3BB4" w:rsidRPr="002D66DE">
              <w:rPr>
                <w:sz w:val="20"/>
              </w:rPr>
              <w:t xml:space="preserve">et permet de résoudre les </w:t>
            </w:r>
            <w:r w:rsidR="009A1E1B" w:rsidRPr="002D66DE">
              <w:rPr>
                <w:sz w:val="20"/>
              </w:rPr>
              <w:t>problèmes d</w:t>
            </w:r>
            <w:r w:rsidR="009F4D21" w:rsidRPr="002D66DE">
              <w:rPr>
                <w:sz w:val="20"/>
              </w:rPr>
              <w:t>'</w:t>
            </w:r>
            <w:r w:rsidR="009D0D24" w:rsidRPr="002D66DE">
              <w:rPr>
                <w:sz w:val="20"/>
              </w:rPr>
              <w:t>interconnexion</w:t>
            </w:r>
            <w:r w:rsidR="00F476A1" w:rsidRPr="002D66DE">
              <w:rPr>
                <w:sz w:val="20"/>
              </w:rPr>
              <w:t>.</w:t>
            </w:r>
            <w:bookmarkEnd w:id="51"/>
          </w:p>
          <w:p w14:paraId="5CF7FF70" w14:textId="0C5D05C6" w:rsidR="00F476A1" w:rsidRPr="002D66DE" w:rsidRDefault="00171505" w:rsidP="00C55BDB">
            <w:pPr>
              <w:pStyle w:val="Tabletext"/>
              <w:rPr>
                <w:sz w:val="20"/>
                <w:szCs w:val="20"/>
              </w:rPr>
            </w:pPr>
            <w:bookmarkStart w:id="52" w:name="lt_pId227"/>
            <w:r w:rsidRPr="002D66DE">
              <w:rPr>
                <w:sz w:val="20"/>
              </w:rPr>
              <w:t>De l</w:t>
            </w:r>
            <w:r w:rsidR="009F4D21" w:rsidRPr="002D66DE">
              <w:rPr>
                <w:sz w:val="20"/>
              </w:rPr>
              <w:t>'</w:t>
            </w:r>
            <w:r w:rsidRPr="002D66DE">
              <w:rPr>
                <w:sz w:val="20"/>
              </w:rPr>
              <w:t xml:space="preserve">avis de certains membres, </w:t>
            </w:r>
            <w:r w:rsidR="009A1E1B" w:rsidRPr="002D66DE">
              <w:rPr>
                <w:sz w:val="20"/>
              </w:rPr>
              <w:t>cette disposition n</w:t>
            </w:r>
            <w:r w:rsidR="009F4D21" w:rsidRPr="002D66DE">
              <w:rPr>
                <w:sz w:val="20"/>
              </w:rPr>
              <w:t>'</w:t>
            </w:r>
            <w:r w:rsidR="00661C12" w:rsidRPr="002D66DE">
              <w:rPr>
                <w:sz w:val="20"/>
              </w:rPr>
              <w:t>es</w:t>
            </w:r>
            <w:r w:rsidR="009A1E1B" w:rsidRPr="002D66DE">
              <w:rPr>
                <w:sz w:val="20"/>
              </w:rPr>
              <w:t>t pas applicable puisqu</w:t>
            </w:r>
            <w:r w:rsidR="009F4D21" w:rsidRPr="002D66DE">
              <w:rPr>
                <w:sz w:val="20"/>
              </w:rPr>
              <w:t>'</w:t>
            </w:r>
            <w:r w:rsidR="009A1E1B" w:rsidRPr="002D66DE">
              <w:rPr>
                <w:sz w:val="20"/>
              </w:rPr>
              <w:t xml:space="preserve">elle </w:t>
            </w:r>
            <w:r w:rsidR="00B21D9C" w:rsidRPr="002D66DE">
              <w:rPr>
                <w:sz w:val="20"/>
              </w:rPr>
              <w:t xml:space="preserve">porte sur </w:t>
            </w:r>
            <w:r w:rsidR="009A1E1B" w:rsidRPr="002D66DE">
              <w:rPr>
                <w:sz w:val="20"/>
              </w:rPr>
              <w:t xml:space="preserve">un objectif </w:t>
            </w:r>
            <w:r w:rsidR="00442976" w:rsidRPr="002D66DE">
              <w:rPr>
                <w:sz w:val="20"/>
              </w:rPr>
              <w:t>de haut niveau</w:t>
            </w:r>
            <w:r w:rsidRPr="002D66DE">
              <w:rPr>
                <w:sz w:val="20"/>
              </w:rPr>
              <w:t xml:space="preserve"> du traité</w:t>
            </w:r>
            <w:r w:rsidR="00F476A1" w:rsidRPr="002D66DE">
              <w:rPr>
                <w:sz w:val="20"/>
              </w:rPr>
              <w:t>.</w:t>
            </w:r>
            <w:bookmarkEnd w:id="52"/>
          </w:p>
        </w:tc>
        <w:tc>
          <w:tcPr>
            <w:tcW w:w="2595" w:type="dxa"/>
          </w:tcPr>
          <w:p w14:paraId="74D7749B" w14:textId="0863C55F" w:rsidR="00F476A1" w:rsidRPr="002D66DE" w:rsidRDefault="009A1E1B" w:rsidP="00C55BDB">
            <w:pPr>
              <w:pStyle w:val="Tabletext"/>
              <w:rPr>
                <w:sz w:val="20"/>
              </w:rPr>
            </w:pPr>
            <w:r w:rsidRPr="002D66DE">
              <w:rPr>
                <w:sz w:val="20"/>
              </w:rPr>
              <w:t xml:space="preserve">Certains membres ont estimé que cette disposition </w:t>
            </w:r>
            <w:r w:rsidR="009D7425" w:rsidRPr="002D66DE">
              <w:rPr>
                <w:sz w:val="20"/>
              </w:rPr>
              <w:t>est</w:t>
            </w:r>
            <w:r w:rsidRPr="002D66DE">
              <w:rPr>
                <w:sz w:val="20"/>
              </w:rPr>
              <w:t xml:space="preserve"> suffisamment souple pour tenir compte des nouvelles tendances et des nouveaux problèmes qui se font jour et certains d</w:t>
            </w:r>
            <w:r w:rsidR="009F4D21" w:rsidRPr="002D66DE">
              <w:rPr>
                <w:sz w:val="20"/>
              </w:rPr>
              <w:t>'</w:t>
            </w:r>
            <w:r w:rsidRPr="002D66DE">
              <w:rPr>
                <w:sz w:val="20"/>
              </w:rPr>
              <w:t>entre eux ont fait observer que toutes les manières possibles d</w:t>
            </w:r>
            <w:r w:rsidR="009F4D21" w:rsidRPr="002D66DE">
              <w:rPr>
                <w:sz w:val="20"/>
              </w:rPr>
              <w:t>'</w:t>
            </w:r>
            <w:r w:rsidRPr="002D66DE">
              <w:rPr>
                <w:sz w:val="20"/>
              </w:rPr>
              <w:t>assurer l</w:t>
            </w:r>
            <w:r w:rsidR="009F4D21" w:rsidRPr="002D66DE">
              <w:rPr>
                <w:sz w:val="20"/>
              </w:rPr>
              <w:t>'</w:t>
            </w:r>
            <w:r w:rsidRPr="002D66DE">
              <w:rPr>
                <w:sz w:val="20"/>
              </w:rPr>
              <w:t>interconnexion à l</w:t>
            </w:r>
            <w:r w:rsidR="009F4D21" w:rsidRPr="002D66DE">
              <w:rPr>
                <w:sz w:val="20"/>
              </w:rPr>
              <w:t>'</w:t>
            </w:r>
            <w:r w:rsidRPr="002D66DE">
              <w:rPr>
                <w:sz w:val="20"/>
              </w:rPr>
              <w:t>éche</w:t>
            </w:r>
            <w:r w:rsidR="00442976" w:rsidRPr="002D66DE">
              <w:rPr>
                <w:sz w:val="20"/>
              </w:rPr>
              <w:t>l</w:t>
            </w:r>
            <w:r w:rsidRPr="002D66DE">
              <w:rPr>
                <w:sz w:val="20"/>
              </w:rPr>
              <w:t>le mondiale</w:t>
            </w:r>
            <w:r w:rsidR="00442976" w:rsidRPr="002D66DE">
              <w:rPr>
                <w:sz w:val="20"/>
              </w:rPr>
              <w:t xml:space="preserve"> respectant les droits de l</w:t>
            </w:r>
            <w:r w:rsidR="009F4D21" w:rsidRPr="002D66DE">
              <w:rPr>
                <w:sz w:val="20"/>
              </w:rPr>
              <w:t>'</w:t>
            </w:r>
            <w:r w:rsidR="00442976" w:rsidRPr="002D66DE">
              <w:rPr>
                <w:sz w:val="20"/>
              </w:rPr>
              <w:t xml:space="preserve">homme </w:t>
            </w:r>
            <w:r w:rsidR="009D7425" w:rsidRPr="002D66DE">
              <w:rPr>
                <w:sz w:val="20"/>
              </w:rPr>
              <w:t>sont</w:t>
            </w:r>
            <w:r w:rsidR="00442976" w:rsidRPr="002D66DE">
              <w:rPr>
                <w:sz w:val="20"/>
              </w:rPr>
              <w:t xml:space="preserve"> autorisées</w:t>
            </w:r>
            <w:r w:rsidR="00F476A1" w:rsidRPr="002D66DE">
              <w:rPr>
                <w:sz w:val="20"/>
              </w:rPr>
              <w:t>.</w:t>
            </w:r>
          </w:p>
          <w:p w14:paraId="2DD9A59F" w14:textId="06302A38" w:rsidR="00F476A1" w:rsidRPr="002D66DE" w:rsidRDefault="006E7FE8" w:rsidP="00C55BDB">
            <w:pPr>
              <w:pStyle w:val="Tabletext"/>
              <w:rPr>
                <w:sz w:val="20"/>
              </w:rPr>
            </w:pPr>
            <w:bookmarkStart w:id="53" w:name="lt_pId229"/>
            <w:r w:rsidRPr="002D66DE">
              <w:rPr>
                <w:sz w:val="20"/>
              </w:rPr>
              <w:t>De l</w:t>
            </w:r>
            <w:r w:rsidR="009F4D21" w:rsidRPr="002D66DE">
              <w:rPr>
                <w:sz w:val="20"/>
              </w:rPr>
              <w:t>'</w:t>
            </w:r>
            <w:r w:rsidRPr="002D66DE">
              <w:rPr>
                <w:sz w:val="20"/>
              </w:rPr>
              <w:t>avis de c</w:t>
            </w:r>
            <w:r w:rsidR="009820F9" w:rsidRPr="002D66DE">
              <w:rPr>
                <w:sz w:val="20"/>
              </w:rPr>
              <w:t>ertains membres</w:t>
            </w:r>
            <w:r w:rsidRPr="002D66DE">
              <w:rPr>
                <w:sz w:val="20"/>
              </w:rPr>
              <w:t>,</w:t>
            </w:r>
            <w:r w:rsidR="009820F9" w:rsidRPr="002D66DE">
              <w:rPr>
                <w:sz w:val="20"/>
              </w:rPr>
              <w:t xml:space="preserve"> cette disposition ne couvr</w:t>
            </w:r>
            <w:r w:rsidR="009D7425" w:rsidRPr="002D66DE">
              <w:rPr>
                <w:sz w:val="20"/>
              </w:rPr>
              <w:t>e</w:t>
            </w:r>
            <w:r w:rsidR="009820F9" w:rsidRPr="002D66DE">
              <w:rPr>
                <w:sz w:val="20"/>
              </w:rPr>
              <w:t xml:space="preserve"> pas les nouvelles formes de communications électroniques</w:t>
            </w:r>
            <w:bookmarkEnd w:id="53"/>
            <w:r w:rsidR="009820F9" w:rsidRPr="002D66DE">
              <w:rPr>
                <w:sz w:val="20"/>
              </w:rPr>
              <w:t>.</w:t>
            </w:r>
          </w:p>
          <w:p w14:paraId="310F406F" w14:textId="2D2D3CBC" w:rsidR="00F476A1" w:rsidRPr="002D66DE" w:rsidRDefault="006E7FE8" w:rsidP="00C55BDB">
            <w:pPr>
              <w:pStyle w:val="Tabletext"/>
            </w:pPr>
            <w:bookmarkStart w:id="54" w:name="lt_pId230"/>
            <w:r w:rsidRPr="002D66DE">
              <w:rPr>
                <w:sz w:val="20"/>
              </w:rPr>
              <w:t>De l</w:t>
            </w:r>
            <w:r w:rsidR="009F4D21" w:rsidRPr="002D66DE">
              <w:rPr>
                <w:sz w:val="20"/>
              </w:rPr>
              <w:t>'</w:t>
            </w:r>
            <w:r w:rsidRPr="002D66DE">
              <w:rPr>
                <w:sz w:val="20"/>
              </w:rPr>
              <w:t xml:space="preserve">avis de certains membres, </w:t>
            </w:r>
            <w:r w:rsidR="009820F9" w:rsidRPr="002D66DE">
              <w:rPr>
                <w:sz w:val="20"/>
              </w:rPr>
              <w:t xml:space="preserve">la question de la souplesse </w:t>
            </w:r>
            <w:r w:rsidR="009D7425" w:rsidRPr="002D66DE">
              <w:rPr>
                <w:sz w:val="20"/>
              </w:rPr>
              <w:t>est</w:t>
            </w:r>
            <w:r w:rsidR="009820F9" w:rsidRPr="002D66DE">
              <w:rPr>
                <w:sz w:val="20"/>
              </w:rPr>
              <w:t xml:space="preserve"> sans objet en l</w:t>
            </w:r>
            <w:r w:rsidR="009F4D21" w:rsidRPr="002D66DE">
              <w:rPr>
                <w:sz w:val="20"/>
              </w:rPr>
              <w:t>'</w:t>
            </w:r>
            <w:r w:rsidR="009820F9" w:rsidRPr="002D66DE">
              <w:rPr>
                <w:sz w:val="20"/>
              </w:rPr>
              <w:t>espèce puisqu</w:t>
            </w:r>
            <w:r w:rsidR="009F4D21" w:rsidRPr="002D66DE">
              <w:rPr>
                <w:sz w:val="20"/>
              </w:rPr>
              <w:t>'</w:t>
            </w:r>
            <w:r w:rsidRPr="002D66DE">
              <w:rPr>
                <w:sz w:val="20"/>
              </w:rPr>
              <w:t>il s</w:t>
            </w:r>
            <w:r w:rsidR="009F4D21" w:rsidRPr="002D66DE">
              <w:rPr>
                <w:sz w:val="20"/>
              </w:rPr>
              <w:t>'</w:t>
            </w:r>
            <w:r w:rsidRPr="002D66DE">
              <w:rPr>
                <w:sz w:val="20"/>
              </w:rPr>
              <w:t>agit d</w:t>
            </w:r>
            <w:r w:rsidR="009F4D21" w:rsidRPr="002D66DE">
              <w:rPr>
                <w:sz w:val="20"/>
              </w:rPr>
              <w:t>'</w:t>
            </w:r>
            <w:r w:rsidRPr="002D66DE">
              <w:rPr>
                <w:sz w:val="20"/>
              </w:rPr>
              <w:t>une</w:t>
            </w:r>
            <w:r w:rsidR="009820F9" w:rsidRPr="002D66DE">
              <w:rPr>
                <w:sz w:val="20"/>
              </w:rPr>
              <w:t xml:space="preserve"> disposition de très haut niveau</w:t>
            </w:r>
            <w:r w:rsidR="00F476A1" w:rsidRPr="002D66DE">
              <w:rPr>
                <w:sz w:val="20"/>
              </w:rPr>
              <w:t>.</w:t>
            </w:r>
            <w:bookmarkEnd w:id="54"/>
          </w:p>
        </w:tc>
        <w:tc>
          <w:tcPr>
            <w:tcW w:w="2406" w:type="dxa"/>
          </w:tcPr>
          <w:p w14:paraId="10342018" w14:textId="14A48D84"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3127A683" w14:textId="0CF48213" w:rsidR="00F476A1"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3DAC1DBA" w14:textId="0EFD30A8"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3920DAA7" w14:textId="77777777" w:rsidTr="00C55BDB">
        <w:tc>
          <w:tcPr>
            <w:tcW w:w="987" w:type="dxa"/>
          </w:tcPr>
          <w:p w14:paraId="16DC2E3B"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17E64F99"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798862F7"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00499B64"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22DAEFF8"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4434D01E"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6526F6A2" w14:textId="77777777" w:rsidTr="00C55BDB">
        <w:tc>
          <w:tcPr>
            <w:tcW w:w="987" w:type="dxa"/>
          </w:tcPr>
          <w:p w14:paraId="7BCAC172" w14:textId="39713A2F" w:rsidR="00F476A1" w:rsidRPr="002D66DE" w:rsidRDefault="00F476A1" w:rsidP="00C55BDB">
            <w:pPr>
              <w:pStyle w:val="Tablehead"/>
              <w:rPr>
                <w:sz w:val="20"/>
                <w:szCs w:val="20"/>
              </w:rPr>
            </w:pPr>
            <w:r w:rsidRPr="002D66DE">
              <w:rPr>
                <w:sz w:val="20"/>
                <w:szCs w:val="20"/>
              </w:rPr>
              <w:t>9</w:t>
            </w:r>
          </w:p>
        </w:tc>
        <w:tc>
          <w:tcPr>
            <w:tcW w:w="2860" w:type="dxa"/>
          </w:tcPr>
          <w:p w14:paraId="2C6C2DD3" w14:textId="50E9ACA0" w:rsidR="00F476A1" w:rsidRPr="002D66DE" w:rsidRDefault="00F476A1" w:rsidP="00C55BDB">
            <w:pPr>
              <w:pStyle w:val="Tabletext"/>
              <w:rPr>
                <w:b/>
                <w:bCs/>
                <w:sz w:val="20"/>
                <w:szCs w:val="20"/>
              </w:rPr>
            </w:pPr>
            <w:r w:rsidRPr="002D66DE">
              <w:rPr>
                <w:b/>
                <w:bCs/>
                <w:sz w:val="20"/>
                <w:szCs w:val="20"/>
              </w:rPr>
              <w:t>1.4</w:t>
            </w:r>
            <w:r w:rsidRPr="002D66DE">
              <w:rPr>
                <w:b/>
                <w:bCs/>
                <w:sz w:val="20"/>
                <w:szCs w:val="20"/>
              </w:rPr>
              <w:tab/>
              <w:t>Dans le présent Règlement, les références aux Recommandations du Secteur de la normalisation des télécommunications (UIT-T) ne doivent pas être considérées comme accordant à ces Recommandations le même statut juridique que le Règlement.</w:t>
            </w:r>
          </w:p>
        </w:tc>
        <w:tc>
          <w:tcPr>
            <w:tcW w:w="3716" w:type="dxa"/>
          </w:tcPr>
          <w:p w14:paraId="4D26B16C" w14:textId="77777777" w:rsidR="00F476A1" w:rsidRPr="002D66DE" w:rsidRDefault="00F476A1" w:rsidP="00C55BDB">
            <w:pPr>
              <w:pStyle w:val="Tabletext"/>
              <w:rPr>
                <w:sz w:val="20"/>
                <w:szCs w:val="20"/>
              </w:rPr>
            </w:pPr>
            <w:r w:rsidRPr="002D66DE">
              <w:rPr>
                <w:sz w:val="20"/>
                <w:szCs w:val="20"/>
              </w:rPr>
              <w:t>1.4</w:t>
            </w:r>
            <w:r w:rsidRPr="002D66DE">
              <w:rPr>
                <w:sz w:val="20"/>
                <w:szCs w:val="20"/>
              </w:rPr>
              <w:tab/>
              <w:t>Dans le présent Règlement, les références aux Recommandations du CCITT et Instructions ne doivent pas être considérées comme accordant à ces Recommandations et Instructions le même statut juridique que le Règlement.</w:t>
            </w:r>
          </w:p>
        </w:tc>
        <w:tc>
          <w:tcPr>
            <w:tcW w:w="2613" w:type="dxa"/>
          </w:tcPr>
          <w:p w14:paraId="3D6696BD" w14:textId="56CC0ED3" w:rsidR="00F476A1" w:rsidRPr="002D66DE" w:rsidRDefault="00014FB9" w:rsidP="00C55BDB">
            <w:pPr>
              <w:pStyle w:val="Tabletext"/>
              <w:rPr>
                <w:sz w:val="20"/>
              </w:rPr>
            </w:pPr>
            <w:bookmarkStart w:id="55" w:name="lt_pId237"/>
            <w:r w:rsidRPr="002D66DE">
              <w:rPr>
                <w:sz w:val="20"/>
              </w:rPr>
              <w:t>De l</w:t>
            </w:r>
            <w:r w:rsidR="009F4D21" w:rsidRPr="002D66DE">
              <w:rPr>
                <w:sz w:val="20"/>
              </w:rPr>
              <w:t>'</w:t>
            </w:r>
            <w:r w:rsidRPr="002D66DE">
              <w:rPr>
                <w:sz w:val="20"/>
              </w:rPr>
              <w:t xml:space="preserve">avis de certains membres, </w:t>
            </w:r>
            <w:r w:rsidR="009820F9" w:rsidRPr="002D66DE">
              <w:rPr>
                <w:sz w:val="20"/>
              </w:rPr>
              <w:t xml:space="preserve">cette disposition </w:t>
            </w:r>
            <w:r w:rsidR="00661C12" w:rsidRPr="002D66DE">
              <w:rPr>
                <w:sz w:val="20"/>
              </w:rPr>
              <w:t>est</w:t>
            </w:r>
            <w:r w:rsidR="009820F9" w:rsidRPr="002D66DE">
              <w:rPr>
                <w:sz w:val="20"/>
              </w:rPr>
              <w:t xml:space="preserve"> applicable et permet de résoudre les problèmes d</w:t>
            </w:r>
            <w:r w:rsidR="009F4D21" w:rsidRPr="002D66DE">
              <w:rPr>
                <w:sz w:val="20"/>
              </w:rPr>
              <w:t>'</w:t>
            </w:r>
            <w:r w:rsidR="009820F9" w:rsidRPr="002D66DE">
              <w:rPr>
                <w:sz w:val="20"/>
              </w:rPr>
              <w:t>interconnexion</w:t>
            </w:r>
            <w:bookmarkEnd w:id="55"/>
            <w:r w:rsidR="009820F9" w:rsidRPr="002D66DE">
              <w:rPr>
                <w:sz w:val="20"/>
              </w:rPr>
              <w:t>.</w:t>
            </w:r>
          </w:p>
          <w:p w14:paraId="607157CC" w14:textId="32BD12DE" w:rsidR="00F476A1" w:rsidRPr="002D66DE" w:rsidRDefault="00014FB9" w:rsidP="00C55BDB">
            <w:pPr>
              <w:pStyle w:val="Tabletext"/>
              <w:rPr>
                <w:sz w:val="20"/>
                <w:szCs w:val="20"/>
              </w:rPr>
            </w:pPr>
            <w:r w:rsidRPr="002D66DE">
              <w:rPr>
                <w:sz w:val="20"/>
              </w:rPr>
              <w:t>De l</w:t>
            </w:r>
            <w:r w:rsidR="009F4D21" w:rsidRPr="002D66DE">
              <w:rPr>
                <w:sz w:val="20"/>
              </w:rPr>
              <w:t>'</w:t>
            </w:r>
            <w:r w:rsidRPr="002D66DE">
              <w:rPr>
                <w:sz w:val="20"/>
              </w:rPr>
              <w:t xml:space="preserve">avis de certains membres, </w:t>
            </w:r>
            <w:r w:rsidR="009820F9" w:rsidRPr="002D66DE">
              <w:rPr>
                <w:sz w:val="20"/>
              </w:rPr>
              <w:t xml:space="preserve">cette disposition </w:t>
            </w:r>
            <w:r w:rsidRPr="002D66DE">
              <w:rPr>
                <w:sz w:val="20"/>
              </w:rPr>
              <w:t>porte sur</w:t>
            </w:r>
            <w:r w:rsidR="009820F9" w:rsidRPr="002D66DE">
              <w:rPr>
                <w:sz w:val="20"/>
              </w:rPr>
              <w:t xml:space="preserve"> une question </w:t>
            </w:r>
            <w:r w:rsidR="001F233F" w:rsidRPr="002D66DE">
              <w:rPr>
                <w:sz w:val="20"/>
              </w:rPr>
              <w:t>qui n</w:t>
            </w:r>
            <w:r w:rsidR="009F4D21" w:rsidRPr="002D66DE">
              <w:rPr>
                <w:sz w:val="20"/>
              </w:rPr>
              <w:t>'</w:t>
            </w:r>
            <w:r w:rsidR="001F233F" w:rsidRPr="002D66DE">
              <w:rPr>
                <w:sz w:val="20"/>
              </w:rPr>
              <w:t>entr</w:t>
            </w:r>
            <w:r w:rsidR="00661C12" w:rsidRPr="002D66DE">
              <w:rPr>
                <w:sz w:val="20"/>
              </w:rPr>
              <w:t>e</w:t>
            </w:r>
            <w:r w:rsidR="001F233F" w:rsidRPr="002D66DE">
              <w:rPr>
                <w:sz w:val="20"/>
              </w:rPr>
              <w:t xml:space="preserve"> pas dans le champ d</w:t>
            </w:r>
            <w:r w:rsidR="009F4D21" w:rsidRPr="002D66DE">
              <w:rPr>
                <w:sz w:val="20"/>
              </w:rPr>
              <w:t>'</w:t>
            </w:r>
            <w:r w:rsidR="001F233F" w:rsidRPr="002D66DE">
              <w:rPr>
                <w:sz w:val="20"/>
              </w:rPr>
              <w:t>application du traité</w:t>
            </w:r>
            <w:r w:rsidR="00F476A1" w:rsidRPr="002D66DE">
              <w:rPr>
                <w:sz w:val="20"/>
              </w:rPr>
              <w:t>.</w:t>
            </w:r>
          </w:p>
        </w:tc>
        <w:tc>
          <w:tcPr>
            <w:tcW w:w="2595" w:type="dxa"/>
          </w:tcPr>
          <w:p w14:paraId="7D594B25" w14:textId="31672F19" w:rsidR="00F476A1" w:rsidRPr="002D66DE" w:rsidRDefault="001D634E" w:rsidP="00C55BDB">
            <w:pPr>
              <w:pStyle w:val="Tabletext"/>
              <w:rPr>
                <w:sz w:val="20"/>
              </w:rPr>
            </w:pPr>
            <w:r w:rsidRPr="002D66DE">
              <w:rPr>
                <w:sz w:val="20"/>
                <w:szCs w:val="20"/>
              </w:rPr>
              <w:t>Certains membres ont estimé que cette disposition offr</w:t>
            </w:r>
            <w:r w:rsidR="00661C12" w:rsidRPr="002D66DE">
              <w:rPr>
                <w:sz w:val="20"/>
                <w:szCs w:val="20"/>
              </w:rPr>
              <w:t>e</w:t>
            </w:r>
            <w:r w:rsidRPr="002D66DE">
              <w:rPr>
                <w:sz w:val="20"/>
                <w:szCs w:val="20"/>
              </w:rPr>
              <w:t xml:space="preserve"> la souplesse nécessaire pour tenir compte des nouvelles tendances et </w:t>
            </w:r>
            <w:r w:rsidRPr="002D66DE">
              <w:rPr>
                <w:sz w:val="20"/>
              </w:rPr>
              <w:t>des nouveaux problèmes qui se font jour.</w:t>
            </w:r>
          </w:p>
          <w:p w14:paraId="7A9DB4B0" w14:textId="7D183591" w:rsidR="00F476A1" w:rsidRPr="002D66DE" w:rsidRDefault="009820F9" w:rsidP="00C55BDB">
            <w:pPr>
              <w:pStyle w:val="Tabletext"/>
              <w:rPr>
                <w:sz w:val="20"/>
              </w:rPr>
            </w:pPr>
            <w:bookmarkStart w:id="56" w:name="lt_pId240"/>
            <w:r w:rsidRPr="002D66DE">
              <w:rPr>
                <w:sz w:val="20"/>
              </w:rPr>
              <w:t xml:space="preserve">Certains membres ont estimé que </w:t>
            </w:r>
            <w:r w:rsidR="001F233F" w:rsidRPr="002D66DE">
              <w:rPr>
                <w:sz w:val="20"/>
              </w:rPr>
              <w:t>cette disposition n</w:t>
            </w:r>
            <w:r w:rsidR="009F4D21" w:rsidRPr="002D66DE">
              <w:rPr>
                <w:sz w:val="20"/>
              </w:rPr>
              <w:t>'</w:t>
            </w:r>
            <w:r w:rsidR="001F233F" w:rsidRPr="002D66DE">
              <w:rPr>
                <w:sz w:val="20"/>
              </w:rPr>
              <w:t>offr</w:t>
            </w:r>
            <w:r w:rsidR="00661C12" w:rsidRPr="002D66DE">
              <w:rPr>
                <w:sz w:val="20"/>
              </w:rPr>
              <w:t>e</w:t>
            </w:r>
            <w:r w:rsidR="001F233F" w:rsidRPr="002D66DE">
              <w:rPr>
                <w:sz w:val="20"/>
              </w:rPr>
              <w:t xml:space="preserve"> pas de souplesse puisqu</w:t>
            </w:r>
            <w:r w:rsidR="009F4D21" w:rsidRPr="002D66DE">
              <w:rPr>
                <w:sz w:val="20"/>
              </w:rPr>
              <w:t>'</w:t>
            </w:r>
            <w:r w:rsidR="001F233F" w:rsidRPr="002D66DE">
              <w:rPr>
                <w:sz w:val="20"/>
              </w:rPr>
              <w:t>elle ne mentionn</w:t>
            </w:r>
            <w:r w:rsidR="00661C12" w:rsidRPr="002D66DE">
              <w:rPr>
                <w:sz w:val="20"/>
              </w:rPr>
              <w:t>e</w:t>
            </w:r>
            <w:r w:rsidR="001F233F" w:rsidRPr="002D66DE">
              <w:rPr>
                <w:sz w:val="20"/>
              </w:rPr>
              <w:t xml:space="preserve"> que les Recommandations de l</w:t>
            </w:r>
            <w:r w:rsidR="009F4D21" w:rsidRPr="002D66DE">
              <w:rPr>
                <w:sz w:val="20"/>
              </w:rPr>
              <w:t>'</w:t>
            </w:r>
            <w:r w:rsidR="001F233F" w:rsidRPr="002D66DE">
              <w:rPr>
                <w:sz w:val="20"/>
              </w:rPr>
              <w:t>UIT</w:t>
            </w:r>
            <w:r w:rsidR="00F476A1" w:rsidRPr="002D66DE">
              <w:rPr>
                <w:sz w:val="20"/>
              </w:rPr>
              <w:t>-T.</w:t>
            </w:r>
            <w:bookmarkEnd w:id="56"/>
          </w:p>
          <w:p w14:paraId="77420599" w14:textId="3CCA6BA9" w:rsidR="00F476A1" w:rsidRPr="002D66DE" w:rsidRDefault="009820F9" w:rsidP="00C55BDB">
            <w:pPr>
              <w:pStyle w:val="Tabletext"/>
              <w:rPr>
                <w:sz w:val="20"/>
                <w:szCs w:val="20"/>
              </w:rPr>
            </w:pPr>
            <w:bookmarkStart w:id="57" w:name="lt_pId241"/>
            <w:r w:rsidRPr="002D66DE">
              <w:rPr>
                <w:sz w:val="20"/>
              </w:rPr>
              <w:t>Certains membres ont estimé que</w:t>
            </w:r>
            <w:r w:rsidR="001F233F" w:rsidRPr="002D66DE">
              <w:rPr>
                <w:sz w:val="20"/>
              </w:rPr>
              <w:t xml:space="preserve"> la question de la souplesse </w:t>
            </w:r>
            <w:r w:rsidR="00661C12" w:rsidRPr="002D66DE">
              <w:rPr>
                <w:sz w:val="20"/>
              </w:rPr>
              <w:t>est</w:t>
            </w:r>
            <w:r w:rsidR="001F233F" w:rsidRPr="002D66DE">
              <w:rPr>
                <w:sz w:val="20"/>
              </w:rPr>
              <w:t xml:space="preserve"> </w:t>
            </w:r>
            <w:r w:rsidR="00DD43AD" w:rsidRPr="002D66DE">
              <w:rPr>
                <w:sz w:val="20"/>
              </w:rPr>
              <w:t>sans rapport avec cette disposition parce que cette question sort du carde du RTI</w:t>
            </w:r>
            <w:r w:rsidR="00F476A1" w:rsidRPr="002D66DE">
              <w:rPr>
                <w:sz w:val="20"/>
              </w:rPr>
              <w:t>.</w:t>
            </w:r>
            <w:bookmarkEnd w:id="57"/>
          </w:p>
        </w:tc>
        <w:tc>
          <w:tcPr>
            <w:tcW w:w="2406" w:type="dxa"/>
          </w:tcPr>
          <w:p w14:paraId="4833051E" w14:textId="6E9C6E43"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1815570B" w14:textId="6D61892B"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3ADDAC47" w14:textId="00D45024" w:rsidR="00F476A1" w:rsidRPr="002D66DE" w:rsidRDefault="00DD43AD" w:rsidP="00C55BDB">
            <w:pPr>
              <w:pStyle w:val="Tabletext"/>
              <w:rPr>
                <w:sz w:val="20"/>
                <w:szCs w:val="20"/>
              </w:rPr>
            </w:pPr>
            <w:bookmarkStart w:id="58" w:name="lt_pId244"/>
            <w:r w:rsidRPr="002D66DE">
              <w:rPr>
                <w:sz w:val="20"/>
              </w:rPr>
              <w:t>Certains autres membres ont</w:t>
            </w:r>
            <w:bookmarkEnd w:id="58"/>
            <w:r w:rsidRPr="002D66DE">
              <w:rPr>
                <w:sz w:val="20"/>
              </w:rPr>
              <w:t xml:space="preserve"> </w:t>
            </w:r>
            <w:r w:rsidR="00A66DB1" w:rsidRPr="002D66DE">
              <w:rPr>
                <w:sz w:val="20"/>
              </w:rPr>
              <w:t>fait valoir</w:t>
            </w:r>
            <w:r w:rsidRPr="002D66DE">
              <w:rPr>
                <w:sz w:val="20"/>
              </w:rPr>
              <w:t xml:space="preserve"> que cette disposition </w:t>
            </w:r>
            <w:r w:rsidR="00D31A27" w:rsidRPr="002D66DE">
              <w:rPr>
                <w:sz w:val="20"/>
              </w:rPr>
              <w:t>doit</w:t>
            </w:r>
            <w:r w:rsidRPr="002D66DE">
              <w:rPr>
                <w:sz w:val="20"/>
              </w:rPr>
              <w:t xml:space="preserve"> être mise à jour afin de tenir compte des normes de l</w:t>
            </w:r>
            <w:r w:rsidR="009F4D21" w:rsidRPr="002D66DE">
              <w:rPr>
                <w:sz w:val="20"/>
              </w:rPr>
              <w:t>'</w:t>
            </w:r>
            <w:r w:rsidRPr="002D66DE">
              <w:rPr>
                <w:sz w:val="20"/>
              </w:rPr>
              <w:t>UIT.</w:t>
            </w:r>
          </w:p>
        </w:tc>
      </w:tr>
    </w:tbl>
    <w:p w14:paraId="201A158A" w14:textId="588FAD83"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081E7EE2" w14:textId="77777777" w:rsidTr="00C55BDB">
        <w:tc>
          <w:tcPr>
            <w:tcW w:w="987" w:type="dxa"/>
          </w:tcPr>
          <w:p w14:paraId="792C352E"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30010D30"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3363BE6F"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148D738E"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1196D027"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61BC192B"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153CEC40" w14:textId="77777777" w:rsidTr="00C55BDB">
        <w:tc>
          <w:tcPr>
            <w:tcW w:w="987" w:type="dxa"/>
          </w:tcPr>
          <w:p w14:paraId="407A6015" w14:textId="0F4CC076" w:rsidR="00F476A1" w:rsidRPr="002D66DE" w:rsidRDefault="00F476A1" w:rsidP="00C55BDB">
            <w:pPr>
              <w:pStyle w:val="Tablehead"/>
              <w:rPr>
                <w:sz w:val="20"/>
                <w:szCs w:val="20"/>
              </w:rPr>
            </w:pPr>
            <w:r w:rsidRPr="002D66DE">
              <w:rPr>
                <w:sz w:val="20"/>
                <w:szCs w:val="20"/>
              </w:rPr>
              <w:t>10</w:t>
            </w:r>
          </w:p>
        </w:tc>
        <w:tc>
          <w:tcPr>
            <w:tcW w:w="2860" w:type="dxa"/>
          </w:tcPr>
          <w:p w14:paraId="31C4CB63" w14:textId="0E802079" w:rsidR="00F476A1" w:rsidRPr="002D66DE" w:rsidRDefault="00F476A1" w:rsidP="00C55BDB">
            <w:pPr>
              <w:pStyle w:val="Tabletext"/>
              <w:rPr>
                <w:b/>
                <w:bCs/>
                <w:sz w:val="20"/>
              </w:rPr>
            </w:pPr>
            <w:r w:rsidRPr="002D66DE">
              <w:rPr>
                <w:b/>
                <w:bCs/>
                <w:sz w:val="20"/>
                <w:szCs w:val="20"/>
              </w:rPr>
              <w:t>1.5</w:t>
            </w:r>
            <w:r w:rsidRPr="002D66DE">
              <w:rPr>
                <w:b/>
                <w:bCs/>
                <w:sz w:val="20"/>
                <w:szCs w:val="20"/>
              </w:rPr>
              <w:tab/>
              <w:t>Dans le cadre du présent Règlement, la fourniture et l'exploitation des services internationaux de télécommunication dans chaque relation dépendent d'accords mutuels entre exploitations autorisées.</w:t>
            </w:r>
          </w:p>
        </w:tc>
        <w:tc>
          <w:tcPr>
            <w:tcW w:w="3716" w:type="dxa"/>
          </w:tcPr>
          <w:p w14:paraId="65BB72EC" w14:textId="34AE7427" w:rsidR="00366C36" w:rsidRPr="002D66DE" w:rsidRDefault="00F476A1" w:rsidP="00C55BDB">
            <w:pPr>
              <w:pStyle w:val="Tabletext"/>
              <w:rPr>
                <w:rFonts w:eastAsia="Times New Roman" w:cs="Times New Roman"/>
                <w:sz w:val="20"/>
                <w:szCs w:val="20"/>
              </w:rPr>
            </w:pPr>
            <w:r w:rsidRPr="002D66DE">
              <w:rPr>
                <w:rFonts w:eastAsia="Times New Roman" w:cs="Times New Roman"/>
                <w:sz w:val="20"/>
                <w:szCs w:val="20"/>
              </w:rPr>
              <w:t>1.5</w:t>
            </w:r>
            <w:r w:rsidRPr="002D66DE">
              <w:rPr>
                <w:rFonts w:eastAsia="Times New Roman" w:cs="Times New Roman"/>
                <w:sz w:val="20"/>
                <w:szCs w:val="20"/>
              </w:rPr>
              <w:tab/>
              <w:t>Dans le cadre du présent Règlement, la fourniture et l'exploitation des services internationaux de télécommunication dans chaque relation dépendent d'accords mutuels entre administrations</w:t>
            </w:r>
            <w:r w:rsidR="004C7683" w:rsidRPr="002D66DE">
              <w:rPr>
                <w:rStyle w:val="FootnoteReference"/>
                <w:rFonts w:eastAsia="Times New Roman" w:cs="Times New Roman"/>
                <w:szCs w:val="20"/>
              </w:rPr>
              <w:footnoteReference w:customMarkFollows="1" w:id="2"/>
              <w:t>*</w:t>
            </w:r>
            <w:r w:rsidRPr="002D66DE">
              <w:rPr>
                <w:rFonts w:eastAsia="Times New Roman" w:cs="Times New Roman"/>
                <w:sz w:val="20"/>
                <w:szCs w:val="20"/>
              </w:rPr>
              <w:t>.</w:t>
            </w:r>
          </w:p>
        </w:tc>
        <w:tc>
          <w:tcPr>
            <w:tcW w:w="2613" w:type="dxa"/>
          </w:tcPr>
          <w:p w14:paraId="649224B3" w14:textId="68D819C1" w:rsidR="00F476A1" w:rsidRPr="002D66DE" w:rsidRDefault="00DD43AD" w:rsidP="00C55BDB">
            <w:pPr>
              <w:pStyle w:val="Tabletext"/>
              <w:rPr>
                <w:sz w:val="20"/>
              </w:rPr>
            </w:pPr>
            <w:r w:rsidRPr="002D66DE">
              <w:rPr>
                <w:rFonts w:cstheme="minorHAnsi"/>
                <w:sz w:val="20"/>
                <w:szCs w:val="20"/>
              </w:rPr>
              <w:t xml:space="preserve">Certains membres ont estimé que cette disposition </w:t>
            </w:r>
            <w:r w:rsidR="00661C12" w:rsidRPr="002D66DE">
              <w:rPr>
                <w:rFonts w:cstheme="minorHAnsi"/>
                <w:sz w:val="20"/>
                <w:szCs w:val="20"/>
              </w:rPr>
              <w:t>est</w:t>
            </w:r>
            <w:r w:rsidRPr="002D66DE">
              <w:rPr>
                <w:rFonts w:cstheme="minorHAnsi"/>
                <w:sz w:val="20"/>
                <w:szCs w:val="20"/>
              </w:rPr>
              <w:t xml:space="preserve"> applicabl</w:t>
            </w:r>
            <w:r w:rsidR="00C81448" w:rsidRPr="002D66DE">
              <w:rPr>
                <w:rFonts w:cstheme="minorHAnsi"/>
                <w:sz w:val="20"/>
                <w:szCs w:val="20"/>
              </w:rPr>
              <w:t xml:space="preserve">e, soutient le développement des réseaux et des services et </w:t>
            </w:r>
            <w:r w:rsidRPr="002D66DE">
              <w:rPr>
                <w:rFonts w:cstheme="minorHAnsi"/>
                <w:sz w:val="20"/>
                <w:szCs w:val="20"/>
              </w:rPr>
              <w:t>permet de résoudre les problèmes d</w:t>
            </w:r>
            <w:r w:rsidR="009F4D21" w:rsidRPr="002D66DE">
              <w:rPr>
                <w:rFonts w:cstheme="minorHAnsi"/>
                <w:sz w:val="20"/>
                <w:szCs w:val="20"/>
              </w:rPr>
              <w:t>'</w:t>
            </w:r>
            <w:r w:rsidRPr="002D66DE">
              <w:rPr>
                <w:rFonts w:cstheme="minorHAnsi"/>
                <w:sz w:val="20"/>
                <w:szCs w:val="20"/>
              </w:rPr>
              <w:t>interconnexion mais n</w:t>
            </w:r>
            <w:r w:rsidR="009F4D21" w:rsidRPr="002D66DE">
              <w:rPr>
                <w:rFonts w:cstheme="minorHAnsi"/>
                <w:sz w:val="20"/>
                <w:szCs w:val="20"/>
              </w:rPr>
              <w:t>'</w:t>
            </w:r>
            <w:r w:rsidRPr="002D66DE">
              <w:rPr>
                <w:rFonts w:cstheme="minorHAnsi"/>
                <w:sz w:val="20"/>
                <w:szCs w:val="20"/>
              </w:rPr>
              <w:t>inclu</w:t>
            </w:r>
            <w:r w:rsidR="00661C12" w:rsidRPr="002D66DE">
              <w:rPr>
                <w:rFonts w:cstheme="minorHAnsi"/>
                <w:sz w:val="20"/>
                <w:szCs w:val="20"/>
              </w:rPr>
              <w:t xml:space="preserve">t </w:t>
            </w:r>
            <w:r w:rsidRPr="002D66DE">
              <w:rPr>
                <w:rFonts w:cstheme="minorHAnsi"/>
                <w:sz w:val="20"/>
                <w:szCs w:val="20"/>
              </w:rPr>
              <w:t>pas de nouveaux acteurs</w:t>
            </w:r>
            <w:r w:rsidR="00F476A1" w:rsidRPr="002D66DE">
              <w:rPr>
                <w:sz w:val="20"/>
              </w:rPr>
              <w:t>.</w:t>
            </w:r>
          </w:p>
          <w:p w14:paraId="6334BF65" w14:textId="33266D00" w:rsidR="00F476A1" w:rsidRPr="002D66DE" w:rsidRDefault="001D634E" w:rsidP="00C55BDB">
            <w:pPr>
              <w:pStyle w:val="Tabletext"/>
              <w:rPr>
                <w:sz w:val="20"/>
              </w:rPr>
            </w:pPr>
            <w:r w:rsidRPr="002D66DE">
              <w:rPr>
                <w:sz w:val="20"/>
              </w:rPr>
              <w:t>Certains membres ont estimé que cette disposition n</w:t>
            </w:r>
            <w:r w:rsidR="009F4D21" w:rsidRPr="002D66DE">
              <w:rPr>
                <w:sz w:val="20"/>
              </w:rPr>
              <w:t>'</w:t>
            </w:r>
            <w:r w:rsidR="00661C12" w:rsidRPr="002D66DE">
              <w:rPr>
                <w:sz w:val="20"/>
              </w:rPr>
              <w:t>est</w:t>
            </w:r>
            <w:r w:rsidRPr="002D66DE">
              <w:rPr>
                <w:sz w:val="20"/>
              </w:rPr>
              <w:t xml:space="preserve"> pas applicable puisque la plupart des accords </w:t>
            </w:r>
            <w:r w:rsidR="00661C12" w:rsidRPr="002D66DE">
              <w:rPr>
                <w:sz w:val="20"/>
              </w:rPr>
              <w:t>sont</w:t>
            </w:r>
            <w:r w:rsidRPr="002D66DE">
              <w:rPr>
                <w:sz w:val="20"/>
              </w:rPr>
              <w:t xml:space="preserve"> conclus en dehors du cadre du RTI.</w:t>
            </w:r>
          </w:p>
        </w:tc>
        <w:tc>
          <w:tcPr>
            <w:tcW w:w="2595" w:type="dxa"/>
          </w:tcPr>
          <w:p w14:paraId="160CB852" w14:textId="78194C73" w:rsidR="00F476A1" w:rsidRPr="002D66DE" w:rsidRDefault="001D634E" w:rsidP="00C55BDB">
            <w:pPr>
              <w:pStyle w:val="Tabletext"/>
              <w:rPr>
                <w:sz w:val="20"/>
              </w:rPr>
            </w:pPr>
            <w:r w:rsidRPr="002D66DE">
              <w:rPr>
                <w:sz w:val="20"/>
                <w:szCs w:val="20"/>
              </w:rPr>
              <w:t xml:space="preserve">Certains membres ont estimé que cette disposition </w:t>
            </w:r>
            <w:r w:rsidR="00661C12" w:rsidRPr="002D66DE">
              <w:rPr>
                <w:sz w:val="20"/>
                <w:szCs w:val="20"/>
              </w:rPr>
              <w:t>est</w:t>
            </w:r>
            <w:r w:rsidR="00DD3FE8" w:rsidRPr="002D66DE">
              <w:rPr>
                <w:sz w:val="20"/>
                <w:szCs w:val="20"/>
              </w:rPr>
              <w:t xml:space="preserve"> suffisamment souple</w:t>
            </w:r>
            <w:r w:rsidRPr="002D66DE">
              <w:rPr>
                <w:sz w:val="20"/>
                <w:szCs w:val="20"/>
              </w:rPr>
              <w:t xml:space="preserve"> pour tenir compte des nouvelles tendances et </w:t>
            </w:r>
            <w:r w:rsidRPr="002D66DE">
              <w:rPr>
                <w:sz w:val="20"/>
              </w:rPr>
              <w:t>des nouveaux problèmes qui se font jour</w:t>
            </w:r>
            <w:r w:rsidR="00C81448" w:rsidRPr="002D66DE">
              <w:rPr>
                <w:sz w:val="20"/>
              </w:rPr>
              <w:t>, et c</w:t>
            </w:r>
            <w:r w:rsidRPr="002D66DE">
              <w:rPr>
                <w:sz w:val="20"/>
              </w:rPr>
              <w:t>ertains d</w:t>
            </w:r>
            <w:r w:rsidR="009F4D21" w:rsidRPr="002D66DE">
              <w:rPr>
                <w:sz w:val="20"/>
              </w:rPr>
              <w:t>'</w:t>
            </w:r>
            <w:r w:rsidRPr="002D66DE">
              <w:rPr>
                <w:sz w:val="20"/>
              </w:rPr>
              <w:t xml:space="preserve">entre eux ont </w:t>
            </w:r>
            <w:r w:rsidR="00D85984" w:rsidRPr="002D66DE">
              <w:rPr>
                <w:sz w:val="20"/>
              </w:rPr>
              <w:t>souligné</w:t>
            </w:r>
            <w:r w:rsidRPr="002D66DE">
              <w:rPr>
                <w:sz w:val="20"/>
              </w:rPr>
              <w:t xml:space="preserve"> qu</w:t>
            </w:r>
            <w:r w:rsidR="009F4D21" w:rsidRPr="002D66DE">
              <w:rPr>
                <w:sz w:val="20"/>
              </w:rPr>
              <w:t>'</w:t>
            </w:r>
            <w:r w:rsidRPr="002D66DE">
              <w:rPr>
                <w:sz w:val="20"/>
              </w:rPr>
              <w:t xml:space="preserve">elle permet la mise en place de services internationaux de télécommunication selon des conditions commerciales définies dans le cadre d'accords mutuels entre exploitations autorisées. </w:t>
            </w:r>
          </w:p>
          <w:p w14:paraId="0107D7D1" w14:textId="42CCD20E" w:rsidR="00F476A1" w:rsidRPr="002D66DE" w:rsidRDefault="00C81448" w:rsidP="00C55BDB">
            <w:pPr>
              <w:pStyle w:val="Tabletext"/>
              <w:rPr>
                <w:sz w:val="20"/>
              </w:rPr>
            </w:pPr>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 xml:space="preserve">avis de certains membres, </w:t>
            </w:r>
            <w:r w:rsidR="001D634E" w:rsidRPr="002D66DE">
              <w:rPr>
                <w:rFonts w:cstheme="minorHAnsi"/>
                <w:sz w:val="20"/>
                <w:szCs w:val="20"/>
              </w:rPr>
              <w:t>cette disposition n</w:t>
            </w:r>
            <w:r w:rsidR="009F4D21" w:rsidRPr="002D66DE">
              <w:rPr>
                <w:rFonts w:cstheme="minorHAnsi"/>
                <w:sz w:val="20"/>
                <w:szCs w:val="20"/>
              </w:rPr>
              <w:t>'</w:t>
            </w:r>
            <w:r w:rsidR="00661C12" w:rsidRPr="002D66DE">
              <w:rPr>
                <w:rFonts w:cstheme="minorHAnsi"/>
                <w:sz w:val="20"/>
                <w:szCs w:val="20"/>
              </w:rPr>
              <w:t>est</w:t>
            </w:r>
            <w:r w:rsidR="001D634E" w:rsidRPr="002D66DE">
              <w:rPr>
                <w:rFonts w:cstheme="minorHAnsi"/>
                <w:sz w:val="20"/>
                <w:szCs w:val="20"/>
              </w:rPr>
              <w:t xml:space="preserve"> pas souple parce qu</w:t>
            </w:r>
            <w:r w:rsidR="009F4D21" w:rsidRPr="002D66DE">
              <w:rPr>
                <w:rFonts w:cstheme="minorHAnsi"/>
                <w:sz w:val="20"/>
                <w:szCs w:val="20"/>
              </w:rPr>
              <w:t>'</w:t>
            </w:r>
            <w:r w:rsidR="001D634E" w:rsidRPr="002D66DE">
              <w:rPr>
                <w:rFonts w:cstheme="minorHAnsi"/>
                <w:sz w:val="20"/>
                <w:szCs w:val="20"/>
              </w:rPr>
              <w:t xml:space="preserve">elle </w:t>
            </w:r>
            <w:r w:rsidR="001D634E" w:rsidRPr="002D66DE">
              <w:rPr>
                <w:sz w:val="20"/>
              </w:rPr>
              <w:t>n</w:t>
            </w:r>
            <w:r w:rsidR="009F4D21" w:rsidRPr="002D66DE">
              <w:rPr>
                <w:sz w:val="20"/>
              </w:rPr>
              <w:t>'</w:t>
            </w:r>
            <w:r w:rsidR="001D634E" w:rsidRPr="002D66DE">
              <w:rPr>
                <w:sz w:val="20"/>
              </w:rPr>
              <w:t>inclu</w:t>
            </w:r>
            <w:r w:rsidR="00661C12" w:rsidRPr="002D66DE">
              <w:rPr>
                <w:sz w:val="20"/>
              </w:rPr>
              <w:t>t</w:t>
            </w:r>
            <w:r w:rsidR="001D634E" w:rsidRPr="002D66DE">
              <w:rPr>
                <w:sz w:val="20"/>
              </w:rPr>
              <w:t xml:space="preserve"> pas de nouveaux acteurs</w:t>
            </w:r>
            <w:r w:rsidR="00F476A1" w:rsidRPr="002D66DE">
              <w:rPr>
                <w:sz w:val="20"/>
              </w:rPr>
              <w:t>.</w:t>
            </w:r>
          </w:p>
          <w:p w14:paraId="799F6299" w14:textId="6B0ADC42" w:rsidR="00F476A1" w:rsidRPr="002D66DE" w:rsidRDefault="00C81448" w:rsidP="00C55BDB">
            <w:pPr>
              <w:pStyle w:val="Tabletext"/>
              <w:rPr>
                <w:sz w:val="20"/>
                <w:highlight w:val="lightGray"/>
              </w:rPr>
            </w:pPr>
            <w:bookmarkStart w:id="59" w:name="lt_pId254"/>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avis de certains membres,</w:t>
            </w:r>
            <w:r w:rsidRPr="002D66DE">
              <w:rPr>
                <w:sz w:val="20"/>
              </w:rPr>
              <w:t xml:space="preserve"> </w:t>
            </w:r>
            <w:r w:rsidR="001D634E" w:rsidRPr="002D66DE">
              <w:rPr>
                <w:sz w:val="20"/>
              </w:rPr>
              <w:t>cette disposition n</w:t>
            </w:r>
            <w:r w:rsidR="009F4D21" w:rsidRPr="002D66DE">
              <w:rPr>
                <w:sz w:val="20"/>
              </w:rPr>
              <w:t>'</w:t>
            </w:r>
            <w:r w:rsidR="00661C12" w:rsidRPr="002D66DE">
              <w:rPr>
                <w:sz w:val="20"/>
              </w:rPr>
              <w:t>est</w:t>
            </w:r>
            <w:r w:rsidR="001D634E" w:rsidRPr="002D66DE">
              <w:rPr>
                <w:sz w:val="20"/>
              </w:rPr>
              <w:t xml:space="preserve"> pas suffisamment souple</w:t>
            </w:r>
            <w:r w:rsidR="00F476A1" w:rsidRPr="002D66DE">
              <w:rPr>
                <w:sz w:val="20"/>
              </w:rPr>
              <w:t xml:space="preserve"> </w:t>
            </w:r>
            <w:r w:rsidR="001D634E" w:rsidRPr="002D66DE">
              <w:rPr>
                <w:sz w:val="20"/>
              </w:rPr>
              <w:t>pour s</w:t>
            </w:r>
            <w:r w:rsidR="009F4D21" w:rsidRPr="002D66DE">
              <w:rPr>
                <w:sz w:val="20"/>
              </w:rPr>
              <w:t>'</w:t>
            </w:r>
            <w:r w:rsidR="001D634E" w:rsidRPr="002D66DE">
              <w:rPr>
                <w:sz w:val="20"/>
              </w:rPr>
              <w:t xml:space="preserve">adapter </w:t>
            </w:r>
            <w:r w:rsidRPr="002D66DE">
              <w:rPr>
                <w:sz w:val="20"/>
              </w:rPr>
              <w:t>à la manière dont sont gérés</w:t>
            </w:r>
            <w:r w:rsidR="001D634E" w:rsidRPr="002D66DE">
              <w:rPr>
                <w:sz w:val="20"/>
              </w:rPr>
              <w:t xml:space="preserve"> les accords</w:t>
            </w:r>
            <w:r w:rsidRPr="002D66DE">
              <w:rPr>
                <w:sz w:val="20"/>
              </w:rPr>
              <w:t xml:space="preserve"> actuels</w:t>
            </w:r>
            <w:r w:rsidR="001D634E" w:rsidRPr="002D66DE">
              <w:rPr>
                <w:sz w:val="20"/>
              </w:rPr>
              <w:t>.</w:t>
            </w:r>
            <w:bookmarkEnd w:id="59"/>
          </w:p>
        </w:tc>
        <w:tc>
          <w:tcPr>
            <w:tcW w:w="2406" w:type="dxa"/>
          </w:tcPr>
          <w:p w14:paraId="7C61E709" w14:textId="2C3B8AEC"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56629F37" w14:textId="4C9B5722"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729690C6" w14:textId="4C882E0C" w:rsidR="00F476A1" w:rsidRPr="002D66DE" w:rsidRDefault="00D31A27" w:rsidP="00C55BDB">
            <w:pPr>
              <w:pStyle w:val="Tabletext"/>
              <w:rPr>
                <w:sz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p>
        </w:tc>
      </w:tr>
    </w:tbl>
    <w:p w14:paraId="08B40657" w14:textId="57057EA0"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0973CE70" w14:textId="77777777" w:rsidTr="00C55BDB">
        <w:tc>
          <w:tcPr>
            <w:tcW w:w="987" w:type="dxa"/>
          </w:tcPr>
          <w:p w14:paraId="51181777"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244903DA"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202590F2"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5C366A15"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2E907D20"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781CF1C3"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00001245" w14:textId="77777777" w:rsidTr="00C55BDB">
        <w:tc>
          <w:tcPr>
            <w:tcW w:w="987" w:type="dxa"/>
          </w:tcPr>
          <w:p w14:paraId="06FC8B66" w14:textId="193A0E4D" w:rsidR="00F476A1" w:rsidRPr="002D66DE" w:rsidRDefault="00F476A1" w:rsidP="00C55BDB">
            <w:pPr>
              <w:pStyle w:val="Tablehead"/>
              <w:rPr>
                <w:sz w:val="20"/>
                <w:szCs w:val="20"/>
              </w:rPr>
            </w:pPr>
            <w:r w:rsidRPr="002D66DE">
              <w:rPr>
                <w:sz w:val="20"/>
                <w:szCs w:val="20"/>
              </w:rPr>
              <w:t>11</w:t>
            </w:r>
          </w:p>
        </w:tc>
        <w:tc>
          <w:tcPr>
            <w:tcW w:w="2860" w:type="dxa"/>
          </w:tcPr>
          <w:p w14:paraId="217C75C3" w14:textId="77777777" w:rsidR="00F476A1" w:rsidRPr="002D66DE" w:rsidRDefault="00F476A1" w:rsidP="00C55BDB">
            <w:pPr>
              <w:pStyle w:val="Tabletext"/>
              <w:rPr>
                <w:b/>
                <w:bCs/>
                <w:sz w:val="20"/>
                <w:szCs w:val="20"/>
              </w:rPr>
            </w:pPr>
            <w:r w:rsidRPr="002D66DE">
              <w:rPr>
                <w:b/>
                <w:bCs/>
                <w:sz w:val="20"/>
                <w:szCs w:val="20"/>
              </w:rPr>
              <w:t>1.6</w:t>
            </w:r>
            <w:r w:rsidRPr="002D66DE">
              <w:rPr>
                <w:b/>
                <w:bCs/>
                <w:sz w:val="20"/>
                <w:szCs w:val="20"/>
              </w:rPr>
              <w:tab/>
              <w:t>Pour appliquer les principes du présent Règlement, les exploitations autorisées devraient se conformer, dans toute la mesure possible, aux Recommandations UIT-T pertinentes.</w:t>
            </w:r>
          </w:p>
        </w:tc>
        <w:tc>
          <w:tcPr>
            <w:tcW w:w="3716" w:type="dxa"/>
          </w:tcPr>
          <w:p w14:paraId="3EBE8C09" w14:textId="02E36F88" w:rsidR="00F476A1" w:rsidRPr="002D66DE" w:rsidRDefault="00F476A1" w:rsidP="00C55BDB">
            <w:pPr>
              <w:pStyle w:val="Tabletext"/>
              <w:rPr>
                <w:sz w:val="20"/>
                <w:szCs w:val="20"/>
              </w:rPr>
            </w:pPr>
            <w:r w:rsidRPr="002D66DE">
              <w:rPr>
                <w:sz w:val="20"/>
                <w:szCs w:val="20"/>
              </w:rPr>
              <w:t>1.6</w:t>
            </w:r>
            <w:r w:rsidRPr="002D66DE">
              <w:rPr>
                <w:sz w:val="20"/>
                <w:szCs w:val="20"/>
              </w:rPr>
              <w:tab/>
              <w:t>Pour appliquer les principes du présent Règlement, les administrations</w:t>
            </w:r>
            <w:r w:rsidR="004C7683" w:rsidRPr="002D66DE">
              <w:rPr>
                <w:rStyle w:val="FootnoteReference"/>
                <w:szCs w:val="20"/>
              </w:rPr>
              <w:footnoteReference w:customMarkFollows="1" w:id="3"/>
              <w:t>*</w:t>
            </w:r>
            <w:r w:rsidRPr="002D66DE">
              <w:rPr>
                <w:sz w:val="20"/>
              </w:rPr>
              <w:fldChar w:fldCharType="begin"/>
            </w:r>
            <w:r w:rsidRPr="002D66DE">
              <w:rPr>
                <w:sz w:val="20"/>
                <w:szCs w:val="20"/>
              </w:rPr>
              <w:instrText xml:space="preserve"> NOTEREF _Ref319329538 \f  \* MERGEFORMAT </w:instrText>
            </w:r>
            <w:r w:rsidRPr="002D66DE">
              <w:rPr>
                <w:sz w:val="20"/>
              </w:rPr>
              <w:fldChar w:fldCharType="separate"/>
            </w:r>
            <w:r w:rsidR="005D0363" w:rsidRPr="005D0363">
              <w:rPr>
                <w:rStyle w:val="FootnoteReference"/>
              </w:rPr>
              <w:t>*.</w:t>
            </w:r>
            <w:r w:rsidRPr="002D66DE">
              <w:rPr>
                <w:sz w:val="20"/>
              </w:rPr>
              <w:fldChar w:fldCharType="end"/>
            </w:r>
            <w:r w:rsidRPr="002D66DE">
              <w:rPr>
                <w:sz w:val="20"/>
                <w:szCs w:val="20"/>
              </w:rPr>
              <w:t xml:space="preserve"> devraient se conformer, dans toute la mesure de ce qui est réalisable, aux Recommandations pertinentes du CCITT, y compris, le cas échéant, aux Instructions qui font partie de ces Recommandations ou qui en sont tirées.</w:t>
            </w:r>
          </w:p>
        </w:tc>
        <w:tc>
          <w:tcPr>
            <w:tcW w:w="2613" w:type="dxa"/>
          </w:tcPr>
          <w:p w14:paraId="2A93B34B" w14:textId="105711E8" w:rsidR="00F476A1" w:rsidRPr="002D66DE" w:rsidRDefault="00AF0F7D" w:rsidP="00C55BDB">
            <w:pPr>
              <w:pStyle w:val="Tabletext"/>
              <w:rPr>
                <w:sz w:val="20"/>
              </w:rPr>
            </w:pPr>
            <w:bookmarkStart w:id="60" w:name="lt_pId263"/>
            <w:r w:rsidRPr="002D66DE">
              <w:rPr>
                <w:sz w:val="20"/>
              </w:rPr>
              <w:t xml:space="preserve">Certains membres ont estimé que cette </w:t>
            </w:r>
            <w:r w:rsidR="00366C36" w:rsidRPr="002D66DE">
              <w:rPr>
                <w:sz w:val="20"/>
              </w:rPr>
              <w:t xml:space="preserve">disposition </w:t>
            </w:r>
            <w:r w:rsidR="00291C79" w:rsidRPr="002D66DE">
              <w:rPr>
                <w:sz w:val="20"/>
              </w:rPr>
              <w:t>est</w:t>
            </w:r>
            <w:r w:rsidRPr="002D66DE">
              <w:rPr>
                <w:sz w:val="20"/>
              </w:rPr>
              <w:t xml:space="preserve"> a</w:t>
            </w:r>
            <w:r w:rsidR="00F476A1" w:rsidRPr="002D66DE">
              <w:rPr>
                <w:sz w:val="20"/>
              </w:rPr>
              <w:t>pplicable</w:t>
            </w:r>
            <w:r w:rsidRPr="002D66DE">
              <w:rPr>
                <w:sz w:val="20"/>
              </w:rPr>
              <w:t xml:space="preserve"> et permet le développement des réseaux et des services</w:t>
            </w:r>
            <w:r w:rsidR="00F476A1" w:rsidRPr="002D66DE">
              <w:rPr>
                <w:sz w:val="20"/>
              </w:rPr>
              <w:t xml:space="preserve">, </w:t>
            </w:r>
            <w:r w:rsidRPr="002D66DE">
              <w:rPr>
                <w:sz w:val="20"/>
              </w:rPr>
              <w:t>et ont souligné qu</w:t>
            </w:r>
            <w:r w:rsidR="009F4D21" w:rsidRPr="002D66DE">
              <w:rPr>
                <w:sz w:val="20"/>
              </w:rPr>
              <w:t>'</w:t>
            </w:r>
            <w:r w:rsidRPr="002D66DE">
              <w:rPr>
                <w:sz w:val="20"/>
              </w:rPr>
              <w:t>elle</w:t>
            </w:r>
            <w:r w:rsidR="00626756" w:rsidRPr="002D66DE">
              <w:rPr>
                <w:sz w:val="20"/>
              </w:rPr>
              <w:t xml:space="preserve"> </w:t>
            </w:r>
            <w:r w:rsidR="00474851" w:rsidRPr="002D66DE">
              <w:rPr>
                <w:sz w:val="20"/>
              </w:rPr>
              <w:t>fournit</w:t>
            </w:r>
            <w:r w:rsidR="00366C36" w:rsidRPr="002D66DE">
              <w:rPr>
                <w:sz w:val="20"/>
              </w:rPr>
              <w:t xml:space="preserve"> aussi des </w:t>
            </w:r>
            <w:r w:rsidR="007A6BB2" w:rsidRPr="002D66DE">
              <w:rPr>
                <w:sz w:val="20"/>
              </w:rPr>
              <w:t>lignes directrice</w:t>
            </w:r>
            <w:r w:rsidR="0030139E" w:rsidRPr="002D66DE">
              <w:rPr>
                <w:sz w:val="20"/>
              </w:rPr>
              <w:t>s qui ne sont pas obligatoire</w:t>
            </w:r>
            <w:r w:rsidR="00626756" w:rsidRPr="002D66DE">
              <w:rPr>
                <w:sz w:val="20"/>
              </w:rPr>
              <w:t>s</w:t>
            </w:r>
            <w:r w:rsidR="0030139E" w:rsidRPr="002D66DE">
              <w:rPr>
                <w:sz w:val="20"/>
              </w:rPr>
              <w:t xml:space="preserve"> et peuvent donc ne pas être respectées</w:t>
            </w:r>
            <w:r w:rsidR="00F476A1" w:rsidRPr="002D66DE">
              <w:rPr>
                <w:sz w:val="20"/>
              </w:rPr>
              <w:t>.</w:t>
            </w:r>
            <w:bookmarkEnd w:id="60"/>
            <w:r w:rsidR="00F476A1" w:rsidRPr="002D66DE">
              <w:rPr>
                <w:sz w:val="20"/>
              </w:rPr>
              <w:t xml:space="preserve"> </w:t>
            </w:r>
          </w:p>
          <w:p w14:paraId="0ACF3563" w14:textId="6452D997" w:rsidR="00F476A1" w:rsidRPr="002D66DE" w:rsidRDefault="0030139E" w:rsidP="00C55BDB">
            <w:pPr>
              <w:pStyle w:val="Tabletext"/>
              <w:rPr>
                <w:sz w:val="20"/>
              </w:rPr>
            </w:pPr>
            <w:bookmarkStart w:id="61" w:name="lt_pId264"/>
            <w:r w:rsidRPr="002D66DE">
              <w:rPr>
                <w:sz w:val="20"/>
              </w:rPr>
              <w:t xml:space="preserve">Certains membres ont </w:t>
            </w:r>
            <w:r w:rsidR="00474851" w:rsidRPr="002D66DE">
              <w:rPr>
                <w:sz w:val="20"/>
              </w:rPr>
              <w:t>fait observer</w:t>
            </w:r>
            <w:r w:rsidRPr="002D66DE">
              <w:rPr>
                <w:sz w:val="20"/>
              </w:rPr>
              <w:t xml:space="preserve"> que cette disposition </w:t>
            </w:r>
            <w:r w:rsidR="00291C79" w:rsidRPr="002D66DE">
              <w:rPr>
                <w:sz w:val="20"/>
              </w:rPr>
              <w:t>p</w:t>
            </w:r>
            <w:r w:rsidR="00474851" w:rsidRPr="002D66DE">
              <w:rPr>
                <w:sz w:val="20"/>
              </w:rPr>
              <w:t>ouvai</w:t>
            </w:r>
            <w:r w:rsidR="00291C79" w:rsidRPr="002D66DE">
              <w:rPr>
                <w:sz w:val="20"/>
              </w:rPr>
              <w:t>t</w:t>
            </w:r>
            <w:r w:rsidRPr="002D66DE">
              <w:rPr>
                <w:sz w:val="20"/>
              </w:rPr>
              <w:t xml:space="preserve"> être contraire</w:t>
            </w:r>
            <w:r w:rsidR="00F476A1" w:rsidRPr="002D66DE">
              <w:rPr>
                <w:sz w:val="20"/>
              </w:rPr>
              <w:t xml:space="preserve"> </w:t>
            </w:r>
            <w:r w:rsidRPr="002D66DE">
              <w:rPr>
                <w:sz w:val="20"/>
              </w:rPr>
              <w:t>à la disposition</w:t>
            </w:r>
            <w:r w:rsidR="00F476A1" w:rsidRPr="002D66DE">
              <w:rPr>
                <w:sz w:val="20"/>
              </w:rPr>
              <w:t xml:space="preserve"> 1.4.</w:t>
            </w:r>
            <w:bookmarkEnd w:id="61"/>
          </w:p>
          <w:p w14:paraId="2F0F1913" w14:textId="7EAB3F2E" w:rsidR="00F476A1" w:rsidRPr="002D66DE" w:rsidRDefault="00474851" w:rsidP="00C55BDB">
            <w:pPr>
              <w:pStyle w:val="Tabletext"/>
              <w:rPr>
                <w:sz w:val="20"/>
                <w:szCs w:val="20"/>
              </w:rPr>
            </w:pPr>
            <w:bookmarkStart w:id="62" w:name="lt_pId265"/>
            <w:r w:rsidRPr="002D66DE">
              <w:rPr>
                <w:sz w:val="20"/>
              </w:rPr>
              <w:t>De l</w:t>
            </w:r>
            <w:r w:rsidR="009F4D21" w:rsidRPr="002D66DE">
              <w:rPr>
                <w:sz w:val="20"/>
              </w:rPr>
              <w:t>'</w:t>
            </w:r>
            <w:r w:rsidRPr="002D66DE">
              <w:rPr>
                <w:sz w:val="20"/>
              </w:rPr>
              <w:t>avis de c</w:t>
            </w:r>
            <w:r w:rsidR="0030139E" w:rsidRPr="002D66DE">
              <w:rPr>
                <w:sz w:val="20"/>
              </w:rPr>
              <w:t>ertains membres</w:t>
            </w:r>
            <w:r w:rsidRPr="002D66DE">
              <w:rPr>
                <w:sz w:val="20"/>
              </w:rPr>
              <w:t xml:space="preserve">, </w:t>
            </w:r>
            <w:r w:rsidR="0030139E" w:rsidRPr="002D66DE">
              <w:rPr>
                <w:sz w:val="20"/>
              </w:rPr>
              <w:t>l</w:t>
            </w:r>
            <w:r w:rsidR="009F4D21" w:rsidRPr="002D66DE">
              <w:rPr>
                <w:sz w:val="20"/>
              </w:rPr>
              <w:t>'</w:t>
            </w:r>
            <w:r w:rsidR="0030139E" w:rsidRPr="002D66DE">
              <w:rPr>
                <w:sz w:val="20"/>
              </w:rPr>
              <w:t>applicabilité de cette disposition n</w:t>
            </w:r>
            <w:r w:rsidR="009F4D21" w:rsidRPr="002D66DE">
              <w:rPr>
                <w:sz w:val="20"/>
              </w:rPr>
              <w:t>'</w:t>
            </w:r>
            <w:r w:rsidR="00661C12" w:rsidRPr="002D66DE">
              <w:rPr>
                <w:sz w:val="20"/>
              </w:rPr>
              <w:t xml:space="preserve">est </w:t>
            </w:r>
            <w:r w:rsidR="0030139E" w:rsidRPr="002D66DE">
              <w:rPr>
                <w:sz w:val="20"/>
              </w:rPr>
              <w:t>pas claire parce qu</w:t>
            </w:r>
            <w:r w:rsidR="009F4D21" w:rsidRPr="002D66DE">
              <w:rPr>
                <w:sz w:val="20"/>
              </w:rPr>
              <w:t>'</w:t>
            </w:r>
            <w:r w:rsidR="0030139E" w:rsidRPr="002D66DE">
              <w:rPr>
                <w:sz w:val="20"/>
              </w:rPr>
              <w:t>elle se prêt</w:t>
            </w:r>
            <w:r w:rsidR="00661C12" w:rsidRPr="002D66DE">
              <w:rPr>
                <w:sz w:val="20"/>
              </w:rPr>
              <w:t>e</w:t>
            </w:r>
            <w:r w:rsidR="0030139E" w:rsidRPr="002D66DE">
              <w:rPr>
                <w:sz w:val="20"/>
              </w:rPr>
              <w:t xml:space="preserve"> à de nombreuses</w:t>
            </w:r>
            <w:r w:rsidR="004C7683" w:rsidRPr="002D66DE">
              <w:rPr>
                <w:sz w:val="20"/>
              </w:rPr>
              <w:t xml:space="preserve"> </w:t>
            </w:r>
            <w:r w:rsidR="00F476A1" w:rsidRPr="002D66DE">
              <w:rPr>
                <w:sz w:val="20"/>
              </w:rPr>
              <w:t>interpr</w:t>
            </w:r>
            <w:r w:rsidR="0030139E" w:rsidRPr="002D66DE">
              <w:rPr>
                <w:sz w:val="20"/>
              </w:rPr>
              <w:t>é</w:t>
            </w:r>
            <w:r w:rsidR="00F476A1" w:rsidRPr="002D66DE">
              <w:rPr>
                <w:sz w:val="20"/>
              </w:rPr>
              <w:t>tation</w:t>
            </w:r>
            <w:r w:rsidR="0030139E" w:rsidRPr="002D66DE">
              <w:rPr>
                <w:sz w:val="20"/>
              </w:rPr>
              <w:t xml:space="preserve">s et </w:t>
            </w:r>
            <w:r w:rsidR="00333EC8" w:rsidRPr="002D66DE">
              <w:rPr>
                <w:sz w:val="20"/>
              </w:rPr>
              <w:t>qu</w:t>
            </w:r>
            <w:r w:rsidR="009F4D21" w:rsidRPr="002D66DE">
              <w:rPr>
                <w:sz w:val="20"/>
              </w:rPr>
              <w:t>'</w:t>
            </w:r>
            <w:r w:rsidR="0030139E" w:rsidRPr="002D66DE">
              <w:rPr>
                <w:sz w:val="20"/>
              </w:rPr>
              <w:t>en tout état de cause</w:t>
            </w:r>
            <w:r w:rsidR="00333EC8" w:rsidRPr="002D66DE">
              <w:rPr>
                <w:sz w:val="20"/>
              </w:rPr>
              <w:t xml:space="preserve"> elle</w:t>
            </w:r>
            <w:r w:rsidR="0030139E" w:rsidRPr="002D66DE">
              <w:rPr>
                <w:sz w:val="20"/>
              </w:rPr>
              <w:t xml:space="preserve"> n'</w:t>
            </w:r>
            <w:r w:rsidR="00661C12" w:rsidRPr="002D66DE">
              <w:rPr>
                <w:sz w:val="20"/>
              </w:rPr>
              <w:t>est</w:t>
            </w:r>
            <w:r w:rsidR="0030139E" w:rsidRPr="002D66DE">
              <w:rPr>
                <w:sz w:val="20"/>
              </w:rPr>
              <w:t xml:space="preserve"> pas juridiquement exécutoire</w:t>
            </w:r>
            <w:r w:rsidR="00F476A1" w:rsidRPr="002D66DE">
              <w:rPr>
                <w:sz w:val="20"/>
              </w:rPr>
              <w:t>.</w:t>
            </w:r>
            <w:bookmarkEnd w:id="62"/>
          </w:p>
        </w:tc>
        <w:tc>
          <w:tcPr>
            <w:tcW w:w="2595" w:type="dxa"/>
          </w:tcPr>
          <w:p w14:paraId="61F9E732" w14:textId="171C57F0" w:rsidR="00F476A1" w:rsidRPr="002D66DE" w:rsidRDefault="00474851" w:rsidP="00C55BDB">
            <w:pPr>
              <w:pStyle w:val="Tabletext"/>
              <w:rPr>
                <w:sz w:val="20"/>
              </w:rPr>
            </w:pPr>
            <w:bookmarkStart w:id="63" w:name="lt_pId266"/>
            <w:r w:rsidRPr="002D66DE">
              <w:rPr>
                <w:sz w:val="20"/>
              </w:rPr>
              <w:t>De l</w:t>
            </w:r>
            <w:r w:rsidR="009F4D21" w:rsidRPr="002D66DE">
              <w:rPr>
                <w:sz w:val="20"/>
              </w:rPr>
              <w:t>'</w:t>
            </w:r>
            <w:r w:rsidRPr="002D66DE">
              <w:rPr>
                <w:sz w:val="20"/>
              </w:rPr>
              <w:t>avis de certains membres,</w:t>
            </w:r>
            <w:r w:rsidR="00333EC8" w:rsidRPr="002D66DE">
              <w:rPr>
                <w:sz w:val="20"/>
              </w:rPr>
              <w:t xml:space="preserve"> cette disposition </w:t>
            </w:r>
            <w:r w:rsidR="00291C79" w:rsidRPr="002D66DE">
              <w:rPr>
                <w:sz w:val="20"/>
              </w:rPr>
              <w:t>est</w:t>
            </w:r>
            <w:r w:rsidR="00333EC8" w:rsidRPr="002D66DE">
              <w:rPr>
                <w:sz w:val="20"/>
              </w:rPr>
              <w:t xml:space="preserve">, dans une certaine mesure, suffisamment souple pour tenir compte des nouvelles tendances et </w:t>
            </w:r>
            <w:r w:rsidR="00862FF5" w:rsidRPr="002D66DE">
              <w:rPr>
                <w:sz w:val="20"/>
              </w:rPr>
              <w:t xml:space="preserve">des nouveaux </w:t>
            </w:r>
            <w:r w:rsidR="00862FF5" w:rsidRPr="002D66DE">
              <w:rPr>
                <w:color w:val="000000"/>
                <w:sz w:val="20"/>
              </w:rPr>
              <w:t xml:space="preserve">problèmes </w:t>
            </w:r>
            <w:r w:rsidR="00333EC8" w:rsidRPr="002D66DE">
              <w:rPr>
                <w:sz w:val="20"/>
              </w:rPr>
              <w:t>qui se font jour</w:t>
            </w:r>
            <w:r w:rsidR="00F476A1" w:rsidRPr="002D66DE">
              <w:rPr>
                <w:sz w:val="20"/>
              </w:rPr>
              <w:t xml:space="preserve">, </w:t>
            </w:r>
            <w:r w:rsidR="00333EC8" w:rsidRPr="002D66DE">
              <w:rPr>
                <w:sz w:val="20"/>
              </w:rPr>
              <w:t>notamment parce qu</w:t>
            </w:r>
            <w:r w:rsidR="009F4D21" w:rsidRPr="002D66DE">
              <w:rPr>
                <w:sz w:val="20"/>
              </w:rPr>
              <w:t>'</w:t>
            </w:r>
            <w:r w:rsidR="00333EC8" w:rsidRPr="002D66DE">
              <w:rPr>
                <w:sz w:val="20"/>
              </w:rPr>
              <w:t>elle permet l</w:t>
            </w:r>
            <w:r w:rsidR="009F4D21" w:rsidRPr="002D66DE">
              <w:rPr>
                <w:sz w:val="20"/>
              </w:rPr>
              <w:t>'</w:t>
            </w:r>
            <w:r w:rsidR="00333EC8" w:rsidRPr="002D66DE">
              <w:rPr>
                <w:sz w:val="20"/>
              </w:rPr>
              <w:t>utilisation d</w:t>
            </w:r>
            <w:r w:rsidR="009F4D21" w:rsidRPr="002D66DE">
              <w:rPr>
                <w:sz w:val="20"/>
              </w:rPr>
              <w:t>'</w:t>
            </w:r>
            <w:r w:rsidR="00333EC8" w:rsidRPr="002D66DE">
              <w:rPr>
                <w:sz w:val="20"/>
              </w:rPr>
              <w:t>autres normes</w:t>
            </w:r>
            <w:r w:rsidR="00F476A1" w:rsidRPr="002D66DE">
              <w:rPr>
                <w:sz w:val="20"/>
              </w:rPr>
              <w:t>.</w:t>
            </w:r>
            <w:bookmarkEnd w:id="63"/>
          </w:p>
          <w:p w14:paraId="4147353A" w14:textId="6EE2C813" w:rsidR="00F476A1" w:rsidRPr="002D66DE" w:rsidRDefault="00474851" w:rsidP="00C55BDB">
            <w:pPr>
              <w:pStyle w:val="Tabletext"/>
              <w:rPr>
                <w:sz w:val="20"/>
              </w:rPr>
            </w:pPr>
            <w:bookmarkStart w:id="64" w:name="lt_pId267"/>
            <w:r w:rsidRPr="002D66DE">
              <w:rPr>
                <w:sz w:val="20"/>
              </w:rPr>
              <w:t>De l</w:t>
            </w:r>
            <w:r w:rsidR="009F4D21" w:rsidRPr="002D66DE">
              <w:rPr>
                <w:sz w:val="20"/>
              </w:rPr>
              <w:t>'</w:t>
            </w:r>
            <w:r w:rsidRPr="002D66DE">
              <w:rPr>
                <w:sz w:val="20"/>
              </w:rPr>
              <w:t>avis de certains membres,</w:t>
            </w:r>
            <w:r w:rsidR="00333EC8" w:rsidRPr="002D66DE">
              <w:rPr>
                <w:sz w:val="20"/>
              </w:rPr>
              <w:t xml:space="preserve"> </w:t>
            </w:r>
            <w:r w:rsidRPr="002D66DE">
              <w:rPr>
                <w:sz w:val="20"/>
              </w:rPr>
              <w:t>le manque de souplesse de cette disposition s</w:t>
            </w:r>
            <w:r w:rsidR="009F4D21" w:rsidRPr="002D66DE">
              <w:rPr>
                <w:sz w:val="20"/>
              </w:rPr>
              <w:t>'</w:t>
            </w:r>
            <w:r w:rsidRPr="002D66DE">
              <w:rPr>
                <w:sz w:val="20"/>
              </w:rPr>
              <w:t>explique notamment par l</w:t>
            </w:r>
            <w:r w:rsidR="009F4D21" w:rsidRPr="002D66DE">
              <w:rPr>
                <w:sz w:val="20"/>
              </w:rPr>
              <w:t>'</w:t>
            </w:r>
            <w:r w:rsidRPr="002D66DE">
              <w:rPr>
                <w:sz w:val="20"/>
              </w:rPr>
              <w:t>év</w:t>
            </w:r>
            <w:r w:rsidR="008A5CD4" w:rsidRPr="002D66DE">
              <w:rPr>
                <w:sz w:val="20"/>
              </w:rPr>
              <w:t xml:space="preserve">entail </w:t>
            </w:r>
            <w:r w:rsidRPr="002D66DE">
              <w:rPr>
                <w:sz w:val="20"/>
              </w:rPr>
              <w:t xml:space="preserve">limité </w:t>
            </w:r>
            <w:r w:rsidR="008A5CD4" w:rsidRPr="002D66DE">
              <w:rPr>
                <w:sz w:val="20"/>
              </w:rPr>
              <w:t>de</w:t>
            </w:r>
            <w:r w:rsidR="00CA481F" w:rsidRPr="002D66DE">
              <w:rPr>
                <w:sz w:val="20"/>
              </w:rPr>
              <w:t>s</w:t>
            </w:r>
            <w:r w:rsidR="008A5CD4" w:rsidRPr="002D66DE">
              <w:rPr>
                <w:sz w:val="20"/>
              </w:rPr>
              <w:t xml:space="preserve"> Recommandations utilisées</w:t>
            </w:r>
            <w:r w:rsidR="00F476A1" w:rsidRPr="002D66DE">
              <w:rPr>
                <w:sz w:val="20"/>
              </w:rPr>
              <w:t>.</w:t>
            </w:r>
            <w:bookmarkEnd w:id="64"/>
            <w:r w:rsidR="00F476A1" w:rsidRPr="002D66DE">
              <w:rPr>
                <w:sz w:val="20"/>
              </w:rPr>
              <w:t xml:space="preserve"> </w:t>
            </w:r>
          </w:p>
          <w:p w14:paraId="7141C5A4" w14:textId="1A689944" w:rsidR="00F476A1" w:rsidRPr="002D66DE" w:rsidRDefault="00CA481F" w:rsidP="00C55BDB">
            <w:pPr>
              <w:pStyle w:val="Tabletext"/>
              <w:rPr>
                <w:sz w:val="20"/>
                <w:szCs w:val="20"/>
              </w:rPr>
            </w:pPr>
            <w:bookmarkStart w:id="65" w:name="lt_pId268"/>
            <w:r w:rsidRPr="002D66DE">
              <w:rPr>
                <w:sz w:val="20"/>
              </w:rPr>
              <w:t>De l</w:t>
            </w:r>
            <w:r w:rsidR="009F4D21" w:rsidRPr="002D66DE">
              <w:rPr>
                <w:sz w:val="20"/>
              </w:rPr>
              <w:t>'</w:t>
            </w:r>
            <w:r w:rsidRPr="002D66DE">
              <w:rPr>
                <w:sz w:val="20"/>
              </w:rPr>
              <w:t xml:space="preserve">avis de certains membres, </w:t>
            </w:r>
            <w:r w:rsidR="008A5CD4" w:rsidRPr="002D66DE">
              <w:rPr>
                <w:sz w:val="20"/>
              </w:rPr>
              <w:t>cette dispositio</w:t>
            </w:r>
            <w:r w:rsidRPr="002D66DE">
              <w:rPr>
                <w:sz w:val="20"/>
              </w:rPr>
              <w:t>n n</w:t>
            </w:r>
            <w:r w:rsidR="009F4D21" w:rsidRPr="002D66DE">
              <w:rPr>
                <w:sz w:val="20"/>
              </w:rPr>
              <w:t>'</w:t>
            </w:r>
            <w:r w:rsidRPr="002D66DE">
              <w:rPr>
                <w:sz w:val="20"/>
              </w:rPr>
              <w:t>offre pas</w:t>
            </w:r>
            <w:r w:rsidR="008A5CD4" w:rsidRPr="002D66DE">
              <w:rPr>
                <w:sz w:val="20"/>
              </w:rPr>
              <w:t xml:space="preserve"> de souplesse du fait de son manque de clarté, étant donné qu</w:t>
            </w:r>
            <w:r w:rsidR="009F4D21" w:rsidRPr="002D66DE">
              <w:rPr>
                <w:sz w:val="20"/>
              </w:rPr>
              <w:t>'</w:t>
            </w:r>
            <w:r w:rsidR="008A5CD4" w:rsidRPr="002D66DE">
              <w:rPr>
                <w:sz w:val="20"/>
              </w:rPr>
              <w:t>il fa</w:t>
            </w:r>
            <w:r w:rsidR="00661C12" w:rsidRPr="002D66DE">
              <w:rPr>
                <w:sz w:val="20"/>
              </w:rPr>
              <w:t>ut</w:t>
            </w:r>
            <w:r w:rsidR="008A5CD4" w:rsidRPr="002D66DE">
              <w:rPr>
                <w:sz w:val="20"/>
              </w:rPr>
              <w:t xml:space="preserve"> du temps pour rendre disponibles les</w:t>
            </w:r>
            <w:r w:rsidR="004C7683" w:rsidRPr="002D66DE">
              <w:rPr>
                <w:sz w:val="20"/>
              </w:rPr>
              <w:t xml:space="preserve"> </w:t>
            </w:r>
            <w:r w:rsidR="00F476A1" w:rsidRPr="002D66DE">
              <w:rPr>
                <w:sz w:val="20"/>
              </w:rPr>
              <w:t>Recomm</w:t>
            </w:r>
            <w:r w:rsidR="008A5CD4" w:rsidRPr="002D66DE">
              <w:rPr>
                <w:sz w:val="20"/>
              </w:rPr>
              <w:t>a</w:t>
            </w:r>
            <w:r w:rsidR="00F476A1" w:rsidRPr="002D66DE">
              <w:rPr>
                <w:sz w:val="20"/>
              </w:rPr>
              <w:t xml:space="preserve">ndations </w:t>
            </w:r>
            <w:r w:rsidR="008A5CD4" w:rsidRPr="002D66DE">
              <w:rPr>
                <w:sz w:val="20"/>
              </w:rPr>
              <w:t>concernant les nouvelles tendances et les nouveaux problèmes</w:t>
            </w:r>
            <w:r w:rsidR="00F476A1" w:rsidRPr="002D66DE">
              <w:rPr>
                <w:sz w:val="20"/>
              </w:rPr>
              <w:t>.</w:t>
            </w:r>
            <w:bookmarkEnd w:id="65"/>
          </w:p>
        </w:tc>
        <w:tc>
          <w:tcPr>
            <w:tcW w:w="2406" w:type="dxa"/>
          </w:tcPr>
          <w:p w14:paraId="7C6BC7E2" w14:textId="0D426EDF"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2D01D70C" w14:textId="3AC35742"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03481952" w14:textId="2B971398" w:rsidR="00F476A1" w:rsidRPr="002D66DE" w:rsidRDefault="00D31A27" w:rsidP="00C55BDB">
            <w:pPr>
              <w:pStyle w:val="Tabletext"/>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A66DB1" w:rsidRPr="002D66DE">
              <w:rPr>
                <w:sz w:val="20"/>
                <w:szCs w:val="20"/>
              </w:rPr>
              <w:t xml:space="preserve">. </w:t>
            </w:r>
          </w:p>
        </w:tc>
      </w:tr>
      <w:tr w:rsidR="00C55BDB" w:rsidRPr="002D66DE" w14:paraId="766480D9" w14:textId="77777777" w:rsidTr="00C55BDB">
        <w:tc>
          <w:tcPr>
            <w:tcW w:w="987" w:type="dxa"/>
          </w:tcPr>
          <w:p w14:paraId="5B0E5389"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4FA7974B"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6B6400FE"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76870DED"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362E2E77"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24B95E54"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68217218" w14:textId="77777777" w:rsidTr="00C55BDB">
        <w:tc>
          <w:tcPr>
            <w:tcW w:w="987" w:type="dxa"/>
          </w:tcPr>
          <w:p w14:paraId="1DC98C61" w14:textId="4580B217" w:rsidR="00F476A1" w:rsidRPr="002D66DE" w:rsidRDefault="00F476A1" w:rsidP="00C55BDB">
            <w:pPr>
              <w:pStyle w:val="Tablehead"/>
              <w:rPr>
                <w:sz w:val="20"/>
                <w:szCs w:val="20"/>
              </w:rPr>
            </w:pPr>
            <w:r w:rsidRPr="002D66DE">
              <w:rPr>
                <w:sz w:val="20"/>
                <w:szCs w:val="20"/>
              </w:rPr>
              <w:t>12</w:t>
            </w:r>
          </w:p>
        </w:tc>
        <w:tc>
          <w:tcPr>
            <w:tcW w:w="2860" w:type="dxa"/>
          </w:tcPr>
          <w:p w14:paraId="581B2F43" w14:textId="6A946B1C" w:rsidR="00F476A1" w:rsidRPr="002D66DE" w:rsidRDefault="00F476A1" w:rsidP="00C55BDB">
            <w:pPr>
              <w:pStyle w:val="Tabletext"/>
              <w:rPr>
                <w:b/>
                <w:bCs/>
                <w:sz w:val="20"/>
                <w:szCs w:val="20"/>
              </w:rPr>
            </w:pPr>
            <w:r w:rsidRPr="002D66DE">
              <w:rPr>
                <w:b/>
                <w:bCs/>
                <w:sz w:val="20"/>
                <w:szCs w:val="20"/>
              </w:rPr>
              <w:t>1.7</w:t>
            </w:r>
            <w:r w:rsidRPr="002D66DE">
              <w:rPr>
                <w:b/>
                <w:bCs/>
                <w:sz w:val="20"/>
                <w:szCs w:val="20"/>
              </w:rPr>
              <w:tab/>
            </w:r>
            <w:r w:rsidRPr="002D66DE">
              <w:rPr>
                <w:b/>
                <w:bCs/>
                <w:i/>
                <w:iCs/>
                <w:sz w:val="20"/>
                <w:szCs w:val="20"/>
              </w:rPr>
              <w:t>a)</w:t>
            </w:r>
            <w:r w:rsidRPr="002D66DE">
              <w:rPr>
                <w:b/>
                <w:bCs/>
                <w:sz w:val="20"/>
                <w:szCs w:val="20"/>
              </w:rPr>
              <w:tab/>
              <w:t xml:space="preserve">Le présent Règlement reconnaît à tout </w:t>
            </w:r>
            <w:r w:rsidR="00F77D56" w:rsidRPr="002D66DE">
              <w:rPr>
                <w:b/>
                <w:bCs/>
                <w:sz w:val="20"/>
                <w:szCs w:val="20"/>
              </w:rPr>
              <w:t>État</w:t>
            </w:r>
            <w:r w:rsidRPr="002D66DE">
              <w:rPr>
                <w:b/>
                <w:bCs/>
                <w:sz w:val="20"/>
                <w:szCs w:val="20"/>
              </w:rPr>
              <w:t xml:space="preserve"> Membre le droit, sous réserve de sa législation nationale et s'il en décide ainsi, d'exiger que les exploitations autorisées, qui opèrent sur son territoire et offrent un service international de télécommunication au public, y soient autorisées par cet </w:t>
            </w:r>
            <w:r w:rsidR="00F77D56" w:rsidRPr="002D66DE">
              <w:rPr>
                <w:b/>
                <w:bCs/>
                <w:sz w:val="20"/>
                <w:szCs w:val="20"/>
              </w:rPr>
              <w:t>État</w:t>
            </w:r>
            <w:r w:rsidRPr="002D66DE">
              <w:rPr>
                <w:b/>
                <w:bCs/>
                <w:sz w:val="20"/>
                <w:szCs w:val="20"/>
              </w:rPr>
              <w:t xml:space="preserve"> Membre.</w:t>
            </w:r>
          </w:p>
        </w:tc>
        <w:tc>
          <w:tcPr>
            <w:tcW w:w="3716" w:type="dxa"/>
          </w:tcPr>
          <w:p w14:paraId="25F0F80B" w14:textId="77777777" w:rsidR="00F476A1" w:rsidRPr="002D66DE" w:rsidRDefault="00F476A1" w:rsidP="00C55BDB">
            <w:pPr>
              <w:pStyle w:val="Tabletext"/>
              <w:rPr>
                <w:b/>
                <w:bCs/>
                <w:sz w:val="20"/>
                <w:szCs w:val="20"/>
              </w:rPr>
            </w:pPr>
            <w:r w:rsidRPr="002D66DE">
              <w:rPr>
                <w:rFonts w:eastAsia="Times New Roman" w:cs="Times New Roman"/>
                <w:sz w:val="20"/>
                <w:szCs w:val="20"/>
              </w:rPr>
              <w:t>1.7</w:t>
            </w:r>
            <w:r w:rsidRPr="002D66DE">
              <w:rPr>
                <w:rFonts w:eastAsia="Times New Roman" w:cs="Times New Roman"/>
                <w:sz w:val="20"/>
                <w:szCs w:val="20"/>
              </w:rPr>
              <w:tab/>
            </w:r>
            <w:r w:rsidRPr="002D66DE">
              <w:rPr>
                <w:rFonts w:eastAsia="Times New Roman" w:cs="Times New Roman"/>
                <w:i/>
                <w:iCs/>
                <w:sz w:val="20"/>
                <w:szCs w:val="20"/>
              </w:rPr>
              <w:t>a)</w:t>
            </w:r>
            <w:r w:rsidRPr="002D66DE">
              <w:rPr>
                <w:rFonts w:eastAsia="Times New Roman" w:cs="Times New Roman"/>
                <w:sz w:val="20"/>
                <w:szCs w:val="20"/>
              </w:rPr>
              <w:tab/>
              <w:t>Le présent Règlement reconnaît à tout Membre le droit, sous réserve de sa législation nationale et s'il en décide ainsi, d'exiger que les administrations et exploitations privées, qui opèrent sur son territoire et offrent un service international de télécommunication au public, y soient autorisées par ce Membre.</w:t>
            </w:r>
          </w:p>
        </w:tc>
        <w:tc>
          <w:tcPr>
            <w:tcW w:w="2613" w:type="dxa"/>
          </w:tcPr>
          <w:p w14:paraId="5357545F" w14:textId="26DEEC65" w:rsidR="00F476A1" w:rsidRPr="002D66DE" w:rsidRDefault="00DD3FE8" w:rsidP="00C55BDB">
            <w:pPr>
              <w:pStyle w:val="Tabletext"/>
              <w:rPr>
                <w:sz w:val="20"/>
              </w:rPr>
            </w:pPr>
            <w:bookmarkStart w:id="66" w:name="lt_pId274"/>
            <w:r w:rsidRPr="002D66DE">
              <w:rPr>
                <w:sz w:val="20"/>
              </w:rPr>
              <w:t xml:space="preserve">Certains membres ont estimé que cette disposition </w:t>
            </w:r>
            <w:r w:rsidR="0040118A" w:rsidRPr="002D66DE">
              <w:rPr>
                <w:sz w:val="20"/>
              </w:rPr>
              <w:t>est</w:t>
            </w:r>
            <w:r w:rsidRPr="002D66DE">
              <w:rPr>
                <w:sz w:val="20"/>
              </w:rPr>
              <w:t xml:space="preserve"> applicable et </w:t>
            </w:r>
            <w:r w:rsidR="0040118A" w:rsidRPr="002D66DE">
              <w:rPr>
                <w:sz w:val="20"/>
              </w:rPr>
              <w:t>tient</w:t>
            </w:r>
            <w:r w:rsidRPr="002D66DE">
              <w:rPr>
                <w:sz w:val="20"/>
              </w:rPr>
              <w:t xml:space="preserve"> compte des </w:t>
            </w:r>
            <w:r w:rsidR="00D812DA" w:rsidRPr="002D66DE">
              <w:rPr>
                <w:sz w:val="20"/>
              </w:rPr>
              <w:t>conditions</w:t>
            </w:r>
            <w:r w:rsidRPr="002D66DE">
              <w:rPr>
                <w:sz w:val="20"/>
              </w:rPr>
              <w:t xml:space="preserve"> </w:t>
            </w:r>
            <w:r w:rsidR="00CF2E79" w:rsidRPr="002D66DE">
              <w:rPr>
                <w:sz w:val="20"/>
              </w:rPr>
              <w:t>propres à chaque pays</w:t>
            </w:r>
            <w:r w:rsidRPr="002D66DE">
              <w:rPr>
                <w:sz w:val="20"/>
              </w:rPr>
              <w:t xml:space="preserve"> et des droits souverains</w:t>
            </w:r>
            <w:r w:rsidR="00F476A1" w:rsidRPr="002D66DE">
              <w:rPr>
                <w:sz w:val="20"/>
              </w:rPr>
              <w:t>.</w:t>
            </w:r>
            <w:bookmarkEnd w:id="66"/>
          </w:p>
          <w:p w14:paraId="28687FEF" w14:textId="4BFF8B99" w:rsidR="00F476A1" w:rsidRPr="002D66DE" w:rsidRDefault="00DD3FE8" w:rsidP="00C55BDB">
            <w:pPr>
              <w:pStyle w:val="Tabletext"/>
              <w:rPr>
                <w:sz w:val="20"/>
                <w:szCs w:val="20"/>
              </w:rPr>
            </w:pPr>
            <w:bookmarkStart w:id="67" w:name="lt_pId275"/>
            <w:r w:rsidRPr="002D66DE">
              <w:rPr>
                <w:sz w:val="20"/>
              </w:rPr>
              <w:t>Certains membres ont estimé que cette disposition n</w:t>
            </w:r>
            <w:r w:rsidR="009F4D21" w:rsidRPr="002D66DE">
              <w:rPr>
                <w:sz w:val="20"/>
              </w:rPr>
              <w:t>'</w:t>
            </w:r>
            <w:r w:rsidRPr="002D66DE">
              <w:rPr>
                <w:sz w:val="20"/>
              </w:rPr>
              <w:t>est pas nécessaire parce qu</w:t>
            </w:r>
            <w:r w:rsidR="009F4D21" w:rsidRPr="002D66DE">
              <w:rPr>
                <w:sz w:val="20"/>
              </w:rPr>
              <w:t>'</w:t>
            </w:r>
            <w:r w:rsidRPr="002D66DE">
              <w:rPr>
                <w:sz w:val="20"/>
              </w:rPr>
              <w:t>elle fait double emploi avec la C</w:t>
            </w:r>
            <w:r w:rsidR="00F476A1" w:rsidRPr="002D66DE">
              <w:rPr>
                <w:sz w:val="20"/>
              </w:rPr>
              <w:t>onstitution.</w:t>
            </w:r>
            <w:bookmarkEnd w:id="67"/>
          </w:p>
        </w:tc>
        <w:tc>
          <w:tcPr>
            <w:tcW w:w="2595" w:type="dxa"/>
          </w:tcPr>
          <w:p w14:paraId="007C15D8" w14:textId="61C412C7" w:rsidR="00F476A1" w:rsidRPr="002D66DE" w:rsidRDefault="00DD3FE8" w:rsidP="00C55BDB">
            <w:pPr>
              <w:pStyle w:val="Tabletext"/>
              <w:rPr>
                <w:sz w:val="20"/>
                <w:highlight w:val="lightGray"/>
              </w:rPr>
            </w:pPr>
            <w:bookmarkStart w:id="68" w:name="lt_pId276"/>
            <w:r w:rsidRPr="002D66DE">
              <w:rPr>
                <w:sz w:val="20"/>
                <w:szCs w:val="20"/>
              </w:rPr>
              <w:t xml:space="preserve">Certains membres ont estimé que cette disposition </w:t>
            </w:r>
            <w:r w:rsidR="0040118A" w:rsidRPr="002D66DE">
              <w:rPr>
                <w:sz w:val="20"/>
                <w:szCs w:val="20"/>
              </w:rPr>
              <w:t>est</w:t>
            </w:r>
            <w:r w:rsidRPr="002D66DE">
              <w:rPr>
                <w:sz w:val="20"/>
                <w:szCs w:val="20"/>
              </w:rPr>
              <w:t xml:space="preserve"> suffisamment souple pour tenir compte des nouvelles tendances et des </w:t>
            </w:r>
            <w:r w:rsidRPr="002D66DE">
              <w:rPr>
                <w:sz w:val="20"/>
              </w:rPr>
              <w:t>nouveaux problèmes qui se font jour.</w:t>
            </w:r>
            <w:bookmarkEnd w:id="68"/>
          </w:p>
          <w:p w14:paraId="518290EA" w14:textId="5279A05F" w:rsidR="00F476A1" w:rsidRPr="002D66DE" w:rsidRDefault="00DD3FE8" w:rsidP="00C55BDB">
            <w:pPr>
              <w:pStyle w:val="Tabletext"/>
              <w:rPr>
                <w:sz w:val="20"/>
              </w:rPr>
            </w:pPr>
            <w:r w:rsidRPr="002D66DE">
              <w:rPr>
                <w:rFonts w:cstheme="minorHAnsi"/>
                <w:sz w:val="20"/>
                <w:szCs w:val="20"/>
              </w:rPr>
              <w:t xml:space="preserve">Certains membres ont estimé que cette disposition </w:t>
            </w:r>
            <w:r w:rsidR="0040118A" w:rsidRPr="002D66DE">
              <w:rPr>
                <w:rFonts w:cstheme="minorHAnsi"/>
                <w:sz w:val="20"/>
                <w:szCs w:val="20"/>
              </w:rPr>
              <w:t>n</w:t>
            </w:r>
            <w:r w:rsidR="009F4D21" w:rsidRPr="002D66DE">
              <w:rPr>
                <w:rFonts w:cstheme="minorHAnsi"/>
                <w:sz w:val="20"/>
                <w:szCs w:val="20"/>
              </w:rPr>
              <w:t>'</w:t>
            </w:r>
            <w:r w:rsidR="0040118A" w:rsidRPr="002D66DE">
              <w:rPr>
                <w:rFonts w:cstheme="minorHAnsi"/>
                <w:sz w:val="20"/>
                <w:szCs w:val="20"/>
              </w:rPr>
              <w:t>est</w:t>
            </w:r>
            <w:r w:rsidRPr="002D66DE">
              <w:rPr>
                <w:rFonts w:cstheme="minorHAnsi"/>
                <w:sz w:val="20"/>
                <w:szCs w:val="20"/>
              </w:rPr>
              <w:t xml:space="preserve"> pas souple parce qu</w:t>
            </w:r>
            <w:r w:rsidR="009F4D21" w:rsidRPr="002D66DE">
              <w:rPr>
                <w:rFonts w:cstheme="minorHAnsi"/>
                <w:sz w:val="20"/>
                <w:szCs w:val="20"/>
              </w:rPr>
              <w:t>'</w:t>
            </w:r>
            <w:r w:rsidRPr="002D66DE">
              <w:rPr>
                <w:rFonts w:cstheme="minorHAnsi"/>
                <w:sz w:val="20"/>
                <w:szCs w:val="20"/>
              </w:rPr>
              <w:t xml:space="preserve">elle </w:t>
            </w:r>
            <w:r w:rsidRPr="002D66DE">
              <w:rPr>
                <w:sz w:val="20"/>
              </w:rPr>
              <w:t>n</w:t>
            </w:r>
            <w:r w:rsidR="009F4D21" w:rsidRPr="002D66DE">
              <w:rPr>
                <w:sz w:val="20"/>
              </w:rPr>
              <w:t>'</w:t>
            </w:r>
            <w:r w:rsidRPr="002D66DE">
              <w:rPr>
                <w:sz w:val="20"/>
              </w:rPr>
              <w:t>incl</w:t>
            </w:r>
            <w:r w:rsidR="0040118A" w:rsidRPr="002D66DE">
              <w:rPr>
                <w:sz w:val="20"/>
              </w:rPr>
              <w:t>u</w:t>
            </w:r>
            <w:r w:rsidR="00661C12" w:rsidRPr="002D66DE">
              <w:rPr>
                <w:sz w:val="20"/>
              </w:rPr>
              <w:t>t</w:t>
            </w:r>
            <w:r w:rsidRPr="002D66DE">
              <w:rPr>
                <w:sz w:val="20"/>
              </w:rPr>
              <w:t xml:space="preserve"> pas de nouveaux acteurs.</w:t>
            </w:r>
          </w:p>
          <w:p w14:paraId="4C00C7AB" w14:textId="70AE0ABE" w:rsidR="00F476A1" w:rsidRPr="002D66DE" w:rsidRDefault="00DD3FE8" w:rsidP="00C55BDB">
            <w:pPr>
              <w:pStyle w:val="Tabletext"/>
              <w:rPr>
                <w:sz w:val="20"/>
                <w:szCs w:val="20"/>
              </w:rPr>
            </w:pPr>
            <w:bookmarkStart w:id="69" w:name="lt_pId278"/>
            <w:r w:rsidRPr="002D66DE">
              <w:rPr>
                <w:sz w:val="20"/>
              </w:rPr>
              <w:t xml:space="preserve">Certains membres ont estimé que la question de la souplesse </w:t>
            </w:r>
            <w:r w:rsidR="0040118A" w:rsidRPr="002D66DE">
              <w:rPr>
                <w:sz w:val="20"/>
              </w:rPr>
              <w:t>est</w:t>
            </w:r>
            <w:r w:rsidRPr="002D66DE">
              <w:rPr>
                <w:sz w:val="20"/>
              </w:rPr>
              <w:t xml:space="preserve"> sans objet pour cette disposition</w:t>
            </w:r>
            <w:r w:rsidR="00F476A1" w:rsidRPr="002D66DE">
              <w:rPr>
                <w:sz w:val="20"/>
              </w:rPr>
              <w:t>.</w:t>
            </w:r>
            <w:bookmarkEnd w:id="69"/>
          </w:p>
        </w:tc>
        <w:tc>
          <w:tcPr>
            <w:tcW w:w="2406" w:type="dxa"/>
          </w:tcPr>
          <w:p w14:paraId="3EE90B56" w14:textId="60E7F542"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54F8CEC6" w14:textId="3996A1A2" w:rsidR="00F476A1"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051AFD22" w14:textId="780844F9"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5924DE41" w14:textId="77777777" w:rsidTr="00C55BDB">
        <w:tc>
          <w:tcPr>
            <w:tcW w:w="987" w:type="dxa"/>
          </w:tcPr>
          <w:p w14:paraId="0A070D3F"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4B93E874"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04497752"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11733BB7"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0CC6946E"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3938F53C"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7FBDCAB9" w14:textId="77777777" w:rsidTr="00C55BDB">
        <w:tc>
          <w:tcPr>
            <w:tcW w:w="987" w:type="dxa"/>
          </w:tcPr>
          <w:p w14:paraId="6622FFB2" w14:textId="58E0CC2A" w:rsidR="00F476A1" w:rsidRPr="002D66DE" w:rsidRDefault="00F476A1" w:rsidP="00C55BDB">
            <w:pPr>
              <w:pStyle w:val="Tablehead"/>
              <w:rPr>
                <w:sz w:val="20"/>
                <w:szCs w:val="20"/>
              </w:rPr>
            </w:pPr>
            <w:r w:rsidRPr="002D66DE">
              <w:rPr>
                <w:sz w:val="20"/>
                <w:szCs w:val="20"/>
              </w:rPr>
              <w:t>13</w:t>
            </w:r>
          </w:p>
        </w:tc>
        <w:tc>
          <w:tcPr>
            <w:tcW w:w="2860" w:type="dxa"/>
          </w:tcPr>
          <w:p w14:paraId="67B84EF7" w14:textId="77777777" w:rsidR="00F476A1" w:rsidRPr="002D66DE" w:rsidRDefault="00F476A1" w:rsidP="00C55BDB">
            <w:pPr>
              <w:pStyle w:val="Tabletext"/>
              <w:rPr>
                <w:b/>
                <w:bCs/>
                <w:sz w:val="20"/>
                <w:szCs w:val="20"/>
              </w:rPr>
            </w:pPr>
            <w:r w:rsidRPr="002D66DE">
              <w:rPr>
                <w:b/>
                <w:bCs/>
                <w:sz w:val="20"/>
                <w:szCs w:val="20"/>
              </w:rPr>
              <w:t>1.7</w:t>
            </w:r>
            <w:r w:rsidRPr="002D66DE">
              <w:rPr>
                <w:b/>
                <w:bCs/>
                <w:sz w:val="20"/>
                <w:szCs w:val="20"/>
              </w:rPr>
              <w:tab/>
            </w:r>
            <w:r w:rsidRPr="002D66DE">
              <w:rPr>
                <w:b/>
                <w:bCs/>
                <w:i/>
                <w:iCs/>
                <w:sz w:val="20"/>
                <w:szCs w:val="20"/>
              </w:rPr>
              <w:t>b)</w:t>
            </w:r>
            <w:r w:rsidRPr="002D66DE">
              <w:rPr>
                <w:b/>
                <w:bCs/>
                <w:sz w:val="20"/>
                <w:szCs w:val="20"/>
              </w:rPr>
              <w:tab/>
              <w:t>L'État Membre en question encourage, lorsqu'il y a lieu, l'application des Recommandations UIT</w:t>
            </w:r>
            <w:r w:rsidRPr="002D66DE">
              <w:rPr>
                <w:b/>
                <w:bCs/>
                <w:sz w:val="20"/>
                <w:szCs w:val="20"/>
              </w:rPr>
              <w:noBreakHyphen/>
              <w:t>T pertinentes par ces fournisseurs de services.</w:t>
            </w:r>
          </w:p>
        </w:tc>
        <w:tc>
          <w:tcPr>
            <w:tcW w:w="3716" w:type="dxa"/>
          </w:tcPr>
          <w:p w14:paraId="24BA4AE0" w14:textId="77777777" w:rsidR="00F476A1" w:rsidRPr="002D66DE" w:rsidRDefault="00F476A1" w:rsidP="00C55BDB">
            <w:pPr>
              <w:pStyle w:val="Tabletext"/>
              <w:rPr>
                <w:b/>
                <w:bCs/>
                <w:sz w:val="20"/>
                <w:szCs w:val="20"/>
              </w:rPr>
            </w:pPr>
            <w:r w:rsidRPr="002D66DE">
              <w:rPr>
                <w:sz w:val="20"/>
                <w:szCs w:val="20"/>
              </w:rPr>
              <w:t>1.7</w:t>
            </w:r>
            <w:r w:rsidRPr="002D66DE">
              <w:rPr>
                <w:sz w:val="20"/>
                <w:szCs w:val="20"/>
              </w:rPr>
              <w:tab/>
            </w:r>
            <w:r w:rsidRPr="002D66DE">
              <w:rPr>
                <w:i/>
                <w:iCs/>
                <w:sz w:val="20"/>
                <w:szCs w:val="20"/>
              </w:rPr>
              <w:t>b)</w:t>
            </w:r>
            <w:r w:rsidRPr="002D66DE">
              <w:rPr>
                <w:sz w:val="20"/>
                <w:szCs w:val="20"/>
              </w:rPr>
              <w:tab/>
              <w:t>Le Membre en question encourage, lorsqu'il y a lieu, l'application des Recommandations pertinentes du CCITT par ces fournisseurs de services.</w:t>
            </w:r>
          </w:p>
        </w:tc>
        <w:tc>
          <w:tcPr>
            <w:tcW w:w="2613" w:type="dxa"/>
          </w:tcPr>
          <w:p w14:paraId="3E5D05A3" w14:textId="6CB5FFB7" w:rsidR="00F476A1" w:rsidRPr="002D66DE" w:rsidRDefault="00064DDD" w:rsidP="00C55BDB">
            <w:pPr>
              <w:pStyle w:val="Tabletext"/>
              <w:rPr>
                <w:rFonts w:cstheme="minorHAnsi"/>
                <w:sz w:val="20"/>
                <w:szCs w:val="20"/>
              </w:rPr>
            </w:pPr>
            <w:bookmarkStart w:id="70" w:name="lt_pId283"/>
            <w:r w:rsidRPr="002D66DE">
              <w:rPr>
                <w:sz w:val="20"/>
                <w:szCs w:val="20"/>
              </w:rPr>
              <w:t>De l</w:t>
            </w:r>
            <w:r w:rsidR="009F4D21" w:rsidRPr="002D66DE">
              <w:rPr>
                <w:sz w:val="20"/>
                <w:szCs w:val="20"/>
              </w:rPr>
              <w:t>'</w:t>
            </w:r>
            <w:r w:rsidRPr="002D66DE">
              <w:rPr>
                <w:sz w:val="20"/>
                <w:szCs w:val="20"/>
              </w:rPr>
              <w:t xml:space="preserve">avis de certains membres, </w:t>
            </w:r>
            <w:r w:rsidR="00E60875" w:rsidRPr="002D66DE">
              <w:rPr>
                <w:rFonts w:cstheme="minorHAnsi"/>
                <w:sz w:val="20"/>
                <w:szCs w:val="20"/>
              </w:rPr>
              <w:t>cette disposition est applicable</w:t>
            </w:r>
            <w:r w:rsidR="00947AB2" w:rsidRPr="002D66DE">
              <w:rPr>
                <w:rFonts w:cstheme="minorHAnsi"/>
                <w:sz w:val="20"/>
                <w:szCs w:val="20"/>
              </w:rPr>
              <w:t>,</w:t>
            </w:r>
            <w:r w:rsidR="00E60875" w:rsidRPr="002D66DE">
              <w:rPr>
                <w:rFonts w:cstheme="minorHAnsi"/>
                <w:sz w:val="20"/>
                <w:szCs w:val="20"/>
              </w:rPr>
              <w:t xml:space="preserve"> permet le développement des réseaux et des services et offre aux pays la possibilité de</w:t>
            </w:r>
            <w:r w:rsidR="00B45FD6" w:rsidRPr="002D66DE">
              <w:rPr>
                <w:rFonts w:cstheme="minorHAnsi"/>
                <w:sz w:val="20"/>
                <w:szCs w:val="20"/>
              </w:rPr>
              <w:t xml:space="preserve"> </w:t>
            </w:r>
            <w:r w:rsidR="00E60875" w:rsidRPr="002D66DE">
              <w:rPr>
                <w:rFonts w:cstheme="minorHAnsi"/>
                <w:sz w:val="20"/>
                <w:szCs w:val="20"/>
              </w:rPr>
              <w:t>développer des solutions nationales</w:t>
            </w:r>
            <w:bookmarkEnd w:id="70"/>
            <w:r w:rsidR="00E60875" w:rsidRPr="002D66DE">
              <w:rPr>
                <w:rFonts w:cstheme="minorHAnsi"/>
                <w:sz w:val="20"/>
                <w:szCs w:val="20"/>
              </w:rPr>
              <w:t>.</w:t>
            </w:r>
          </w:p>
          <w:p w14:paraId="19D7317E" w14:textId="18F50CA0" w:rsidR="00F476A1" w:rsidRPr="002D66DE" w:rsidRDefault="00E60875" w:rsidP="00C55BDB">
            <w:pPr>
              <w:pStyle w:val="Tabletext"/>
              <w:rPr>
                <w:sz w:val="20"/>
                <w:szCs w:val="20"/>
              </w:rPr>
            </w:pPr>
            <w:r w:rsidRPr="002D66DE">
              <w:rPr>
                <w:sz w:val="20"/>
                <w:szCs w:val="20"/>
              </w:rPr>
              <w:t>De l</w:t>
            </w:r>
            <w:r w:rsidR="009F4D21" w:rsidRPr="002D66DE">
              <w:rPr>
                <w:sz w:val="20"/>
                <w:szCs w:val="20"/>
              </w:rPr>
              <w:t>'</w:t>
            </w:r>
            <w:r w:rsidRPr="002D66DE">
              <w:rPr>
                <w:sz w:val="20"/>
                <w:szCs w:val="20"/>
              </w:rPr>
              <w:t xml:space="preserve">avis de certains membres, cette disposition </w:t>
            </w:r>
            <w:r w:rsidR="00935C03" w:rsidRPr="002D66DE">
              <w:rPr>
                <w:sz w:val="20"/>
                <w:szCs w:val="20"/>
              </w:rPr>
              <w:t>n</w:t>
            </w:r>
            <w:r w:rsidR="009F4D21" w:rsidRPr="002D66DE">
              <w:rPr>
                <w:sz w:val="20"/>
                <w:szCs w:val="20"/>
              </w:rPr>
              <w:t>'</w:t>
            </w:r>
            <w:r w:rsidR="00935C03" w:rsidRPr="002D66DE">
              <w:rPr>
                <w:sz w:val="20"/>
                <w:szCs w:val="20"/>
              </w:rPr>
              <w:t>est pas applicable</w:t>
            </w:r>
            <w:r w:rsidRPr="002D66DE">
              <w:rPr>
                <w:sz w:val="20"/>
                <w:szCs w:val="20"/>
              </w:rPr>
              <w:t xml:space="preserve"> puisque l</w:t>
            </w:r>
            <w:r w:rsidR="009F4D21" w:rsidRPr="002D66DE">
              <w:rPr>
                <w:sz w:val="20"/>
                <w:szCs w:val="20"/>
              </w:rPr>
              <w:t>'</w:t>
            </w:r>
            <w:r w:rsidR="00F476A1" w:rsidRPr="002D66DE">
              <w:rPr>
                <w:sz w:val="20"/>
                <w:szCs w:val="20"/>
              </w:rPr>
              <w:t>expression "lorsqu'il y a lieu" se prête à des interprétations si diverses qu</w:t>
            </w:r>
            <w:r w:rsidRPr="002D66DE">
              <w:rPr>
                <w:sz w:val="20"/>
                <w:szCs w:val="20"/>
              </w:rPr>
              <w:t xml:space="preserve">e les </w:t>
            </w:r>
            <w:r w:rsidR="00F476A1" w:rsidRPr="002D66DE">
              <w:rPr>
                <w:sz w:val="20"/>
                <w:szCs w:val="20"/>
              </w:rPr>
              <w:t xml:space="preserve">États Membres </w:t>
            </w:r>
            <w:r w:rsidRPr="002D66DE">
              <w:rPr>
                <w:sz w:val="20"/>
                <w:szCs w:val="20"/>
              </w:rPr>
              <w:t xml:space="preserve">ne sont pas obligés </w:t>
            </w:r>
            <w:r w:rsidR="00F476A1" w:rsidRPr="002D66DE">
              <w:rPr>
                <w:sz w:val="20"/>
                <w:szCs w:val="20"/>
              </w:rPr>
              <w:t>d'encourager l'application des Recommandations pertinentes</w:t>
            </w:r>
            <w:bookmarkStart w:id="71" w:name="lt_pId138"/>
            <w:r w:rsidRPr="002D66DE">
              <w:rPr>
                <w:sz w:val="20"/>
                <w:szCs w:val="20"/>
              </w:rPr>
              <w:t xml:space="preserve">. </w:t>
            </w:r>
            <w:bookmarkEnd w:id="71"/>
          </w:p>
        </w:tc>
        <w:tc>
          <w:tcPr>
            <w:tcW w:w="2595" w:type="dxa"/>
          </w:tcPr>
          <w:p w14:paraId="643644BC" w14:textId="36A5CAE9" w:rsidR="00F476A1" w:rsidRPr="002D66DE" w:rsidRDefault="000A414D" w:rsidP="00C55BDB">
            <w:pPr>
              <w:pStyle w:val="Tabletext"/>
              <w:rPr>
                <w:sz w:val="20"/>
              </w:rPr>
            </w:pPr>
            <w:bookmarkStart w:id="72" w:name="lt_pId285"/>
            <w:r w:rsidRPr="002D66DE">
              <w:rPr>
                <w:sz w:val="20"/>
              </w:rPr>
              <w:t>De l</w:t>
            </w:r>
            <w:r w:rsidR="009F4D21" w:rsidRPr="002D66DE">
              <w:rPr>
                <w:sz w:val="20"/>
              </w:rPr>
              <w:t>'</w:t>
            </w:r>
            <w:r w:rsidRPr="002D66DE">
              <w:rPr>
                <w:sz w:val="20"/>
              </w:rPr>
              <w:t>avis de certains membres, cette disposition est</w:t>
            </w:r>
            <w:r w:rsidR="002E6121" w:rsidRPr="002D66DE">
              <w:rPr>
                <w:sz w:val="20"/>
              </w:rPr>
              <w:t>,</w:t>
            </w:r>
            <w:r w:rsidRPr="002D66DE">
              <w:rPr>
                <w:sz w:val="20"/>
              </w:rPr>
              <w:t xml:space="preserve"> dans une certaine mesure</w:t>
            </w:r>
            <w:r w:rsidR="002E6121" w:rsidRPr="002D66DE">
              <w:rPr>
                <w:sz w:val="20"/>
              </w:rPr>
              <w:t>, suffisamment</w:t>
            </w:r>
            <w:r w:rsidR="004C7683" w:rsidRPr="002D66DE">
              <w:rPr>
                <w:sz w:val="20"/>
              </w:rPr>
              <w:t xml:space="preserve"> </w:t>
            </w:r>
            <w:r w:rsidR="002E6121" w:rsidRPr="002D66DE">
              <w:rPr>
                <w:sz w:val="20"/>
              </w:rPr>
              <w:t>souple</w:t>
            </w:r>
            <w:r w:rsidRPr="002D66DE">
              <w:rPr>
                <w:sz w:val="20"/>
              </w:rPr>
              <w:t xml:space="preserve"> pour tenir compte des nouvelles tendances et de</w:t>
            </w:r>
            <w:r w:rsidR="00862FF5" w:rsidRPr="002D66DE">
              <w:rPr>
                <w:sz w:val="20"/>
              </w:rPr>
              <w:t xml:space="preserve">s nouveaux </w:t>
            </w:r>
            <w:r w:rsidR="00862FF5" w:rsidRPr="002D66DE">
              <w:rPr>
                <w:color w:val="000000"/>
                <w:sz w:val="20"/>
              </w:rPr>
              <w:t xml:space="preserve">problèmes </w:t>
            </w:r>
            <w:r w:rsidRPr="002D66DE">
              <w:rPr>
                <w:sz w:val="20"/>
              </w:rPr>
              <w:t>qui se font jour</w:t>
            </w:r>
            <w:r w:rsidR="00F476A1" w:rsidRPr="002D66DE">
              <w:rPr>
                <w:sz w:val="20"/>
              </w:rPr>
              <w:t>,</w:t>
            </w:r>
            <w:r w:rsidRPr="002D66DE">
              <w:rPr>
                <w:sz w:val="20"/>
              </w:rPr>
              <w:t xml:space="preserve"> notamment parce qu</w:t>
            </w:r>
            <w:r w:rsidR="009F4D21" w:rsidRPr="002D66DE">
              <w:rPr>
                <w:sz w:val="20"/>
              </w:rPr>
              <w:t>'</w:t>
            </w:r>
            <w:r w:rsidRPr="002D66DE">
              <w:rPr>
                <w:sz w:val="20"/>
              </w:rPr>
              <w:t>elle permet l</w:t>
            </w:r>
            <w:r w:rsidR="009F4D21" w:rsidRPr="002D66DE">
              <w:rPr>
                <w:sz w:val="20"/>
              </w:rPr>
              <w:t>'</w:t>
            </w:r>
            <w:r w:rsidRPr="002D66DE">
              <w:rPr>
                <w:sz w:val="20"/>
              </w:rPr>
              <w:t>utilisation d</w:t>
            </w:r>
            <w:r w:rsidR="009F4D21" w:rsidRPr="002D66DE">
              <w:rPr>
                <w:sz w:val="20"/>
              </w:rPr>
              <w:t>'</w:t>
            </w:r>
            <w:r w:rsidRPr="002D66DE">
              <w:rPr>
                <w:sz w:val="20"/>
              </w:rPr>
              <w:t>autres normes ainsi que le développement international des exploitations</w:t>
            </w:r>
            <w:r w:rsidR="00D85984" w:rsidRPr="002D66DE">
              <w:rPr>
                <w:sz w:val="20"/>
              </w:rPr>
              <w:t>;</w:t>
            </w:r>
            <w:r w:rsidR="00F476A1" w:rsidRPr="002D66DE">
              <w:rPr>
                <w:sz w:val="20"/>
              </w:rPr>
              <w:t xml:space="preserve"> </w:t>
            </w:r>
            <w:r w:rsidRPr="002D66DE">
              <w:rPr>
                <w:sz w:val="20"/>
              </w:rPr>
              <w:t xml:space="preserve">certains membres </w:t>
            </w:r>
            <w:r w:rsidR="00D85984" w:rsidRPr="002D66DE">
              <w:rPr>
                <w:sz w:val="20"/>
              </w:rPr>
              <w:t>ont</w:t>
            </w:r>
            <w:r w:rsidRPr="002D66DE">
              <w:rPr>
                <w:sz w:val="20"/>
              </w:rPr>
              <w:t xml:space="preserve"> </w:t>
            </w:r>
            <w:r w:rsidR="002E6121" w:rsidRPr="002D66DE">
              <w:rPr>
                <w:sz w:val="20"/>
              </w:rPr>
              <w:t>toutefois</w:t>
            </w:r>
            <w:r w:rsidR="00D85984" w:rsidRPr="002D66DE">
              <w:rPr>
                <w:sz w:val="20"/>
              </w:rPr>
              <w:t xml:space="preserve"> fait observer</w:t>
            </w:r>
            <w:r w:rsidR="002E6121" w:rsidRPr="002D66DE">
              <w:rPr>
                <w:sz w:val="20"/>
              </w:rPr>
              <w:t xml:space="preserve"> </w:t>
            </w:r>
            <w:r w:rsidRPr="002D66DE">
              <w:rPr>
                <w:sz w:val="20"/>
              </w:rPr>
              <w:t xml:space="preserve">que </w:t>
            </w:r>
            <w:r w:rsidR="002E6121" w:rsidRPr="002D66DE">
              <w:rPr>
                <w:sz w:val="20"/>
              </w:rPr>
              <w:t>son manque de souplesse s</w:t>
            </w:r>
            <w:r w:rsidR="009F4D21" w:rsidRPr="002D66DE">
              <w:rPr>
                <w:sz w:val="20"/>
              </w:rPr>
              <w:t>'</w:t>
            </w:r>
            <w:r w:rsidR="002E6121" w:rsidRPr="002D66DE">
              <w:rPr>
                <w:sz w:val="20"/>
              </w:rPr>
              <w:t xml:space="preserve">explique notamment par </w:t>
            </w:r>
            <w:r w:rsidRPr="002D66DE">
              <w:rPr>
                <w:sz w:val="20"/>
              </w:rPr>
              <w:t>l</w:t>
            </w:r>
            <w:r w:rsidR="009F4D21" w:rsidRPr="002D66DE">
              <w:rPr>
                <w:sz w:val="20"/>
              </w:rPr>
              <w:t>'</w:t>
            </w:r>
            <w:r w:rsidRPr="002D66DE">
              <w:rPr>
                <w:sz w:val="20"/>
              </w:rPr>
              <w:t>éventail limité des Recommandations utilisées</w:t>
            </w:r>
            <w:r w:rsidR="00F476A1" w:rsidRPr="002D66DE">
              <w:rPr>
                <w:sz w:val="20"/>
              </w:rPr>
              <w:t>.</w:t>
            </w:r>
            <w:bookmarkEnd w:id="72"/>
          </w:p>
          <w:p w14:paraId="6F927880" w14:textId="3A113A01" w:rsidR="00F476A1" w:rsidRPr="002D66DE" w:rsidRDefault="00035184" w:rsidP="00C55BDB">
            <w:pPr>
              <w:pStyle w:val="Tabletext"/>
              <w:rPr>
                <w:sz w:val="20"/>
                <w:szCs w:val="20"/>
              </w:rPr>
            </w:pPr>
            <w:bookmarkStart w:id="73" w:name="lt_pId286"/>
            <w:r w:rsidRPr="002D66DE">
              <w:rPr>
                <w:sz w:val="20"/>
              </w:rPr>
              <w:t>Certains membres ont estimé que cette disposition n</w:t>
            </w:r>
            <w:r w:rsidR="009F4D21" w:rsidRPr="002D66DE">
              <w:rPr>
                <w:sz w:val="20"/>
              </w:rPr>
              <w:t>'</w:t>
            </w:r>
            <w:r w:rsidR="00B45FD6" w:rsidRPr="002D66DE">
              <w:rPr>
                <w:sz w:val="20"/>
              </w:rPr>
              <w:t>est</w:t>
            </w:r>
            <w:r w:rsidRPr="002D66DE">
              <w:rPr>
                <w:sz w:val="20"/>
              </w:rPr>
              <w:t xml:space="preserve"> pas souple parce qu</w:t>
            </w:r>
            <w:r w:rsidR="009F4D21" w:rsidRPr="002D66DE">
              <w:rPr>
                <w:sz w:val="20"/>
              </w:rPr>
              <w:t>'</w:t>
            </w:r>
            <w:r w:rsidRPr="002D66DE">
              <w:rPr>
                <w:sz w:val="20"/>
              </w:rPr>
              <w:t xml:space="preserve">elle demande aux </w:t>
            </w:r>
            <w:r w:rsidR="00947AB2" w:rsidRPr="002D66DE">
              <w:rPr>
                <w:sz w:val="20"/>
              </w:rPr>
              <w:t>États</w:t>
            </w:r>
            <w:r w:rsidRPr="002D66DE">
              <w:rPr>
                <w:sz w:val="20"/>
              </w:rPr>
              <w:t xml:space="preserve"> Membres d</w:t>
            </w:r>
            <w:r w:rsidR="009F4D21" w:rsidRPr="002D66DE">
              <w:rPr>
                <w:sz w:val="20"/>
              </w:rPr>
              <w:t>'</w:t>
            </w:r>
            <w:r w:rsidRPr="002D66DE">
              <w:rPr>
                <w:sz w:val="20"/>
              </w:rPr>
              <w:t xml:space="preserve">appliquer des recommandations </w:t>
            </w:r>
            <w:r w:rsidR="00947AB2" w:rsidRPr="002D66DE">
              <w:rPr>
                <w:sz w:val="20"/>
              </w:rPr>
              <w:t>dépassées</w:t>
            </w:r>
            <w:r w:rsidR="00F476A1" w:rsidRPr="002D66DE">
              <w:rPr>
                <w:sz w:val="20"/>
              </w:rPr>
              <w:t>.</w:t>
            </w:r>
            <w:bookmarkEnd w:id="73"/>
          </w:p>
        </w:tc>
        <w:tc>
          <w:tcPr>
            <w:tcW w:w="2406" w:type="dxa"/>
          </w:tcPr>
          <w:p w14:paraId="536AC22C" w14:textId="24CCD312"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65A6A5F0" w14:textId="766F4D2F"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6125BC83" w14:textId="278345D3" w:rsidR="00F476A1" w:rsidRPr="002D66DE" w:rsidRDefault="00D31A27" w:rsidP="00C55BDB">
            <w:pPr>
              <w:pStyle w:val="Tabletext"/>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A66DB1" w:rsidRPr="002D66DE">
              <w:rPr>
                <w:sz w:val="20"/>
                <w:szCs w:val="20"/>
              </w:rPr>
              <w:t>.</w:t>
            </w:r>
          </w:p>
        </w:tc>
      </w:tr>
    </w:tbl>
    <w:p w14:paraId="5991D972" w14:textId="083BB1E6"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3EB6EBA5" w14:textId="77777777" w:rsidTr="00C55BDB">
        <w:tc>
          <w:tcPr>
            <w:tcW w:w="987" w:type="dxa"/>
          </w:tcPr>
          <w:p w14:paraId="1248E627"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11B21740"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7832A4C0"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49E743EC"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48259D69"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66149577"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318AB9EF" w14:textId="77777777" w:rsidTr="00C55BDB">
        <w:tc>
          <w:tcPr>
            <w:tcW w:w="987" w:type="dxa"/>
          </w:tcPr>
          <w:p w14:paraId="2F1712F2" w14:textId="77AE9F93" w:rsidR="00F476A1" w:rsidRPr="002D66DE" w:rsidRDefault="00F476A1" w:rsidP="00C55BDB">
            <w:pPr>
              <w:pStyle w:val="Tablehead"/>
              <w:rPr>
                <w:sz w:val="20"/>
                <w:szCs w:val="20"/>
              </w:rPr>
            </w:pPr>
            <w:bookmarkStart w:id="74" w:name="_Hlk40427118"/>
            <w:r w:rsidRPr="002D66DE">
              <w:rPr>
                <w:sz w:val="20"/>
                <w:szCs w:val="20"/>
              </w:rPr>
              <w:t>14</w:t>
            </w:r>
          </w:p>
        </w:tc>
        <w:tc>
          <w:tcPr>
            <w:tcW w:w="2860" w:type="dxa"/>
          </w:tcPr>
          <w:p w14:paraId="233E8B95" w14:textId="77777777" w:rsidR="00F476A1" w:rsidRPr="002D66DE" w:rsidRDefault="00F476A1" w:rsidP="00C55BDB">
            <w:pPr>
              <w:pStyle w:val="Tabletext"/>
              <w:rPr>
                <w:b/>
                <w:bCs/>
                <w:sz w:val="20"/>
                <w:szCs w:val="20"/>
              </w:rPr>
            </w:pPr>
            <w:r w:rsidRPr="002D66DE">
              <w:rPr>
                <w:b/>
                <w:bCs/>
                <w:sz w:val="20"/>
                <w:szCs w:val="20"/>
              </w:rPr>
              <w:t>1.7</w:t>
            </w:r>
            <w:r w:rsidRPr="002D66DE">
              <w:rPr>
                <w:b/>
                <w:bCs/>
                <w:sz w:val="20"/>
                <w:szCs w:val="20"/>
              </w:rPr>
              <w:tab/>
            </w:r>
            <w:r w:rsidRPr="002D66DE">
              <w:rPr>
                <w:b/>
                <w:bCs/>
                <w:i/>
                <w:iCs/>
                <w:sz w:val="20"/>
                <w:szCs w:val="20"/>
              </w:rPr>
              <w:t>c)</w:t>
            </w:r>
            <w:r w:rsidRPr="002D66DE">
              <w:rPr>
                <w:b/>
                <w:bCs/>
                <w:sz w:val="20"/>
                <w:szCs w:val="20"/>
              </w:rPr>
              <w:tab/>
              <w:t>Les États Membres coopèrent, lorsqu'il y a lieu, à la mise en œuvre du présent Règlement.</w:t>
            </w:r>
          </w:p>
        </w:tc>
        <w:tc>
          <w:tcPr>
            <w:tcW w:w="3716" w:type="dxa"/>
          </w:tcPr>
          <w:p w14:paraId="317D996A" w14:textId="6A1F04B1" w:rsidR="00F476A1" w:rsidRPr="002D66DE" w:rsidRDefault="00F476A1" w:rsidP="00C55BDB">
            <w:pPr>
              <w:pStyle w:val="Tabletext"/>
              <w:rPr>
                <w:sz w:val="20"/>
                <w:szCs w:val="20"/>
              </w:rPr>
            </w:pPr>
            <w:r w:rsidRPr="002D66DE">
              <w:rPr>
                <w:sz w:val="20"/>
                <w:szCs w:val="20"/>
              </w:rPr>
              <w:t>1.7</w:t>
            </w:r>
            <w:r w:rsidRPr="002D66DE">
              <w:rPr>
                <w:sz w:val="20"/>
                <w:szCs w:val="20"/>
              </w:rPr>
              <w:tab/>
            </w:r>
            <w:r w:rsidRPr="002D66DE">
              <w:rPr>
                <w:i/>
                <w:iCs/>
                <w:sz w:val="20"/>
                <w:szCs w:val="20"/>
              </w:rPr>
              <w:t>c)</w:t>
            </w:r>
            <w:r w:rsidRPr="002D66DE">
              <w:rPr>
                <w:sz w:val="20"/>
                <w:szCs w:val="20"/>
              </w:rPr>
              <w:tab/>
              <w:t xml:space="preserve">Les Membres coopèrent, lorsqu'il y a lieu, à la mise en </w:t>
            </w:r>
            <w:r w:rsidR="002D66DE" w:rsidRPr="002D66DE">
              <w:rPr>
                <w:sz w:val="20"/>
                <w:szCs w:val="20"/>
              </w:rPr>
              <w:t>œuvre</w:t>
            </w:r>
            <w:r w:rsidRPr="002D66DE">
              <w:rPr>
                <w:sz w:val="20"/>
                <w:szCs w:val="20"/>
              </w:rPr>
              <w:t xml:space="preserve"> du Règlement des télécommunications internationales (pour interprétation, voir aussi la Résolution N° 2).</w:t>
            </w:r>
          </w:p>
        </w:tc>
        <w:tc>
          <w:tcPr>
            <w:tcW w:w="2613" w:type="dxa"/>
          </w:tcPr>
          <w:p w14:paraId="5E5D783F" w14:textId="7F1F382F" w:rsidR="00F476A1" w:rsidRPr="002D66DE" w:rsidRDefault="00B45FD6" w:rsidP="00C55BDB">
            <w:pPr>
              <w:pStyle w:val="Tabletext"/>
              <w:rPr>
                <w:sz w:val="20"/>
              </w:rPr>
            </w:pPr>
            <w:r w:rsidRPr="002D66DE">
              <w:rPr>
                <w:sz w:val="20"/>
                <w:szCs w:val="20"/>
              </w:rPr>
              <w:t>De l</w:t>
            </w:r>
            <w:r w:rsidR="009F4D21" w:rsidRPr="002D66DE">
              <w:rPr>
                <w:sz w:val="20"/>
                <w:szCs w:val="20"/>
              </w:rPr>
              <w:t>'</w:t>
            </w:r>
            <w:r w:rsidRPr="002D66DE">
              <w:rPr>
                <w:sz w:val="20"/>
                <w:szCs w:val="20"/>
              </w:rPr>
              <w:t xml:space="preserve">avis de certains membres, </w:t>
            </w:r>
            <w:r w:rsidRPr="002D66DE">
              <w:rPr>
                <w:rFonts w:cstheme="minorHAnsi"/>
                <w:sz w:val="20"/>
                <w:szCs w:val="20"/>
              </w:rPr>
              <w:t>cette disposition est applicable, permet le développement des réseaux et des services et offre aux pays la possibilité de développer des solutions nationales</w:t>
            </w:r>
            <w:r w:rsidR="00947AB2" w:rsidRPr="002D66DE">
              <w:rPr>
                <w:rFonts w:cstheme="minorHAnsi"/>
                <w:sz w:val="20"/>
                <w:szCs w:val="20"/>
              </w:rPr>
              <w:t>.</w:t>
            </w:r>
          </w:p>
          <w:p w14:paraId="3A733985" w14:textId="116618A0" w:rsidR="00F476A1" w:rsidRPr="002D66DE" w:rsidRDefault="00CA324C" w:rsidP="00C55BDB">
            <w:pPr>
              <w:pStyle w:val="Tabletext"/>
              <w:rPr>
                <w:sz w:val="20"/>
                <w:szCs w:val="20"/>
              </w:rPr>
            </w:pPr>
            <w:bookmarkStart w:id="75" w:name="lt_pId293"/>
            <w:r w:rsidRPr="002D66DE">
              <w:rPr>
                <w:sz w:val="20"/>
              </w:rPr>
              <w:t>Concernant l</w:t>
            </w:r>
            <w:r w:rsidR="009F4D21" w:rsidRPr="002D66DE">
              <w:rPr>
                <w:sz w:val="20"/>
              </w:rPr>
              <w:t>'</w:t>
            </w:r>
            <w:r w:rsidRPr="002D66DE">
              <w:rPr>
                <w:sz w:val="20"/>
              </w:rPr>
              <w:t>applicabilité de cette disposition, certains</w:t>
            </w:r>
            <w:r w:rsidR="00873431" w:rsidRPr="002D66DE">
              <w:rPr>
                <w:sz w:val="20"/>
              </w:rPr>
              <w:t xml:space="preserve"> membres </w:t>
            </w:r>
            <w:r w:rsidRPr="002D66DE">
              <w:rPr>
                <w:sz w:val="20"/>
              </w:rPr>
              <w:t xml:space="preserve">ont estimé que </w:t>
            </w:r>
            <w:r w:rsidR="00873431" w:rsidRPr="002D66DE">
              <w:rPr>
                <w:sz w:val="20"/>
              </w:rPr>
              <w:t>l</w:t>
            </w:r>
            <w:r w:rsidR="009F4D21" w:rsidRPr="002D66DE">
              <w:rPr>
                <w:sz w:val="20"/>
              </w:rPr>
              <w:t>'</w:t>
            </w:r>
            <w:r w:rsidR="00873431" w:rsidRPr="002D66DE">
              <w:rPr>
                <w:sz w:val="20"/>
              </w:rPr>
              <w:t>expression</w:t>
            </w:r>
            <w:r w:rsidR="004C7683" w:rsidRPr="002D66DE">
              <w:rPr>
                <w:sz w:val="20"/>
              </w:rPr>
              <w:t xml:space="preserve"> </w:t>
            </w:r>
            <w:r w:rsidR="00873431" w:rsidRPr="002D66DE">
              <w:rPr>
                <w:sz w:val="20"/>
                <w:szCs w:val="20"/>
              </w:rPr>
              <w:t>"lorsqu'il y a lieu"</w:t>
            </w:r>
            <w:r w:rsidRPr="002D66DE">
              <w:rPr>
                <w:sz w:val="20"/>
                <w:szCs w:val="20"/>
              </w:rPr>
              <w:t>,</w:t>
            </w:r>
            <w:r w:rsidR="00873431" w:rsidRPr="002D66DE">
              <w:rPr>
                <w:sz w:val="20"/>
                <w:szCs w:val="20"/>
              </w:rPr>
              <w:t xml:space="preserve"> se prête à des interprétations si diverses qu</w:t>
            </w:r>
            <w:r w:rsidR="009F4D21" w:rsidRPr="002D66DE">
              <w:rPr>
                <w:sz w:val="20"/>
                <w:szCs w:val="20"/>
              </w:rPr>
              <w:t>'</w:t>
            </w:r>
            <w:r w:rsidRPr="002D66DE">
              <w:rPr>
                <w:sz w:val="20"/>
                <w:szCs w:val="20"/>
              </w:rPr>
              <w:t xml:space="preserve">elle </w:t>
            </w:r>
            <w:r w:rsidR="00873431" w:rsidRPr="002D66DE">
              <w:rPr>
                <w:sz w:val="20"/>
                <w:szCs w:val="20"/>
              </w:rPr>
              <w:t>n</w:t>
            </w:r>
            <w:r w:rsidR="009F4D21" w:rsidRPr="002D66DE">
              <w:rPr>
                <w:sz w:val="20"/>
                <w:szCs w:val="20"/>
              </w:rPr>
              <w:t>'</w:t>
            </w:r>
            <w:r w:rsidR="00873431" w:rsidRPr="002D66DE">
              <w:rPr>
                <w:sz w:val="20"/>
                <w:szCs w:val="20"/>
              </w:rPr>
              <w:t xml:space="preserve">impose aucune obligation aux </w:t>
            </w:r>
            <w:r w:rsidRPr="002D66DE">
              <w:rPr>
                <w:sz w:val="20"/>
                <w:szCs w:val="20"/>
              </w:rPr>
              <w:t>États</w:t>
            </w:r>
            <w:r w:rsidR="00D85984" w:rsidRPr="002D66DE">
              <w:rPr>
                <w:sz w:val="20"/>
              </w:rPr>
              <w:t>; ils</w:t>
            </w:r>
            <w:r w:rsidRPr="002D66DE">
              <w:rPr>
                <w:sz w:val="20"/>
              </w:rPr>
              <w:t xml:space="preserve"> ont également souligné </w:t>
            </w:r>
            <w:r w:rsidR="00902AF3" w:rsidRPr="002D66DE">
              <w:rPr>
                <w:sz w:val="20"/>
              </w:rPr>
              <w:t>l</w:t>
            </w:r>
            <w:r w:rsidR="009F4D21" w:rsidRPr="002D66DE">
              <w:rPr>
                <w:sz w:val="20"/>
              </w:rPr>
              <w:t>'</w:t>
            </w:r>
            <w:r w:rsidR="00902AF3" w:rsidRPr="002D66DE">
              <w:rPr>
                <w:sz w:val="20"/>
              </w:rPr>
              <w:t>absence de</w:t>
            </w:r>
            <w:r w:rsidRPr="002D66DE">
              <w:rPr>
                <w:rFonts w:asciiTheme="minorHAnsi" w:hAnsiTheme="minorHAnsi" w:cstheme="minorHAnsi"/>
                <w:sz w:val="20"/>
              </w:rPr>
              <w:t xml:space="preserve"> définition </w:t>
            </w:r>
            <w:r w:rsidR="00902AF3" w:rsidRPr="002D66DE">
              <w:rPr>
                <w:rFonts w:asciiTheme="minorHAnsi" w:hAnsiTheme="minorHAnsi" w:cstheme="minorHAnsi"/>
                <w:sz w:val="20"/>
              </w:rPr>
              <w:t>du terme</w:t>
            </w:r>
            <w:r w:rsidRPr="002D66DE">
              <w:rPr>
                <w:rFonts w:asciiTheme="minorHAnsi" w:hAnsiTheme="minorHAnsi" w:cstheme="minorHAnsi"/>
                <w:sz w:val="20"/>
              </w:rPr>
              <w:t xml:space="preserve"> "coopération"</w:t>
            </w:r>
            <w:r w:rsidR="00D85984" w:rsidRPr="002D66DE">
              <w:rPr>
                <w:rFonts w:asciiTheme="minorHAnsi" w:hAnsiTheme="minorHAnsi" w:cstheme="minorHAnsi"/>
                <w:sz w:val="20"/>
              </w:rPr>
              <w:t xml:space="preserve"> </w:t>
            </w:r>
            <w:r w:rsidRPr="002D66DE">
              <w:rPr>
                <w:rFonts w:asciiTheme="minorHAnsi" w:hAnsiTheme="minorHAnsi" w:cstheme="minorHAnsi"/>
                <w:sz w:val="20"/>
              </w:rPr>
              <w:t>qui rend encore plus difficile l'application de cette disposition</w:t>
            </w:r>
            <w:r w:rsidR="00F476A1" w:rsidRPr="002D66DE">
              <w:rPr>
                <w:sz w:val="20"/>
              </w:rPr>
              <w:t>.</w:t>
            </w:r>
            <w:bookmarkEnd w:id="75"/>
          </w:p>
        </w:tc>
        <w:tc>
          <w:tcPr>
            <w:tcW w:w="2595" w:type="dxa"/>
          </w:tcPr>
          <w:p w14:paraId="31F7CE7D" w14:textId="581FCE25" w:rsidR="00F476A1" w:rsidRPr="002D66DE" w:rsidRDefault="00947AB2" w:rsidP="00C55BDB">
            <w:pPr>
              <w:pStyle w:val="Tabletext"/>
              <w:rPr>
                <w:sz w:val="20"/>
              </w:rPr>
            </w:pPr>
            <w:bookmarkStart w:id="76" w:name="lt_pId294"/>
            <w:r w:rsidRPr="002D66DE">
              <w:rPr>
                <w:sz w:val="20"/>
                <w:szCs w:val="20"/>
              </w:rPr>
              <w:t>Certains membres ont estimé que cette disposition est suffisamment souple pour tenir compte des nouvelles tendances et des</w:t>
            </w:r>
            <w:r w:rsidR="004C7683" w:rsidRPr="002D66DE">
              <w:rPr>
                <w:sz w:val="20"/>
                <w:szCs w:val="20"/>
              </w:rPr>
              <w:t xml:space="preserve"> </w:t>
            </w:r>
            <w:r w:rsidRPr="002D66DE">
              <w:rPr>
                <w:sz w:val="20"/>
              </w:rPr>
              <w:t xml:space="preserve"> nouveaux problèmes qui se font jour</w:t>
            </w:r>
            <w:r w:rsidR="00F476A1" w:rsidRPr="002D66DE">
              <w:rPr>
                <w:sz w:val="20"/>
              </w:rPr>
              <w:t xml:space="preserve">, </w:t>
            </w:r>
            <w:r w:rsidRPr="002D66DE">
              <w:rPr>
                <w:sz w:val="20"/>
              </w:rPr>
              <w:t>et permet le développement international des exploitations.</w:t>
            </w:r>
            <w:bookmarkEnd w:id="76"/>
          </w:p>
          <w:p w14:paraId="71727E20" w14:textId="0B880F39" w:rsidR="00F476A1" w:rsidRPr="002D66DE" w:rsidRDefault="00873431" w:rsidP="00C55BDB">
            <w:pPr>
              <w:pStyle w:val="Tabletext"/>
              <w:rPr>
                <w:sz w:val="20"/>
                <w:szCs w:val="20"/>
              </w:rPr>
            </w:pPr>
            <w:bookmarkStart w:id="77" w:name="lt_pId295"/>
            <w:r w:rsidRPr="002D66DE">
              <w:rPr>
                <w:sz w:val="20"/>
              </w:rPr>
              <w:t xml:space="preserve">Certains membres ont estimé que la question de la souplesse est sans objet pour cette disposition </w:t>
            </w:r>
            <w:r w:rsidR="00902AF3" w:rsidRPr="002D66DE">
              <w:rPr>
                <w:sz w:val="20"/>
              </w:rPr>
              <w:t>étant donné que</w:t>
            </w:r>
            <w:r w:rsidRPr="002D66DE">
              <w:rPr>
                <w:sz w:val="20"/>
              </w:rPr>
              <w:t xml:space="preserve"> la plupart des accords sont conclus en dehors du cadre du RTI</w:t>
            </w:r>
            <w:bookmarkEnd w:id="77"/>
            <w:r w:rsidR="00F476A1" w:rsidRPr="002D66DE">
              <w:rPr>
                <w:sz w:val="20"/>
              </w:rPr>
              <w:t>.</w:t>
            </w:r>
          </w:p>
        </w:tc>
        <w:tc>
          <w:tcPr>
            <w:tcW w:w="2406" w:type="dxa"/>
          </w:tcPr>
          <w:p w14:paraId="533DDD68" w14:textId="23268CDC"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505D9785" w14:textId="27A16CC6" w:rsidR="00F476A1"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3EA3FB50" w14:textId="6BC963C8"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6A95F44C" w14:textId="77777777" w:rsidTr="00C55BDB">
        <w:tc>
          <w:tcPr>
            <w:tcW w:w="987" w:type="dxa"/>
          </w:tcPr>
          <w:p w14:paraId="0670C104"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2EA965F6"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33B947FD"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660B8289"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629BA280"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07B5F573"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514C000D" w14:textId="77777777" w:rsidTr="00C55BDB">
        <w:tc>
          <w:tcPr>
            <w:tcW w:w="987" w:type="dxa"/>
          </w:tcPr>
          <w:p w14:paraId="320BDFE4" w14:textId="154D9A27" w:rsidR="00F476A1" w:rsidRPr="002D66DE" w:rsidRDefault="00F476A1" w:rsidP="00C55BDB">
            <w:pPr>
              <w:pStyle w:val="Tablehead"/>
              <w:rPr>
                <w:sz w:val="20"/>
                <w:szCs w:val="20"/>
              </w:rPr>
            </w:pPr>
            <w:r w:rsidRPr="002D66DE">
              <w:rPr>
                <w:sz w:val="20"/>
                <w:szCs w:val="20"/>
              </w:rPr>
              <w:t>15</w:t>
            </w:r>
          </w:p>
        </w:tc>
        <w:tc>
          <w:tcPr>
            <w:tcW w:w="2860" w:type="dxa"/>
          </w:tcPr>
          <w:p w14:paraId="0C98EE0C" w14:textId="77777777" w:rsidR="00F476A1" w:rsidRPr="002D66DE" w:rsidRDefault="00F476A1" w:rsidP="00C55BDB">
            <w:pPr>
              <w:pStyle w:val="Tabletext"/>
              <w:rPr>
                <w:b/>
                <w:bCs/>
                <w:sz w:val="20"/>
                <w:szCs w:val="20"/>
              </w:rPr>
            </w:pPr>
            <w:r w:rsidRPr="002D66DE">
              <w:rPr>
                <w:b/>
                <w:bCs/>
                <w:sz w:val="20"/>
                <w:szCs w:val="20"/>
              </w:rPr>
              <w:t>1.8</w:t>
            </w:r>
            <w:r w:rsidRPr="002D66DE">
              <w:rPr>
                <w:b/>
                <w:bCs/>
                <w:sz w:val="20"/>
                <w:szCs w:val="20"/>
              </w:rPr>
              <w:tab/>
              <w:t>Les dispositions du présent Règlement s'appliquent, quel que soit le moyen de transmission utilisé, pour autant qu'elles ne soient pas contraires aux dispositions du Règlement des radiocommunications.</w:t>
            </w:r>
          </w:p>
        </w:tc>
        <w:tc>
          <w:tcPr>
            <w:tcW w:w="3716" w:type="dxa"/>
          </w:tcPr>
          <w:p w14:paraId="61F0E905" w14:textId="77777777" w:rsidR="00F476A1" w:rsidRPr="002D66DE" w:rsidRDefault="00F476A1" w:rsidP="00C55BDB">
            <w:pPr>
              <w:pStyle w:val="Tabletext"/>
              <w:rPr>
                <w:sz w:val="20"/>
                <w:szCs w:val="20"/>
              </w:rPr>
            </w:pPr>
            <w:r w:rsidRPr="002D66DE">
              <w:rPr>
                <w:sz w:val="20"/>
                <w:szCs w:val="20"/>
              </w:rPr>
              <w:t>1.8</w:t>
            </w:r>
            <w:r w:rsidRPr="002D66DE">
              <w:rPr>
                <w:sz w:val="20"/>
                <w:szCs w:val="20"/>
              </w:rPr>
              <w:tab/>
              <w:t>Les dispositions du Règlement s'appliquent, quel que soit le moyen de transmission utilisé, pour autant qu'elles ne soient pas contraires aux dispositions du Règlement des radiocommunications.</w:t>
            </w:r>
          </w:p>
        </w:tc>
        <w:tc>
          <w:tcPr>
            <w:tcW w:w="2613" w:type="dxa"/>
          </w:tcPr>
          <w:p w14:paraId="6CFC23C8" w14:textId="0CA1AA80" w:rsidR="00F476A1" w:rsidRPr="002D66DE" w:rsidRDefault="00B529FC" w:rsidP="00C55BDB">
            <w:pPr>
              <w:pStyle w:val="Tabletext"/>
              <w:rPr>
                <w:sz w:val="20"/>
              </w:rPr>
            </w:pPr>
            <w:bookmarkStart w:id="78" w:name="lt_pId302"/>
            <w:r w:rsidRPr="002D66DE">
              <w:rPr>
                <w:rFonts w:cstheme="minorHAnsi"/>
                <w:sz w:val="20"/>
                <w:szCs w:val="20"/>
              </w:rPr>
              <w:t>Certains membres ont estimé que cette disposition est applicable et permet le développement des réseaux et des services</w:t>
            </w:r>
            <w:r w:rsidR="00F476A1" w:rsidRPr="002D66DE">
              <w:rPr>
                <w:sz w:val="20"/>
              </w:rPr>
              <w:t xml:space="preserve">, </w:t>
            </w:r>
            <w:r w:rsidRPr="002D66DE">
              <w:rPr>
                <w:sz w:val="20"/>
              </w:rPr>
              <w:t xml:space="preserve">et ont </w:t>
            </w:r>
            <w:r w:rsidR="00935C03" w:rsidRPr="002D66DE">
              <w:rPr>
                <w:sz w:val="20"/>
              </w:rPr>
              <w:t>relevé</w:t>
            </w:r>
            <w:r w:rsidRPr="002D66DE">
              <w:rPr>
                <w:sz w:val="20"/>
              </w:rPr>
              <w:t xml:space="preserve"> que cette disposition établit</w:t>
            </w:r>
            <w:r w:rsidR="004C7683" w:rsidRPr="002D66DE">
              <w:rPr>
                <w:sz w:val="20"/>
              </w:rPr>
              <w:t xml:space="preserve"> </w:t>
            </w:r>
            <w:r w:rsidR="00935C03" w:rsidRPr="002D66DE">
              <w:rPr>
                <w:sz w:val="20"/>
              </w:rPr>
              <w:t xml:space="preserve">également </w:t>
            </w:r>
            <w:r w:rsidRPr="002D66DE">
              <w:rPr>
                <w:sz w:val="20"/>
              </w:rPr>
              <w:t>une distinction claire entre le RTI et le Règlement des radiocommunications</w:t>
            </w:r>
            <w:r w:rsidR="00F476A1" w:rsidRPr="002D66DE">
              <w:rPr>
                <w:sz w:val="20"/>
              </w:rPr>
              <w:t>.</w:t>
            </w:r>
            <w:bookmarkEnd w:id="78"/>
          </w:p>
          <w:p w14:paraId="72285A87" w14:textId="3E1B5663" w:rsidR="00F476A1" w:rsidRPr="002D66DE" w:rsidRDefault="00FD5CE9" w:rsidP="00C55BDB">
            <w:pPr>
              <w:pStyle w:val="Tabletext"/>
              <w:rPr>
                <w:sz w:val="20"/>
                <w:szCs w:val="20"/>
              </w:rPr>
            </w:pPr>
            <w:bookmarkStart w:id="79" w:name="lt_pId303"/>
            <w:r w:rsidRPr="002D66DE">
              <w:rPr>
                <w:sz w:val="20"/>
              </w:rPr>
              <w:t>Certains membres ont estimé que cette disposition n</w:t>
            </w:r>
            <w:r w:rsidR="009F4D21" w:rsidRPr="002D66DE">
              <w:rPr>
                <w:sz w:val="20"/>
              </w:rPr>
              <w:t>'</w:t>
            </w:r>
            <w:r w:rsidRPr="002D66DE">
              <w:rPr>
                <w:sz w:val="20"/>
              </w:rPr>
              <w:t>est pas applicable parce qu</w:t>
            </w:r>
            <w:r w:rsidR="009F4D21" w:rsidRPr="002D66DE">
              <w:rPr>
                <w:sz w:val="20"/>
              </w:rPr>
              <w:t>'</w:t>
            </w:r>
            <w:r w:rsidRPr="002D66DE">
              <w:rPr>
                <w:sz w:val="20"/>
              </w:rPr>
              <w:t>elle porte sur le champ d</w:t>
            </w:r>
            <w:r w:rsidR="009F4D21" w:rsidRPr="002D66DE">
              <w:rPr>
                <w:sz w:val="20"/>
              </w:rPr>
              <w:t>'</w:t>
            </w:r>
            <w:r w:rsidRPr="002D66DE">
              <w:rPr>
                <w:sz w:val="20"/>
              </w:rPr>
              <w:t>application du traité</w:t>
            </w:r>
            <w:bookmarkEnd w:id="79"/>
            <w:r w:rsidRPr="002D66DE">
              <w:rPr>
                <w:sz w:val="20"/>
              </w:rPr>
              <w:t>.</w:t>
            </w:r>
          </w:p>
        </w:tc>
        <w:tc>
          <w:tcPr>
            <w:tcW w:w="2595" w:type="dxa"/>
          </w:tcPr>
          <w:p w14:paraId="5053C197" w14:textId="7DF9BE1A" w:rsidR="00F476A1" w:rsidRPr="002D66DE" w:rsidRDefault="00B529FC" w:rsidP="00C55BDB">
            <w:pPr>
              <w:pStyle w:val="Tabletext"/>
              <w:rPr>
                <w:sz w:val="20"/>
                <w:highlight w:val="lightGray"/>
              </w:rPr>
            </w:pPr>
            <w:bookmarkStart w:id="80" w:name="lt_pId304"/>
            <w:r w:rsidRPr="002D66DE">
              <w:rPr>
                <w:sz w:val="20"/>
                <w:szCs w:val="20"/>
              </w:rPr>
              <w:t xml:space="preserve">Certains membres ont estimé que cette disposition est suffisamment souple pour tenir compte des nouvelles tendances et des </w:t>
            </w:r>
            <w:r w:rsidRPr="002D66DE">
              <w:rPr>
                <w:sz w:val="20"/>
              </w:rPr>
              <w:t>nouveaux problèmes qui se font jour</w:t>
            </w:r>
            <w:bookmarkEnd w:id="80"/>
            <w:r w:rsidRPr="002D66DE">
              <w:rPr>
                <w:sz w:val="20"/>
              </w:rPr>
              <w:t>.</w:t>
            </w:r>
          </w:p>
          <w:p w14:paraId="1125D499" w14:textId="2BC14E2A" w:rsidR="00F476A1" w:rsidRPr="002D66DE" w:rsidRDefault="009F6139" w:rsidP="00C55BDB">
            <w:pPr>
              <w:pStyle w:val="Tabletext"/>
              <w:rPr>
                <w:sz w:val="20"/>
                <w:szCs w:val="20"/>
              </w:rPr>
            </w:pPr>
            <w:bookmarkStart w:id="81" w:name="lt_pId305"/>
            <w:r w:rsidRPr="002D66DE">
              <w:rPr>
                <w:sz w:val="20"/>
                <w:szCs w:val="20"/>
              </w:rPr>
              <w:t>Certains membres ont estimé que la question de la souplesse est sans objet pour cette disposition puisque celle-ci porte sur le champ d</w:t>
            </w:r>
            <w:r w:rsidR="009F4D21" w:rsidRPr="002D66DE">
              <w:rPr>
                <w:sz w:val="20"/>
                <w:szCs w:val="20"/>
              </w:rPr>
              <w:t>'</w:t>
            </w:r>
            <w:r w:rsidRPr="002D66DE">
              <w:rPr>
                <w:sz w:val="20"/>
                <w:szCs w:val="20"/>
              </w:rPr>
              <w:t>application</w:t>
            </w:r>
            <w:r w:rsidR="00935C03" w:rsidRPr="002D66DE">
              <w:rPr>
                <w:sz w:val="20"/>
                <w:szCs w:val="20"/>
              </w:rPr>
              <w:t xml:space="preserve"> </w:t>
            </w:r>
            <w:r w:rsidRPr="002D66DE">
              <w:rPr>
                <w:sz w:val="20"/>
                <w:szCs w:val="20"/>
              </w:rPr>
              <w:t>du traité</w:t>
            </w:r>
            <w:r w:rsidR="00F476A1" w:rsidRPr="002D66DE">
              <w:rPr>
                <w:sz w:val="20"/>
              </w:rPr>
              <w:t>.</w:t>
            </w:r>
            <w:bookmarkEnd w:id="81"/>
          </w:p>
        </w:tc>
        <w:tc>
          <w:tcPr>
            <w:tcW w:w="2406" w:type="dxa"/>
          </w:tcPr>
          <w:p w14:paraId="017F59B2" w14:textId="52799FD1"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7359A641" w14:textId="1EF508B2" w:rsidR="00F476A1"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458AA4C0" w14:textId="0A656D42"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54788407" w14:textId="77777777" w:rsidTr="00C55BDB">
        <w:tc>
          <w:tcPr>
            <w:tcW w:w="987" w:type="dxa"/>
          </w:tcPr>
          <w:p w14:paraId="2C6831D6"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344CBAD5"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7EA839EB"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16C2E396"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4DA1A4AB"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4D371048"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54FFACBF" w14:textId="77777777" w:rsidTr="00C55BDB">
        <w:tc>
          <w:tcPr>
            <w:tcW w:w="987" w:type="dxa"/>
          </w:tcPr>
          <w:p w14:paraId="181616FF" w14:textId="6D646931" w:rsidR="00F476A1" w:rsidRPr="002D66DE" w:rsidRDefault="00F476A1" w:rsidP="00C55BDB">
            <w:pPr>
              <w:pStyle w:val="Tablehead"/>
              <w:rPr>
                <w:sz w:val="20"/>
                <w:szCs w:val="20"/>
              </w:rPr>
            </w:pPr>
            <w:r w:rsidRPr="002D66DE">
              <w:rPr>
                <w:sz w:val="20"/>
                <w:szCs w:val="20"/>
              </w:rPr>
              <w:t>16</w:t>
            </w:r>
          </w:p>
        </w:tc>
        <w:tc>
          <w:tcPr>
            <w:tcW w:w="2860" w:type="dxa"/>
          </w:tcPr>
          <w:p w14:paraId="227CE365" w14:textId="77777777" w:rsidR="00F476A1" w:rsidRPr="002D66DE" w:rsidRDefault="00F476A1" w:rsidP="00C55BDB">
            <w:pPr>
              <w:pStyle w:val="Tabletext"/>
              <w:rPr>
                <w:b/>
                <w:bCs/>
                <w:sz w:val="20"/>
                <w:szCs w:val="20"/>
              </w:rPr>
            </w:pPr>
            <w:r w:rsidRPr="002D66DE">
              <w:rPr>
                <w:b/>
                <w:bCs/>
                <w:sz w:val="20"/>
                <w:szCs w:val="20"/>
              </w:rPr>
              <w:t>2.1</w:t>
            </w:r>
            <w:r w:rsidRPr="002D66DE">
              <w:rPr>
                <w:b/>
                <w:bCs/>
                <w:sz w:val="20"/>
                <w:szCs w:val="20"/>
              </w:rPr>
              <w:tab/>
              <w:t>Aux fins du présent Règlement, les définitions ci</w:t>
            </w:r>
            <w:r w:rsidRPr="002D66DE">
              <w:rPr>
                <w:b/>
                <w:bCs/>
                <w:sz w:val="20"/>
                <w:szCs w:val="20"/>
              </w:rPr>
              <w:noBreakHyphen/>
              <w:t>après sont applicables. Toutefois, ces termes et définitions ne sont pas nécessairement applicables à d'autres fins.</w:t>
            </w:r>
          </w:p>
        </w:tc>
        <w:tc>
          <w:tcPr>
            <w:tcW w:w="3716" w:type="dxa"/>
          </w:tcPr>
          <w:p w14:paraId="2C2C5A5B" w14:textId="77777777" w:rsidR="00F476A1" w:rsidRPr="002D66DE" w:rsidRDefault="00F476A1" w:rsidP="00C55BDB">
            <w:pPr>
              <w:pStyle w:val="Tabletext"/>
              <w:rPr>
                <w:b/>
                <w:bCs/>
                <w:sz w:val="20"/>
                <w:szCs w:val="20"/>
              </w:rPr>
            </w:pPr>
            <w:r w:rsidRPr="002D66DE">
              <w:rPr>
                <w:sz w:val="20"/>
                <w:szCs w:val="20"/>
              </w:rPr>
              <w:t>Aux fins du présent Règlement, les définitions ci</w:t>
            </w:r>
            <w:r w:rsidRPr="002D66DE">
              <w:rPr>
                <w:sz w:val="20"/>
                <w:szCs w:val="20"/>
              </w:rPr>
              <w:noBreakHyphen/>
              <w:t>après sont applicables. Toutefois, ces termes et définitions ne sont pas nécessairement applicables dans d'autres cas.</w:t>
            </w:r>
          </w:p>
        </w:tc>
        <w:tc>
          <w:tcPr>
            <w:tcW w:w="2613" w:type="dxa"/>
          </w:tcPr>
          <w:p w14:paraId="34A44F24" w14:textId="2E6DF3A2" w:rsidR="00F476A1" w:rsidRPr="002D66DE" w:rsidRDefault="00FD5CE9" w:rsidP="00C55BDB">
            <w:pPr>
              <w:pStyle w:val="Tabletext"/>
              <w:rPr>
                <w:sz w:val="20"/>
              </w:rPr>
            </w:pPr>
            <w:bookmarkStart w:id="82" w:name="lt_pId313"/>
            <w:r w:rsidRPr="002D66DE">
              <w:rPr>
                <w:sz w:val="20"/>
              </w:rPr>
              <w:t>Certains membres ont estimé que l</w:t>
            </w:r>
            <w:r w:rsidR="009F4D21" w:rsidRPr="002D66DE">
              <w:rPr>
                <w:sz w:val="20"/>
              </w:rPr>
              <w:t>'</w:t>
            </w:r>
            <w:r w:rsidRPr="002D66DE">
              <w:rPr>
                <w:sz w:val="20"/>
              </w:rPr>
              <w:t>applicabilité des définitions n</w:t>
            </w:r>
            <w:r w:rsidR="009F4D21" w:rsidRPr="002D66DE">
              <w:rPr>
                <w:sz w:val="20"/>
              </w:rPr>
              <w:t>'</w:t>
            </w:r>
            <w:r w:rsidRPr="002D66DE">
              <w:rPr>
                <w:sz w:val="20"/>
              </w:rPr>
              <w:t xml:space="preserve">est pas claire </w:t>
            </w:r>
            <w:r w:rsidR="00F84150" w:rsidRPr="002D66DE">
              <w:rPr>
                <w:sz w:val="20"/>
              </w:rPr>
              <w:t>pour ce qui est de favoriser la fourniture et le développement des réseaux et de</w:t>
            </w:r>
            <w:r w:rsidR="000B237D" w:rsidRPr="002D66DE">
              <w:rPr>
                <w:sz w:val="20"/>
              </w:rPr>
              <w:t>s</w:t>
            </w:r>
            <w:r w:rsidR="00F84150" w:rsidRPr="002D66DE">
              <w:rPr>
                <w:sz w:val="20"/>
              </w:rPr>
              <w:t xml:space="preserve"> </w:t>
            </w:r>
            <w:r w:rsidR="00F476A1" w:rsidRPr="002D66DE">
              <w:rPr>
                <w:sz w:val="20"/>
              </w:rPr>
              <w:t>services.</w:t>
            </w:r>
            <w:bookmarkEnd w:id="82"/>
          </w:p>
          <w:p w14:paraId="406B14FC" w14:textId="4B2867B1" w:rsidR="00F476A1" w:rsidRPr="002D66DE" w:rsidRDefault="000B237D" w:rsidP="00C55BDB">
            <w:pPr>
              <w:pStyle w:val="Tabletext"/>
              <w:rPr>
                <w:sz w:val="20"/>
              </w:rPr>
            </w:pPr>
            <w:bookmarkStart w:id="83" w:name="lt_pId314"/>
            <w:r w:rsidRPr="002D66DE">
              <w:rPr>
                <w:sz w:val="20"/>
              </w:rPr>
              <w:t>De l</w:t>
            </w:r>
            <w:r w:rsidR="009F4D21" w:rsidRPr="002D66DE">
              <w:rPr>
                <w:sz w:val="20"/>
              </w:rPr>
              <w:t>'</w:t>
            </w:r>
            <w:r w:rsidRPr="002D66DE">
              <w:rPr>
                <w:sz w:val="20"/>
              </w:rPr>
              <w:t>avis de c</w:t>
            </w:r>
            <w:r w:rsidR="00F84150" w:rsidRPr="002D66DE">
              <w:rPr>
                <w:sz w:val="20"/>
              </w:rPr>
              <w:t>ertains membres</w:t>
            </w:r>
            <w:r w:rsidRPr="002D66DE">
              <w:rPr>
                <w:sz w:val="20"/>
              </w:rPr>
              <w:t>,</w:t>
            </w:r>
            <w:r w:rsidR="00F84150" w:rsidRPr="002D66DE">
              <w:rPr>
                <w:sz w:val="20"/>
              </w:rPr>
              <w:t xml:space="preserve"> cette disposition est </w:t>
            </w:r>
            <w:r w:rsidR="00F476A1" w:rsidRPr="002D66DE">
              <w:rPr>
                <w:sz w:val="20"/>
              </w:rPr>
              <w:t>applicable.</w:t>
            </w:r>
            <w:bookmarkEnd w:id="83"/>
          </w:p>
          <w:p w14:paraId="3C932588" w14:textId="3A47DFDA" w:rsidR="00F476A1" w:rsidRPr="002D66DE" w:rsidRDefault="000B237D" w:rsidP="00C55BDB">
            <w:pPr>
              <w:pStyle w:val="Tabletext"/>
              <w:rPr>
                <w:sz w:val="20"/>
                <w:szCs w:val="20"/>
              </w:rPr>
            </w:pPr>
            <w:bookmarkStart w:id="84" w:name="lt_pId101"/>
            <w:r w:rsidRPr="002D66DE">
              <w:rPr>
                <w:sz w:val="20"/>
              </w:rPr>
              <w:t>Certains autres membres ont estimé que c</w:t>
            </w:r>
            <w:r w:rsidR="00F476A1" w:rsidRPr="002D66DE">
              <w:rPr>
                <w:sz w:val="20"/>
                <w:szCs w:val="20"/>
              </w:rPr>
              <w:t xml:space="preserve">ette disposition </w:t>
            </w:r>
            <w:r w:rsidR="00B659B5" w:rsidRPr="002D66DE">
              <w:rPr>
                <w:sz w:val="20"/>
                <w:szCs w:val="20"/>
              </w:rPr>
              <w:t xml:space="preserve">ni </w:t>
            </w:r>
            <w:r w:rsidR="00F476A1" w:rsidRPr="002D66DE">
              <w:rPr>
                <w:sz w:val="20"/>
                <w:szCs w:val="20"/>
              </w:rPr>
              <w:t>n</w:t>
            </w:r>
            <w:r w:rsidRPr="002D66DE">
              <w:rPr>
                <w:sz w:val="20"/>
                <w:szCs w:val="20"/>
              </w:rPr>
              <w:t>e</w:t>
            </w:r>
            <w:r w:rsidR="00F476A1" w:rsidRPr="002D66DE">
              <w:rPr>
                <w:sz w:val="20"/>
                <w:szCs w:val="20"/>
              </w:rPr>
              <w:t xml:space="preserve"> facilite ni n'entrave la fourniture et le développement des réseaux et des services</w:t>
            </w:r>
            <w:bookmarkEnd w:id="84"/>
            <w:r w:rsidR="00F476A1" w:rsidRPr="002D66DE">
              <w:rPr>
                <w:sz w:val="20"/>
                <w:szCs w:val="20"/>
              </w:rPr>
              <w:t>.</w:t>
            </w:r>
          </w:p>
        </w:tc>
        <w:tc>
          <w:tcPr>
            <w:tcW w:w="2595" w:type="dxa"/>
          </w:tcPr>
          <w:p w14:paraId="1579FCD8" w14:textId="681EC2F8" w:rsidR="00F476A1" w:rsidRPr="002D66DE" w:rsidRDefault="00B659B5" w:rsidP="00C55BDB">
            <w:pPr>
              <w:pStyle w:val="Tabletext"/>
              <w:rPr>
                <w:color w:val="000000"/>
                <w:sz w:val="20"/>
              </w:rPr>
            </w:pPr>
            <w:bookmarkStart w:id="85" w:name="lt_pId316"/>
            <w:r w:rsidRPr="002D66DE">
              <w:rPr>
                <w:color w:val="000000"/>
                <w:sz w:val="20"/>
              </w:rPr>
              <w:t>De l</w:t>
            </w:r>
            <w:r w:rsidR="009F4D21" w:rsidRPr="002D66DE">
              <w:rPr>
                <w:color w:val="000000"/>
                <w:sz w:val="20"/>
              </w:rPr>
              <w:t>'</w:t>
            </w:r>
            <w:r w:rsidRPr="002D66DE">
              <w:rPr>
                <w:color w:val="000000"/>
                <w:sz w:val="20"/>
              </w:rPr>
              <w:t>avis de certains</w:t>
            </w:r>
            <w:r w:rsidR="00F84150" w:rsidRPr="002D66DE">
              <w:rPr>
                <w:color w:val="000000"/>
                <w:sz w:val="20"/>
              </w:rPr>
              <w:t xml:space="preserve"> membres</w:t>
            </w:r>
            <w:r w:rsidRPr="002D66DE">
              <w:rPr>
                <w:color w:val="000000"/>
                <w:sz w:val="20"/>
              </w:rPr>
              <w:t xml:space="preserve">, </w:t>
            </w:r>
            <w:r w:rsidR="00F84150" w:rsidRPr="002D66DE">
              <w:rPr>
                <w:color w:val="000000"/>
                <w:sz w:val="20"/>
              </w:rPr>
              <w:t>la souplesse des définitions n</w:t>
            </w:r>
            <w:r w:rsidR="009F4D21" w:rsidRPr="002D66DE">
              <w:rPr>
                <w:color w:val="000000"/>
                <w:sz w:val="20"/>
              </w:rPr>
              <w:t>'</w:t>
            </w:r>
            <w:r w:rsidR="00F84150" w:rsidRPr="002D66DE">
              <w:rPr>
                <w:color w:val="000000"/>
                <w:sz w:val="20"/>
              </w:rPr>
              <w:t xml:space="preserve">est pas claire pour ce qui est de la prise en compte des nouvelles tendances et des </w:t>
            </w:r>
            <w:r w:rsidR="00862FF5" w:rsidRPr="002D66DE">
              <w:rPr>
                <w:color w:val="000000"/>
                <w:sz w:val="20"/>
              </w:rPr>
              <w:t xml:space="preserve">nouveaux </w:t>
            </w:r>
            <w:r w:rsidRPr="002D66DE">
              <w:rPr>
                <w:color w:val="000000"/>
                <w:sz w:val="20"/>
              </w:rPr>
              <w:t>problèmes</w:t>
            </w:r>
            <w:r w:rsidR="00F84150" w:rsidRPr="002D66DE">
              <w:rPr>
                <w:color w:val="000000"/>
                <w:sz w:val="20"/>
              </w:rPr>
              <w:t xml:space="preserve"> qui se font jour</w:t>
            </w:r>
            <w:r w:rsidR="00F476A1" w:rsidRPr="002D66DE">
              <w:rPr>
                <w:color w:val="000000"/>
                <w:sz w:val="20"/>
              </w:rPr>
              <w:t>.</w:t>
            </w:r>
            <w:bookmarkEnd w:id="85"/>
          </w:p>
          <w:p w14:paraId="5DA4F5DF" w14:textId="7F2AA3D8" w:rsidR="00F476A1" w:rsidRPr="002D66DE" w:rsidRDefault="003D28F1" w:rsidP="00C55BDB">
            <w:pPr>
              <w:pStyle w:val="Tabletext"/>
              <w:rPr>
                <w:color w:val="000000"/>
                <w:sz w:val="20"/>
              </w:rPr>
            </w:pPr>
            <w:bookmarkStart w:id="86" w:name="lt_pId317"/>
            <w:r w:rsidRPr="002D66DE">
              <w:rPr>
                <w:color w:val="000000"/>
                <w:sz w:val="20"/>
              </w:rPr>
              <w:t>De l</w:t>
            </w:r>
            <w:r w:rsidR="009F4D21" w:rsidRPr="002D66DE">
              <w:rPr>
                <w:color w:val="000000"/>
                <w:sz w:val="20"/>
              </w:rPr>
              <w:t>'</w:t>
            </w:r>
            <w:r w:rsidRPr="002D66DE">
              <w:rPr>
                <w:color w:val="000000"/>
                <w:sz w:val="20"/>
              </w:rPr>
              <w:t>avis de certains membres, cette disposition est souple</w:t>
            </w:r>
            <w:r w:rsidR="00F476A1" w:rsidRPr="002D66DE">
              <w:rPr>
                <w:color w:val="000000"/>
                <w:sz w:val="20"/>
              </w:rPr>
              <w:t>.</w:t>
            </w:r>
            <w:bookmarkEnd w:id="86"/>
          </w:p>
          <w:p w14:paraId="7413AF64" w14:textId="57B47A17" w:rsidR="00F476A1" w:rsidRPr="002D66DE" w:rsidRDefault="003D28F1" w:rsidP="00C55BDB">
            <w:pPr>
              <w:pStyle w:val="Tabletext"/>
              <w:rPr>
                <w:sz w:val="20"/>
                <w:szCs w:val="20"/>
              </w:rPr>
            </w:pPr>
            <w:bookmarkStart w:id="87" w:name="lt_pId102"/>
            <w:r w:rsidRPr="002D66DE">
              <w:rPr>
                <w:sz w:val="20"/>
                <w:szCs w:val="20"/>
              </w:rPr>
              <w:t>Certains membres ont estimé que cette disposition n</w:t>
            </w:r>
            <w:r w:rsidR="009F4D21" w:rsidRPr="002D66DE">
              <w:rPr>
                <w:sz w:val="20"/>
                <w:szCs w:val="20"/>
              </w:rPr>
              <w:t>'</w:t>
            </w:r>
            <w:r w:rsidRPr="002D66DE">
              <w:rPr>
                <w:sz w:val="20"/>
                <w:szCs w:val="20"/>
              </w:rPr>
              <w:t>est n</w:t>
            </w:r>
            <w:r w:rsidR="00F476A1" w:rsidRPr="002D66DE">
              <w:rPr>
                <w:sz w:val="20"/>
                <w:szCs w:val="20"/>
              </w:rPr>
              <w:t>i souple, ni rigide pour ce qui est de</w:t>
            </w:r>
            <w:bookmarkEnd w:id="87"/>
            <w:r w:rsidR="00F476A1" w:rsidRPr="002D66DE">
              <w:rPr>
                <w:sz w:val="20"/>
                <w:szCs w:val="20"/>
              </w:rPr>
              <w:t xml:space="preserve"> tenir compte des nouvelles tendances et des nouveaux problèmes qui se font jour.</w:t>
            </w:r>
          </w:p>
        </w:tc>
        <w:tc>
          <w:tcPr>
            <w:tcW w:w="2406" w:type="dxa"/>
          </w:tcPr>
          <w:p w14:paraId="28452BFF" w14:textId="21DC8A0F"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4FE3E900" w14:textId="0937EFDF"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323C7921" w14:textId="69643565" w:rsidR="00F476A1" w:rsidRPr="002D66DE" w:rsidRDefault="008054D5" w:rsidP="00C55BDB">
            <w:pPr>
              <w:pStyle w:val="Tabletext"/>
              <w:rPr>
                <w:sz w:val="20"/>
                <w:szCs w:val="20"/>
              </w:rPr>
            </w:pPr>
            <w:bookmarkStart w:id="88" w:name="lt_pId321"/>
            <w:r w:rsidRPr="002D66DE">
              <w:rPr>
                <w:sz w:val="20"/>
              </w:rPr>
              <w:t>De l</w:t>
            </w:r>
            <w:r w:rsidR="009F4D21" w:rsidRPr="002D66DE">
              <w:rPr>
                <w:sz w:val="20"/>
              </w:rPr>
              <w:t>'</w:t>
            </w:r>
            <w:r w:rsidRPr="002D66DE">
              <w:rPr>
                <w:sz w:val="20"/>
              </w:rPr>
              <w:t>avis de c</w:t>
            </w:r>
            <w:r w:rsidR="003D28F1" w:rsidRPr="002D66DE">
              <w:rPr>
                <w:sz w:val="20"/>
              </w:rPr>
              <w:t>ertains membres</w:t>
            </w:r>
            <w:r w:rsidRPr="002D66DE">
              <w:rPr>
                <w:sz w:val="20"/>
              </w:rPr>
              <w:t>, il se peut que cette disposition ne présente pas d</w:t>
            </w:r>
            <w:r w:rsidR="009F4D21" w:rsidRPr="002D66DE">
              <w:rPr>
                <w:sz w:val="20"/>
              </w:rPr>
              <w:t>'</w:t>
            </w:r>
            <w:r w:rsidRPr="002D66DE">
              <w:rPr>
                <w:sz w:val="20"/>
              </w:rPr>
              <w:t>intérêt au regard des critères d</w:t>
            </w:r>
            <w:r w:rsidR="009F4D21" w:rsidRPr="002D66DE">
              <w:rPr>
                <w:sz w:val="20"/>
              </w:rPr>
              <w:t>'</w:t>
            </w:r>
            <w:r w:rsidRPr="002D66DE">
              <w:rPr>
                <w:sz w:val="20"/>
              </w:rPr>
              <w:t>examen qui ont été fixé</w:t>
            </w:r>
            <w:bookmarkEnd w:id="88"/>
            <w:r w:rsidRPr="002D66DE">
              <w:rPr>
                <w:sz w:val="20"/>
              </w:rPr>
              <w:t>s.</w:t>
            </w:r>
          </w:p>
        </w:tc>
      </w:tr>
    </w:tbl>
    <w:p w14:paraId="41F9F888" w14:textId="2DC04DED" w:rsidR="00C55BDB" w:rsidRPr="002D66DE" w:rsidRDefault="00C55BDB"/>
    <w:p w14:paraId="457A52BE" w14:textId="00C50E1B"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3D48FE61" w14:textId="77777777" w:rsidTr="00C55BDB">
        <w:tc>
          <w:tcPr>
            <w:tcW w:w="987" w:type="dxa"/>
          </w:tcPr>
          <w:p w14:paraId="749AE2EE"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7500C778"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39F14AB1"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78CB4B21"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2A0E213C"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7B1DB22A"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12F08AFB" w14:textId="77777777" w:rsidTr="00C55BDB">
        <w:tc>
          <w:tcPr>
            <w:tcW w:w="987" w:type="dxa"/>
          </w:tcPr>
          <w:p w14:paraId="6F92F958" w14:textId="37BE0557" w:rsidR="00F476A1" w:rsidRPr="002D66DE" w:rsidRDefault="00F476A1" w:rsidP="00C55BDB">
            <w:pPr>
              <w:pStyle w:val="Tablehead"/>
              <w:rPr>
                <w:sz w:val="20"/>
                <w:szCs w:val="20"/>
              </w:rPr>
            </w:pPr>
            <w:r w:rsidRPr="002D66DE">
              <w:rPr>
                <w:sz w:val="20"/>
                <w:szCs w:val="20"/>
              </w:rPr>
              <w:t>17</w:t>
            </w:r>
          </w:p>
        </w:tc>
        <w:tc>
          <w:tcPr>
            <w:tcW w:w="2860" w:type="dxa"/>
          </w:tcPr>
          <w:p w14:paraId="74749CA0" w14:textId="77777777" w:rsidR="00F476A1" w:rsidRPr="002D66DE" w:rsidRDefault="00F476A1" w:rsidP="00C55BDB">
            <w:pPr>
              <w:pStyle w:val="Tabletext"/>
              <w:rPr>
                <w:b/>
                <w:bCs/>
                <w:sz w:val="20"/>
                <w:szCs w:val="20"/>
              </w:rPr>
            </w:pPr>
            <w:r w:rsidRPr="002D66DE">
              <w:rPr>
                <w:b/>
                <w:bCs/>
                <w:sz w:val="20"/>
                <w:szCs w:val="20"/>
              </w:rPr>
              <w:t>2.2</w:t>
            </w:r>
            <w:r w:rsidRPr="002D66DE">
              <w:rPr>
                <w:b/>
                <w:bCs/>
                <w:sz w:val="20"/>
                <w:szCs w:val="20"/>
              </w:rPr>
              <w:tab/>
            </w:r>
            <w:r w:rsidRPr="002D66DE">
              <w:rPr>
                <w:b/>
                <w:bCs/>
                <w:i/>
                <w:sz w:val="20"/>
                <w:szCs w:val="20"/>
              </w:rPr>
              <w:t xml:space="preserve">Télécommunication: </w:t>
            </w:r>
            <w:r w:rsidRPr="002D66DE">
              <w:rPr>
                <w:b/>
                <w:bCs/>
                <w:sz w:val="20"/>
                <w:szCs w:val="20"/>
              </w:rPr>
              <w:t>Toute transmission, émission ou réception de signes, de signaux, d'écrits, d'images, de sons ou de renseignements de toute nature, par fil, radioélectricité, optique ou autres systèmes électromagnétiques.</w:t>
            </w:r>
          </w:p>
        </w:tc>
        <w:tc>
          <w:tcPr>
            <w:tcW w:w="3716" w:type="dxa"/>
          </w:tcPr>
          <w:p w14:paraId="38A9A97A" w14:textId="77777777" w:rsidR="00F476A1" w:rsidRPr="002D66DE" w:rsidRDefault="00F476A1" w:rsidP="00C55BDB">
            <w:pPr>
              <w:pStyle w:val="Tabletext"/>
              <w:rPr>
                <w:b/>
                <w:bCs/>
                <w:sz w:val="20"/>
                <w:szCs w:val="20"/>
              </w:rPr>
            </w:pPr>
            <w:r w:rsidRPr="002D66DE">
              <w:rPr>
                <w:sz w:val="20"/>
                <w:szCs w:val="20"/>
              </w:rPr>
              <w:t>2.1</w:t>
            </w:r>
            <w:r w:rsidRPr="002D66DE">
              <w:rPr>
                <w:sz w:val="20"/>
                <w:szCs w:val="20"/>
              </w:rPr>
              <w:tab/>
            </w:r>
            <w:r w:rsidRPr="002D66DE">
              <w:rPr>
                <w:i/>
                <w:sz w:val="20"/>
                <w:szCs w:val="20"/>
              </w:rPr>
              <w:t xml:space="preserve">Télécommunication: </w:t>
            </w:r>
            <w:r w:rsidRPr="002D66DE">
              <w:rPr>
                <w:sz w:val="20"/>
                <w:szCs w:val="20"/>
              </w:rPr>
              <w:t>Toute transmission, émission ou réception de signes, de signaux, d'écrits, d'images, de sons ou de renseignements de toute nature, par fil, radioélectricité, optique ou autres systèmes électromagnétiques.</w:t>
            </w:r>
          </w:p>
        </w:tc>
        <w:tc>
          <w:tcPr>
            <w:tcW w:w="2613" w:type="dxa"/>
          </w:tcPr>
          <w:p w14:paraId="31FA1E77" w14:textId="3453924D" w:rsidR="00F476A1" w:rsidRPr="002D66DE" w:rsidRDefault="00DF6E88" w:rsidP="00C55BDB">
            <w:pPr>
              <w:pStyle w:val="Tabletext"/>
              <w:rPr>
                <w:sz w:val="20"/>
              </w:rPr>
            </w:pPr>
            <w:r w:rsidRPr="002D66DE">
              <w:rPr>
                <w:sz w:val="20"/>
              </w:rPr>
              <w:t xml:space="preserve">Certains membres ont estimé que cette disposition est </w:t>
            </w:r>
            <w:r w:rsidR="00F476A1" w:rsidRPr="002D66DE">
              <w:rPr>
                <w:sz w:val="20"/>
              </w:rPr>
              <w:t xml:space="preserve">applicable </w:t>
            </w:r>
            <w:r w:rsidRPr="002D66DE">
              <w:rPr>
                <w:sz w:val="20"/>
              </w:rPr>
              <w:t>et permet le développement de</w:t>
            </w:r>
            <w:r w:rsidR="00E90A76" w:rsidRPr="002D66DE">
              <w:rPr>
                <w:sz w:val="20"/>
              </w:rPr>
              <w:t>s</w:t>
            </w:r>
            <w:r w:rsidRPr="002D66DE">
              <w:rPr>
                <w:sz w:val="20"/>
              </w:rPr>
              <w:t xml:space="preserve"> réseaux et de</w:t>
            </w:r>
            <w:r w:rsidR="00E90A76" w:rsidRPr="002D66DE">
              <w:rPr>
                <w:sz w:val="20"/>
              </w:rPr>
              <w:t>s</w:t>
            </w:r>
            <w:r w:rsidRPr="002D66DE">
              <w:rPr>
                <w:sz w:val="20"/>
              </w:rPr>
              <w:t xml:space="preserve"> services, et </w:t>
            </w:r>
            <w:r w:rsidR="00E90A76" w:rsidRPr="002D66DE">
              <w:rPr>
                <w:sz w:val="20"/>
              </w:rPr>
              <w:t>qu</w:t>
            </w:r>
            <w:r w:rsidR="009F4D21" w:rsidRPr="002D66DE">
              <w:rPr>
                <w:sz w:val="20"/>
              </w:rPr>
              <w:t>'</w:t>
            </w:r>
            <w:r w:rsidR="00E90A76" w:rsidRPr="002D66DE">
              <w:rPr>
                <w:sz w:val="20"/>
              </w:rPr>
              <w:t xml:space="preserve">elle </w:t>
            </w:r>
            <w:r w:rsidRPr="002D66DE">
              <w:rPr>
                <w:sz w:val="20"/>
              </w:rPr>
              <w:t>couvre les moyens actuels et courants de transmission de l'information</w:t>
            </w:r>
            <w:r w:rsidR="00F476A1" w:rsidRPr="002D66DE">
              <w:rPr>
                <w:sz w:val="20"/>
              </w:rPr>
              <w:t>.</w:t>
            </w:r>
          </w:p>
          <w:p w14:paraId="49BF7055" w14:textId="3B0D0D46" w:rsidR="00F476A1" w:rsidRPr="002D66DE" w:rsidRDefault="00DF6E88" w:rsidP="00C55BDB">
            <w:pPr>
              <w:pStyle w:val="Tabletext"/>
              <w:rPr>
                <w:sz w:val="20"/>
              </w:rPr>
            </w:pPr>
            <w:bookmarkStart w:id="89" w:name="lt_pId327"/>
            <w:r w:rsidRPr="002D66DE">
              <w:rPr>
                <w:sz w:val="20"/>
              </w:rPr>
              <w:t>Certains membres ont souligné que, selon eux,</w:t>
            </w:r>
            <w:r w:rsidR="004C7683" w:rsidRPr="002D66DE">
              <w:rPr>
                <w:sz w:val="20"/>
              </w:rPr>
              <w:t xml:space="preserve"> </w:t>
            </w:r>
            <w:r w:rsidRPr="002D66DE">
              <w:rPr>
                <w:sz w:val="20"/>
              </w:rPr>
              <w:t>l</w:t>
            </w:r>
            <w:r w:rsidR="009F4D21" w:rsidRPr="002D66DE">
              <w:rPr>
                <w:sz w:val="20"/>
              </w:rPr>
              <w:t>'</w:t>
            </w:r>
            <w:r w:rsidRPr="002D66DE">
              <w:rPr>
                <w:sz w:val="20"/>
              </w:rPr>
              <w:t>I</w:t>
            </w:r>
            <w:r w:rsidR="00F476A1" w:rsidRPr="002D66DE">
              <w:rPr>
                <w:sz w:val="20"/>
              </w:rPr>
              <w:t xml:space="preserve">nternet </w:t>
            </w:r>
            <w:r w:rsidRPr="002D66DE">
              <w:rPr>
                <w:sz w:val="20"/>
              </w:rPr>
              <w:t>et les médias</w:t>
            </w:r>
            <w:r w:rsidR="004C7683" w:rsidRPr="002D66DE">
              <w:rPr>
                <w:sz w:val="20"/>
              </w:rPr>
              <w:t xml:space="preserve"> </w:t>
            </w:r>
            <w:r w:rsidR="00F476A1" w:rsidRPr="002D66DE">
              <w:rPr>
                <w:sz w:val="20"/>
              </w:rPr>
              <w:t>audiovisu</w:t>
            </w:r>
            <w:r w:rsidRPr="002D66DE">
              <w:rPr>
                <w:sz w:val="20"/>
              </w:rPr>
              <w:t xml:space="preserve">els sont des télécommunications aux fins du </w:t>
            </w:r>
            <w:r w:rsidR="00E70AB1" w:rsidRPr="002D66DE">
              <w:rPr>
                <w:sz w:val="20"/>
              </w:rPr>
              <w:t>Règlement, en particulier si l</w:t>
            </w:r>
            <w:r w:rsidR="009F4D21" w:rsidRPr="002D66DE">
              <w:rPr>
                <w:sz w:val="20"/>
              </w:rPr>
              <w:t>'</w:t>
            </w:r>
            <w:r w:rsidR="00E70AB1" w:rsidRPr="002D66DE">
              <w:rPr>
                <w:sz w:val="20"/>
              </w:rPr>
              <w:t>objectif est de favoriser le développement des réseaux et</w:t>
            </w:r>
            <w:r w:rsidR="00E90A76" w:rsidRPr="002D66DE">
              <w:rPr>
                <w:sz w:val="20"/>
              </w:rPr>
              <w:t xml:space="preserve"> des</w:t>
            </w:r>
            <w:r w:rsidR="00E70AB1" w:rsidRPr="002D66DE">
              <w:rPr>
                <w:sz w:val="20"/>
              </w:rPr>
              <w:t xml:space="preserve"> service</w:t>
            </w:r>
            <w:r w:rsidR="00E90A76" w:rsidRPr="002D66DE">
              <w:rPr>
                <w:sz w:val="20"/>
              </w:rPr>
              <w:t>s</w:t>
            </w:r>
            <w:r w:rsidR="00E70AB1" w:rsidRPr="002D66DE">
              <w:rPr>
                <w:sz w:val="20"/>
              </w:rPr>
              <w:t xml:space="preserve"> à l</w:t>
            </w:r>
            <w:r w:rsidR="009F4D21" w:rsidRPr="002D66DE">
              <w:rPr>
                <w:sz w:val="20"/>
              </w:rPr>
              <w:t>'</w:t>
            </w:r>
            <w:r w:rsidR="00E70AB1" w:rsidRPr="002D66DE">
              <w:rPr>
                <w:sz w:val="20"/>
              </w:rPr>
              <w:t>heure de la convergence.</w:t>
            </w:r>
            <w:bookmarkEnd w:id="89"/>
          </w:p>
          <w:p w14:paraId="0E044384" w14:textId="46CAD060" w:rsidR="00F476A1" w:rsidRPr="002D66DE" w:rsidRDefault="00E70AB1" w:rsidP="00C55BDB">
            <w:pPr>
              <w:pStyle w:val="Tabletext"/>
              <w:rPr>
                <w:sz w:val="20"/>
              </w:rPr>
            </w:pPr>
            <w:bookmarkStart w:id="90" w:name="lt_pId328"/>
            <w:r w:rsidRPr="002D66DE">
              <w:rPr>
                <w:sz w:val="20"/>
              </w:rPr>
              <w:t xml:space="preserve">Certains membres ont </w:t>
            </w:r>
            <w:r w:rsidR="00E90A76" w:rsidRPr="002D66DE">
              <w:rPr>
                <w:sz w:val="20"/>
              </w:rPr>
              <w:t>fait observer</w:t>
            </w:r>
            <w:r w:rsidRPr="002D66DE">
              <w:rPr>
                <w:sz w:val="20"/>
              </w:rPr>
              <w:t xml:space="preserve"> que cette définition est identique à celle figurant dans la Constitution</w:t>
            </w:r>
            <w:r w:rsidR="00F476A1" w:rsidRPr="002D66DE">
              <w:rPr>
                <w:sz w:val="20"/>
              </w:rPr>
              <w:t>.</w:t>
            </w:r>
            <w:bookmarkEnd w:id="90"/>
          </w:p>
          <w:p w14:paraId="6F03B4B6" w14:textId="6DA8BD93" w:rsidR="00F476A1" w:rsidRPr="002D66DE" w:rsidRDefault="00E90A76" w:rsidP="00C55BDB">
            <w:pPr>
              <w:pStyle w:val="Tabletext"/>
              <w:rPr>
                <w:sz w:val="20"/>
              </w:rPr>
            </w:pPr>
            <w:bookmarkStart w:id="91" w:name="lt_pId329"/>
            <w:r w:rsidRPr="002D66DE">
              <w:rPr>
                <w:sz w:val="20"/>
              </w:rPr>
              <w:t>D</w:t>
            </w:r>
            <w:r w:rsidR="009F4D21" w:rsidRPr="002D66DE">
              <w:rPr>
                <w:sz w:val="20"/>
              </w:rPr>
              <w:t>'</w:t>
            </w:r>
            <w:r w:rsidR="00E70AB1" w:rsidRPr="002D66DE">
              <w:rPr>
                <w:sz w:val="20"/>
              </w:rPr>
              <w:t xml:space="preserve">autres membres ont </w:t>
            </w:r>
            <w:r w:rsidRPr="002D66DE">
              <w:rPr>
                <w:sz w:val="20"/>
              </w:rPr>
              <w:t>fait valoir</w:t>
            </w:r>
            <w:r w:rsidR="00E70AB1" w:rsidRPr="002D66DE">
              <w:rPr>
                <w:sz w:val="20"/>
              </w:rPr>
              <w:t xml:space="preserve"> que cette disposition </w:t>
            </w:r>
            <w:r w:rsidRPr="002D66DE">
              <w:rPr>
                <w:sz w:val="20"/>
              </w:rPr>
              <w:t>doit</w:t>
            </w:r>
            <w:r w:rsidR="00E70AB1" w:rsidRPr="002D66DE">
              <w:rPr>
                <w:sz w:val="20"/>
              </w:rPr>
              <w:t xml:space="preserve"> être mise à jour</w:t>
            </w:r>
            <w:r w:rsidR="00F476A1" w:rsidRPr="002D66DE">
              <w:rPr>
                <w:sz w:val="20"/>
              </w:rPr>
              <w:t>.</w:t>
            </w:r>
            <w:bookmarkEnd w:id="91"/>
          </w:p>
          <w:p w14:paraId="5FD770D4" w14:textId="18D32117" w:rsidR="00F476A1" w:rsidRPr="002D66DE" w:rsidRDefault="00E90A76" w:rsidP="00C55BDB">
            <w:pPr>
              <w:pStyle w:val="Tabletext"/>
            </w:pPr>
            <w:bookmarkStart w:id="92" w:name="lt_pId330"/>
            <w:r w:rsidRPr="002D66DE">
              <w:rPr>
                <w:sz w:val="20"/>
              </w:rPr>
              <w:t>C</w:t>
            </w:r>
            <w:r w:rsidR="00E70AB1" w:rsidRPr="002D66DE">
              <w:rPr>
                <w:sz w:val="20"/>
              </w:rPr>
              <w:t>ertains autres membres</w:t>
            </w:r>
            <w:r w:rsidRPr="002D66DE">
              <w:rPr>
                <w:sz w:val="20"/>
              </w:rPr>
              <w:t xml:space="preserve"> ont estimé que </w:t>
            </w:r>
            <w:r w:rsidR="00E70AB1" w:rsidRPr="002D66DE">
              <w:rPr>
                <w:sz w:val="20"/>
              </w:rPr>
              <w:t>cette disposition</w:t>
            </w:r>
            <w:r w:rsidR="004C7683" w:rsidRPr="002D66DE">
              <w:rPr>
                <w:sz w:val="20"/>
              </w:rPr>
              <w:t xml:space="preserve"> </w:t>
            </w:r>
            <w:r w:rsidR="00E70AB1" w:rsidRPr="002D66DE">
              <w:rPr>
                <w:sz w:val="20"/>
                <w:szCs w:val="20"/>
              </w:rPr>
              <w:t>ni ne facilite, ni n'entrave la fourniture et le développement des réseaux et des services</w:t>
            </w:r>
            <w:r w:rsidR="00F476A1" w:rsidRPr="002D66DE">
              <w:rPr>
                <w:sz w:val="20"/>
              </w:rPr>
              <w:t>.</w:t>
            </w:r>
            <w:bookmarkEnd w:id="92"/>
          </w:p>
        </w:tc>
        <w:tc>
          <w:tcPr>
            <w:tcW w:w="2595" w:type="dxa"/>
          </w:tcPr>
          <w:p w14:paraId="258B22F0" w14:textId="2F28A3DA" w:rsidR="00F476A1" w:rsidRPr="002D66DE" w:rsidRDefault="00E70AB1" w:rsidP="00C55BDB">
            <w:pPr>
              <w:pStyle w:val="Tabletext"/>
              <w:rPr>
                <w:sz w:val="20"/>
              </w:rPr>
            </w:pPr>
            <w:r w:rsidRPr="002D66DE">
              <w:rPr>
                <w:sz w:val="20"/>
                <w:szCs w:val="20"/>
              </w:rPr>
              <w:t>Certains membres ont estimé que cette disposition est suffisamment souple pour tenir compte des nouvelles tendances et des</w:t>
            </w:r>
            <w:r w:rsidRPr="002D66DE">
              <w:rPr>
                <w:sz w:val="20"/>
              </w:rPr>
              <w:t xml:space="preserve"> nouveaux problèmes qui se font jour.</w:t>
            </w:r>
          </w:p>
          <w:p w14:paraId="4642359A" w14:textId="5495756D" w:rsidR="00F476A1" w:rsidRPr="002D66DE" w:rsidRDefault="00E70AB1" w:rsidP="00C55BDB">
            <w:pPr>
              <w:pStyle w:val="Tabletext"/>
              <w:rPr>
                <w:sz w:val="20"/>
              </w:rPr>
            </w:pPr>
            <w:bookmarkStart w:id="93" w:name="lt_pId332"/>
            <w:r w:rsidRPr="002D66DE">
              <w:rPr>
                <w:sz w:val="20"/>
              </w:rPr>
              <w:t>Certains autres membres ont fait observer que cette disposition ne couvre pas entièrement la notion de</w:t>
            </w:r>
            <w:r w:rsidR="004C7683" w:rsidRPr="002D66DE">
              <w:rPr>
                <w:sz w:val="20"/>
              </w:rPr>
              <w:t xml:space="preserve"> </w:t>
            </w:r>
            <w:r w:rsidR="00F476A1" w:rsidRPr="002D66DE">
              <w:rPr>
                <w:sz w:val="20"/>
              </w:rPr>
              <w:t>"communication</w:t>
            </w:r>
            <w:r w:rsidRPr="002D66DE">
              <w:rPr>
                <w:sz w:val="20"/>
              </w:rPr>
              <w:t xml:space="preserve"> électronique</w:t>
            </w:r>
            <w:r w:rsidR="00F476A1" w:rsidRPr="002D66DE">
              <w:rPr>
                <w:sz w:val="20"/>
              </w:rPr>
              <w:t xml:space="preserve">" </w:t>
            </w:r>
            <w:r w:rsidRPr="002D66DE">
              <w:rPr>
                <w:sz w:val="20"/>
              </w:rPr>
              <w:t>dans le cadre d</w:t>
            </w:r>
            <w:r w:rsidR="009F4D21" w:rsidRPr="002D66DE">
              <w:rPr>
                <w:sz w:val="20"/>
              </w:rPr>
              <w:t>'</w:t>
            </w:r>
            <w:r w:rsidRPr="002D66DE">
              <w:rPr>
                <w:sz w:val="20"/>
              </w:rPr>
              <w:t>une approche orienté</w:t>
            </w:r>
            <w:r w:rsidR="00E90A76" w:rsidRPr="002D66DE">
              <w:rPr>
                <w:sz w:val="20"/>
              </w:rPr>
              <w:t>e</w:t>
            </w:r>
            <w:r w:rsidRPr="002D66DE">
              <w:rPr>
                <w:sz w:val="20"/>
              </w:rPr>
              <w:t xml:space="preserve"> vers l</w:t>
            </w:r>
            <w:r w:rsidR="009F4D21" w:rsidRPr="002D66DE">
              <w:rPr>
                <w:sz w:val="20"/>
              </w:rPr>
              <w:t>'</w:t>
            </w:r>
            <w:r w:rsidRPr="002D66DE">
              <w:rPr>
                <w:sz w:val="20"/>
              </w:rPr>
              <w:t>utilisateur final</w:t>
            </w:r>
            <w:r w:rsidR="00F476A1" w:rsidRPr="002D66DE">
              <w:rPr>
                <w:sz w:val="20"/>
              </w:rPr>
              <w:t>.</w:t>
            </w:r>
            <w:bookmarkEnd w:id="93"/>
          </w:p>
          <w:p w14:paraId="6710681A" w14:textId="0C39E948" w:rsidR="00F476A1" w:rsidRPr="002D66DE" w:rsidRDefault="00E70AB1" w:rsidP="00C55BDB">
            <w:pPr>
              <w:pStyle w:val="Tabletext"/>
              <w:rPr>
                <w:sz w:val="20"/>
                <w:szCs w:val="20"/>
              </w:rPr>
            </w:pPr>
            <w:bookmarkStart w:id="94" w:name="lt_pId333"/>
            <w:r w:rsidRPr="002D66DE">
              <w:rPr>
                <w:sz w:val="20"/>
              </w:rPr>
              <w:t>D</w:t>
            </w:r>
            <w:r w:rsidR="009F4D21" w:rsidRPr="002D66DE">
              <w:rPr>
                <w:sz w:val="20"/>
              </w:rPr>
              <w:t>'</w:t>
            </w:r>
            <w:r w:rsidRPr="002D66DE">
              <w:rPr>
                <w:sz w:val="20"/>
              </w:rPr>
              <w:t xml:space="preserve">autres membres ont </w:t>
            </w:r>
            <w:r w:rsidR="005F23EA" w:rsidRPr="002D66DE">
              <w:rPr>
                <w:sz w:val="20"/>
              </w:rPr>
              <w:t xml:space="preserve">estimé que cette disposition </w:t>
            </w:r>
            <w:r w:rsidR="00654A4A" w:rsidRPr="002D66DE">
              <w:rPr>
                <w:sz w:val="20"/>
              </w:rPr>
              <w:t>n</w:t>
            </w:r>
            <w:r w:rsidR="009F4D21" w:rsidRPr="002D66DE">
              <w:rPr>
                <w:sz w:val="20"/>
              </w:rPr>
              <w:t>'</w:t>
            </w:r>
            <w:r w:rsidR="00654A4A" w:rsidRPr="002D66DE">
              <w:rPr>
                <w:sz w:val="20"/>
              </w:rPr>
              <w:t>est</w:t>
            </w:r>
            <w:r w:rsidR="005F23EA" w:rsidRPr="002D66DE">
              <w:rPr>
                <w:sz w:val="20"/>
              </w:rPr>
              <w:t xml:space="preserve"> ni souple, ni rigide pour ce qui est de tenir compte des nouvelles tendances et des</w:t>
            </w:r>
            <w:r w:rsidR="00862FF5" w:rsidRPr="002D66DE">
              <w:rPr>
                <w:sz w:val="20"/>
              </w:rPr>
              <w:t xml:space="preserve"> nouveaux </w:t>
            </w:r>
            <w:r w:rsidR="00862FF5" w:rsidRPr="002D66DE">
              <w:rPr>
                <w:color w:val="000000"/>
                <w:sz w:val="20"/>
              </w:rPr>
              <w:t xml:space="preserve">problèmes </w:t>
            </w:r>
            <w:r w:rsidR="005F23EA" w:rsidRPr="002D66DE">
              <w:rPr>
                <w:sz w:val="20"/>
              </w:rPr>
              <w:t>qui se font jour</w:t>
            </w:r>
            <w:r w:rsidR="00F476A1" w:rsidRPr="002D66DE">
              <w:rPr>
                <w:sz w:val="20"/>
              </w:rPr>
              <w:t>.</w:t>
            </w:r>
            <w:bookmarkEnd w:id="94"/>
          </w:p>
        </w:tc>
        <w:tc>
          <w:tcPr>
            <w:tcW w:w="2406" w:type="dxa"/>
          </w:tcPr>
          <w:p w14:paraId="216385A1" w14:textId="5A79D5A4" w:rsidR="00F476A1" w:rsidRPr="002D66DE" w:rsidRDefault="00D31A27" w:rsidP="00C55BDB">
            <w:pPr>
              <w:pStyle w:val="Tabletext"/>
              <w:rPr>
                <w:sz w:val="20"/>
              </w:rPr>
            </w:pPr>
            <w:bookmarkStart w:id="95" w:name="lt_pId334"/>
            <w:r w:rsidRPr="002D66DE">
              <w:rPr>
                <w:sz w:val="20"/>
              </w:rPr>
              <w:t>C</w:t>
            </w:r>
            <w:r w:rsidR="00D801ED" w:rsidRPr="002D66DE">
              <w:rPr>
                <w:sz w:val="20"/>
              </w:rPr>
              <w:t>ertains membres</w:t>
            </w:r>
            <w:r w:rsidRPr="002D66DE">
              <w:rPr>
                <w:sz w:val="20"/>
              </w:rPr>
              <w:t xml:space="preserve"> ont estimé que cette disposition n</w:t>
            </w:r>
            <w:r w:rsidR="009F4D21" w:rsidRPr="002D66DE">
              <w:rPr>
                <w:sz w:val="20"/>
              </w:rPr>
              <w:t>'</w:t>
            </w:r>
            <w:r w:rsidRPr="002D66DE">
              <w:rPr>
                <w:sz w:val="20"/>
              </w:rPr>
              <w:t>a pas besoin d</w:t>
            </w:r>
            <w:r w:rsidR="009F4D21" w:rsidRPr="002D66DE">
              <w:rPr>
                <w:sz w:val="20"/>
              </w:rPr>
              <w:t>'</w:t>
            </w:r>
            <w:r w:rsidRPr="002D66DE">
              <w:rPr>
                <w:sz w:val="20"/>
              </w:rPr>
              <w:t xml:space="preserve">être </w:t>
            </w:r>
            <w:r w:rsidR="00EB389B" w:rsidRPr="002D66DE">
              <w:rPr>
                <w:sz w:val="20"/>
              </w:rPr>
              <w:t>modifi</w:t>
            </w:r>
            <w:r w:rsidRPr="002D66DE">
              <w:rPr>
                <w:sz w:val="20"/>
              </w:rPr>
              <w:t>é</w:t>
            </w:r>
            <w:r w:rsidR="00EB389B" w:rsidRPr="002D66DE">
              <w:rPr>
                <w:sz w:val="20"/>
              </w:rPr>
              <w:t xml:space="preserve">e </w:t>
            </w:r>
            <w:r w:rsidR="00D801ED" w:rsidRPr="002D66DE">
              <w:rPr>
                <w:sz w:val="20"/>
              </w:rPr>
              <w:t>puisqu</w:t>
            </w:r>
            <w:r w:rsidR="009F4D21" w:rsidRPr="002D66DE">
              <w:rPr>
                <w:sz w:val="20"/>
              </w:rPr>
              <w:t>'</w:t>
            </w:r>
            <w:r w:rsidR="00D801ED" w:rsidRPr="002D66DE">
              <w:rPr>
                <w:sz w:val="20"/>
              </w:rPr>
              <w:t xml:space="preserve">elle </w:t>
            </w:r>
            <w:r w:rsidRPr="002D66DE">
              <w:rPr>
                <w:sz w:val="20"/>
              </w:rPr>
              <w:t>est</w:t>
            </w:r>
            <w:r w:rsidR="00D801ED" w:rsidRPr="002D66DE">
              <w:rPr>
                <w:sz w:val="20"/>
              </w:rPr>
              <w:t xml:space="preserve"> applicable et souple, ou</w:t>
            </w:r>
            <w:r w:rsidR="00F476A1" w:rsidRPr="002D66DE">
              <w:rPr>
                <w:sz w:val="20"/>
              </w:rPr>
              <w:t xml:space="preserve"> </w:t>
            </w:r>
            <w:r w:rsidR="00D801ED" w:rsidRPr="002D66DE">
              <w:rPr>
                <w:sz w:val="20"/>
              </w:rPr>
              <w:t>qu</w:t>
            </w:r>
            <w:r w:rsidR="009F4D21" w:rsidRPr="002D66DE">
              <w:rPr>
                <w:sz w:val="20"/>
              </w:rPr>
              <w:t>'</w:t>
            </w:r>
            <w:r w:rsidR="00EB389B" w:rsidRPr="002D66DE">
              <w:rPr>
                <w:sz w:val="20"/>
              </w:rPr>
              <w:t>il conviendrait plutôt d</w:t>
            </w:r>
            <w:r w:rsidR="009F4D21" w:rsidRPr="002D66DE">
              <w:rPr>
                <w:sz w:val="20"/>
              </w:rPr>
              <w:t>'</w:t>
            </w:r>
            <w:r w:rsidR="00EB389B" w:rsidRPr="002D66DE">
              <w:rPr>
                <w:sz w:val="20"/>
              </w:rPr>
              <w:t xml:space="preserve">ajouter </w:t>
            </w:r>
            <w:r w:rsidR="00D801ED" w:rsidRPr="002D66DE">
              <w:rPr>
                <w:sz w:val="20"/>
              </w:rPr>
              <w:t>une référence à la disposition pertinente de la Constitution de l</w:t>
            </w:r>
            <w:r w:rsidR="009F4D21" w:rsidRPr="002D66DE">
              <w:rPr>
                <w:sz w:val="20"/>
              </w:rPr>
              <w:t>'</w:t>
            </w:r>
            <w:r w:rsidR="00D801ED" w:rsidRPr="002D66DE">
              <w:rPr>
                <w:sz w:val="20"/>
              </w:rPr>
              <w:t>UIT</w:t>
            </w:r>
            <w:r w:rsidR="00EB389B" w:rsidRPr="002D66DE">
              <w:rPr>
                <w:sz w:val="20"/>
              </w:rPr>
              <w:t>.</w:t>
            </w:r>
            <w:r w:rsidR="00D801ED" w:rsidRPr="002D66DE">
              <w:rPr>
                <w:sz w:val="20"/>
              </w:rPr>
              <w:t xml:space="preserve"> </w:t>
            </w:r>
            <w:bookmarkEnd w:id="95"/>
          </w:p>
          <w:p w14:paraId="5E8E777B" w14:textId="0F05EA4B" w:rsidR="00F476A1"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4C90F8EF" w14:textId="3CCE190F" w:rsidR="00606C4C" w:rsidRPr="002D66DE" w:rsidRDefault="00A66DB1" w:rsidP="00C55BDB">
            <w:pPr>
              <w:pStyle w:val="Tabletext"/>
              <w:rPr>
                <w:sz w:val="20"/>
                <w:szCs w:val="20"/>
              </w:rPr>
            </w:pPr>
            <w:bookmarkStart w:id="96" w:name="lt_pId336"/>
            <w:r w:rsidRPr="002D66DE">
              <w:rPr>
                <w:sz w:val="20"/>
                <w:szCs w:val="20"/>
              </w:rPr>
              <w:t>Certains autres membres ont fait valoir que cette disposition d</w:t>
            </w:r>
            <w:r w:rsidR="00E90A76" w:rsidRPr="002D66DE">
              <w:rPr>
                <w:sz w:val="20"/>
                <w:szCs w:val="20"/>
              </w:rPr>
              <w:t>oi</w:t>
            </w:r>
            <w:r w:rsidRPr="002D66DE">
              <w:rPr>
                <w:sz w:val="20"/>
                <w:szCs w:val="20"/>
              </w:rPr>
              <w:t>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606C4C" w:rsidRPr="002D66DE">
              <w:rPr>
                <w:sz w:val="20"/>
                <w:szCs w:val="20"/>
              </w:rPr>
              <w:t xml:space="preserve">. </w:t>
            </w:r>
          </w:p>
          <w:p w14:paraId="7B76ADA5" w14:textId="6035300E" w:rsidR="00F476A1" w:rsidRPr="002D66DE" w:rsidRDefault="00606C4C" w:rsidP="00C55BDB">
            <w:pPr>
              <w:pStyle w:val="Tabletext"/>
              <w:rPr>
                <w:sz w:val="20"/>
                <w:szCs w:val="20"/>
              </w:rPr>
            </w:pPr>
            <w:r w:rsidRPr="002D66DE">
              <w:rPr>
                <w:sz w:val="20"/>
                <w:szCs w:val="20"/>
              </w:rPr>
              <w:t>D</w:t>
            </w:r>
            <w:r w:rsidR="009F4D21" w:rsidRPr="002D66DE">
              <w:rPr>
                <w:sz w:val="20"/>
                <w:szCs w:val="20"/>
              </w:rPr>
              <w:t>'</w:t>
            </w:r>
            <w:r w:rsidRPr="002D66DE">
              <w:rPr>
                <w:sz w:val="20"/>
                <w:szCs w:val="20"/>
              </w:rPr>
              <w:t xml:space="preserve">autres membres ont proposé </w:t>
            </w:r>
            <w:r w:rsidR="00E90A76" w:rsidRPr="002D66DE">
              <w:rPr>
                <w:sz w:val="20"/>
                <w:szCs w:val="20"/>
              </w:rPr>
              <w:t>l</w:t>
            </w:r>
            <w:r w:rsidR="009F4D21" w:rsidRPr="002D66DE">
              <w:rPr>
                <w:sz w:val="20"/>
                <w:szCs w:val="20"/>
              </w:rPr>
              <w:t>'</w:t>
            </w:r>
            <w:r w:rsidR="00E90A76" w:rsidRPr="002D66DE">
              <w:rPr>
                <w:sz w:val="20"/>
                <w:szCs w:val="20"/>
              </w:rPr>
              <w:t>ajout d</w:t>
            </w:r>
            <w:r w:rsidR="009F4D21" w:rsidRPr="002D66DE">
              <w:rPr>
                <w:sz w:val="20"/>
                <w:szCs w:val="20"/>
              </w:rPr>
              <w:t>'</w:t>
            </w:r>
            <w:r w:rsidR="00E90A76" w:rsidRPr="002D66DE">
              <w:rPr>
                <w:sz w:val="20"/>
                <w:szCs w:val="20"/>
              </w:rPr>
              <w:t>une</w:t>
            </w:r>
            <w:r w:rsidRPr="002D66DE">
              <w:rPr>
                <w:sz w:val="20"/>
                <w:szCs w:val="20"/>
              </w:rPr>
              <w:t xml:space="preserve"> disposition/définition pour l</w:t>
            </w:r>
            <w:r w:rsidR="00BA2178" w:rsidRPr="002D66DE">
              <w:rPr>
                <w:sz w:val="20"/>
                <w:szCs w:val="20"/>
              </w:rPr>
              <w:t>a</w:t>
            </w:r>
            <w:r w:rsidRPr="002D66DE">
              <w:rPr>
                <w:sz w:val="20"/>
                <w:szCs w:val="20"/>
              </w:rPr>
              <w:t xml:space="preserve"> même raison</w:t>
            </w:r>
            <w:bookmarkEnd w:id="96"/>
            <w:r w:rsidR="00F476A1" w:rsidRPr="002D66DE">
              <w:rPr>
                <w:sz w:val="20"/>
                <w:szCs w:val="20"/>
              </w:rPr>
              <w:t>.</w:t>
            </w:r>
          </w:p>
        </w:tc>
      </w:tr>
      <w:tr w:rsidR="00C55BDB" w:rsidRPr="002D66DE" w14:paraId="2E730D6B" w14:textId="77777777" w:rsidTr="00C55BDB">
        <w:tc>
          <w:tcPr>
            <w:tcW w:w="987" w:type="dxa"/>
          </w:tcPr>
          <w:p w14:paraId="41EF7D36"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1BA36732"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66BAB630"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23EC4527"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3A25AA5B"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52053FF2"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25118A22" w14:textId="77777777" w:rsidTr="00C55BDB">
        <w:tc>
          <w:tcPr>
            <w:tcW w:w="987" w:type="dxa"/>
          </w:tcPr>
          <w:p w14:paraId="3110725C" w14:textId="4C8C53B1" w:rsidR="00F476A1" w:rsidRPr="002D66DE" w:rsidRDefault="00F476A1" w:rsidP="00C55BDB">
            <w:pPr>
              <w:pStyle w:val="Tablehead"/>
              <w:rPr>
                <w:sz w:val="20"/>
                <w:szCs w:val="20"/>
              </w:rPr>
            </w:pPr>
            <w:r w:rsidRPr="002D66DE">
              <w:rPr>
                <w:sz w:val="20"/>
                <w:szCs w:val="20"/>
              </w:rPr>
              <w:t>18</w:t>
            </w:r>
          </w:p>
        </w:tc>
        <w:tc>
          <w:tcPr>
            <w:tcW w:w="2860" w:type="dxa"/>
          </w:tcPr>
          <w:p w14:paraId="5F000F95" w14:textId="77777777" w:rsidR="00F476A1" w:rsidRPr="002D66DE" w:rsidRDefault="00F476A1" w:rsidP="00C55BDB">
            <w:pPr>
              <w:pStyle w:val="Tabletext"/>
              <w:rPr>
                <w:b/>
                <w:bCs/>
                <w:i/>
                <w:iCs/>
                <w:sz w:val="20"/>
                <w:szCs w:val="20"/>
              </w:rPr>
            </w:pPr>
            <w:r w:rsidRPr="002D66DE">
              <w:rPr>
                <w:b/>
                <w:bCs/>
                <w:sz w:val="20"/>
                <w:szCs w:val="20"/>
              </w:rPr>
              <w:t>2.3</w:t>
            </w:r>
            <w:r w:rsidRPr="002D66DE">
              <w:rPr>
                <w:b/>
                <w:bCs/>
                <w:sz w:val="20"/>
                <w:szCs w:val="20"/>
              </w:rPr>
              <w:tab/>
            </w:r>
            <w:r w:rsidRPr="002D66DE">
              <w:rPr>
                <w:b/>
                <w:bCs/>
                <w:i/>
                <w:sz w:val="20"/>
                <w:szCs w:val="20"/>
              </w:rPr>
              <w:t xml:space="preserve">Service international de télécommunication: </w:t>
            </w:r>
            <w:r w:rsidRPr="002D66DE">
              <w:rPr>
                <w:b/>
                <w:bCs/>
                <w:sz w:val="20"/>
                <w:szCs w:val="20"/>
              </w:rPr>
              <w:t>Prestation de télécommunication entre bureaux ou stations de télécommunication de toute nature, situés dans des pays différents ou appartenant à des pays différents.</w:t>
            </w:r>
          </w:p>
        </w:tc>
        <w:tc>
          <w:tcPr>
            <w:tcW w:w="3716" w:type="dxa"/>
          </w:tcPr>
          <w:p w14:paraId="2062B101" w14:textId="77777777" w:rsidR="00F476A1" w:rsidRPr="002D66DE" w:rsidRDefault="00F476A1" w:rsidP="00C55BDB">
            <w:pPr>
              <w:pStyle w:val="Tabletext"/>
              <w:rPr>
                <w:sz w:val="20"/>
                <w:szCs w:val="20"/>
              </w:rPr>
            </w:pPr>
            <w:r w:rsidRPr="002D66DE">
              <w:rPr>
                <w:sz w:val="20"/>
                <w:szCs w:val="20"/>
              </w:rPr>
              <w:t>2.2</w:t>
            </w:r>
            <w:r w:rsidRPr="002D66DE">
              <w:rPr>
                <w:sz w:val="20"/>
                <w:szCs w:val="20"/>
              </w:rPr>
              <w:tab/>
            </w:r>
            <w:r w:rsidRPr="002D66DE">
              <w:rPr>
                <w:i/>
                <w:sz w:val="20"/>
                <w:szCs w:val="20"/>
              </w:rPr>
              <w:t xml:space="preserve">Service international de télécommunication: </w:t>
            </w:r>
            <w:r w:rsidRPr="002D66DE">
              <w:rPr>
                <w:sz w:val="20"/>
                <w:szCs w:val="20"/>
              </w:rPr>
              <w:t>Prestation de télécommunication entre bureaux ou stations de télécommunication de toute nature, situés dans des pays différents ou appartenant à des pays différents.</w:t>
            </w:r>
          </w:p>
        </w:tc>
        <w:tc>
          <w:tcPr>
            <w:tcW w:w="2613" w:type="dxa"/>
          </w:tcPr>
          <w:p w14:paraId="27916BC7" w14:textId="0ED687EF" w:rsidR="00F476A1" w:rsidRPr="002D66DE" w:rsidRDefault="00D85984" w:rsidP="00C55BDB">
            <w:pPr>
              <w:pStyle w:val="Tabletext"/>
              <w:rPr>
                <w:rFonts w:cstheme="minorHAnsi"/>
                <w:sz w:val="20"/>
                <w:szCs w:val="20"/>
              </w:rPr>
            </w:pPr>
            <w:bookmarkStart w:id="97" w:name="lt_pId341"/>
            <w:r w:rsidRPr="002D66DE">
              <w:rPr>
                <w:rFonts w:cstheme="minorHAnsi"/>
                <w:sz w:val="20"/>
                <w:szCs w:val="20"/>
              </w:rPr>
              <w:t>C</w:t>
            </w:r>
            <w:r w:rsidR="00F12705" w:rsidRPr="002D66DE">
              <w:rPr>
                <w:rFonts w:cstheme="minorHAnsi"/>
                <w:sz w:val="20"/>
                <w:szCs w:val="20"/>
              </w:rPr>
              <w:t>ertains membres</w:t>
            </w:r>
            <w:r w:rsidRPr="002D66DE">
              <w:rPr>
                <w:rFonts w:cstheme="minorHAnsi"/>
                <w:sz w:val="20"/>
                <w:szCs w:val="20"/>
              </w:rPr>
              <w:t xml:space="preserve"> ont estimé que </w:t>
            </w:r>
            <w:r w:rsidR="00F12705" w:rsidRPr="002D66DE">
              <w:rPr>
                <w:rFonts w:cstheme="minorHAnsi"/>
                <w:sz w:val="20"/>
                <w:szCs w:val="20"/>
              </w:rPr>
              <w:t xml:space="preserve">cette disposition est applicable et permet le développement des réseaux et </w:t>
            </w:r>
            <w:r w:rsidR="00505CC9" w:rsidRPr="002D66DE">
              <w:rPr>
                <w:rFonts w:cstheme="minorHAnsi"/>
                <w:sz w:val="20"/>
                <w:szCs w:val="20"/>
              </w:rPr>
              <w:t xml:space="preserve">des </w:t>
            </w:r>
            <w:r w:rsidR="00F12705" w:rsidRPr="002D66DE">
              <w:rPr>
                <w:rFonts w:cstheme="minorHAnsi"/>
                <w:sz w:val="20"/>
                <w:szCs w:val="20"/>
              </w:rPr>
              <w:t>services,</w:t>
            </w:r>
            <w:r w:rsidRPr="002D66DE">
              <w:rPr>
                <w:rFonts w:cstheme="minorHAnsi"/>
                <w:sz w:val="20"/>
                <w:szCs w:val="20"/>
              </w:rPr>
              <w:t xml:space="preserve"> et</w:t>
            </w:r>
            <w:r w:rsidR="00F12705" w:rsidRPr="002D66DE">
              <w:rPr>
                <w:rFonts w:cstheme="minorHAnsi"/>
                <w:sz w:val="20"/>
                <w:szCs w:val="20"/>
              </w:rPr>
              <w:t xml:space="preserve"> certains</w:t>
            </w:r>
            <w:r w:rsidRPr="002D66DE">
              <w:rPr>
                <w:rFonts w:cstheme="minorHAnsi"/>
                <w:sz w:val="20"/>
                <w:szCs w:val="20"/>
              </w:rPr>
              <w:t xml:space="preserve"> ont </w:t>
            </w:r>
            <w:r w:rsidR="007E2FFC" w:rsidRPr="002D66DE">
              <w:rPr>
                <w:rFonts w:cstheme="minorHAnsi"/>
                <w:sz w:val="20"/>
                <w:szCs w:val="20"/>
              </w:rPr>
              <w:t>fait observer</w:t>
            </w:r>
            <w:r w:rsidRPr="002D66DE">
              <w:rPr>
                <w:rFonts w:cstheme="minorHAnsi"/>
                <w:sz w:val="20"/>
                <w:szCs w:val="20"/>
              </w:rPr>
              <w:t xml:space="preserve"> </w:t>
            </w:r>
            <w:r w:rsidR="00F12705" w:rsidRPr="002D66DE">
              <w:rPr>
                <w:rFonts w:cstheme="minorHAnsi"/>
                <w:sz w:val="20"/>
                <w:szCs w:val="20"/>
              </w:rPr>
              <w:t>que cette définition est identique à celle figurant dans la Constitution</w:t>
            </w:r>
            <w:r w:rsidR="00F476A1" w:rsidRPr="002D66DE">
              <w:rPr>
                <w:rFonts w:cstheme="minorHAnsi"/>
                <w:sz w:val="20"/>
                <w:szCs w:val="20"/>
              </w:rPr>
              <w:t>.</w:t>
            </w:r>
            <w:bookmarkEnd w:id="97"/>
          </w:p>
          <w:p w14:paraId="535C8CD4" w14:textId="66FAB2E0" w:rsidR="00F476A1" w:rsidRPr="002D66DE" w:rsidRDefault="00F12705" w:rsidP="00C55BDB">
            <w:pPr>
              <w:pStyle w:val="Tabletext"/>
              <w:rPr>
                <w:sz w:val="20"/>
                <w:szCs w:val="20"/>
              </w:rPr>
            </w:pPr>
            <w:r w:rsidRPr="002D66DE">
              <w:rPr>
                <w:sz w:val="20"/>
                <w:szCs w:val="20"/>
              </w:rPr>
              <w:t>Certains membres ont estimé que c</w:t>
            </w:r>
            <w:r w:rsidR="00F476A1" w:rsidRPr="002D66DE">
              <w:rPr>
                <w:sz w:val="20"/>
                <w:szCs w:val="20"/>
              </w:rPr>
              <w:t>ette disposition permet à une exploitation quelconque d'établir des services de réseau avec d'autres exploitations sans causer de préjudice.</w:t>
            </w:r>
          </w:p>
          <w:p w14:paraId="052D4018" w14:textId="48ED4B0A" w:rsidR="00F476A1" w:rsidRPr="002D66DE" w:rsidRDefault="00F12705" w:rsidP="00C55BDB">
            <w:pPr>
              <w:pStyle w:val="Tabletext"/>
              <w:rPr>
                <w:sz w:val="20"/>
                <w:szCs w:val="20"/>
              </w:rPr>
            </w:pPr>
            <w:bookmarkStart w:id="98" w:name="lt_pId343"/>
            <w:r w:rsidRPr="002D66DE">
              <w:rPr>
                <w:rFonts w:cstheme="minorHAnsi"/>
                <w:sz w:val="20"/>
                <w:szCs w:val="20"/>
              </w:rPr>
              <w:t>Certains membres ont estimé que cette disposition ni ne facilite ni n</w:t>
            </w:r>
            <w:r w:rsidR="009F4D21" w:rsidRPr="002D66DE">
              <w:rPr>
                <w:rFonts w:cstheme="minorHAnsi"/>
                <w:sz w:val="20"/>
                <w:szCs w:val="20"/>
              </w:rPr>
              <w:t>'</w:t>
            </w:r>
            <w:r w:rsidRPr="002D66DE">
              <w:rPr>
                <w:rFonts w:cstheme="minorHAnsi"/>
                <w:sz w:val="20"/>
                <w:szCs w:val="20"/>
              </w:rPr>
              <w:t>entrave la fourniture et le développement des réseaux et des services</w:t>
            </w:r>
            <w:bookmarkEnd w:id="98"/>
            <w:r w:rsidRPr="002D66DE">
              <w:rPr>
                <w:rFonts w:cstheme="minorHAnsi"/>
                <w:sz w:val="20"/>
                <w:szCs w:val="20"/>
              </w:rPr>
              <w:t>.</w:t>
            </w:r>
          </w:p>
        </w:tc>
        <w:tc>
          <w:tcPr>
            <w:tcW w:w="2595" w:type="dxa"/>
          </w:tcPr>
          <w:p w14:paraId="74D78D15" w14:textId="3DC03447" w:rsidR="00F476A1" w:rsidRPr="002D66DE" w:rsidRDefault="00F12705" w:rsidP="00C55BDB">
            <w:pPr>
              <w:pStyle w:val="Tabletext"/>
              <w:rPr>
                <w:sz w:val="20"/>
              </w:rPr>
            </w:pPr>
            <w:bookmarkStart w:id="99" w:name="lt_pId344"/>
            <w:r w:rsidRPr="002D66DE">
              <w:rPr>
                <w:sz w:val="20"/>
              </w:rPr>
              <w:t>De l</w:t>
            </w:r>
            <w:r w:rsidR="009F4D21" w:rsidRPr="002D66DE">
              <w:rPr>
                <w:sz w:val="20"/>
              </w:rPr>
              <w:t>'</w:t>
            </w:r>
            <w:r w:rsidRPr="002D66DE">
              <w:rPr>
                <w:sz w:val="20"/>
              </w:rPr>
              <w:t>avis de certains membres,</w:t>
            </w:r>
            <w:r w:rsidR="004C7683" w:rsidRPr="002D66DE">
              <w:rPr>
                <w:sz w:val="20"/>
              </w:rPr>
              <w:t xml:space="preserve"> </w:t>
            </w:r>
            <w:r w:rsidR="00C71F26" w:rsidRPr="002D66DE">
              <w:rPr>
                <w:sz w:val="20"/>
              </w:rPr>
              <w:t>cette disposition est suffisamment souple pour tenir compte des nouvelles tendances et des</w:t>
            </w:r>
            <w:r w:rsidR="004C7683" w:rsidRPr="002D66DE">
              <w:rPr>
                <w:sz w:val="20"/>
              </w:rPr>
              <w:t xml:space="preserve"> </w:t>
            </w:r>
            <w:r w:rsidR="00862FF5" w:rsidRPr="002D66DE">
              <w:rPr>
                <w:sz w:val="20"/>
              </w:rPr>
              <w:t xml:space="preserve">nouveaux </w:t>
            </w:r>
            <w:r w:rsidR="00862FF5" w:rsidRPr="002D66DE">
              <w:rPr>
                <w:color w:val="000000"/>
                <w:sz w:val="20"/>
              </w:rPr>
              <w:t xml:space="preserve">problèmes </w:t>
            </w:r>
            <w:r w:rsidR="00C71F26" w:rsidRPr="002D66DE">
              <w:rPr>
                <w:sz w:val="20"/>
              </w:rPr>
              <w:t xml:space="preserve">qui se font jour, certains </w:t>
            </w:r>
            <w:r w:rsidR="00505CC9" w:rsidRPr="002D66DE">
              <w:rPr>
                <w:sz w:val="20"/>
              </w:rPr>
              <w:t>d</w:t>
            </w:r>
            <w:r w:rsidR="009F4D21" w:rsidRPr="002D66DE">
              <w:rPr>
                <w:sz w:val="20"/>
              </w:rPr>
              <w:t>'</w:t>
            </w:r>
            <w:r w:rsidR="00505CC9" w:rsidRPr="002D66DE">
              <w:rPr>
                <w:sz w:val="20"/>
              </w:rPr>
              <w:t>entre eux</w:t>
            </w:r>
            <w:r w:rsidR="00C71F26" w:rsidRPr="002D66DE">
              <w:rPr>
                <w:sz w:val="20"/>
              </w:rPr>
              <w:t xml:space="preserve"> faisant observer que les</w:t>
            </w:r>
            <w:r w:rsidR="00F476A1" w:rsidRPr="002D66DE">
              <w:rPr>
                <w:sz w:val="20"/>
              </w:rPr>
              <w:t xml:space="preserve"> </w:t>
            </w:r>
            <w:r w:rsidRPr="002D66DE">
              <w:rPr>
                <w:sz w:val="20"/>
              </w:rPr>
              <w:t>futures technologies sont couvertes par cette disposition grâce à l'expression "stations de télécommunication de toute nature</w:t>
            </w:r>
            <w:r w:rsidR="00505CC9" w:rsidRPr="002D66DE">
              <w:rPr>
                <w:sz w:val="20"/>
              </w:rPr>
              <w:t>"</w:t>
            </w:r>
            <w:r w:rsidR="00F476A1" w:rsidRPr="002D66DE">
              <w:rPr>
                <w:sz w:val="20"/>
              </w:rPr>
              <w:t>.</w:t>
            </w:r>
            <w:bookmarkEnd w:id="99"/>
          </w:p>
          <w:p w14:paraId="34008C32" w14:textId="710B33B6" w:rsidR="00F476A1" w:rsidRPr="002D66DE" w:rsidRDefault="00654A4A" w:rsidP="00C55BDB">
            <w:pPr>
              <w:pStyle w:val="Tabletext"/>
              <w:rPr>
                <w:sz w:val="20"/>
                <w:szCs w:val="20"/>
              </w:rPr>
            </w:pPr>
            <w:bookmarkStart w:id="100" w:name="lt_pId345"/>
            <w:r w:rsidRPr="002D66DE">
              <w:rPr>
                <w:sz w:val="20"/>
              </w:rPr>
              <w:t>Certains membres ont estimé que cette disposition n</w:t>
            </w:r>
            <w:r w:rsidR="009F4D21" w:rsidRPr="002D66DE">
              <w:rPr>
                <w:sz w:val="20"/>
              </w:rPr>
              <w:t>'</w:t>
            </w:r>
            <w:r w:rsidRPr="002D66DE">
              <w:rPr>
                <w:sz w:val="20"/>
              </w:rPr>
              <w:t>est ni souple, ni rigide pour ce qui est de tenir compte des nouvelles tendances et des</w:t>
            </w:r>
            <w:r w:rsidR="00862FF5" w:rsidRPr="002D66DE">
              <w:rPr>
                <w:sz w:val="20"/>
              </w:rPr>
              <w:t xml:space="preserve"> nouveaux </w:t>
            </w:r>
            <w:r w:rsidR="00862FF5" w:rsidRPr="002D66DE">
              <w:rPr>
                <w:color w:val="000000"/>
                <w:sz w:val="20"/>
              </w:rPr>
              <w:t xml:space="preserve">problèmes </w:t>
            </w:r>
            <w:r w:rsidRPr="002D66DE">
              <w:rPr>
                <w:sz w:val="20"/>
              </w:rPr>
              <w:t>qui se font jour</w:t>
            </w:r>
            <w:r w:rsidR="00F476A1" w:rsidRPr="002D66DE">
              <w:rPr>
                <w:sz w:val="20"/>
              </w:rPr>
              <w:t>.</w:t>
            </w:r>
            <w:bookmarkEnd w:id="100"/>
          </w:p>
        </w:tc>
        <w:tc>
          <w:tcPr>
            <w:tcW w:w="2406" w:type="dxa"/>
          </w:tcPr>
          <w:p w14:paraId="3AA6F15E" w14:textId="4253C0A0"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0ECC2F37" w14:textId="22118EDF"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140F2BD7" w14:textId="187B930E" w:rsidR="00F476A1" w:rsidRPr="002D66DE" w:rsidRDefault="00D31A27" w:rsidP="00C55BDB">
            <w:pPr>
              <w:pStyle w:val="Tabletext"/>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A66DB1" w:rsidRPr="002D66DE">
              <w:rPr>
                <w:sz w:val="20"/>
                <w:szCs w:val="20"/>
              </w:rPr>
              <w:t xml:space="preserve">. </w:t>
            </w:r>
          </w:p>
        </w:tc>
      </w:tr>
    </w:tbl>
    <w:p w14:paraId="16A2C533" w14:textId="62DD4742" w:rsidR="00C55BDB" w:rsidRPr="002D66DE" w:rsidRDefault="00C55BDB"/>
    <w:p w14:paraId="646DC9A2" w14:textId="2C609AE6"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1FB2A712" w14:textId="77777777" w:rsidTr="00C55BDB">
        <w:tc>
          <w:tcPr>
            <w:tcW w:w="987" w:type="dxa"/>
          </w:tcPr>
          <w:p w14:paraId="0E08EBF5"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0750CBBB"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41A4817A"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5F07F62B"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4F7BA916"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5612862F"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33467917" w14:textId="77777777" w:rsidTr="00C55BDB">
        <w:tc>
          <w:tcPr>
            <w:tcW w:w="987" w:type="dxa"/>
          </w:tcPr>
          <w:p w14:paraId="2CED0894" w14:textId="37DB2AF9" w:rsidR="00F476A1" w:rsidRPr="002D66DE" w:rsidRDefault="00F476A1" w:rsidP="00C55BDB">
            <w:pPr>
              <w:pStyle w:val="Tablehead"/>
              <w:rPr>
                <w:sz w:val="20"/>
                <w:szCs w:val="20"/>
              </w:rPr>
            </w:pPr>
            <w:r w:rsidRPr="002D66DE">
              <w:rPr>
                <w:sz w:val="20"/>
                <w:szCs w:val="20"/>
              </w:rPr>
              <w:t>19</w:t>
            </w:r>
          </w:p>
        </w:tc>
        <w:tc>
          <w:tcPr>
            <w:tcW w:w="2860" w:type="dxa"/>
          </w:tcPr>
          <w:p w14:paraId="1C6EE185" w14:textId="48760FFD" w:rsidR="00F476A1" w:rsidRPr="002D66DE" w:rsidRDefault="00F476A1" w:rsidP="00C55BDB">
            <w:pPr>
              <w:pStyle w:val="Tabletext"/>
              <w:rPr>
                <w:b/>
                <w:bCs/>
                <w:sz w:val="20"/>
                <w:szCs w:val="20"/>
              </w:rPr>
            </w:pPr>
            <w:r w:rsidRPr="002D66DE">
              <w:rPr>
                <w:b/>
                <w:bCs/>
                <w:sz w:val="20"/>
                <w:szCs w:val="20"/>
              </w:rPr>
              <w:t>2.4</w:t>
            </w:r>
            <w:r w:rsidRPr="002D66DE">
              <w:rPr>
                <w:b/>
                <w:bCs/>
                <w:sz w:val="20"/>
                <w:szCs w:val="20"/>
              </w:rPr>
              <w:tab/>
            </w:r>
            <w:r w:rsidRPr="002D66DE">
              <w:rPr>
                <w:b/>
                <w:bCs/>
                <w:i/>
                <w:sz w:val="20"/>
                <w:szCs w:val="20"/>
              </w:rPr>
              <w:t>Télécommunication d'</w:t>
            </w:r>
            <w:r w:rsidR="004C7683" w:rsidRPr="002D66DE">
              <w:rPr>
                <w:b/>
                <w:bCs/>
                <w:i/>
                <w:sz w:val="20"/>
                <w:szCs w:val="20"/>
              </w:rPr>
              <w:t>État</w:t>
            </w:r>
            <w:r w:rsidRPr="002D66DE">
              <w:rPr>
                <w:b/>
                <w:bCs/>
                <w:i/>
                <w:sz w:val="20"/>
                <w:szCs w:val="20"/>
              </w:rPr>
              <w:t xml:space="preserve">: </w:t>
            </w:r>
            <w:r w:rsidRPr="002D66DE">
              <w:rPr>
                <w:b/>
                <w:bCs/>
                <w:sz w:val="20"/>
                <w:szCs w:val="20"/>
              </w:rPr>
              <w:t>Télécommunication émanant: d'un chef d'</w:t>
            </w:r>
            <w:r w:rsidR="004C7683" w:rsidRPr="002D66DE">
              <w:rPr>
                <w:b/>
                <w:bCs/>
                <w:sz w:val="20"/>
                <w:szCs w:val="20"/>
              </w:rPr>
              <w:t>État</w:t>
            </w:r>
            <w:r w:rsidRPr="002D66DE">
              <w:rPr>
                <w:b/>
                <w:bCs/>
                <w:sz w:val="20"/>
                <w:szCs w:val="20"/>
              </w:rPr>
              <w:t>; d'un chef de gouvernement ou de membres d'un gouvernement; du commandant en chef des forces militaires, terrestres, navales ou aériennes; d'agents diplomatiques ou consulaires; du Secrétaire général de l'Organisation des Nations Unies; des chefs des organes principaux des Nations Unies; de la Cour internationale de Justice, ou réponses aux télécommunications d'</w:t>
            </w:r>
            <w:r w:rsidR="004C7683" w:rsidRPr="002D66DE">
              <w:rPr>
                <w:b/>
                <w:bCs/>
                <w:sz w:val="20"/>
                <w:szCs w:val="20"/>
              </w:rPr>
              <w:t>État</w:t>
            </w:r>
            <w:r w:rsidRPr="002D66DE">
              <w:rPr>
                <w:b/>
                <w:bCs/>
                <w:sz w:val="20"/>
                <w:szCs w:val="20"/>
              </w:rPr>
              <w:t xml:space="preserve"> mentionnées ci</w:t>
            </w:r>
            <w:r w:rsidRPr="002D66DE">
              <w:rPr>
                <w:b/>
                <w:bCs/>
                <w:sz w:val="20"/>
                <w:szCs w:val="20"/>
              </w:rPr>
              <w:noBreakHyphen/>
              <w:t>dessus.</w:t>
            </w:r>
          </w:p>
        </w:tc>
        <w:tc>
          <w:tcPr>
            <w:tcW w:w="3716" w:type="dxa"/>
          </w:tcPr>
          <w:p w14:paraId="64CE774B" w14:textId="5E0371FE" w:rsidR="00F476A1" w:rsidRPr="002D66DE" w:rsidRDefault="00F476A1" w:rsidP="00C55BDB">
            <w:pPr>
              <w:pStyle w:val="Tabletext"/>
              <w:rPr>
                <w:sz w:val="20"/>
                <w:szCs w:val="20"/>
              </w:rPr>
            </w:pPr>
            <w:r w:rsidRPr="002D66DE">
              <w:rPr>
                <w:sz w:val="20"/>
                <w:szCs w:val="20"/>
              </w:rPr>
              <w:t>2.3</w:t>
            </w:r>
            <w:r w:rsidRPr="002D66DE">
              <w:rPr>
                <w:sz w:val="20"/>
                <w:szCs w:val="20"/>
              </w:rPr>
              <w:tab/>
            </w:r>
            <w:r w:rsidRPr="002D66DE">
              <w:rPr>
                <w:i/>
                <w:sz w:val="20"/>
                <w:szCs w:val="20"/>
              </w:rPr>
              <w:t>Télécommunication d'</w:t>
            </w:r>
            <w:r w:rsidR="004C7683" w:rsidRPr="002D66DE">
              <w:rPr>
                <w:i/>
                <w:sz w:val="20"/>
                <w:szCs w:val="20"/>
              </w:rPr>
              <w:t>État</w:t>
            </w:r>
            <w:r w:rsidRPr="002D66DE">
              <w:rPr>
                <w:i/>
                <w:sz w:val="20"/>
                <w:szCs w:val="20"/>
              </w:rPr>
              <w:t xml:space="preserve">: </w:t>
            </w:r>
            <w:r w:rsidRPr="002D66DE">
              <w:rPr>
                <w:sz w:val="20"/>
                <w:szCs w:val="20"/>
              </w:rPr>
              <w:t>Télécommunication émanant: d'un Chef d'</w:t>
            </w:r>
            <w:r w:rsidR="004C7683" w:rsidRPr="002D66DE">
              <w:rPr>
                <w:sz w:val="20"/>
                <w:szCs w:val="20"/>
              </w:rPr>
              <w:t>État</w:t>
            </w:r>
            <w:r w:rsidRPr="002D66DE">
              <w:rPr>
                <w:sz w:val="20"/>
                <w:szCs w:val="20"/>
              </w:rPr>
              <w: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w:t>
            </w:r>
            <w:r w:rsidR="004C7683" w:rsidRPr="002D66DE">
              <w:rPr>
                <w:sz w:val="20"/>
                <w:szCs w:val="20"/>
              </w:rPr>
              <w:t>État</w:t>
            </w:r>
            <w:r w:rsidRPr="002D66DE">
              <w:rPr>
                <w:sz w:val="20"/>
                <w:szCs w:val="20"/>
              </w:rPr>
              <w:t>.</w:t>
            </w:r>
          </w:p>
        </w:tc>
        <w:tc>
          <w:tcPr>
            <w:tcW w:w="2613" w:type="dxa"/>
          </w:tcPr>
          <w:p w14:paraId="2D2AA5C1" w14:textId="7D7F30B6" w:rsidR="00F476A1" w:rsidRPr="002D66DE" w:rsidRDefault="00654A4A" w:rsidP="00C55BDB">
            <w:pPr>
              <w:pStyle w:val="Tabletext"/>
              <w:rPr>
                <w:sz w:val="20"/>
              </w:rPr>
            </w:pPr>
            <w:bookmarkStart w:id="101" w:name="lt_pId353"/>
            <w:r w:rsidRPr="002D66DE">
              <w:rPr>
                <w:sz w:val="20"/>
              </w:rPr>
              <w:t>De l</w:t>
            </w:r>
            <w:r w:rsidR="009F4D21" w:rsidRPr="002D66DE">
              <w:rPr>
                <w:sz w:val="20"/>
              </w:rPr>
              <w:t>'</w:t>
            </w:r>
            <w:r w:rsidRPr="002D66DE">
              <w:rPr>
                <w:sz w:val="20"/>
              </w:rPr>
              <w:t>avis de certains membres, cette définition/disposition est applicable pour ce qui est de</w:t>
            </w:r>
            <w:r w:rsidRPr="002D66DE">
              <w:rPr>
                <w:rFonts w:ascii="Segoe UI" w:eastAsia="Times New Roman" w:hAnsi="Segoe UI" w:cs="Segoe UI"/>
                <w:color w:val="000000"/>
                <w:sz w:val="20"/>
                <w:szCs w:val="20"/>
                <w:shd w:val="clear" w:color="auto" w:fill="FFFFFF"/>
              </w:rPr>
              <w:t xml:space="preserve"> f</w:t>
            </w:r>
            <w:r w:rsidRPr="002D66DE">
              <w:rPr>
                <w:sz w:val="20"/>
              </w:rPr>
              <w:t>avoriser la fourniture et le développement des réseaux et des services</w:t>
            </w:r>
            <w:r w:rsidR="00F476A1" w:rsidRPr="002D66DE">
              <w:rPr>
                <w:sz w:val="20"/>
              </w:rPr>
              <w:t xml:space="preserve">, </w:t>
            </w:r>
            <w:r w:rsidRPr="002D66DE">
              <w:rPr>
                <w:sz w:val="20"/>
              </w:rPr>
              <w:t>certains membres signalant que cette définition est identique à celle figurant dans la Constitution</w:t>
            </w:r>
            <w:r w:rsidR="00F476A1" w:rsidRPr="002D66DE">
              <w:rPr>
                <w:sz w:val="20"/>
              </w:rPr>
              <w:t>.</w:t>
            </w:r>
            <w:bookmarkEnd w:id="101"/>
          </w:p>
          <w:p w14:paraId="374D9E51" w14:textId="7C016AA5" w:rsidR="00F476A1" w:rsidRPr="002D66DE" w:rsidRDefault="00654A4A" w:rsidP="00C55BDB">
            <w:pPr>
              <w:pStyle w:val="Tabletext"/>
              <w:rPr>
                <w:sz w:val="20"/>
              </w:rPr>
            </w:pPr>
            <w:bookmarkStart w:id="102" w:name="lt_pId354"/>
            <w:r w:rsidRPr="002D66DE">
              <w:rPr>
                <w:sz w:val="20"/>
              </w:rPr>
              <w:t>Certains membres ont estimé que cette disposition couvre la</w:t>
            </w:r>
            <w:r w:rsidR="00F476A1" w:rsidRPr="002D66DE">
              <w:rPr>
                <w:sz w:val="20"/>
              </w:rPr>
              <w:t xml:space="preserve"> </w:t>
            </w:r>
            <w:r w:rsidRPr="002D66DE">
              <w:rPr>
                <w:sz w:val="20"/>
              </w:rPr>
              <w:t>définition actuelle acceptable des services de l'État et de sécurité publique</w:t>
            </w:r>
            <w:r w:rsidR="00F476A1" w:rsidRPr="002D66DE">
              <w:rPr>
                <w:sz w:val="20"/>
              </w:rPr>
              <w:t>.</w:t>
            </w:r>
            <w:bookmarkEnd w:id="102"/>
          </w:p>
          <w:p w14:paraId="5FC35920" w14:textId="448BF0BC" w:rsidR="00F476A1" w:rsidRPr="002D66DE" w:rsidRDefault="000B316C" w:rsidP="00C55BDB">
            <w:pPr>
              <w:pStyle w:val="Tabletext"/>
              <w:rPr>
                <w:sz w:val="20"/>
                <w:szCs w:val="20"/>
              </w:rPr>
            </w:pPr>
            <w:bookmarkStart w:id="103" w:name="lt_pId355"/>
            <w:r w:rsidRPr="002D66DE">
              <w:rPr>
                <w:sz w:val="20"/>
              </w:rPr>
              <w:t>Certains membres ont estimé que l</w:t>
            </w:r>
            <w:r w:rsidR="009F4D21" w:rsidRPr="002D66DE">
              <w:rPr>
                <w:sz w:val="20"/>
              </w:rPr>
              <w:t>'</w:t>
            </w:r>
            <w:r w:rsidRPr="002D66DE">
              <w:rPr>
                <w:sz w:val="20"/>
              </w:rPr>
              <w:t>applicabilité de cette définition/disposition n</w:t>
            </w:r>
            <w:r w:rsidR="009F4D21" w:rsidRPr="002D66DE">
              <w:rPr>
                <w:sz w:val="20"/>
              </w:rPr>
              <w:t>'</w:t>
            </w:r>
            <w:r w:rsidRPr="002D66DE">
              <w:rPr>
                <w:sz w:val="20"/>
              </w:rPr>
              <w:t xml:space="preserve">est pas claire pour ce qui est de favoriser la fourniture et le développement des réseaux et </w:t>
            </w:r>
            <w:r w:rsidR="00CF4DFA" w:rsidRPr="002D66DE">
              <w:rPr>
                <w:sz w:val="20"/>
              </w:rPr>
              <w:t xml:space="preserve">des </w:t>
            </w:r>
            <w:r w:rsidRPr="002D66DE">
              <w:rPr>
                <w:sz w:val="20"/>
              </w:rPr>
              <w:t>services</w:t>
            </w:r>
            <w:r w:rsidR="00F476A1" w:rsidRPr="002D66DE">
              <w:rPr>
                <w:sz w:val="20"/>
              </w:rPr>
              <w:t>.</w:t>
            </w:r>
            <w:bookmarkEnd w:id="103"/>
          </w:p>
        </w:tc>
        <w:tc>
          <w:tcPr>
            <w:tcW w:w="2595" w:type="dxa"/>
          </w:tcPr>
          <w:p w14:paraId="3A15A39D" w14:textId="1BC7E9B3" w:rsidR="00F476A1" w:rsidRPr="002D66DE" w:rsidRDefault="00454F12" w:rsidP="00C55BDB">
            <w:pPr>
              <w:pStyle w:val="Tabletext"/>
              <w:rPr>
                <w:sz w:val="20"/>
              </w:rPr>
            </w:pPr>
            <w:bookmarkStart w:id="104" w:name="lt_pId356"/>
            <w:r w:rsidRPr="002D66DE">
              <w:rPr>
                <w:sz w:val="20"/>
              </w:rPr>
              <w:t xml:space="preserve">Certains membres ont estimé que cette disposition est suffisamment souple pour </w:t>
            </w:r>
            <w:r w:rsidR="00B659B5" w:rsidRPr="002D66DE">
              <w:rPr>
                <w:sz w:val="20"/>
              </w:rPr>
              <w:t>tenir</w:t>
            </w:r>
            <w:r w:rsidRPr="002D66DE">
              <w:rPr>
                <w:sz w:val="20"/>
              </w:rPr>
              <w:t xml:space="preserve"> compte des nouvelles tendances et des</w:t>
            </w:r>
            <w:r w:rsidR="004C7683" w:rsidRPr="002D66DE">
              <w:rPr>
                <w:sz w:val="20"/>
              </w:rPr>
              <w:t xml:space="preserve"> </w:t>
            </w:r>
            <w:r w:rsidR="00862FF5" w:rsidRPr="002D66DE">
              <w:rPr>
                <w:sz w:val="20"/>
              </w:rPr>
              <w:t xml:space="preserve">nouveaux </w:t>
            </w:r>
            <w:r w:rsidR="00862FF5" w:rsidRPr="002D66DE">
              <w:rPr>
                <w:color w:val="000000"/>
                <w:sz w:val="20"/>
              </w:rPr>
              <w:t xml:space="preserve">problèmes </w:t>
            </w:r>
            <w:r w:rsidRPr="002D66DE">
              <w:rPr>
                <w:sz w:val="20"/>
              </w:rPr>
              <w:t>qui se font jour</w:t>
            </w:r>
            <w:bookmarkEnd w:id="104"/>
            <w:r w:rsidRPr="002D66DE">
              <w:rPr>
                <w:sz w:val="20"/>
              </w:rPr>
              <w:t>.</w:t>
            </w:r>
          </w:p>
          <w:p w14:paraId="0E5B252A" w14:textId="32121D79" w:rsidR="00F476A1" w:rsidRPr="002D66DE" w:rsidRDefault="00BC73A5" w:rsidP="00C55BDB">
            <w:pPr>
              <w:pStyle w:val="Tabletext"/>
              <w:rPr>
                <w:sz w:val="20"/>
              </w:rPr>
            </w:pPr>
            <w:bookmarkStart w:id="105" w:name="lt_pId357"/>
            <w:r w:rsidRPr="002D66DE">
              <w:rPr>
                <w:sz w:val="20"/>
              </w:rPr>
              <w:t xml:space="preserve">Certains membres ont estimé que cette </w:t>
            </w:r>
            <w:r w:rsidR="00225D48" w:rsidRPr="002D66DE">
              <w:rPr>
                <w:sz w:val="20"/>
              </w:rPr>
              <w:t>définition/</w:t>
            </w:r>
            <w:r w:rsidRPr="002D66DE">
              <w:rPr>
                <w:sz w:val="20"/>
              </w:rPr>
              <w:t>disposition n</w:t>
            </w:r>
            <w:r w:rsidR="009F4D21" w:rsidRPr="002D66DE">
              <w:rPr>
                <w:sz w:val="20"/>
              </w:rPr>
              <w:t>'</w:t>
            </w:r>
            <w:r w:rsidRPr="002D66DE">
              <w:rPr>
                <w:sz w:val="20"/>
              </w:rPr>
              <w:t>est ni souple, ni rigide pour ce qui est de tenir compte des nouvelles tendances et des</w:t>
            </w:r>
            <w:r w:rsidR="00862FF5" w:rsidRPr="002D66DE">
              <w:rPr>
                <w:sz w:val="20"/>
              </w:rPr>
              <w:t xml:space="preserve"> nouveaux </w:t>
            </w:r>
            <w:r w:rsidR="00862FF5" w:rsidRPr="002D66DE">
              <w:rPr>
                <w:color w:val="000000"/>
                <w:sz w:val="20"/>
              </w:rPr>
              <w:t xml:space="preserve">problèmes </w:t>
            </w:r>
            <w:r w:rsidRPr="002D66DE">
              <w:rPr>
                <w:sz w:val="20"/>
              </w:rPr>
              <w:t>qui se font jour</w:t>
            </w:r>
            <w:r w:rsidR="00F476A1" w:rsidRPr="002D66DE">
              <w:rPr>
                <w:sz w:val="20"/>
              </w:rPr>
              <w:t>.</w:t>
            </w:r>
            <w:bookmarkEnd w:id="105"/>
          </w:p>
          <w:p w14:paraId="643F1B81" w14:textId="071ED8F7" w:rsidR="00F476A1" w:rsidRPr="002D66DE" w:rsidRDefault="007E2FFC" w:rsidP="00C55BDB">
            <w:pPr>
              <w:pStyle w:val="Tabletext"/>
              <w:rPr>
                <w:sz w:val="20"/>
                <w:szCs w:val="20"/>
              </w:rPr>
            </w:pPr>
            <w:bookmarkStart w:id="106" w:name="lt_pId358"/>
            <w:r w:rsidRPr="002D66DE">
              <w:rPr>
                <w:sz w:val="20"/>
              </w:rPr>
              <w:t>Certains</w:t>
            </w:r>
            <w:r w:rsidR="000B316C" w:rsidRPr="002D66DE">
              <w:rPr>
                <w:sz w:val="20"/>
              </w:rPr>
              <w:t xml:space="preserve"> membres</w:t>
            </w:r>
            <w:r w:rsidRPr="002D66DE">
              <w:rPr>
                <w:sz w:val="20"/>
              </w:rPr>
              <w:t xml:space="preserve"> ont estimé que</w:t>
            </w:r>
            <w:r w:rsidR="000B316C" w:rsidRPr="002D66DE">
              <w:rPr>
                <w:sz w:val="20"/>
              </w:rPr>
              <w:t xml:space="preserve"> cette définition doit être mise à jour pour tenir compte</w:t>
            </w:r>
            <w:r w:rsidRPr="002D66DE">
              <w:rPr>
                <w:sz w:val="20"/>
              </w:rPr>
              <w:t xml:space="preserve"> </w:t>
            </w:r>
            <w:r w:rsidR="000B316C" w:rsidRPr="002D66DE">
              <w:rPr>
                <w:sz w:val="20"/>
                <w:szCs w:val="20"/>
              </w:rPr>
              <w:t>des évolutions constatées en ce qui concerne les nouvelles tendances et les</w:t>
            </w:r>
            <w:r w:rsidRPr="002D66DE">
              <w:rPr>
                <w:sz w:val="20"/>
                <w:szCs w:val="20"/>
              </w:rPr>
              <w:t xml:space="preserve"> nouveaux</w:t>
            </w:r>
            <w:r w:rsidR="000B316C" w:rsidRPr="002D66DE">
              <w:rPr>
                <w:sz w:val="20"/>
                <w:szCs w:val="20"/>
              </w:rPr>
              <w:t xml:space="preserve"> </w:t>
            </w:r>
            <w:r w:rsidR="00B659B5" w:rsidRPr="002D66DE">
              <w:rPr>
                <w:sz w:val="20"/>
                <w:szCs w:val="20"/>
              </w:rPr>
              <w:t>problèmes</w:t>
            </w:r>
            <w:r w:rsidR="000B316C" w:rsidRPr="002D66DE">
              <w:rPr>
                <w:sz w:val="20"/>
                <w:szCs w:val="20"/>
              </w:rPr>
              <w:t xml:space="preserve"> qui se font jour</w:t>
            </w:r>
            <w:r w:rsidRPr="002D66DE">
              <w:rPr>
                <w:sz w:val="20"/>
                <w:szCs w:val="20"/>
              </w:rPr>
              <w:t>, et certains</w:t>
            </w:r>
            <w:r w:rsidR="000B316C" w:rsidRPr="002D66DE">
              <w:rPr>
                <w:sz w:val="20"/>
                <w:szCs w:val="20"/>
              </w:rPr>
              <w:t xml:space="preserve"> </w:t>
            </w:r>
            <w:r w:rsidRPr="002D66DE">
              <w:rPr>
                <w:sz w:val="20"/>
                <w:szCs w:val="20"/>
              </w:rPr>
              <w:t>d</w:t>
            </w:r>
            <w:r w:rsidR="009F4D21" w:rsidRPr="002D66DE">
              <w:rPr>
                <w:sz w:val="20"/>
                <w:szCs w:val="20"/>
              </w:rPr>
              <w:t>'</w:t>
            </w:r>
            <w:r w:rsidRPr="002D66DE">
              <w:rPr>
                <w:sz w:val="20"/>
                <w:szCs w:val="20"/>
              </w:rPr>
              <w:t>entre eux ont fait</w:t>
            </w:r>
            <w:r w:rsidR="000B316C" w:rsidRPr="002D66DE">
              <w:rPr>
                <w:sz w:val="20"/>
                <w:szCs w:val="20"/>
              </w:rPr>
              <w:t xml:space="preserve"> observer qu</w:t>
            </w:r>
            <w:r w:rsidR="009F4D21" w:rsidRPr="002D66DE">
              <w:rPr>
                <w:sz w:val="20"/>
                <w:szCs w:val="20"/>
              </w:rPr>
              <w:t>'</w:t>
            </w:r>
            <w:r w:rsidR="000B316C" w:rsidRPr="002D66DE">
              <w:rPr>
                <w:sz w:val="20"/>
                <w:szCs w:val="20"/>
              </w:rPr>
              <w:t>il se peut que la dé</w:t>
            </w:r>
            <w:r w:rsidR="00F476A1" w:rsidRPr="002D66DE">
              <w:rPr>
                <w:sz w:val="20"/>
              </w:rPr>
              <w:t>finition</w:t>
            </w:r>
            <w:r w:rsidR="000B316C" w:rsidRPr="002D66DE">
              <w:rPr>
                <w:sz w:val="20"/>
              </w:rPr>
              <w:t xml:space="preserve"> ne couvre pas complètement les organismes locaux chargés de l'application de la loi et tous les services de l'État</w:t>
            </w:r>
            <w:bookmarkEnd w:id="106"/>
            <w:r w:rsidR="00F476A1" w:rsidRPr="002D66DE">
              <w:rPr>
                <w:sz w:val="20"/>
              </w:rPr>
              <w:t>.</w:t>
            </w:r>
          </w:p>
        </w:tc>
        <w:tc>
          <w:tcPr>
            <w:tcW w:w="2406" w:type="dxa"/>
          </w:tcPr>
          <w:p w14:paraId="2568472B" w14:textId="526D392D" w:rsidR="00B648BA" w:rsidRPr="002D66DE" w:rsidRDefault="00D31A27" w:rsidP="00C55BDB">
            <w:pPr>
              <w:pStyle w:val="Tabletext"/>
              <w:rPr>
                <w:sz w:val="20"/>
              </w:rPr>
            </w:pPr>
            <w:r w:rsidRPr="002D66DE">
              <w:rPr>
                <w:sz w:val="20"/>
              </w:rPr>
              <w:t>Certains membres ont estimé que cette disposition n</w:t>
            </w:r>
            <w:r w:rsidR="009F4D21" w:rsidRPr="002D66DE">
              <w:rPr>
                <w:sz w:val="20"/>
              </w:rPr>
              <w:t>'</w:t>
            </w:r>
            <w:r w:rsidRPr="002D66DE">
              <w:rPr>
                <w:sz w:val="20"/>
              </w:rPr>
              <w:t>a pas besoin d</w:t>
            </w:r>
            <w:r w:rsidR="009F4D21" w:rsidRPr="002D66DE">
              <w:rPr>
                <w:sz w:val="20"/>
              </w:rPr>
              <w:t>'</w:t>
            </w:r>
            <w:r w:rsidRPr="002D66DE">
              <w:rPr>
                <w:sz w:val="20"/>
              </w:rPr>
              <w:t>être modifiée puisqu</w:t>
            </w:r>
            <w:r w:rsidR="009F4D21" w:rsidRPr="002D66DE">
              <w:rPr>
                <w:sz w:val="20"/>
              </w:rPr>
              <w:t>'</w:t>
            </w:r>
            <w:r w:rsidRPr="002D66DE">
              <w:rPr>
                <w:sz w:val="20"/>
              </w:rPr>
              <w:t>elle est applicable et souple, ou qu</w:t>
            </w:r>
            <w:r w:rsidR="009F4D21" w:rsidRPr="002D66DE">
              <w:rPr>
                <w:sz w:val="20"/>
              </w:rPr>
              <w:t>'</w:t>
            </w:r>
            <w:r w:rsidRPr="002D66DE">
              <w:rPr>
                <w:sz w:val="20"/>
              </w:rPr>
              <w:t>il conviendrait plutôt d</w:t>
            </w:r>
            <w:r w:rsidR="009F4D21" w:rsidRPr="002D66DE">
              <w:rPr>
                <w:sz w:val="20"/>
              </w:rPr>
              <w:t>'</w:t>
            </w:r>
            <w:r w:rsidRPr="002D66DE">
              <w:rPr>
                <w:sz w:val="20"/>
              </w:rPr>
              <w:t xml:space="preserve">ajouter une référence à la disposition pertinente de la </w:t>
            </w:r>
            <w:r w:rsidR="00CB7D7F" w:rsidRPr="002D66DE">
              <w:rPr>
                <w:sz w:val="20"/>
              </w:rPr>
              <w:t>Convention</w:t>
            </w:r>
            <w:r w:rsidRPr="002D66DE">
              <w:rPr>
                <w:sz w:val="20"/>
              </w:rPr>
              <w:t xml:space="preserve"> de l</w:t>
            </w:r>
            <w:r w:rsidR="009F4D21" w:rsidRPr="002D66DE">
              <w:rPr>
                <w:sz w:val="20"/>
              </w:rPr>
              <w:t>'</w:t>
            </w:r>
            <w:r w:rsidRPr="002D66DE">
              <w:rPr>
                <w:sz w:val="20"/>
              </w:rPr>
              <w:t>UIT</w:t>
            </w:r>
            <w:r w:rsidR="00EB389B" w:rsidRPr="002D66DE">
              <w:rPr>
                <w:sz w:val="20"/>
              </w:rPr>
              <w:t>.</w:t>
            </w:r>
          </w:p>
          <w:p w14:paraId="49FE752D" w14:textId="7711BCB0"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640F1FDE" w14:textId="5DEE3FF4" w:rsidR="00F476A1" w:rsidRPr="002D66DE" w:rsidRDefault="00D31A27" w:rsidP="00C55BDB">
            <w:pPr>
              <w:pStyle w:val="Tabletext"/>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p>
        </w:tc>
      </w:tr>
    </w:tbl>
    <w:p w14:paraId="4D348193" w14:textId="4DD6EF4F" w:rsidR="00C55BDB" w:rsidRPr="002D66DE" w:rsidRDefault="00C55BDB">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716"/>
        <w:gridCol w:w="2613"/>
        <w:gridCol w:w="2595"/>
        <w:gridCol w:w="2406"/>
      </w:tblGrid>
      <w:tr w:rsidR="00C55BDB" w:rsidRPr="002D66DE" w14:paraId="2FB892A7" w14:textId="77777777" w:rsidTr="00AC7710">
        <w:tc>
          <w:tcPr>
            <w:tcW w:w="987" w:type="dxa"/>
          </w:tcPr>
          <w:p w14:paraId="3AE111A2"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676E41DA"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0BE12569"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5764DF1F"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53D08805"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01FF06E8"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2E6029F5" w14:textId="77777777" w:rsidTr="00AC7710">
        <w:tc>
          <w:tcPr>
            <w:tcW w:w="987" w:type="dxa"/>
          </w:tcPr>
          <w:p w14:paraId="31A04158" w14:textId="622FF474" w:rsidR="00F476A1" w:rsidRPr="002D66DE" w:rsidRDefault="00F476A1" w:rsidP="00C55BDB">
            <w:pPr>
              <w:pStyle w:val="Tablehead"/>
              <w:rPr>
                <w:sz w:val="20"/>
                <w:szCs w:val="20"/>
              </w:rPr>
            </w:pPr>
            <w:r w:rsidRPr="002D66DE">
              <w:rPr>
                <w:sz w:val="20"/>
                <w:szCs w:val="20"/>
              </w:rPr>
              <w:t>20</w:t>
            </w:r>
          </w:p>
        </w:tc>
        <w:tc>
          <w:tcPr>
            <w:tcW w:w="2860" w:type="dxa"/>
          </w:tcPr>
          <w:p w14:paraId="6BF7AC93" w14:textId="77777777" w:rsidR="00F476A1" w:rsidRPr="002D66DE" w:rsidRDefault="00F476A1" w:rsidP="00C55BDB">
            <w:pPr>
              <w:pStyle w:val="Tabletext"/>
              <w:rPr>
                <w:b/>
                <w:bCs/>
                <w:sz w:val="20"/>
              </w:rPr>
            </w:pPr>
            <w:r w:rsidRPr="002D66DE">
              <w:rPr>
                <w:b/>
                <w:bCs/>
                <w:sz w:val="20"/>
              </w:rPr>
              <w:t>2.5</w:t>
            </w:r>
            <w:r w:rsidRPr="002D66DE">
              <w:rPr>
                <w:b/>
                <w:bCs/>
                <w:sz w:val="20"/>
              </w:rPr>
              <w:tab/>
            </w:r>
            <w:r w:rsidRPr="002D66DE">
              <w:rPr>
                <w:b/>
                <w:bCs/>
                <w:i/>
                <w:iCs/>
                <w:sz w:val="20"/>
              </w:rPr>
              <w:t xml:space="preserve">Télécommunication de service: </w:t>
            </w:r>
            <w:r w:rsidRPr="002D66DE">
              <w:rPr>
                <w:b/>
                <w:bCs/>
                <w:sz w:val="20"/>
              </w:rPr>
              <w:t>Télécommunication relative aux télécommunications publiques internationales et échangée parmi:</w:t>
            </w:r>
          </w:p>
          <w:p w14:paraId="17A47AEA" w14:textId="36195D73" w:rsidR="00F476A1" w:rsidRPr="002D66DE" w:rsidRDefault="00F476A1" w:rsidP="00C55BDB">
            <w:pPr>
              <w:pStyle w:val="Tabletext"/>
              <w:tabs>
                <w:tab w:val="left" w:pos="392"/>
              </w:tabs>
              <w:rPr>
                <w:b/>
                <w:bCs/>
                <w:sz w:val="20"/>
                <w:szCs w:val="20"/>
              </w:rPr>
            </w:pPr>
            <w:r w:rsidRPr="002D66DE">
              <w:rPr>
                <w:b/>
                <w:bCs/>
                <w:sz w:val="20"/>
                <w:szCs w:val="20"/>
              </w:rPr>
              <w:t>–</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w:t>
            </w:r>
          </w:p>
          <w:p w14:paraId="1C0C320F" w14:textId="77777777" w:rsidR="00F476A1" w:rsidRPr="002D66DE" w:rsidRDefault="00F476A1" w:rsidP="00C55BDB">
            <w:pPr>
              <w:pStyle w:val="Tabletext"/>
              <w:tabs>
                <w:tab w:val="left" w:pos="392"/>
              </w:tabs>
              <w:rPr>
                <w:b/>
                <w:bCs/>
                <w:sz w:val="20"/>
                <w:szCs w:val="20"/>
              </w:rPr>
            </w:pPr>
            <w:r w:rsidRPr="002D66DE">
              <w:rPr>
                <w:b/>
                <w:bCs/>
                <w:sz w:val="20"/>
                <w:szCs w:val="20"/>
              </w:rPr>
              <w:t>–</w:t>
            </w:r>
            <w:r w:rsidRPr="002D66DE">
              <w:rPr>
                <w:b/>
                <w:bCs/>
                <w:sz w:val="20"/>
                <w:szCs w:val="20"/>
              </w:rPr>
              <w:tab/>
              <w:t>les exploitations autorisées;</w:t>
            </w:r>
          </w:p>
          <w:p w14:paraId="1AE93521" w14:textId="77777777" w:rsidR="00F476A1" w:rsidRPr="002D66DE" w:rsidRDefault="00F476A1" w:rsidP="00C55BDB">
            <w:pPr>
              <w:pStyle w:val="Tabletext"/>
              <w:tabs>
                <w:tab w:val="left" w:pos="392"/>
              </w:tabs>
              <w:ind w:left="392" w:hanging="392"/>
              <w:rPr>
                <w:b/>
                <w:bCs/>
                <w:sz w:val="20"/>
                <w:szCs w:val="20"/>
              </w:rPr>
            </w:pPr>
            <w:r w:rsidRPr="002D66DE">
              <w:rPr>
                <w:b/>
                <w:bCs/>
                <w:sz w:val="20"/>
                <w:szCs w:val="20"/>
              </w:rPr>
              <w:br w:type="page"/>
              <w:t>–</w:t>
            </w:r>
            <w:r w:rsidRPr="002D66DE">
              <w:rPr>
                <w:b/>
                <w:bCs/>
                <w:sz w:val="20"/>
                <w:szCs w:val="20"/>
              </w:rPr>
              <w:tab/>
              <w:t>le président du Conseil, le Secrétaire général, le Vice-Secrétaire général, les directeurs des Bureaux, les membres du Comité du Règlement des radiocommunications ou d'autres représentants ou fonctionnaires autorisés de l'Union, y compris ceux chargés de fonctions officielles hors du siège de l'Union.</w:t>
            </w:r>
          </w:p>
        </w:tc>
        <w:tc>
          <w:tcPr>
            <w:tcW w:w="3716" w:type="dxa"/>
          </w:tcPr>
          <w:p w14:paraId="7FA7F7FE" w14:textId="77777777" w:rsidR="00F476A1" w:rsidRPr="002D66DE" w:rsidRDefault="00F476A1" w:rsidP="00C55BDB">
            <w:pPr>
              <w:pStyle w:val="Tabletext"/>
              <w:rPr>
                <w:b/>
                <w:bCs/>
                <w:sz w:val="20"/>
                <w:szCs w:val="20"/>
              </w:rPr>
            </w:pPr>
            <w:r w:rsidRPr="002D66DE">
              <w:rPr>
                <w:b/>
                <w:bCs/>
                <w:sz w:val="20"/>
                <w:szCs w:val="20"/>
              </w:rPr>
              <w:t>2.4</w:t>
            </w:r>
            <w:r w:rsidRPr="002D66DE">
              <w:rPr>
                <w:b/>
                <w:bCs/>
                <w:sz w:val="20"/>
                <w:szCs w:val="20"/>
              </w:rPr>
              <w:tab/>
              <w:t>Télécommunication de service</w:t>
            </w:r>
          </w:p>
          <w:p w14:paraId="69E1D6A3" w14:textId="77777777" w:rsidR="00F476A1" w:rsidRPr="002D66DE" w:rsidRDefault="00F476A1" w:rsidP="00C55BDB">
            <w:pPr>
              <w:pStyle w:val="Tabletext"/>
              <w:rPr>
                <w:sz w:val="20"/>
                <w:szCs w:val="20"/>
              </w:rPr>
            </w:pPr>
            <w:r w:rsidRPr="002D66DE">
              <w:rPr>
                <w:sz w:val="20"/>
                <w:szCs w:val="20"/>
              </w:rPr>
              <w:t>Télécommunication relative aux télécommunications publiques internationales et échangée parmi:</w:t>
            </w:r>
          </w:p>
          <w:p w14:paraId="17F425BA" w14:textId="77777777" w:rsidR="00F476A1" w:rsidRPr="002D66DE" w:rsidRDefault="00F476A1" w:rsidP="00C55BDB">
            <w:pPr>
              <w:pStyle w:val="Tabletext"/>
              <w:tabs>
                <w:tab w:val="left" w:pos="298"/>
              </w:tabs>
              <w:rPr>
                <w:sz w:val="20"/>
                <w:szCs w:val="20"/>
              </w:rPr>
            </w:pPr>
            <w:r w:rsidRPr="002D66DE">
              <w:rPr>
                <w:sz w:val="20"/>
                <w:szCs w:val="20"/>
              </w:rPr>
              <w:t>–</w:t>
            </w:r>
            <w:r w:rsidRPr="002D66DE">
              <w:rPr>
                <w:sz w:val="20"/>
                <w:szCs w:val="20"/>
              </w:rPr>
              <w:tab/>
              <w:t>les administrations;</w:t>
            </w:r>
          </w:p>
          <w:p w14:paraId="0C580360" w14:textId="77777777" w:rsidR="00F476A1" w:rsidRPr="002D66DE" w:rsidRDefault="00F476A1" w:rsidP="00C55BDB">
            <w:pPr>
              <w:pStyle w:val="Tabletext"/>
              <w:tabs>
                <w:tab w:val="left" w:pos="298"/>
              </w:tabs>
              <w:rPr>
                <w:sz w:val="20"/>
                <w:szCs w:val="20"/>
              </w:rPr>
            </w:pPr>
            <w:r w:rsidRPr="002D66DE">
              <w:rPr>
                <w:sz w:val="20"/>
                <w:szCs w:val="20"/>
              </w:rPr>
              <w:t>–</w:t>
            </w:r>
            <w:r w:rsidRPr="002D66DE">
              <w:rPr>
                <w:sz w:val="20"/>
                <w:szCs w:val="20"/>
              </w:rPr>
              <w:tab/>
              <w:t>les exploitations privées reconnues;</w:t>
            </w:r>
          </w:p>
          <w:p w14:paraId="27863332" w14:textId="77777777" w:rsidR="00F476A1" w:rsidRPr="002D66DE" w:rsidRDefault="00F476A1" w:rsidP="00C55BDB">
            <w:pPr>
              <w:pStyle w:val="Tabletext"/>
              <w:tabs>
                <w:tab w:val="left" w:pos="298"/>
              </w:tabs>
              <w:ind w:left="298" w:hanging="298"/>
              <w:rPr>
                <w:sz w:val="20"/>
                <w:szCs w:val="20"/>
              </w:rPr>
            </w:pPr>
            <w:r w:rsidRPr="002D66DE">
              <w:rPr>
                <w:sz w:val="20"/>
                <w:szCs w:val="20"/>
              </w:rPr>
              <w:t>–</w:t>
            </w:r>
            <w:r w:rsidRPr="002D66DE">
              <w:rPr>
                <w:sz w:val="20"/>
                <w:szCs w:val="20"/>
              </w:rPr>
              <w:tab/>
              <w: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t>
            </w:r>
          </w:p>
        </w:tc>
        <w:tc>
          <w:tcPr>
            <w:tcW w:w="2613" w:type="dxa"/>
          </w:tcPr>
          <w:p w14:paraId="14AA0371" w14:textId="18A4D423" w:rsidR="00F476A1" w:rsidRPr="002D66DE" w:rsidRDefault="00EB389B" w:rsidP="00C55BDB">
            <w:pPr>
              <w:pStyle w:val="Tabletext"/>
              <w:rPr>
                <w:sz w:val="20"/>
              </w:rPr>
            </w:pPr>
            <w:bookmarkStart w:id="107" w:name="lt_pId372"/>
            <w:r w:rsidRPr="002D66DE">
              <w:rPr>
                <w:sz w:val="20"/>
              </w:rPr>
              <w:t>De l</w:t>
            </w:r>
            <w:r w:rsidR="009F4D21" w:rsidRPr="002D66DE">
              <w:rPr>
                <w:sz w:val="20"/>
              </w:rPr>
              <w:t>'</w:t>
            </w:r>
            <w:r w:rsidRPr="002D66DE">
              <w:rPr>
                <w:sz w:val="20"/>
              </w:rPr>
              <w:t xml:space="preserve">avis de certains membres, cette définition/disposition est applicable pour ce qui est de favoriser la fourniture et le développement des réseaux et des services, certains </w:t>
            </w:r>
            <w:r w:rsidR="00225D48" w:rsidRPr="002D66DE">
              <w:rPr>
                <w:sz w:val="20"/>
              </w:rPr>
              <w:t>faisant observer</w:t>
            </w:r>
            <w:r w:rsidRPr="002D66DE">
              <w:rPr>
                <w:sz w:val="20"/>
              </w:rPr>
              <w:t xml:space="preserve"> que cette définition est identique</w:t>
            </w:r>
            <w:r w:rsidR="004C7683" w:rsidRPr="002D66DE">
              <w:rPr>
                <w:sz w:val="20"/>
              </w:rPr>
              <w:t xml:space="preserve"> </w:t>
            </w:r>
            <w:r w:rsidRPr="002D66DE">
              <w:rPr>
                <w:sz w:val="20"/>
              </w:rPr>
              <w:t xml:space="preserve">à celle figurant dans la Constitution. </w:t>
            </w:r>
            <w:bookmarkEnd w:id="107"/>
          </w:p>
          <w:p w14:paraId="6266DD47" w14:textId="080A6EE4" w:rsidR="00F476A1" w:rsidRPr="002D66DE" w:rsidRDefault="00EB389B" w:rsidP="00C55BDB">
            <w:pPr>
              <w:pStyle w:val="Tabletext"/>
              <w:rPr>
                <w:sz w:val="20"/>
                <w:szCs w:val="20"/>
              </w:rPr>
            </w:pPr>
            <w:r w:rsidRPr="002D66DE">
              <w:rPr>
                <w:sz w:val="20"/>
              </w:rPr>
              <w:t xml:space="preserve">Certains membres ont estimé que cette disposition ni ne </w:t>
            </w:r>
            <w:r w:rsidR="00F476A1" w:rsidRPr="002D66DE">
              <w:rPr>
                <w:sz w:val="20"/>
                <w:szCs w:val="20"/>
              </w:rPr>
              <w:t>facilite, ni n'entrave la fourniture et le développement des réseaux et des services.</w:t>
            </w:r>
          </w:p>
        </w:tc>
        <w:tc>
          <w:tcPr>
            <w:tcW w:w="2595" w:type="dxa"/>
          </w:tcPr>
          <w:p w14:paraId="7072E36D" w14:textId="4E3F256B" w:rsidR="00F476A1" w:rsidRPr="002D66DE" w:rsidRDefault="00EB389B" w:rsidP="00C55BDB">
            <w:pPr>
              <w:pStyle w:val="Tabletext"/>
              <w:rPr>
                <w:sz w:val="20"/>
              </w:rPr>
            </w:pPr>
            <w:r w:rsidRPr="002D66DE">
              <w:rPr>
                <w:sz w:val="20"/>
              </w:rPr>
              <w:t xml:space="preserve">Certains membres ont estimé que cette disposition est suffisamment souple pour </w:t>
            </w:r>
            <w:r w:rsidR="00225D48" w:rsidRPr="002D66DE">
              <w:rPr>
                <w:sz w:val="20"/>
              </w:rPr>
              <w:t>tenir</w:t>
            </w:r>
            <w:r w:rsidRPr="002D66DE">
              <w:rPr>
                <w:sz w:val="20"/>
              </w:rPr>
              <w:t xml:space="preserve"> compte des nouvelles tendances et des </w:t>
            </w:r>
            <w:r w:rsidR="00862FF5" w:rsidRPr="002D66DE">
              <w:rPr>
                <w:sz w:val="20"/>
              </w:rPr>
              <w:t xml:space="preserve">nouveaux </w:t>
            </w:r>
            <w:r w:rsidR="00862FF5" w:rsidRPr="002D66DE">
              <w:rPr>
                <w:color w:val="000000"/>
                <w:sz w:val="20"/>
              </w:rPr>
              <w:t xml:space="preserve">problèmes </w:t>
            </w:r>
            <w:r w:rsidRPr="002D66DE">
              <w:rPr>
                <w:sz w:val="20"/>
              </w:rPr>
              <w:t>qui se font jour.</w:t>
            </w:r>
          </w:p>
          <w:p w14:paraId="1F43DE03" w14:textId="779C9CFA" w:rsidR="00F476A1" w:rsidRPr="002D66DE" w:rsidRDefault="00EB389B" w:rsidP="00C55BDB">
            <w:pPr>
              <w:pStyle w:val="Tabletext"/>
              <w:rPr>
                <w:sz w:val="20"/>
                <w:szCs w:val="20"/>
              </w:rPr>
            </w:pPr>
            <w:bookmarkStart w:id="108" w:name="lt_pId375"/>
            <w:r w:rsidRPr="002D66DE">
              <w:rPr>
                <w:sz w:val="20"/>
              </w:rPr>
              <w:t xml:space="preserve">Certains membres ont estimé que cette </w:t>
            </w:r>
            <w:r w:rsidR="00225D48" w:rsidRPr="002D66DE">
              <w:rPr>
                <w:sz w:val="20"/>
              </w:rPr>
              <w:t>définition/</w:t>
            </w:r>
            <w:r w:rsidRPr="002D66DE">
              <w:rPr>
                <w:sz w:val="20"/>
              </w:rPr>
              <w:t>disposition n</w:t>
            </w:r>
            <w:r w:rsidR="009F4D21" w:rsidRPr="002D66DE">
              <w:rPr>
                <w:sz w:val="20"/>
              </w:rPr>
              <w:t>'</w:t>
            </w:r>
            <w:r w:rsidRPr="002D66DE">
              <w:rPr>
                <w:sz w:val="20"/>
              </w:rPr>
              <w:t>est ni souple, ni rigide pour ce qui est de tenir compte des nouvelles tendances et des</w:t>
            </w:r>
            <w:r w:rsidR="00862FF5" w:rsidRPr="002D66DE">
              <w:rPr>
                <w:sz w:val="20"/>
              </w:rPr>
              <w:t xml:space="preserve"> nouveaux </w:t>
            </w:r>
            <w:r w:rsidR="00862FF5" w:rsidRPr="002D66DE">
              <w:rPr>
                <w:color w:val="000000"/>
                <w:sz w:val="20"/>
              </w:rPr>
              <w:t xml:space="preserve">problèmes </w:t>
            </w:r>
            <w:r w:rsidRPr="002D66DE">
              <w:rPr>
                <w:sz w:val="20"/>
              </w:rPr>
              <w:t>qui se font jour.</w:t>
            </w:r>
            <w:bookmarkEnd w:id="108"/>
          </w:p>
        </w:tc>
        <w:tc>
          <w:tcPr>
            <w:tcW w:w="2406" w:type="dxa"/>
          </w:tcPr>
          <w:p w14:paraId="6659A3D3" w14:textId="1B6DFA7C" w:rsidR="00D31A27" w:rsidRPr="002D66DE" w:rsidRDefault="00D31A27" w:rsidP="00C55BDB">
            <w:pPr>
              <w:pStyle w:val="Tabletext"/>
              <w:rPr>
                <w:sz w:val="20"/>
              </w:rPr>
            </w:pPr>
            <w:r w:rsidRPr="002D66DE">
              <w:rPr>
                <w:sz w:val="20"/>
              </w:rPr>
              <w:t>Certains membres ont estimé que cette disposition n</w:t>
            </w:r>
            <w:r w:rsidR="009F4D21" w:rsidRPr="002D66DE">
              <w:rPr>
                <w:sz w:val="20"/>
              </w:rPr>
              <w:t>'</w:t>
            </w:r>
            <w:r w:rsidRPr="002D66DE">
              <w:rPr>
                <w:sz w:val="20"/>
              </w:rPr>
              <w:t>a pas besoin d</w:t>
            </w:r>
            <w:r w:rsidR="009F4D21" w:rsidRPr="002D66DE">
              <w:rPr>
                <w:sz w:val="20"/>
              </w:rPr>
              <w:t>'</w:t>
            </w:r>
            <w:r w:rsidRPr="002D66DE">
              <w:rPr>
                <w:sz w:val="20"/>
              </w:rPr>
              <w:t>être modifiée puisqu</w:t>
            </w:r>
            <w:r w:rsidR="009F4D21" w:rsidRPr="002D66DE">
              <w:rPr>
                <w:sz w:val="20"/>
              </w:rPr>
              <w:t>'</w:t>
            </w:r>
            <w:r w:rsidRPr="002D66DE">
              <w:rPr>
                <w:sz w:val="20"/>
              </w:rPr>
              <w:t>elle est applicable et souple, ou qu</w:t>
            </w:r>
            <w:r w:rsidR="009F4D21" w:rsidRPr="002D66DE">
              <w:rPr>
                <w:sz w:val="20"/>
              </w:rPr>
              <w:t>'</w:t>
            </w:r>
            <w:r w:rsidRPr="002D66DE">
              <w:rPr>
                <w:sz w:val="20"/>
              </w:rPr>
              <w:t>il conviendrait plutôt d</w:t>
            </w:r>
            <w:r w:rsidR="009F4D21" w:rsidRPr="002D66DE">
              <w:rPr>
                <w:sz w:val="20"/>
              </w:rPr>
              <w:t>'</w:t>
            </w:r>
            <w:r w:rsidRPr="002D66DE">
              <w:rPr>
                <w:sz w:val="20"/>
              </w:rPr>
              <w:t xml:space="preserve">ajouter une référence à la disposition pertinente de la </w:t>
            </w:r>
            <w:r w:rsidR="00CB7D7F" w:rsidRPr="002D66DE">
              <w:rPr>
                <w:sz w:val="20"/>
              </w:rPr>
              <w:t>Convention</w:t>
            </w:r>
            <w:r w:rsidRPr="002D66DE">
              <w:rPr>
                <w:sz w:val="20"/>
              </w:rPr>
              <w:t xml:space="preserve"> de l</w:t>
            </w:r>
            <w:r w:rsidR="009F4D21" w:rsidRPr="002D66DE">
              <w:rPr>
                <w:sz w:val="20"/>
              </w:rPr>
              <w:t>'</w:t>
            </w:r>
            <w:r w:rsidRPr="002D66DE">
              <w:rPr>
                <w:sz w:val="20"/>
              </w:rPr>
              <w:t>UIT.</w:t>
            </w:r>
          </w:p>
          <w:p w14:paraId="09A8DE2D" w14:textId="2E880B19" w:rsidR="00F476A1"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r w:rsidR="00A74E53" w:rsidRPr="002D66DE" w14:paraId="69E2BFC5" w14:textId="77777777" w:rsidTr="00AC7710">
        <w:trPr>
          <w:trHeight w:val="9017"/>
        </w:trPr>
        <w:tc>
          <w:tcPr>
            <w:tcW w:w="987" w:type="dxa"/>
          </w:tcPr>
          <w:p w14:paraId="3A366C07" w14:textId="77777777" w:rsidR="00F476A1" w:rsidRPr="002D66DE" w:rsidRDefault="00F476A1" w:rsidP="00C55BDB">
            <w:pPr>
              <w:pStyle w:val="Tablehead"/>
              <w:rPr>
                <w:sz w:val="20"/>
                <w:szCs w:val="20"/>
              </w:rPr>
            </w:pPr>
          </w:p>
        </w:tc>
        <w:tc>
          <w:tcPr>
            <w:tcW w:w="2860" w:type="dxa"/>
          </w:tcPr>
          <w:p w14:paraId="54DB2215" w14:textId="0B3C1DC3" w:rsidR="00F476A1" w:rsidRPr="002D66DE" w:rsidRDefault="00F476A1" w:rsidP="00C55BDB">
            <w:pPr>
              <w:pStyle w:val="Tabletext"/>
              <w:rPr>
                <w:b/>
                <w:bCs/>
                <w:sz w:val="20"/>
                <w:szCs w:val="20"/>
              </w:rPr>
            </w:pPr>
            <w:r w:rsidRPr="002D66DE">
              <w:rPr>
                <w:b/>
                <w:bCs/>
                <w:sz w:val="20"/>
                <w:szCs w:val="20"/>
              </w:rPr>
              <w:t>N/A</w:t>
            </w:r>
          </w:p>
        </w:tc>
        <w:tc>
          <w:tcPr>
            <w:tcW w:w="3716" w:type="dxa"/>
          </w:tcPr>
          <w:p w14:paraId="75B75BCA" w14:textId="77777777" w:rsidR="00F476A1" w:rsidRPr="002D66DE" w:rsidRDefault="00F476A1" w:rsidP="00C55BDB">
            <w:pPr>
              <w:pStyle w:val="Tabletext"/>
              <w:rPr>
                <w:b/>
                <w:bCs/>
                <w:sz w:val="20"/>
                <w:szCs w:val="20"/>
              </w:rPr>
            </w:pPr>
            <w:r w:rsidRPr="002D66DE">
              <w:rPr>
                <w:b/>
                <w:bCs/>
                <w:sz w:val="20"/>
                <w:szCs w:val="20"/>
              </w:rPr>
              <w:t>2.5</w:t>
            </w:r>
            <w:r w:rsidRPr="002D66DE">
              <w:rPr>
                <w:b/>
                <w:bCs/>
                <w:sz w:val="20"/>
                <w:szCs w:val="20"/>
              </w:rPr>
              <w:tab/>
              <w:t>Télécommunication privilégiée</w:t>
            </w:r>
          </w:p>
          <w:p w14:paraId="16493E42" w14:textId="77777777" w:rsidR="00F476A1" w:rsidRPr="002D66DE" w:rsidRDefault="00F476A1" w:rsidP="00C55BDB">
            <w:pPr>
              <w:rPr>
                <w:sz w:val="20"/>
                <w:szCs w:val="20"/>
              </w:rPr>
            </w:pPr>
            <w:r w:rsidRPr="002D66DE">
              <w:rPr>
                <w:sz w:val="20"/>
                <w:szCs w:val="20"/>
              </w:rPr>
              <w:t>2.5.1</w:t>
            </w:r>
            <w:r w:rsidRPr="002D66DE">
              <w:rPr>
                <w:sz w:val="20"/>
                <w:szCs w:val="20"/>
              </w:rPr>
              <w:tab/>
              <w:t>Télécommunication qui peut être échangée pendant:</w:t>
            </w:r>
          </w:p>
          <w:p w14:paraId="12E636C8" w14:textId="77777777" w:rsidR="00F476A1" w:rsidRPr="002D66DE" w:rsidRDefault="00F476A1" w:rsidP="00C55BDB">
            <w:pPr>
              <w:pStyle w:val="enumlev1"/>
              <w:tabs>
                <w:tab w:val="left" w:pos="298"/>
              </w:tabs>
              <w:ind w:left="298" w:hanging="298"/>
              <w:rPr>
                <w:sz w:val="20"/>
                <w:szCs w:val="20"/>
              </w:rPr>
            </w:pPr>
            <w:r w:rsidRPr="002D66DE">
              <w:rPr>
                <w:sz w:val="20"/>
                <w:szCs w:val="20"/>
              </w:rPr>
              <w:t>–</w:t>
            </w:r>
            <w:r w:rsidRPr="002D66DE">
              <w:rPr>
                <w:sz w:val="20"/>
                <w:szCs w:val="20"/>
              </w:rPr>
              <w:tab/>
              <w:t>les sessions du Conseil d'administration de l'UIT;</w:t>
            </w:r>
          </w:p>
          <w:p w14:paraId="4F39E588" w14:textId="77777777" w:rsidR="00F476A1" w:rsidRPr="002D66DE" w:rsidRDefault="00F476A1" w:rsidP="00C55BDB">
            <w:pPr>
              <w:pStyle w:val="enumlev1"/>
              <w:tabs>
                <w:tab w:val="left" w:pos="298"/>
              </w:tabs>
              <w:ind w:left="298" w:hanging="298"/>
              <w:rPr>
                <w:sz w:val="20"/>
                <w:szCs w:val="20"/>
              </w:rPr>
            </w:pPr>
            <w:r w:rsidRPr="002D66DE">
              <w:rPr>
                <w:sz w:val="20"/>
                <w:szCs w:val="20"/>
              </w:rPr>
              <w:t>–</w:t>
            </w:r>
            <w:r w:rsidRPr="002D66DE">
              <w:rPr>
                <w:sz w:val="20"/>
                <w:szCs w:val="20"/>
              </w:rPr>
              <w:tab/>
              <w:t>les conférences et réunions de l'UIT entre les représentants des Membres du Conseil d'administration, les membres des délégations, les hauts fonctionnaires des organes permanents de l'Union ainsi que leurs collaborateurs 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t>
            </w:r>
          </w:p>
          <w:p w14:paraId="24D0511A" w14:textId="7B27809F" w:rsidR="00F476A1" w:rsidRPr="002D66DE" w:rsidRDefault="00F476A1" w:rsidP="00C55BDB">
            <w:pPr>
              <w:pStyle w:val="Tabletext"/>
              <w:rPr>
                <w:sz w:val="20"/>
                <w:szCs w:val="20"/>
              </w:rPr>
            </w:pPr>
            <w:r w:rsidRPr="002D66DE">
              <w:rPr>
                <w:sz w:val="20"/>
                <w:szCs w:val="20"/>
              </w:rPr>
              <w:t>2.5.2</w:t>
            </w:r>
            <w:r w:rsidRPr="002D66DE">
              <w:rPr>
                <w:sz w:val="20"/>
                <w:szCs w:val="20"/>
              </w:rPr>
              <w:tab/>
              <w: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t>
            </w:r>
          </w:p>
        </w:tc>
        <w:tc>
          <w:tcPr>
            <w:tcW w:w="2613" w:type="dxa"/>
          </w:tcPr>
          <w:p w14:paraId="66C41FFE" w14:textId="77777777" w:rsidR="00F476A1" w:rsidRPr="002D66DE" w:rsidRDefault="00F476A1" w:rsidP="00C55BDB">
            <w:pPr>
              <w:pStyle w:val="Tabletext"/>
              <w:rPr>
                <w:sz w:val="20"/>
                <w:szCs w:val="20"/>
              </w:rPr>
            </w:pPr>
          </w:p>
        </w:tc>
        <w:tc>
          <w:tcPr>
            <w:tcW w:w="2595" w:type="dxa"/>
          </w:tcPr>
          <w:p w14:paraId="0D0C5367" w14:textId="77777777" w:rsidR="00F476A1" w:rsidRPr="002D66DE" w:rsidRDefault="00F476A1" w:rsidP="00C55BDB">
            <w:pPr>
              <w:pStyle w:val="Tabletext"/>
              <w:rPr>
                <w:sz w:val="20"/>
                <w:szCs w:val="20"/>
              </w:rPr>
            </w:pPr>
          </w:p>
        </w:tc>
        <w:tc>
          <w:tcPr>
            <w:tcW w:w="2406" w:type="dxa"/>
          </w:tcPr>
          <w:p w14:paraId="2CE8611F" w14:textId="77777777" w:rsidR="00F476A1" w:rsidRPr="002D66DE" w:rsidRDefault="00F476A1" w:rsidP="00C55BDB">
            <w:pPr>
              <w:pStyle w:val="Tabletext"/>
              <w:rPr>
                <w:sz w:val="20"/>
                <w:szCs w:val="20"/>
              </w:rPr>
            </w:pPr>
          </w:p>
        </w:tc>
      </w:tr>
      <w:tr w:rsidR="00C55BDB" w:rsidRPr="002D66DE" w14:paraId="7AA41C13" w14:textId="77777777" w:rsidTr="00AC7710">
        <w:tc>
          <w:tcPr>
            <w:tcW w:w="987" w:type="dxa"/>
          </w:tcPr>
          <w:p w14:paraId="0BB7E461"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28C11E1E"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w:t>
            </w:r>
          </w:p>
        </w:tc>
        <w:tc>
          <w:tcPr>
            <w:tcW w:w="3716" w:type="dxa"/>
          </w:tcPr>
          <w:p w14:paraId="13AD3B06"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613" w:type="dxa"/>
          </w:tcPr>
          <w:p w14:paraId="77BE04C2"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tcPr>
          <w:p w14:paraId="4FC96D6D"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tcPr>
          <w:p w14:paraId="7D77DE9D" w14:textId="77777777" w:rsidR="00C55BDB" w:rsidRPr="002D66DE" w:rsidRDefault="00C55BDB"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4F97F31C" w14:textId="77777777" w:rsidTr="00AC7710">
        <w:tc>
          <w:tcPr>
            <w:tcW w:w="987" w:type="dxa"/>
          </w:tcPr>
          <w:p w14:paraId="092AFCE0" w14:textId="0AE398A9" w:rsidR="00F476A1" w:rsidRPr="002D66DE" w:rsidRDefault="00F476A1" w:rsidP="00C55BDB">
            <w:pPr>
              <w:pStyle w:val="Tablehead"/>
              <w:rPr>
                <w:sz w:val="20"/>
                <w:szCs w:val="20"/>
              </w:rPr>
            </w:pPr>
            <w:r w:rsidRPr="002D66DE">
              <w:rPr>
                <w:sz w:val="20"/>
                <w:szCs w:val="20"/>
              </w:rPr>
              <w:t>21</w:t>
            </w:r>
          </w:p>
        </w:tc>
        <w:tc>
          <w:tcPr>
            <w:tcW w:w="2860" w:type="dxa"/>
          </w:tcPr>
          <w:p w14:paraId="5133C0AA" w14:textId="77777777" w:rsidR="00F476A1" w:rsidRPr="002D66DE" w:rsidRDefault="00F476A1" w:rsidP="00C55BDB">
            <w:pPr>
              <w:pStyle w:val="Tabletext"/>
              <w:rPr>
                <w:b/>
                <w:bCs/>
                <w:strike/>
                <w:sz w:val="20"/>
                <w:szCs w:val="20"/>
              </w:rPr>
            </w:pPr>
            <w:r w:rsidRPr="002D66DE">
              <w:rPr>
                <w:b/>
                <w:bCs/>
                <w:sz w:val="20"/>
                <w:szCs w:val="20"/>
              </w:rPr>
              <w:t>2.6</w:t>
            </w:r>
            <w:r w:rsidRPr="002D66DE">
              <w:rPr>
                <w:b/>
                <w:bCs/>
                <w:i/>
                <w:sz w:val="20"/>
                <w:szCs w:val="20"/>
              </w:rPr>
              <w:tab/>
              <w:t xml:space="preserve">Voie d'acheminement internationale: </w:t>
            </w:r>
            <w:r w:rsidRPr="002D66DE">
              <w:rPr>
                <w:b/>
                <w:bCs/>
                <w:sz w:val="20"/>
                <w:szCs w:val="20"/>
              </w:rPr>
              <w:t>Ensemble des moyens et installations techniques, situés dans des pays différents, utilisés pour l'acheminement du trafic de télécommunication entre deux centres ou bureaux terminaux internationaux de télécommunication.</w:t>
            </w:r>
          </w:p>
        </w:tc>
        <w:tc>
          <w:tcPr>
            <w:tcW w:w="3716" w:type="dxa"/>
          </w:tcPr>
          <w:p w14:paraId="497328CD" w14:textId="77777777" w:rsidR="00F476A1" w:rsidRPr="002D66DE" w:rsidRDefault="00F476A1" w:rsidP="00C55BDB">
            <w:pPr>
              <w:pStyle w:val="Tabletext"/>
              <w:rPr>
                <w:sz w:val="20"/>
                <w:szCs w:val="20"/>
              </w:rPr>
            </w:pPr>
            <w:r w:rsidRPr="002D66DE">
              <w:rPr>
                <w:sz w:val="20"/>
                <w:szCs w:val="20"/>
              </w:rPr>
              <w:t>2.6</w:t>
            </w:r>
            <w:r w:rsidRPr="002D66DE">
              <w:rPr>
                <w:i/>
                <w:sz w:val="20"/>
                <w:szCs w:val="20"/>
              </w:rPr>
              <w:tab/>
              <w:t xml:space="preserve">Voie d'acheminement internationale: </w:t>
            </w:r>
            <w:r w:rsidRPr="002D66DE">
              <w:rPr>
                <w:sz w:val="20"/>
                <w:szCs w:val="20"/>
              </w:rPr>
              <w:t>Ensemble des moyens techniques, situés dans des pays différents, utilisés pour l'acheminement du trafic de télécommunication entre deux centres ou bureaux terminaux internationaux de télécommunication.</w:t>
            </w:r>
          </w:p>
        </w:tc>
        <w:tc>
          <w:tcPr>
            <w:tcW w:w="2613" w:type="dxa"/>
          </w:tcPr>
          <w:p w14:paraId="765A0D14" w14:textId="502E8A93" w:rsidR="005569AE" w:rsidRPr="002D66DE" w:rsidRDefault="00EB389B" w:rsidP="00C55BDB">
            <w:pPr>
              <w:pStyle w:val="Tabletext"/>
              <w:rPr>
                <w:rFonts w:cstheme="minorHAnsi"/>
                <w:sz w:val="20"/>
                <w:szCs w:val="20"/>
              </w:rPr>
            </w:pPr>
            <w:bookmarkStart w:id="109" w:name="lt_pId389"/>
            <w:r w:rsidRPr="002D66DE">
              <w:rPr>
                <w:sz w:val="20"/>
              </w:rPr>
              <w:t>De l</w:t>
            </w:r>
            <w:r w:rsidR="009F4D21" w:rsidRPr="002D66DE">
              <w:rPr>
                <w:sz w:val="20"/>
              </w:rPr>
              <w:t>'</w:t>
            </w:r>
            <w:r w:rsidRPr="002D66DE">
              <w:rPr>
                <w:sz w:val="20"/>
              </w:rPr>
              <w:t>avis de certains membres, cette définition/disposition est applicable pour ce qui est de favoriser la fourniture et le développement des réseaux et des services. Certains membres ont estimé que cette disposition ne s</w:t>
            </w:r>
            <w:r w:rsidR="009F4D21" w:rsidRPr="002D66DE">
              <w:rPr>
                <w:sz w:val="20"/>
              </w:rPr>
              <w:t>'</w:t>
            </w:r>
            <w:r w:rsidRPr="002D66DE">
              <w:rPr>
                <w:sz w:val="20"/>
              </w:rPr>
              <w:t>applique pas pour</w:t>
            </w:r>
            <w:r w:rsidR="00F476A1" w:rsidRPr="002D66DE">
              <w:rPr>
                <w:rFonts w:cstheme="minorHAnsi"/>
                <w:sz w:val="20"/>
                <w:szCs w:val="20"/>
              </w:rPr>
              <w:t xml:space="preserve"> </w:t>
            </w:r>
            <w:r w:rsidR="005569AE" w:rsidRPr="002D66DE">
              <w:rPr>
                <w:rFonts w:cstheme="minorHAnsi"/>
                <w:sz w:val="20"/>
                <w:szCs w:val="20"/>
              </w:rPr>
              <w:t>ce qui est de l</w:t>
            </w:r>
            <w:r w:rsidR="009F4D21" w:rsidRPr="002D66DE">
              <w:rPr>
                <w:rFonts w:cstheme="minorHAnsi"/>
                <w:sz w:val="20"/>
                <w:szCs w:val="20"/>
              </w:rPr>
              <w:t>'</w:t>
            </w:r>
            <w:r w:rsidR="005569AE" w:rsidRPr="002D66DE">
              <w:rPr>
                <w:rFonts w:cstheme="minorHAnsi"/>
                <w:sz w:val="20"/>
                <w:szCs w:val="20"/>
              </w:rPr>
              <w:t xml:space="preserve">acheminement du trafic </w:t>
            </w:r>
            <w:r w:rsidR="005C0BBD" w:rsidRPr="002D66DE">
              <w:rPr>
                <w:rFonts w:cstheme="minorHAnsi"/>
                <w:sz w:val="20"/>
                <w:szCs w:val="20"/>
              </w:rPr>
              <w:t>I</w:t>
            </w:r>
            <w:r w:rsidR="005569AE" w:rsidRPr="002D66DE">
              <w:rPr>
                <w:rFonts w:cstheme="minorHAnsi"/>
                <w:sz w:val="20"/>
                <w:szCs w:val="20"/>
              </w:rPr>
              <w:t>nternet et est restrictive au regard du nombre d</w:t>
            </w:r>
            <w:r w:rsidR="009F4D21" w:rsidRPr="002D66DE">
              <w:rPr>
                <w:rFonts w:cstheme="minorHAnsi"/>
                <w:sz w:val="20"/>
                <w:szCs w:val="20"/>
              </w:rPr>
              <w:t>'</w:t>
            </w:r>
            <w:r w:rsidR="005569AE" w:rsidRPr="002D66DE">
              <w:rPr>
                <w:rFonts w:cstheme="minorHAnsi"/>
                <w:sz w:val="20"/>
                <w:szCs w:val="20"/>
              </w:rPr>
              <w:t>acteurs intermédiaires qui permettent à ce jour</w:t>
            </w:r>
            <w:r w:rsidR="004C7683" w:rsidRPr="002D66DE">
              <w:rPr>
                <w:rFonts w:cstheme="minorHAnsi"/>
                <w:sz w:val="20"/>
                <w:szCs w:val="20"/>
              </w:rPr>
              <w:t xml:space="preserve"> </w:t>
            </w:r>
            <w:r w:rsidR="005569AE" w:rsidRPr="002D66DE">
              <w:rPr>
                <w:rFonts w:cstheme="minorHAnsi"/>
                <w:sz w:val="20"/>
                <w:szCs w:val="20"/>
              </w:rPr>
              <w:t>de fournir les services internationaux de télécommunication</w:t>
            </w:r>
            <w:r w:rsidR="00F476A1" w:rsidRPr="002D66DE">
              <w:rPr>
                <w:rFonts w:cstheme="minorHAnsi"/>
                <w:sz w:val="20"/>
                <w:szCs w:val="20"/>
              </w:rPr>
              <w:t>.</w:t>
            </w:r>
            <w:bookmarkEnd w:id="109"/>
          </w:p>
          <w:p w14:paraId="61F121A7" w14:textId="652F29F5" w:rsidR="00F476A1" w:rsidRPr="002D66DE" w:rsidRDefault="005569AE" w:rsidP="00CB7D7F">
            <w:pPr>
              <w:pStyle w:val="Tabletext"/>
              <w:rPr>
                <w:sz w:val="20"/>
                <w:szCs w:val="20"/>
              </w:rPr>
            </w:pPr>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 xml:space="preserve">avis de certains membres, cette disposition </w:t>
            </w:r>
            <w:r w:rsidRPr="002D66DE">
              <w:rPr>
                <w:sz w:val="20"/>
              </w:rPr>
              <w:t xml:space="preserve">ni ne </w:t>
            </w:r>
            <w:r w:rsidRPr="002D66DE">
              <w:rPr>
                <w:sz w:val="20"/>
                <w:szCs w:val="20"/>
              </w:rPr>
              <w:t>facilite, ni n'entrave la fourniture et le développement des réseaux et des services.</w:t>
            </w:r>
          </w:p>
        </w:tc>
        <w:tc>
          <w:tcPr>
            <w:tcW w:w="2595" w:type="dxa"/>
          </w:tcPr>
          <w:p w14:paraId="3CD9C640" w14:textId="3B2DCD0E" w:rsidR="00F476A1" w:rsidRPr="002D66DE" w:rsidRDefault="005569AE" w:rsidP="00C55BDB">
            <w:pPr>
              <w:pStyle w:val="Tabletext"/>
              <w:rPr>
                <w:sz w:val="20"/>
              </w:rPr>
            </w:pPr>
            <w:r w:rsidRPr="002D66DE">
              <w:rPr>
                <w:sz w:val="20"/>
              </w:rPr>
              <w:t xml:space="preserve">Certains membres ont estimé que cette disposition est suffisamment souple pour </w:t>
            </w:r>
            <w:r w:rsidR="005C0BBD" w:rsidRPr="002D66DE">
              <w:rPr>
                <w:sz w:val="20"/>
              </w:rPr>
              <w:t>tenir</w:t>
            </w:r>
            <w:r w:rsidRPr="002D66DE">
              <w:rPr>
                <w:sz w:val="20"/>
              </w:rPr>
              <w:t xml:space="preserve"> compte des nouvelles tendances et des</w:t>
            </w:r>
            <w:r w:rsidR="00B659B5" w:rsidRPr="002D66DE">
              <w:rPr>
                <w:sz w:val="20"/>
              </w:rPr>
              <w:t xml:space="preserve"> nouveaux</w:t>
            </w:r>
            <w:r w:rsidRPr="002D66DE">
              <w:rPr>
                <w:sz w:val="20"/>
              </w:rPr>
              <w:t xml:space="preserve"> </w:t>
            </w:r>
            <w:r w:rsidR="00B659B5" w:rsidRPr="002D66DE">
              <w:rPr>
                <w:sz w:val="20"/>
              </w:rPr>
              <w:t>problèmes</w:t>
            </w:r>
            <w:r w:rsidRPr="002D66DE">
              <w:rPr>
                <w:sz w:val="20"/>
              </w:rPr>
              <w:t xml:space="preserve"> qui se font jour.</w:t>
            </w:r>
          </w:p>
          <w:p w14:paraId="7AA4F40F" w14:textId="6DD5CDB0" w:rsidR="00F476A1" w:rsidRPr="002D66DE" w:rsidRDefault="005569AE" w:rsidP="00C55BDB">
            <w:pPr>
              <w:pStyle w:val="Tabletext"/>
              <w:rPr>
                <w:sz w:val="20"/>
                <w:szCs w:val="20"/>
              </w:rPr>
            </w:pPr>
            <w:r w:rsidRPr="002D66DE">
              <w:rPr>
                <w:sz w:val="20"/>
              </w:rPr>
              <w:t>Certains membres ont estimé que cette</w:t>
            </w:r>
            <w:r w:rsidR="004C7683" w:rsidRPr="002D66DE">
              <w:rPr>
                <w:sz w:val="20"/>
              </w:rPr>
              <w:t xml:space="preserve"> </w:t>
            </w:r>
            <w:r w:rsidR="005C0BBD" w:rsidRPr="002D66DE">
              <w:rPr>
                <w:sz w:val="20"/>
              </w:rPr>
              <w:t>définition/</w:t>
            </w:r>
            <w:r w:rsidRPr="002D66DE">
              <w:rPr>
                <w:sz w:val="20"/>
              </w:rPr>
              <w:t>disposition n</w:t>
            </w:r>
            <w:r w:rsidR="009F4D21" w:rsidRPr="002D66DE">
              <w:rPr>
                <w:sz w:val="20"/>
              </w:rPr>
              <w:t>'</w:t>
            </w:r>
            <w:r w:rsidRPr="002D66DE">
              <w:rPr>
                <w:sz w:val="20"/>
              </w:rPr>
              <w:t>est ni souple, ni rigide pour ce qui est de tenir compte des nouvelles tendances et des</w:t>
            </w:r>
            <w:r w:rsidR="00B659B5" w:rsidRPr="002D66DE">
              <w:rPr>
                <w:sz w:val="20"/>
              </w:rPr>
              <w:t xml:space="preserve"> nouveaux problèmes </w:t>
            </w:r>
            <w:r w:rsidRPr="002D66DE">
              <w:rPr>
                <w:sz w:val="20"/>
              </w:rPr>
              <w:t>qui se font jour.</w:t>
            </w:r>
          </w:p>
        </w:tc>
        <w:tc>
          <w:tcPr>
            <w:tcW w:w="2406" w:type="dxa"/>
          </w:tcPr>
          <w:p w14:paraId="278EE9F6" w14:textId="6720779D"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41693E63" w14:textId="17B2C9E7"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2533CEF9" w14:textId="2F69DD5D" w:rsidR="00F476A1" w:rsidRPr="002D66DE" w:rsidRDefault="00D31A27" w:rsidP="00C55BDB">
            <w:pPr>
              <w:pStyle w:val="Tabletext"/>
              <w:rPr>
                <w:sz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B648BA" w:rsidRPr="002D66DE">
              <w:rPr>
                <w:sz w:val="20"/>
                <w:szCs w:val="20"/>
              </w:rPr>
              <w:t>.</w:t>
            </w:r>
          </w:p>
        </w:tc>
      </w:tr>
    </w:tbl>
    <w:p w14:paraId="4C08B0D2" w14:textId="7CE759A2" w:rsidR="00AC7710" w:rsidRPr="002D66DE" w:rsidRDefault="00AC7710">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27"/>
        <w:gridCol w:w="32"/>
        <w:gridCol w:w="3305"/>
        <w:gridCol w:w="72"/>
        <w:gridCol w:w="2846"/>
        <w:gridCol w:w="104"/>
        <w:gridCol w:w="2576"/>
        <w:gridCol w:w="298"/>
        <w:gridCol w:w="2130"/>
      </w:tblGrid>
      <w:tr w:rsidR="00AC7710" w:rsidRPr="002D66DE" w14:paraId="303F44DE" w14:textId="77777777" w:rsidTr="004C7683">
        <w:tc>
          <w:tcPr>
            <w:tcW w:w="983" w:type="dxa"/>
          </w:tcPr>
          <w:p w14:paraId="46832B24"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28" w:type="dxa"/>
          </w:tcPr>
          <w:p w14:paraId="311ACDA9"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w:t>
            </w:r>
          </w:p>
        </w:tc>
        <w:tc>
          <w:tcPr>
            <w:tcW w:w="3338" w:type="dxa"/>
            <w:gridSpan w:val="2"/>
          </w:tcPr>
          <w:p w14:paraId="6C508E1B"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19" w:type="dxa"/>
            <w:gridSpan w:val="2"/>
          </w:tcPr>
          <w:p w14:paraId="6968871C"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979" w:type="dxa"/>
            <w:gridSpan w:val="3"/>
          </w:tcPr>
          <w:p w14:paraId="6A142D30"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130" w:type="dxa"/>
          </w:tcPr>
          <w:p w14:paraId="2316797C"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7CD7A4DE" w14:textId="77777777" w:rsidTr="004C7683">
        <w:tc>
          <w:tcPr>
            <w:tcW w:w="983" w:type="dxa"/>
          </w:tcPr>
          <w:p w14:paraId="13564C0C" w14:textId="5A124399" w:rsidR="00F476A1" w:rsidRPr="002D66DE" w:rsidRDefault="00F476A1" w:rsidP="00C55BDB">
            <w:pPr>
              <w:pStyle w:val="Tablehead"/>
              <w:rPr>
                <w:sz w:val="20"/>
                <w:szCs w:val="20"/>
              </w:rPr>
            </w:pPr>
            <w:r w:rsidRPr="002D66DE">
              <w:rPr>
                <w:sz w:val="20"/>
                <w:szCs w:val="20"/>
              </w:rPr>
              <w:t>22</w:t>
            </w:r>
          </w:p>
        </w:tc>
        <w:tc>
          <w:tcPr>
            <w:tcW w:w="2828" w:type="dxa"/>
          </w:tcPr>
          <w:p w14:paraId="0B20B47D" w14:textId="00228356" w:rsidR="00F476A1" w:rsidRPr="002D66DE" w:rsidRDefault="00F476A1" w:rsidP="00C55BDB">
            <w:pPr>
              <w:pStyle w:val="Tabletext"/>
              <w:rPr>
                <w:b/>
                <w:bCs/>
                <w:sz w:val="20"/>
                <w:szCs w:val="20"/>
              </w:rPr>
            </w:pPr>
            <w:r w:rsidRPr="002D66DE">
              <w:rPr>
                <w:b/>
                <w:bCs/>
                <w:sz w:val="20"/>
                <w:szCs w:val="20"/>
              </w:rPr>
              <w:t>2.7</w:t>
            </w:r>
            <w:r w:rsidRPr="002D66DE">
              <w:rPr>
                <w:b/>
                <w:bCs/>
                <w:i/>
                <w:sz w:val="20"/>
                <w:szCs w:val="20"/>
              </w:rPr>
              <w:tab/>
              <w:t xml:space="preserve">Relation: </w:t>
            </w:r>
            <w:r w:rsidR="004C7683" w:rsidRPr="002D66DE">
              <w:rPr>
                <w:b/>
                <w:bCs/>
                <w:sz w:val="20"/>
                <w:szCs w:val="20"/>
              </w:rPr>
              <w:t>Échange</w:t>
            </w:r>
            <w:r w:rsidRPr="002D66DE">
              <w:rPr>
                <w:b/>
                <w:bCs/>
                <w:sz w:val="20"/>
                <w:szCs w:val="20"/>
              </w:rPr>
              <w:t xml:space="preserve"> de trafic entre deux pays terminaux se rapportant toujours à un service spécifique, lorsqu'il y a entre leurs exploitations autorisées:</w:t>
            </w:r>
          </w:p>
        </w:tc>
        <w:tc>
          <w:tcPr>
            <w:tcW w:w="3338" w:type="dxa"/>
            <w:gridSpan w:val="2"/>
          </w:tcPr>
          <w:p w14:paraId="6EAFA6B5" w14:textId="574376F5" w:rsidR="00F476A1" w:rsidRPr="002D66DE" w:rsidRDefault="00F476A1" w:rsidP="00C55BDB">
            <w:pPr>
              <w:pStyle w:val="Tabletext"/>
              <w:rPr>
                <w:sz w:val="20"/>
                <w:szCs w:val="20"/>
              </w:rPr>
            </w:pPr>
            <w:r w:rsidRPr="002D66DE">
              <w:rPr>
                <w:i/>
                <w:iCs/>
                <w:sz w:val="20"/>
                <w:szCs w:val="20"/>
              </w:rPr>
              <w:t>2.7</w:t>
            </w:r>
            <w:r w:rsidRPr="002D66DE">
              <w:rPr>
                <w:i/>
                <w:iCs/>
                <w:sz w:val="20"/>
                <w:szCs w:val="20"/>
              </w:rPr>
              <w:tab/>
              <w:t xml:space="preserve">Relation: </w:t>
            </w:r>
            <w:r w:rsidR="004C7683" w:rsidRPr="002D66DE">
              <w:rPr>
                <w:sz w:val="20"/>
                <w:szCs w:val="20"/>
              </w:rPr>
              <w:t>Échange</w:t>
            </w:r>
            <w:r w:rsidRPr="002D66DE">
              <w:rPr>
                <w:sz w:val="20"/>
                <w:szCs w:val="20"/>
              </w:rPr>
              <w:t xml:space="preserve"> de trafic entre deux pays terminaux se rapportant toujours à un service spécifique, lorsqu'il y a entre leurs administrations</w:t>
            </w:r>
            <w:r w:rsidR="004C7683" w:rsidRPr="002D66DE">
              <w:rPr>
                <w:rStyle w:val="FootnoteReference"/>
                <w:szCs w:val="20"/>
              </w:rPr>
              <w:footnoteReference w:customMarkFollows="1" w:id="4"/>
              <w:t>*</w:t>
            </w:r>
            <w:r w:rsidRPr="002D66DE">
              <w:rPr>
                <w:sz w:val="20"/>
                <w:szCs w:val="20"/>
              </w:rPr>
              <w:t>:</w:t>
            </w:r>
          </w:p>
        </w:tc>
        <w:tc>
          <w:tcPr>
            <w:tcW w:w="2919" w:type="dxa"/>
            <w:gridSpan w:val="2"/>
          </w:tcPr>
          <w:p w14:paraId="63BDCE19" w14:textId="366346BF" w:rsidR="00F476A1" w:rsidRPr="002D66DE" w:rsidRDefault="005569AE" w:rsidP="00C55BDB">
            <w:pPr>
              <w:pStyle w:val="Tabletext"/>
              <w:rPr>
                <w:sz w:val="20"/>
                <w:highlight w:val="lightGray"/>
              </w:rPr>
            </w:pPr>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 xml:space="preserve">avis de certains membres, cette disposition est applicable et permet le développement des réseaux et </w:t>
            </w:r>
            <w:r w:rsidR="005C0BBD" w:rsidRPr="002D66DE">
              <w:rPr>
                <w:rFonts w:cstheme="minorHAnsi"/>
                <w:sz w:val="20"/>
                <w:szCs w:val="20"/>
              </w:rPr>
              <w:t xml:space="preserve">des </w:t>
            </w:r>
            <w:r w:rsidRPr="002D66DE">
              <w:rPr>
                <w:rFonts w:cstheme="minorHAnsi"/>
                <w:sz w:val="20"/>
                <w:szCs w:val="20"/>
              </w:rPr>
              <w:t>services.</w:t>
            </w:r>
          </w:p>
          <w:p w14:paraId="4D3E405E" w14:textId="208F5958" w:rsidR="005569AE" w:rsidRPr="002D66DE" w:rsidRDefault="005569AE" w:rsidP="00C55BDB">
            <w:pPr>
              <w:pStyle w:val="Tabletext"/>
              <w:rPr>
                <w:sz w:val="20"/>
              </w:rPr>
            </w:pPr>
            <w:bookmarkStart w:id="110" w:name="lt_pId402"/>
            <w:r w:rsidRPr="002D66DE">
              <w:rPr>
                <w:sz w:val="20"/>
              </w:rPr>
              <w:t>Certains membres ont relevé que cette disposition d</w:t>
            </w:r>
            <w:r w:rsidR="005C0BBD" w:rsidRPr="002D66DE">
              <w:rPr>
                <w:sz w:val="20"/>
              </w:rPr>
              <w:t>o</w:t>
            </w:r>
            <w:r w:rsidRPr="002D66DE">
              <w:rPr>
                <w:sz w:val="20"/>
              </w:rPr>
              <w:t>it être mise à jour compte tenu du fait qu</w:t>
            </w:r>
            <w:r w:rsidR="009F4D21" w:rsidRPr="002D66DE">
              <w:rPr>
                <w:sz w:val="20"/>
              </w:rPr>
              <w:t>'</w:t>
            </w:r>
            <w:r w:rsidRPr="002D66DE">
              <w:rPr>
                <w:sz w:val="20"/>
              </w:rPr>
              <w:t>il peut exister</w:t>
            </w:r>
            <w:r w:rsidR="00F476A1" w:rsidRPr="002D66DE">
              <w:rPr>
                <w:sz w:val="20"/>
              </w:rPr>
              <w:t xml:space="preserve"> </w:t>
            </w:r>
            <w:r w:rsidRPr="002D66DE">
              <w:rPr>
                <w:sz w:val="20"/>
              </w:rPr>
              <w:t xml:space="preserve">une </w:t>
            </w:r>
            <w:r w:rsidR="00C55BDB" w:rsidRPr="002D66DE">
              <w:rPr>
                <w:sz w:val="20"/>
              </w:rPr>
              <w:t>"</w:t>
            </w:r>
            <w:r w:rsidRPr="002D66DE">
              <w:rPr>
                <w:sz w:val="20"/>
              </w:rPr>
              <w:t>relation</w:t>
            </w:r>
            <w:r w:rsidR="00C55BDB" w:rsidRPr="002D66DE">
              <w:rPr>
                <w:sz w:val="20"/>
              </w:rPr>
              <w:t>"</w:t>
            </w:r>
            <w:r w:rsidRPr="002D66DE">
              <w:rPr>
                <w:sz w:val="20"/>
              </w:rPr>
              <w:t xml:space="preserve"> entre pays terminaux sans forcément qu</w:t>
            </w:r>
            <w:r w:rsidR="009F4D21" w:rsidRPr="002D66DE">
              <w:rPr>
                <w:sz w:val="20"/>
              </w:rPr>
              <w:t>'</w:t>
            </w:r>
            <w:r w:rsidRPr="002D66DE">
              <w:rPr>
                <w:sz w:val="20"/>
              </w:rPr>
              <w:t>il y ait un accord entre exploitations autorisées de ces pays.</w:t>
            </w:r>
            <w:bookmarkEnd w:id="110"/>
          </w:p>
          <w:p w14:paraId="639B5A8C" w14:textId="4AA2AE86" w:rsidR="00F476A1" w:rsidRPr="002D66DE" w:rsidRDefault="00D7695F" w:rsidP="00C55BDB">
            <w:pPr>
              <w:pStyle w:val="Tabletext"/>
              <w:rPr>
                <w:sz w:val="20"/>
                <w:szCs w:val="20"/>
              </w:rPr>
            </w:pPr>
            <w:r w:rsidRPr="002D66DE">
              <w:rPr>
                <w:sz w:val="20"/>
              </w:rPr>
              <w:t xml:space="preserve">Certains membres ont estimé que cette </w:t>
            </w:r>
            <w:r w:rsidR="00F476A1" w:rsidRPr="002D66DE">
              <w:rPr>
                <w:sz w:val="20"/>
                <w:szCs w:val="20"/>
              </w:rPr>
              <w:t>disposition ni ne facilite, ni n'entrave la fourniture et le développement des réseaux et des services.</w:t>
            </w:r>
          </w:p>
        </w:tc>
        <w:tc>
          <w:tcPr>
            <w:tcW w:w="2979" w:type="dxa"/>
            <w:gridSpan w:val="3"/>
          </w:tcPr>
          <w:p w14:paraId="73AD8516" w14:textId="0641C2AE" w:rsidR="00F476A1" w:rsidRPr="002D66DE" w:rsidRDefault="005569AE" w:rsidP="00C55BDB">
            <w:pPr>
              <w:pStyle w:val="Tabletext"/>
              <w:rPr>
                <w:sz w:val="20"/>
                <w:highlight w:val="lightGray"/>
              </w:rPr>
            </w:pPr>
            <w:r w:rsidRPr="002D66DE">
              <w:rPr>
                <w:sz w:val="20"/>
              </w:rPr>
              <w:t>Certains membres ont estimé que cette disposition est suffisamment souple pour</w:t>
            </w:r>
            <w:r w:rsidR="005C0BBD" w:rsidRPr="002D66DE">
              <w:rPr>
                <w:sz w:val="20"/>
              </w:rPr>
              <w:t xml:space="preserve"> tenir</w:t>
            </w:r>
            <w:r w:rsidRPr="002D66DE">
              <w:rPr>
                <w:sz w:val="20"/>
              </w:rPr>
              <w:t xml:space="preserve"> compte des nouvelles tendances et des </w:t>
            </w:r>
            <w:r w:rsidR="00B659B5" w:rsidRPr="002D66DE">
              <w:rPr>
                <w:sz w:val="20"/>
              </w:rPr>
              <w:t xml:space="preserve">nouveaux problèmes </w:t>
            </w:r>
            <w:r w:rsidRPr="002D66DE">
              <w:rPr>
                <w:sz w:val="20"/>
              </w:rPr>
              <w:t>qui se font jour.</w:t>
            </w:r>
          </w:p>
          <w:p w14:paraId="04CA7816" w14:textId="57E596B0" w:rsidR="00F476A1" w:rsidRPr="002D66DE" w:rsidRDefault="005569AE" w:rsidP="00C55BDB">
            <w:pPr>
              <w:pStyle w:val="Tabletext"/>
              <w:rPr>
                <w:sz w:val="20"/>
              </w:rPr>
            </w:pPr>
            <w:bookmarkStart w:id="111" w:name="lt_pId405"/>
            <w:r w:rsidRPr="002D66DE">
              <w:rPr>
                <w:sz w:val="20"/>
              </w:rPr>
              <w:t>Certains membres ont</w:t>
            </w:r>
            <w:r w:rsidR="004C7683" w:rsidRPr="002D66DE">
              <w:rPr>
                <w:sz w:val="20"/>
              </w:rPr>
              <w:t xml:space="preserve"> </w:t>
            </w:r>
            <w:r w:rsidR="002E2E6F" w:rsidRPr="002D66DE">
              <w:rPr>
                <w:sz w:val="20"/>
                <w:szCs w:val="20"/>
              </w:rPr>
              <w:t xml:space="preserve">fait valoir </w:t>
            </w:r>
            <w:r w:rsidRPr="002D66DE">
              <w:rPr>
                <w:sz w:val="20"/>
              </w:rPr>
              <w:t>que cette disposition ne tient pas pleinement compte des évolutions</w:t>
            </w:r>
            <w:r w:rsidR="002E2E6F" w:rsidRPr="002D66DE">
              <w:rPr>
                <w:sz w:val="20"/>
              </w:rPr>
              <w:t>,</w:t>
            </w:r>
            <w:r w:rsidRPr="002D66DE">
              <w:rPr>
                <w:sz w:val="20"/>
              </w:rPr>
              <w:t xml:space="preserve"> telles que les services de communication sur Internet</w:t>
            </w:r>
            <w:r w:rsidR="00D7695F" w:rsidRPr="002D66DE">
              <w:rPr>
                <w:sz w:val="20"/>
              </w:rPr>
              <w:t xml:space="preserve"> ou le</w:t>
            </w:r>
            <w:r w:rsidRPr="002D66DE">
              <w:rPr>
                <w:sz w:val="20"/>
              </w:rPr>
              <w:t>s nouveaux acteurs</w:t>
            </w:r>
            <w:r w:rsidR="00F476A1" w:rsidRPr="002D66DE">
              <w:rPr>
                <w:sz w:val="20"/>
              </w:rPr>
              <w:t>.</w:t>
            </w:r>
            <w:bookmarkEnd w:id="111"/>
          </w:p>
          <w:p w14:paraId="01B56419" w14:textId="199DEA6A" w:rsidR="00D7695F" w:rsidRPr="002D66DE" w:rsidRDefault="00D7695F" w:rsidP="00C55BDB">
            <w:pPr>
              <w:pStyle w:val="Tabletext"/>
              <w:rPr>
                <w:sz w:val="20"/>
              </w:rPr>
            </w:pPr>
            <w:bookmarkStart w:id="112" w:name="lt_pId406"/>
            <w:r w:rsidRPr="002D66DE">
              <w:rPr>
                <w:sz w:val="20"/>
              </w:rPr>
              <w:t>Certains autres membres ont estimé que cette disposition n</w:t>
            </w:r>
            <w:r w:rsidR="009F4D21" w:rsidRPr="002D66DE">
              <w:rPr>
                <w:sz w:val="20"/>
              </w:rPr>
              <w:t>'</w:t>
            </w:r>
            <w:r w:rsidRPr="002D66DE">
              <w:rPr>
                <w:sz w:val="20"/>
              </w:rPr>
              <w:t>offre plus de souplesse pour ce qui est de tenir compte des nouvelles tendances et des</w:t>
            </w:r>
            <w:r w:rsidR="00B659B5" w:rsidRPr="002D66DE">
              <w:rPr>
                <w:sz w:val="20"/>
              </w:rPr>
              <w:t xml:space="preserve"> nouveaux problèmes </w:t>
            </w:r>
            <w:r w:rsidRPr="002D66DE">
              <w:rPr>
                <w:sz w:val="20"/>
              </w:rPr>
              <w:t>qui se font jour</w:t>
            </w:r>
            <w:r w:rsidR="007E2FFC" w:rsidRPr="002D66DE">
              <w:rPr>
                <w:sz w:val="20"/>
              </w:rPr>
              <w:t>,</w:t>
            </w:r>
            <w:r w:rsidRPr="002D66DE">
              <w:rPr>
                <w:sz w:val="20"/>
              </w:rPr>
              <w:t xml:space="preserve"> étant donné qu</w:t>
            </w:r>
            <w:r w:rsidR="009F4D21" w:rsidRPr="002D66DE">
              <w:rPr>
                <w:sz w:val="20"/>
              </w:rPr>
              <w:t>'</w:t>
            </w:r>
            <w:r w:rsidRPr="002D66DE">
              <w:rPr>
                <w:sz w:val="20"/>
              </w:rPr>
              <w:t>il n'est pas certain qu'il soit pertinent d</w:t>
            </w:r>
            <w:r w:rsidR="009F4D21" w:rsidRPr="002D66DE">
              <w:rPr>
                <w:sz w:val="20"/>
              </w:rPr>
              <w:t>'</w:t>
            </w:r>
            <w:r w:rsidRPr="002D66DE">
              <w:rPr>
                <w:sz w:val="20"/>
              </w:rPr>
              <w:t xml:space="preserve">inclure ce terme et que la tentative faite de définir ce dernier enlève toute souplesse. </w:t>
            </w:r>
            <w:bookmarkEnd w:id="112"/>
          </w:p>
          <w:p w14:paraId="59EDA32B" w14:textId="56D68712" w:rsidR="00F476A1" w:rsidRPr="002D66DE" w:rsidRDefault="00D7695F" w:rsidP="00C55BDB">
            <w:pPr>
              <w:pStyle w:val="Tabletext"/>
              <w:rPr>
                <w:sz w:val="20"/>
                <w:szCs w:val="20"/>
              </w:rPr>
            </w:pPr>
            <w:r w:rsidRPr="002D66DE">
              <w:rPr>
                <w:sz w:val="20"/>
              </w:rPr>
              <w:t xml:space="preserve">Certains membres ont estimé que cette </w:t>
            </w:r>
            <w:r w:rsidR="002E2E6F" w:rsidRPr="002D66DE">
              <w:rPr>
                <w:sz w:val="20"/>
              </w:rPr>
              <w:t>définition/</w:t>
            </w:r>
            <w:r w:rsidRPr="002D66DE">
              <w:rPr>
                <w:sz w:val="20"/>
              </w:rPr>
              <w:t>disposition n</w:t>
            </w:r>
            <w:r w:rsidR="009F4D21" w:rsidRPr="002D66DE">
              <w:rPr>
                <w:sz w:val="20"/>
              </w:rPr>
              <w:t>'</w:t>
            </w:r>
            <w:r w:rsidRPr="002D66DE">
              <w:rPr>
                <w:sz w:val="20"/>
              </w:rPr>
              <w:t xml:space="preserve">est ni souple, ni rigide pour ce qui est de tenir compte des nouvelles tendances et des </w:t>
            </w:r>
            <w:r w:rsidR="00B659B5" w:rsidRPr="002D66DE">
              <w:rPr>
                <w:sz w:val="20"/>
              </w:rPr>
              <w:t xml:space="preserve">nouveaux problèmes </w:t>
            </w:r>
            <w:r w:rsidRPr="002D66DE">
              <w:rPr>
                <w:sz w:val="20"/>
              </w:rPr>
              <w:t>qui se font jour.</w:t>
            </w:r>
          </w:p>
        </w:tc>
        <w:tc>
          <w:tcPr>
            <w:tcW w:w="2130" w:type="dxa"/>
          </w:tcPr>
          <w:p w14:paraId="6AE11295" w14:textId="23D6525F" w:rsidR="000075F2" w:rsidRPr="002D66DE" w:rsidRDefault="000075F2"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 xml:space="preserve">elle </w:t>
            </w:r>
            <w:r w:rsidR="00FC765C" w:rsidRPr="002D66DE">
              <w:rPr>
                <w:sz w:val="20"/>
                <w:szCs w:val="20"/>
              </w:rPr>
              <w:t>est</w:t>
            </w:r>
            <w:r w:rsidRPr="002D66DE">
              <w:rPr>
                <w:sz w:val="20"/>
                <w:szCs w:val="20"/>
              </w:rPr>
              <w:t xml:space="preserve"> applicable et souple.</w:t>
            </w:r>
          </w:p>
          <w:p w14:paraId="5C64C7E7" w14:textId="38FDB22A" w:rsidR="000075F2" w:rsidRPr="002D66DE" w:rsidRDefault="000075F2"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00FC765C" w:rsidRPr="002D66DE">
              <w:rPr>
                <w:sz w:val="20"/>
                <w:szCs w:val="20"/>
              </w:rPr>
              <w:t>est</w:t>
            </w:r>
            <w:r w:rsidRPr="002D66DE">
              <w:rPr>
                <w:sz w:val="20"/>
                <w:szCs w:val="20"/>
              </w:rPr>
              <w:t xml:space="preserve"> pas nécessaire, puisqu</w:t>
            </w:r>
            <w:r w:rsidR="009F4D21" w:rsidRPr="002D66DE">
              <w:rPr>
                <w:sz w:val="20"/>
                <w:szCs w:val="20"/>
              </w:rPr>
              <w:t>'</w:t>
            </w:r>
            <w:r w:rsidRPr="002D66DE">
              <w:rPr>
                <w:sz w:val="20"/>
                <w:szCs w:val="20"/>
              </w:rPr>
              <w:t>elle n</w:t>
            </w:r>
            <w:r w:rsidR="009F4D21" w:rsidRPr="002D66DE">
              <w:rPr>
                <w:sz w:val="20"/>
                <w:szCs w:val="20"/>
              </w:rPr>
              <w:t>'</w:t>
            </w:r>
            <w:r w:rsidR="00FC765C" w:rsidRPr="002D66DE">
              <w:rPr>
                <w:sz w:val="20"/>
                <w:szCs w:val="20"/>
              </w:rPr>
              <w:t>est</w:t>
            </w:r>
            <w:r w:rsidRPr="002D66DE">
              <w:rPr>
                <w:sz w:val="20"/>
                <w:szCs w:val="20"/>
              </w:rPr>
              <w:t xml:space="preserve"> plus applicable ni souple.</w:t>
            </w:r>
          </w:p>
          <w:p w14:paraId="0C99A18F" w14:textId="74C11F02" w:rsidR="00F476A1" w:rsidRPr="002D66DE" w:rsidRDefault="000075F2" w:rsidP="00C55BDB">
            <w:pPr>
              <w:pStyle w:val="Tabletext"/>
            </w:pPr>
            <w:r w:rsidRPr="002D66DE">
              <w:rPr>
                <w:sz w:val="20"/>
                <w:szCs w:val="20"/>
              </w:rPr>
              <w:t>Certains autres membres ont fait valoir que cette disposition d</w:t>
            </w:r>
            <w:r w:rsidR="00FC765C" w:rsidRPr="002D66DE">
              <w:rPr>
                <w:sz w:val="20"/>
                <w:szCs w:val="20"/>
              </w:rPr>
              <w:t>oit</w:t>
            </w:r>
            <w:r w:rsidRPr="002D66DE">
              <w:rPr>
                <w:sz w:val="20"/>
                <w:szCs w:val="20"/>
              </w:rPr>
              <w:t xml:space="preserve">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p>
        </w:tc>
      </w:tr>
      <w:tr w:rsidR="00AC7710" w:rsidRPr="002D66DE" w14:paraId="0CEC587E" w14:textId="77777777" w:rsidTr="00AC7710">
        <w:tc>
          <w:tcPr>
            <w:tcW w:w="987" w:type="dxa"/>
          </w:tcPr>
          <w:p w14:paraId="24FC9E03"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gridSpan w:val="2"/>
          </w:tcPr>
          <w:p w14:paraId="0A469EDA"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w:t>
            </w:r>
          </w:p>
        </w:tc>
        <w:tc>
          <w:tcPr>
            <w:tcW w:w="3378" w:type="dxa"/>
            <w:gridSpan w:val="2"/>
          </w:tcPr>
          <w:p w14:paraId="5248C8CB"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gridSpan w:val="2"/>
          </w:tcPr>
          <w:p w14:paraId="4D4BE50B"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739EB3E8"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gridSpan w:val="2"/>
          </w:tcPr>
          <w:p w14:paraId="2A68AE1D"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5F80E511" w14:textId="77777777" w:rsidTr="00AC7710">
        <w:tc>
          <w:tcPr>
            <w:tcW w:w="987" w:type="dxa"/>
          </w:tcPr>
          <w:p w14:paraId="74B43A18" w14:textId="2FCAE848" w:rsidR="00F476A1" w:rsidRPr="002D66DE" w:rsidRDefault="00F476A1" w:rsidP="00C55BDB">
            <w:pPr>
              <w:pStyle w:val="Tablehead"/>
              <w:rPr>
                <w:sz w:val="20"/>
                <w:szCs w:val="20"/>
              </w:rPr>
            </w:pPr>
            <w:r w:rsidRPr="002D66DE">
              <w:rPr>
                <w:sz w:val="20"/>
                <w:szCs w:val="20"/>
              </w:rPr>
              <w:t>23</w:t>
            </w:r>
          </w:p>
        </w:tc>
        <w:tc>
          <w:tcPr>
            <w:tcW w:w="2860" w:type="dxa"/>
            <w:gridSpan w:val="2"/>
          </w:tcPr>
          <w:p w14:paraId="0A925825" w14:textId="77777777" w:rsidR="00F476A1" w:rsidRPr="002D66DE" w:rsidRDefault="00F476A1" w:rsidP="00C55BDB">
            <w:pPr>
              <w:pStyle w:val="Tabletext"/>
              <w:tabs>
                <w:tab w:val="left" w:pos="380"/>
              </w:tabs>
              <w:ind w:left="380" w:hanging="380"/>
              <w:rPr>
                <w:b/>
                <w:bCs/>
                <w:sz w:val="20"/>
              </w:rPr>
            </w:pPr>
            <w:r w:rsidRPr="002D66DE">
              <w:rPr>
                <w:b/>
                <w:bCs/>
                <w:sz w:val="20"/>
              </w:rPr>
              <w:t>a)</w:t>
            </w:r>
            <w:r w:rsidRPr="002D66DE">
              <w:rPr>
                <w:b/>
                <w:bCs/>
                <w:sz w:val="20"/>
              </w:rPr>
              <w:tab/>
              <w:t>un moyen d'échanger le trafic de ce service spécifique:</w:t>
            </w:r>
          </w:p>
          <w:p w14:paraId="2B4C26E2" w14:textId="77777777" w:rsidR="00F476A1" w:rsidRPr="002D66DE" w:rsidRDefault="00F476A1" w:rsidP="00C55BDB">
            <w:pPr>
              <w:pStyle w:val="Tabletext"/>
              <w:tabs>
                <w:tab w:val="left" w:pos="431"/>
              </w:tabs>
              <w:ind w:left="720" w:hanging="323"/>
              <w:rPr>
                <w:b/>
                <w:bCs/>
                <w:sz w:val="20"/>
              </w:rPr>
            </w:pPr>
            <w:r w:rsidRPr="002D66DE">
              <w:rPr>
                <w:b/>
                <w:bCs/>
                <w:sz w:val="20"/>
              </w:rPr>
              <w:t>–</w:t>
            </w:r>
            <w:r w:rsidRPr="002D66DE">
              <w:rPr>
                <w:b/>
                <w:bCs/>
                <w:sz w:val="20"/>
              </w:rPr>
              <w:tab/>
              <w:t>par des circuits directs (relation directe); ou</w:t>
            </w:r>
          </w:p>
          <w:p w14:paraId="41259ABD" w14:textId="7DEA1FAC" w:rsidR="00F476A1" w:rsidRPr="002D66DE" w:rsidRDefault="00F476A1" w:rsidP="00C55BDB">
            <w:pPr>
              <w:pStyle w:val="Tabletext"/>
              <w:tabs>
                <w:tab w:val="left" w:pos="431"/>
              </w:tabs>
              <w:ind w:left="720" w:hanging="337"/>
              <w:rPr>
                <w:b/>
                <w:bCs/>
                <w:sz w:val="20"/>
                <w:szCs w:val="20"/>
              </w:rPr>
            </w:pPr>
            <w:r w:rsidRPr="002D66DE">
              <w:rPr>
                <w:b/>
                <w:bCs/>
                <w:sz w:val="20"/>
                <w:szCs w:val="20"/>
              </w:rPr>
              <w:t>–</w:t>
            </w:r>
            <w:r w:rsidRPr="002D66DE">
              <w:rPr>
                <w:b/>
                <w:bCs/>
                <w:sz w:val="20"/>
                <w:szCs w:val="20"/>
              </w:rPr>
              <w:tab/>
              <w:t>par l'intermédiaire d'un point de transit dans un pays tiers (relation indirecte); et</w:t>
            </w:r>
          </w:p>
        </w:tc>
        <w:tc>
          <w:tcPr>
            <w:tcW w:w="3378" w:type="dxa"/>
            <w:gridSpan w:val="2"/>
          </w:tcPr>
          <w:p w14:paraId="4E0DA9F5" w14:textId="77777777" w:rsidR="00F476A1" w:rsidRPr="002D66DE" w:rsidRDefault="00F476A1" w:rsidP="00C55BDB">
            <w:pPr>
              <w:pStyle w:val="Tabletext"/>
              <w:tabs>
                <w:tab w:val="left" w:pos="298"/>
              </w:tabs>
              <w:ind w:left="298" w:hanging="298"/>
              <w:rPr>
                <w:sz w:val="20"/>
              </w:rPr>
            </w:pPr>
            <w:r w:rsidRPr="002D66DE">
              <w:rPr>
                <w:sz w:val="20"/>
              </w:rPr>
              <w:t>a)</w:t>
            </w:r>
            <w:r w:rsidRPr="002D66DE">
              <w:rPr>
                <w:i/>
                <w:iCs/>
                <w:sz w:val="20"/>
              </w:rPr>
              <w:tab/>
            </w:r>
            <w:r w:rsidRPr="002D66DE">
              <w:rPr>
                <w:sz w:val="20"/>
              </w:rPr>
              <w:t>un moyen d'échanger le trafic de ce service spécifique</w:t>
            </w:r>
          </w:p>
          <w:p w14:paraId="7D3DEA13" w14:textId="77777777" w:rsidR="00F476A1" w:rsidRPr="002D66DE" w:rsidRDefault="00F476A1" w:rsidP="00C55BDB">
            <w:pPr>
              <w:pStyle w:val="Tabletext"/>
              <w:tabs>
                <w:tab w:val="left" w:pos="287"/>
              </w:tabs>
              <w:ind w:left="720" w:hanging="422"/>
              <w:rPr>
                <w:sz w:val="20"/>
              </w:rPr>
            </w:pPr>
            <w:r w:rsidRPr="002D66DE">
              <w:rPr>
                <w:i/>
                <w:iCs/>
                <w:sz w:val="20"/>
              </w:rPr>
              <w:t>–</w:t>
            </w:r>
            <w:r w:rsidRPr="002D66DE">
              <w:rPr>
                <w:i/>
                <w:iCs/>
                <w:sz w:val="20"/>
              </w:rPr>
              <w:tab/>
            </w:r>
            <w:r w:rsidRPr="002D66DE">
              <w:rPr>
                <w:sz w:val="20"/>
              </w:rPr>
              <w:t>par des circuits directs (relation directe); ou</w:t>
            </w:r>
          </w:p>
          <w:p w14:paraId="5AAE0D6A" w14:textId="7158FCE0" w:rsidR="00F476A1" w:rsidRPr="002D66DE" w:rsidRDefault="00F476A1" w:rsidP="00C55BDB">
            <w:pPr>
              <w:pStyle w:val="Tabletext"/>
              <w:tabs>
                <w:tab w:val="left" w:pos="287"/>
              </w:tabs>
              <w:ind w:left="720" w:hanging="422"/>
              <w:rPr>
                <w:sz w:val="20"/>
              </w:rPr>
            </w:pPr>
            <w:r w:rsidRPr="002D66DE">
              <w:rPr>
                <w:i/>
                <w:iCs/>
                <w:sz w:val="20"/>
              </w:rPr>
              <w:t>–</w:t>
            </w:r>
            <w:r w:rsidRPr="002D66DE">
              <w:rPr>
                <w:i/>
                <w:iCs/>
                <w:sz w:val="20"/>
              </w:rPr>
              <w:tab/>
            </w:r>
            <w:r w:rsidRPr="002D66DE">
              <w:rPr>
                <w:sz w:val="20"/>
              </w:rPr>
              <w:t>par l'intermédiaire d'un point de transit dans un pays tiers (relation indirecte); et</w:t>
            </w:r>
          </w:p>
        </w:tc>
        <w:tc>
          <w:tcPr>
            <w:tcW w:w="2951" w:type="dxa"/>
            <w:gridSpan w:val="2"/>
          </w:tcPr>
          <w:p w14:paraId="7576CCCD" w14:textId="4D6FADB7" w:rsidR="00F476A1" w:rsidRPr="002D66DE" w:rsidRDefault="00D7695F" w:rsidP="00C55BDB">
            <w:pPr>
              <w:pStyle w:val="Tabletext"/>
              <w:rPr>
                <w:sz w:val="20"/>
                <w:highlight w:val="lightGray"/>
              </w:rPr>
            </w:pPr>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 xml:space="preserve">avis de certains membres, cette disposition est applicable et permet le développement des réseaux et </w:t>
            </w:r>
            <w:r w:rsidR="00430A65" w:rsidRPr="002D66DE">
              <w:rPr>
                <w:rFonts w:cstheme="minorHAnsi"/>
                <w:sz w:val="20"/>
                <w:szCs w:val="20"/>
              </w:rPr>
              <w:t xml:space="preserve">des </w:t>
            </w:r>
            <w:r w:rsidRPr="002D66DE">
              <w:rPr>
                <w:rFonts w:cstheme="minorHAnsi"/>
                <w:sz w:val="20"/>
                <w:szCs w:val="20"/>
              </w:rPr>
              <w:t>services.</w:t>
            </w:r>
          </w:p>
          <w:p w14:paraId="18F5F149" w14:textId="0A21CAD9" w:rsidR="00F476A1" w:rsidRPr="002D66DE" w:rsidRDefault="00BD5352" w:rsidP="00C55BDB">
            <w:pPr>
              <w:pStyle w:val="Tabletext"/>
              <w:rPr>
                <w:sz w:val="20"/>
              </w:rPr>
            </w:pPr>
            <w:bookmarkStart w:id="113" w:name="lt_pId418"/>
            <w:r w:rsidRPr="002D66DE">
              <w:rPr>
                <w:sz w:val="20"/>
              </w:rPr>
              <w:t xml:space="preserve">Certains membres ont fait observer que cette disposition ne tient pas </w:t>
            </w:r>
            <w:r w:rsidR="002E2E6F" w:rsidRPr="002D66DE">
              <w:rPr>
                <w:sz w:val="20"/>
              </w:rPr>
              <w:t>pleinement</w:t>
            </w:r>
            <w:r w:rsidRPr="002D66DE">
              <w:rPr>
                <w:sz w:val="20"/>
              </w:rPr>
              <w:t xml:space="preserve"> compte des nouveaux acteurs</w:t>
            </w:r>
            <w:r w:rsidR="00F476A1" w:rsidRPr="002D66DE">
              <w:rPr>
                <w:sz w:val="20"/>
              </w:rPr>
              <w:t>.</w:t>
            </w:r>
            <w:bookmarkEnd w:id="113"/>
          </w:p>
          <w:p w14:paraId="36AE00B0" w14:textId="506818E0" w:rsidR="00CE06EB" w:rsidRPr="002D66DE" w:rsidRDefault="00CE06EB" w:rsidP="00C55BDB">
            <w:pPr>
              <w:pStyle w:val="Tabletext"/>
              <w:rPr>
                <w:sz w:val="20"/>
              </w:rPr>
            </w:pPr>
            <w:bookmarkStart w:id="114" w:name="lt_pId419"/>
            <w:r w:rsidRPr="002D66DE">
              <w:rPr>
                <w:sz w:val="20"/>
              </w:rPr>
              <w:t>Certains membres ont estimé que cette disposition n</w:t>
            </w:r>
            <w:r w:rsidR="009F4D21" w:rsidRPr="002D66DE">
              <w:rPr>
                <w:sz w:val="20"/>
              </w:rPr>
              <w:t>'</w:t>
            </w:r>
            <w:r w:rsidRPr="002D66DE">
              <w:rPr>
                <w:sz w:val="20"/>
              </w:rPr>
              <w:t>est plus applicable à la fourniture et au développement des réseaux et des services</w:t>
            </w:r>
            <w:r w:rsidR="00F476A1" w:rsidRPr="002D66DE">
              <w:rPr>
                <w:sz w:val="20"/>
              </w:rPr>
              <w:t>.</w:t>
            </w:r>
            <w:bookmarkEnd w:id="114"/>
          </w:p>
          <w:p w14:paraId="624583A8" w14:textId="2E6697E5" w:rsidR="00F476A1" w:rsidRPr="002D66DE" w:rsidRDefault="00CE06EB" w:rsidP="00995C64">
            <w:pPr>
              <w:pStyle w:val="Tabletext"/>
              <w:rPr>
                <w:sz w:val="20"/>
              </w:rPr>
            </w:pPr>
            <w:r w:rsidRPr="002D66DE">
              <w:rPr>
                <w:sz w:val="20"/>
              </w:rPr>
              <w:t xml:space="preserve">Certains membres ont estimé que cette disposition </w:t>
            </w:r>
            <w:r w:rsidRPr="002D66DE">
              <w:rPr>
                <w:sz w:val="20"/>
                <w:szCs w:val="20"/>
              </w:rPr>
              <w:t>ni</w:t>
            </w:r>
            <w:r w:rsidR="00F476A1" w:rsidRPr="002D66DE">
              <w:rPr>
                <w:sz w:val="20"/>
                <w:szCs w:val="20"/>
              </w:rPr>
              <w:t xml:space="preserve"> ne facilite, ni n'entrave la fourniture et le développement des réseaux et des services.</w:t>
            </w:r>
          </w:p>
        </w:tc>
        <w:tc>
          <w:tcPr>
            <w:tcW w:w="2577" w:type="dxa"/>
          </w:tcPr>
          <w:p w14:paraId="64DF6E4A" w14:textId="620B97F6" w:rsidR="00F476A1" w:rsidRPr="002D66DE" w:rsidRDefault="00D7695F" w:rsidP="00C55BDB">
            <w:pPr>
              <w:pStyle w:val="Tabletext"/>
              <w:rPr>
                <w:sz w:val="20"/>
                <w:highlight w:val="lightGray"/>
              </w:rPr>
            </w:pPr>
            <w:bookmarkStart w:id="115" w:name="lt_pId421"/>
            <w:r w:rsidRPr="002D66DE">
              <w:rPr>
                <w:sz w:val="20"/>
              </w:rPr>
              <w:t xml:space="preserve">Certains membres ont estimé que cette disposition est suffisamment souple pour </w:t>
            </w:r>
            <w:r w:rsidR="005C0BBD" w:rsidRPr="002D66DE">
              <w:rPr>
                <w:sz w:val="20"/>
              </w:rPr>
              <w:t>tenir</w:t>
            </w:r>
            <w:r w:rsidRPr="002D66DE">
              <w:rPr>
                <w:sz w:val="20"/>
              </w:rPr>
              <w:t xml:space="preserve"> compte des nouvelles tendances et des</w:t>
            </w:r>
            <w:r w:rsidR="00B659B5" w:rsidRPr="002D66DE">
              <w:rPr>
                <w:sz w:val="20"/>
              </w:rPr>
              <w:t xml:space="preserve"> nouveaux problèmes </w:t>
            </w:r>
            <w:r w:rsidRPr="002D66DE">
              <w:rPr>
                <w:sz w:val="20"/>
              </w:rPr>
              <w:t>qui se font jour</w:t>
            </w:r>
            <w:r w:rsidR="00F476A1" w:rsidRPr="002D66DE">
              <w:rPr>
                <w:sz w:val="20"/>
              </w:rPr>
              <w:t>.</w:t>
            </w:r>
            <w:bookmarkEnd w:id="115"/>
          </w:p>
          <w:p w14:paraId="3C2C2136" w14:textId="1443DA7E" w:rsidR="00F476A1" w:rsidRPr="002D66DE" w:rsidRDefault="00BD5352" w:rsidP="00C55BDB">
            <w:pPr>
              <w:pStyle w:val="Tabletext"/>
              <w:rPr>
                <w:sz w:val="20"/>
              </w:rPr>
            </w:pPr>
            <w:bookmarkStart w:id="116" w:name="lt_pId422"/>
            <w:r w:rsidRPr="002D66DE">
              <w:rPr>
                <w:sz w:val="20"/>
              </w:rPr>
              <w:t>D</w:t>
            </w:r>
            <w:r w:rsidR="009F4D21" w:rsidRPr="002D66DE">
              <w:rPr>
                <w:sz w:val="20"/>
              </w:rPr>
              <w:t>'</w:t>
            </w:r>
            <w:r w:rsidRPr="002D66DE">
              <w:rPr>
                <w:sz w:val="20"/>
              </w:rPr>
              <w:t>autres membres ont fait observer que cette disposition ne tient pas pleinement compte des nouvelles tendances et des acteurs intermédiaires</w:t>
            </w:r>
            <w:bookmarkEnd w:id="116"/>
            <w:r w:rsidRPr="002D66DE">
              <w:rPr>
                <w:sz w:val="20"/>
              </w:rPr>
              <w:t>.</w:t>
            </w:r>
          </w:p>
          <w:p w14:paraId="1FD8B04E" w14:textId="4D56D43D" w:rsidR="00F476A1" w:rsidRPr="002D66DE" w:rsidRDefault="00D7695F" w:rsidP="00C55BDB">
            <w:pPr>
              <w:pStyle w:val="Tabletext"/>
              <w:rPr>
                <w:sz w:val="20"/>
              </w:rPr>
            </w:pPr>
            <w:r w:rsidRPr="002D66DE">
              <w:rPr>
                <w:sz w:val="20"/>
              </w:rPr>
              <w:t xml:space="preserve">Certains membres ont estimé que cette </w:t>
            </w:r>
            <w:r w:rsidR="002E2E6F" w:rsidRPr="002D66DE">
              <w:rPr>
                <w:sz w:val="20"/>
              </w:rPr>
              <w:t>définition/</w:t>
            </w:r>
            <w:r w:rsidRPr="002D66DE">
              <w:rPr>
                <w:sz w:val="20"/>
              </w:rPr>
              <w:t>disposition n</w:t>
            </w:r>
            <w:r w:rsidR="009F4D21" w:rsidRPr="002D66DE">
              <w:rPr>
                <w:sz w:val="20"/>
              </w:rPr>
              <w:t>'</w:t>
            </w:r>
            <w:r w:rsidRPr="002D66DE">
              <w:rPr>
                <w:sz w:val="20"/>
              </w:rPr>
              <w:t>est ni souple, ni rigide pour ce qui est de tenir compte des nouvelles tendances et des</w:t>
            </w:r>
            <w:r w:rsidR="00B659B5" w:rsidRPr="002D66DE">
              <w:rPr>
                <w:sz w:val="20"/>
              </w:rPr>
              <w:t xml:space="preserve"> nouveaux problèmes </w:t>
            </w:r>
            <w:r w:rsidRPr="002D66DE">
              <w:rPr>
                <w:sz w:val="20"/>
              </w:rPr>
              <w:t>qui se font jour.</w:t>
            </w:r>
          </w:p>
        </w:tc>
        <w:tc>
          <w:tcPr>
            <w:tcW w:w="2424" w:type="dxa"/>
            <w:gridSpan w:val="2"/>
          </w:tcPr>
          <w:p w14:paraId="6C643E9A" w14:textId="71D1AF6D"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2D7E798F" w14:textId="1E664E90" w:rsidR="00D31A27" w:rsidRPr="002D66DE" w:rsidRDefault="00D31A27"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56F065DE" w14:textId="66EB868D" w:rsidR="00F476A1" w:rsidRPr="002D66DE" w:rsidRDefault="00D31A27" w:rsidP="00C55BDB">
            <w:pPr>
              <w:pStyle w:val="Tabletext"/>
              <w:rPr>
                <w:sz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p>
        </w:tc>
      </w:tr>
    </w:tbl>
    <w:p w14:paraId="332784E9" w14:textId="0E22B1F8" w:rsidR="00AC7710" w:rsidRPr="002D66DE" w:rsidRDefault="00AC7710">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AC7710" w:rsidRPr="002D66DE" w14:paraId="7D1351FF" w14:textId="77777777" w:rsidTr="00AC7710">
        <w:tc>
          <w:tcPr>
            <w:tcW w:w="987" w:type="dxa"/>
          </w:tcPr>
          <w:p w14:paraId="27E0F5BF"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7C407461"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4FBD9ED4"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388312F1"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177A7EEC"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5163CF44"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464EC5AE" w14:textId="77777777" w:rsidTr="00AC7710">
        <w:tc>
          <w:tcPr>
            <w:tcW w:w="987" w:type="dxa"/>
          </w:tcPr>
          <w:p w14:paraId="1EAA4AF2" w14:textId="2E121A47" w:rsidR="00F476A1" w:rsidRPr="002D66DE" w:rsidRDefault="00F476A1" w:rsidP="00C55BDB">
            <w:pPr>
              <w:pStyle w:val="Tablehead"/>
              <w:rPr>
                <w:sz w:val="20"/>
                <w:szCs w:val="20"/>
              </w:rPr>
            </w:pPr>
            <w:r w:rsidRPr="002D66DE">
              <w:rPr>
                <w:sz w:val="20"/>
                <w:szCs w:val="20"/>
              </w:rPr>
              <w:t>24</w:t>
            </w:r>
          </w:p>
        </w:tc>
        <w:tc>
          <w:tcPr>
            <w:tcW w:w="2860" w:type="dxa"/>
          </w:tcPr>
          <w:p w14:paraId="0609F2F2" w14:textId="2D2AF560" w:rsidR="00F476A1" w:rsidRPr="002D66DE" w:rsidRDefault="00F476A1" w:rsidP="00C55BDB">
            <w:pPr>
              <w:pStyle w:val="Tabletext"/>
              <w:tabs>
                <w:tab w:val="left" w:pos="380"/>
              </w:tabs>
              <w:ind w:left="380" w:hanging="380"/>
              <w:rPr>
                <w:b/>
                <w:bCs/>
                <w:sz w:val="20"/>
              </w:rPr>
            </w:pPr>
            <w:r w:rsidRPr="002D66DE">
              <w:rPr>
                <w:b/>
                <w:bCs/>
                <w:sz w:val="20"/>
                <w:szCs w:val="20"/>
              </w:rPr>
              <w:t>b)</w:t>
            </w:r>
            <w:r w:rsidRPr="002D66DE">
              <w:rPr>
                <w:b/>
                <w:bCs/>
                <w:sz w:val="20"/>
                <w:szCs w:val="20"/>
              </w:rPr>
              <w:tab/>
              <w:t>normalement, règlement des comptes.</w:t>
            </w:r>
          </w:p>
        </w:tc>
        <w:tc>
          <w:tcPr>
            <w:tcW w:w="3378" w:type="dxa"/>
          </w:tcPr>
          <w:p w14:paraId="46B9D6E6" w14:textId="2C591A76" w:rsidR="00F476A1" w:rsidRPr="002D66DE" w:rsidRDefault="00F476A1" w:rsidP="00C55BDB">
            <w:pPr>
              <w:pStyle w:val="Tabletext"/>
              <w:tabs>
                <w:tab w:val="left" w:pos="298"/>
              </w:tabs>
              <w:ind w:left="298" w:hanging="298"/>
              <w:rPr>
                <w:sz w:val="20"/>
              </w:rPr>
            </w:pPr>
            <w:r w:rsidRPr="002D66DE">
              <w:rPr>
                <w:sz w:val="20"/>
                <w:szCs w:val="20"/>
              </w:rPr>
              <w:t>b)</w:t>
            </w:r>
            <w:r w:rsidRPr="002D66DE">
              <w:rPr>
                <w:i/>
                <w:iCs/>
                <w:sz w:val="20"/>
                <w:szCs w:val="20"/>
              </w:rPr>
              <w:tab/>
            </w:r>
            <w:r w:rsidRPr="002D66DE">
              <w:rPr>
                <w:sz w:val="20"/>
                <w:szCs w:val="20"/>
              </w:rPr>
              <w:t>normalement, règlement des comptes.</w:t>
            </w:r>
          </w:p>
        </w:tc>
        <w:tc>
          <w:tcPr>
            <w:tcW w:w="2951" w:type="dxa"/>
          </w:tcPr>
          <w:p w14:paraId="550499DF" w14:textId="693D8BDC" w:rsidR="00CE06EB" w:rsidRPr="002D66DE" w:rsidRDefault="00CE06EB" w:rsidP="00C55BDB">
            <w:pPr>
              <w:pStyle w:val="Tabletext"/>
              <w:rPr>
                <w:rFonts w:cstheme="minorHAnsi"/>
                <w:sz w:val="20"/>
                <w:szCs w:val="20"/>
              </w:rPr>
            </w:pPr>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avis de certains membres, cette disposition est applicable et permet le développement des réseaux et</w:t>
            </w:r>
            <w:r w:rsidR="002E2E6F" w:rsidRPr="002D66DE">
              <w:rPr>
                <w:rFonts w:cstheme="minorHAnsi"/>
                <w:sz w:val="20"/>
                <w:szCs w:val="20"/>
              </w:rPr>
              <w:t xml:space="preserve"> ces</w:t>
            </w:r>
            <w:r w:rsidRPr="002D66DE">
              <w:rPr>
                <w:rFonts w:cstheme="minorHAnsi"/>
                <w:sz w:val="20"/>
                <w:szCs w:val="20"/>
              </w:rPr>
              <w:t xml:space="preserve"> services.</w:t>
            </w:r>
          </w:p>
          <w:p w14:paraId="28ECAC1B" w14:textId="2FCFB98A" w:rsidR="00CE06EB" w:rsidRPr="002D66DE" w:rsidRDefault="002E2E6F" w:rsidP="00C55BDB">
            <w:pPr>
              <w:pStyle w:val="Tabletext"/>
              <w:rPr>
                <w:sz w:val="20"/>
              </w:rPr>
            </w:pPr>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avis de certains membres,</w:t>
            </w:r>
            <w:r w:rsidRPr="002D66DE">
              <w:rPr>
                <w:rFonts w:cstheme="minorHAnsi"/>
                <w:sz w:val="20"/>
              </w:rPr>
              <w:t xml:space="preserve"> </w:t>
            </w:r>
            <w:r w:rsidR="00CE06EB" w:rsidRPr="002D66DE">
              <w:rPr>
                <w:rFonts w:cstheme="minorHAnsi"/>
                <w:sz w:val="20"/>
              </w:rPr>
              <w:t>cette disposition doit être mise à jour.</w:t>
            </w:r>
          </w:p>
          <w:p w14:paraId="62761D1B" w14:textId="4D9AF212" w:rsidR="00F476A1" w:rsidRPr="002D66DE" w:rsidRDefault="00CE06EB" w:rsidP="00C55BDB">
            <w:pPr>
              <w:pStyle w:val="Tabletext"/>
              <w:rPr>
                <w:sz w:val="20"/>
              </w:rPr>
            </w:pPr>
            <w:r w:rsidRPr="002D66DE">
              <w:rPr>
                <w:sz w:val="20"/>
                <w:szCs w:val="20"/>
              </w:rPr>
              <w:t>Certains membres ont estimé que cette disposition ni</w:t>
            </w:r>
            <w:r w:rsidR="00F476A1" w:rsidRPr="002D66DE">
              <w:rPr>
                <w:sz w:val="20"/>
                <w:szCs w:val="20"/>
              </w:rPr>
              <w:t xml:space="preserve"> ne facilite ni n'entrave la fourniture et le développement des réseaux et des services.</w:t>
            </w:r>
          </w:p>
        </w:tc>
        <w:tc>
          <w:tcPr>
            <w:tcW w:w="2577" w:type="dxa"/>
          </w:tcPr>
          <w:p w14:paraId="2194EE3D" w14:textId="11976E8B" w:rsidR="00F476A1" w:rsidRPr="002D66DE" w:rsidRDefault="00CE06EB" w:rsidP="00C55BDB">
            <w:pPr>
              <w:pStyle w:val="Tabletext"/>
              <w:rPr>
                <w:sz w:val="20"/>
              </w:rPr>
            </w:pPr>
            <w:r w:rsidRPr="002D66DE">
              <w:rPr>
                <w:sz w:val="20"/>
              </w:rPr>
              <w:t xml:space="preserve">Certains membres ont estimé que cette disposition est suffisamment souple pour </w:t>
            </w:r>
            <w:r w:rsidR="005C0BBD" w:rsidRPr="002D66DE">
              <w:rPr>
                <w:sz w:val="20"/>
              </w:rPr>
              <w:t>tenir</w:t>
            </w:r>
            <w:r w:rsidRPr="002D66DE">
              <w:rPr>
                <w:sz w:val="20"/>
              </w:rPr>
              <w:t xml:space="preserve"> compte des nouvelles tendances et des</w:t>
            </w:r>
            <w:r w:rsidR="00B659B5" w:rsidRPr="002D66DE">
              <w:rPr>
                <w:sz w:val="20"/>
              </w:rPr>
              <w:t xml:space="preserve"> nouveaux problèmes </w:t>
            </w:r>
            <w:r w:rsidRPr="002D66DE">
              <w:rPr>
                <w:sz w:val="20"/>
              </w:rPr>
              <w:t>qui se font jour.</w:t>
            </w:r>
          </w:p>
          <w:p w14:paraId="1788AB03" w14:textId="6FBE29DE" w:rsidR="00F476A1" w:rsidRPr="002D66DE" w:rsidRDefault="00CE06EB" w:rsidP="00C55BDB">
            <w:pPr>
              <w:pStyle w:val="Tabletext"/>
              <w:rPr>
                <w:sz w:val="20"/>
              </w:rPr>
            </w:pPr>
            <w:bookmarkStart w:id="117" w:name="lt_pId433"/>
            <w:r w:rsidRPr="002D66DE">
              <w:rPr>
                <w:sz w:val="20"/>
              </w:rPr>
              <w:t xml:space="preserve">Certains membres </w:t>
            </w:r>
            <w:r w:rsidR="001E4E68" w:rsidRPr="002D66DE">
              <w:rPr>
                <w:sz w:val="20"/>
              </w:rPr>
              <w:t xml:space="preserve">ont estimé que cette disposition ne </w:t>
            </w:r>
            <w:r w:rsidR="00F40A9C" w:rsidRPr="002D66DE">
              <w:rPr>
                <w:sz w:val="20"/>
              </w:rPr>
              <w:t>tient</w:t>
            </w:r>
            <w:r w:rsidR="001E4E68" w:rsidRPr="002D66DE">
              <w:rPr>
                <w:sz w:val="20"/>
              </w:rPr>
              <w:t xml:space="preserve"> pas pleinement compte des autres moyens intervenant dans la </w:t>
            </w:r>
            <w:r w:rsidR="00F476A1" w:rsidRPr="002D66DE">
              <w:rPr>
                <w:sz w:val="20"/>
              </w:rPr>
              <w:t xml:space="preserve">"relation", </w:t>
            </w:r>
            <w:r w:rsidR="001E4E68" w:rsidRPr="002D66DE">
              <w:rPr>
                <w:sz w:val="20"/>
              </w:rPr>
              <w:t>étant donné que le règlement des comptes est abandonné en raison des nouveaux acteurs et des évolutions techno</w:t>
            </w:r>
            <w:r w:rsidR="00B715D3" w:rsidRPr="002D66DE">
              <w:rPr>
                <w:sz w:val="20"/>
              </w:rPr>
              <w:t>l</w:t>
            </w:r>
            <w:r w:rsidR="001E4E68" w:rsidRPr="002D66DE">
              <w:rPr>
                <w:sz w:val="20"/>
              </w:rPr>
              <w:t>ogiques</w:t>
            </w:r>
            <w:r w:rsidR="00F476A1" w:rsidRPr="002D66DE">
              <w:rPr>
                <w:sz w:val="20"/>
              </w:rPr>
              <w:t>.</w:t>
            </w:r>
            <w:bookmarkEnd w:id="117"/>
          </w:p>
          <w:p w14:paraId="68476FB2" w14:textId="5DB2A725" w:rsidR="00F476A1" w:rsidRPr="002D66DE" w:rsidRDefault="001E4E68" w:rsidP="00C55BDB">
            <w:pPr>
              <w:pStyle w:val="Tabletext"/>
              <w:rPr>
                <w:sz w:val="20"/>
              </w:rPr>
            </w:pPr>
            <w:r w:rsidRPr="002D66DE">
              <w:rPr>
                <w:sz w:val="20"/>
              </w:rPr>
              <w:t xml:space="preserve">Certains membres ont estimé que cette </w:t>
            </w:r>
            <w:r w:rsidR="00F40A9C" w:rsidRPr="002D66DE">
              <w:rPr>
                <w:sz w:val="20"/>
              </w:rPr>
              <w:t>définition/</w:t>
            </w:r>
            <w:r w:rsidRPr="002D66DE">
              <w:rPr>
                <w:sz w:val="20"/>
              </w:rPr>
              <w:t>disposition n</w:t>
            </w:r>
            <w:r w:rsidR="009F4D21" w:rsidRPr="002D66DE">
              <w:rPr>
                <w:sz w:val="20"/>
              </w:rPr>
              <w:t>'</w:t>
            </w:r>
            <w:r w:rsidRPr="002D66DE">
              <w:rPr>
                <w:sz w:val="20"/>
              </w:rPr>
              <w:t>est ni souple, ni rigide pour ce qui est de tenir compte des nouvelles tendances et des</w:t>
            </w:r>
            <w:r w:rsidR="00B659B5" w:rsidRPr="002D66DE">
              <w:rPr>
                <w:sz w:val="20"/>
              </w:rPr>
              <w:t xml:space="preserve"> nouveaux problèmes </w:t>
            </w:r>
            <w:r w:rsidRPr="002D66DE">
              <w:rPr>
                <w:sz w:val="20"/>
              </w:rPr>
              <w:t>se font jour.</w:t>
            </w:r>
          </w:p>
        </w:tc>
        <w:tc>
          <w:tcPr>
            <w:tcW w:w="2424" w:type="dxa"/>
          </w:tcPr>
          <w:p w14:paraId="2B19A74A" w14:textId="79788FF4"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5E6316FA" w14:textId="663A9049"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1794E62B" w14:textId="0D20CA8E" w:rsidR="00F476A1" w:rsidRPr="002D66DE" w:rsidRDefault="00D31A27" w:rsidP="00C55BDB">
            <w:pPr>
              <w:pStyle w:val="Tabletext"/>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p>
        </w:tc>
      </w:tr>
    </w:tbl>
    <w:p w14:paraId="195EA850" w14:textId="5F6BCB7E" w:rsidR="00AC7710" w:rsidRPr="002D66DE" w:rsidRDefault="00AC7710">
      <w:pPr>
        <w:tabs>
          <w:tab w:val="clear" w:pos="567"/>
          <w:tab w:val="clear" w:pos="1134"/>
          <w:tab w:val="clear" w:pos="1701"/>
          <w:tab w:val="clear" w:pos="2268"/>
          <w:tab w:val="clear" w:pos="2835"/>
        </w:tabs>
        <w:overflowPunct/>
        <w:autoSpaceDE/>
        <w:autoSpaceDN/>
        <w:adjustRightInd/>
        <w:spacing w:before="0"/>
        <w:textAlignment w:val="auto"/>
      </w:pPr>
    </w:p>
    <w:p w14:paraId="2E80BFE8" w14:textId="456A9716" w:rsidR="00AC7710" w:rsidRPr="002D66DE" w:rsidRDefault="00AC7710">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AC7710" w:rsidRPr="002D66DE" w14:paraId="3AF35449" w14:textId="77777777" w:rsidTr="00AC7710">
        <w:tc>
          <w:tcPr>
            <w:tcW w:w="987" w:type="dxa"/>
          </w:tcPr>
          <w:p w14:paraId="2F9CE999"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31BA55B8"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54774417"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7E7C14CC"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7936CC45"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46475E24"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0E350E4F" w14:textId="77777777" w:rsidTr="00AC7710">
        <w:tc>
          <w:tcPr>
            <w:tcW w:w="987" w:type="dxa"/>
          </w:tcPr>
          <w:p w14:paraId="77DCC225" w14:textId="06D9D8DC" w:rsidR="00F476A1" w:rsidRPr="002D66DE" w:rsidRDefault="00F476A1" w:rsidP="00C55BDB">
            <w:pPr>
              <w:pStyle w:val="Tablehead"/>
              <w:rPr>
                <w:sz w:val="20"/>
                <w:szCs w:val="20"/>
              </w:rPr>
            </w:pPr>
            <w:r w:rsidRPr="002D66DE">
              <w:rPr>
                <w:sz w:val="20"/>
                <w:szCs w:val="20"/>
              </w:rPr>
              <w:t>25</w:t>
            </w:r>
          </w:p>
        </w:tc>
        <w:tc>
          <w:tcPr>
            <w:tcW w:w="2860" w:type="dxa"/>
          </w:tcPr>
          <w:p w14:paraId="6B10FC0D" w14:textId="77777777" w:rsidR="00F476A1" w:rsidRPr="002D66DE" w:rsidRDefault="00F476A1" w:rsidP="00C55BDB">
            <w:pPr>
              <w:pStyle w:val="Tabletext"/>
              <w:rPr>
                <w:b/>
                <w:bCs/>
                <w:strike/>
                <w:sz w:val="20"/>
                <w:szCs w:val="20"/>
              </w:rPr>
            </w:pPr>
            <w:r w:rsidRPr="002D66DE">
              <w:rPr>
                <w:b/>
                <w:bCs/>
                <w:sz w:val="20"/>
                <w:szCs w:val="20"/>
              </w:rPr>
              <w:t>2.8</w:t>
            </w:r>
            <w:r w:rsidRPr="002D66DE">
              <w:rPr>
                <w:b/>
                <w:bCs/>
                <w:sz w:val="20"/>
                <w:szCs w:val="20"/>
              </w:rPr>
              <w:tab/>
            </w:r>
            <w:r w:rsidRPr="002D66DE">
              <w:rPr>
                <w:b/>
                <w:bCs/>
                <w:i/>
                <w:sz w:val="20"/>
                <w:szCs w:val="20"/>
              </w:rPr>
              <w:t xml:space="preserve">Taxe de répartition: </w:t>
            </w:r>
            <w:r w:rsidRPr="002D66DE">
              <w:rPr>
                <w:b/>
                <w:bCs/>
                <w:sz w:val="20"/>
                <w:szCs w:val="20"/>
              </w:rPr>
              <w:t>Taxe fixée par accord entre exploitations autorisées, pour une relation donnée et servant à l'établissement des comptes internationaux.</w:t>
            </w:r>
          </w:p>
        </w:tc>
        <w:tc>
          <w:tcPr>
            <w:tcW w:w="3378" w:type="dxa"/>
          </w:tcPr>
          <w:p w14:paraId="05A26D3F" w14:textId="2C78F53B" w:rsidR="00F476A1" w:rsidRPr="002D66DE" w:rsidRDefault="00F476A1" w:rsidP="00C55BDB">
            <w:pPr>
              <w:pStyle w:val="Tabletext"/>
              <w:rPr>
                <w:sz w:val="20"/>
                <w:szCs w:val="20"/>
              </w:rPr>
            </w:pPr>
            <w:r w:rsidRPr="002D66DE">
              <w:rPr>
                <w:sz w:val="20"/>
                <w:szCs w:val="20"/>
              </w:rPr>
              <w:t>2.8</w:t>
            </w:r>
            <w:r w:rsidRPr="002D66DE">
              <w:rPr>
                <w:sz w:val="20"/>
                <w:szCs w:val="20"/>
              </w:rPr>
              <w:tab/>
            </w:r>
            <w:r w:rsidRPr="002D66DE">
              <w:rPr>
                <w:i/>
                <w:sz w:val="20"/>
                <w:szCs w:val="20"/>
              </w:rPr>
              <w:t xml:space="preserve">Taxe de répartition: </w:t>
            </w:r>
            <w:r w:rsidRPr="002D66DE">
              <w:rPr>
                <w:sz w:val="20"/>
                <w:szCs w:val="20"/>
              </w:rPr>
              <w:t>Taxe fixée par accord entre administrations</w:t>
            </w:r>
            <w:r w:rsidR="004C7683" w:rsidRPr="002D66DE">
              <w:rPr>
                <w:rStyle w:val="FootnoteReference"/>
                <w:szCs w:val="20"/>
              </w:rPr>
              <w:footnoteReference w:customMarkFollows="1" w:id="5"/>
              <w:t>*</w:t>
            </w:r>
            <w:r w:rsidRPr="002D66DE">
              <w:rPr>
                <w:sz w:val="20"/>
                <w:szCs w:val="20"/>
              </w:rPr>
              <w:t xml:space="preserve"> pour une relation donnée et servant à l'établissement des comptes internationaux.</w:t>
            </w:r>
          </w:p>
        </w:tc>
        <w:tc>
          <w:tcPr>
            <w:tcW w:w="2951" w:type="dxa"/>
          </w:tcPr>
          <w:p w14:paraId="795598CB" w14:textId="23F539C1" w:rsidR="00F476A1" w:rsidRPr="002D66DE" w:rsidRDefault="00B715D3" w:rsidP="00C55BDB">
            <w:pPr>
              <w:pStyle w:val="Tabletext"/>
              <w:rPr>
                <w:rFonts w:cstheme="minorHAnsi"/>
                <w:sz w:val="20"/>
                <w:szCs w:val="20"/>
              </w:rPr>
            </w:pPr>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 xml:space="preserve">avis de certains membres, cette disposition est applicable et permet le développement des réseaux et </w:t>
            </w:r>
            <w:r w:rsidR="00F40A9C" w:rsidRPr="002D66DE">
              <w:rPr>
                <w:rFonts w:cstheme="minorHAnsi"/>
                <w:sz w:val="20"/>
                <w:szCs w:val="20"/>
              </w:rPr>
              <w:t xml:space="preserve">des </w:t>
            </w:r>
            <w:r w:rsidRPr="002D66DE">
              <w:rPr>
                <w:rFonts w:cstheme="minorHAnsi"/>
                <w:sz w:val="20"/>
                <w:szCs w:val="20"/>
              </w:rPr>
              <w:t>services.</w:t>
            </w:r>
          </w:p>
          <w:p w14:paraId="6467782D" w14:textId="53F716D2" w:rsidR="00F476A1" w:rsidRPr="002D66DE" w:rsidRDefault="00B715D3" w:rsidP="00C55BDB">
            <w:pPr>
              <w:pStyle w:val="Tabletext"/>
              <w:rPr>
                <w:color w:val="000000"/>
                <w:sz w:val="20"/>
              </w:rPr>
            </w:pPr>
            <w:bookmarkStart w:id="118" w:name="lt_pId444"/>
            <w:r w:rsidRPr="002D66DE">
              <w:rPr>
                <w:color w:val="000000"/>
                <w:sz w:val="20"/>
              </w:rPr>
              <w:t xml:space="preserve">Certains autres membres ont fait observer que cette disposition ne </w:t>
            </w:r>
            <w:r w:rsidR="00F40A9C" w:rsidRPr="002D66DE">
              <w:rPr>
                <w:color w:val="000000"/>
                <w:sz w:val="20"/>
              </w:rPr>
              <w:t>tient</w:t>
            </w:r>
            <w:r w:rsidRPr="002D66DE">
              <w:rPr>
                <w:color w:val="000000"/>
                <w:sz w:val="20"/>
              </w:rPr>
              <w:t xml:space="preserve"> pas pleinement compte du fait que si le principe de taxe de répartition pourra encore être applicable dans certains pays, les clauses et conditions des accords internationaux sont défini</w:t>
            </w:r>
            <w:r w:rsidR="0066635B" w:rsidRPr="002D66DE">
              <w:rPr>
                <w:color w:val="000000"/>
                <w:sz w:val="20"/>
              </w:rPr>
              <w:t>e</w:t>
            </w:r>
            <w:r w:rsidRPr="002D66DE">
              <w:rPr>
                <w:color w:val="000000"/>
                <w:sz w:val="20"/>
              </w:rPr>
              <w:t>s dans le cadre d'accords commerciaux</w:t>
            </w:r>
            <w:r w:rsidR="00F476A1" w:rsidRPr="002D66DE">
              <w:rPr>
                <w:color w:val="000000"/>
                <w:sz w:val="20"/>
              </w:rPr>
              <w:t>.</w:t>
            </w:r>
            <w:bookmarkEnd w:id="118"/>
          </w:p>
          <w:p w14:paraId="4345BA5E" w14:textId="5EEF39EA" w:rsidR="00F476A1" w:rsidRPr="002D66DE" w:rsidRDefault="00CF3A88" w:rsidP="00C55BDB">
            <w:pPr>
              <w:pStyle w:val="Tabletext"/>
              <w:rPr>
                <w:sz w:val="20"/>
                <w:szCs w:val="20"/>
              </w:rPr>
            </w:pPr>
            <w:r w:rsidRPr="002D66DE">
              <w:rPr>
                <w:color w:val="000000"/>
                <w:sz w:val="20"/>
              </w:rPr>
              <w:t>Certains membres ont estimé que cette d</w:t>
            </w:r>
            <w:r w:rsidR="00F476A1" w:rsidRPr="002D66DE">
              <w:rPr>
                <w:sz w:val="20"/>
                <w:szCs w:val="20"/>
              </w:rPr>
              <w:t>isposition ni ne facilite</w:t>
            </w:r>
            <w:r w:rsidRPr="002D66DE">
              <w:rPr>
                <w:sz w:val="20"/>
                <w:szCs w:val="20"/>
              </w:rPr>
              <w:t xml:space="preserve"> </w:t>
            </w:r>
            <w:r w:rsidR="00F476A1" w:rsidRPr="002D66DE">
              <w:rPr>
                <w:sz w:val="20"/>
                <w:szCs w:val="20"/>
              </w:rPr>
              <w:t>ni n'entrave la fourniture et le développement des réseaux et des services.</w:t>
            </w:r>
          </w:p>
        </w:tc>
        <w:tc>
          <w:tcPr>
            <w:tcW w:w="2577" w:type="dxa"/>
          </w:tcPr>
          <w:p w14:paraId="2EAD7DA6" w14:textId="2836FBD8" w:rsidR="00D93CFD" w:rsidRPr="002D66DE" w:rsidRDefault="00B715D3" w:rsidP="00C55BDB">
            <w:pPr>
              <w:pStyle w:val="Tabletext"/>
              <w:rPr>
                <w:sz w:val="20"/>
              </w:rPr>
            </w:pPr>
            <w:r w:rsidRPr="002D66DE">
              <w:rPr>
                <w:sz w:val="20"/>
              </w:rPr>
              <w:t xml:space="preserve">Certains membres ont estimé que cette disposition est suffisamment souple pour </w:t>
            </w:r>
            <w:r w:rsidR="005C0BBD" w:rsidRPr="002D66DE">
              <w:rPr>
                <w:sz w:val="20"/>
              </w:rPr>
              <w:t>tenir</w:t>
            </w:r>
            <w:r w:rsidRPr="002D66DE">
              <w:rPr>
                <w:sz w:val="20"/>
              </w:rPr>
              <w:t xml:space="preserve"> compte des nouvelles tendances et des</w:t>
            </w:r>
            <w:r w:rsidR="00B659B5" w:rsidRPr="002D66DE">
              <w:rPr>
                <w:sz w:val="20"/>
              </w:rPr>
              <w:t xml:space="preserve"> nouveaux problèmes</w:t>
            </w:r>
            <w:r w:rsidR="004C7683" w:rsidRPr="002D66DE">
              <w:rPr>
                <w:sz w:val="20"/>
              </w:rPr>
              <w:t xml:space="preserve"> </w:t>
            </w:r>
            <w:r w:rsidRPr="002D66DE">
              <w:rPr>
                <w:sz w:val="20"/>
              </w:rPr>
              <w:t xml:space="preserve">qui se font jour. </w:t>
            </w:r>
          </w:p>
          <w:p w14:paraId="26D29774" w14:textId="0A097BA4" w:rsidR="00F476A1" w:rsidRPr="002D66DE" w:rsidRDefault="00CF3A88" w:rsidP="00C55BDB">
            <w:pPr>
              <w:pStyle w:val="Tabletext"/>
              <w:rPr>
                <w:sz w:val="20"/>
              </w:rPr>
            </w:pPr>
            <w:bookmarkStart w:id="119" w:name="lt_pId447"/>
            <w:r w:rsidRPr="002D66DE">
              <w:rPr>
                <w:color w:val="000000"/>
                <w:sz w:val="20"/>
              </w:rPr>
              <w:t xml:space="preserve">Certains autres membres ont fait observer que cette disposition ne </w:t>
            </w:r>
            <w:r w:rsidR="00D93CFD" w:rsidRPr="002D66DE">
              <w:rPr>
                <w:color w:val="000000"/>
                <w:sz w:val="20"/>
              </w:rPr>
              <w:t>tient</w:t>
            </w:r>
            <w:r w:rsidRPr="002D66DE">
              <w:rPr>
                <w:color w:val="000000"/>
                <w:sz w:val="20"/>
              </w:rPr>
              <w:t xml:space="preserve"> pas pleinement compte </w:t>
            </w:r>
            <w:r w:rsidRPr="002D66DE">
              <w:rPr>
                <w:sz w:val="20"/>
              </w:rPr>
              <w:t>des acteurs alternatifs</w:t>
            </w:r>
            <w:r w:rsidR="00F476A1" w:rsidRPr="002D66DE">
              <w:rPr>
                <w:sz w:val="20"/>
              </w:rPr>
              <w:t xml:space="preserve">, </w:t>
            </w:r>
            <w:r w:rsidRPr="002D66DE">
              <w:rPr>
                <w:sz w:val="20"/>
              </w:rPr>
              <w:t>certains membres soulignant que différentes terminologies sont utilisées dans les accords commerciaux pour désigner la même chose</w:t>
            </w:r>
            <w:r w:rsidR="00F476A1" w:rsidRPr="002D66DE">
              <w:rPr>
                <w:sz w:val="20"/>
              </w:rPr>
              <w:t>.</w:t>
            </w:r>
            <w:bookmarkEnd w:id="119"/>
          </w:p>
          <w:p w14:paraId="650B6FA1" w14:textId="1FCBD953" w:rsidR="00F476A1" w:rsidRPr="002D66DE" w:rsidRDefault="001E4E68" w:rsidP="00C55BDB">
            <w:pPr>
              <w:pStyle w:val="Tabletext"/>
              <w:rPr>
                <w:sz w:val="20"/>
                <w:szCs w:val="20"/>
              </w:rPr>
            </w:pPr>
            <w:bookmarkStart w:id="120" w:name="lt_pId448"/>
            <w:r w:rsidRPr="002D66DE">
              <w:rPr>
                <w:sz w:val="20"/>
              </w:rPr>
              <w:t>Certains membres ont estimé que cette</w:t>
            </w:r>
            <w:r w:rsidR="004C7683" w:rsidRPr="002D66DE">
              <w:rPr>
                <w:sz w:val="20"/>
              </w:rPr>
              <w:t xml:space="preserve"> </w:t>
            </w:r>
            <w:r w:rsidR="00D93CFD" w:rsidRPr="002D66DE">
              <w:rPr>
                <w:sz w:val="20"/>
              </w:rPr>
              <w:t>définition/</w:t>
            </w:r>
            <w:r w:rsidRPr="002D66DE">
              <w:rPr>
                <w:sz w:val="20"/>
              </w:rPr>
              <w:t>disposition n</w:t>
            </w:r>
            <w:r w:rsidR="009F4D21" w:rsidRPr="002D66DE">
              <w:rPr>
                <w:sz w:val="20"/>
              </w:rPr>
              <w:t>'</w:t>
            </w:r>
            <w:r w:rsidRPr="002D66DE">
              <w:rPr>
                <w:sz w:val="20"/>
              </w:rPr>
              <w:t>est ni souple, ni rigide pour ce qui est de tenir compte des nouvelles tendances et des</w:t>
            </w:r>
            <w:r w:rsidR="00B659B5" w:rsidRPr="002D66DE">
              <w:rPr>
                <w:sz w:val="20"/>
              </w:rPr>
              <w:t xml:space="preserve"> nouveaux problèmes </w:t>
            </w:r>
            <w:r w:rsidRPr="002D66DE">
              <w:rPr>
                <w:sz w:val="20"/>
              </w:rPr>
              <w:t>qui se font jour.</w:t>
            </w:r>
            <w:bookmarkEnd w:id="120"/>
          </w:p>
        </w:tc>
        <w:tc>
          <w:tcPr>
            <w:tcW w:w="2424" w:type="dxa"/>
          </w:tcPr>
          <w:p w14:paraId="0743AA90" w14:textId="25B210C7"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0C8ED344" w14:textId="0B538ED2" w:rsidR="00D31A27" w:rsidRPr="002D66DE" w:rsidRDefault="00D31A27"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02C65845" w14:textId="7FA7B9EB" w:rsidR="00F476A1" w:rsidRPr="002D66DE" w:rsidRDefault="00D31A27" w:rsidP="00C55BDB">
            <w:pPr>
              <w:pStyle w:val="Tabletext"/>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0075F2" w:rsidRPr="002D66DE">
              <w:rPr>
                <w:sz w:val="20"/>
                <w:szCs w:val="20"/>
              </w:rPr>
              <w:t>.</w:t>
            </w:r>
          </w:p>
        </w:tc>
      </w:tr>
    </w:tbl>
    <w:p w14:paraId="6F2EAE84" w14:textId="6CE9FE01" w:rsidR="00AC7710" w:rsidRPr="002D66DE" w:rsidRDefault="00AC7710">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AC7710" w:rsidRPr="002D66DE" w14:paraId="24F7FD10" w14:textId="77777777" w:rsidTr="00AC7710">
        <w:trPr>
          <w:tblHeader/>
        </w:trPr>
        <w:tc>
          <w:tcPr>
            <w:tcW w:w="987" w:type="dxa"/>
          </w:tcPr>
          <w:p w14:paraId="257EAE72"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07F71BBE"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2DEFF0B6"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68F241CB"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30D2F41F"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27EC07E7"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43D750C1" w14:textId="77777777" w:rsidTr="00AC7710">
        <w:tc>
          <w:tcPr>
            <w:tcW w:w="987" w:type="dxa"/>
          </w:tcPr>
          <w:p w14:paraId="2472ABDE" w14:textId="48908126" w:rsidR="00F476A1" w:rsidRPr="002D66DE" w:rsidRDefault="00F476A1" w:rsidP="00C55BDB">
            <w:pPr>
              <w:pStyle w:val="Tablehead"/>
              <w:rPr>
                <w:sz w:val="20"/>
                <w:szCs w:val="20"/>
              </w:rPr>
            </w:pPr>
            <w:r w:rsidRPr="002D66DE">
              <w:rPr>
                <w:sz w:val="20"/>
                <w:szCs w:val="20"/>
              </w:rPr>
              <w:t>26</w:t>
            </w:r>
          </w:p>
        </w:tc>
        <w:tc>
          <w:tcPr>
            <w:tcW w:w="2860" w:type="dxa"/>
          </w:tcPr>
          <w:p w14:paraId="5E3832D9" w14:textId="77777777" w:rsidR="00F476A1" w:rsidRPr="002D66DE" w:rsidRDefault="00F476A1" w:rsidP="00C55BDB">
            <w:pPr>
              <w:pStyle w:val="Tabletext"/>
              <w:rPr>
                <w:b/>
                <w:bCs/>
                <w:strike/>
                <w:sz w:val="20"/>
                <w:szCs w:val="20"/>
              </w:rPr>
            </w:pPr>
            <w:r w:rsidRPr="002D66DE">
              <w:rPr>
                <w:b/>
                <w:bCs/>
                <w:sz w:val="20"/>
                <w:szCs w:val="20"/>
              </w:rPr>
              <w:t>2.9</w:t>
            </w:r>
            <w:r w:rsidRPr="002D66DE">
              <w:rPr>
                <w:b/>
                <w:bCs/>
                <w:sz w:val="20"/>
                <w:szCs w:val="20"/>
              </w:rPr>
              <w:tab/>
            </w:r>
            <w:r w:rsidRPr="002D66DE">
              <w:rPr>
                <w:b/>
                <w:bCs/>
                <w:i/>
                <w:sz w:val="20"/>
                <w:szCs w:val="20"/>
              </w:rPr>
              <w:t xml:space="preserve">Frais de perception: Frais </w:t>
            </w:r>
            <w:r w:rsidRPr="002D66DE">
              <w:rPr>
                <w:b/>
                <w:bCs/>
                <w:sz w:val="20"/>
                <w:szCs w:val="20"/>
              </w:rPr>
              <w:t>établis et perçus par une exploitation autorisées auprès de ses clients pour l'utilisation d'un service international de télécommunication.</w:t>
            </w:r>
          </w:p>
        </w:tc>
        <w:tc>
          <w:tcPr>
            <w:tcW w:w="3378" w:type="dxa"/>
          </w:tcPr>
          <w:p w14:paraId="2D038873" w14:textId="4E1A8A02" w:rsidR="00F476A1" w:rsidRPr="002D66DE" w:rsidRDefault="00F476A1" w:rsidP="00C55BDB">
            <w:pPr>
              <w:pStyle w:val="Tabletext"/>
              <w:rPr>
                <w:sz w:val="20"/>
                <w:szCs w:val="20"/>
              </w:rPr>
            </w:pPr>
            <w:r w:rsidRPr="002D66DE">
              <w:rPr>
                <w:sz w:val="20"/>
                <w:szCs w:val="20"/>
              </w:rPr>
              <w:t>2.9</w:t>
            </w:r>
            <w:r w:rsidRPr="002D66DE">
              <w:rPr>
                <w:sz w:val="20"/>
                <w:szCs w:val="20"/>
              </w:rPr>
              <w:tab/>
            </w:r>
            <w:r w:rsidRPr="002D66DE">
              <w:rPr>
                <w:i/>
                <w:sz w:val="20"/>
                <w:szCs w:val="20"/>
              </w:rPr>
              <w:t xml:space="preserve">Taxe de perception: </w:t>
            </w:r>
            <w:r w:rsidRPr="002D66DE">
              <w:rPr>
                <w:sz w:val="20"/>
                <w:szCs w:val="20"/>
              </w:rPr>
              <w:t>Taxe établie et perçue par une administration</w:t>
            </w:r>
            <w:r w:rsidR="004C7683" w:rsidRPr="002D66DE">
              <w:rPr>
                <w:rStyle w:val="FootnoteReference"/>
                <w:szCs w:val="20"/>
              </w:rPr>
              <w:footnoteReference w:customMarkFollows="1" w:id="6"/>
              <w:t>*</w:t>
            </w:r>
            <w:r w:rsidRPr="002D66DE">
              <w:rPr>
                <w:sz w:val="20"/>
                <w:szCs w:val="20"/>
              </w:rPr>
              <w:t xml:space="preserve"> sur ses clients pour l'utilisation d'un service international de télécommunication.</w:t>
            </w:r>
          </w:p>
        </w:tc>
        <w:tc>
          <w:tcPr>
            <w:tcW w:w="2951" w:type="dxa"/>
          </w:tcPr>
          <w:p w14:paraId="3DF7583B" w14:textId="346B09FB" w:rsidR="00F476A1" w:rsidRPr="002D66DE" w:rsidRDefault="00B715D3" w:rsidP="00C55BDB">
            <w:pPr>
              <w:pStyle w:val="Tabletext"/>
              <w:rPr>
                <w:rFonts w:cstheme="minorHAnsi"/>
                <w:sz w:val="20"/>
                <w:szCs w:val="20"/>
              </w:rPr>
            </w:pPr>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avis de certains membres, cette disposition est applicable et permet le développement des réseaux et</w:t>
            </w:r>
            <w:r w:rsidR="00D93CFD" w:rsidRPr="002D66DE">
              <w:rPr>
                <w:rFonts w:cstheme="minorHAnsi"/>
                <w:sz w:val="20"/>
                <w:szCs w:val="20"/>
              </w:rPr>
              <w:t xml:space="preserve"> des</w:t>
            </w:r>
            <w:r w:rsidRPr="002D66DE">
              <w:rPr>
                <w:rFonts w:cstheme="minorHAnsi"/>
                <w:sz w:val="20"/>
                <w:szCs w:val="20"/>
              </w:rPr>
              <w:t xml:space="preserve"> services.</w:t>
            </w:r>
          </w:p>
          <w:p w14:paraId="7B96608A" w14:textId="52201B1A" w:rsidR="00F476A1" w:rsidRPr="002D66DE" w:rsidRDefault="00CF3A88" w:rsidP="00C55BDB">
            <w:pPr>
              <w:pStyle w:val="Tabletext"/>
              <w:rPr>
                <w:sz w:val="20"/>
                <w:szCs w:val="20"/>
              </w:rPr>
            </w:pPr>
            <w:r w:rsidRPr="002D66DE">
              <w:rPr>
                <w:color w:val="000000"/>
                <w:sz w:val="20"/>
              </w:rPr>
              <w:t>Certains membres ont estimé que cette d</w:t>
            </w:r>
            <w:r w:rsidRPr="002D66DE">
              <w:rPr>
                <w:sz w:val="20"/>
                <w:szCs w:val="20"/>
              </w:rPr>
              <w:t>isposition ni ne facilite ni n'entrave la fourniture et le développement des réseaux et des services.</w:t>
            </w:r>
          </w:p>
        </w:tc>
        <w:tc>
          <w:tcPr>
            <w:tcW w:w="2577" w:type="dxa"/>
          </w:tcPr>
          <w:p w14:paraId="41CA5076" w14:textId="126E8182" w:rsidR="00F476A1" w:rsidRPr="002D66DE" w:rsidRDefault="00B715D3" w:rsidP="00C55BDB">
            <w:pPr>
              <w:pStyle w:val="Tabletext"/>
              <w:rPr>
                <w:sz w:val="20"/>
              </w:rPr>
            </w:pPr>
            <w:r w:rsidRPr="002D66DE">
              <w:rPr>
                <w:sz w:val="20"/>
              </w:rPr>
              <w:t xml:space="preserve">Certains membres ont estimé que cette disposition est suffisamment souple pour </w:t>
            </w:r>
            <w:r w:rsidR="005C0BBD" w:rsidRPr="002D66DE">
              <w:rPr>
                <w:sz w:val="20"/>
              </w:rPr>
              <w:t>tenir</w:t>
            </w:r>
            <w:r w:rsidRPr="002D66DE">
              <w:rPr>
                <w:sz w:val="20"/>
              </w:rPr>
              <w:t xml:space="preserve"> compte des nouvelles tendances et des</w:t>
            </w:r>
            <w:r w:rsidR="00B659B5" w:rsidRPr="002D66DE">
              <w:rPr>
                <w:sz w:val="20"/>
              </w:rPr>
              <w:t xml:space="preserve"> nouveaux problèmes </w:t>
            </w:r>
            <w:r w:rsidRPr="002D66DE">
              <w:rPr>
                <w:sz w:val="20"/>
              </w:rPr>
              <w:t>qui se font jour.</w:t>
            </w:r>
          </w:p>
          <w:p w14:paraId="314A010C" w14:textId="157AEF2B" w:rsidR="00F476A1" w:rsidRPr="002D66DE" w:rsidRDefault="00CF3A88" w:rsidP="00C55BDB">
            <w:pPr>
              <w:pStyle w:val="Tabletext"/>
              <w:rPr>
                <w:sz w:val="20"/>
              </w:rPr>
            </w:pPr>
            <w:bookmarkStart w:id="121" w:name="lt_pId460"/>
            <w:r w:rsidRPr="002D66DE">
              <w:rPr>
                <w:sz w:val="20"/>
              </w:rPr>
              <w:t xml:space="preserve">Certains autres membres ont fait observer que cette disposition ne prend pas pleinement en compte les services de </w:t>
            </w:r>
            <w:r w:rsidR="00F476A1" w:rsidRPr="002D66DE">
              <w:rPr>
                <w:sz w:val="20"/>
              </w:rPr>
              <w:t xml:space="preserve">communication </w:t>
            </w:r>
            <w:r w:rsidRPr="002D66DE">
              <w:rPr>
                <w:sz w:val="20"/>
              </w:rPr>
              <w:t xml:space="preserve">rendus ou accessibles </w:t>
            </w:r>
            <w:r w:rsidR="00F064C9" w:rsidRPr="002D66DE">
              <w:rPr>
                <w:sz w:val="20"/>
              </w:rPr>
              <w:t>par l</w:t>
            </w:r>
            <w:r w:rsidR="009F4D21" w:rsidRPr="002D66DE">
              <w:rPr>
                <w:sz w:val="20"/>
              </w:rPr>
              <w:t>'</w:t>
            </w:r>
            <w:r w:rsidR="00F064C9" w:rsidRPr="002D66DE">
              <w:rPr>
                <w:sz w:val="20"/>
              </w:rPr>
              <w:t>Internet</w:t>
            </w:r>
            <w:r w:rsidR="00F476A1" w:rsidRPr="002D66DE">
              <w:rPr>
                <w:sz w:val="20"/>
              </w:rPr>
              <w:t xml:space="preserve">, </w:t>
            </w:r>
            <w:r w:rsidR="00F064C9" w:rsidRPr="002D66DE">
              <w:rPr>
                <w:sz w:val="20"/>
              </w:rPr>
              <w:t xml:space="preserve">certains </w:t>
            </w:r>
            <w:r w:rsidR="007E2FFC" w:rsidRPr="002D66DE">
              <w:rPr>
                <w:sz w:val="20"/>
              </w:rPr>
              <w:t>d</w:t>
            </w:r>
            <w:r w:rsidR="009F4D21" w:rsidRPr="002D66DE">
              <w:rPr>
                <w:sz w:val="20"/>
              </w:rPr>
              <w:t>'</w:t>
            </w:r>
            <w:r w:rsidR="007E2FFC" w:rsidRPr="002D66DE">
              <w:rPr>
                <w:sz w:val="20"/>
              </w:rPr>
              <w:t xml:space="preserve">entre eux </w:t>
            </w:r>
            <w:r w:rsidR="00F064C9" w:rsidRPr="002D66DE">
              <w:rPr>
                <w:sz w:val="20"/>
              </w:rPr>
              <w:t>soulignant que différentes terminologies sont utilisées dans les accords commerciaux pour désigner la même chose</w:t>
            </w:r>
            <w:r w:rsidR="00F476A1" w:rsidRPr="002D66DE">
              <w:rPr>
                <w:sz w:val="20"/>
              </w:rPr>
              <w:t>.</w:t>
            </w:r>
            <w:bookmarkEnd w:id="121"/>
          </w:p>
          <w:p w14:paraId="53029A3F" w14:textId="06EF6BB3" w:rsidR="00F476A1" w:rsidRPr="002D66DE" w:rsidRDefault="001E4E68" w:rsidP="00C55BDB">
            <w:pPr>
              <w:pStyle w:val="Tabletext"/>
              <w:rPr>
                <w:sz w:val="20"/>
                <w:szCs w:val="20"/>
              </w:rPr>
            </w:pPr>
            <w:r w:rsidRPr="002D66DE">
              <w:rPr>
                <w:sz w:val="20"/>
              </w:rPr>
              <w:t xml:space="preserve">Certains membres ont estimé que cette </w:t>
            </w:r>
            <w:r w:rsidR="002F5D56" w:rsidRPr="002D66DE">
              <w:rPr>
                <w:sz w:val="20"/>
              </w:rPr>
              <w:t>définition/</w:t>
            </w:r>
            <w:r w:rsidRPr="002D66DE">
              <w:rPr>
                <w:sz w:val="20"/>
              </w:rPr>
              <w:t>disposition n</w:t>
            </w:r>
            <w:r w:rsidR="009F4D21" w:rsidRPr="002D66DE">
              <w:rPr>
                <w:sz w:val="20"/>
              </w:rPr>
              <w:t>'</w:t>
            </w:r>
            <w:r w:rsidRPr="002D66DE">
              <w:rPr>
                <w:sz w:val="20"/>
              </w:rPr>
              <w:t>est ni souple, ni rigide pour ce qui est de tenir compte des nouvelles tendances et des</w:t>
            </w:r>
            <w:r w:rsidR="00B659B5" w:rsidRPr="002D66DE">
              <w:rPr>
                <w:sz w:val="20"/>
              </w:rPr>
              <w:t xml:space="preserve"> nouveaux problèmes </w:t>
            </w:r>
            <w:r w:rsidRPr="002D66DE">
              <w:rPr>
                <w:sz w:val="20"/>
              </w:rPr>
              <w:t>qui se font jour.</w:t>
            </w:r>
          </w:p>
        </w:tc>
        <w:tc>
          <w:tcPr>
            <w:tcW w:w="2424" w:type="dxa"/>
          </w:tcPr>
          <w:p w14:paraId="1A0F3FD3" w14:textId="096AAD0A"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4970C687" w14:textId="46E9E174"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25E45681" w14:textId="3ADD2BCC" w:rsidR="00F476A1" w:rsidRPr="002D66DE" w:rsidRDefault="00D31A27" w:rsidP="00C55BDB">
            <w:pPr>
              <w:pStyle w:val="Tabletext"/>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p>
        </w:tc>
      </w:tr>
      <w:tr w:rsidR="00A74E53" w:rsidRPr="002D66DE" w14:paraId="3550AFDB" w14:textId="77777777" w:rsidTr="00AC7710">
        <w:tc>
          <w:tcPr>
            <w:tcW w:w="987" w:type="dxa"/>
          </w:tcPr>
          <w:p w14:paraId="3641D74D" w14:textId="77777777" w:rsidR="00F476A1" w:rsidRPr="002D66DE" w:rsidRDefault="00F476A1" w:rsidP="00AC7710">
            <w:pPr>
              <w:pStyle w:val="Tablehead"/>
              <w:keepNext/>
              <w:keepLines/>
              <w:rPr>
                <w:sz w:val="20"/>
                <w:szCs w:val="20"/>
              </w:rPr>
            </w:pPr>
          </w:p>
        </w:tc>
        <w:tc>
          <w:tcPr>
            <w:tcW w:w="2860" w:type="dxa"/>
          </w:tcPr>
          <w:p w14:paraId="16ED80FD" w14:textId="4C4F4952" w:rsidR="00F476A1" w:rsidRPr="002D66DE" w:rsidRDefault="00F476A1" w:rsidP="00AC7710">
            <w:pPr>
              <w:pStyle w:val="Tabletext"/>
              <w:keepNext/>
              <w:keepLines/>
              <w:rPr>
                <w:b/>
                <w:bCs/>
                <w:sz w:val="20"/>
                <w:szCs w:val="20"/>
              </w:rPr>
            </w:pPr>
            <w:r w:rsidRPr="002D66DE">
              <w:rPr>
                <w:b/>
                <w:bCs/>
                <w:sz w:val="20"/>
                <w:szCs w:val="20"/>
              </w:rPr>
              <w:t>N/A</w:t>
            </w:r>
          </w:p>
        </w:tc>
        <w:tc>
          <w:tcPr>
            <w:tcW w:w="3378" w:type="dxa"/>
          </w:tcPr>
          <w:p w14:paraId="307A1F7C" w14:textId="77777777" w:rsidR="00F476A1" w:rsidRPr="002D66DE" w:rsidRDefault="00F476A1" w:rsidP="00AC7710">
            <w:pPr>
              <w:pStyle w:val="Tabletext"/>
              <w:keepNext/>
              <w:keepLines/>
              <w:rPr>
                <w:sz w:val="20"/>
                <w:szCs w:val="20"/>
              </w:rPr>
            </w:pPr>
            <w:r w:rsidRPr="002D66DE">
              <w:rPr>
                <w:sz w:val="20"/>
                <w:szCs w:val="20"/>
              </w:rPr>
              <w:t>2.10</w:t>
            </w:r>
            <w:r w:rsidRPr="002D66DE">
              <w:rPr>
                <w:sz w:val="20"/>
                <w:szCs w:val="20"/>
              </w:rPr>
              <w:tab/>
            </w:r>
            <w:r w:rsidRPr="002D66DE">
              <w:rPr>
                <w:i/>
                <w:sz w:val="20"/>
                <w:szCs w:val="20"/>
              </w:rPr>
              <w:t xml:space="preserve">Instruction: </w:t>
            </w:r>
            <w:r w:rsidRPr="002D66DE">
              <w:rPr>
                <w:sz w:val="20"/>
                <w:szCs w:val="20"/>
              </w:rPr>
              <w:t>Ensemble des dispositions tirées d'une Recommandation ou de Recommandations du CCITT traitant des modalités pratiques d'exploitation relatives au traitement du trafic de télécommunication (par exemple, acceptation, transmission, comptabilité).</w:t>
            </w:r>
          </w:p>
        </w:tc>
        <w:tc>
          <w:tcPr>
            <w:tcW w:w="2951" w:type="dxa"/>
          </w:tcPr>
          <w:p w14:paraId="5816AD04" w14:textId="77777777" w:rsidR="00F476A1" w:rsidRPr="002D66DE" w:rsidRDefault="00F476A1" w:rsidP="00AC7710">
            <w:pPr>
              <w:pStyle w:val="Tabletext"/>
              <w:keepNext/>
              <w:keepLines/>
              <w:rPr>
                <w:sz w:val="20"/>
                <w:szCs w:val="20"/>
              </w:rPr>
            </w:pPr>
          </w:p>
        </w:tc>
        <w:tc>
          <w:tcPr>
            <w:tcW w:w="2577" w:type="dxa"/>
          </w:tcPr>
          <w:p w14:paraId="78F84B8A" w14:textId="77777777" w:rsidR="00F476A1" w:rsidRPr="002D66DE" w:rsidRDefault="00F476A1" w:rsidP="00AC7710">
            <w:pPr>
              <w:pStyle w:val="Tabletext"/>
              <w:keepNext/>
              <w:keepLines/>
              <w:rPr>
                <w:sz w:val="20"/>
                <w:szCs w:val="20"/>
              </w:rPr>
            </w:pPr>
          </w:p>
        </w:tc>
        <w:tc>
          <w:tcPr>
            <w:tcW w:w="2424" w:type="dxa"/>
          </w:tcPr>
          <w:p w14:paraId="6876EC36" w14:textId="77777777" w:rsidR="00F476A1" w:rsidRPr="002D66DE" w:rsidRDefault="00F476A1" w:rsidP="00AC7710">
            <w:pPr>
              <w:pStyle w:val="Tabletext"/>
              <w:keepNext/>
              <w:keepLines/>
              <w:rPr>
                <w:sz w:val="20"/>
                <w:szCs w:val="20"/>
              </w:rPr>
            </w:pPr>
          </w:p>
        </w:tc>
      </w:tr>
    </w:tbl>
    <w:p w14:paraId="796CA664" w14:textId="77777777" w:rsidR="0066635B" w:rsidRPr="002D66DE" w:rsidRDefault="0066635B"/>
    <w:tbl>
      <w:tblPr>
        <w:tblStyle w:val="TableGrid1"/>
        <w:tblW w:w="15177" w:type="dxa"/>
        <w:tblLook w:val="04A0" w:firstRow="1" w:lastRow="0" w:firstColumn="1" w:lastColumn="0" w:noHBand="0" w:noVBand="1"/>
      </w:tblPr>
      <w:tblGrid>
        <w:gridCol w:w="987"/>
        <w:gridCol w:w="2860"/>
        <w:gridCol w:w="3378"/>
        <w:gridCol w:w="2951"/>
        <w:gridCol w:w="2577"/>
        <w:gridCol w:w="18"/>
        <w:gridCol w:w="2406"/>
      </w:tblGrid>
      <w:tr w:rsidR="00A46447" w:rsidRPr="002D66DE" w14:paraId="4B6137EE" w14:textId="77777777" w:rsidTr="00A46447">
        <w:trPr>
          <w:tblHeader/>
        </w:trPr>
        <w:tc>
          <w:tcPr>
            <w:tcW w:w="987" w:type="dxa"/>
            <w:vAlign w:val="center"/>
          </w:tcPr>
          <w:p w14:paraId="316ECCAF" w14:textId="77777777" w:rsidR="00A46447" w:rsidRPr="002D66DE" w:rsidRDefault="00A46447" w:rsidP="00520602">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vAlign w:val="center"/>
          </w:tcPr>
          <w:p w14:paraId="02AF1D82" w14:textId="77777777" w:rsidR="00A46447" w:rsidRPr="002D66DE" w:rsidRDefault="00A46447" w:rsidP="00520602">
            <w:pPr>
              <w:pStyle w:val="Tablehead"/>
              <w:rPr>
                <w:rFonts w:asciiTheme="minorHAnsi" w:hAnsiTheme="minorHAnsi" w:cstheme="minorHAnsi"/>
                <w:sz w:val="20"/>
                <w:szCs w:val="20"/>
              </w:rPr>
            </w:pPr>
            <w:r w:rsidRPr="002D66DE">
              <w:rPr>
                <w:sz w:val="20"/>
                <w:szCs w:val="20"/>
              </w:rPr>
              <w:t>Paragraphe et disposition</w:t>
            </w:r>
          </w:p>
        </w:tc>
        <w:tc>
          <w:tcPr>
            <w:tcW w:w="3378" w:type="dxa"/>
            <w:vAlign w:val="center"/>
          </w:tcPr>
          <w:p w14:paraId="130BC617" w14:textId="77777777" w:rsidR="00A46447" w:rsidRPr="002D66DE" w:rsidRDefault="00A46447" w:rsidP="00520602">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vAlign w:val="center"/>
          </w:tcPr>
          <w:p w14:paraId="45BB2D3C" w14:textId="77777777" w:rsidR="00A46447" w:rsidRPr="002D66DE" w:rsidRDefault="00A46447" w:rsidP="00520602">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95" w:type="dxa"/>
            <w:gridSpan w:val="2"/>
            <w:vAlign w:val="center"/>
          </w:tcPr>
          <w:p w14:paraId="38C32F37" w14:textId="77777777" w:rsidR="00A46447" w:rsidRPr="002D66DE" w:rsidRDefault="00A46447" w:rsidP="00520602">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06" w:type="dxa"/>
            <w:vAlign w:val="center"/>
          </w:tcPr>
          <w:p w14:paraId="32F71158" w14:textId="77777777" w:rsidR="00A46447" w:rsidRPr="002D66DE" w:rsidRDefault="00A46447" w:rsidP="00520602">
            <w:pPr>
              <w:pStyle w:val="Tablehead"/>
              <w:rPr>
                <w:rFonts w:asciiTheme="minorHAnsi" w:hAnsiTheme="minorHAnsi" w:cstheme="minorHAnsi"/>
                <w:sz w:val="20"/>
                <w:szCs w:val="20"/>
              </w:rPr>
            </w:pPr>
            <w:r w:rsidRPr="002D66DE">
              <w:rPr>
                <w:sz w:val="20"/>
                <w:szCs w:val="20"/>
              </w:rPr>
              <w:t>Résumé des résultats</w:t>
            </w:r>
          </w:p>
        </w:tc>
      </w:tr>
      <w:tr w:rsidR="00AC7710" w:rsidRPr="002D66DE" w14:paraId="5EA74C85" w14:textId="77777777" w:rsidTr="00AC7710">
        <w:tc>
          <w:tcPr>
            <w:tcW w:w="987" w:type="dxa"/>
          </w:tcPr>
          <w:p w14:paraId="1B02DB89" w14:textId="1BD5686D" w:rsidR="00AC7710" w:rsidRPr="002D66DE" w:rsidRDefault="00AC7710" w:rsidP="00AC7710">
            <w:pPr>
              <w:pStyle w:val="Tablehead"/>
              <w:keepNext/>
              <w:keepLines/>
              <w:rPr>
                <w:sz w:val="20"/>
              </w:rPr>
            </w:pPr>
            <w:r w:rsidRPr="002D66DE">
              <w:rPr>
                <w:sz w:val="20"/>
                <w:szCs w:val="20"/>
              </w:rPr>
              <w:t>27</w:t>
            </w:r>
          </w:p>
        </w:tc>
        <w:tc>
          <w:tcPr>
            <w:tcW w:w="2860" w:type="dxa"/>
          </w:tcPr>
          <w:p w14:paraId="57ACCC7E" w14:textId="6932D457" w:rsidR="00AC7710" w:rsidRPr="002D66DE" w:rsidRDefault="00AC7710" w:rsidP="00AC7710">
            <w:pPr>
              <w:pStyle w:val="Tabletext"/>
              <w:keepNext/>
              <w:keepLines/>
              <w:rPr>
                <w:b/>
                <w:bCs/>
                <w:sz w:val="20"/>
              </w:rPr>
            </w:pPr>
            <w:r w:rsidRPr="002D66DE">
              <w:rPr>
                <w:b/>
                <w:bCs/>
                <w:sz w:val="20"/>
                <w:szCs w:val="20"/>
              </w:rPr>
              <w:t>3.1</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s'efforcent de veiller à ce que les exploitations autorisées coopèrent à l'établissement, à l'exploitation et à la maintenance du réseau international pour fournir une qualité de service satisfaisante.</w:t>
            </w:r>
          </w:p>
        </w:tc>
        <w:tc>
          <w:tcPr>
            <w:tcW w:w="3378" w:type="dxa"/>
          </w:tcPr>
          <w:p w14:paraId="1B2DE0AE" w14:textId="179CBCA7" w:rsidR="00AC7710" w:rsidRPr="002D66DE" w:rsidRDefault="00AC7710" w:rsidP="00AC7710">
            <w:pPr>
              <w:pStyle w:val="Tabletext"/>
              <w:keepNext/>
              <w:keepLines/>
              <w:rPr>
                <w:sz w:val="20"/>
              </w:rPr>
            </w:pPr>
            <w:r w:rsidRPr="002D66DE">
              <w:rPr>
                <w:sz w:val="20"/>
                <w:szCs w:val="20"/>
              </w:rPr>
              <w:t>3.1</w:t>
            </w:r>
            <w:r w:rsidRPr="002D66DE">
              <w:rPr>
                <w:sz w:val="20"/>
                <w:szCs w:val="20"/>
              </w:rPr>
              <w:tab/>
              <w:t>Les Membres font en sorte que les administrations</w:t>
            </w:r>
            <w:r w:rsidR="0066635B" w:rsidRPr="002D66DE">
              <w:rPr>
                <w:rStyle w:val="FootnoteReference"/>
                <w:szCs w:val="20"/>
              </w:rPr>
              <w:footnoteReference w:customMarkFollows="1" w:id="7"/>
              <w:t>*</w:t>
            </w:r>
            <w:r w:rsidRPr="002D66DE">
              <w:rPr>
                <w:sz w:val="20"/>
                <w:szCs w:val="20"/>
              </w:rPr>
              <w:t xml:space="preserve"> coopèrent à l'établissement, à l'exploitation et à la maintenance du réseau international pour fournir une qualité de service satisfaisante.</w:t>
            </w:r>
          </w:p>
        </w:tc>
        <w:tc>
          <w:tcPr>
            <w:tcW w:w="2951" w:type="dxa"/>
          </w:tcPr>
          <w:p w14:paraId="293E26BF" w14:textId="77777777" w:rsidR="00AC7710" w:rsidRPr="002D66DE" w:rsidRDefault="00AC7710" w:rsidP="00AC7710">
            <w:pPr>
              <w:pStyle w:val="Tabletext"/>
              <w:rPr>
                <w:sz w:val="20"/>
              </w:rPr>
            </w:pPr>
            <w:r w:rsidRPr="002D66DE">
              <w:rPr>
                <w:sz w:val="20"/>
              </w:rPr>
              <w:t>De l'avis de certains membres, cette disposition est applicable et encourage le développement des réseaux et des services, et elle répond au besoin actuel de développement des services de réseau conformes aux normes convenues de qualité de service.</w:t>
            </w:r>
          </w:p>
          <w:p w14:paraId="4A11440F" w14:textId="60F666BC" w:rsidR="00AC7710" w:rsidRPr="002D66DE" w:rsidRDefault="00AC7710" w:rsidP="00AC7710">
            <w:pPr>
              <w:pStyle w:val="Tabletext"/>
              <w:rPr>
                <w:sz w:val="20"/>
              </w:rPr>
            </w:pPr>
            <w:r w:rsidRPr="002D66DE">
              <w:rPr>
                <w:sz w:val="20"/>
              </w:rPr>
              <w:t>Certains membres ont estimé que cette disposition n'est pas applicable étant donné que le membre de phrase "Les États Membres s'efforcent de veiller" est impossible à appliquer, et que la concurrence sur le marché est le moyen le plus efficace de garantir une qualité de service satisfaisante, tout en favorisant la fourniture et le développement.</w:t>
            </w:r>
          </w:p>
        </w:tc>
        <w:tc>
          <w:tcPr>
            <w:tcW w:w="2577" w:type="dxa"/>
          </w:tcPr>
          <w:p w14:paraId="7CE622BC" w14:textId="77777777" w:rsidR="00AC7710" w:rsidRPr="002D66DE" w:rsidRDefault="00AC7710" w:rsidP="00AC7710">
            <w:pPr>
              <w:pStyle w:val="Tabletext"/>
              <w:rPr>
                <w:sz w:val="20"/>
              </w:rPr>
            </w:pPr>
            <w:r w:rsidRPr="002D66DE">
              <w:rPr>
                <w:sz w:val="20"/>
              </w:rPr>
              <w:t xml:space="preserve">Certains membres ont estimé que cette disposition garantit la souplesse nécessaire. </w:t>
            </w:r>
          </w:p>
          <w:p w14:paraId="136CCCEB" w14:textId="67D018A1" w:rsidR="00AC7710" w:rsidRPr="002D66DE" w:rsidRDefault="00AC7710" w:rsidP="00AC7710">
            <w:pPr>
              <w:pStyle w:val="Tabletext"/>
              <w:rPr>
                <w:sz w:val="20"/>
              </w:rPr>
            </w:pPr>
            <w:r w:rsidRPr="002D66DE">
              <w:rPr>
                <w:sz w:val="20"/>
              </w:rPr>
              <w:t>De l'avis de certains membres, il se peut que les mesures prises par les États Membres au titre de cette disposition pour assurer certains niveaux de qualité de service freinent l'innovation.</w:t>
            </w:r>
          </w:p>
        </w:tc>
        <w:tc>
          <w:tcPr>
            <w:tcW w:w="2424" w:type="dxa"/>
            <w:gridSpan w:val="2"/>
          </w:tcPr>
          <w:p w14:paraId="5C294E28" w14:textId="04B004CC" w:rsidR="00AC7710" w:rsidRPr="002D66DE" w:rsidRDefault="00AC7710" w:rsidP="00AC7710">
            <w:pPr>
              <w:pStyle w:val="Tabletext"/>
              <w:rPr>
                <w:sz w:val="20"/>
                <w:szCs w:val="20"/>
              </w:rPr>
            </w:pPr>
            <w:r w:rsidRPr="002D66DE">
              <w:rPr>
                <w:sz w:val="20"/>
                <w:szCs w:val="20"/>
              </w:rPr>
              <w:t>Certains membres ont estimé que cette disposition n'a pas besoin d'être modifiée puisqu'elle est applicable et souple.</w:t>
            </w:r>
          </w:p>
          <w:p w14:paraId="4D605DA5" w14:textId="0E339773" w:rsidR="00AC7710" w:rsidRPr="002D66DE" w:rsidRDefault="00AC7710" w:rsidP="00AC7710">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n'est pas nécessaire, puisqu'elle n'est plus applicable ni souple.</w:t>
            </w:r>
          </w:p>
          <w:p w14:paraId="4FFE0233" w14:textId="04F55BE3" w:rsidR="00AC7710" w:rsidRPr="002D66DE" w:rsidRDefault="00AC7710" w:rsidP="00AC7710">
            <w:pPr>
              <w:pStyle w:val="Tabletext"/>
              <w:keepNext/>
              <w:keepLines/>
              <w:rPr>
                <w:sz w:val="20"/>
              </w:rPr>
            </w:pPr>
            <w:r w:rsidRPr="002D66DE">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A74E53" w:rsidRPr="002D66DE" w14:paraId="6FA61C40" w14:textId="77777777" w:rsidTr="00AC7710">
        <w:tc>
          <w:tcPr>
            <w:tcW w:w="987" w:type="dxa"/>
          </w:tcPr>
          <w:p w14:paraId="54D28F71" w14:textId="04E14E6A" w:rsidR="00F476A1" w:rsidRPr="002D66DE" w:rsidRDefault="00F476A1" w:rsidP="004C7683">
            <w:pPr>
              <w:pStyle w:val="Tablehead"/>
              <w:keepNext/>
              <w:keepLines/>
              <w:rPr>
                <w:sz w:val="20"/>
                <w:szCs w:val="20"/>
              </w:rPr>
            </w:pPr>
          </w:p>
        </w:tc>
        <w:tc>
          <w:tcPr>
            <w:tcW w:w="2860" w:type="dxa"/>
          </w:tcPr>
          <w:p w14:paraId="2CD5CE2C" w14:textId="6FB4C472" w:rsidR="00F476A1" w:rsidRPr="002D66DE" w:rsidRDefault="00F476A1" w:rsidP="004C7683">
            <w:pPr>
              <w:pStyle w:val="Tabletext"/>
              <w:keepNext/>
              <w:keepLines/>
              <w:rPr>
                <w:b/>
                <w:bCs/>
                <w:sz w:val="20"/>
                <w:szCs w:val="20"/>
              </w:rPr>
            </w:pPr>
          </w:p>
        </w:tc>
        <w:tc>
          <w:tcPr>
            <w:tcW w:w="3378" w:type="dxa"/>
          </w:tcPr>
          <w:p w14:paraId="21534BF2" w14:textId="5289FBDE" w:rsidR="00F476A1" w:rsidRPr="002D66DE" w:rsidRDefault="00F476A1" w:rsidP="004C7683">
            <w:pPr>
              <w:pStyle w:val="Tabletext"/>
              <w:keepNext/>
              <w:keepLines/>
              <w:rPr>
                <w:sz w:val="20"/>
                <w:szCs w:val="20"/>
              </w:rPr>
            </w:pPr>
          </w:p>
        </w:tc>
        <w:tc>
          <w:tcPr>
            <w:tcW w:w="2951" w:type="dxa"/>
          </w:tcPr>
          <w:p w14:paraId="4EAADD06" w14:textId="3919669E" w:rsidR="00985C8C" w:rsidRPr="002D66DE" w:rsidRDefault="00985C8C" w:rsidP="004C7683">
            <w:pPr>
              <w:pStyle w:val="Tabletext"/>
              <w:keepNext/>
              <w:keepLines/>
              <w:rPr>
                <w:sz w:val="20"/>
              </w:rPr>
            </w:pPr>
            <w:bookmarkStart w:id="122" w:name="lt_pId475"/>
            <w:r w:rsidRPr="002D66DE">
              <w:rPr>
                <w:sz w:val="20"/>
              </w:rPr>
              <w:t>Certains</w:t>
            </w:r>
            <w:r w:rsidR="00F476A1" w:rsidRPr="002D66DE">
              <w:rPr>
                <w:sz w:val="20"/>
              </w:rPr>
              <w:t xml:space="preserve"> memb</w:t>
            </w:r>
            <w:r w:rsidRPr="002D66DE">
              <w:rPr>
                <w:sz w:val="20"/>
              </w:rPr>
              <w:t>res ont estimé que cette disposition est a</w:t>
            </w:r>
            <w:r w:rsidR="00F476A1" w:rsidRPr="002D66DE">
              <w:rPr>
                <w:sz w:val="20"/>
              </w:rPr>
              <w:t xml:space="preserve">pplicable </w:t>
            </w:r>
            <w:r w:rsidRPr="002D66DE">
              <w:rPr>
                <w:sz w:val="20"/>
              </w:rPr>
              <w:t>aux seules exploitations autorisées au sens du RTI</w:t>
            </w:r>
            <w:r w:rsidR="00F476A1" w:rsidRPr="002D66DE">
              <w:rPr>
                <w:sz w:val="20"/>
              </w:rPr>
              <w:t>.</w:t>
            </w:r>
            <w:bookmarkEnd w:id="122"/>
          </w:p>
          <w:p w14:paraId="13955437" w14:textId="218D3B28" w:rsidR="00F476A1" w:rsidRPr="002D66DE" w:rsidRDefault="00985C8C" w:rsidP="004C7683">
            <w:pPr>
              <w:pStyle w:val="Tabletext"/>
              <w:keepNext/>
              <w:keepLines/>
              <w:rPr>
                <w:sz w:val="20"/>
                <w:szCs w:val="20"/>
              </w:rPr>
            </w:pPr>
            <w:r w:rsidRPr="002D66DE">
              <w:rPr>
                <w:sz w:val="20"/>
              </w:rPr>
              <w:t>Certains membres ont estimé que cette</w:t>
            </w:r>
            <w:r w:rsidR="00F476A1" w:rsidRPr="002D66DE">
              <w:rPr>
                <w:sz w:val="20"/>
                <w:szCs w:val="20"/>
              </w:rPr>
              <w:t xml:space="preserve"> disposition </w:t>
            </w:r>
            <w:r w:rsidR="00856F5A" w:rsidRPr="002D66DE">
              <w:rPr>
                <w:sz w:val="20"/>
                <w:szCs w:val="20"/>
              </w:rPr>
              <w:t>appuie</w:t>
            </w:r>
            <w:r w:rsidR="00F476A1" w:rsidRPr="002D66DE">
              <w:rPr>
                <w:sz w:val="20"/>
                <w:szCs w:val="20"/>
              </w:rPr>
              <w:t xml:space="preserve"> le développement des réseaux et des services de télécommunication de qualité, même si le sens de l'adjectif "satisfaisante" est vague.</w:t>
            </w:r>
          </w:p>
        </w:tc>
        <w:tc>
          <w:tcPr>
            <w:tcW w:w="2577" w:type="dxa"/>
          </w:tcPr>
          <w:p w14:paraId="616A0EF1" w14:textId="05E83A83" w:rsidR="0013133D" w:rsidRPr="002D66DE" w:rsidRDefault="00985C8C" w:rsidP="004C7683">
            <w:pPr>
              <w:pStyle w:val="Tabletext"/>
              <w:keepNext/>
              <w:keepLines/>
              <w:rPr>
                <w:sz w:val="20"/>
                <w:szCs w:val="20"/>
              </w:rPr>
            </w:pPr>
            <w:r w:rsidRPr="002D66DE">
              <w:rPr>
                <w:sz w:val="20"/>
              </w:rPr>
              <w:t>Certains membres ont estimé que</w:t>
            </w:r>
            <w:r w:rsidR="0013133D" w:rsidRPr="002D66DE">
              <w:rPr>
                <w:sz w:val="20"/>
              </w:rPr>
              <w:t xml:space="preserve"> les acteurs al</w:t>
            </w:r>
            <w:r w:rsidR="00F476A1" w:rsidRPr="002D66DE">
              <w:rPr>
                <w:sz w:val="20"/>
                <w:szCs w:val="20"/>
              </w:rPr>
              <w:t>ternatifs fournissant des services de communications électroniques ne concourent pas directement à l'entretien et au développement du réseau international et ne sont pas représentés dans les pays</w:t>
            </w:r>
            <w:r w:rsidR="0013133D" w:rsidRPr="002D66DE">
              <w:rPr>
                <w:sz w:val="20"/>
                <w:szCs w:val="20"/>
              </w:rPr>
              <w:t xml:space="preserve"> concernés</w:t>
            </w:r>
            <w:r w:rsidR="00F476A1" w:rsidRPr="002D66DE">
              <w:rPr>
                <w:sz w:val="20"/>
                <w:szCs w:val="20"/>
              </w:rPr>
              <w:t>.</w:t>
            </w:r>
          </w:p>
          <w:p w14:paraId="62CC7887" w14:textId="0BEAFF3A" w:rsidR="00F476A1" w:rsidRPr="002D66DE" w:rsidRDefault="0013133D" w:rsidP="004C7683">
            <w:pPr>
              <w:pStyle w:val="Tabletext"/>
              <w:keepNext/>
              <w:keepLines/>
              <w:rPr>
                <w:sz w:val="20"/>
                <w:szCs w:val="20"/>
              </w:rPr>
            </w:pPr>
            <w:r w:rsidRPr="002D66DE">
              <w:rPr>
                <w:sz w:val="20"/>
                <w:szCs w:val="20"/>
              </w:rPr>
              <w:t>Certains membres ont fait observer que les</w:t>
            </w:r>
            <w:r w:rsidR="00F476A1" w:rsidRPr="002D66DE">
              <w:rPr>
                <w:sz w:val="20"/>
                <w:szCs w:val="20"/>
              </w:rPr>
              <w:t xml:space="preserve"> services internationaux de télécommunication sont fournis sur la base de la qualité convenue avec les autres parties et selon des termes commerciaux.</w:t>
            </w:r>
          </w:p>
        </w:tc>
        <w:tc>
          <w:tcPr>
            <w:tcW w:w="2424" w:type="dxa"/>
            <w:gridSpan w:val="2"/>
          </w:tcPr>
          <w:p w14:paraId="5938B5DF" w14:textId="46AB928E" w:rsidR="00F476A1" w:rsidRPr="002D66DE" w:rsidRDefault="00F476A1" w:rsidP="004C7683">
            <w:pPr>
              <w:pStyle w:val="Tabletext"/>
              <w:keepNext/>
              <w:keepLines/>
              <w:rPr>
                <w:sz w:val="20"/>
                <w:szCs w:val="20"/>
              </w:rPr>
            </w:pPr>
          </w:p>
        </w:tc>
      </w:tr>
    </w:tbl>
    <w:p w14:paraId="664FE577" w14:textId="2222F49A" w:rsidR="00AC7710" w:rsidRPr="002D66DE" w:rsidRDefault="00AC7710">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AC7710" w:rsidRPr="002D66DE" w14:paraId="5B53142D" w14:textId="77777777" w:rsidTr="00AC7710">
        <w:tc>
          <w:tcPr>
            <w:tcW w:w="987" w:type="dxa"/>
          </w:tcPr>
          <w:p w14:paraId="400FA2EA"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32E9B7CF"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4B3D6102"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0CBF5748"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2384188F"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1DAEF0A8"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09122935" w14:textId="77777777" w:rsidTr="00AC7710">
        <w:tc>
          <w:tcPr>
            <w:tcW w:w="987" w:type="dxa"/>
          </w:tcPr>
          <w:p w14:paraId="5296C733" w14:textId="08CA38A8" w:rsidR="00F476A1" w:rsidRPr="002D66DE" w:rsidRDefault="00F476A1" w:rsidP="00C55BDB">
            <w:pPr>
              <w:pStyle w:val="Tablehead"/>
              <w:rPr>
                <w:sz w:val="20"/>
                <w:szCs w:val="20"/>
              </w:rPr>
            </w:pPr>
            <w:r w:rsidRPr="002D66DE">
              <w:rPr>
                <w:sz w:val="20"/>
                <w:szCs w:val="20"/>
              </w:rPr>
              <w:t>28</w:t>
            </w:r>
          </w:p>
        </w:tc>
        <w:tc>
          <w:tcPr>
            <w:tcW w:w="2860" w:type="dxa"/>
          </w:tcPr>
          <w:p w14:paraId="7D64C46B" w14:textId="1767494B" w:rsidR="00F476A1" w:rsidRPr="002D66DE" w:rsidRDefault="00F476A1" w:rsidP="00C55BDB">
            <w:pPr>
              <w:pStyle w:val="Tabletext"/>
              <w:rPr>
                <w:b/>
                <w:bCs/>
                <w:sz w:val="20"/>
                <w:szCs w:val="20"/>
              </w:rPr>
            </w:pPr>
            <w:r w:rsidRPr="002D66DE">
              <w:rPr>
                <w:b/>
                <w:bCs/>
                <w:sz w:val="20"/>
                <w:szCs w:val="20"/>
              </w:rPr>
              <w:t>3.2</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s'efforcent de garantir la fourniture de moyens de télécommunication suffisants pour répondre à la demande de services internationaux de télécommunication.</w:t>
            </w:r>
          </w:p>
        </w:tc>
        <w:tc>
          <w:tcPr>
            <w:tcW w:w="3378" w:type="dxa"/>
          </w:tcPr>
          <w:p w14:paraId="1DD0355C" w14:textId="033F72BC" w:rsidR="00F476A1" w:rsidRPr="002D66DE" w:rsidRDefault="00F476A1" w:rsidP="00C55BDB">
            <w:pPr>
              <w:pStyle w:val="Tabletext"/>
              <w:rPr>
                <w:sz w:val="20"/>
                <w:szCs w:val="20"/>
              </w:rPr>
            </w:pPr>
            <w:r w:rsidRPr="002D66DE">
              <w:rPr>
                <w:sz w:val="20"/>
                <w:szCs w:val="20"/>
              </w:rPr>
              <w:t>3.2</w:t>
            </w:r>
            <w:r w:rsidRPr="002D66DE">
              <w:rPr>
                <w:sz w:val="20"/>
                <w:szCs w:val="20"/>
              </w:rPr>
              <w:tab/>
              <w:t>Les administrations</w:t>
            </w:r>
            <w:r w:rsidR="004C7683" w:rsidRPr="002D66DE">
              <w:rPr>
                <w:rStyle w:val="FootnoteReference"/>
                <w:szCs w:val="20"/>
              </w:rPr>
              <w:footnoteReference w:customMarkFollows="1" w:id="8"/>
              <w:t>*</w:t>
            </w:r>
            <w:r w:rsidRPr="002D66DE">
              <w:rPr>
                <w:sz w:val="20"/>
                <w:szCs w:val="20"/>
              </w:rPr>
              <w:t xml:space="preserve"> s'efforcent de fournir des moyens de télécommunication suffisants pour répondre aux besoins et à la demande de services internationaux de télécommunication</w:t>
            </w:r>
            <w:r w:rsidRPr="002D66DE">
              <w:rPr>
                <w:b/>
                <w:bCs/>
                <w:sz w:val="20"/>
                <w:szCs w:val="20"/>
              </w:rPr>
              <w:t>.</w:t>
            </w:r>
          </w:p>
        </w:tc>
        <w:tc>
          <w:tcPr>
            <w:tcW w:w="2951" w:type="dxa"/>
          </w:tcPr>
          <w:p w14:paraId="505C5190" w14:textId="1D39F690" w:rsidR="00F476A1" w:rsidRPr="002D66DE" w:rsidRDefault="0013133D" w:rsidP="00C55BDB">
            <w:pPr>
              <w:pStyle w:val="Tabletext"/>
              <w:rPr>
                <w:sz w:val="20"/>
              </w:rPr>
            </w:pPr>
            <w:bookmarkStart w:id="123" w:name="lt_pId489"/>
            <w:r w:rsidRPr="002D66DE">
              <w:rPr>
                <w:sz w:val="20"/>
              </w:rPr>
              <w:t>De l</w:t>
            </w:r>
            <w:r w:rsidR="009F4D21" w:rsidRPr="002D66DE">
              <w:rPr>
                <w:sz w:val="20"/>
              </w:rPr>
              <w:t>'</w:t>
            </w:r>
            <w:r w:rsidRPr="002D66DE">
              <w:rPr>
                <w:sz w:val="20"/>
              </w:rPr>
              <w:t>avis de certains membres</w:t>
            </w:r>
            <w:r w:rsidR="002D419D" w:rsidRPr="002D66DE">
              <w:rPr>
                <w:sz w:val="20"/>
              </w:rPr>
              <w:t>,</w:t>
            </w:r>
            <w:r w:rsidRPr="002D66DE">
              <w:rPr>
                <w:sz w:val="20"/>
              </w:rPr>
              <w:t xml:space="preserve"> cette disposition est </w:t>
            </w:r>
            <w:r w:rsidR="00F476A1" w:rsidRPr="002D66DE">
              <w:rPr>
                <w:sz w:val="20"/>
              </w:rPr>
              <w:t>applicable</w:t>
            </w:r>
            <w:r w:rsidRPr="002D66DE">
              <w:rPr>
                <w:sz w:val="20"/>
              </w:rPr>
              <w:t>, encourage le dé</w:t>
            </w:r>
            <w:r w:rsidR="00F476A1" w:rsidRPr="002D66DE">
              <w:rPr>
                <w:sz w:val="20"/>
              </w:rPr>
              <w:t>velop</w:t>
            </w:r>
            <w:r w:rsidRPr="002D66DE">
              <w:rPr>
                <w:sz w:val="20"/>
              </w:rPr>
              <w:t>pe</w:t>
            </w:r>
            <w:r w:rsidR="00F476A1" w:rsidRPr="002D66DE">
              <w:rPr>
                <w:sz w:val="20"/>
              </w:rPr>
              <w:t xml:space="preserve">ment </w:t>
            </w:r>
            <w:r w:rsidRPr="002D66DE">
              <w:rPr>
                <w:sz w:val="20"/>
              </w:rPr>
              <w:t xml:space="preserve">des réseaux et des </w:t>
            </w:r>
            <w:r w:rsidR="00F476A1" w:rsidRPr="002D66DE">
              <w:rPr>
                <w:sz w:val="20"/>
              </w:rPr>
              <w:t>services</w:t>
            </w:r>
            <w:r w:rsidRPr="002D66DE">
              <w:rPr>
                <w:sz w:val="20"/>
              </w:rPr>
              <w:t xml:space="preserve"> et répond au besoin actuel de développement des </w:t>
            </w:r>
            <w:r w:rsidR="00450F98" w:rsidRPr="002D66DE">
              <w:rPr>
                <w:sz w:val="20"/>
              </w:rPr>
              <w:t>services de réseau pour fournir des solutions aux différentes exploitations.</w:t>
            </w:r>
            <w:bookmarkEnd w:id="123"/>
          </w:p>
          <w:p w14:paraId="579BC0E5" w14:textId="572453C3" w:rsidR="00F476A1" w:rsidRPr="002D66DE" w:rsidRDefault="002D419D" w:rsidP="00C55BDB">
            <w:pPr>
              <w:pStyle w:val="Tabletext"/>
              <w:rPr>
                <w:sz w:val="20"/>
                <w:szCs w:val="20"/>
              </w:rPr>
            </w:pPr>
            <w:bookmarkStart w:id="124" w:name="lt_pId490"/>
            <w:r w:rsidRPr="002D66DE">
              <w:rPr>
                <w:sz w:val="20"/>
              </w:rPr>
              <w:t xml:space="preserve">Certains membres ont estimé que </w:t>
            </w:r>
            <w:r w:rsidR="00450F98" w:rsidRPr="002D66DE">
              <w:rPr>
                <w:sz w:val="20"/>
              </w:rPr>
              <w:t>le membre de phrase</w:t>
            </w:r>
            <w:r w:rsidRPr="002D66DE">
              <w:rPr>
                <w:sz w:val="20"/>
              </w:rPr>
              <w:t xml:space="preserve"> "Les États Membres s'efforcent de garantir" est impossible à appliquer et que cette activité relève aujourd</w:t>
            </w:r>
            <w:r w:rsidR="009F4D21" w:rsidRPr="002D66DE">
              <w:rPr>
                <w:sz w:val="20"/>
              </w:rPr>
              <w:t>'</w:t>
            </w:r>
            <w:r w:rsidRPr="002D66DE">
              <w:rPr>
                <w:sz w:val="20"/>
              </w:rPr>
              <w:t>hui de la responsabilité du secteur privé</w:t>
            </w:r>
            <w:r w:rsidR="00F476A1" w:rsidRPr="002D66DE">
              <w:rPr>
                <w:sz w:val="20"/>
              </w:rPr>
              <w:t>.</w:t>
            </w:r>
            <w:bookmarkEnd w:id="124"/>
          </w:p>
        </w:tc>
        <w:tc>
          <w:tcPr>
            <w:tcW w:w="2577" w:type="dxa"/>
          </w:tcPr>
          <w:p w14:paraId="18694CCC" w14:textId="25D56E73" w:rsidR="00F476A1" w:rsidRPr="002D66DE" w:rsidRDefault="00837381" w:rsidP="00C55BDB">
            <w:pPr>
              <w:pStyle w:val="Tabletext"/>
              <w:rPr>
                <w:rFonts w:cstheme="minorHAnsi"/>
                <w:sz w:val="20"/>
                <w:szCs w:val="20"/>
              </w:rPr>
            </w:pPr>
            <w:bookmarkStart w:id="125" w:name="lt_pId491"/>
            <w:r w:rsidRPr="002D66DE">
              <w:rPr>
                <w:sz w:val="20"/>
              </w:rPr>
              <w:t>C</w:t>
            </w:r>
            <w:r w:rsidR="003360FF" w:rsidRPr="002D66DE">
              <w:rPr>
                <w:sz w:val="20"/>
              </w:rPr>
              <w:t>ertains membres ont estimé que cette disposition garantit la souplesse nécessaire</w:t>
            </w:r>
            <w:r w:rsidR="003360FF" w:rsidRPr="002D66DE">
              <w:rPr>
                <w:rFonts w:cstheme="minorHAnsi"/>
                <w:sz w:val="20"/>
                <w:szCs w:val="20"/>
              </w:rPr>
              <w:t xml:space="preserve"> pour tenir compte des nouvelles tendances et des nouveaux problèmes qui se font jour, </w:t>
            </w:r>
            <w:r w:rsidRPr="002D66DE">
              <w:rPr>
                <w:rFonts w:cstheme="minorHAnsi"/>
                <w:sz w:val="20"/>
                <w:szCs w:val="20"/>
              </w:rPr>
              <w:t xml:space="preserve">et ont </w:t>
            </w:r>
            <w:r w:rsidR="003360FF" w:rsidRPr="002D66DE">
              <w:rPr>
                <w:rFonts w:cstheme="minorHAnsi"/>
                <w:sz w:val="20"/>
                <w:szCs w:val="20"/>
              </w:rPr>
              <w:t>soulign</w:t>
            </w:r>
            <w:r w:rsidRPr="002D66DE">
              <w:rPr>
                <w:rFonts w:cstheme="minorHAnsi"/>
                <w:sz w:val="20"/>
                <w:szCs w:val="20"/>
              </w:rPr>
              <w:t>é</w:t>
            </w:r>
            <w:r w:rsidR="003360FF" w:rsidRPr="002D66DE">
              <w:rPr>
                <w:rFonts w:cstheme="minorHAnsi"/>
                <w:sz w:val="20"/>
                <w:szCs w:val="20"/>
              </w:rPr>
              <w:t xml:space="preserve"> que la</w:t>
            </w:r>
            <w:r w:rsidR="00F476A1" w:rsidRPr="002D66DE">
              <w:rPr>
                <w:rFonts w:cstheme="minorHAnsi"/>
                <w:sz w:val="20"/>
                <w:szCs w:val="20"/>
              </w:rPr>
              <w:t xml:space="preserve"> demand</w:t>
            </w:r>
            <w:r w:rsidR="003360FF" w:rsidRPr="002D66DE">
              <w:rPr>
                <w:rFonts w:cstheme="minorHAnsi"/>
                <w:sz w:val="20"/>
                <w:szCs w:val="20"/>
              </w:rPr>
              <w:t>e</w:t>
            </w:r>
            <w:r w:rsidR="00FD0FDE" w:rsidRPr="002D66DE">
              <w:rPr>
                <w:rFonts w:cstheme="minorHAnsi"/>
                <w:sz w:val="20"/>
                <w:szCs w:val="20"/>
              </w:rPr>
              <w:t xml:space="preserve"> </w:t>
            </w:r>
            <w:r w:rsidR="003360FF" w:rsidRPr="002D66DE">
              <w:rPr>
                <w:rFonts w:cstheme="minorHAnsi"/>
                <w:sz w:val="20"/>
                <w:szCs w:val="20"/>
              </w:rPr>
              <w:t>de services internationaux de télécommunication repose sur des impératifs commerciaux fondés sur des demandes et des accords mutuels entre opérateur</w:t>
            </w:r>
            <w:r w:rsidR="00FD0FDE" w:rsidRPr="002D66DE">
              <w:rPr>
                <w:rFonts w:cstheme="minorHAnsi"/>
                <w:sz w:val="20"/>
                <w:szCs w:val="20"/>
              </w:rPr>
              <w:t>s</w:t>
            </w:r>
            <w:r w:rsidR="00F476A1" w:rsidRPr="002D66DE">
              <w:rPr>
                <w:rFonts w:cstheme="minorHAnsi"/>
                <w:sz w:val="20"/>
                <w:szCs w:val="20"/>
              </w:rPr>
              <w:t>.</w:t>
            </w:r>
            <w:bookmarkEnd w:id="125"/>
          </w:p>
          <w:p w14:paraId="0D43ED0F" w14:textId="62BA560A" w:rsidR="00F476A1" w:rsidRPr="002D66DE" w:rsidRDefault="004C7F56" w:rsidP="00C55BDB">
            <w:pPr>
              <w:pStyle w:val="Tabletext"/>
              <w:rPr>
                <w:sz w:val="20"/>
                <w:szCs w:val="20"/>
              </w:rPr>
            </w:pPr>
            <w:r w:rsidRPr="002D66DE">
              <w:rPr>
                <w:sz w:val="20"/>
                <w:szCs w:val="20"/>
              </w:rPr>
              <w:t>Certains membres ont estimé que s</w:t>
            </w:r>
            <w:r w:rsidR="00F476A1" w:rsidRPr="002D66DE">
              <w:rPr>
                <w:sz w:val="20"/>
                <w:szCs w:val="20"/>
              </w:rPr>
              <w:t>ur le marché actuel des télécommunications, la fourniture d'installations est assurée essentiellement par le secteur privé, et non par les États Membres.</w:t>
            </w:r>
          </w:p>
        </w:tc>
        <w:tc>
          <w:tcPr>
            <w:tcW w:w="2424" w:type="dxa"/>
          </w:tcPr>
          <w:p w14:paraId="3D0D2732" w14:textId="60D24FE9" w:rsidR="00D31A27"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01EA0017" w14:textId="7F5083C5" w:rsidR="00F476A1" w:rsidRPr="002D66DE" w:rsidRDefault="00D31A27"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4EDC0C82" w14:textId="6AD8BF73" w:rsidR="00AC7710" w:rsidRPr="002D66DE" w:rsidRDefault="00AC7710"/>
    <w:p w14:paraId="18359205" w14:textId="5A2F8B61" w:rsidR="00AC7710" w:rsidRPr="002D66DE" w:rsidRDefault="00AC7710">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AC7710" w:rsidRPr="002D66DE" w14:paraId="0851DD7F" w14:textId="77777777" w:rsidTr="00AC7710">
        <w:trPr>
          <w:tblHeader/>
        </w:trPr>
        <w:tc>
          <w:tcPr>
            <w:tcW w:w="987" w:type="dxa"/>
          </w:tcPr>
          <w:p w14:paraId="22490F35"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67D92C42"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1183CF2C"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08AF93BE"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52C3A1CF"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36236E79"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2CE82C33" w14:textId="77777777" w:rsidTr="00AC7710">
        <w:tc>
          <w:tcPr>
            <w:tcW w:w="987" w:type="dxa"/>
          </w:tcPr>
          <w:p w14:paraId="18C3883C" w14:textId="70E71622" w:rsidR="00F476A1" w:rsidRPr="002D66DE" w:rsidRDefault="00F476A1" w:rsidP="00C55BDB">
            <w:pPr>
              <w:pStyle w:val="Tablehead"/>
              <w:rPr>
                <w:sz w:val="20"/>
                <w:szCs w:val="20"/>
              </w:rPr>
            </w:pPr>
            <w:r w:rsidRPr="002D66DE">
              <w:rPr>
                <w:sz w:val="20"/>
                <w:szCs w:val="20"/>
              </w:rPr>
              <w:t>29</w:t>
            </w:r>
          </w:p>
        </w:tc>
        <w:tc>
          <w:tcPr>
            <w:tcW w:w="2860" w:type="dxa"/>
          </w:tcPr>
          <w:p w14:paraId="204E3630" w14:textId="77777777" w:rsidR="00F476A1" w:rsidRPr="002D66DE" w:rsidRDefault="00F476A1" w:rsidP="00C55BDB">
            <w:pPr>
              <w:pStyle w:val="Tabletext"/>
              <w:rPr>
                <w:b/>
                <w:bCs/>
                <w:sz w:val="20"/>
                <w:szCs w:val="20"/>
              </w:rPr>
            </w:pPr>
            <w:r w:rsidRPr="002D66DE">
              <w:rPr>
                <w:b/>
                <w:bCs/>
                <w:sz w:val="20"/>
                <w:szCs w:val="20"/>
              </w:rPr>
              <w:t>3.3</w:t>
            </w:r>
            <w:r w:rsidRPr="002D66DE">
              <w:rPr>
                <w:b/>
                <w:bCs/>
                <w:sz w:val="20"/>
                <w:szCs w:val="20"/>
              </w:rPr>
              <w:tab/>
              <w:t>Les exploitations autorisées déterminent par accord mutuel les voies d'acheminement internationales à utiliser. Dans l'attente d'un accord et pour autant qu'il n'existe pas de voie d'acheminement directe entre les exploitations terminales autorisées en cause, l'exploitation autorisée d'origine a le choix de déterminer l'acheminement de son trafic de télécommunication de départ, en tenant compte des intérêts des exploitations autorisées de transit et de destination concernées.</w:t>
            </w:r>
          </w:p>
        </w:tc>
        <w:tc>
          <w:tcPr>
            <w:tcW w:w="3378" w:type="dxa"/>
          </w:tcPr>
          <w:p w14:paraId="73819634" w14:textId="627FE01A" w:rsidR="00F476A1" w:rsidRPr="002D66DE" w:rsidRDefault="00F476A1" w:rsidP="00C55BDB">
            <w:pPr>
              <w:pStyle w:val="Tabletext"/>
              <w:rPr>
                <w:sz w:val="20"/>
                <w:szCs w:val="20"/>
              </w:rPr>
            </w:pPr>
            <w:r w:rsidRPr="002D66DE">
              <w:rPr>
                <w:sz w:val="20"/>
                <w:szCs w:val="20"/>
              </w:rPr>
              <w:t>3.3</w:t>
            </w:r>
            <w:r w:rsidRPr="002D66DE">
              <w:rPr>
                <w:sz w:val="20"/>
                <w:szCs w:val="20"/>
              </w:rPr>
              <w:tab/>
              <w:t>Les administrations</w:t>
            </w:r>
            <w:r w:rsidR="004C7683" w:rsidRPr="002D66DE">
              <w:rPr>
                <w:rStyle w:val="FootnoteReference"/>
                <w:szCs w:val="20"/>
              </w:rPr>
              <w:footnoteReference w:customMarkFollows="1" w:id="9"/>
              <w:t>*</w:t>
            </w:r>
            <w:r w:rsidRPr="002D66DE">
              <w:rPr>
                <w:sz w:val="20"/>
                <w:szCs w:val="20"/>
              </w:rPr>
              <w:t xml:space="preserve"> déterminent par accord mutuel les voies d'acheminement internationales à utiliser. Dans l'attente d'un accord et pour autant qu'il n'existe pas de voie d'acheminement directe entre les administrations* terminales en cause, l'administration* d'origine a le choix de déterminer l'acheminement de son trafic de télécommunication de départ, en tenant compte des intérêts des administrations* de transit et de destination concernées.</w:t>
            </w:r>
          </w:p>
        </w:tc>
        <w:tc>
          <w:tcPr>
            <w:tcW w:w="2951" w:type="dxa"/>
          </w:tcPr>
          <w:p w14:paraId="74B18520" w14:textId="0458E9AE" w:rsidR="00F476A1" w:rsidRPr="002D66DE" w:rsidRDefault="00215AC3" w:rsidP="00C55BDB">
            <w:pPr>
              <w:pStyle w:val="Tabletext"/>
              <w:rPr>
                <w:sz w:val="20"/>
              </w:rPr>
            </w:pPr>
            <w:bookmarkStart w:id="126" w:name="lt_pId502"/>
            <w:r w:rsidRPr="002D66DE">
              <w:rPr>
                <w:sz w:val="20"/>
              </w:rPr>
              <w:t>De l</w:t>
            </w:r>
            <w:r w:rsidR="009F4D21" w:rsidRPr="002D66DE">
              <w:rPr>
                <w:sz w:val="20"/>
              </w:rPr>
              <w:t>'</w:t>
            </w:r>
            <w:r w:rsidRPr="002D66DE">
              <w:rPr>
                <w:sz w:val="20"/>
              </w:rPr>
              <w:t>avis de certains membres, cette disposition est applicable et encourage le développement des réseaux et des services</w:t>
            </w:r>
            <w:r w:rsidR="00F476A1" w:rsidRPr="002D66DE">
              <w:rPr>
                <w:sz w:val="20"/>
              </w:rPr>
              <w:t>.</w:t>
            </w:r>
            <w:bookmarkEnd w:id="126"/>
          </w:p>
          <w:p w14:paraId="7D692D6B" w14:textId="47AAF3D4" w:rsidR="00F476A1" w:rsidRPr="002D66DE" w:rsidRDefault="00215AC3" w:rsidP="00C55BDB">
            <w:pPr>
              <w:pStyle w:val="Tabletext"/>
              <w:rPr>
                <w:sz w:val="20"/>
              </w:rPr>
            </w:pPr>
            <w:bookmarkStart w:id="127" w:name="lt_pId503"/>
            <w:r w:rsidRPr="002D66DE">
              <w:rPr>
                <w:sz w:val="20"/>
              </w:rPr>
              <w:t>Certains membres ont estimé que cette question doit faire l'objet d'un accord mutuel entre les exploitations et qu</w:t>
            </w:r>
            <w:r w:rsidR="009F4D21" w:rsidRPr="002D66DE">
              <w:rPr>
                <w:sz w:val="20"/>
              </w:rPr>
              <w:t>'</w:t>
            </w:r>
            <w:r w:rsidRPr="002D66DE">
              <w:rPr>
                <w:sz w:val="20"/>
              </w:rPr>
              <w:t>il n</w:t>
            </w:r>
            <w:r w:rsidR="009F4D21" w:rsidRPr="002D66DE">
              <w:rPr>
                <w:sz w:val="20"/>
              </w:rPr>
              <w:t>'</w:t>
            </w:r>
            <w:r w:rsidRPr="002D66DE">
              <w:rPr>
                <w:sz w:val="20"/>
              </w:rPr>
              <w:t>est pas nécessaire de disposer d'un traité intergouvernemental pour fournir cette indication</w:t>
            </w:r>
            <w:bookmarkEnd w:id="127"/>
            <w:r w:rsidRPr="002D66DE">
              <w:rPr>
                <w:sz w:val="20"/>
              </w:rPr>
              <w:t>.</w:t>
            </w:r>
          </w:p>
          <w:p w14:paraId="4D6C4B61" w14:textId="4A5C0C01" w:rsidR="00F476A1" w:rsidRPr="002D66DE" w:rsidRDefault="000916D4" w:rsidP="00C55BDB">
            <w:pPr>
              <w:pStyle w:val="Tabletext"/>
              <w:rPr>
                <w:sz w:val="20"/>
                <w:szCs w:val="20"/>
                <w:highlight w:val="yellow"/>
              </w:rPr>
            </w:pPr>
            <w:bookmarkStart w:id="128" w:name="lt_pId504"/>
            <w:r w:rsidRPr="002D66DE">
              <w:rPr>
                <w:sz w:val="20"/>
              </w:rPr>
              <w:t>Certains membres ont estimé que cette disposition n</w:t>
            </w:r>
            <w:r w:rsidR="009F4D21" w:rsidRPr="002D66DE">
              <w:rPr>
                <w:sz w:val="20"/>
              </w:rPr>
              <w:t>'</w:t>
            </w:r>
            <w:r w:rsidRPr="002D66DE">
              <w:rPr>
                <w:sz w:val="20"/>
              </w:rPr>
              <w:t>est pas applicable aux services fournis sur les réseaux de données</w:t>
            </w:r>
            <w:r w:rsidR="00837381" w:rsidRPr="002D66DE">
              <w:rPr>
                <w:sz w:val="20"/>
              </w:rPr>
              <w:t xml:space="preserve"> (IP)</w:t>
            </w:r>
            <w:r w:rsidR="00F476A1" w:rsidRPr="002D66DE">
              <w:rPr>
                <w:sz w:val="20"/>
              </w:rPr>
              <w:t xml:space="preserve">, </w:t>
            </w:r>
            <w:r w:rsidR="00837381" w:rsidRPr="002D66DE">
              <w:rPr>
                <w:sz w:val="20"/>
              </w:rPr>
              <w:t xml:space="preserve">et ont </w:t>
            </w:r>
            <w:r w:rsidRPr="002D66DE">
              <w:rPr>
                <w:sz w:val="20"/>
              </w:rPr>
              <w:t>soulign</w:t>
            </w:r>
            <w:r w:rsidR="00837381" w:rsidRPr="002D66DE">
              <w:rPr>
                <w:sz w:val="20"/>
              </w:rPr>
              <w:t>é</w:t>
            </w:r>
            <w:r w:rsidRPr="002D66DE">
              <w:rPr>
                <w:sz w:val="20"/>
              </w:rPr>
              <w:t xml:space="preserve"> qu</w:t>
            </w:r>
            <w:r w:rsidR="009F4D21" w:rsidRPr="002D66DE">
              <w:rPr>
                <w:sz w:val="20"/>
              </w:rPr>
              <w:t>'</w:t>
            </w:r>
            <w:r w:rsidRPr="002D66DE">
              <w:rPr>
                <w:sz w:val="20"/>
              </w:rPr>
              <w:t xml:space="preserve">il existe des acteurs autorisés par un </w:t>
            </w:r>
            <w:r w:rsidR="00D30535" w:rsidRPr="002D66DE">
              <w:rPr>
                <w:sz w:val="20"/>
              </w:rPr>
              <w:t>État</w:t>
            </w:r>
            <w:r w:rsidRPr="002D66DE">
              <w:rPr>
                <w:sz w:val="20"/>
              </w:rPr>
              <w:t xml:space="preserve"> et qui fournissent des services internationaux de télécommunications dans d</w:t>
            </w:r>
            <w:r w:rsidR="009F4D21" w:rsidRPr="002D66DE">
              <w:rPr>
                <w:sz w:val="20"/>
              </w:rPr>
              <w:t>'</w:t>
            </w:r>
            <w:r w:rsidRPr="002D66DE">
              <w:rPr>
                <w:sz w:val="20"/>
              </w:rPr>
              <w:t xml:space="preserve">autres États sans y être autorisés </w:t>
            </w:r>
            <w:r w:rsidR="00B56A44" w:rsidRPr="002D66DE">
              <w:rPr>
                <w:sz w:val="20"/>
              </w:rPr>
              <w:t>ni</w:t>
            </w:r>
            <w:r w:rsidRPr="002D66DE">
              <w:rPr>
                <w:sz w:val="20"/>
              </w:rPr>
              <w:t xml:space="preserve"> contrôlés.</w:t>
            </w:r>
            <w:bookmarkEnd w:id="128"/>
          </w:p>
        </w:tc>
        <w:tc>
          <w:tcPr>
            <w:tcW w:w="2577" w:type="dxa"/>
          </w:tcPr>
          <w:p w14:paraId="1387FE00" w14:textId="62096DA2" w:rsidR="00F476A1" w:rsidRPr="002D66DE" w:rsidRDefault="003915FE" w:rsidP="00C55BDB">
            <w:pPr>
              <w:pStyle w:val="Tabletext"/>
              <w:rPr>
                <w:sz w:val="20"/>
              </w:rPr>
            </w:pPr>
            <w:bookmarkStart w:id="129" w:name="lt_pId505"/>
            <w:r w:rsidRPr="002D66DE">
              <w:rPr>
                <w:sz w:val="20"/>
              </w:rPr>
              <w:t>Certains membres ont estimé que cette disposition garantit la souplesse nécessaire</w:t>
            </w:r>
            <w:r w:rsidR="00F476A1" w:rsidRPr="002D66DE">
              <w:rPr>
                <w:sz w:val="20"/>
              </w:rPr>
              <w:t>.</w:t>
            </w:r>
            <w:bookmarkEnd w:id="129"/>
          </w:p>
          <w:p w14:paraId="3C3B20DA" w14:textId="4C10F56C" w:rsidR="00F476A1" w:rsidRPr="002D66DE" w:rsidRDefault="002A6ADB" w:rsidP="00C55BDB">
            <w:pPr>
              <w:pStyle w:val="Tabletext"/>
              <w:rPr>
                <w:sz w:val="20"/>
              </w:rPr>
            </w:pPr>
            <w:bookmarkStart w:id="130" w:name="lt_pId506"/>
            <w:r w:rsidRPr="002D66DE">
              <w:rPr>
                <w:sz w:val="20"/>
              </w:rPr>
              <w:t>De l</w:t>
            </w:r>
            <w:r w:rsidR="009F4D21" w:rsidRPr="002D66DE">
              <w:rPr>
                <w:sz w:val="20"/>
              </w:rPr>
              <w:t>'</w:t>
            </w:r>
            <w:r w:rsidRPr="002D66DE">
              <w:rPr>
                <w:sz w:val="20"/>
              </w:rPr>
              <w:t>avis de certains membres, cette disposition</w:t>
            </w:r>
            <w:r w:rsidR="004C7683" w:rsidRPr="002D66DE">
              <w:rPr>
                <w:sz w:val="20"/>
              </w:rPr>
              <w:t xml:space="preserve"> </w:t>
            </w:r>
            <w:r w:rsidR="00D30535" w:rsidRPr="002D66DE">
              <w:rPr>
                <w:sz w:val="20"/>
              </w:rPr>
              <w:t>n</w:t>
            </w:r>
            <w:r w:rsidR="009F4D21" w:rsidRPr="002D66DE">
              <w:rPr>
                <w:sz w:val="20"/>
              </w:rPr>
              <w:t>'</w:t>
            </w:r>
            <w:r w:rsidR="00D30535" w:rsidRPr="002D66DE">
              <w:rPr>
                <w:sz w:val="20"/>
              </w:rPr>
              <w:t>offre pas de souplesse étant donné que, sur le marché actuel des télécommunications, l'acheminement fait l'objet pour l'essentiel d'un accord entre entreprises du secteur privé</w:t>
            </w:r>
            <w:r w:rsidR="00F476A1" w:rsidRPr="002D66DE">
              <w:rPr>
                <w:sz w:val="20"/>
              </w:rPr>
              <w:t xml:space="preserve">, </w:t>
            </w:r>
            <w:r w:rsidR="00D30535" w:rsidRPr="002D66DE">
              <w:rPr>
                <w:sz w:val="20"/>
              </w:rPr>
              <w:t>et que la majorité des services innovant</w:t>
            </w:r>
            <w:r w:rsidR="00192A84" w:rsidRPr="002D66DE">
              <w:rPr>
                <w:sz w:val="20"/>
              </w:rPr>
              <w:t>s</w:t>
            </w:r>
            <w:r w:rsidR="00D30535" w:rsidRPr="002D66DE">
              <w:rPr>
                <w:sz w:val="20"/>
              </w:rPr>
              <w:t xml:space="preserve"> en matière de communication électronique repose</w:t>
            </w:r>
            <w:r w:rsidR="00192A84" w:rsidRPr="002D66DE">
              <w:rPr>
                <w:sz w:val="20"/>
              </w:rPr>
              <w:t>nt</w:t>
            </w:r>
            <w:r w:rsidR="00D30535" w:rsidRPr="002D66DE">
              <w:rPr>
                <w:sz w:val="20"/>
              </w:rPr>
              <w:t xml:space="preserve"> sur les réseaux de données</w:t>
            </w:r>
            <w:r w:rsidR="00F476A1" w:rsidRPr="002D66DE">
              <w:rPr>
                <w:sz w:val="20"/>
              </w:rPr>
              <w:t xml:space="preserve"> </w:t>
            </w:r>
            <w:r w:rsidR="00D30535" w:rsidRPr="002D66DE">
              <w:rPr>
                <w:sz w:val="20"/>
              </w:rPr>
              <w:t>, notamment IP</w:t>
            </w:r>
            <w:r w:rsidR="00F476A1" w:rsidRPr="002D66DE">
              <w:rPr>
                <w:sz w:val="20"/>
              </w:rPr>
              <w:t>.</w:t>
            </w:r>
            <w:bookmarkEnd w:id="130"/>
            <w:r w:rsidR="00F476A1" w:rsidRPr="002D66DE">
              <w:rPr>
                <w:sz w:val="20"/>
              </w:rPr>
              <w:t xml:space="preserve"> </w:t>
            </w:r>
            <w:r w:rsidR="00D30535" w:rsidRPr="002D66DE">
              <w:rPr>
                <w:sz w:val="20"/>
              </w:rPr>
              <w:t>Ces membres ont également souligné que l</w:t>
            </w:r>
            <w:r w:rsidR="00F476A1" w:rsidRPr="002D66DE">
              <w:rPr>
                <w:sz w:val="20"/>
              </w:rPr>
              <w:t>a décision concernant le choix des voies d'acheminement internationales doit être prise par les exploitations autorisées, selon des facteurs techniques et commerciaux examinés par les parties.</w:t>
            </w:r>
          </w:p>
          <w:p w14:paraId="4E949B7C" w14:textId="1C67A549" w:rsidR="00F476A1" w:rsidRPr="002D66DE" w:rsidRDefault="00D30535" w:rsidP="00AC7710">
            <w:pPr>
              <w:pStyle w:val="Tabletext"/>
              <w:keepNext/>
              <w:keepLines/>
              <w:rPr>
                <w:sz w:val="20"/>
              </w:rPr>
            </w:pPr>
            <w:r w:rsidRPr="002D66DE">
              <w:rPr>
                <w:sz w:val="20"/>
              </w:rPr>
              <w:lastRenderedPageBreak/>
              <w:t>En outre, l</w:t>
            </w:r>
            <w:r w:rsidR="00F476A1" w:rsidRPr="002D66DE">
              <w:rPr>
                <w:sz w:val="20"/>
              </w:rPr>
              <w:t>e texte de la seconde partie de la disposition n'offrira peut-être pas la souplesse nécessaire pour prendre en compte les nouvelles tendances et les nouveaux problèmes qui se font jour car il implique que l'exploitation autorisée d'origine doit trouver un accord avec les exploitations autorisées de transit et de destination concernées afin de tenir compte de leurs intérêts. Il serait plus judicieux que la seconde partie donne à l'exploitation autorisée d'origine le "droit" plutôt que le "choix" de déterminer l'acheminement.</w:t>
            </w:r>
          </w:p>
        </w:tc>
        <w:tc>
          <w:tcPr>
            <w:tcW w:w="2424" w:type="dxa"/>
          </w:tcPr>
          <w:p w14:paraId="2E45A1B9" w14:textId="1EBFCD40" w:rsidR="00EB3C6A" w:rsidRPr="002D66DE" w:rsidRDefault="00EB3C6A" w:rsidP="00C55BDB">
            <w:pPr>
              <w:pStyle w:val="Tabletext"/>
              <w:rPr>
                <w:sz w:val="20"/>
                <w:szCs w:val="20"/>
              </w:rPr>
            </w:pPr>
            <w:r w:rsidRPr="002D66DE">
              <w:rPr>
                <w:sz w:val="20"/>
                <w:szCs w:val="20"/>
              </w:rPr>
              <w:lastRenderedPageBreak/>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590F9A93" w14:textId="744DFB4F" w:rsidR="00EB3C6A" w:rsidRPr="002D66DE" w:rsidRDefault="00EB3C6A"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361DB652" w14:textId="3165A4FF" w:rsidR="00F476A1" w:rsidRPr="002D66DE" w:rsidRDefault="00EB3C6A" w:rsidP="00C55BDB">
            <w:pPr>
              <w:pStyle w:val="Tabletext"/>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p>
        </w:tc>
      </w:tr>
    </w:tbl>
    <w:p w14:paraId="13D94C2F" w14:textId="124C674A" w:rsidR="00AC7710" w:rsidRPr="002D66DE" w:rsidRDefault="00AC7710"/>
    <w:p w14:paraId="18234EE9" w14:textId="1D970FFF" w:rsidR="00AC7710" w:rsidRPr="002D66DE" w:rsidRDefault="00AC7710">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AC7710" w:rsidRPr="002D66DE" w14:paraId="46FA659E" w14:textId="77777777" w:rsidTr="00AC7710">
        <w:trPr>
          <w:tblHeader/>
        </w:trPr>
        <w:tc>
          <w:tcPr>
            <w:tcW w:w="987" w:type="dxa"/>
          </w:tcPr>
          <w:p w14:paraId="0007FB8B"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4D49C3A2"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21E30A47"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1E0E008A"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1A377132"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5BFE5471" w14:textId="77777777" w:rsidR="00AC7710" w:rsidRPr="002D66DE" w:rsidRDefault="00AC7710"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79D96EC0" w14:textId="77777777" w:rsidTr="00AC7710">
        <w:tc>
          <w:tcPr>
            <w:tcW w:w="987" w:type="dxa"/>
          </w:tcPr>
          <w:p w14:paraId="61F47425" w14:textId="3AD82EDA" w:rsidR="00F476A1" w:rsidRPr="002D66DE" w:rsidRDefault="00F476A1" w:rsidP="00C55BDB">
            <w:pPr>
              <w:pStyle w:val="Tablehead"/>
              <w:rPr>
                <w:sz w:val="20"/>
                <w:szCs w:val="20"/>
              </w:rPr>
            </w:pPr>
            <w:r w:rsidRPr="002D66DE">
              <w:rPr>
                <w:sz w:val="20"/>
                <w:szCs w:val="20"/>
              </w:rPr>
              <w:t>30</w:t>
            </w:r>
          </w:p>
        </w:tc>
        <w:tc>
          <w:tcPr>
            <w:tcW w:w="2860" w:type="dxa"/>
          </w:tcPr>
          <w:p w14:paraId="7A18A48D" w14:textId="77777777" w:rsidR="00F476A1" w:rsidRPr="002D66DE" w:rsidRDefault="00F476A1" w:rsidP="00C55BDB">
            <w:pPr>
              <w:pStyle w:val="Tabletext"/>
              <w:rPr>
                <w:b/>
                <w:bCs/>
                <w:sz w:val="20"/>
                <w:szCs w:val="20"/>
              </w:rPr>
            </w:pPr>
            <w:r w:rsidRPr="002D66DE">
              <w:rPr>
                <w:b/>
                <w:bCs/>
                <w:sz w:val="20"/>
                <w:szCs w:val="20"/>
              </w:rPr>
              <w:t>3.4</w:t>
            </w:r>
            <w:r w:rsidRPr="002D66DE">
              <w:rPr>
                <w:b/>
                <w:bCs/>
                <w:sz w:val="20"/>
                <w:szCs w:val="20"/>
              </w:rPr>
              <w:tab/>
              <w:t>Conformément à la législation nationale, tout usager ayant accès au réseau international a le droit d'émettre du trafic. Une qualité de service satisfaisante, correspondant aux Recommandations UIT-T pertinentes, devrait être assurée dans toute la mesure possible.</w:t>
            </w:r>
          </w:p>
        </w:tc>
        <w:tc>
          <w:tcPr>
            <w:tcW w:w="3378" w:type="dxa"/>
          </w:tcPr>
          <w:p w14:paraId="1E6DB1C2" w14:textId="49E729AE" w:rsidR="00F476A1" w:rsidRPr="002D66DE" w:rsidRDefault="00F476A1" w:rsidP="00C55BDB">
            <w:pPr>
              <w:pStyle w:val="Tabletext"/>
              <w:rPr>
                <w:sz w:val="20"/>
                <w:szCs w:val="20"/>
              </w:rPr>
            </w:pPr>
            <w:r w:rsidRPr="002D66DE">
              <w:rPr>
                <w:sz w:val="20"/>
                <w:szCs w:val="20"/>
              </w:rPr>
              <w:t>3.4</w:t>
            </w:r>
            <w:r w:rsidRPr="002D66DE">
              <w:rPr>
                <w:sz w:val="20"/>
                <w:szCs w:val="20"/>
              </w:rPr>
              <w:tab/>
              <w:t>En conformité avec la législation nationale, tout usager ayant accès au réseau international établi par une administration</w:t>
            </w:r>
            <w:r w:rsidR="004C7683" w:rsidRPr="002D66DE">
              <w:rPr>
                <w:rStyle w:val="FootnoteReference"/>
                <w:szCs w:val="20"/>
              </w:rPr>
              <w:footnoteReference w:customMarkFollows="1" w:id="10"/>
              <w:t>*</w:t>
            </w:r>
            <w:r w:rsidRPr="002D66DE">
              <w:rPr>
                <w:sz w:val="20"/>
                <w:szCs w:val="20"/>
              </w:rPr>
              <w:t xml:space="preserve"> a le droit d'émettre du trafic. Une qualité de service satisfaisante devrait être assurée dans toute la mesure de ce qui est réalisable, correspondant aux Recommandations pertinentes du CCITT.</w:t>
            </w:r>
          </w:p>
        </w:tc>
        <w:tc>
          <w:tcPr>
            <w:tcW w:w="2951" w:type="dxa"/>
          </w:tcPr>
          <w:p w14:paraId="1BC5859D" w14:textId="0F192DD3" w:rsidR="00F476A1" w:rsidRPr="002D66DE" w:rsidRDefault="00342FAF" w:rsidP="00C55BDB">
            <w:pPr>
              <w:pStyle w:val="Tabletext"/>
              <w:rPr>
                <w:sz w:val="20"/>
              </w:rPr>
            </w:pPr>
            <w:bookmarkStart w:id="131" w:name="lt_pId519"/>
            <w:r w:rsidRPr="002D66DE">
              <w:rPr>
                <w:sz w:val="20"/>
              </w:rPr>
              <w:t>De l</w:t>
            </w:r>
            <w:r w:rsidR="009F4D21" w:rsidRPr="002D66DE">
              <w:rPr>
                <w:sz w:val="20"/>
              </w:rPr>
              <w:t>'</w:t>
            </w:r>
            <w:r w:rsidRPr="002D66DE">
              <w:rPr>
                <w:sz w:val="20"/>
              </w:rPr>
              <w:t>avis de certains membres, cette disposition est applicable et encourage le développement des réseaux et des services</w:t>
            </w:r>
            <w:r w:rsidR="00F476A1" w:rsidRPr="002D66DE">
              <w:rPr>
                <w:sz w:val="20"/>
              </w:rPr>
              <w:t xml:space="preserve">, </w:t>
            </w:r>
            <w:r w:rsidR="00D812DA" w:rsidRPr="002D66DE">
              <w:rPr>
                <w:sz w:val="20"/>
              </w:rPr>
              <w:t xml:space="preserve">en tenant </w:t>
            </w:r>
            <w:r w:rsidRPr="002D66DE">
              <w:rPr>
                <w:sz w:val="20"/>
              </w:rPr>
              <w:t>compte des condit</w:t>
            </w:r>
            <w:r w:rsidR="00D812DA" w:rsidRPr="002D66DE">
              <w:rPr>
                <w:sz w:val="20"/>
              </w:rPr>
              <w:t>i</w:t>
            </w:r>
            <w:r w:rsidRPr="002D66DE">
              <w:rPr>
                <w:sz w:val="20"/>
              </w:rPr>
              <w:t>ons propres à chaque pays</w:t>
            </w:r>
            <w:r w:rsidR="00F476A1" w:rsidRPr="002D66DE">
              <w:rPr>
                <w:sz w:val="20"/>
              </w:rPr>
              <w:t xml:space="preserve">, </w:t>
            </w:r>
            <w:r w:rsidR="00D812DA" w:rsidRPr="002D66DE">
              <w:rPr>
                <w:sz w:val="20"/>
              </w:rPr>
              <w:t>et permet aux usagers d'établir librement des relations via les réseaux</w:t>
            </w:r>
            <w:r w:rsidR="00F476A1" w:rsidRPr="002D66DE">
              <w:rPr>
                <w:sz w:val="20"/>
              </w:rPr>
              <w:t>.</w:t>
            </w:r>
            <w:bookmarkEnd w:id="131"/>
          </w:p>
          <w:p w14:paraId="4F4FDD45" w14:textId="53FFBFCF" w:rsidR="00C57EF8" w:rsidRPr="002D66DE" w:rsidRDefault="00934148" w:rsidP="00C55BDB">
            <w:pPr>
              <w:pStyle w:val="Tabletext"/>
              <w:rPr>
                <w:sz w:val="20"/>
              </w:rPr>
            </w:pPr>
            <w:bookmarkStart w:id="132" w:name="lt_pId520"/>
            <w:r w:rsidRPr="002D66DE">
              <w:rPr>
                <w:sz w:val="20"/>
              </w:rPr>
              <w:t>De l</w:t>
            </w:r>
            <w:r w:rsidR="009F4D21" w:rsidRPr="002D66DE">
              <w:rPr>
                <w:sz w:val="20"/>
              </w:rPr>
              <w:t>'</w:t>
            </w:r>
            <w:r w:rsidRPr="002D66DE">
              <w:rPr>
                <w:sz w:val="20"/>
              </w:rPr>
              <w:t xml:space="preserve">avis de certains membres, cette disposition </w:t>
            </w:r>
            <w:r w:rsidR="00D812DA" w:rsidRPr="002D66DE">
              <w:rPr>
                <w:sz w:val="20"/>
              </w:rPr>
              <w:t>n</w:t>
            </w:r>
            <w:r w:rsidR="009F4D21" w:rsidRPr="002D66DE">
              <w:rPr>
                <w:sz w:val="20"/>
              </w:rPr>
              <w:t>'</w:t>
            </w:r>
            <w:r w:rsidR="00D812DA" w:rsidRPr="002D66DE">
              <w:rPr>
                <w:sz w:val="20"/>
              </w:rPr>
              <w:t>est pas applicable</w:t>
            </w:r>
            <w:r w:rsidR="00F476A1" w:rsidRPr="002D66DE">
              <w:rPr>
                <w:sz w:val="20"/>
              </w:rPr>
              <w:t>.</w:t>
            </w:r>
            <w:bookmarkEnd w:id="132"/>
          </w:p>
          <w:p w14:paraId="733D885B" w14:textId="6DFEE919" w:rsidR="00F476A1" w:rsidRPr="002D66DE" w:rsidRDefault="00F476A1" w:rsidP="00C55BDB">
            <w:pPr>
              <w:pStyle w:val="Tabletext"/>
              <w:rPr>
                <w:rFonts w:asciiTheme="minorHAnsi" w:hAnsiTheme="minorHAnsi" w:cstheme="minorHAnsi"/>
                <w:sz w:val="20"/>
              </w:rPr>
            </w:pPr>
            <w:r w:rsidRPr="002D66DE">
              <w:rPr>
                <w:rFonts w:asciiTheme="minorHAnsi" w:hAnsiTheme="minorHAnsi" w:cstheme="minorHAnsi"/>
                <w:sz w:val="20"/>
              </w:rPr>
              <w:t>C</w:t>
            </w:r>
            <w:r w:rsidR="00C57EF8" w:rsidRPr="002D66DE">
              <w:rPr>
                <w:rFonts w:asciiTheme="minorHAnsi" w:hAnsiTheme="minorHAnsi" w:cstheme="minorHAnsi"/>
                <w:sz w:val="20"/>
              </w:rPr>
              <w:t>ertains membres ont estimé que c</w:t>
            </w:r>
            <w:r w:rsidRPr="002D66DE">
              <w:rPr>
                <w:rFonts w:asciiTheme="minorHAnsi" w:hAnsiTheme="minorHAnsi" w:cstheme="minorHAnsi"/>
                <w:sz w:val="20"/>
              </w:rPr>
              <w:t>ette disposition est sans objet dans un traité international, étant donné qu'elle utilise l'expression "conformément à la législation nationale".</w:t>
            </w:r>
          </w:p>
          <w:p w14:paraId="112861A9" w14:textId="156E3EF8" w:rsidR="00C57EF8" w:rsidRPr="002D66DE" w:rsidRDefault="00F476A1" w:rsidP="00C55BDB">
            <w:pPr>
              <w:pStyle w:val="Tabletext"/>
              <w:rPr>
                <w:rFonts w:asciiTheme="minorHAnsi" w:hAnsiTheme="minorHAnsi" w:cstheme="minorHAnsi"/>
                <w:sz w:val="20"/>
              </w:rPr>
            </w:pPr>
            <w:r w:rsidRPr="002D66DE">
              <w:rPr>
                <w:rFonts w:asciiTheme="minorHAnsi" w:hAnsiTheme="minorHAnsi" w:cstheme="minorHAnsi"/>
                <w:sz w:val="20"/>
              </w:rPr>
              <w:t>Le membre de phrase "Une qualité de service satisfaisante devrait être assurée dans toute la mesure possible" se prête à de nombreuses interprétations et la disposition n'indique pas quelles Recommandations UIT-T sont pertinentes.</w:t>
            </w:r>
          </w:p>
          <w:p w14:paraId="71490EC1" w14:textId="1C37E963" w:rsidR="0067449E" w:rsidRPr="002D66DE" w:rsidRDefault="0067449E" w:rsidP="00AC7710">
            <w:pPr>
              <w:pStyle w:val="Tabletext"/>
              <w:keepNext/>
              <w:keepLines/>
              <w:rPr>
                <w:sz w:val="20"/>
                <w:szCs w:val="20"/>
              </w:rPr>
            </w:pPr>
            <w:r w:rsidRPr="002D66DE">
              <w:rPr>
                <w:sz w:val="20"/>
                <w:szCs w:val="20"/>
              </w:rPr>
              <w:lastRenderedPageBreak/>
              <w:t xml:space="preserve">Certains membres ont </w:t>
            </w:r>
            <w:r w:rsidR="00934148" w:rsidRPr="002D66DE">
              <w:rPr>
                <w:sz w:val="20"/>
                <w:szCs w:val="20"/>
              </w:rPr>
              <w:t>fait observer</w:t>
            </w:r>
            <w:r w:rsidRPr="002D66DE">
              <w:rPr>
                <w:sz w:val="20"/>
                <w:szCs w:val="20"/>
              </w:rPr>
              <w:t xml:space="preserve"> que l</w:t>
            </w:r>
            <w:r w:rsidR="009F4D21" w:rsidRPr="002D66DE">
              <w:rPr>
                <w:sz w:val="20"/>
                <w:szCs w:val="20"/>
              </w:rPr>
              <w:t>'</w:t>
            </w:r>
            <w:r w:rsidRPr="002D66DE">
              <w:rPr>
                <w:sz w:val="20"/>
                <w:szCs w:val="20"/>
              </w:rPr>
              <w:t xml:space="preserve">accès au réseau international </w:t>
            </w:r>
            <w:r w:rsidR="00457F6C" w:rsidRPr="002D66DE">
              <w:rPr>
                <w:sz w:val="20"/>
                <w:szCs w:val="20"/>
              </w:rPr>
              <w:t>ne dépend pas d</w:t>
            </w:r>
            <w:r w:rsidRPr="002D66DE">
              <w:rPr>
                <w:sz w:val="20"/>
                <w:szCs w:val="20"/>
              </w:rPr>
              <w:t>es États mais</w:t>
            </w:r>
            <w:r w:rsidR="00934148" w:rsidRPr="002D66DE">
              <w:rPr>
                <w:sz w:val="20"/>
                <w:szCs w:val="20"/>
              </w:rPr>
              <w:t xml:space="preserve"> repose sur des </w:t>
            </w:r>
            <w:r w:rsidRPr="002D66DE">
              <w:rPr>
                <w:sz w:val="20"/>
                <w:szCs w:val="20"/>
              </w:rPr>
              <w:t xml:space="preserve">accords commerciaux </w:t>
            </w:r>
            <w:r w:rsidR="00934148" w:rsidRPr="002D66DE">
              <w:rPr>
                <w:sz w:val="20"/>
                <w:szCs w:val="20"/>
              </w:rPr>
              <w:t xml:space="preserve">conclus </w:t>
            </w:r>
            <w:r w:rsidRPr="002D66DE">
              <w:rPr>
                <w:sz w:val="20"/>
                <w:szCs w:val="20"/>
              </w:rPr>
              <w:t xml:space="preserve">entre exploitants autorisés qui </w:t>
            </w:r>
            <w:r w:rsidR="00457F6C" w:rsidRPr="002D66DE">
              <w:rPr>
                <w:sz w:val="20"/>
                <w:szCs w:val="20"/>
              </w:rPr>
              <w:t xml:space="preserve">ne relèvent pas de </w:t>
            </w:r>
            <w:r w:rsidRPr="002D66DE">
              <w:rPr>
                <w:sz w:val="20"/>
                <w:szCs w:val="20"/>
              </w:rPr>
              <w:t>la législation nationale</w:t>
            </w:r>
            <w:r w:rsidR="00457F6C" w:rsidRPr="002D66DE">
              <w:rPr>
                <w:sz w:val="20"/>
                <w:szCs w:val="20"/>
              </w:rPr>
              <w:t>,</w:t>
            </w:r>
            <w:r w:rsidRPr="002D66DE">
              <w:rPr>
                <w:sz w:val="20"/>
                <w:szCs w:val="20"/>
              </w:rPr>
              <w:t xml:space="preserve"> et que les </w:t>
            </w:r>
            <w:r w:rsidR="00457F6C" w:rsidRPr="002D66DE">
              <w:rPr>
                <w:sz w:val="20"/>
                <w:szCs w:val="20"/>
              </w:rPr>
              <w:t>usagers</w:t>
            </w:r>
            <w:r w:rsidRPr="002D66DE">
              <w:rPr>
                <w:sz w:val="20"/>
                <w:szCs w:val="20"/>
              </w:rPr>
              <w:t xml:space="preserve"> ont accès aux réseaux nationaux à partir desquels ils bénéficient de services internationaux.</w:t>
            </w:r>
          </w:p>
        </w:tc>
        <w:tc>
          <w:tcPr>
            <w:tcW w:w="2577" w:type="dxa"/>
          </w:tcPr>
          <w:p w14:paraId="6D5483DB" w14:textId="4F9BB01F" w:rsidR="00F476A1" w:rsidRPr="002D66DE" w:rsidRDefault="00D812DA" w:rsidP="00C55BDB">
            <w:pPr>
              <w:pStyle w:val="Tabletext"/>
              <w:rPr>
                <w:rFonts w:cstheme="minorHAnsi"/>
                <w:sz w:val="20"/>
                <w:szCs w:val="20"/>
              </w:rPr>
            </w:pPr>
            <w:bookmarkStart w:id="133" w:name="lt_pId524"/>
            <w:r w:rsidRPr="002D66DE">
              <w:rPr>
                <w:sz w:val="20"/>
              </w:rPr>
              <w:lastRenderedPageBreak/>
              <w:t xml:space="preserve">Certains membres ont estimé que </w:t>
            </w:r>
            <w:r w:rsidRPr="002D66DE">
              <w:rPr>
                <w:sz w:val="20"/>
                <w:szCs w:val="20"/>
              </w:rPr>
              <w:t>cette</w:t>
            </w:r>
            <w:r w:rsidRPr="002D66DE">
              <w:rPr>
                <w:sz w:val="20"/>
              </w:rPr>
              <w:t xml:space="preserve"> disposition garantit la souplesse nécessaire</w:t>
            </w:r>
            <w:r w:rsidR="00F476A1" w:rsidRPr="002D66DE">
              <w:rPr>
                <w:rFonts w:cstheme="minorHAnsi"/>
                <w:sz w:val="20"/>
                <w:szCs w:val="20"/>
              </w:rPr>
              <w:t xml:space="preserve">, </w:t>
            </w:r>
            <w:r w:rsidRPr="002D66DE">
              <w:rPr>
                <w:sz w:val="20"/>
              </w:rPr>
              <w:t>en tenant compte des conditions propres à chaque pays</w:t>
            </w:r>
            <w:r w:rsidR="0067449E" w:rsidRPr="002D66DE">
              <w:rPr>
                <w:sz w:val="20"/>
              </w:rPr>
              <w:t>. D</w:t>
            </w:r>
            <w:r w:rsidR="009F4D21" w:rsidRPr="002D66DE">
              <w:rPr>
                <w:sz w:val="20"/>
              </w:rPr>
              <w:t>'</w:t>
            </w:r>
            <w:r w:rsidR="0067449E" w:rsidRPr="002D66DE">
              <w:rPr>
                <w:sz w:val="20"/>
              </w:rPr>
              <w:t>autres</w:t>
            </w:r>
            <w:r w:rsidR="00C57EF8" w:rsidRPr="002D66DE">
              <w:rPr>
                <w:rFonts w:cstheme="minorHAnsi"/>
                <w:sz w:val="20"/>
                <w:szCs w:val="20"/>
              </w:rPr>
              <w:t xml:space="preserve"> ont estimé que cette disposition n</w:t>
            </w:r>
            <w:r w:rsidR="009F4D21" w:rsidRPr="002D66DE">
              <w:rPr>
                <w:rFonts w:cstheme="minorHAnsi"/>
                <w:sz w:val="20"/>
                <w:szCs w:val="20"/>
              </w:rPr>
              <w:t>'</w:t>
            </w:r>
            <w:r w:rsidR="00C57EF8" w:rsidRPr="002D66DE">
              <w:rPr>
                <w:rFonts w:cstheme="minorHAnsi"/>
                <w:sz w:val="20"/>
                <w:szCs w:val="20"/>
              </w:rPr>
              <w:t xml:space="preserve">offre pas de souplesse </w:t>
            </w:r>
            <w:r w:rsidR="00457F6C" w:rsidRPr="002D66DE">
              <w:rPr>
                <w:rFonts w:cstheme="minorHAnsi"/>
                <w:sz w:val="20"/>
                <w:szCs w:val="20"/>
              </w:rPr>
              <w:t xml:space="preserve">car </w:t>
            </w:r>
            <w:r w:rsidR="00C57EF8" w:rsidRPr="002D66DE">
              <w:rPr>
                <w:rFonts w:cstheme="minorHAnsi"/>
                <w:sz w:val="20"/>
                <w:szCs w:val="20"/>
              </w:rPr>
              <w:t xml:space="preserve">elle </w:t>
            </w:r>
            <w:r w:rsidR="00457F6C" w:rsidRPr="002D66DE">
              <w:rPr>
                <w:rFonts w:cstheme="minorHAnsi"/>
                <w:sz w:val="20"/>
              </w:rPr>
              <w:t xml:space="preserve">est </w:t>
            </w:r>
            <w:r w:rsidR="0067449E" w:rsidRPr="002D66DE">
              <w:rPr>
                <w:rFonts w:asciiTheme="minorHAnsi" w:hAnsiTheme="minorHAnsi" w:cstheme="minorHAnsi"/>
                <w:sz w:val="20"/>
              </w:rPr>
              <w:t>sans objet dans un traité international, étant donné qu'elle utilise l'expression "conformément à la législation nationale"</w:t>
            </w:r>
            <w:r w:rsidR="00F476A1" w:rsidRPr="002D66DE">
              <w:rPr>
                <w:rFonts w:cstheme="minorHAnsi"/>
                <w:sz w:val="20"/>
                <w:szCs w:val="20"/>
              </w:rPr>
              <w:t xml:space="preserve">, </w:t>
            </w:r>
            <w:r w:rsidR="0067449E" w:rsidRPr="002D66DE">
              <w:rPr>
                <w:rFonts w:cstheme="minorHAnsi"/>
                <w:sz w:val="20"/>
                <w:szCs w:val="20"/>
              </w:rPr>
              <w:t>et ont souligné que les</w:t>
            </w:r>
            <w:r w:rsidR="004C7683" w:rsidRPr="002D66DE">
              <w:rPr>
                <w:rFonts w:cstheme="minorHAnsi"/>
                <w:sz w:val="20"/>
                <w:szCs w:val="20"/>
              </w:rPr>
              <w:t xml:space="preserve"> </w:t>
            </w:r>
            <w:r w:rsidR="0067449E" w:rsidRPr="002D66DE">
              <w:rPr>
                <w:rFonts w:cstheme="minorHAnsi"/>
                <w:sz w:val="20"/>
                <w:szCs w:val="20"/>
              </w:rPr>
              <w:t>attentes en matière de qualité de service seront différentes selon la technologie et le niveau de développement technique</w:t>
            </w:r>
            <w:r w:rsidR="00F476A1" w:rsidRPr="002D66DE">
              <w:rPr>
                <w:rFonts w:cstheme="minorHAnsi"/>
                <w:sz w:val="20"/>
                <w:szCs w:val="20"/>
              </w:rPr>
              <w:t>.</w:t>
            </w:r>
            <w:bookmarkEnd w:id="133"/>
          </w:p>
          <w:p w14:paraId="56CB710D" w14:textId="5B176F44" w:rsidR="00F476A1" w:rsidRPr="002D66DE" w:rsidRDefault="0067449E" w:rsidP="00C55BDB">
            <w:pPr>
              <w:pStyle w:val="Tabletext"/>
              <w:rPr>
                <w:sz w:val="20"/>
                <w:szCs w:val="20"/>
              </w:rPr>
            </w:pPr>
            <w:r w:rsidRPr="002D66DE">
              <w:rPr>
                <w:sz w:val="20"/>
                <w:szCs w:val="20"/>
              </w:rPr>
              <w:t>Ces membres ont fait observer qu</w:t>
            </w:r>
            <w:r w:rsidR="009F4D21" w:rsidRPr="002D66DE">
              <w:rPr>
                <w:sz w:val="20"/>
                <w:szCs w:val="20"/>
              </w:rPr>
              <w:t>'</w:t>
            </w:r>
            <w:r w:rsidRPr="002D66DE">
              <w:rPr>
                <w:sz w:val="20"/>
                <w:szCs w:val="20"/>
              </w:rPr>
              <w:t xml:space="preserve">il </w:t>
            </w:r>
            <w:r w:rsidR="00F476A1" w:rsidRPr="002D66DE">
              <w:rPr>
                <w:sz w:val="20"/>
                <w:szCs w:val="20"/>
              </w:rPr>
              <w:t>se peut que les mesures prises par les États Membres au titre de cette disposition pour assurer certains niveaux de qualité de service freinent l'innovation.</w:t>
            </w:r>
          </w:p>
          <w:p w14:paraId="68C64144" w14:textId="04F30587" w:rsidR="0067449E" w:rsidRPr="002D66DE" w:rsidRDefault="0067449E" w:rsidP="00AC7710">
            <w:pPr>
              <w:pStyle w:val="Tabletext"/>
              <w:keepNext/>
              <w:keepLines/>
              <w:rPr>
                <w:sz w:val="20"/>
                <w:szCs w:val="20"/>
              </w:rPr>
            </w:pPr>
            <w:r w:rsidRPr="002D66DE">
              <w:rPr>
                <w:sz w:val="20"/>
                <w:szCs w:val="20"/>
              </w:rPr>
              <w:lastRenderedPageBreak/>
              <w:t>De l</w:t>
            </w:r>
            <w:r w:rsidR="009F4D21" w:rsidRPr="002D66DE">
              <w:rPr>
                <w:sz w:val="20"/>
                <w:szCs w:val="20"/>
              </w:rPr>
              <w:t>'</w:t>
            </w:r>
            <w:r w:rsidRPr="002D66DE">
              <w:rPr>
                <w:sz w:val="20"/>
                <w:szCs w:val="20"/>
              </w:rPr>
              <w:t>avis de certains membres, dans cette disposition, il se peut que la définition du terme "usager" ne couvre pas les technologies émergentes comme la robotique.</w:t>
            </w:r>
          </w:p>
          <w:p w14:paraId="1AC7F38F" w14:textId="43F17D7B" w:rsidR="0067449E" w:rsidRPr="002D66DE" w:rsidRDefault="0067449E" w:rsidP="00C55BDB">
            <w:pPr>
              <w:pStyle w:val="Tabletext"/>
              <w:rPr>
                <w:sz w:val="20"/>
                <w:szCs w:val="20"/>
              </w:rPr>
            </w:pPr>
            <w:r w:rsidRPr="002D66DE">
              <w:rPr>
                <w:sz w:val="20"/>
                <w:szCs w:val="20"/>
              </w:rPr>
              <w:t>Certains membres ont fait observer que cette disposition ne tient pas compte de toutes les normes pertinentes de l</w:t>
            </w:r>
            <w:r w:rsidR="009F4D21" w:rsidRPr="002D66DE">
              <w:rPr>
                <w:sz w:val="20"/>
                <w:szCs w:val="20"/>
              </w:rPr>
              <w:t>'</w:t>
            </w:r>
            <w:r w:rsidRPr="002D66DE">
              <w:rPr>
                <w:sz w:val="20"/>
                <w:szCs w:val="20"/>
              </w:rPr>
              <w:t>UIT.</w:t>
            </w:r>
          </w:p>
        </w:tc>
        <w:tc>
          <w:tcPr>
            <w:tcW w:w="2424" w:type="dxa"/>
          </w:tcPr>
          <w:p w14:paraId="3625D9CD" w14:textId="5E56D335" w:rsidR="000636B9" w:rsidRPr="002D66DE" w:rsidRDefault="000636B9" w:rsidP="00C55BDB">
            <w:pPr>
              <w:pStyle w:val="Tabletext"/>
              <w:rPr>
                <w:sz w:val="20"/>
                <w:szCs w:val="20"/>
              </w:rPr>
            </w:pPr>
            <w:r w:rsidRPr="002D66DE">
              <w:rPr>
                <w:sz w:val="20"/>
                <w:szCs w:val="20"/>
              </w:rPr>
              <w:lastRenderedPageBreak/>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4EDB4A58" w14:textId="4D7E3294" w:rsidR="000636B9" w:rsidRPr="002D66DE" w:rsidRDefault="000636B9"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03D768BB" w14:textId="6A9D4B45" w:rsidR="00F476A1" w:rsidRPr="002D66DE" w:rsidRDefault="000636B9" w:rsidP="00C55BDB">
            <w:pPr>
              <w:pStyle w:val="Tabletext"/>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B421DA" w:rsidRPr="002D66DE">
              <w:rPr>
                <w:sz w:val="20"/>
                <w:szCs w:val="20"/>
              </w:rPr>
              <w:t>.</w:t>
            </w:r>
          </w:p>
        </w:tc>
      </w:tr>
    </w:tbl>
    <w:p w14:paraId="09BB6FA1" w14:textId="76B62995"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469C7F6F" w14:textId="77777777" w:rsidTr="00423417">
        <w:trPr>
          <w:tblHeader/>
        </w:trPr>
        <w:tc>
          <w:tcPr>
            <w:tcW w:w="987" w:type="dxa"/>
          </w:tcPr>
          <w:p w14:paraId="1C5FCC29"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222804A2"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7446761E"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4E2E50BD"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61DC359B"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58015812"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435E4313" w14:textId="77777777" w:rsidTr="00AC7710">
        <w:tc>
          <w:tcPr>
            <w:tcW w:w="987" w:type="dxa"/>
          </w:tcPr>
          <w:p w14:paraId="257AAB05" w14:textId="7171B53E" w:rsidR="00F476A1" w:rsidRPr="002D66DE" w:rsidRDefault="00F476A1" w:rsidP="00C55BDB">
            <w:pPr>
              <w:pStyle w:val="Tablehead"/>
              <w:rPr>
                <w:sz w:val="20"/>
                <w:szCs w:val="20"/>
              </w:rPr>
            </w:pPr>
            <w:r w:rsidRPr="002D66DE">
              <w:rPr>
                <w:sz w:val="20"/>
                <w:szCs w:val="20"/>
              </w:rPr>
              <w:t>31</w:t>
            </w:r>
          </w:p>
        </w:tc>
        <w:tc>
          <w:tcPr>
            <w:tcW w:w="2860" w:type="dxa"/>
          </w:tcPr>
          <w:p w14:paraId="6DFFAE9D" w14:textId="1C661E9E" w:rsidR="00F476A1" w:rsidRPr="002D66DE" w:rsidRDefault="00F476A1" w:rsidP="00C55BDB">
            <w:pPr>
              <w:pStyle w:val="Tabletext"/>
              <w:rPr>
                <w:b/>
                <w:bCs/>
                <w:sz w:val="20"/>
                <w:szCs w:val="20"/>
              </w:rPr>
            </w:pPr>
            <w:r w:rsidRPr="002D66DE">
              <w:rPr>
                <w:b/>
                <w:bCs/>
                <w:sz w:val="20"/>
                <w:szCs w:val="20"/>
              </w:rPr>
              <w:t>3.5</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p>
        </w:tc>
        <w:tc>
          <w:tcPr>
            <w:tcW w:w="3378" w:type="dxa"/>
          </w:tcPr>
          <w:p w14:paraId="04DAA809" w14:textId="77777777" w:rsidR="00F476A1" w:rsidRPr="002D66DE" w:rsidRDefault="00F476A1" w:rsidP="00C55BDB">
            <w:pPr>
              <w:pStyle w:val="Tabletext"/>
              <w:rPr>
                <w:sz w:val="20"/>
                <w:szCs w:val="20"/>
              </w:rPr>
            </w:pPr>
          </w:p>
        </w:tc>
        <w:tc>
          <w:tcPr>
            <w:tcW w:w="2951" w:type="dxa"/>
          </w:tcPr>
          <w:p w14:paraId="166B8DBF" w14:textId="0E50F8F6" w:rsidR="001D6C93" w:rsidRPr="002D66DE" w:rsidRDefault="0067449E" w:rsidP="00C55BDB">
            <w:pPr>
              <w:pStyle w:val="Tabletext"/>
              <w:rPr>
                <w:sz w:val="20"/>
              </w:rPr>
            </w:pPr>
            <w:bookmarkStart w:id="134" w:name="lt_pId533"/>
            <w:r w:rsidRPr="002D66DE">
              <w:rPr>
                <w:sz w:val="20"/>
              </w:rPr>
              <w:t>De l</w:t>
            </w:r>
            <w:r w:rsidR="009F4D21" w:rsidRPr="002D66DE">
              <w:rPr>
                <w:sz w:val="20"/>
              </w:rPr>
              <w:t>'</w:t>
            </w:r>
            <w:r w:rsidRPr="002D66DE">
              <w:rPr>
                <w:sz w:val="20"/>
              </w:rPr>
              <w:t>avis de certains membres, cette disposition est applicable et encourage le développement des réseaux et des services, tout en garantissant le respect des droits des États Membres</w:t>
            </w:r>
            <w:r w:rsidR="001D6C93" w:rsidRPr="002D66DE">
              <w:rPr>
                <w:sz w:val="20"/>
              </w:rPr>
              <w:t xml:space="preserve"> et la transparence de l'utilisation des ressources de numérotage</w:t>
            </w:r>
            <w:r w:rsidR="00F476A1" w:rsidRPr="002D66DE">
              <w:rPr>
                <w:sz w:val="20"/>
              </w:rPr>
              <w:t>.</w:t>
            </w:r>
            <w:bookmarkStart w:id="135" w:name="lt_pId534"/>
            <w:bookmarkEnd w:id="134"/>
          </w:p>
          <w:p w14:paraId="21D02C0C" w14:textId="12563366" w:rsidR="001D6C93" w:rsidRPr="002D66DE" w:rsidRDefault="001D6C93" w:rsidP="00C55BDB">
            <w:pPr>
              <w:pStyle w:val="Tabletext"/>
              <w:rPr>
                <w:sz w:val="20"/>
              </w:rPr>
            </w:pPr>
            <w:r w:rsidRPr="002D66DE">
              <w:rPr>
                <w:sz w:val="20"/>
              </w:rPr>
              <w:t>De l</w:t>
            </w:r>
            <w:r w:rsidR="009F4D21" w:rsidRPr="002D66DE">
              <w:rPr>
                <w:sz w:val="20"/>
              </w:rPr>
              <w:t>'</w:t>
            </w:r>
            <w:r w:rsidRPr="002D66DE">
              <w:rPr>
                <w:sz w:val="20"/>
              </w:rPr>
              <w:t>avis de</w:t>
            </w:r>
            <w:r w:rsidR="00F476A1" w:rsidRPr="002D66DE">
              <w:rPr>
                <w:sz w:val="20"/>
              </w:rPr>
              <w:t xml:space="preserve"> </w:t>
            </w:r>
            <w:r w:rsidRPr="002D66DE">
              <w:rPr>
                <w:sz w:val="20"/>
              </w:rPr>
              <w:t xml:space="preserve">certains </w:t>
            </w:r>
            <w:r w:rsidR="00F476A1" w:rsidRPr="002D66DE">
              <w:rPr>
                <w:sz w:val="20"/>
              </w:rPr>
              <w:t>membr</w:t>
            </w:r>
            <w:r w:rsidRPr="002D66DE">
              <w:rPr>
                <w:sz w:val="20"/>
              </w:rPr>
              <w:t>e</w:t>
            </w:r>
            <w:r w:rsidR="00F476A1" w:rsidRPr="002D66DE">
              <w:rPr>
                <w:sz w:val="20"/>
              </w:rPr>
              <w:t>s</w:t>
            </w:r>
            <w:r w:rsidRPr="002D66DE">
              <w:rPr>
                <w:sz w:val="20"/>
              </w:rPr>
              <w:t>, cette disposition n</w:t>
            </w:r>
            <w:r w:rsidR="009F4D21" w:rsidRPr="002D66DE">
              <w:rPr>
                <w:sz w:val="20"/>
              </w:rPr>
              <w:t>'</w:t>
            </w:r>
            <w:r w:rsidRPr="002D66DE">
              <w:rPr>
                <w:sz w:val="20"/>
              </w:rPr>
              <w:t xml:space="preserve">est pas suffisamment stricte parce que </w:t>
            </w:r>
            <w:r w:rsidR="00EA21E6" w:rsidRPr="002D66DE">
              <w:rPr>
                <w:sz w:val="20"/>
              </w:rPr>
              <w:t>l</w:t>
            </w:r>
            <w:r w:rsidR="009F4D21" w:rsidRPr="002D66DE">
              <w:rPr>
                <w:sz w:val="20"/>
              </w:rPr>
              <w:t>'</w:t>
            </w:r>
            <w:r w:rsidR="00EA21E6" w:rsidRPr="002D66DE">
              <w:rPr>
                <w:sz w:val="20"/>
              </w:rPr>
              <w:t>expression</w:t>
            </w:r>
            <w:r w:rsidR="00F476A1" w:rsidRPr="002D66DE">
              <w:rPr>
                <w:sz w:val="20"/>
              </w:rPr>
              <w:t xml:space="preserve"> </w:t>
            </w:r>
            <w:r w:rsidR="00AC7710" w:rsidRPr="002D66DE">
              <w:rPr>
                <w:sz w:val="20"/>
              </w:rPr>
              <w:t>"</w:t>
            </w:r>
            <w:r w:rsidRPr="002D66DE">
              <w:rPr>
                <w:sz w:val="20"/>
              </w:rPr>
              <w:t>Les États Membres s'efforcent de veiller</w:t>
            </w:r>
            <w:r w:rsidR="00C55BDB" w:rsidRPr="002D66DE">
              <w:rPr>
                <w:sz w:val="20"/>
              </w:rPr>
              <w:t>"</w:t>
            </w:r>
            <w:r w:rsidRPr="002D66DE">
              <w:rPr>
                <w:b/>
                <w:bCs/>
                <w:sz w:val="20"/>
              </w:rPr>
              <w:t xml:space="preserve"> </w:t>
            </w:r>
            <w:r w:rsidRPr="002D66DE">
              <w:rPr>
                <w:sz w:val="20"/>
              </w:rPr>
              <w:t>est impossible à appliquer</w:t>
            </w:r>
            <w:r w:rsidR="00F476A1" w:rsidRPr="002D66DE">
              <w:rPr>
                <w:sz w:val="20"/>
              </w:rPr>
              <w:t>.</w:t>
            </w:r>
            <w:bookmarkEnd w:id="135"/>
          </w:p>
          <w:p w14:paraId="536D236E" w14:textId="4DA72020" w:rsidR="00F476A1" w:rsidRPr="002D66DE" w:rsidRDefault="001D6C93" w:rsidP="0052639F">
            <w:pPr>
              <w:pStyle w:val="Tabletext"/>
              <w:keepNext/>
              <w:keepLines/>
              <w:rPr>
                <w:sz w:val="20"/>
                <w:szCs w:val="20"/>
              </w:rPr>
            </w:pPr>
            <w:r w:rsidRPr="002D66DE">
              <w:rPr>
                <w:sz w:val="20"/>
              </w:rPr>
              <w:t>Certains membres ont estimé que c</w:t>
            </w:r>
            <w:r w:rsidR="00F476A1" w:rsidRPr="002D66DE">
              <w:rPr>
                <w:sz w:val="20"/>
                <w:szCs w:val="20"/>
              </w:rPr>
              <w:t xml:space="preserve">ette disposition est difficilement applicable </w:t>
            </w:r>
            <w:r w:rsidR="00531DD4" w:rsidRPr="002D66DE">
              <w:rPr>
                <w:sz w:val="20"/>
                <w:szCs w:val="20"/>
              </w:rPr>
              <w:t>puisque</w:t>
            </w:r>
            <w:r w:rsidR="00F476A1" w:rsidRPr="002D66DE">
              <w:rPr>
                <w:sz w:val="20"/>
                <w:szCs w:val="20"/>
              </w:rPr>
              <w:t xml:space="preserve"> les mesures pour y parvenir devraient être définies explicitement pour une harmonisation à l'échelle mondiale</w:t>
            </w:r>
            <w:r w:rsidR="007E2FFC" w:rsidRPr="002D66DE">
              <w:rPr>
                <w:sz w:val="20"/>
                <w:szCs w:val="20"/>
              </w:rPr>
              <w:t>,</w:t>
            </w:r>
            <w:r w:rsidR="00F476A1" w:rsidRPr="002D66DE">
              <w:rPr>
                <w:sz w:val="20"/>
                <w:szCs w:val="20"/>
              </w:rPr>
              <w:t xml:space="preserve"> comme </w:t>
            </w:r>
            <w:r w:rsidR="00B7489A" w:rsidRPr="002D66DE">
              <w:rPr>
                <w:sz w:val="20"/>
                <w:szCs w:val="20"/>
              </w:rPr>
              <w:t>prévu</w:t>
            </w:r>
            <w:r w:rsidR="00F476A1" w:rsidRPr="002D66DE">
              <w:rPr>
                <w:sz w:val="20"/>
                <w:szCs w:val="20"/>
              </w:rPr>
              <w:t xml:space="preserve"> dans le </w:t>
            </w:r>
            <w:r w:rsidR="00531DD4" w:rsidRPr="002D66DE">
              <w:rPr>
                <w:sz w:val="20"/>
                <w:szCs w:val="20"/>
              </w:rPr>
              <w:t>P</w:t>
            </w:r>
            <w:r w:rsidR="00F476A1" w:rsidRPr="002D66DE">
              <w:rPr>
                <w:sz w:val="20"/>
                <w:szCs w:val="20"/>
              </w:rPr>
              <w:t>réambule.</w:t>
            </w:r>
          </w:p>
        </w:tc>
        <w:tc>
          <w:tcPr>
            <w:tcW w:w="2577" w:type="dxa"/>
          </w:tcPr>
          <w:p w14:paraId="213DBCE3" w14:textId="63BEC41B" w:rsidR="00F476A1" w:rsidRPr="002D66DE" w:rsidRDefault="00B7489A" w:rsidP="00C55BDB">
            <w:pPr>
              <w:pStyle w:val="Tabletext"/>
              <w:rPr>
                <w:sz w:val="20"/>
              </w:rPr>
            </w:pPr>
            <w:r w:rsidRPr="002D66DE">
              <w:rPr>
                <w:sz w:val="20"/>
              </w:rPr>
              <w:t xml:space="preserve">Certains membres ont estimé que cette disposition offre la souplesse nécessaire </w:t>
            </w:r>
            <w:r w:rsidR="00531DD4" w:rsidRPr="002D66DE">
              <w:rPr>
                <w:sz w:val="20"/>
              </w:rPr>
              <w:t>puis</w:t>
            </w:r>
            <w:r w:rsidRPr="002D66DE">
              <w:rPr>
                <w:sz w:val="20"/>
              </w:rPr>
              <w:t>qu</w:t>
            </w:r>
            <w:r w:rsidR="009F4D21" w:rsidRPr="002D66DE">
              <w:rPr>
                <w:sz w:val="20"/>
              </w:rPr>
              <w:t>'</w:t>
            </w:r>
            <w:r w:rsidRPr="002D66DE">
              <w:rPr>
                <w:sz w:val="20"/>
              </w:rPr>
              <w:t>elle garantit la bonne utilisation des ressources de numérotage</w:t>
            </w:r>
            <w:r w:rsidR="00F476A1" w:rsidRPr="002D66DE">
              <w:rPr>
                <w:sz w:val="20"/>
              </w:rPr>
              <w:t>.</w:t>
            </w:r>
          </w:p>
          <w:p w14:paraId="5DC89B64" w14:textId="4E59F700" w:rsidR="00F476A1" w:rsidRPr="002D66DE" w:rsidRDefault="00B7489A" w:rsidP="00C55BDB">
            <w:pPr>
              <w:pStyle w:val="Tabletext"/>
              <w:rPr>
                <w:sz w:val="20"/>
              </w:rPr>
            </w:pPr>
            <w:bookmarkStart w:id="136" w:name="lt_pId537"/>
            <w:r w:rsidRPr="002D66DE">
              <w:rPr>
                <w:sz w:val="20"/>
              </w:rPr>
              <w:t xml:space="preserve">Certains membres ont estimé que la question de la souplesse ne se pose pas, </w:t>
            </w:r>
            <w:r w:rsidR="00531DD4" w:rsidRPr="002D66DE">
              <w:rPr>
                <w:sz w:val="20"/>
              </w:rPr>
              <w:t>parce</w:t>
            </w:r>
            <w:r w:rsidRPr="002D66DE">
              <w:rPr>
                <w:sz w:val="20"/>
              </w:rPr>
              <w:t xml:space="preserve"> que cette disposition est inapplicable</w:t>
            </w:r>
            <w:r w:rsidR="00F476A1" w:rsidRPr="002D66DE">
              <w:rPr>
                <w:sz w:val="20"/>
              </w:rPr>
              <w:t>.</w:t>
            </w:r>
            <w:bookmarkEnd w:id="136"/>
          </w:p>
          <w:p w14:paraId="776919DA" w14:textId="3F705D7B" w:rsidR="00F476A1" w:rsidRPr="002D66DE" w:rsidRDefault="00B7489A" w:rsidP="00C55BDB">
            <w:pPr>
              <w:pStyle w:val="Tabletext"/>
              <w:rPr>
                <w:sz w:val="20"/>
              </w:rPr>
            </w:pPr>
            <w:bookmarkStart w:id="137" w:name="lt_pId538"/>
            <w:r w:rsidRPr="002D66DE">
              <w:rPr>
                <w:sz w:val="20"/>
              </w:rPr>
              <w:t>Certains membres ont estimé que cette disposition ne prend pas en compte l</w:t>
            </w:r>
            <w:r w:rsidR="009F4D21" w:rsidRPr="002D66DE">
              <w:rPr>
                <w:sz w:val="20"/>
              </w:rPr>
              <w:t>'</w:t>
            </w:r>
            <w:r w:rsidRPr="002D66DE">
              <w:rPr>
                <w:sz w:val="20"/>
              </w:rPr>
              <w:t>adressage et le nommage</w:t>
            </w:r>
            <w:r w:rsidR="00F476A1" w:rsidRPr="002D66DE">
              <w:rPr>
                <w:sz w:val="20"/>
              </w:rPr>
              <w:t>.</w:t>
            </w:r>
            <w:bookmarkEnd w:id="137"/>
          </w:p>
          <w:p w14:paraId="1CF51BB7" w14:textId="0450FE85" w:rsidR="00F476A1" w:rsidRPr="002D66DE" w:rsidRDefault="00CA73F8" w:rsidP="0052639F">
            <w:pPr>
              <w:pStyle w:val="Tabletext"/>
              <w:keepNext/>
              <w:keepLines/>
              <w:rPr>
                <w:sz w:val="20"/>
              </w:rPr>
            </w:pPr>
            <w:bookmarkStart w:id="138" w:name="lt_pId539"/>
            <w:r w:rsidRPr="002D66DE">
              <w:rPr>
                <w:sz w:val="20"/>
              </w:rPr>
              <w:t>Certains m</w:t>
            </w:r>
            <w:r w:rsidR="00F476A1" w:rsidRPr="002D66DE">
              <w:rPr>
                <w:sz w:val="20"/>
              </w:rPr>
              <w:t>embr</w:t>
            </w:r>
            <w:r w:rsidRPr="002D66DE">
              <w:rPr>
                <w:sz w:val="20"/>
              </w:rPr>
              <w:t>e</w:t>
            </w:r>
            <w:r w:rsidR="00F476A1" w:rsidRPr="002D66DE">
              <w:rPr>
                <w:sz w:val="20"/>
              </w:rPr>
              <w:t>s</w:t>
            </w:r>
            <w:r w:rsidRPr="002D66DE">
              <w:rPr>
                <w:sz w:val="20"/>
              </w:rPr>
              <w:t xml:space="preserve"> ont estimé que la référence aux Recommandations de l</w:t>
            </w:r>
            <w:r w:rsidR="009F4D21" w:rsidRPr="002D66DE">
              <w:rPr>
                <w:sz w:val="20"/>
              </w:rPr>
              <w:t>'</w:t>
            </w:r>
            <w:r w:rsidRPr="002D66DE">
              <w:rPr>
                <w:sz w:val="20"/>
              </w:rPr>
              <w:t>UIT-T limite la souplesse offerte par le texte</w:t>
            </w:r>
            <w:r w:rsidR="00F476A1" w:rsidRPr="002D66DE">
              <w:rPr>
                <w:sz w:val="20"/>
              </w:rPr>
              <w:t>.</w:t>
            </w:r>
            <w:bookmarkEnd w:id="138"/>
          </w:p>
        </w:tc>
        <w:tc>
          <w:tcPr>
            <w:tcW w:w="2424" w:type="dxa"/>
          </w:tcPr>
          <w:p w14:paraId="50D8B8D1" w14:textId="431F6267"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62CE1D8D" w14:textId="0FFE8688" w:rsidR="003111C2"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0234EC6A" w14:textId="6A9A6348" w:rsidR="00F476A1" w:rsidRPr="002D66DE" w:rsidRDefault="0013528B" w:rsidP="00C55BDB">
            <w:pPr>
              <w:pStyle w:val="Tabletext"/>
              <w:rPr>
                <w:sz w:val="20"/>
                <w:szCs w:val="20"/>
              </w:rPr>
            </w:pPr>
            <w:bookmarkStart w:id="139" w:name="lt_pId542"/>
            <w:r w:rsidRPr="002D66DE">
              <w:rPr>
                <w:sz w:val="20"/>
                <w:szCs w:val="20"/>
              </w:rPr>
              <w:t xml:space="preserve">Certains membres ont fait valoir que cette disposition </w:t>
            </w:r>
            <w:r w:rsidR="000636B9" w:rsidRPr="002D66DE">
              <w:rPr>
                <w:sz w:val="20"/>
                <w:szCs w:val="20"/>
              </w:rPr>
              <w:t>doit</w:t>
            </w:r>
            <w:r w:rsidRPr="002D66DE">
              <w:rPr>
                <w:sz w:val="20"/>
                <w:szCs w:val="20"/>
              </w:rPr>
              <w:t xml:space="preserve"> être mise à jour afin </w:t>
            </w:r>
            <w:r w:rsidR="000636B9" w:rsidRPr="002D66DE">
              <w:rPr>
                <w:sz w:val="20"/>
                <w:szCs w:val="20"/>
              </w:rPr>
              <w:t>de tenir compte des</w:t>
            </w:r>
            <w:r w:rsidRPr="002D66DE">
              <w:rPr>
                <w:sz w:val="20"/>
                <w:szCs w:val="20"/>
              </w:rPr>
              <w:t xml:space="preserve"> normes de l</w:t>
            </w:r>
            <w:r w:rsidR="009F4D21" w:rsidRPr="002D66DE">
              <w:rPr>
                <w:sz w:val="20"/>
                <w:szCs w:val="20"/>
              </w:rPr>
              <w:t>'</w:t>
            </w:r>
            <w:r w:rsidRPr="002D66DE">
              <w:rPr>
                <w:sz w:val="20"/>
                <w:szCs w:val="20"/>
              </w:rPr>
              <w:t>UIT</w:t>
            </w:r>
            <w:bookmarkEnd w:id="139"/>
            <w:r w:rsidR="003C66EE" w:rsidRPr="002D66DE">
              <w:rPr>
                <w:sz w:val="20"/>
                <w:szCs w:val="20"/>
              </w:rPr>
              <w:t>.</w:t>
            </w:r>
          </w:p>
        </w:tc>
      </w:tr>
      <w:tr w:rsidR="00A74E53" w:rsidRPr="002D66DE" w14:paraId="569E6982" w14:textId="77777777" w:rsidTr="00AC7710">
        <w:tc>
          <w:tcPr>
            <w:tcW w:w="987" w:type="dxa"/>
          </w:tcPr>
          <w:p w14:paraId="123FFBF6" w14:textId="489F4BC1" w:rsidR="00F476A1" w:rsidRPr="002D66DE" w:rsidRDefault="00F476A1" w:rsidP="00C55BDB">
            <w:pPr>
              <w:pStyle w:val="Tablehead"/>
              <w:rPr>
                <w:sz w:val="20"/>
                <w:szCs w:val="20"/>
              </w:rPr>
            </w:pPr>
            <w:r w:rsidRPr="002D66DE">
              <w:rPr>
                <w:sz w:val="20"/>
                <w:szCs w:val="20"/>
              </w:rPr>
              <w:t>32</w:t>
            </w:r>
          </w:p>
        </w:tc>
        <w:tc>
          <w:tcPr>
            <w:tcW w:w="2860" w:type="dxa"/>
          </w:tcPr>
          <w:p w14:paraId="3BB1BE7F" w14:textId="7237B72E" w:rsidR="00F476A1" w:rsidRPr="002D66DE" w:rsidRDefault="00F476A1" w:rsidP="00C55BDB">
            <w:pPr>
              <w:pStyle w:val="Tabletext"/>
              <w:rPr>
                <w:b/>
                <w:bCs/>
                <w:sz w:val="20"/>
                <w:szCs w:val="20"/>
              </w:rPr>
            </w:pPr>
            <w:r w:rsidRPr="002D66DE">
              <w:rPr>
                <w:b/>
                <w:bCs/>
                <w:sz w:val="20"/>
                <w:szCs w:val="20"/>
              </w:rPr>
              <w:t>3.6</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s'efforcent de veiller à ce que les informations relatives à l'identification de la ligne appelante internationale (CLI) soient fournies compte tenu des Recommandations UIT-T pertinentes.</w:t>
            </w:r>
          </w:p>
        </w:tc>
        <w:tc>
          <w:tcPr>
            <w:tcW w:w="3378" w:type="dxa"/>
          </w:tcPr>
          <w:p w14:paraId="2CE5D578" w14:textId="77777777" w:rsidR="00F476A1" w:rsidRPr="002D66DE" w:rsidRDefault="00F476A1" w:rsidP="00C55BDB">
            <w:pPr>
              <w:pStyle w:val="Tabletext"/>
              <w:rPr>
                <w:sz w:val="20"/>
                <w:szCs w:val="20"/>
              </w:rPr>
            </w:pPr>
          </w:p>
        </w:tc>
        <w:tc>
          <w:tcPr>
            <w:tcW w:w="2951" w:type="dxa"/>
          </w:tcPr>
          <w:p w14:paraId="662918C1" w14:textId="1D4261C4" w:rsidR="00F476A1" w:rsidRPr="002D66DE" w:rsidRDefault="000D5022" w:rsidP="00C55BDB">
            <w:pPr>
              <w:pStyle w:val="Tabletext"/>
              <w:rPr>
                <w:rFonts w:cstheme="minorHAnsi"/>
                <w:bCs/>
                <w:sz w:val="20"/>
                <w:szCs w:val="20"/>
              </w:rPr>
            </w:pPr>
            <w:bookmarkStart w:id="140" w:name="lt_pId545"/>
            <w:r w:rsidRPr="002D66DE">
              <w:rPr>
                <w:rFonts w:cstheme="minorHAnsi"/>
                <w:bCs/>
                <w:sz w:val="20"/>
                <w:szCs w:val="20"/>
              </w:rPr>
              <w:t xml:space="preserve">Certains membres ont estimé que cette disposition </w:t>
            </w:r>
            <w:r w:rsidR="00531DD4" w:rsidRPr="002D66DE">
              <w:rPr>
                <w:rFonts w:cstheme="minorHAnsi"/>
                <w:bCs/>
                <w:sz w:val="20"/>
                <w:szCs w:val="20"/>
              </w:rPr>
              <w:t>est applicable</w:t>
            </w:r>
            <w:r w:rsidRPr="002D66DE">
              <w:rPr>
                <w:rFonts w:cstheme="minorHAnsi"/>
                <w:bCs/>
                <w:sz w:val="20"/>
                <w:szCs w:val="20"/>
              </w:rPr>
              <w:t xml:space="preserve"> et encourage le développement des</w:t>
            </w:r>
            <w:r w:rsidR="00F476A1" w:rsidRPr="002D66DE">
              <w:rPr>
                <w:rFonts w:cstheme="minorHAnsi"/>
                <w:bCs/>
                <w:sz w:val="20"/>
                <w:szCs w:val="20"/>
              </w:rPr>
              <w:t xml:space="preserve"> </w:t>
            </w:r>
            <w:r w:rsidRPr="002D66DE">
              <w:rPr>
                <w:rFonts w:cstheme="minorHAnsi"/>
                <w:bCs/>
                <w:sz w:val="20"/>
                <w:szCs w:val="20"/>
              </w:rPr>
              <w:t xml:space="preserve">réseaux et </w:t>
            </w:r>
            <w:r w:rsidR="00430A65" w:rsidRPr="002D66DE">
              <w:rPr>
                <w:rFonts w:cstheme="minorHAnsi"/>
                <w:bCs/>
                <w:sz w:val="20"/>
                <w:szCs w:val="20"/>
              </w:rPr>
              <w:t xml:space="preserve">des </w:t>
            </w:r>
            <w:r w:rsidRPr="002D66DE">
              <w:rPr>
                <w:rFonts w:cstheme="minorHAnsi"/>
                <w:bCs/>
                <w:sz w:val="20"/>
                <w:szCs w:val="20"/>
              </w:rPr>
              <w:t>services</w:t>
            </w:r>
            <w:r w:rsidR="00F476A1" w:rsidRPr="002D66DE">
              <w:rPr>
                <w:rFonts w:cstheme="minorHAnsi"/>
                <w:bCs/>
                <w:sz w:val="20"/>
                <w:szCs w:val="20"/>
              </w:rPr>
              <w:t>.</w:t>
            </w:r>
            <w:bookmarkEnd w:id="140"/>
          </w:p>
          <w:p w14:paraId="5D66A604" w14:textId="45117D74" w:rsidR="00F476A1" w:rsidRPr="002D66DE" w:rsidRDefault="000D5022" w:rsidP="00423417">
            <w:pPr>
              <w:pStyle w:val="Tabletext"/>
              <w:keepNext/>
              <w:keepLines/>
              <w:rPr>
                <w:rFonts w:cstheme="minorHAnsi"/>
                <w:sz w:val="20"/>
                <w:szCs w:val="20"/>
              </w:rPr>
            </w:pPr>
            <w:bookmarkStart w:id="141" w:name="lt_pId546"/>
            <w:r w:rsidRPr="002D66DE">
              <w:rPr>
                <w:rFonts w:cstheme="minorHAnsi"/>
                <w:sz w:val="20"/>
                <w:szCs w:val="20"/>
              </w:rPr>
              <w:lastRenderedPageBreak/>
              <w:t>Certains membres ont estimé que le</w:t>
            </w:r>
            <w:r w:rsidR="00AA2A48" w:rsidRPr="002D66DE">
              <w:rPr>
                <w:rFonts w:cstheme="minorHAnsi"/>
                <w:sz w:val="20"/>
                <w:szCs w:val="20"/>
              </w:rPr>
              <w:t xml:space="preserve"> </w:t>
            </w:r>
            <w:r w:rsidRPr="002D66DE">
              <w:rPr>
                <w:rFonts w:cstheme="minorHAnsi"/>
                <w:sz w:val="20"/>
                <w:szCs w:val="20"/>
              </w:rPr>
              <w:t xml:space="preserve">membre de phrase "Les </w:t>
            </w:r>
            <w:r w:rsidR="004C7683" w:rsidRPr="002D66DE">
              <w:rPr>
                <w:rFonts w:cstheme="minorHAnsi"/>
                <w:sz w:val="20"/>
                <w:szCs w:val="20"/>
              </w:rPr>
              <w:t>États</w:t>
            </w:r>
            <w:r w:rsidRPr="002D66DE">
              <w:rPr>
                <w:rFonts w:cstheme="minorHAnsi"/>
                <w:sz w:val="20"/>
                <w:szCs w:val="20"/>
              </w:rPr>
              <w:t xml:space="preserve"> Membres s'efforcent de garantir" est inapplicable.</w:t>
            </w:r>
            <w:bookmarkEnd w:id="141"/>
          </w:p>
          <w:p w14:paraId="2CFB614A" w14:textId="08D34C2E" w:rsidR="00F476A1" w:rsidRPr="002D66DE" w:rsidRDefault="00F476A1" w:rsidP="00C55BDB">
            <w:pPr>
              <w:pStyle w:val="Tabletext"/>
              <w:rPr>
                <w:sz w:val="20"/>
                <w:szCs w:val="20"/>
              </w:rPr>
            </w:pPr>
            <w:r w:rsidRPr="002D66DE">
              <w:rPr>
                <w:sz w:val="20"/>
                <w:szCs w:val="20"/>
              </w:rPr>
              <w:t>Ce</w:t>
            </w:r>
            <w:r w:rsidR="000D5022" w:rsidRPr="002D66DE">
              <w:rPr>
                <w:sz w:val="20"/>
                <w:szCs w:val="20"/>
              </w:rPr>
              <w:t>rtains membres ont estimé que ce</w:t>
            </w:r>
            <w:r w:rsidRPr="002D66DE">
              <w:rPr>
                <w:sz w:val="20"/>
                <w:szCs w:val="20"/>
              </w:rPr>
              <w:t>tte disposition est difficilement applicable car les mesures pour y parvenir devraient être définies explicitement pour une harmonisation à l'échelle mondiale</w:t>
            </w:r>
            <w:r w:rsidR="007E2FFC" w:rsidRPr="002D66DE">
              <w:rPr>
                <w:sz w:val="20"/>
                <w:szCs w:val="20"/>
              </w:rPr>
              <w:t>,</w:t>
            </w:r>
            <w:r w:rsidRPr="002D66DE">
              <w:rPr>
                <w:sz w:val="20"/>
                <w:szCs w:val="20"/>
              </w:rPr>
              <w:t xml:space="preserve"> comme </w:t>
            </w:r>
            <w:r w:rsidR="00531DD4" w:rsidRPr="002D66DE">
              <w:rPr>
                <w:sz w:val="20"/>
                <w:szCs w:val="20"/>
              </w:rPr>
              <w:t>prévu</w:t>
            </w:r>
            <w:r w:rsidRPr="002D66DE">
              <w:rPr>
                <w:sz w:val="20"/>
                <w:szCs w:val="20"/>
              </w:rPr>
              <w:t xml:space="preserve"> dans le </w:t>
            </w:r>
            <w:r w:rsidR="000D5022" w:rsidRPr="002D66DE">
              <w:rPr>
                <w:sz w:val="20"/>
                <w:szCs w:val="20"/>
              </w:rPr>
              <w:t>P</w:t>
            </w:r>
            <w:r w:rsidRPr="002D66DE">
              <w:rPr>
                <w:sz w:val="20"/>
                <w:szCs w:val="20"/>
              </w:rPr>
              <w:t>réambule.</w:t>
            </w:r>
          </w:p>
          <w:p w14:paraId="36C59292" w14:textId="42B5DE7A" w:rsidR="00F476A1" w:rsidRPr="002D66DE" w:rsidRDefault="00117AA1" w:rsidP="00C55BDB">
            <w:pPr>
              <w:pStyle w:val="Tabletext"/>
              <w:rPr>
                <w:sz w:val="20"/>
              </w:rPr>
            </w:pPr>
            <w:bookmarkStart w:id="142" w:name="lt_pId548"/>
            <w:r w:rsidRPr="002D66DE">
              <w:rPr>
                <w:sz w:val="20"/>
                <w:szCs w:val="20"/>
              </w:rPr>
              <w:t xml:space="preserve">Certains membres ont estimé que cette disposition </w:t>
            </w:r>
            <w:r w:rsidR="005020C7" w:rsidRPr="002D66DE">
              <w:rPr>
                <w:sz w:val="20"/>
              </w:rPr>
              <w:t>ne prend pas en compte les identificateurs de l'origine de l'appel, étant donné les avancées technologi</w:t>
            </w:r>
            <w:r w:rsidR="007E2FFC" w:rsidRPr="002D66DE">
              <w:rPr>
                <w:sz w:val="20"/>
              </w:rPr>
              <w:t>qu</w:t>
            </w:r>
            <w:r w:rsidR="005020C7" w:rsidRPr="002D66DE">
              <w:rPr>
                <w:sz w:val="20"/>
              </w:rPr>
              <w:t>es et la mise en œuvre des applications IoT sur le marché des services internationaux de télécommunication</w:t>
            </w:r>
            <w:r w:rsidR="00F476A1" w:rsidRPr="002D66DE">
              <w:rPr>
                <w:sz w:val="20"/>
              </w:rPr>
              <w:t>.</w:t>
            </w:r>
            <w:bookmarkEnd w:id="142"/>
          </w:p>
          <w:p w14:paraId="6231172B" w14:textId="5105596D" w:rsidR="00F476A1" w:rsidRPr="002D66DE" w:rsidRDefault="005020C7" w:rsidP="00AC7710">
            <w:pPr>
              <w:pStyle w:val="Tabletext"/>
              <w:keepNext/>
              <w:keepLines/>
              <w:rPr>
                <w:sz w:val="20"/>
                <w:szCs w:val="20"/>
              </w:rPr>
            </w:pPr>
            <w:bookmarkStart w:id="143" w:name="lt_pId549"/>
            <w:r w:rsidRPr="002D66DE">
              <w:rPr>
                <w:sz w:val="20"/>
              </w:rPr>
              <w:t xml:space="preserve">Certains membres ont estimé que </w:t>
            </w:r>
            <w:r w:rsidR="009F3DFD" w:rsidRPr="002D66DE">
              <w:rPr>
                <w:sz w:val="20"/>
              </w:rPr>
              <w:t>les informations</w:t>
            </w:r>
            <w:r w:rsidRPr="002D66DE">
              <w:rPr>
                <w:sz w:val="20"/>
              </w:rPr>
              <w:t xml:space="preserve"> CLI doi</w:t>
            </w:r>
            <w:r w:rsidR="009F3DFD" w:rsidRPr="002D66DE">
              <w:rPr>
                <w:sz w:val="20"/>
              </w:rPr>
              <w:t>ven</w:t>
            </w:r>
            <w:r w:rsidRPr="002D66DE">
              <w:rPr>
                <w:sz w:val="20"/>
              </w:rPr>
              <w:t>t être conservée</w:t>
            </w:r>
            <w:r w:rsidR="007E2FFC" w:rsidRPr="002D66DE">
              <w:rPr>
                <w:sz w:val="20"/>
              </w:rPr>
              <w:t>s</w:t>
            </w:r>
            <w:r w:rsidRPr="002D66DE">
              <w:rPr>
                <w:sz w:val="20"/>
              </w:rPr>
              <w:t xml:space="preserve"> à des fins de transparence</w:t>
            </w:r>
            <w:r w:rsidR="00F476A1" w:rsidRPr="002D66DE">
              <w:rPr>
                <w:sz w:val="20"/>
              </w:rPr>
              <w:t>.</w:t>
            </w:r>
            <w:bookmarkEnd w:id="143"/>
          </w:p>
        </w:tc>
        <w:tc>
          <w:tcPr>
            <w:tcW w:w="2577" w:type="dxa"/>
          </w:tcPr>
          <w:p w14:paraId="2C7F0244" w14:textId="54C7DB30" w:rsidR="00F476A1" w:rsidRPr="002D66DE" w:rsidRDefault="009F3DFD" w:rsidP="00C55BDB">
            <w:pPr>
              <w:pStyle w:val="Tabletext"/>
              <w:rPr>
                <w:sz w:val="20"/>
              </w:rPr>
            </w:pPr>
            <w:bookmarkStart w:id="144" w:name="lt_pId550"/>
            <w:r w:rsidRPr="002D66DE">
              <w:rPr>
                <w:sz w:val="20"/>
              </w:rPr>
              <w:lastRenderedPageBreak/>
              <w:t>Certains membres ont estimé que cette disposition garantit la souplesse nécessaire</w:t>
            </w:r>
            <w:r w:rsidR="00F476A1" w:rsidRPr="002D66DE">
              <w:rPr>
                <w:sz w:val="20"/>
              </w:rPr>
              <w:t>,</w:t>
            </w:r>
            <w:r w:rsidRPr="002D66DE">
              <w:rPr>
                <w:sz w:val="20"/>
              </w:rPr>
              <w:t xml:space="preserve"> </w:t>
            </w:r>
            <w:r w:rsidR="00531DD4" w:rsidRPr="002D66DE">
              <w:rPr>
                <w:sz w:val="20"/>
              </w:rPr>
              <w:t>et ont</w:t>
            </w:r>
            <w:r w:rsidRPr="002D66DE">
              <w:rPr>
                <w:sz w:val="20"/>
              </w:rPr>
              <w:t xml:space="preserve"> soulign</w:t>
            </w:r>
            <w:r w:rsidR="00531DD4" w:rsidRPr="002D66DE">
              <w:rPr>
                <w:sz w:val="20"/>
              </w:rPr>
              <w:t>é</w:t>
            </w:r>
            <w:r w:rsidRPr="002D66DE">
              <w:rPr>
                <w:sz w:val="20"/>
              </w:rPr>
              <w:t xml:space="preserve"> qu</w:t>
            </w:r>
            <w:r w:rsidR="009F4D21" w:rsidRPr="002D66DE">
              <w:rPr>
                <w:sz w:val="20"/>
              </w:rPr>
              <w:t>'</w:t>
            </w:r>
            <w:r w:rsidRPr="002D66DE">
              <w:rPr>
                <w:sz w:val="20"/>
              </w:rPr>
              <w:t xml:space="preserve">elle permet de réduire la manipulation des informations </w:t>
            </w:r>
            <w:r w:rsidR="00F476A1" w:rsidRPr="002D66DE">
              <w:rPr>
                <w:sz w:val="20"/>
              </w:rPr>
              <w:t xml:space="preserve">CLI, </w:t>
            </w:r>
            <w:r w:rsidR="007E2FFC" w:rsidRPr="002D66DE">
              <w:rPr>
                <w:sz w:val="20"/>
              </w:rPr>
              <w:t xml:space="preserve">laquelle </w:t>
            </w:r>
            <w:r w:rsidR="00463B9D" w:rsidRPr="002D66DE">
              <w:rPr>
                <w:sz w:val="20"/>
              </w:rPr>
              <w:t xml:space="preserve">qui pourrait se traduire par des difficultés pour </w:t>
            </w:r>
            <w:r w:rsidR="00463B9D" w:rsidRPr="002D66DE">
              <w:rPr>
                <w:sz w:val="20"/>
              </w:rPr>
              <w:lastRenderedPageBreak/>
              <w:t>acheminer ou facturer les appels</w:t>
            </w:r>
            <w:r w:rsidR="007E2FFC" w:rsidRPr="002D66DE">
              <w:rPr>
                <w:sz w:val="20"/>
              </w:rPr>
              <w:t>,</w:t>
            </w:r>
            <w:r w:rsidR="00463B9D" w:rsidRPr="002D66DE">
              <w:rPr>
                <w:sz w:val="20"/>
              </w:rPr>
              <w:t xml:space="preserve"> voire par l'impossibilité de le faire</w:t>
            </w:r>
            <w:r w:rsidR="00F476A1" w:rsidRPr="002D66DE">
              <w:rPr>
                <w:sz w:val="20"/>
              </w:rPr>
              <w:t>.</w:t>
            </w:r>
            <w:bookmarkEnd w:id="144"/>
          </w:p>
          <w:p w14:paraId="0C3DE791" w14:textId="43B75627" w:rsidR="00F476A1" w:rsidRPr="002D66DE" w:rsidRDefault="00463B9D" w:rsidP="00C55BDB">
            <w:pPr>
              <w:pStyle w:val="Tabletext"/>
              <w:rPr>
                <w:sz w:val="20"/>
              </w:rPr>
            </w:pPr>
            <w:bookmarkStart w:id="145" w:name="lt_pId551"/>
            <w:r w:rsidRPr="002D66DE">
              <w:rPr>
                <w:sz w:val="20"/>
              </w:rPr>
              <w:t xml:space="preserve">Certains membres ont estimé que cette disposition pourrait manquer de souplesse si elle conduit au respect de Recommandations redondantes, étant donné </w:t>
            </w:r>
            <w:r w:rsidR="00F0356A" w:rsidRPr="002D66DE">
              <w:rPr>
                <w:sz w:val="20"/>
              </w:rPr>
              <w:t>que les</w:t>
            </w:r>
            <w:r w:rsidR="00F476A1" w:rsidRPr="002D66DE">
              <w:rPr>
                <w:sz w:val="20"/>
              </w:rPr>
              <w:t xml:space="preserve"> </w:t>
            </w:r>
            <w:r w:rsidR="00F0356A" w:rsidRPr="002D66DE">
              <w:rPr>
                <w:sz w:val="20"/>
              </w:rPr>
              <w:t>R</w:t>
            </w:r>
            <w:r w:rsidR="00F476A1" w:rsidRPr="002D66DE">
              <w:rPr>
                <w:sz w:val="20"/>
              </w:rPr>
              <w:t>ecomm</w:t>
            </w:r>
            <w:r w:rsidR="00F0356A" w:rsidRPr="002D66DE">
              <w:rPr>
                <w:sz w:val="20"/>
              </w:rPr>
              <w:t>a</w:t>
            </w:r>
            <w:r w:rsidR="00F476A1" w:rsidRPr="002D66DE">
              <w:rPr>
                <w:sz w:val="20"/>
              </w:rPr>
              <w:t xml:space="preserve">ndations </w:t>
            </w:r>
            <w:r w:rsidR="00F0356A" w:rsidRPr="002D66DE">
              <w:rPr>
                <w:sz w:val="20"/>
              </w:rPr>
              <w:t>UIT-T considérées comme</w:t>
            </w:r>
            <w:r w:rsidR="00F476A1" w:rsidRPr="002D66DE">
              <w:rPr>
                <w:sz w:val="20"/>
              </w:rPr>
              <w:t xml:space="preserve"> </w:t>
            </w:r>
            <w:r w:rsidR="00AC7710" w:rsidRPr="002D66DE">
              <w:rPr>
                <w:sz w:val="20"/>
              </w:rPr>
              <w:t>"</w:t>
            </w:r>
            <w:r w:rsidR="00F0356A" w:rsidRPr="002D66DE">
              <w:rPr>
                <w:sz w:val="20"/>
              </w:rPr>
              <w:t>pertinen</w:t>
            </w:r>
            <w:r w:rsidR="00F476A1" w:rsidRPr="002D66DE">
              <w:rPr>
                <w:sz w:val="20"/>
              </w:rPr>
              <w:t>t</w:t>
            </w:r>
            <w:r w:rsidR="00F0356A" w:rsidRPr="002D66DE">
              <w:rPr>
                <w:sz w:val="20"/>
              </w:rPr>
              <w:t>es</w:t>
            </w:r>
            <w:r w:rsidR="00AC7710" w:rsidRPr="002D66DE">
              <w:rPr>
                <w:sz w:val="20"/>
              </w:rPr>
              <w:t>"</w:t>
            </w:r>
            <w:r w:rsidR="00F0356A" w:rsidRPr="002D66DE">
              <w:rPr>
                <w:sz w:val="20"/>
              </w:rPr>
              <w:t xml:space="preserve"> ne sont pas indiquées</w:t>
            </w:r>
            <w:r w:rsidR="00F476A1" w:rsidRPr="002D66DE">
              <w:rPr>
                <w:sz w:val="20"/>
              </w:rPr>
              <w:t>.</w:t>
            </w:r>
            <w:bookmarkEnd w:id="145"/>
          </w:p>
          <w:p w14:paraId="5DCCA964" w14:textId="360A42EA" w:rsidR="00F476A1" w:rsidRPr="002D66DE" w:rsidRDefault="00F0356A" w:rsidP="00C55BDB">
            <w:pPr>
              <w:pStyle w:val="Tabletext"/>
              <w:rPr>
                <w:sz w:val="20"/>
              </w:rPr>
            </w:pPr>
            <w:bookmarkStart w:id="146" w:name="lt_pId552"/>
            <w:r w:rsidRPr="002D66DE">
              <w:rPr>
                <w:sz w:val="20"/>
              </w:rPr>
              <w:t>Certains membres ont estimé que la référence aux Recommandations UIT-T limite la</w:t>
            </w:r>
            <w:r w:rsidR="00F476A1" w:rsidRPr="002D66DE">
              <w:rPr>
                <w:sz w:val="20"/>
              </w:rPr>
              <w:t xml:space="preserve"> </w:t>
            </w:r>
            <w:r w:rsidRPr="002D66DE">
              <w:rPr>
                <w:sz w:val="20"/>
              </w:rPr>
              <w:t>souplesse offerte par le</w:t>
            </w:r>
            <w:r w:rsidR="00F476A1" w:rsidRPr="002D66DE">
              <w:rPr>
                <w:sz w:val="20"/>
              </w:rPr>
              <w:t xml:space="preserve"> text</w:t>
            </w:r>
            <w:r w:rsidRPr="002D66DE">
              <w:rPr>
                <w:sz w:val="20"/>
              </w:rPr>
              <w:t>e</w:t>
            </w:r>
            <w:r w:rsidR="00F476A1" w:rsidRPr="002D66DE">
              <w:rPr>
                <w:sz w:val="20"/>
              </w:rPr>
              <w:t>.</w:t>
            </w:r>
            <w:bookmarkEnd w:id="146"/>
          </w:p>
          <w:p w14:paraId="1052B167" w14:textId="3E4FF509" w:rsidR="00F476A1" w:rsidRPr="002D66DE" w:rsidRDefault="00554F40" w:rsidP="00AC7710">
            <w:pPr>
              <w:pStyle w:val="Tabletext"/>
              <w:keepNext/>
              <w:keepLines/>
              <w:rPr>
                <w:sz w:val="20"/>
                <w:szCs w:val="20"/>
              </w:rPr>
            </w:pPr>
            <w:r w:rsidRPr="002D66DE">
              <w:rPr>
                <w:sz w:val="20"/>
                <w:szCs w:val="20"/>
              </w:rPr>
              <w:t>De l</w:t>
            </w:r>
            <w:r w:rsidR="009F4D21" w:rsidRPr="002D66DE">
              <w:rPr>
                <w:sz w:val="20"/>
                <w:szCs w:val="20"/>
              </w:rPr>
              <w:t>'</w:t>
            </w:r>
            <w:r w:rsidRPr="002D66DE">
              <w:rPr>
                <w:sz w:val="20"/>
                <w:szCs w:val="20"/>
              </w:rPr>
              <w:t>avis de certains membres, c</w:t>
            </w:r>
            <w:r w:rsidR="00F476A1" w:rsidRPr="002D66DE">
              <w:rPr>
                <w:sz w:val="20"/>
                <w:szCs w:val="20"/>
              </w:rPr>
              <w:t>ompte tenu de l'essor considérable de la téléphonie IP, il faut veiller à rendre les adresses IP disponibles, en cas de risque pour la sécurité.</w:t>
            </w:r>
          </w:p>
        </w:tc>
        <w:tc>
          <w:tcPr>
            <w:tcW w:w="2424" w:type="dxa"/>
          </w:tcPr>
          <w:p w14:paraId="6357B9BB" w14:textId="1230B554" w:rsidR="000636B9" w:rsidRPr="002D66DE" w:rsidRDefault="000636B9" w:rsidP="00C55BDB">
            <w:pPr>
              <w:pStyle w:val="Tabletext"/>
              <w:rPr>
                <w:sz w:val="20"/>
                <w:szCs w:val="20"/>
              </w:rPr>
            </w:pPr>
            <w:r w:rsidRPr="002D66DE">
              <w:rPr>
                <w:sz w:val="20"/>
                <w:szCs w:val="20"/>
              </w:rPr>
              <w:lastRenderedPageBreak/>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560870CA" w14:textId="7F286C25" w:rsidR="000636B9" w:rsidRPr="002D66DE" w:rsidRDefault="000636B9" w:rsidP="00423417">
            <w:pPr>
              <w:pStyle w:val="Tabletext"/>
              <w:keepNext/>
              <w:keepLines/>
              <w:rPr>
                <w:sz w:val="20"/>
                <w:szCs w:val="20"/>
              </w:rPr>
            </w:pPr>
            <w:r w:rsidRPr="002D66DE">
              <w:rPr>
                <w:sz w:val="20"/>
                <w:szCs w:val="20"/>
              </w:rPr>
              <w:lastRenderedPageBreak/>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0FD0C190" w14:textId="2495FB6E" w:rsidR="00F476A1" w:rsidRPr="002D66DE" w:rsidRDefault="000636B9" w:rsidP="00C55BDB">
            <w:pPr>
              <w:pStyle w:val="Tabletext"/>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B421DA" w:rsidRPr="002D66DE">
              <w:rPr>
                <w:sz w:val="20"/>
                <w:szCs w:val="20"/>
              </w:rPr>
              <w:t>.</w:t>
            </w:r>
          </w:p>
        </w:tc>
      </w:tr>
    </w:tbl>
    <w:p w14:paraId="351B18F9" w14:textId="6B99C991" w:rsidR="00423417" w:rsidRPr="002D66DE" w:rsidRDefault="00423417"/>
    <w:p w14:paraId="05D6B9F6" w14:textId="19A8D6A1"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56A63F59" w14:textId="77777777" w:rsidTr="00423417">
        <w:tc>
          <w:tcPr>
            <w:tcW w:w="987" w:type="dxa"/>
          </w:tcPr>
          <w:p w14:paraId="73EE0A01"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0E02C4AC"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1B3FBB26"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76FB7146"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27358DC8"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4C8CF52B"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0DE45623" w14:textId="77777777" w:rsidTr="00AC7710">
        <w:tc>
          <w:tcPr>
            <w:tcW w:w="987" w:type="dxa"/>
          </w:tcPr>
          <w:p w14:paraId="164282E9" w14:textId="7342D799" w:rsidR="00F476A1" w:rsidRPr="002D66DE" w:rsidRDefault="00F476A1" w:rsidP="00C55BDB">
            <w:pPr>
              <w:pStyle w:val="Tablehead"/>
              <w:rPr>
                <w:sz w:val="20"/>
                <w:szCs w:val="20"/>
              </w:rPr>
            </w:pPr>
            <w:r w:rsidRPr="002D66DE">
              <w:rPr>
                <w:sz w:val="20"/>
                <w:szCs w:val="20"/>
              </w:rPr>
              <w:t>33</w:t>
            </w:r>
          </w:p>
        </w:tc>
        <w:tc>
          <w:tcPr>
            <w:tcW w:w="2860" w:type="dxa"/>
          </w:tcPr>
          <w:p w14:paraId="10A4E097" w14:textId="3FF1C18F" w:rsidR="00F476A1" w:rsidRPr="002D66DE" w:rsidRDefault="00F476A1" w:rsidP="00C55BDB">
            <w:pPr>
              <w:pStyle w:val="Tabletext"/>
              <w:rPr>
                <w:b/>
                <w:bCs/>
                <w:sz w:val="20"/>
                <w:szCs w:val="20"/>
              </w:rPr>
            </w:pPr>
            <w:r w:rsidRPr="002D66DE">
              <w:rPr>
                <w:b/>
                <w:bCs/>
                <w:sz w:val="20"/>
                <w:szCs w:val="20"/>
              </w:rPr>
              <w:t>3.7</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t>
            </w:r>
          </w:p>
        </w:tc>
        <w:tc>
          <w:tcPr>
            <w:tcW w:w="3378" w:type="dxa"/>
          </w:tcPr>
          <w:p w14:paraId="2048C052" w14:textId="77777777" w:rsidR="00F476A1" w:rsidRPr="002D66DE" w:rsidRDefault="00F476A1" w:rsidP="00C55BDB">
            <w:pPr>
              <w:pStyle w:val="Tabletext"/>
              <w:rPr>
                <w:sz w:val="20"/>
                <w:szCs w:val="20"/>
              </w:rPr>
            </w:pPr>
          </w:p>
        </w:tc>
        <w:tc>
          <w:tcPr>
            <w:tcW w:w="2951" w:type="dxa"/>
          </w:tcPr>
          <w:p w14:paraId="35DB7CDE" w14:textId="05FE9B1E" w:rsidR="006869E9" w:rsidRPr="002D66DE" w:rsidRDefault="00531DD4" w:rsidP="00C55BDB">
            <w:pPr>
              <w:pStyle w:val="Tabletext"/>
              <w:rPr>
                <w:sz w:val="20"/>
                <w:szCs w:val="20"/>
              </w:rPr>
            </w:pPr>
            <w:r w:rsidRPr="002D66DE">
              <w:rPr>
                <w:sz w:val="20"/>
              </w:rPr>
              <w:t>Certains membres ont estimé que</w:t>
            </w:r>
            <w:r w:rsidR="006869E9" w:rsidRPr="002D66DE">
              <w:rPr>
                <w:sz w:val="20"/>
              </w:rPr>
              <w:t xml:space="preserve"> cette disposition est applicable et encourage le développement des réseaux et des services, et ont fait observer qu</w:t>
            </w:r>
            <w:r w:rsidR="009F4D21" w:rsidRPr="002D66DE">
              <w:rPr>
                <w:sz w:val="20"/>
              </w:rPr>
              <w:t>'</w:t>
            </w:r>
            <w:r w:rsidR="006869E9" w:rsidRPr="002D66DE">
              <w:rPr>
                <w:sz w:val="20"/>
              </w:rPr>
              <w:t xml:space="preserve">au titre </w:t>
            </w:r>
            <w:r w:rsidRPr="002D66DE">
              <w:rPr>
                <w:sz w:val="20"/>
              </w:rPr>
              <w:t xml:space="preserve">de </w:t>
            </w:r>
            <w:r w:rsidR="006869E9" w:rsidRPr="002D66DE">
              <w:rPr>
                <w:sz w:val="20"/>
              </w:rPr>
              <w:t xml:space="preserve">cette disposition </w:t>
            </w:r>
            <w:r w:rsidR="00F476A1" w:rsidRPr="002D66DE">
              <w:rPr>
                <w:sz w:val="20"/>
                <w:szCs w:val="20"/>
              </w:rPr>
              <w:t>il est demandé aux États Membres de promouvoir la mise en place de plus d'un point d'interconnexion pour l'échange de trafic</w:t>
            </w:r>
            <w:r w:rsidR="006869E9" w:rsidRPr="002D66DE">
              <w:rPr>
                <w:sz w:val="20"/>
                <w:szCs w:val="20"/>
              </w:rPr>
              <w:t>.</w:t>
            </w:r>
          </w:p>
          <w:p w14:paraId="2206DDDC" w14:textId="0A6EA969" w:rsidR="00F476A1" w:rsidRPr="002D66DE" w:rsidRDefault="00F476A1" w:rsidP="00C55BDB">
            <w:pPr>
              <w:pStyle w:val="Tabletext"/>
              <w:rPr>
                <w:sz w:val="20"/>
                <w:szCs w:val="20"/>
              </w:rPr>
            </w:pPr>
            <w:r w:rsidRPr="002D66DE">
              <w:rPr>
                <w:sz w:val="20"/>
                <w:szCs w:val="20"/>
              </w:rPr>
              <w:t>Ce</w:t>
            </w:r>
            <w:r w:rsidR="006869E9" w:rsidRPr="002D66DE">
              <w:rPr>
                <w:sz w:val="20"/>
                <w:szCs w:val="20"/>
              </w:rPr>
              <w:t>rtains membres ont estimé que ce</w:t>
            </w:r>
            <w:r w:rsidRPr="002D66DE">
              <w:rPr>
                <w:sz w:val="20"/>
                <w:szCs w:val="20"/>
              </w:rPr>
              <w:t>tte disposition est inapplicable, en ce sens qu'elle indique uniquement que les</w:t>
            </w:r>
            <w:r w:rsidRPr="002D66DE">
              <w:rPr>
                <w:bCs/>
                <w:sz w:val="20"/>
                <w:szCs w:val="20"/>
              </w:rPr>
              <w:t xml:space="preserve"> États Membres "devraient" créer un environnement propice, sans préciser ce qu'il faut entendre par "environnement propice".</w:t>
            </w:r>
          </w:p>
        </w:tc>
        <w:tc>
          <w:tcPr>
            <w:tcW w:w="2577" w:type="dxa"/>
          </w:tcPr>
          <w:p w14:paraId="2B2EDC9C" w14:textId="14938BA0" w:rsidR="00F476A1" w:rsidRPr="002D66DE" w:rsidRDefault="00554F40" w:rsidP="00C55BDB">
            <w:pPr>
              <w:pStyle w:val="Tabletext"/>
              <w:rPr>
                <w:rFonts w:cstheme="minorHAnsi"/>
                <w:bCs/>
                <w:sz w:val="20"/>
                <w:szCs w:val="20"/>
              </w:rPr>
            </w:pPr>
            <w:r w:rsidRPr="002D66DE">
              <w:rPr>
                <w:sz w:val="20"/>
              </w:rPr>
              <w:t>Certains membres ont estimé que cette disposition garantit la souplesse nécessaire.</w:t>
            </w:r>
          </w:p>
          <w:p w14:paraId="0EFCB857" w14:textId="49D5CC8D" w:rsidR="00F476A1" w:rsidRPr="002D66DE" w:rsidRDefault="00A72E82" w:rsidP="00C55BDB">
            <w:pPr>
              <w:pStyle w:val="Tabletext"/>
              <w:rPr>
                <w:sz w:val="20"/>
                <w:szCs w:val="20"/>
              </w:rPr>
            </w:pPr>
            <w:bookmarkStart w:id="147" w:name="lt_pId290"/>
            <w:r w:rsidRPr="002D66DE">
              <w:rPr>
                <w:sz w:val="20"/>
              </w:rPr>
              <w:t>Certains membres ont estimé que</w:t>
            </w:r>
            <w:r w:rsidRPr="002D66DE">
              <w:rPr>
                <w:sz w:val="20"/>
                <w:szCs w:val="20"/>
              </w:rPr>
              <w:t xml:space="preserve"> d</w:t>
            </w:r>
            <w:r w:rsidR="00F476A1" w:rsidRPr="002D66DE">
              <w:rPr>
                <w:sz w:val="20"/>
                <w:szCs w:val="20"/>
              </w:rPr>
              <w:t>ans l'environnement moderne des télécommunications, la mise</w:t>
            </w:r>
            <w:r w:rsidR="00F476A1" w:rsidRPr="002D66DE">
              <w:rPr>
                <w:bCs/>
                <w:sz w:val="20"/>
                <w:szCs w:val="20"/>
              </w:rPr>
              <w:t xml:space="preserve"> en place de points d'échange de trafic de télécommunication régionaux</w:t>
            </w:r>
            <w:r w:rsidR="00F476A1" w:rsidRPr="002D66DE">
              <w:rPr>
                <w:sz w:val="20"/>
                <w:szCs w:val="20"/>
              </w:rPr>
              <w:t xml:space="preserve"> relève du secteur privé. </w:t>
            </w:r>
            <w:r w:rsidR="00AA2A48" w:rsidRPr="002D66DE">
              <w:rPr>
                <w:sz w:val="20"/>
                <w:szCs w:val="20"/>
              </w:rPr>
              <w:t>Ils ont</w:t>
            </w:r>
            <w:r w:rsidR="0079308F" w:rsidRPr="002D66DE">
              <w:rPr>
                <w:sz w:val="20"/>
                <w:szCs w:val="20"/>
              </w:rPr>
              <w:t xml:space="preserve"> également souligné que s</w:t>
            </w:r>
            <w:r w:rsidR="00F476A1" w:rsidRPr="002D66DE">
              <w:rPr>
                <w:sz w:val="20"/>
                <w:szCs w:val="20"/>
              </w:rPr>
              <w:t>ans définition claire de ce que l'on entend par "environnement propice", le risque est que les États Membres prennent</w:t>
            </w:r>
            <w:r w:rsidR="00B378ED" w:rsidRPr="002D66DE">
              <w:rPr>
                <w:sz w:val="20"/>
                <w:szCs w:val="20"/>
              </w:rPr>
              <w:t>,</w:t>
            </w:r>
            <w:r w:rsidR="00F476A1" w:rsidRPr="002D66DE">
              <w:rPr>
                <w:sz w:val="20"/>
                <w:szCs w:val="20"/>
              </w:rPr>
              <w:t xml:space="preserve"> au titre de cette disposition</w:t>
            </w:r>
            <w:r w:rsidR="00B378ED" w:rsidRPr="002D66DE">
              <w:rPr>
                <w:sz w:val="20"/>
                <w:szCs w:val="20"/>
              </w:rPr>
              <w:t>,</w:t>
            </w:r>
            <w:r w:rsidR="00F476A1" w:rsidRPr="002D66DE">
              <w:rPr>
                <w:sz w:val="20"/>
                <w:szCs w:val="20"/>
              </w:rPr>
              <w:t xml:space="preserve"> des mesures qui pourraient dans la pratique entraver le développement et la fourniture de nouveaux services.</w:t>
            </w:r>
            <w:bookmarkEnd w:id="147"/>
          </w:p>
          <w:p w14:paraId="379900F7" w14:textId="728E3E65" w:rsidR="00F476A1" w:rsidRPr="002D66DE" w:rsidRDefault="0079308F" w:rsidP="00C55BDB">
            <w:pPr>
              <w:pStyle w:val="Tabletext"/>
              <w:rPr>
                <w:sz w:val="20"/>
              </w:rPr>
            </w:pPr>
            <w:bookmarkStart w:id="148" w:name="lt_pId564"/>
            <w:r w:rsidRPr="002D66DE">
              <w:rPr>
                <w:sz w:val="20"/>
              </w:rPr>
              <w:t>Certains membres ont estimé que le texte est trop spécifique et n'offre pas suffisamment de souplesse</w:t>
            </w:r>
            <w:r w:rsidR="00F476A1" w:rsidRPr="002D66DE">
              <w:rPr>
                <w:sz w:val="20"/>
              </w:rPr>
              <w:t>.</w:t>
            </w:r>
            <w:bookmarkEnd w:id="148"/>
            <w:r w:rsidR="00F476A1" w:rsidRPr="002D66DE">
              <w:rPr>
                <w:sz w:val="20"/>
              </w:rPr>
              <w:t xml:space="preserve"> </w:t>
            </w:r>
          </w:p>
          <w:p w14:paraId="7C7A131D" w14:textId="2BA8845D" w:rsidR="00F476A1" w:rsidRPr="002D66DE" w:rsidRDefault="0079308F" w:rsidP="00C55BDB">
            <w:pPr>
              <w:pStyle w:val="Tabletext"/>
              <w:rPr>
                <w:sz w:val="20"/>
                <w:szCs w:val="20"/>
              </w:rPr>
            </w:pPr>
            <w:bookmarkStart w:id="149" w:name="lt_pId565"/>
            <w:r w:rsidRPr="002D66DE">
              <w:rPr>
                <w:sz w:val="20"/>
              </w:rPr>
              <w:t>Certains membres ont estimé que cette disposition est souple</w:t>
            </w:r>
            <w:r w:rsidR="00F476A1" w:rsidRPr="002D66DE">
              <w:rPr>
                <w:sz w:val="20"/>
              </w:rPr>
              <w:t>.</w:t>
            </w:r>
            <w:bookmarkEnd w:id="149"/>
          </w:p>
        </w:tc>
        <w:tc>
          <w:tcPr>
            <w:tcW w:w="2424" w:type="dxa"/>
          </w:tcPr>
          <w:p w14:paraId="4B5283A9" w14:textId="7FB60672"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6F3E96AA" w14:textId="7D6ABC02" w:rsidR="000636B9" w:rsidRPr="002D66DE" w:rsidRDefault="000636B9"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723C49B3" w14:textId="578FF8EC" w:rsidR="00F476A1" w:rsidRPr="002D66DE" w:rsidRDefault="000636B9" w:rsidP="0052639F">
            <w:pPr>
              <w:pStyle w:val="Tabletext"/>
              <w:keepNext/>
              <w:keepLines/>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p>
        </w:tc>
      </w:tr>
      <w:tr w:rsidR="00423417" w:rsidRPr="002D66DE" w14:paraId="74A95403" w14:textId="77777777" w:rsidTr="00423417">
        <w:tc>
          <w:tcPr>
            <w:tcW w:w="987" w:type="dxa"/>
          </w:tcPr>
          <w:p w14:paraId="1CC150A9"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3F40166C"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18A8FB76"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25C3A99F"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5E4F04BD"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1875A78C"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7BB9713B" w14:textId="77777777" w:rsidTr="00AC7710">
        <w:tc>
          <w:tcPr>
            <w:tcW w:w="987" w:type="dxa"/>
          </w:tcPr>
          <w:p w14:paraId="478753DB" w14:textId="09943FA3" w:rsidR="00F476A1" w:rsidRPr="002D66DE" w:rsidRDefault="00F476A1" w:rsidP="00C55BDB">
            <w:pPr>
              <w:pStyle w:val="Tablehead"/>
              <w:rPr>
                <w:sz w:val="20"/>
                <w:szCs w:val="20"/>
              </w:rPr>
            </w:pPr>
            <w:r w:rsidRPr="002D66DE">
              <w:rPr>
                <w:sz w:val="20"/>
                <w:szCs w:val="20"/>
              </w:rPr>
              <w:t>34</w:t>
            </w:r>
          </w:p>
        </w:tc>
        <w:tc>
          <w:tcPr>
            <w:tcW w:w="2860" w:type="dxa"/>
          </w:tcPr>
          <w:p w14:paraId="2DA8CDC1" w14:textId="3C3A0DC5" w:rsidR="00F476A1" w:rsidRPr="002D66DE" w:rsidRDefault="00F476A1" w:rsidP="00C55BDB">
            <w:pPr>
              <w:pStyle w:val="Tabletext"/>
              <w:rPr>
                <w:b/>
                <w:bCs/>
                <w:sz w:val="20"/>
                <w:szCs w:val="20"/>
              </w:rPr>
            </w:pPr>
            <w:r w:rsidRPr="002D66DE">
              <w:rPr>
                <w:b/>
                <w:bCs/>
                <w:sz w:val="20"/>
                <w:szCs w:val="20"/>
              </w:rPr>
              <w:t>4.1</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favorisent le développement des services internationaux de télécommunication et encouragent la mise à la disposition de ces services au public.</w:t>
            </w:r>
          </w:p>
        </w:tc>
        <w:tc>
          <w:tcPr>
            <w:tcW w:w="3378" w:type="dxa"/>
          </w:tcPr>
          <w:p w14:paraId="3FEA2CBF" w14:textId="0AC7D760" w:rsidR="00F476A1" w:rsidRPr="002D66DE" w:rsidRDefault="00F476A1" w:rsidP="00C55BDB">
            <w:pPr>
              <w:pStyle w:val="Tabletext"/>
              <w:rPr>
                <w:sz w:val="20"/>
                <w:szCs w:val="20"/>
              </w:rPr>
            </w:pPr>
            <w:r w:rsidRPr="002D66DE">
              <w:rPr>
                <w:sz w:val="20"/>
                <w:szCs w:val="20"/>
              </w:rPr>
              <w:t>4.1</w:t>
            </w:r>
            <w:r w:rsidRPr="002D66DE">
              <w:rPr>
                <w:sz w:val="20"/>
                <w:szCs w:val="20"/>
              </w:rPr>
              <w:tab/>
              <w:t xml:space="preserve">Les Membres doivent favoriser la mise en </w:t>
            </w:r>
            <w:r w:rsidR="002D66DE" w:rsidRPr="002D66DE">
              <w:rPr>
                <w:sz w:val="20"/>
                <w:szCs w:val="20"/>
              </w:rPr>
              <w:t>œuvre</w:t>
            </w:r>
            <w:r w:rsidRPr="002D66DE">
              <w:rPr>
                <w:sz w:val="20"/>
                <w:szCs w:val="20"/>
              </w:rPr>
              <w:t xml:space="preserve"> de services internationaux de télécommunication et doivent s'efforcer de mettre ces services à la disposition générale du public dans leurs réseaux nationaux.</w:t>
            </w:r>
          </w:p>
        </w:tc>
        <w:tc>
          <w:tcPr>
            <w:tcW w:w="2951" w:type="dxa"/>
          </w:tcPr>
          <w:p w14:paraId="6D63CAF8" w14:textId="39103419" w:rsidR="00F476A1" w:rsidRPr="002D66DE" w:rsidRDefault="0032098C" w:rsidP="00C55BDB">
            <w:pPr>
              <w:pStyle w:val="Tabletext"/>
              <w:rPr>
                <w:rFonts w:eastAsia="Times New Roman" w:cstheme="minorHAnsi"/>
                <w:sz w:val="20"/>
                <w:szCs w:val="20"/>
              </w:rPr>
            </w:pPr>
            <w:bookmarkStart w:id="150" w:name="lt_pId573"/>
            <w:r w:rsidRPr="002D66DE">
              <w:rPr>
                <w:sz w:val="20"/>
              </w:rPr>
              <w:t>Certains membres ont estimé que cette disposition est applicable</w:t>
            </w:r>
            <w:r w:rsidR="00F476A1" w:rsidRPr="002D66DE">
              <w:rPr>
                <w:rFonts w:eastAsia="Times New Roman" w:cstheme="minorHAnsi"/>
                <w:sz w:val="20"/>
                <w:szCs w:val="20"/>
              </w:rPr>
              <w:t xml:space="preserve"> </w:t>
            </w:r>
            <w:r w:rsidRPr="002D66DE">
              <w:rPr>
                <w:rFonts w:eastAsia="Times New Roman" w:cstheme="minorHAnsi"/>
                <w:sz w:val="20"/>
                <w:szCs w:val="20"/>
              </w:rPr>
              <w:t>pour ce qui est d</w:t>
            </w:r>
            <w:r w:rsidR="009F4D21" w:rsidRPr="002D66DE">
              <w:rPr>
                <w:rFonts w:eastAsia="Times New Roman" w:cstheme="minorHAnsi"/>
                <w:sz w:val="20"/>
                <w:szCs w:val="20"/>
              </w:rPr>
              <w:t>'</w:t>
            </w:r>
            <w:r w:rsidRPr="002D66DE">
              <w:rPr>
                <w:rFonts w:eastAsia="Times New Roman" w:cstheme="minorHAnsi"/>
                <w:sz w:val="20"/>
                <w:szCs w:val="20"/>
              </w:rPr>
              <w:t>encourager le dé</w:t>
            </w:r>
            <w:r w:rsidR="00F476A1" w:rsidRPr="002D66DE">
              <w:rPr>
                <w:rFonts w:eastAsia="Times New Roman" w:cstheme="minorHAnsi"/>
                <w:sz w:val="20"/>
                <w:szCs w:val="20"/>
              </w:rPr>
              <w:t>velop</w:t>
            </w:r>
            <w:r w:rsidRPr="002D66DE">
              <w:rPr>
                <w:rFonts w:eastAsia="Times New Roman" w:cstheme="minorHAnsi"/>
                <w:sz w:val="20"/>
                <w:szCs w:val="20"/>
              </w:rPr>
              <w:t>pe</w:t>
            </w:r>
            <w:r w:rsidR="00F476A1" w:rsidRPr="002D66DE">
              <w:rPr>
                <w:rFonts w:eastAsia="Times New Roman" w:cstheme="minorHAnsi"/>
                <w:sz w:val="20"/>
                <w:szCs w:val="20"/>
              </w:rPr>
              <w:t xml:space="preserve">ment </w:t>
            </w:r>
            <w:r w:rsidRPr="002D66DE">
              <w:rPr>
                <w:rFonts w:eastAsia="Times New Roman" w:cstheme="minorHAnsi"/>
                <w:sz w:val="20"/>
                <w:szCs w:val="20"/>
              </w:rPr>
              <w:t xml:space="preserve">de réseaux et de </w:t>
            </w:r>
            <w:r w:rsidR="00F476A1" w:rsidRPr="002D66DE">
              <w:rPr>
                <w:rFonts w:eastAsia="Times New Roman" w:cstheme="minorHAnsi"/>
                <w:sz w:val="20"/>
                <w:szCs w:val="20"/>
              </w:rPr>
              <w:t>services.</w:t>
            </w:r>
            <w:bookmarkEnd w:id="150"/>
            <w:r w:rsidR="00F476A1" w:rsidRPr="002D66DE">
              <w:rPr>
                <w:rFonts w:eastAsia="Times New Roman" w:cstheme="minorHAnsi"/>
                <w:sz w:val="20"/>
                <w:szCs w:val="20"/>
              </w:rPr>
              <w:t xml:space="preserve"> </w:t>
            </w:r>
            <w:r w:rsidRPr="002D66DE">
              <w:rPr>
                <w:rFonts w:eastAsia="Times New Roman" w:cstheme="minorHAnsi"/>
                <w:sz w:val="20"/>
                <w:szCs w:val="20"/>
              </w:rPr>
              <w:t>Ils ont souligné que</w:t>
            </w:r>
            <w:r w:rsidR="00F476A1" w:rsidRPr="002D66DE">
              <w:rPr>
                <w:rFonts w:eastAsia="Times New Roman" w:cstheme="minorHAnsi"/>
                <w:sz w:val="20"/>
                <w:szCs w:val="20"/>
              </w:rPr>
              <w:t xml:space="preserve"> cette </w:t>
            </w:r>
            <w:r w:rsidRPr="002D66DE">
              <w:rPr>
                <w:rFonts w:eastAsia="Times New Roman" w:cstheme="minorHAnsi"/>
                <w:sz w:val="20"/>
                <w:szCs w:val="20"/>
              </w:rPr>
              <w:t>d</w:t>
            </w:r>
            <w:r w:rsidR="00F476A1" w:rsidRPr="002D66DE">
              <w:rPr>
                <w:rFonts w:eastAsia="Times New Roman" w:cstheme="minorHAnsi"/>
                <w:sz w:val="20"/>
                <w:szCs w:val="20"/>
              </w:rPr>
              <w:t xml:space="preserve">isposition permet aux États Membres de favoriser </w:t>
            </w:r>
            <w:r w:rsidR="00355253" w:rsidRPr="002D66DE">
              <w:rPr>
                <w:rFonts w:eastAsia="Times New Roman" w:cstheme="minorHAnsi"/>
                <w:sz w:val="20"/>
                <w:szCs w:val="20"/>
              </w:rPr>
              <w:t>et d</w:t>
            </w:r>
            <w:r w:rsidR="009F4D21" w:rsidRPr="002D66DE">
              <w:rPr>
                <w:rFonts w:eastAsia="Times New Roman" w:cstheme="minorHAnsi"/>
                <w:sz w:val="20"/>
                <w:szCs w:val="20"/>
              </w:rPr>
              <w:t>'</w:t>
            </w:r>
            <w:r w:rsidR="00355253" w:rsidRPr="002D66DE">
              <w:rPr>
                <w:rFonts w:eastAsia="Times New Roman" w:cstheme="minorHAnsi"/>
                <w:sz w:val="20"/>
                <w:szCs w:val="20"/>
              </w:rPr>
              <w:t xml:space="preserve">encourager </w:t>
            </w:r>
            <w:r w:rsidR="00F476A1" w:rsidRPr="002D66DE">
              <w:rPr>
                <w:rFonts w:eastAsia="Times New Roman" w:cstheme="minorHAnsi"/>
                <w:sz w:val="20"/>
                <w:szCs w:val="20"/>
              </w:rPr>
              <w:t xml:space="preserve">le développement des services internationaux de télécommunication </w:t>
            </w:r>
            <w:r w:rsidR="00B378ED" w:rsidRPr="002D66DE">
              <w:rPr>
                <w:rFonts w:eastAsia="Times New Roman" w:cstheme="minorHAnsi"/>
                <w:sz w:val="20"/>
                <w:szCs w:val="20"/>
              </w:rPr>
              <w:t>afin de les mettre à la</w:t>
            </w:r>
            <w:r w:rsidR="00F476A1" w:rsidRPr="002D66DE">
              <w:rPr>
                <w:rFonts w:eastAsia="Times New Roman" w:cstheme="minorHAnsi"/>
                <w:sz w:val="20"/>
                <w:szCs w:val="20"/>
              </w:rPr>
              <w:t xml:space="preserve"> disposition </w:t>
            </w:r>
            <w:r w:rsidR="00355253" w:rsidRPr="002D66DE">
              <w:rPr>
                <w:rFonts w:eastAsia="Times New Roman" w:cstheme="minorHAnsi"/>
                <w:sz w:val="20"/>
                <w:szCs w:val="20"/>
              </w:rPr>
              <w:t>du</w:t>
            </w:r>
            <w:r w:rsidR="00F476A1" w:rsidRPr="002D66DE">
              <w:rPr>
                <w:rFonts w:eastAsia="Times New Roman" w:cstheme="minorHAnsi"/>
                <w:sz w:val="20"/>
                <w:szCs w:val="20"/>
              </w:rPr>
              <w:t xml:space="preserve"> public dès lors qu'un besoin a été identifié.</w:t>
            </w:r>
          </w:p>
          <w:p w14:paraId="15C367BE" w14:textId="7DB8E0CA" w:rsidR="00F476A1" w:rsidRPr="002D66DE" w:rsidRDefault="00F476A1" w:rsidP="00C55BDB">
            <w:pPr>
              <w:pStyle w:val="Tabletext"/>
              <w:rPr>
                <w:sz w:val="20"/>
                <w:szCs w:val="20"/>
              </w:rPr>
            </w:pPr>
            <w:r w:rsidRPr="002D66DE">
              <w:rPr>
                <w:sz w:val="20"/>
                <w:szCs w:val="20"/>
              </w:rPr>
              <w:t>Ce</w:t>
            </w:r>
            <w:r w:rsidR="00355253" w:rsidRPr="002D66DE">
              <w:rPr>
                <w:sz w:val="20"/>
                <w:szCs w:val="20"/>
              </w:rPr>
              <w:t>r</w:t>
            </w:r>
            <w:r w:rsidRPr="002D66DE">
              <w:rPr>
                <w:sz w:val="20"/>
                <w:szCs w:val="20"/>
              </w:rPr>
              <w:t>t</w:t>
            </w:r>
            <w:r w:rsidR="00355253" w:rsidRPr="002D66DE">
              <w:rPr>
                <w:sz w:val="20"/>
                <w:szCs w:val="20"/>
              </w:rPr>
              <w:t>ains membres ont estimé que cet</w:t>
            </w:r>
            <w:r w:rsidRPr="002D66DE">
              <w:rPr>
                <w:sz w:val="20"/>
                <w:szCs w:val="20"/>
              </w:rPr>
              <w:t xml:space="preserve">te disposition n'est pas applicable, en ce sens qu'il est impossible de déterminer si des efforts suffisants ont été déployés pour "favoriser" et "encourager". </w:t>
            </w:r>
            <w:r w:rsidR="00355253" w:rsidRPr="002D66DE">
              <w:rPr>
                <w:sz w:val="20"/>
                <w:szCs w:val="20"/>
              </w:rPr>
              <w:t xml:space="preserve">La </w:t>
            </w:r>
            <w:r w:rsidRPr="002D66DE">
              <w:rPr>
                <w:sz w:val="20"/>
                <w:szCs w:val="20"/>
              </w:rPr>
              <w:t>place importante qui est accordée ici au rôle des États Membres risque d'affaiblir le rôle du secteur privé, qui est responsable de la grande majorité des investissements</w:t>
            </w:r>
            <w:bookmarkStart w:id="151" w:name="lt_pId298"/>
            <w:r w:rsidRPr="002D66DE">
              <w:rPr>
                <w:sz w:val="20"/>
                <w:szCs w:val="20"/>
              </w:rPr>
              <w:t>, et pourrait dès lors décourager la fourniture et le développement des services.</w:t>
            </w:r>
            <w:bookmarkEnd w:id="151"/>
          </w:p>
        </w:tc>
        <w:tc>
          <w:tcPr>
            <w:tcW w:w="2577" w:type="dxa"/>
          </w:tcPr>
          <w:p w14:paraId="4E27667A" w14:textId="513DC648" w:rsidR="00F476A1" w:rsidRPr="002D66DE" w:rsidRDefault="00355253" w:rsidP="00C55BDB">
            <w:pPr>
              <w:pStyle w:val="Tabletext"/>
              <w:rPr>
                <w:sz w:val="20"/>
              </w:rPr>
            </w:pPr>
            <w:bookmarkStart w:id="152" w:name="lt_pId577"/>
            <w:r w:rsidRPr="002D66DE">
              <w:rPr>
                <w:sz w:val="20"/>
              </w:rPr>
              <w:t>Certains membres ont estimé que cette disposition offre la souplesse nécessaire puisqu</w:t>
            </w:r>
            <w:r w:rsidR="009F4D21" w:rsidRPr="002D66DE">
              <w:rPr>
                <w:sz w:val="20"/>
              </w:rPr>
              <w:t>'</w:t>
            </w:r>
            <w:r w:rsidRPr="002D66DE">
              <w:rPr>
                <w:sz w:val="20"/>
              </w:rPr>
              <w:t>elle permet aux exploitations d</w:t>
            </w:r>
            <w:r w:rsidR="009F4D21" w:rsidRPr="002D66DE">
              <w:rPr>
                <w:sz w:val="20"/>
              </w:rPr>
              <w:t>'</w:t>
            </w:r>
            <w:r w:rsidRPr="002D66DE">
              <w:rPr>
                <w:sz w:val="20"/>
              </w:rPr>
              <w:t>innover dans le cadre d</w:t>
            </w:r>
            <w:r w:rsidR="009F4D21" w:rsidRPr="002D66DE">
              <w:rPr>
                <w:sz w:val="20"/>
              </w:rPr>
              <w:t>'</w:t>
            </w:r>
            <w:r w:rsidRPr="002D66DE">
              <w:rPr>
                <w:sz w:val="20"/>
              </w:rPr>
              <w:t>accords commerciaux</w:t>
            </w:r>
            <w:r w:rsidR="00F476A1" w:rsidRPr="002D66DE">
              <w:rPr>
                <w:sz w:val="20"/>
              </w:rPr>
              <w:t>.</w:t>
            </w:r>
            <w:bookmarkEnd w:id="152"/>
            <w:r w:rsidR="00F476A1" w:rsidRPr="002D66DE">
              <w:rPr>
                <w:sz w:val="20"/>
              </w:rPr>
              <w:t xml:space="preserve"> </w:t>
            </w:r>
            <w:bookmarkStart w:id="153" w:name="lt_pId578"/>
            <w:r w:rsidRPr="002D66DE">
              <w:rPr>
                <w:sz w:val="20"/>
              </w:rPr>
              <w:t>Mais l</w:t>
            </w:r>
            <w:r w:rsidR="009F4D21" w:rsidRPr="002D66DE">
              <w:rPr>
                <w:sz w:val="20"/>
              </w:rPr>
              <w:t>'</w:t>
            </w:r>
            <w:r w:rsidRPr="002D66DE">
              <w:rPr>
                <w:sz w:val="20"/>
              </w:rPr>
              <w:t xml:space="preserve">intervention des </w:t>
            </w:r>
            <w:r w:rsidR="00B378ED" w:rsidRPr="002D66DE">
              <w:rPr>
                <w:sz w:val="20"/>
              </w:rPr>
              <w:t>États</w:t>
            </w:r>
            <w:r w:rsidRPr="002D66DE">
              <w:rPr>
                <w:sz w:val="20"/>
              </w:rPr>
              <w:t xml:space="preserve"> Membres</w:t>
            </w:r>
            <w:r w:rsidR="00F476A1" w:rsidRPr="002D66DE">
              <w:rPr>
                <w:sz w:val="20"/>
              </w:rPr>
              <w:t xml:space="preserve"> </w:t>
            </w:r>
            <w:r w:rsidR="0030693A" w:rsidRPr="002D66DE">
              <w:rPr>
                <w:sz w:val="20"/>
              </w:rPr>
              <w:t>est nécessaire lorsque le développement des services internationaux de télécommunication et la mise à disposition de ces services au public sont insuffisants</w:t>
            </w:r>
            <w:bookmarkEnd w:id="153"/>
            <w:r w:rsidR="0030693A" w:rsidRPr="002D66DE">
              <w:rPr>
                <w:sz w:val="20"/>
              </w:rPr>
              <w:t>.</w:t>
            </w:r>
          </w:p>
          <w:p w14:paraId="03C9D958" w14:textId="5CF6AC69" w:rsidR="00F476A1" w:rsidRPr="002D66DE" w:rsidRDefault="00C14C82" w:rsidP="00C55BDB">
            <w:pPr>
              <w:pStyle w:val="Tabletext"/>
              <w:rPr>
                <w:sz w:val="20"/>
              </w:rPr>
            </w:pPr>
            <w:bookmarkStart w:id="154" w:name="lt_pId579"/>
            <w:r w:rsidRPr="002D66DE">
              <w:rPr>
                <w:sz w:val="20"/>
              </w:rPr>
              <w:t>Cependant, de l</w:t>
            </w:r>
            <w:r w:rsidR="009F4D21" w:rsidRPr="002D66DE">
              <w:rPr>
                <w:sz w:val="20"/>
              </w:rPr>
              <w:t>'</w:t>
            </w:r>
            <w:r w:rsidRPr="002D66DE">
              <w:rPr>
                <w:sz w:val="20"/>
              </w:rPr>
              <w:t>avis de certains membres,</w:t>
            </w:r>
            <w:r w:rsidR="00F476A1" w:rsidRPr="002D66DE">
              <w:rPr>
                <w:sz w:val="20"/>
              </w:rPr>
              <w:t xml:space="preserve"> </w:t>
            </w:r>
            <w:r w:rsidRPr="002D66DE">
              <w:rPr>
                <w:sz w:val="20"/>
              </w:rPr>
              <w:t xml:space="preserve">les services internationaux de télécommunication ne couvrent pas les </w:t>
            </w:r>
            <w:r w:rsidR="00B378ED" w:rsidRPr="002D66DE">
              <w:rPr>
                <w:sz w:val="20"/>
              </w:rPr>
              <w:t xml:space="preserve">nouveaux </w:t>
            </w:r>
            <w:r w:rsidRPr="002D66DE">
              <w:rPr>
                <w:sz w:val="20"/>
              </w:rPr>
              <w:t>services de communication</w:t>
            </w:r>
            <w:r w:rsidR="00B378ED" w:rsidRPr="002D66DE">
              <w:rPr>
                <w:sz w:val="20"/>
              </w:rPr>
              <w:t xml:space="preserve"> électroniques</w:t>
            </w:r>
            <w:r w:rsidRPr="002D66DE">
              <w:rPr>
                <w:sz w:val="20"/>
              </w:rPr>
              <w:t xml:space="preserve"> rendus disponibles sur le réseau Internet</w:t>
            </w:r>
            <w:r w:rsidR="00F476A1" w:rsidRPr="002D66DE">
              <w:rPr>
                <w:sz w:val="20"/>
              </w:rPr>
              <w:t>.</w:t>
            </w:r>
            <w:bookmarkEnd w:id="154"/>
          </w:p>
          <w:p w14:paraId="046F9B06" w14:textId="216181F6" w:rsidR="00F476A1" w:rsidRPr="002D66DE" w:rsidRDefault="00B378ED" w:rsidP="00C55BDB">
            <w:pPr>
              <w:pStyle w:val="Tabletext"/>
              <w:rPr>
                <w:sz w:val="20"/>
                <w:szCs w:val="20"/>
              </w:rPr>
            </w:pPr>
            <w:bookmarkStart w:id="155" w:name="lt_pId299"/>
            <w:r w:rsidRPr="002D66DE">
              <w:rPr>
                <w:sz w:val="20"/>
                <w:szCs w:val="20"/>
              </w:rPr>
              <w:t>De l</w:t>
            </w:r>
            <w:r w:rsidR="009F4D21" w:rsidRPr="002D66DE">
              <w:rPr>
                <w:sz w:val="20"/>
                <w:szCs w:val="20"/>
              </w:rPr>
              <w:t>'</w:t>
            </w:r>
            <w:r w:rsidRPr="002D66DE">
              <w:rPr>
                <w:sz w:val="20"/>
                <w:szCs w:val="20"/>
              </w:rPr>
              <w:t>avis de</w:t>
            </w:r>
            <w:r w:rsidR="00B93CF0" w:rsidRPr="002D66DE">
              <w:rPr>
                <w:sz w:val="20"/>
                <w:szCs w:val="20"/>
              </w:rPr>
              <w:t xml:space="preserve"> certains membres, l</w:t>
            </w:r>
            <w:r w:rsidR="00F476A1" w:rsidRPr="002D66DE">
              <w:rPr>
                <w:sz w:val="20"/>
                <w:szCs w:val="20"/>
              </w:rPr>
              <w:t>e sens de cette disposition manque de clarté, car on ne voit pas très bien ce que signifie dans la pratique les termes "favoriser" ou "encourager</w:t>
            </w:r>
            <w:bookmarkEnd w:id="155"/>
            <w:r w:rsidR="00F476A1" w:rsidRPr="002D66DE">
              <w:rPr>
                <w:sz w:val="20"/>
                <w:szCs w:val="20"/>
              </w:rPr>
              <w:t>".</w:t>
            </w:r>
          </w:p>
        </w:tc>
        <w:tc>
          <w:tcPr>
            <w:tcW w:w="2424" w:type="dxa"/>
          </w:tcPr>
          <w:p w14:paraId="77BE9049" w14:textId="39F2C4ED"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258689AA" w14:textId="717F38DC" w:rsidR="000636B9" w:rsidRPr="002D66DE" w:rsidRDefault="000636B9"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489AF518" w14:textId="4A0164DB" w:rsidR="00F476A1" w:rsidRPr="002D66DE" w:rsidRDefault="000636B9" w:rsidP="00C55BDB">
            <w:pPr>
              <w:pStyle w:val="Tabletext"/>
              <w:rPr>
                <w:sz w:val="20"/>
                <w:szCs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p>
        </w:tc>
      </w:tr>
      <w:tr w:rsidR="00423417" w:rsidRPr="002D66DE" w14:paraId="6223882B" w14:textId="77777777" w:rsidTr="00423417">
        <w:tc>
          <w:tcPr>
            <w:tcW w:w="987" w:type="dxa"/>
          </w:tcPr>
          <w:p w14:paraId="3562D13C"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2B01CBC1"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7EF28699"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39229378"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7E802E0B"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167358D4"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1AD0326F" w14:textId="77777777" w:rsidTr="00AC7710">
        <w:tc>
          <w:tcPr>
            <w:tcW w:w="987" w:type="dxa"/>
          </w:tcPr>
          <w:p w14:paraId="1439EAA2" w14:textId="41C9812E" w:rsidR="00F476A1" w:rsidRPr="002D66DE" w:rsidRDefault="00F476A1" w:rsidP="00C55BDB">
            <w:pPr>
              <w:pStyle w:val="Tablehead"/>
              <w:rPr>
                <w:sz w:val="20"/>
                <w:szCs w:val="20"/>
              </w:rPr>
            </w:pPr>
            <w:r w:rsidRPr="002D66DE">
              <w:rPr>
                <w:sz w:val="20"/>
                <w:szCs w:val="20"/>
              </w:rPr>
              <w:t>35</w:t>
            </w:r>
          </w:p>
        </w:tc>
        <w:tc>
          <w:tcPr>
            <w:tcW w:w="2860" w:type="dxa"/>
          </w:tcPr>
          <w:p w14:paraId="0CEB089E" w14:textId="1D2F6F4A" w:rsidR="00F476A1" w:rsidRPr="002D66DE" w:rsidRDefault="00F476A1" w:rsidP="00C55BDB">
            <w:pPr>
              <w:pStyle w:val="Tabletext"/>
              <w:rPr>
                <w:b/>
                <w:bCs/>
                <w:sz w:val="20"/>
                <w:szCs w:val="20"/>
              </w:rPr>
            </w:pPr>
            <w:r w:rsidRPr="002D66DE">
              <w:rPr>
                <w:b/>
                <w:bCs/>
                <w:sz w:val="20"/>
                <w:szCs w:val="20"/>
              </w:rPr>
              <w:t>4.2</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s'efforcent de veiller à ce que les exploitations autorisées coopèrent dans le cadre du présent Règlement, pour offrir par accord une gamme étendue de services internationaux de télécommunication qui devraient être conformes dans toute la mesure possible aux Recommandations UIT-T pertinentes.</w:t>
            </w:r>
          </w:p>
        </w:tc>
        <w:tc>
          <w:tcPr>
            <w:tcW w:w="3378" w:type="dxa"/>
          </w:tcPr>
          <w:p w14:paraId="2FB65EFB" w14:textId="7D2CFB8B" w:rsidR="00F476A1" w:rsidRPr="002D66DE" w:rsidRDefault="00F476A1" w:rsidP="00C55BDB">
            <w:pPr>
              <w:pStyle w:val="Tabletext"/>
              <w:rPr>
                <w:sz w:val="20"/>
                <w:szCs w:val="20"/>
              </w:rPr>
            </w:pPr>
            <w:r w:rsidRPr="002D66DE">
              <w:rPr>
                <w:sz w:val="20"/>
                <w:szCs w:val="20"/>
              </w:rPr>
              <w:t>4.2</w:t>
            </w:r>
            <w:r w:rsidRPr="002D66DE">
              <w:rPr>
                <w:sz w:val="20"/>
                <w:szCs w:val="20"/>
              </w:rPr>
              <w:tab/>
              <w:t>Les Membres font en sorte que les administrations</w:t>
            </w:r>
            <w:r w:rsidR="004C7683" w:rsidRPr="002D66DE">
              <w:rPr>
                <w:rStyle w:val="FootnoteReference"/>
                <w:szCs w:val="20"/>
              </w:rPr>
              <w:footnoteReference w:customMarkFollows="1" w:id="11"/>
              <w:t>*</w:t>
            </w:r>
            <w:r w:rsidRPr="002D66DE">
              <w:rPr>
                <w:sz w:val="20"/>
                <w:szCs w:val="20"/>
              </w:rPr>
              <w:t xml:space="preserve"> coopèrent dans le cadre du présent Règlement pour offrir par accord mutuel, une gamme étendue de services internationaux de télécommunication qui devraient être conformes dans toute la mesure de ce qui est réalisable aux Recommandations pertinentes du CCITT.</w:t>
            </w:r>
          </w:p>
        </w:tc>
        <w:tc>
          <w:tcPr>
            <w:tcW w:w="2951" w:type="dxa"/>
          </w:tcPr>
          <w:p w14:paraId="5107314B" w14:textId="00F232DE" w:rsidR="00F476A1" w:rsidRPr="002D66DE" w:rsidRDefault="003A68B1" w:rsidP="00C55BDB">
            <w:pPr>
              <w:pStyle w:val="Tabletext"/>
              <w:rPr>
                <w:sz w:val="20"/>
              </w:rPr>
            </w:pPr>
            <w:bookmarkStart w:id="156" w:name="lt_pId589"/>
            <w:r w:rsidRPr="002D66DE">
              <w:rPr>
                <w:sz w:val="20"/>
                <w:szCs w:val="20"/>
              </w:rPr>
              <w:t xml:space="preserve">Certains membres ont estimé que cette disposition </w:t>
            </w:r>
            <w:r w:rsidRPr="002D66DE">
              <w:rPr>
                <w:sz w:val="20"/>
              </w:rPr>
              <w:t>favorise et soutient le développement</w:t>
            </w:r>
            <w:r w:rsidR="00F476A1" w:rsidRPr="002D66DE">
              <w:rPr>
                <w:sz w:val="20"/>
              </w:rPr>
              <w:t xml:space="preserve"> </w:t>
            </w:r>
            <w:r w:rsidRPr="002D66DE">
              <w:rPr>
                <w:sz w:val="20"/>
              </w:rPr>
              <w:t xml:space="preserve">des réseaux et </w:t>
            </w:r>
            <w:r w:rsidR="00430A65" w:rsidRPr="002D66DE">
              <w:rPr>
                <w:sz w:val="20"/>
              </w:rPr>
              <w:t xml:space="preserve">des </w:t>
            </w:r>
            <w:r w:rsidRPr="002D66DE">
              <w:rPr>
                <w:sz w:val="20"/>
              </w:rPr>
              <w:t>services</w:t>
            </w:r>
            <w:r w:rsidR="00F476A1" w:rsidRPr="002D66DE">
              <w:rPr>
                <w:sz w:val="20"/>
              </w:rPr>
              <w:t>.</w:t>
            </w:r>
            <w:bookmarkEnd w:id="156"/>
            <w:r w:rsidRPr="002D66DE">
              <w:rPr>
                <w:sz w:val="20"/>
              </w:rPr>
              <w:t xml:space="preserve"> </w:t>
            </w:r>
            <w:r w:rsidR="00B378ED" w:rsidRPr="002D66DE">
              <w:rPr>
                <w:sz w:val="20"/>
              </w:rPr>
              <w:t>Ils ont souligné que cette disposition e</w:t>
            </w:r>
            <w:r w:rsidRPr="002D66DE">
              <w:rPr>
                <w:sz w:val="20"/>
              </w:rPr>
              <w:t xml:space="preserve">st applicable </w:t>
            </w:r>
            <w:bookmarkStart w:id="157" w:name="lt_pId590"/>
            <w:r w:rsidRPr="002D66DE">
              <w:rPr>
                <w:sz w:val="20"/>
              </w:rPr>
              <w:t>et met l</w:t>
            </w:r>
            <w:r w:rsidR="009F4D21" w:rsidRPr="002D66DE">
              <w:rPr>
                <w:sz w:val="20"/>
              </w:rPr>
              <w:t>'</w:t>
            </w:r>
            <w:r w:rsidRPr="002D66DE">
              <w:rPr>
                <w:sz w:val="20"/>
              </w:rPr>
              <w:t>accent sur la néces</w:t>
            </w:r>
            <w:r w:rsidR="00EA21E6" w:rsidRPr="002D66DE">
              <w:rPr>
                <w:sz w:val="20"/>
              </w:rPr>
              <w:t>s</w:t>
            </w:r>
            <w:r w:rsidRPr="002D66DE">
              <w:rPr>
                <w:sz w:val="20"/>
              </w:rPr>
              <w:t xml:space="preserve">aire </w:t>
            </w:r>
            <w:r w:rsidR="00EA21E6" w:rsidRPr="002D66DE">
              <w:rPr>
                <w:sz w:val="20"/>
              </w:rPr>
              <w:t>coopération dans la fourniture de services internationaux de télécommunication.</w:t>
            </w:r>
            <w:bookmarkEnd w:id="157"/>
          </w:p>
          <w:p w14:paraId="026684E6" w14:textId="4AAD412C" w:rsidR="00F476A1" w:rsidRPr="002D66DE" w:rsidRDefault="00EA21E6" w:rsidP="00C55BDB">
            <w:pPr>
              <w:pStyle w:val="Tabletext"/>
              <w:rPr>
                <w:sz w:val="20"/>
                <w:szCs w:val="20"/>
              </w:rPr>
            </w:pPr>
            <w:bookmarkStart w:id="158" w:name="lt_pId591"/>
            <w:r w:rsidRPr="002D66DE">
              <w:rPr>
                <w:sz w:val="20"/>
              </w:rPr>
              <w:t>De l</w:t>
            </w:r>
            <w:r w:rsidR="009F4D21" w:rsidRPr="002D66DE">
              <w:rPr>
                <w:sz w:val="20"/>
              </w:rPr>
              <w:t>'</w:t>
            </w:r>
            <w:r w:rsidRPr="002D66DE">
              <w:rPr>
                <w:sz w:val="20"/>
              </w:rPr>
              <w:t xml:space="preserve">avis de certains membres, </w:t>
            </w:r>
            <w:r w:rsidR="00B378ED" w:rsidRPr="002D66DE">
              <w:rPr>
                <w:sz w:val="20"/>
              </w:rPr>
              <w:t>l</w:t>
            </w:r>
            <w:r w:rsidR="009F4D21" w:rsidRPr="002D66DE">
              <w:rPr>
                <w:sz w:val="20"/>
              </w:rPr>
              <w:t>'</w:t>
            </w:r>
            <w:r w:rsidR="000053E9" w:rsidRPr="002D66DE">
              <w:rPr>
                <w:sz w:val="20"/>
              </w:rPr>
              <w:t>expression</w:t>
            </w:r>
            <w:r w:rsidRPr="002D66DE">
              <w:rPr>
                <w:sz w:val="20"/>
              </w:rPr>
              <w:t xml:space="preserve"> </w:t>
            </w:r>
            <w:r w:rsidR="00AC7710" w:rsidRPr="002D66DE">
              <w:rPr>
                <w:sz w:val="20"/>
              </w:rPr>
              <w:t>"</w:t>
            </w:r>
            <w:r w:rsidRPr="002D66DE">
              <w:rPr>
                <w:sz w:val="20"/>
              </w:rPr>
              <w:t>Les États Membres s'efforcent de veiller</w:t>
            </w:r>
            <w:r w:rsidR="00C55BDB" w:rsidRPr="002D66DE">
              <w:rPr>
                <w:sz w:val="20"/>
              </w:rPr>
              <w:t>"</w:t>
            </w:r>
            <w:r w:rsidRPr="002D66DE">
              <w:rPr>
                <w:b/>
                <w:bCs/>
                <w:sz w:val="20"/>
              </w:rPr>
              <w:t xml:space="preserve"> </w:t>
            </w:r>
            <w:r w:rsidRPr="002D66DE">
              <w:rPr>
                <w:sz w:val="20"/>
              </w:rPr>
              <w:t xml:space="preserve">est </w:t>
            </w:r>
            <w:r w:rsidR="000A6F60" w:rsidRPr="002D66DE">
              <w:rPr>
                <w:sz w:val="20"/>
              </w:rPr>
              <w:t>inap</w:t>
            </w:r>
            <w:r w:rsidRPr="002D66DE">
              <w:rPr>
                <w:sz w:val="20"/>
              </w:rPr>
              <w:t>pl</w:t>
            </w:r>
            <w:r w:rsidR="000A6F60" w:rsidRPr="002D66DE">
              <w:rPr>
                <w:sz w:val="20"/>
              </w:rPr>
              <w:t xml:space="preserve">icable. Ce traité </w:t>
            </w:r>
            <w:r w:rsidR="004E3308" w:rsidRPr="002D66DE">
              <w:rPr>
                <w:sz w:val="20"/>
              </w:rPr>
              <w:t>n</w:t>
            </w:r>
            <w:r w:rsidR="009F4D21" w:rsidRPr="002D66DE">
              <w:rPr>
                <w:sz w:val="20"/>
              </w:rPr>
              <w:t>'</w:t>
            </w:r>
            <w:r w:rsidR="004E3308" w:rsidRPr="002D66DE">
              <w:rPr>
                <w:sz w:val="20"/>
              </w:rPr>
              <w:t>impose pas aux exploitations de coopérer et il est inutile de les encourager à agir dans ce sens.</w:t>
            </w:r>
            <w:bookmarkEnd w:id="158"/>
            <w:r w:rsidR="004E3308" w:rsidRPr="002D66DE">
              <w:rPr>
                <w:sz w:val="20"/>
              </w:rPr>
              <w:t xml:space="preserve"> Elles coopéreront, si nécessaire, pour des raisons commerciales</w:t>
            </w:r>
            <w:bookmarkStart w:id="159" w:name="lt_pId592"/>
            <w:r w:rsidR="00F476A1" w:rsidRPr="002D66DE">
              <w:rPr>
                <w:sz w:val="20"/>
              </w:rPr>
              <w:t>.</w:t>
            </w:r>
            <w:bookmarkEnd w:id="159"/>
          </w:p>
        </w:tc>
        <w:tc>
          <w:tcPr>
            <w:tcW w:w="2577" w:type="dxa"/>
          </w:tcPr>
          <w:p w14:paraId="090366E0" w14:textId="2642C8D5" w:rsidR="00F476A1" w:rsidRPr="002D66DE" w:rsidRDefault="006712CF" w:rsidP="00C55BDB">
            <w:pPr>
              <w:pStyle w:val="Tabletext"/>
              <w:rPr>
                <w:sz w:val="20"/>
              </w:rPr>
            </w:pPr>
            <w:bookmarkStart w:id="160" w:name="lt_pId593"/>
            <w:r w:rsidRPr="002D66DE">
              <w:rPr>
                <w:sz w:val="20"/>
                <w:szCs w:val="20"/>
              </w:rPr>
              <w:t>Certains membres ont estimé que cette disposition pourrait ne pas offrir la souplesse</w:t>
            </w:r>
            <w:r w:rsidR="000053E9" w:rsidRPr="002D66DE">
              <w:rPr>
                <w:sz w:val="20"/>
                <w:szCs w:val="20"/>
              </w:rPr>
              <w:t xml:space="preserve"> nécessaire</w:t>
            </w:r>
            <w:r w:rsidRPr="002D66DE">
              <w:rPr>
                <w:sz w:val="20"/>
                <w:szCs w:val="20"/>
              </w:rPr>
              <w:t xml:space="preserve"> parce qu</w:t>
            </w:r>
            <w:r w:rsidR="009F4D21" w:rsidRPr="002D66DE">
              <w:rPr>
                <w:sz w:val="20"/>
                <w:szCs w:val="20"/>
              </w:rPr>
              <w:t>'</w:t>
            </w:r>
            <w:r w:rsidRPr="002D66DE">
              <w:rPr>
                <w:sz w:val="20"/>
                <w:szCs w:val="20"/>
              </w:rPr>
              <w:t xml:space="preserve">elle ne contient pas de référence claire aux </w:t>
            </w:r>
            <w:r w:rsidR="00F437DE" w:rsidRPr="002D66DE">
              <w:rPr>
                <w:sz w:val="20"/>
                <w:szCs w:val="20"/>
              </w:rPr>
              <w:t>R</w:t>
            </w:r>
            <w:r w:rsidRPr="002D66DE">
              <w:rPr>
                <w:sz w:val="20"/>
                <w:szCs w:val="20"/>
              </w:rPr>
              <w:t>ecommandations UIT-T pertinentes et que ces r</w:t>
            </w:r>
            <w:r w:rsidR="00F476A1" w:rsidRPr="002D66DE">
              <w:rPr>
                <w:sz w:val="20"/>
              </w:rPr>
              <w:t>ecomm</w:t>
            </w:r>
            <w:r w:rsidRPr="002D66DE">
              <w:rPr>
                <w:sz w:val="20"/>
              </w:rPr>
              <w:t>a</w:t>
            </w:r>
            <w:r w:rsidR="00F476A1" w:rsidRPr="002D66DE">
              <w:rPr>
                <w:sz w:val="20"/>
              </w:rPr>
              <w:t xml:space="preserve">ndations </w:t>
            </w:r>
            <w:r w:rsidRPr="002D66DE">
              <w:rPr>
                <w:sz w:val="20"/>
              </w:rPr>
              <w:t>pourraient être dépassées ou redondantes s</w:t>
            </w:r>
            <w:r w:rsidR="009F4D21" w:rsidRPr="002D66DE">
              <w:rPr>
                <w:sz w:val="20"/>
              </w:rPr>
              <w:t>'</w:t>
            </w:r>
            <w:r w:rsidRPr="002D66DE">
              <w:rPr>
                <w:sz w:val="20"/>
              </w:rPr>
              <w:t xml:space="preserve">agissant des nouvelles tendances et des </w:t>
            </w:r>
            <w:r w:rsidR="00862FF5" w:rsidRPr="002D66DE">
              <w:rPr>
                <w:sz w:val="20"/>
              </w:rPr>
              <w:t xml:space="preserve">nouveaux </w:t>
            </w:r>
            <w:r w:rsidR="00862FF5" w:rsidRPr="002D66DE">
              <w:rPr>
                <w:color w:val="000000"/>
                <w:sz w:val="20"/>
              </w:rPr>
              <w:t xml:space="preserve">problèmes </w:t>
            </w:r>
            <w:r w:rsidRPr="002D66DE">
              <w:rPr>
                <w:sz w:val="20"/>
              </w:rPr>
              <w:t>qui se font jour</w:t>
            </w:r>
            <w:r w:rsidR="00F476A1" w:rsidRPr="002D66DE">
              <w:rPr>
                <w:sz w:val="20"/>
              </w:rPr>
              <w:t>.</w:t>
            </w:r>
            <w:bookmarkEnd w:id="160"/>
            <w:r w:rsidRPr="002D66DE">
              <w:rPr>
                <w:sz w:val="20"/>
              </w:rPr>
              <w:t xml:space="preserve"> En outre, on ne sait pas au juste comment se conformer à cette disposition</w:t>
            </w:r>
            <w:bookmarkStart w:id="161" w:name="lt_pId594"/>
            <w:r w:rsidR="00F476A1" w:rsidRPr="002D66DE">
              <w:rPr>
                <w:sz w:val="20"/>
              </w:rPr>
              <w:t>.</w:t>
            </w:r>
            <w:bookmarkEnd w:id="161"/>
          </w:p>
          <w:p w14:paraId="32052A7F" w14:textId="4A8F4DF1" w:rsidR="00F476A1" w:rsidRPr="002D66DE" w:rsidRDefault="00F66E0F" w:rsidP="00AC7710">
            <w:pPr>
              <w:pStyle w:val="Tabletext"/>
              <w:keepNext/>
              <w:keepLines/>
              <w:rPr>
                <w:sz w:val="20"/>
                <w:szCs w:val="20"/>
              </w:rPr>
            </w:pPr>
            <w:bookmarkStart w:id="162" w:name="lt_pId595"/>
            <w:r w:rsidRPr="002D66DE">
              <w:rPr>
                <w:sz w:val="20"/>
              </w:rPr>
              <w:t>De l</w:t>
            </w:r>
            <w:r w:rsidR="009F4D21" w:rsidRPr="002D66DE">
              <w:rPr>
                <w:sz w:val="20"/>
              </w:rPr>
              <w:t>'</w:t>
            </w:r>
            <w:r w:rsidRPr="002D66DE">
              <w:rPr>
                <w:sz w:val="20"/>
              </w:rPr>
              <w:t>avis de c</w:t>
            </w:r>
            <w:r w:rsidR="006712CF" w:rsidRPr="002D66DE">
              <w:rPr>
                <w:sz w:val="20"/>
              </w:rPr>
              <w:t>ertains membres</w:t>
            </w:r>
            <w:r w:rsidRPr="002D66DE">
              <w:rPr>
                <w:sz w:val="20"/>
              </w:rPr>
              <w:t xml:space="preserve">, </w:t>
            </w:r>
            <w:r w:rsidR="006712CF" w:rsidRPr="002D66DE">
              <w:rPr>
                <w:sz w:val="20"/>
              </w:rPr>
              <w:t>cette disposition est souple et pourr</w:t>
            </w:r>
            <w:r w:rsidRPr="002D66DE">
              <w:rPr>
                <w:sz w:val="20"/>
              </w:rPr>
              <w:t>a</w:t>
            </w:r>
            <w:r w:rsidR="006712CF" w:rsidRPr="002D66DE">
              <w:rPr>
                <w:sz w:val="20"/>
              </w:rPr>
              <w:t>it l</w:t>
            </w:r>
            <w:r w:rsidR="009F4D21" w:rsidRPr="002D66DE">
              <w:rPr>
                <w:sz w:val="20"/>
              </w:rPr>
              <w:t>'</w:t>
            </w:r>
            <w:r w:rsidR="006712CF" w:rsidRPr="002D66DE">
              <w:rPr>
                <w:sz w:val="20"/>
              </w:rPr>
              <w:t xml:space="preserve">être encore plus si </w:t>
            </w:r>
            <w:r w:rsidRPr="002D66DE">
              <w:rPr>
                <w:sz w:val="20"/>
              </w:rPr>
              <w:t>la référence ne se limitait pas aux recommandations UIT-T et pouvait étendre les services de communication à l</w:t>
            </w:r>
            <w:r w:rsidR="009F4D21" w:rsidRPr="002D66DE">
              <w:rPr>
                <w:sz w:val="20"/>
              </w:rPr>
              <w:t>'</w:t>
            </w:r>
            <w:r w:rsidR="00F476A1" w:rsidRPr="002D66DE">
              <w:rPr>
                <w:sz w:val="20"/>
              </w:rPr>
              <w:t>Internet.</w:t>
            </w:r>
            <w:bookmarkEnd w:id="162"/>
          </w:p>
        </w:tc>
        <w:tc>
          <w:tcPr>
            <w:tcW w:w="2424" w:type="dxa"/>
          </w:tcPr>
          <w:p w14:paraId="4F4730B5" w14:textId="230C566D"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05BA14F9" w14:textId="1F0661EB" w:rsidR="000636B9" w:rsidRPr="002D66DE" w:rsidRDefault="000636B9"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7C79DDE8" w14:textId="58E67C94" w:rsidR="003111C2" w:rsidRPr="002D66DE" w:rsidRDefault="000636B9" w:rsidP="00C55BDB">
            <w:pPr>
              <w:pStyle w:val="Tabletext"/>
              <w:rPr>
                <w:sz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bookmarkStart w:id="163" w:name="lt_pId598"/>
            <w:r w:rsidR="00F476A1" w:rsidRPr="002D66DE">
              <w:rPr>
                <w:sz w:val="20"/>
              </w:rPr>
              <w:t>.</w:t>
            </w:r>
            <w:bookmarkEnd w:id="163"/>
          </w:p>
          <w:p w14:paraId="0B3C13CC" w14:textId="25314A0F" w:rsidR="00F476A1" w:rsidRPr="002D66DE" w:rsidRDefault="000636B9" w:rsidP="00AC7710">
            <w:pPr>
              <w:pStyle w:val="Tabletext"/>
              <w:keepNext/>
              <w:keepLines/>
            </w:pPr>
            <w:r w:rsidRPr="002D66DE">
              <w:rPr>
                <w:sz w:val="20"/>
                <w:szCs w:val="20"/>
              </w:rPr>
              <w:t xml:space="preserve">Certains </w:t>
            </w:r>
            <w:r w:rsidR="000053E9" w:rsidRPr="002D66DE">
              <w:rPr>
                <w:sz w:val="20"/>
                <w:szCs w:val="20"/>
              </w:rPr>
              <w:t xml:space="preserve">autres </w:t>
            </w:r>
            <w:r w:rsidRPr="002D66DE">
              <w:rPr>
                <w:sz w:val="20"/>
                <w:szCs w:val="20"/>
              </w:rPr>
              <w:t>membres ont fait valoir que cette disposition doit être mise à jour afin de tenir compte des normes de l</w:t>
            </w:r>
            <w:r w:rsidR="009F4D21" w:rsidRPr="002D66DE">
              <w:rPr>
                <w:sz w:val="20"/>
                <w:szCs w:val="20"/>
              </w:rPr>
              <w:t>'</w:t>
            </w:r>
            <w:r w:rsidRPr="002D66DE">
              <w:rPr>
                <w:sz w:val="20"/>
                <w:szCs w:val="20"/>
              </w:rPr>
              <w:t>UIT.</w:t>
            </w:r>
          </w:p>
        </w:tc>
      </w:tr>
    </w:tbl>
    <w:p w14:paraId="10A63817" w14:textId="53C2955C"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p>
    <w:p w14:paraId="22CDDE23" w14:textId="6AE8BD71"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21FE1C4E" w14:textId="77777777" w:rsidTr="00423417">
        <w:tc>
          <w:tcPr>
            <w:tcW w:w="987" w:type="dxa"/>
          </w:tcPr>
          <w:p w14:paraId="29717881"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0128C668"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14503995"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64BDCCA3"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606087CE"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7246D249"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7A8CCFB6" w14:textId="77777777" w:rsidTr="00AC7710">
        <w:tc>
          <w:tcPr>
            <w:tcW w:w="987" w:type="dxa"/>
          </w:tcPr>
          <w:p w14:paraId="402B7E14" w14:textId="67232189" w:rsidR="00F476A1" w:rsidRPr="002D66DE" w:rsidRDefault="00F476A1" w:rsidP="00C55BDB">
            <w:pPr>
              <w:pStyle w:val="Tablehead"/>
              <w:rPr>
                <w:sz w:val="20"/>
                <w:szCs w:val="20"/>
              </w:rPr>
            </w:pPr>
            <w:r w:rsidRPr="002D66DE">
              <w:rPr>
                <w:sz w:val="20"/>
                <w:szCs w:val="20"/>
              </w:rPr>
              <w:t>36</w:t>
            </w:r>
          </w:p>
        </w:tc>
        <w:tc>
          <w:tcPr>
            <w:tcW w:w="2860" w:type="dxa"/>
          </w:tcPr>
          <w:p w14:paraId="5F90901E" w14:textId="3E251EFA" w:rsidR="00F476A1" w:rsidRPr="002D66DE" w:rsidRDefault="00F476A1" w:rsidP="00C55BDB">
            <w:pPr>
              <w:pStyle w:val="Tabletext"/>
              <w:rPr>
                <w:b/>
                <w:bCs/>
                <w:sz w:val="20"/>
                <w:szCs w:val="20"/>
              </w:rPr>
            </w:pPr>
            <w:r w:rsidRPr="002D66DE">
              <w:rPr>
                <w:b/>
                <w:bCs/>
                <w:sz w:val="20"/>
                <w:szCs w:val="20"/>
              </w:rPr>
              <w:t>4.3</w:t>
            </w:r>
            <w:r w:rsidRPr="002D66DE">
              <w:rPr>
                <w:b/>
                <w:bCs/>
                <w:sz w:val="20"/>
                <w:szCs w:val="20"/>
              </w:rPr>
              <w:tab/>
              <w:t xml:space="preserve">Dans le cadre de leur législation nationale, les </w:t>
            </w:r>
            <w:r w:rsidR="004C7683" w:rsidRPr="002D66DE">
              <w:rPr>
                <w:b/>
                <w:bCs/>
                <w:sz w:val="20"/>
                <w:szCs w:val="20"/>
              </w:rPr>
              <w:t>États</w:t>
            </w:r>
            <w:r w:rsidRPr="002D66DE">
              <w:rPr>
                <w:b/>
                <w:bCs/>
                <w:sz w:val="20"/>
                <w:szCs w:val="20"/>
              </w:rPr>
              <w:t xml:space="preserve"> Membres s'efforcent de veiller à ce que les exploitations autorisées offrent et maintiennent, dans toute la mesure possible, une qualité de service satisfaisante correspondant aux Recommandations UIT-T pertinentes en ce qui concerne:</w:t>
            </w:r>
          </w:p>
        </w:tc>
        <w:tc>
          <w:tcPr>
            <w:tcW w:w="3378" w:type="dxa"/>
          </w:tcPr>
          <w:p w14:paraId="47F5BA58" w14:textId="665C0DD0" w:rsidR="00F476A1" w:rsidRPr="002D66DE" w:rsidRDefault="00F476A1" w:rsidP="00C55BDB">
            <w:pPr>
              <w:pStyle w:val="Tabletext"/>
              <w:rPr>
                <w:sz w:val="20"/>
                <w:szCs w:val="20"/>
              </w:rPr>
            </w:pPr>
            <w:r w:rsidRPr="002D66DE">
              <w:rPr>
                <w:sz w:val="20"/>
                <w:szCs w:val="20"/>
              </w:rPr>
              <w:t>4.3</w:t>
            </w:r>
            <w:r w:rsidRPr="002D66DE">
              <w:rPr>
                <w:sz w:val="20"/>
                <w:szCs w:val="20"/>
              </w:rPr>
              <w:tab/>
              <w:t>Dans le cadre de leur législation nationale, les Membres doivent s'efforcer de s'assurer que les administrations</w:t>
            </w:r>
            <w:r w:rsidR="004C7683" w:rsidRPr="002D66DE">
              <w:rPr>
                <w:rStyle w:val="FootnoteReference"/>
                <w:szCs w:val="20"/>
              </w:rPr>
              <w:footnoteReference w:customMarkFollows="1" w:id="12"/>
              <w:t>*</w:t>
            </w:r>
            <w:r w:rsidRPr="002D66DE">
              <w:rPr>
                <w:sz w:val="20"/>
                <w:szCs w:val="20"/>
              </w:rPr>
              <w:t xml:space="preserve"> offrent et maintiennent dans toute la mesure de ce qui est réalisable une qualité de service minimale correspondant aux Recommandations pertinentes du CCITT en ce qui concerne:</w:t>
            </w:r>
          </w:p>
        </w:tc>
        <w:tc>
          <w:tcPr>
            <w:tcW w:w="2951" w:type="dxa"/>
          </w:tcPr>
          <w:p w14:paraId="3608ECC7" w14:textId="5E1D4D8D" w:rsidR="00F476A1" w:rsidRPr="002D66DE" w:rsidRDefault="004E3308" w:rsidP="00C55BDB">
            <w:pPr>
              <w:pStyle w:val="Tabletext"/>
              <w:rPr>
                <w:sz w:val="20"/>
              </w:rPr>
            </w:pPr>
            <w:bookmarkStart w:id="164" w:name="lt_pId604"/>
            <w:r w:rsidRPr="002D66DE">
              <w:rPr>
                <w:sz w:val="20"/>
              </w:rPr>
              <w:t>Certains membres ont estimé que l</w:t>
            </w:r>
            <w:r w:rsidR="009F4D21" w:rsidRPr="002D66DE">
              <w:rPr>
                <w:sz w:val="20"/>
              </w:rPr>
              <w:t>'</w:t>
            </w:r>
            <w:r w:rsidRPr="002D66DE">
              <w:rPr>
                <w:sz w:val="20"/>
              </w:rPr>
              <w:t xml:space="preserve">expression </w:t>
            </w:r>
            <w:r w:rsidR="00AC7710" w:rsidRPr="002D66DE">
              <w:rPr>
                <w:sz w:val="20"/>
              </w:rPr>
              <w:t>"</w:t>
            </w:r>
            <w:r w:rsidRPr="002D66DE">
              <w:rPr>
                <w:sz w:val="20"/>
              </w:rPr>
              <w:t>Les États Membres s'efforcent de veiller</w:t>
            </w:r>
            <w:r w:rsidR="00C55BDB" w:rsidRPr="002D66DE">
              <w:rPr>
                <w:sz w:val="20"/>
              </w:rPr>
              <w:t>"</w:t>
            </w:r>
            <w:r w:rsidRPr="002D66DE">
              <w:rPr>
                <w:b/>
                <w:bCs/>
                <w:sz w:val="20"/>
              </w:rPr>
              <w:t xml:space="preserve"> </w:t>
            </w:r>
            <w:r w:rsidRPr="002D66DE">
              <w:rPr>
                <w:sz w:val="20"/>
              </w:rPr>
              <w:t>est inapplicable, tout</w:t>
            </w:r>
            <w:r w:rsidR="00F476A1" w:rsidRPr="002D66DE">
              <w:rPr>
                <w:sz w:val="20"/>
              </w:rPr>
              <w:t xml:space="preserve"> </w:t>
            </w:r>
            <w:r w:rsidR="00D355EC" w:rsidRPr="002D66DE">
              <w:rPr>
                <w:sz w:val="20"/>
              </w:rPr>
              <w:t xml:space="preserve">en </w:t>
            </w:r>
            <w:r w:rsidRPr="002D66DE">
              <w:rPr>
                <w:sz w:val="20"/>
              </w:rPr>
              <w:t>rappelant que</w:t>
            </w:r>
            <w:r w:rsidR="000053E9" w:rsidRPr="002D66DE">
              <w:rPr>
                <w:sz w:val="20"/>
              </w:rPr>
              <w:t xml:space="preserve"> </w:t>
            </w:r>
            <w:r w:rsidRPr="002D66DE">
              <w:rPr>
                <w:sz w:val="20"/>
              </w:rPr>
              <w:t>la concurrence sur le marché est</w:t>
            </w:r>
            <w:r w:rsidR="007A22BA" w:rsidRPr="002D66DE">
              <w:rPr>
                <w:sz w:val="20"/>
              </w:rPr>
              <w:t xml:space="preserve"> souvent </w:t>
            </w:r>
            <w:r w:rsidRPr="002D66DE">
              <w:rPr>
                <w:sz w:val="20"/>
              </w:rPr>
              <w:t>le moyen le plus efficace de garantir</w:t>
            </w:r>
            <w:r w:rsidR="006712CF" w:rsidRPr="002D66DE">
              <w:rPr>
                <w:sz w:val="20"/>
              </w:rPr>
              <w:t xml:space="preserve"> à la fois</w:t>
            </w:r>
            <w:r w:rsidRPr="002D66DE">
              <w:rPr>
                <w:sz w:val="20"/>
              </w:rPr>
              <w:t xml:space="preserve"> l</w:t>
            </w:r>
            <w:r w:rsidR="009F4D21" w:rsidRPr="002D66DE">
              <w:rPr>
                <w:sz w:val="20"/>
              </w:rPr>
              <w:t>'</w:t>
            </w:r>
            <w:r w:rsidRPr="002D66DE">
              <w:rPr>
                <w:sz w:val="20"/>
              </w:rPr>
              <w:t xml:space="preserve">accès </w:t>
            </w:r>
            <w:r w:rsidR="006712CF" w:rsidRPr="002D66DE">
              <w:rPr>
                <w:sz w:val="20"/>
              </w:rPr>
              <w:t xml:space="preserve">au service et </w:t>
            </w:r>
            <w:r w:rsidRPr="002D66DE">
              <w:rPr>
                <w:sz w:val="20"/>
              </w:rPr>
              <w:t>une qualité de service satisfaisante</w:t>
            </w:r>
            <w:r w:rsidR="00F476A1" w:rsidRPr="002D66DE">
              <w:rPr>
                <w:sz w:val="20"/>
              </w:rPr>
              <w:t>.</w:t>
            </w:r>
            <w:bookmarkEnd w:id="164"/>
          </w:p>
          <w:p w14:paraId="38FAADF1" w14:textId="1D282671" w:rsidR="00F476A1" w:rsidRPr="002D66DE" w:rsidRDefault="00756AA9" w:rsidP="00C55BDB">
            <w:pPr>
              <w:pStyle w:val="Tabletext"/>
              <w:rPr>
                <w:sz w:val="20"/>
                <w:szCs w:val="20"/>
              </w:rPr>
            </w:pPr>
            <w:bookmarkStart w:id="165" w:name="lt_pId605"/>
            <w:r w:rsidRPr="002D66DE">
              <w:rPr>
                <w:sz w:val="20"/>
              </w:rPr>
              <w:t>De l</w:t>
            </w:r>
            <w:r w:rsidR="009F4D21" w:rsidRPr="002D66DE">
              <w:rPr>
                <w:sz w:val="20"/>
              </w:rPr>
              <w:t>'</w:t>
            </w:r>
            <w:r w:rsidRPr="002D66DE">
              <w:rPr>
                <w:sz w:val="20"/>
              </w:rPr>
              <w:t xml:space="preserve">avis de certains membres, cette disposition favorise et soutient le développement des réseaux et des services, en tenant compte des conditions propres à chaque pays, </w:t>
            </w:r>
            <w:r w:rsidR="000053E9" w:rsidRPr="002D66DE">
              <w:rPr>
                <w:sz w:val="20"/>
              </w:rPr>
              <w:t>puis</w:t>
            </w:r>
            <w:r w:rsidRPr="002D66DE">
              <w:rPr>
                <w:sz w:val="20"/>
              </w:rPr>
              <w:t>qu</w:t>
            </w:r>
            <w:r w:rsidR="009F4D21" w:rsidRPr="002D66DE">
              <w:rPr>
                <w:sz w:val="20"/>
              </w:rPr>
              <w:t>'</w:t>
            </w:r>
            <w:r w:rsidRPr="002D66DE">
              <w:rPr>
                <w:sz w:val="20"/>
              </w:rPr>
              <w:t>elle permet aux États Membres de définir des solutions spécialement adaptées à leur situation nationale, en respectant un ensemble de normes de qualité de service minim</w:t>
            </w:r>
            <w:r w:rsidR="00CE4578" w:rsidRPr="002D66DE">
              <w:rPr>
                <w:sz w:val="20"/>
              </w:rPr>
              <w:t>um</w:t>
            </w:r>
            <w:r w:rsidR="00F476A1" w:rsidRPr="002D66DE">
              <w:rPr>
                <w:sz w:val="20"/>
              </w:rPr>
              <w:t>.</w:t>
            </w:r>
            <w:bookmarkEnd w:id="165"/>
          </w:p>
        </w:tc>
        <w:tc>
          <w:tcPr>
            <w:tcW w:w="2577" w:type="dxa"/>
          </w:tcPr>
          <w:p w14:paraId="5F6B2FDA" w14:textId="2534FF27" w:rsidR="00F476A1" w:rsidRPr="002D66DE" w:rsidRDefault="00786750" w:rsidP="00C55BDB">
            <w:pPr>
              <w:pStyle w:val="Tabletext"/>
              <w:rPr>
                <w:sz w:val="20"/>
              </w:rPr>
            </w:pPr>
            <w:bookmarkStart w:id="166" w:name="lt_pId606"/>
            <w:r w:rsidRPr="002D66DE">
              <w:rPr>
                <w:sz w:val="20"/>
              </w:rPr>
              <w:t>Certains membres ont estimé que les mesures prises au titre de cette disposition pour assurer certains niveaux de qualité de service pourraient</w:t>
            </w:r>
            <w:r w:rsidR="00F476A1" w:rsidRPr="002D66DE">
              <w:rPr>
                <w:sz w:val="20"/>
              </w:rPr>
              <w:t xml:space="preserve"> </w:t>
            </w:r>
            <w:r w:rsidRPr="002D66DE">
              <w:rPr>
                <w:sz w:val="20"/>
              </w:rPr>
              <w:t>freiner l</w:t>
            </w:r>
            <w:r w:rsidR="009F4D21" w:rsidRPr="002D66DE">
              <w:rPr>
                <w:sz w:val="20"/>
              </w:rPr>
              <w:t>'</w:t>
            </w:r>
            <w:r w:rsidR="00F476A1" w:rsidRPr="002D66DE">
              <w:rPr>
                <w:sz w:val="20"/>
              </w:rPr>
              <w:t>innovation</w:t>
            </w:r>
            <w:r w:rsidRPr="002D66DE">
              <w:rPr>
                <w:sz w:val="20"/>
              </w:rPr>
              <w:t>, étant donné que les attentes en matière de qualité de service seront différentes selon la technologie</w:t>
            </w:r>
            <w:r w:rsidR="00F476A1" w:rsidRPr="002D66DE">
              <w:rPr>
                <w:sz w:val="20"/>
              </w:rPr>
              <w:t>.</w:t>
            </w:r>
            <w:bookmarkEnd w:id="166"/>
          </w:p>
          <w:p w14:paraId="03EFC694" w14:textId="0E122668" w:rsidR="00F476A1" w:rsidRPr="002D66DE" w:rsidRDefault="00CE4578" w:rsidP="00C55BDB">
            <w:pPr>
              <w:pStyle w:val="Tabletext"/>
              <w:rPr>
                <w:sz w:val="20"/>
                <w:szCs w:val="20"/>
              </w:rPr>
            </w:pPr>
            <w:bookmarkStart w:id="167" w:name="lt_pId607"/>
            <w:r w:rsidRPr="002D66DE">
              <w:rPr>
                <w:sz w:val="20"/>
              </w:rPr>
              <w:t>De l</w:t>
            </w:r>
            <w:r w:rsidR="009F4D21" w:rsidRPr="002D66DE">
              <w:rPr>
                <w:sz w:val="20"/>
              </w:rPr>
              <w:t>'</w:t>
            </w:r>
            <w:r w:rsidRPr="002D66DE">
              <w:rPr>
                <w:sz w:val="20"/>
              </w:rPr>
              <w:t>avis de certains membres</w:t>
            </w:r>
            <w:r w:rsidR="000053E9" w:rsidRPr="002D66DE">
              <w:rPr>
                <w:sz w:val="20"/>
              </w:rPr>
              <w:t>,</w:t>
            </w:r>
            <w:r w:rsidRPr="002D66DE">
              <w:rPr>
                <w:sz w:val="20"/>
              </w:rPr>
              <w:t xml:space="preserve"> cette disposition</w:t>
            </w:r>
            <w:r w:rsidR="004C7683" w:rsidRPr="002D66DE">
              <w:rPr>
                <w:sz w:val="20"/>
              </w:rPr>
              <w:t xml:space="preserve"> </w:t>
            </w:r>
            <w:r w:rsidRPr="002D66DE">
              <w:rPr>
                <w:sz w:val="20"/>
              </w:rPr>
              <w:t>est souple et permet d</w:t>
            </w:r>
            <w:r w:rsidR="009F4D21" w:rsidRPr="002D66DE">
              <w:rPr>
                <w:sz w:val="20"/>
              </w:rPr>
              <w:t>'</w:t>
            </w:r>
            <w:r w:rsidRPr="002D66DE">
              <w:rPr>
                <w:sz w:val="20"/>
              </w:rPr>
              <w:t>avoir un ensemble de normes de qualité de service minimum pour tous les services</w:t>
            </w:r>
            <w:r w:rsidR="000053E9" w:rsidRPr="002D66DE">
              <w:rPr>
                <w:sz w:val="20"/>
              </w:rPr>
              <w:t>,</w:t>
            </w:r>
            <w:r w:rsidRPr="002D66DE">
              <w:rPr>
                <w:sz w:val="20"/>
              </w:rPr>
              <w:t xml:space="preserve"> en tenant compte des conditions propres à chaque pays</w:t>
            </w:r>
            <w:r w:rsidR="00F476A1" w:rsidRPr="002D66DE">
              <w:rPr>
                <w:sz w:val="20"/>
              </w:rPr>
              <w:t>.</w:t>
            </w:r>
            <w:bookmarkEnd w:id="167"/>
            <w:r w:rsidRPr="002D66DE">
              <w:rPr>
                <w:sz w:val="20"/>
              </w:rPr>
              <w:t xml:space="preserve"> Ils ont également souligné que cette disposition ne prend pas en compte toutes les normes pertinentes de l</w:t>
            </w:r>
            <w:r w:rsidR="009F4D21" w:rsidRPr="002D66DE">
              <w:rPr>
                <w:sz w:val="20"/>
              </w:rPr>
              <w:t>'</w:t>
            </w:r>
            <w:r w:rsidRPr="002D66DE">
              <w:rPr>
                <w:sz w:val="20"/>
              </w:rPr>
              <w:t>UIT.</w:t>
            </w:r>
          </w:p>
        </w:tc>
        <w:tc>
          <w:tcPr>
            <w:tcW w:w="2424" w:type="dxa"/>
          </w:tcPr>
          <w:p w14:paraId="03CE1953" w14:textId="4D3D3541"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7BFB7BEE" w14:textId="4030DDFF"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20A1CEF2" w14:textId="3FBE1816" w:rsidR="00F476A1" w:rsidRPr="002D66DE" w:rsidRDefault="000636B9" w:rsidP="00C55BDB">
            <w:pPr>
              <w:pStyle w:val="Tabletext"/>
              <w:rPr>
                <w:sz w:val="20"/>
                <w:szCs w:val="20"/>
              </w:rPr>
            </w:pPr>
            <w:r w:rsidRPr="002D66DE">
              <w:rPr>
                <w:sz w:val="20"/>
                <w:szCs w:val="20"/>
              </w:rPr>
              <w:t>Certains membres ont fait valoir que cette disposition doit être mise à jour afin de tenir compte des normes de l</w:t>
            </w:r>
            <w:r w:rsidR="009F4D21" w:rsidRPr="002D66DE">
              <w:rPr>
                <w:sz w:val="20"/>
                <w:szCs w:val="20"/>
              </w:rPr>
              <w:t>'</w:t>
            </w:r>
            <w:r w:rsidRPr="002D66DE">
              <w:rPr>
                <w:sz w:val="20"/>
                <w:szCs w:val="20"/>
              </w:rPr>
              <w:t>UIT</w:t>
            </w:r>
            <w:r w:rsidR="00756AA9" w:rsidRPr="002D66DE">
              <w:rPr>
                <w:sz w:val="20"/>
              </w:rPr>
              <w:t>.</w:t>
            </w:r>
          </w:p>
        </w:tc>
      </w:tr>
    </w:tbl>
    <w:p w14:paraId="2C909176" w14:textId="41292D64" w:rsidR="00423417" w:rsidRPr="002D66DE" w:rsidRDefault="00423417"/>
    <w:p w14:paraId="63BF20C7" w14:textId="36596F20"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7BB98964" w14:textId="77777777" w:rsidTr="00423417">
        <w:tc>
          <w:tcPr>
            <w:tcW w:w="987" w:type="dxa"/>
          </w:tcPr>
          <w:p w14:paraId="10F79883"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05A296F6"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498605C7"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359875CA"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34EB9FB3"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4E5A5D49"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702B1634" w14:textId="77777777" w:rsidTr="00AC7710">
        <w:trPr>
          <w:trHeight w:val="2096"/>
        </w:trPr>
        <w:tc>
          <w:tcPr>
            <w:tcW w:w="987" w:type="dxa"/>
          </w:tcPr>
          <w:p w14:paraId="070962FF" w14:textId="46664B87" w:rsidR="00F476A1" w:rsidRPr="002D66DE" w:rsidRDefault="00F476A1" w:rsidP="00C55BDB">
            <w:pPr>
              <w:pStyle w:val="Tablehead"/>
              <w:rPr>
                <w:sz w:val="20"/>
                <w:szCs w:val="20"/>
              </w:rPr>
            </w:pPr>
            <w:r w:rsidRPr="002D66DE">
              <w:rPr>
                <w:sz w:val="20"/>
                <w:szCs w:val="20"/>
              </w:rPr>
              <w:t>37</w:t>
            </w:r>
          </w:p>
        </w:tc>
        <w:tc>
          <w:tcPr>
            <w:tcW w:w="2860" w:type="dxa"/>
          </w:tcPr>
          <w:p w14:paraId="0E277714" w14:textId="134AAFD4" w:rsidR="00F476A1" w:rsidRPr="002D66DE" w:rsidRDefault="00F476A1" w:rsidP="00C55BDB">
            <w:pPr>
              <w:pStyle w:val="Tabletext"/>
              <w:rPr>
                <w:b/>
                <w:bCs/>
                <w:sz w:val="20"/>
                <w:szCs w:val="20"/>
              </w:rPr>
            </w:pPr>
            <w:r w:rsidRPr="002D66DE">
              <w:rPr>
                <w:b/>
                <w:bCs/>
                <w:sz w:val="20"/>
                <w:szCs w:val="20"/>
              </w:rPr>
              <w:t>4.3</w:t>
            </w:r>
            <w:r w:rsidRPr="002D66DE">
              <w:rPr>
                <w:b/>
                <w:bCs/>
                <w:i/>
                <w:iCs/>
                <w:sz w:val="20"/>
                <w:szCs w:val="20"/>
              </w:rPr>
              <w:tab/>
              <w:t>a)</w:t>
            </w:r>
            <w:r w:rsidRPr="002D66DE">
              <w:rPr>
                <w:b/>
                <w:bCs/>
                <w:sz w:val="20"/>
                <w:szCs w:val="20"/>
              </w:rPr>
              <w:tab/>
              <w:t>l'accès au réseau international pour les usagers utilisant des terminaux dont le raccordement au réseau a été autorisé et qui ne causent pas de dommages aux installations techniques ni au personnel;</w:t>
            </w:r>
          </w:p>
        </w:tc>
        <w:tc>
          <w:tcPr>
            <w:tcW w:w="3378" w:type="dxa"/>
          </w:tcPr>
          <w:p w14:paraId="1B0FF4B6" w14:textId="40F480B6" w:rsidR="00F476A1" w:rsidRPr="002D66DE" w:rsidRDefault="00F476A1" w:rsidP="00C55BDB">
            <w:pPr>
              <w:pStyle w:val="Tabletext"/>
              <w:rPr>
                <w:sz w:val="20"/>
                <w:szCs w:val="20"/>
              </w:rPr>
            </w:pPr>
            <w:r w:rsidRPr="002D66DE">
              <w:rPr>
                <w:sz w:val="20"/>
                <w:szCs w:val="20"/>
              </w:rPr>
              <w:t>4.3</w:t>
            </w:r>
            <w:r w:rsidRPr="002D66DE">
              <w:rPr>
                <w:i/>
                <w:iCs/>
                <w:sz w:val="20"/>
                <w:szCs w:val="20"/>
              </w:rPr>
              <w:tab/>
              <w:t>a)</w:t>
            </w:r>
            <w:r w:rsidRPr="002D66DE">
              <w:rPr>
                <w:sz w:val="20"/>
                <w:szCs w:val="20"/>
              </w:rPr>
              <w:tab/>
              <w:t>l'accès au réseau international pour les usagers utilisant des terminaux dont le raccordement au réseau a été autorisé et qui ne causent pas de dommages aux installations techniques ni au personnel;</w:t>
            </w:r>
          </w:p>
        </w:tc>
        <w:tc>
          <w:tcPr>
            <w:tcW w:w="2951" w:type="dxa"/>
          </w:tcPr>
          <w:p w14:paraId="460E2377" w14:textId="72E8B780" w:rsidR="00F476A1" w:rsidRPr="002D66DE" w:rsidRDefault="00D355EC" w:rsidP="00C55BDB">
            <w:pPr>
              <w:pStyle w:val="Tabletext"/>
              <w:rPr>
                <w:sz w:val="20"/>
              </w:rPr>
            </w:pPr>
            <w:r w:rsidRPr="002D66DE">
              <w:rPr>
                <w:sz w:val="20"/>
              </w:rPr>
              <w:t>Certains membres ont estimé que l</w:t>
            </w:r>
            <w:r w:rsidR="009F4D21" w:rsidRPr="002D66DE">
              <w:rPr>
                <w:sz w:val="20"/>
              </w:rPr>
              <w:t>'</w:t>
            </w:r>
            <w:r w:rsidRPr="002D66DE">
              <w:rPr>
                <w:sz w:val="20"/>
              </w:rPr>
              <w:t xml:space="preserve">expression </w:t>
            </w:r>
            <w:r w:rsidR="00AC7710" w:rsidRPr="002D66DE">
              <w:rPr>
                <w:sz w:val="20"/>
              </w:rPr>
              <w:t>"</w:t>
            </w:r>
            <w:r w:rsidRPr="002D66DE">
              <w:rPr>
                <w:sz w:val="20"/>
              </w:rPr>
              <w:t>Les États Membres s'efforcent de veiller</w:t>
            </w:r>
            <w:r w:rsidR="00C55BDB" w:rsidRPr="002D66DE">
              <w:rPr>
                <w:b/>
                <w:bCs/>
                <w:sz w:val="20"/>
              </w:rPr>
              <w:t>"</w:t>
            </w:r>
            <w:r w:rsidRPr="002D66DE">
              <w:rPr>
                <w:b/>
                <w:bCs/>
                <w:sz w:val="20"/>
              </w:rPr>
              <w:t xml:space="preserve"> </w:t>
            </w:r>
            <w:r w:rsidRPr="002D66DE">
              <w:rPr>
                <w:sz w:val="20"/>
              </w:rPr>
              <w:t>est inapplicable</w:t>
            </w:r>
            <w:r w:rsidR="00F476A1" w:rsidRPr="002D66DE">
              <w:rPr>
                <w:sz w:val="20"/>
              </w:rPr>
              <w:t>,</w:t>
            </w:r>
            <w:r w:rsidR="004C7683" w:rsidRPr="002D66DE">
              <w:rPr>
                <w:sz w:val="20"/>
              </w:rPr>
              <w:t xml:space="preserve"> </w:t>
            </w:r>
            <w:r w:rsidR="007E2FFC" w:rsidRPr="002D66DE">
              <w:rPr>
                <w:sz w:val="20"/>
              </w:rPr>
              <w:t>et ont</w:t>
            </w:r>
            <w:r w:rsidRPr="002D66DE">
              <w:rPr>
                <w:sz w:val="20"/>
              </w:rPr>
              <w:t xml:space="preserve"> rappel</w:t>
            </w:r>
            <w:r w:rsidR="007E2FFC" w:rsidRPr="002D66DE">
              <w:rPr>
                <w:sz w:val="20"/>
              </w:rPr>
              <w:t>é</w:t>
            </w:r>
            <w:r w:rsidRPr="002D66DE">
              <w:rPr>
                <w:sz w:val="20"/>
              </w:rPr>
              <w:t xml:space="preserve"> que</w:t>
            </w:r>
            <w:r w:rsidR="000053E9" w:rsidRPr="002D66DE">
              <w:rPr>
                <w:sz w:val="20"/>
              </w:rPr>
              <w:t xml:space="preserve"> </w:t>
            </w:r>
            <w:r w:rsidRPr="002D66DE">
              <w:rPr>
                <w:sz w:val="20"/>
              </w:rPr>
              <w:t>la concurrence sur le marché est</w:t>
            </w:r>
            <w:r w:rsidR="007A22BA" w:rsidRPr="002D66DE">
              <w:rPr>
                <w:sz w:val="20"/>
              </w:rPr>
              <w:t xml:space="preserve"> souvent</w:t>
            </w:r>
            <w:r w:rsidRPr="002D66DE">
              <w:rPr>
                <w:sz w:val="20"/>
              </w:rPr>
              <w:t xml:space="preserve"> le moyen le plus efficace de garantir à la fois l</w:t>
            </w:r>
            <w:r w:rsidR="009F4D21" w:rsidRPr="002D66DE">
              <w:rPr>
                <w:sz w:val="20"/>
              </w:rPr>
              <w:t>'</w:t>
            </w:r>
            <w:r w:rsidRPr="002D66DE">
              <w:rPr>
                <w:sz w:val="20"/>
              </w:rPr>
              <w:t>accès au service et une qualité de service satisfaisante</w:t>
            </w:r>
            <w:r w:rsidR="00F476A1" w:rsidRPr="002D66DE">
              <w:rPr>
                <w:sz w:val="20"/>
              </w:rPr>
              <w:t>.</w:t>
            </w:r>
          </w:p>
          <w:p w14:paraId="27735596" w14:textId="279963A1" w:rsidR="00F476A1" w:rsidRPr="002D66DE" w:rsidRDefault="00D355EC" w:rsidP="00C55BDB">
            <w:pPr>
              <w:pStyle w:val="Tabletext"/>
              <w:rPr>
                <w:sz w:val="20"/>
              </w:rPr>
            </w:pPr>
            <w:r w:rsidRPr="002D66DE">
              <w:rPr>
                <w:sz w:val="20"/>
              </w:rPr>
              <w:t>De l</w:t>
            </w:r>
            <w:r w:rsidR="009F4D21" w:rsidRPr="002D66DE">
              <w:rPr>
                <w:sz w:val="20"/>
              </w:rPr>
              <w:t>'</w:t>
            </w:r>
            <w:r w:rsidRPr="002D66DE">
              <w:rPr>
                <w:sz w:val="20"/>
              </w:rPr>
              <w:t xml:space="preserve">avis de certains membres, cette disposition </w:t>
            </w:r>
            <w:r w:rsidR="000053E9" w:rsidRPr="002D66DE">
              <w:rPr>
                <w:sz w:val="20"/>
              </w:rPr>
              <w:t>encourage</w:t>
            </w:r>
            <w:r w:rsidRPr="002D66DE">
              <w:rPr>
                <w:sz w:val="20"/>
              </w:rPr>
              <w:t xml:space="preserve"> et soutient le développement des réseaux et des services.</w:t>
            </w:r>
          </w:p>
          <w:p w14:paraId="4E2BB7AB" w14:textId="24C2E7DE" w:rsidR="00F476A1" w:rsidRPr="002D66DE" w:rsidRDefault="00D355EC" w:rsidP="00C55BDB">
            <w:pPr>
              <w:pStyle w:val="Tabletext"/>
              <w:rPr>
                <w:sz w:val="20"/>
                <w:szCs w:val="20"/>
              </w:rPr>
            </w:pPr>
            <w:bookmarkStart w:id="168" w:name="lt_pId616"/>
            <w:r w:rsidRPr="002D66DE">
              <w:rPr>
                <w:sz w:val="20"/>
              </w:rPr>
              <w:t>Certains membres ont estimé que cette disposition est applicable mais que le membre de phrase "ne causent pas de dommages" n</w:t>
            </w:r>
            <w:r w:rsidR="009F4D21" w:rsidRPr="002D66DE">
              <w:rPr>
                <w:sz w:val="20"/>
              </w:rPr>
              <w:t>'</w:t>
            </w:r>
            <w:r w:rsidRPr="002D66DE">
              <w:rPr>
                <w:sz w:val="20"/>
              </w:rPr>
              <w:t>est pas suffisamment clair pour garantir la bonne applicabilité de cette disposition</w:t>
            </w:r>
            <w:r w:rsidR="00F476A1" w:rsidRPr="002D66DE">
              <w:rPr>
                <w:sz w:val="20"/>
              </w:rPr>
              <w:t>.</w:t>
            </w:r>
            <w:bookmarkEnd w:id="168"/>
          </w:p>
        </w:tc>
        <w:tc>
          <w:tcPr>
            <w:tcW w:w="2577" w:type="dxa"/>
          </w:tcPr>
          <w:p w14:paraId="427F3EC6" w14:textId="6EE2BFDC" w:rsidR="001F61FF" w:rsidRPr="002D66DE" w:rsidRDefault="00A52D5B" w:rsidP="00C55BDB">
            <w:pPr>
              <w:pStyle w:val="Tabletext"/>
              <w:rPr>
                <w:sz w:val="20"/>
              </w:rPr>
            </w:pPr>
            <w:r w:rsidRPr="002D66DE">
              <w:rPr>
                <w:sz w:val="20"/>
              </w:rPr>
              <w:t>Certains membres ont estimé que les mesures prises au titre de cette disposition pour assurer certains niveaux de qualité de service pourraient freiner l</w:t>
            </w:r>
            <w:r w:rsidR="009F4D21" w:rsidRPr="002D66DE">
              <w:rPr>
                <w:sz w:val="20"/>
              </w:rPr>
              <w:t>'</w:t>
            </w:r>
            <w:r w:rsidRPr="002D66DE">
              <w:rPr>
                <w:sz w:val="20"/>
              </w:rPr>
              <w:t>innovation, étant donné que les attentes en matière de qualité de service seront différentes selon la technologie.</w:t>
            </w:r>
          </w:p>
          <w:p w14:paraId="7E31F4E2" w14:textId="7A566812" w:rsidR="00F476A1" w:rsidRPr="002D66DE" w:rsidRDefault="00A52D5B" w:rsidP="00C55BDB">
            <w:pPr>
              <w:pStyle w:val="Tabletext"/>
              <w:rPr>
                <w:sz w:val="20"/>
                <w:szCs w:val="20"/>
              </w:rPr>
            </w:pPr>
            <w:bookmarkStart w:id="169" w:name="lt_pId618"/>
            <w:r w:rsidRPr="002D66DE">
              <w:rPr>
                <w:sz w:val="20"/>
              </w:rPr>
              <w:t>De l</w:t>
            </w:r>
            <w:r w:rsidR="009F4D21" w:rsidRPr="002D66DE">
              <w:rPr>
                <w:sz w:val="20"/>
              </w:rPr>
              <w:t>'</w:t>
            </w:r>
            <w:r w:rsidRPr="002D66DE">
              <w:rPr>
                <w:sz w:val="20"/>
              </w:rPr>
              <w:t xml:space="preserve">avis de certains membres cette disposition </w:t>
            </w:r>
            <w:bookmarkEnd w:id="169"/>
            <w:r w:rsidRPr="002D66DE">
              <w:rPr>
                <w:sz w:val="20"/>
              </w:rPr>
              <w:t>offre la souplesse nécessaire.</w:t>
            </w:r>
          </w:p>
        </w:tc>
        <w:tc>
          <w:tcPr>
            <w:tcW w:w="2424" w:type="dxa"/>
          </w:tcPr>
          <w:p w14:paraId="6492D106" w14:textId="0BE744E0"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4510DFA0" w14:textId="4BAAA524" w:rsidR="000636B9" w:rsidRPr="002D66DE" w:rsidRDefault="000636B9"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5D8C732B" w14:textId="29F69F37" w:rsidR="00F476A1" w:rsidRPr="002D66DE" w:rsidRDefault="000636B9" w:rsidP="00C55BDB">
            <w:pPr>
              <w:pStyle w:val="Tabletext"/>
              <w:rPr>
                <w:sz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003111C2" w:rsidRPr="002D66DE">
              <w:rPr>
                <w:sz w:val="20"/>
              </w:rPr>
              <w:t>.</w:t>
            </w:r>
          </w:p>
        </w:tc>
      </w:tr>
    </w:tbl>
    <w:p w14:paraId="4A1E314D" w14:textId="77E41415"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7384BE5D" w14:textId="77777777" w:rsidTr="00423417">
        <w:tc>
          <w:tcPr>
            <w:tcW w:w="987" w:type="dxa"/>
          </w:tcPr>
          <w:p w14:paraId="470C5A5E"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3FF3976C"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7F04EAD0"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7AB132EE"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7AFBE0F3"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2BF1BA4C"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223AE151" w14:textId="77777777" w:rsidTr="00AC7710">
        <w:tc>
          <w:tcPr>
            <w:tcW w:w="987" w:type="dxa"/>
          </w:tcPr>
          <w:p w14:paraId="3FFFC413" w14:textId="603B98CD" w:rsidR="00F476A1" w:rsidRPr="002D66DE" w:rsidRDefault="00F476A1" w:rsidP="00C55BDB">
            <w:pPr>
              <w:pStyle w:val="Tablehead"/>
              <w:rPr>
                <w:sz w:val="20"/>
                <w:szCs w:val="20"/>
              </w:rPr>
            </w:pPr>
            <w:r w:rsidRPr="002D66DE">
              <w:rPr>
                <w:sz w:val="20"/>
                <w:szCs w:val="20"/>
              </w:rPr>
              <w:t>38</w:t>
            </w:r>
          </w:p>
        </w:tc>
        <w:tc>
          <w:tcPr>
            <w:tcW w:w="2860" w:type="dxa"/>
          </w:tcPr>
          <w:p w14:paraId="5211D80E" w14:textId="3374F63E" w:rsidR="00F476A1" w:rsidRPr="002D66DE" w:rsidRDefault="00F476A1" w:rsidP="00C55BDB">
            <w:pPr>
              <w:pStyle w:val="Tabletext"/>
              <w:rPr>
                <w:b/>
                <w:bCs/>
                <w:sz w:val="20"/>
                <w:szCs w:val="20"/>
              </w:rPr>
            </w:pPr>
            <w:r w:rsidRPr="002D66DE">
              <w:rPr>
                <w:b/>
                <w:bCs/>
                <w:sz w:val="20"/>
                <w:szCs w:val="20"/>
              </w:rPr>
              <w:t>4.3</w:t>
            </w:r>
            <w:r w:rsidRPr="002D66DE">
              <w:rPr>
                <w:b/>
                <w:bCs/>
                <w:i/>
                <w:iCs/>
                <w:sz w:val="20"/>
                <w:szCs w:val="20"/>
              </w:rPr>
              <w:tab/>
              <w:t>b)</w:t>
            </w:r>
            <w:r w:rsidRPr="002D66DE">
              <w:rPr>
                <w:b/>
                <w:bCs/>
                <w:sz w:val="20"/>
                <w:szCs w:val="20"/>
              </w:rPr>
              <w:tab/>
              <w:t>les moyens et les services internationaux de télécommunication mis à la disposition des utilisateurs pour leur utilisation particulière;</w:t>
            </w:r>
          </w:p>
        </w:tc>
        <w:tc>
          <w:tcPr>
            <w:tcW w:w="3378" w:type="dxa"/>
          </w:tcPr>
          <w:p w14:paraId="119A720C" w14:textId="11073B97" w:rsidR="00F476A1" w:rsidRPr="002D66DE" w:rsidRDefault="00F476A1" w:rsidP="00C55BDB">
            <w:pPr>
              <w:pStyle w:val="Tabletext"/>
              <w:rPr>
                <w:sz w:val="20"/>
                <w:szCs w:val="20"/>
              </w:rPr>
            </w:pPr>
            <w:r w:rsidRPr="002D66DE">
              <w:rPr>
                <w:sz w:val="20"/>
                <w:szCs w:val="20"/>
              </w:rPr>
              <w:t>4.3</w:t>
            </w:r>
            <w:r w:rsidRPr="002D66DE">
              <w:rPr>
                <w:i/>
                <w:iCs/>
                <w:sz w:val="20"/>
                <w:szCs w:val="20"/>
              </w:rPr>
              <w:tab/>
              <w:t>b)</w:t>
            </w:r>
            <w:r w:rsidRPr="002D66DE">
              <w:rPr>
                <w:sz w:val="20"/>
                <w:szCs w:val="20"/>
              </w:rPr>
              <w:tab/>
              <w:t>les moyens et les services internationaux de télécommunication proposés aux clients pour leur utilisation spécialisée;</w:t>
            </w:r>
          </w:p>
        </w:tc>
        <w:tc>
          <w:tcPr>
            <w:tcW w:w="2951" w:type="dxa"/>
          </w:tcPr>
          <w:p w14:paraId="488CBC88" w14:textId="561B86C4" w:rsidR="00F476A1" w:rsidRPr="002D66DE" w:rsidRDefault="0080729B" w:rsidP="00C55BDB">
            <w:pPr>
              <w:pStyle w:val="Tabletext"/>
              <w:rPr>
                <w:sz w:val="20"/>
              </w:rPr>
            </w:pPr>
            <w:bookmarkStart w:id="170" w:name="lt_pId624"/>
            <w:r w:rsidRPr="002D66DE">
              <w:rPr>
                <w:sz w:val="20"/>
              </w:rPr>
              <w:t>Certains membres ont estimé</w:t>
            </w:r>
            <w:r w:rsidR="004C7683" w:rsidRPr="002D66DE">
              <w:rPr>
                <w:sz w:val="20"/>
              </w:rPr>
              <w:t xml:space="preserve"> </w:t>
            </w:r>
            <w:r w:rsidRPr="002D66DE">
              <w:rPr>
                <w:sz w:val="20"/>
              </w:rPr>
              <w:t>que l</w:t>
            </w:r>
            <w:r w:rsidR="009F4D21" w:rsidRPr="002D66DE">
              <w:rPr>
                <w:sz w:val="20"/>
              </w:rPr>
              <w:t>'</w:t>
            </w:r>
            <w:r w:rsidRPr="002D66DE">
              <w:rPr>
                <w:sz w:val="20"/>
              </w:rPr>
              <w:t xml:space="preserve">expression </w:t>
            </w:r>
            <w:r w:rsidR="00AC7710" w:rsidRPr="002D66DE">
              <w:rPr>
                <w:sz w:val="20"/>
              </w:rPr>
              <w:t>"</w:t>
            </w:r>
            <w:r w:rsidRPr="002D66DE">
              <w:rPr>
                <w:sz w:val="20"/>
              </w:rPr>
              <w:t>Les États Membres s'efforcent de veiller</w:t>
            </w:r>
            <w:r w:rsidR="00C55BDB" w:rsidRPr="002D66DE">
              <w:rPr>
                <w:b/>
                <w:bCs/>
                <w:sz w:val="20"/>
              </w:rPr>
              <w:t>"</w:t>
            </w:r>
            <w:r w:rsidRPr="002D66DE">
              <w:rPr>
                <w:b/>
                <w:bCs/>
                <w:sz w:val="20"/>
              </w:rPr>
              <w:t xml:space="preserve"> </w:t>
            </w:r>
            <w:r w:rsidRPr="002D66DE">
              <w:rPr>
                <w:sz w:val="20"/>
              </w:rPr>
              <w:t>est inapplicable,</w:t>
            </w:r>
            <w:r w:rsidR="004C7683" w:rsidRPr="002D66DE">
              <w:rPr>
                <w:sz w:val="20"/>
              </w:rPr>
              <w:t xml:space="preserve"> </w:t>
            </w:r>
            <w:r w:rsidR="007E2FFC" w:rsidRPr="002D66DE">
              <w:rPr>
                <w:sz w:val="20"/>
              </w:rPr>
              <w:t>et o</w:t>
            </w:r>
            <w:r w:rsidRPr="002D66DE">
              <w:rPr>
                <w:sz w:val="20"/>
              </w:rPr>
              <w:t>n</w:t>
            </w:r>
            <w:r w:rsidR="007E2FFC" w:rsidRPr="002D66DE">
              <w:rPr>
                <w:sz w:val="20"/>
              </w:rPr>
              <w:t>t</w:t>
            </w:r>
            <w:r w:rsidRPr="002D66DE">
              <w:rPr>
                <w:sz w:val="20"/>
              </w:rPr>
              <w:t xml:space="preserve"> rappel</w:t>
            </w:r>
            <w:r w:rsidR="007E2FFC" w:rsidRPr="002D66DE">
              <w:rPr>
                <w:sz w:val="20"/>
              </w:rPr>
              <w:t>é</w:t>
            </w:r>
            <w:r w:rsidRPr="002D66DE">
              <w:rPr>
                <w:sz w:val="20"/>
              </w:rPr>
              <w:t xml:space="preserve"> que</w:t>
            </w:r>
            <w:r w:rsidR="007A22BA" w:rsidRPr="002D66DE">
              <w:rPr>
                <w:sz w:val="20"/>
              </w:rPr>
              <w:t xml:space="preserve"> l</w:t>
            </w:r>
            <w:r w:rsidRPr="002D66DE">
              <w:rPr>
                <w:sz w:val="20"/>
              </w:rPr>
              <w:t xml:space="preserve">a concurrence sur le marché est </w:t>
            </w:r>
            <w:r w:rsidR="007A22BA" w:rsidRPr="002D66DE">
              <w:rPr>
                <w:sz w:val="20"/>
              </w:rPr>
              <w:t xml:space="preserve">souvent </w:t>
            </w:r>
            <w:r w:rsidRPr="002D66DE">
              <w:rPr>
                <w:sz w:val="20"/>
              </w:rPr>
              <w:t>le moyen le plus efficace de garantir à la fois l</w:t>
            </w:r>
            <w:r w:rsidR="009F4D21" w:rsidRPr="002D66DE">
              <w:rPr>
                <w:sz w:val="20"/>
              </w:rPr>
              <w:t>'</w:t>
            </w:r>
            <w:r w:rsidRPr="002D66DE">
              <w:rPr>
                <w:sz w:val="20"/>
              </w:rPr>
              <w:t>accès au service et une qualité de service satisfaisante</w:t>
            </w:r>
            <w:r w:rsidR="00F476A1" w:rsidRPr="002D66DE">
              <w:rPr>
                <w:sz w:val="20"/>
              </w:rPr>
              <w:t>.</w:t>
            </w:r>
            <w:bookmarkEnd w:id="170"/>
          </w:p>
          <w:p w14:paraId="6D15EB7B" w14:textId="6D424055" w:rsidR="00F476A1" w:rsidRPr="002D66DE" w:rsidRDefault="0080729B" w:rsidP="00C55BDB">
            <w:pPr>
              <w:pStyle w:val="Tabletext"/>
              <w:rPr>
                <w:sz w:val="20"/>
                <w:szCs w:val="20"/>
              </w:rPr>
            </w:pPr>
            <w:bookmarkStart w:id="171" w:name="lt_pId625"/>
            <w:r w:rsidRPr="002D66DE">
              <w:rPr>
                <w:sz w:val="20"/>
              </w:rPr>
              <w:t>De l</w:t>
            </w:r>
            <w:r w:rsidR="009F4D21" w:rsidRPr="002D66DE">
              <w:rPr>
                <w:sz w:val="20"/>
              </w:rPr>
              <w:t>'</w:t>
            </w:r>
            <w:r w:rsidRPr="002D66DE">
              <w:rPr>
                <w:sz w:val="20"/>
              </w:rPr>
              <w:t xml:space="preserve">avis de certains membres, cette disposition </w:t>
            </w:r>
            <w:r w:rsidR="007A22BA" w:rsidRPr="002D66DE">
              <w:rPr>
                <w:sz w:val="20"/>
              </w:rPr>
              <w:t>encourage</w:t>
            </w:r>
            <w:r w:rsidRPr="002D66DE">
              <w:rPr>
                <w:sz w:val="20"/>
              </w:rPr>
              <w:t xml:space="preserve"> et soutient le développement des réseaux et des services</w:t>
            </w:r>
            <w:r w:rsidR="007A22BA" w:rsidRPr="002D66DE">
              <w:rPr>
                <w:sz w:val="20"/>
              </w:rPr>
              <w:t>,</w:t>
            </w:r>
            <w:r w:rsidRPr="002D66DE">
              <w:rPr>
                <w:sz w:val="20"/>
              </w:rPr>
              <w:t xml:space="preserve"> et </w:t>
            </w:r>
            <w:bookmarkEnd w:id="171"/>
            <w:r w:rsidR="006B6990" w:rsidRPr="002D66DE">
              <w:rPr>
                <w:sz w:val="20"/>
              </w:rPr>
              <w:t>est applicable.</w:t>
            </w:r>
          </w:p>
        </w:tc>
        <w:tc>
          <w:tcPr>
            <w:tcW w:w="2577" w:type="dxa"/>
          </w:tcPr>
          <w:p w14:paraId="095B5AE9" w14:textId="655A063E" w:rsidR="00F476A1" w:rsidRPr="002D66DE" w:rsidRDefault="001F61FF" w:rsidP="00C55BDB">
            <w:pPr>
              <w:pStyle w:val="Tabletext"/>
              <w:rPr>
                <w:sz w:val="20"/>
              </w:rPr>
            </w:pPr>
            <w:r w:rsidRPr="002D66DE">
              <w:rPr>
                <w:sz w:val="20"/>
              </w:rPr>
              <w:t>Certains membres ont estimé que les mesures prises au titre de cette disposition pour assurer certains niveaux de qualité de service pourraient freiner l</w:t>
            </w:r>
            <w:r w:rsidR="009F4D21" w:rsidRPr="002D66DE">
              <w:rPr>
                <w:sz w:val="20"/>
              </w:rPr>
              <w:t>'</w:t>
            </w:r>
            <w:r w:rsidRPr="002D66DE">
              <w:rPr>
                <w:sz w:val="20"/>
              </w:rPr>
              <w:t>innovation, étant donné que les attentes en matière de qualité de service seront différentes selon la technologie.</w:t>
            </w:r>
          </w:p>
          <w:p w14:paraId="7CF7C591" w14:textId="6E290550" w:rsidR="00F476A1" w:rsidRPr="002D66DE" w:rsidRDefault="001F61FF" w:rsidP="00C55BDB">
            <w:pPr>
              <w:pStyle w:val="Tabletext"/>
              <w:rPr>
                <w:sz w:val="20"/>
                <w:szCs w:val="20"/>
              </w:rPr>
            </w:pPr>
            <w:r w:rsidRPr="002D66DE">
              <w:rPr>
                <w:sz w:val="20"/>
              </w:rPr>
              <w:t>De l</w:t>
            </w:r>
            <w:r w:rsidR="009F4D21" w:rsidRPr="002D66DE">
              <w:rPr>
                <w:sz w:val="20"/>
              </w:rPr>
              <w:t>'</w:t>
            </w:r>
            <w:r w:rsidRPr="002D66DE">
              <w:rPr>
                <w:sz w:val="20"/>
              </w:rPr>
              <w:t>avis de certains membres</w:t>
            </w:r>
            <w:r w:rsidR="0081114A" w:rsidRPr="002D66DE">
              <w:rPr>
                <w:sz w:val="20"/>
              </w:rPr>
              <w:t>,</w:t>
            </w:r>
            <w:r w:rsidRPr="002D66DE">
              <w:rPr>
                <w:sz w:val="20"/>
              </w:rPr>
              <w:t xml:space="preserve"> cette disposition offre la souplesse nécessaire</w:t>
            </w:r>
            <w:r w:rsidR="00F476A1" w:rsidRPr="002D66DE">
              <w:rPr>
                <w:sz w:val="20"/>
              </w:rPr>
              <w:t>.</w:t>
            </w:r>
          </w:p>
        </w:tc>
        <w:tc>
          <w:tcPr>
            <w:tcW w:w="2424" w:type="dxa"/>
          </w:tcPr>
          <w:p w14:paraId="09B79710" w14:textId="7546CAC8"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04491145" w14:textId="2611DAE9" w:rsidR="000636B9" w:rsidRPr="002D66DE" w:rsidRDefault="000636B9"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48633D7E" w14:textId="4465F43C" w:rsidR="00F476A1" w:rsidRPr="002D66DE" w:rsidRDefault="000636B9" w:rsidP="00C55BDB">
            <w:pPr>
              <w:pStyle w:val="Tabletext"/>
              <w:rPr>
                <w:sz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Pr="002D66DE">
              <w:rPr>
                <w:sz w:val="20"/>
              </w:rPr>
              <w:t>.</w:t>
            </w:r>
          </w:p>
        </w:tc>
      </w:tr>
    </w:tbl>
    <w:p w14:paraId="16578036" w14:textId="35DE4600" w:rsidR="00423417" w:rsidRPr="002D66DE" w:rsidRDefault="00423417"/>
    <w:p w14:paraId="2B303230" w14:textId="73021A26"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3482BDC8" w14:textId="77777777" w:rsidTr="00423417">
        <w:tc>
          <w:tcPr>
            <w:tcW w:w="987" w:type="dxa"/>
          </w:tcPr>
          <w:p w14:paraId="774D1032"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62735495"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7D80D33C"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52348F58"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456C0832"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5C834F36"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621FA8AB" w14:textId="77777777" w:rsidTr="00AC7710">
        <w:tc>
          <w:tcPr>
            <w:tcW w:w="987" w:type="dxa"/>
          </w:tcPr>
          <w:p w14:paraId="47E2B266" w14:textId="31D0E225" w:rsidR="00F476A1" w:rsidRPr="002D66DE" w:rsidRDefault="00F476A1" w:rsidP="00C55BDB">
            <w:pPr>
              <w:pStyle w:val="Tablehead"/>
              <w:rPr>
                <w:sz w:val="20"/>
                <w:szCs w:val="20"/>
              </w:rPr>
            </w:pPr>
            <w:r w:rsidRPr="002D66DE">
              <w:rPr>
                <w:sz w:val="20"/>
                <w:szCs w:val="20"/>
              </w:rPr>
              <w:t>39</w:t>
            </w:r>
          </w:p>
        </w:tc>
        <w:tc>
          <w:tcPr>
            <w:tcW w:w="2860" w:type="dxa"/>
          </w:tcPr>
          <w:p w14:paraId="5EE2C1F4" w14:textId="75ECC757" w:rsidR="00F476A1" w:rsidRPr="002D66DE" w:rsidRDefault="00F476A1" w:rsidP="00C55BDB">
            <w:pPr>
              <w:pStyle w:val="Tabletext"/>
              <w:rPr>
                <w:b/>
                <w:bCs/>
                <w:sz w:val="20"/>
                <w:szCs w:val="20"/>
              </w:rPr>
            </w:pPr>
            <w:r w:rsidRPr="002D66DE">
              <w:rPr>
                <w:b/>
                <w:bCs/>
                <w:sz w:val="20"/>
                <w:szCs w:val="20"/>
              </w:rPr>
              <w:t>4.3</w:t>
            </w:r>
            <w:r w:rsidRPr="002D66DE">
              <w:rPr>
                <w:b/>
                <w:bCs/>
                <w:sz w:val="20"/>
                <w:szCs w:val="20"/>
              </w:rPr>
              <w:tab/>
            </w:r>
            <w:r w:rsidRPr="002D66DE">
              <w:rPr>
                <w:b/>
                <w:bCs/>
                <w:i/>
                <w:iCs/>
                <w:sz w:val="20"/>
                <w:szCs w:val="20"/>
              </w:rPr>
              <w:t>c)</w:t>
            </w:r>
            <w:r w:rsidRPr="002D66DE">
              <w:rPr>
                <w:b/>
                <w:bCs/>
                <w:sz w:val="20"/>
                <w:szCs w:val="20"/>
              </w:rPr>
              <w:tab/>
              <w:t>au moins une forme de service de télécommunication qui soit assez facilement accessible au public, y compris aux personnes qui peuvent ne pas être abonnées à un service de télécommunication particulier; et</w:t>
            </w:r>
          </w:p>
        </w:tc>
        <w:tc>
          <w:tcPr>
            <w:tcW w:w="3378" w:type="dxa"/>
          </w:tcPr>
          <w:p w14:paraId="3C3791BF" w14:textId="205622A9" w:rsidR="00F476A1" w:rsidRPr="002D66DE" w:rsidRDefault="00F476A1" w:rsidP="00C55BDB">
            <w:pPr>
              <w:pStyle w:val="Tabletext"/>
              <w:rPr>
                <w:sz w:val="20"/>
                <w:szCs w:val="20"/>
              </w:rPr>
            </w:pPr>
            <w:r w:rsidRPr="002D66DE">
              <w:rPr>
                <w:sz w:val="20"/>
                <w:szCs w:val="20"/>
              </w:rPr>
              <w:t>4.3</w:t>
            </w:r>
            <w:r w:rsidRPr="002D66DE">
              <w:rPr>
                <w:sz w:val="20"/>
                <w:szCs w:val="20"/>
              </w:rPr>
              <w:tab/>
            </w:r>
            <w:r w:rsidRPr="002D66DE">
              <w:rPr>
                <w:i/>
                <w:iCs/>
                <w:sz w:val="20"/>
                <w:szCs w:val="20"/>
              </w:rPr>
              <w:t>c)</w:t>
            </w:r>
            <w:r w:rsidRPr="002D66DE">
              <w:rPr>
                <w:sz w:val="20"/>
                <w:szCs w:val="20"/>
              </w:rPr>
              <w:tab/>
              <w:t>au moins une forme de télécommunication qui soit assez facilement accessible au public, y compris aux personnes qui peuvent ne pas être abonnées à un service de télécommunication particulier; et</w:t>
            </w:r>
          </w:p>
        </w:tc>
        <w:tc>
          <w:tcPr>
            <w:tcW w:w="2951" w:type="dxa"/>
          </w:tcPr>
          <w:p w14:paraId="53D4F450" w14:textId="47ECE2B9" w:rsidR="001F61FF" w:rsidRPr="002D66DE" w:rsidRDefault="001F61FF" w:rsidP="00C55BDB">
            <w:pPr>
              <w:pStyle w:val="Tabletext"/>
              <w:rPr>
                <w:rFonts w:cstheme="minorHAnsi"/>
                <w:sz w:val="20"/>
                <w:szCs w:val="20"/>
              </w:rPr>
            </w:pPr>
            <w:bookmarkStart w:id="172" w:name="lt_pId633"/>
            <w:r w:rsidRPr="002D66DE">
              <w:rPr>
                <w:sz w:val="20"/>
              </w:rPr>
              <w:t>Certains membres ont estimé que l</w:t>
            </w:r>
            <w:r w:rsidR="009F4D21" w:rsidRPr="002D66DE">
              <w:rPr>
                <w:sz w:val="20"/>
              </w:rPr>
              <w:t>'</w:t>
            </w:r>
            <w:r w:rsidRPr="002D66DE">
              <w:rPr>
                <w:sz w:val="20"/>
              </w:rPr>
              <w:t xml:space="preserve">expression </w:t>
            </w:r>
            <w:r w:rsidR="00AC7710" w:rsidRPr="002D66DE">
              <w:rPr>
                <w:sz w:val="20"/>
              </w:rPr>
              <w:t>"</w:t>
            </w:r>
            <w:r w:rsidRPr="002D66DE">
              <w:rPr>
                <w:sz w:val="20"/>
              </w:rPr>
              <w:t>Les États Membres s'efforcent de veiller</w:t>
            </w:r>
            <w:r w:rsidR="00C55BDB" w:rsidRPr="002D66DE">
              <w:rPr>
                <w:sz w:val="20"/>
              </w:rPr>
              <w:t>"</w:t>
            </w:r>
            <w:r w:rsidRPr="002D66DE">
              <w:rPr>
                <w:b/>
                <w:bCs/>
                <w:sz w:val="20"/>
              </w:rPr>
              <w:t xml:space="preserve"> </w:t>
            </w:r>
            <w:r w:rsidRPr="002D66DE">
              <w:rPr>
                <w:sz w:val="20"/>
              </w:rPr>
              <w:t>est inapplicable,</w:t>
            </w:r>
            <w:r w:rsidR="004C7683" w:rsidRPr="002D66DE">
              <w:rPr>
                <w:sz w:val="20"/>
              </w:rPr>
              <w:t xml:space="preserve"> </w:t>
            </w:r>
            <w:r w:rsidR="007E2FFC" w:rsidRPr="002D66DE">
              <w:rPr>
                <w:sz w:val="20"/>
              </w:rPr>
              <w:t>et ont</w:t>
            </w:r>
            <w:r w:rsidRPr="002D66DE">
              <w:rPr>
                <w:sz w:val="20"/>
              </w:rPr>
              <w:t xml:space="preserve"> rappel</w:t>
            </w:r>
            <w:r w:rsidR="007E2FFC" w:rsidRPr="002D66DE">
              <w:rPr>
                <w:sz w:val="20"/>
              </w:rPr>
              <w:t>é</w:t>
            </w:r>
            <w:r w:rsidRPr="002D66DE">
              <w:rPr>
                <w:sz w:val="20"/>
              </w:rPr>
              <w:t xml:space="preserve"> que</w:t>
            </w:r>
            <w:r w:rsidR="007A22BA" w:rsidRPr="002D66DE">
              <w:rPr>
                <w:sz w:val="20"/>
              </w:rPr>
              <w:t xml:space="preserve"> </w:t>
            </w:r>
            <w:r w:rsidRPr="002D66DE">
              <w:rPr>
                <w:sz w:val="20"/>
              </w:rPr>
              <w:t xml:space="preserve">la concurrence sur le marché est </w:t>
            </w:r>
            <w:r w:rsidR="007A22BA" w:rsidRPr="002D66DE">
              <w:rPr>
                <w:sz w:val="20"/>
              </w:rPr>
              <w:t xml:space="preserve">souvent </w:t>
            </w:r>
            <w:r w:rsidRPr="002D66DE">
              <w:rPr>
                <w:sz w:val="20"/>
              </w:rPr>
              <w:t>le moyen le plus efficace de garantir à la fois l</w:t>
            </w:r>
            <w:r w:rsidR="009F4D21" w:rsidRPr="002D66DE">
              <w:rPr>
                <w:sz w:val="20"/>
              </w:rPr>
              <w:t>'</w:t>
            </w:r>
            <w:r w:rsidRPr="002D66DE">
              <w:rPr>
                <w:sz w:val="20"/>
              </w:rPr>
              <w:t>accès au service et une qualité de service satisfaisante</w:t>
            </w:r>
            <w:r w:rsidR="00F476A1" w:rsidRPr="002D66DE">
              <w:rPr>
                <w:rFonts w:cstheme="minorHAnsi"/>
                <w:sz w:val="20"/>
                <w:szCs w:val="20"/>
              </w:rPr>
              <w:t>.</w:t>
            </w:r>
            <w:bookmarkEnd w:id="172"/>
          </w:p>
          <w:p w14:paraId="2E9ED4A3" w14:textId="41E13335" w:rsidR="00F476A1" w:rsidRPr="002D66DE" w:rsidRDefault="001F61FF" w:rsidP="00C55BDB">
            <w:pPr>
              <w:pStyle w:val="Tabletext"/>
              <w:rPr>
                <w:sz w:val="20"/>
                <w:szCs w:val="20"/>
              </w:rPr>
            </w:pPr>
            <w:r w:rsidRPr="002D66DE">
              <w:rPr>
                <w:sz w:val="20"/>
                <w:szCs w:val="20"/>
              </w:rPr>
              <w:t>De l</w:t>
            </w:r>
            <w:r w:rsidR="009F4D21" w:rsidRPr="002D66DE">
              <w:rPr>
                <w:sz w:val="20"/>
                <w:szCs w:val="20"/>
              </w:rPr>
              <w:t>'</w:t>
            </w:r>
            <w:r w:rsidRPr="002D66DE">
              <w:rPr>
                <w:sz w:val="20"/>
                <w:szCs w:val="20"/>
              </w:rPr>
              <w:t>avis de certains</w:t>
            </w:r>
            <w:r w:rsidR="007A22BA" w:rsidRPr="002D66DE">
              <w:rPr>
                <w:sz w:val="20"/>
                <w:szCs w:val="20"/>
              </w:rPr>
              <w:t xml:space="preserve"> membres</w:t>
            </w:r>
            <w:r w:rsidRPr="002D66DE">
              <w:rPr>
                <w:sz w:val="20"/>
                <w:szCs w:val="20"/>
              </w:rPr>
              <w:t xml:space="preserve">, </w:t>
            </w:r>
            <w:r w:rsidR="007A22BA" w:rsidRPr="002D66DE">
              <w:rPr>
                <w:sz w:val="20"/>
                <w:szCs w:val="20"/>
              </w:rPr>
              <w:t>l</w:t>
            </w:r>
            <w:r w:rsidR="009F4D21" w:rsidRPr="002D66DE">
              <w:rPr>
                <w:sz w:val="20"/>
                <w:szCs w:val="20"/>
              </w:rPr>
              <w:t>'</w:t>
            </w:r>
            <w:r w:rsidR="007A22BA" w:rsidRPr="002D66DE">
              <w:rPr>
                <w:sz w:val="20"/>
                <w:szCs w:val="20"/>
              </w:rPr>
              <w:t>expression</w:t>
            </w:r>
            <w:r w:rsidR="00F476A1" w:rsidRPr="002D66DE">
              <w:rPr>
                <w:sz w:val="20"/>
                <w:szCs w:val="20"/>
              </w:rPr>
              <w:t xml:space="preserve"> "assez facilement" ne renvoie pas à quelque chose de mesurable et peut donc être à l'origine d'une certaine confusion et avoir des effets négatifs sur l'applicabilité.</w:t>
            </w:r>
          </w:p>
          <w:p w14:paraId="3ADF19A3" w14:textId="13549C15" w:rsidR="00A823AE" w:rsidRPr="002D66DE" w:rsidRDefault="001F61FF" w:rsidP="00C55BDB">
            <w:pPr>
              <w:pStyle w:val="Tabletext"/>
              <w:rPr>
                <w:sz w:val="20"/>
                <w:szCs w:val="20"/>
              </w:rPr>
            </w:pPr>
            <w:bookmarkStart w:id="173" w:name="lt_pId635"/>
            <w:r w:rsidRPr="002D66DE">
              <w:rPr>
                <w:sz w:val="20"/>
              </w:rPr>
              <w:t>De l</w:t>
            </w:r>
            <w:r w:rsidR="009F4D21" w:rsidRPr="002D66DE">
              <w:rPr>
                <w:sz w:val="20"/>
              </w:rPr>
              <w:t>'</w:t>
            </w:r>
            <w:r w:rsidRPr="002D66DE">
              <w:rPr>
                <w:sz w:val="20"/>
              </w:rPr>
              <w:t xml:space="preserve">avis de certains membres, cette disposition </w:t>
            </w:r>
            <w:r w:rsidR="007A22BA" w:rsidRPr="002D66DE">
              <w:rPr>
                <w:sz w:val="20"/>
              </w:rPr>
              <w:t>encourage</w:t>
            </w:r>
            <w:r w:rsidRPr="002D66DE">
              <w:rPr>
                <w:sz w:val="20"/>
              </w:rPr>
              <w:t xml:space="preserve"> et soutient le développement des réseaux et des services</w:t>
            </w:r>
            <w:r w:rsidR="007A22BA" w:rsidRPr="002D66DE">
              <w:rPr>
                <w:sz w:val="20"/>
              </w:rPr>
              <w:t>,</w:t>
            </w:r>
            <w:r w:rsidRPr="002D66DE">
              <w:rPr>
                <w:sz w:val="20"/>
              </w:rPr>
              <w:t xml:space="preserve"> et est applicable</w:t>
            </w:r>
            <w:bookmarkEnd w:id="173"/>
            <w:r w:rsidRPr="002D66DE">
              <w:rPr>
                <w:sz w:val="20"/>
              </w:rPr>
              <w:t>.</w:t>
            </w:r>
          </w:p>
        </w:tc>
        <w:tc>
          <w:tcPr>
            <w:tcW w:w="2577" w:type="dxa"/>
          </w:tcPr>
          <w:p w14:paraId="234C3CE4" w14:textId="5066BE6B" w:rsidR="0081114A" w:rsidRPr="002D66DE" w:rsidRDefault="0081114A" w:rsidP="00C55BDB">
            <w:pPr>
              <w:pStyle w:val="Tabletext"/>
              <w:rPr>
                <w:sz w:val="20"/>
              </w:rPr>
            </w:pPr>
            <w:r w:rsidRPr="002D66DE">
              <w:rPr>
                <w:sz w:val="20"/>
              </w:rPr>
              <w:t>Certains membres ont estimé que les mesures prises au titre de cette disposition pour assurer certains niveaux de qualité de service pourraient freiner l</w:t>
            </w:r>
            <w:r w:rsidR="009F4D21" w:rsidRPr="002D66DE">
              <w:rPr>
                <w:sz w:val="20"/>
              </w:rPr>
              <w:t>'</w:t>
            </w:r>
            <w:r w:rsidRPr="002D66DE">
              <w:rPr>
                <w:sz w:val="20"/>
              </w:rPr>
              <w:t>innovation, étant donné que les attentes en matière de qualité de service seront différentes selon la technologie.</w:t>
            </w:r>
          </w:p>
          <w:p w14:paraId="1BE76679" w14:textId="7031580A" w:rsidR="00F476A1" w:rsidRPr="002D66DE" w:rsidRDefault="0081114A" w:rsidP="00C55BDB">
            <w:pPr>
              <w:pStyle w:val="Tabletext"/>
              <w:rPr>
                <w:sz w:val="20"/>
                <w:szCs w:val="20"/>
              </w:rPr>
            </w:pPr>
            <w:bookmarkStart w:id="174" w:name="lt_pId637"/>
            <w:r w:rsidRPr="002D66DE">
              <w:rPr>
                <w:sz w:val="20"/>
              </w:rPr>
              <w:t>De l</w:t>
            </w:r>
            <w:r w:rsidR="009F4D21" w:rsidRPr="002D66DE">
              <w:rPr>
                <w:sz w:val="20"/>
              </w:rPr>
              <w:t>'</w:t>
            </w:r>
            <w:r w:rsidRPr="002D66DE">
              <w:rPr>
                <w:sz w:val="20"/>
              </w:rPr>
              <w:t>avis de certains membres, cette disposition offre la souplesse nécessair</w:t>
            </w:r>
            <w:bookmarkEnd w:id="174"/>
            <w:r w:rsidRPr="002D66DE">
              <w:rPr>
                <w:sz w:val="20"/>
              </w:rPr>
              <w:t>e.</w:t>
            </w:r>
          </w:p>
        </w:tc>
        <w:tc>
          <w:tcPr>
            <w:tcW w:w="2424" w:type="dxa"/>
          </w:tcPr>
          <w:p w14:paraId="381BB1C6" w14:textId="7E9E77B2"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593590AF" w14:textId="77F13CFA" w:rsidR="000636B9" w:rsidRPr="002D66DE" w:rsidRDefault="000636B9"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1752E4C9" w14:textId="2062DBE1" w:rsidR="00F476A1" w:rsidRPr="002D66DE" w:rsidRDefault="000636B9" w:rsidP="00C55BDB">
            <w:pPr>
              <w:pStyle w:val="Tabletext"/>
              <w:rPr>
                <w:sz w:val="20"/>
              </w:rPr>
            </w:pPr>
            <w:r w:rsidRPr="002D66DE">
              <w:rPr>
                <w:sz w:val="20"/>
                <w:szCs w:val="20"/>
              </w:rPr>
              <w:t>Certains autres membres ont fait valoir que cette disposition doit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Pr="002D66DE">
              <w:rPr>
                <w:sz w:val="20"/>
              </w:rPr>
              <w:t>.</w:t>
            </w:r>
          </w:p>
        </w:tc>
      </w:tr>
    </w:tbl>
    <w:p w14:paraId="1FCF7C63" w14:textId="75E3A21A"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59363B37" w14:textId="77777777" w:rsidTr="00423417">
        <w:tc>
          <w:tcPr>
            <w:tcW w:w="987" w:type="dxa"/>
          </w:tcPr>
          <w:p w14:paraId="6BA43731"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15E640F3"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3D565E5A"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356E85C0"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6C0DF588"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6E9159FD"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52BE9C9C" w14:textId="77777777" w:rsidTr="00AC7710">
        <w:tc>
          <w:tcPr>
            <w:tcW w:w="987" w:type="dxa"/>
          </w:tcPr>
          <w:p w14:paraId="7396840E" w14:textId="52231A94" w:rsidR="00F476A1" w:rsidRPr="002D66DE" w:rsidRDefault="00F476A1" w:rsidP="00C55BDB">
            <w:pPr>
              <w:pStyle w:val="Tablehead"/>
              <w:rPr>
                <w:sz w:val="20"/>
                <w:szCs w:val="20"/>
              </w:rPr>
            </w:pPr>
            <w:r w:rsidRPr="002D66DE">
              <w:rPr>
                <w:sz w:val="20"/>
                <w:szCs w:val="20"/>
              </w:rPr>
              <w:t>40</w:t>
            </w:r>
          </w:p>
        </w:tc>
        <w:tc>
          <w:tcPr>
            <w:tcW w:w="2860" w:type="dxa"/>
          </w:tcPr>
          <w:p w14:paraId="7055086A" w14:textId="370E3B22" w:rsidR="00F476A1" w:rsidRPr="002D66DE" w:rsidRDefault="00F476A1" w:rsidP="00C55BDB">
            <w:pPr>
              <w:pStyle w:val="Tabletext"/>
              <w:rPr>
                <w:b/>
                <w:bCs/>
                <w:sz w:val="20"/>
                <w:szCs w:val="20"/>
              </w:rPr>
            </w:pPr>
            <w:r w:rsidRPr="002D66DE">
              <w:rPr>
                <w:b/>
                <w:bCs/>
                <w:sz w:val="20"/>
                <w:szCs w:val="20"/>
              </w:rPr>
              <w:t>4.3</w:t>
            </w:r>
            <w:r w:rsidRPr="002D66DE">
              <w:rPr>
                <w:b/>
                <w:bCs/>
                <w:sz w:val="20"/>
                <w:szCs w:val="20"/>
              </w:rPr>
              <w:tab/>
            </w:r>
            <w:r w:rsidRPr="002D66DE">
              <w:rPr>
                <w:b/>
                <w:bCs/>
                <w:i/>
                <w:iCs/>
                <w:sz w:val="20"/>
                <w:szCs w:val="20"/>
              </w:rPr>
              <w:t>d)</w:t>
            </w:r>
            <w:r w:rsidRPr="002D66DE">
              <w:rPr>
                <w:b/>
                <w:bCs/>
                <w:sz w:val="20"/>
                <w:szCs w:val="20"/>
              </w:rPr>
              <w:tab/>
              <w:t>la possibilité d'interfonctionnement entre services différents, le cas échéant, pour faciliter les services internationaux de télécommunication.</w:t>
            </w:r>
          </w:p>
        </w:tc>
        <w:tc>
          <w:tcPr>
            <w:tcW w:w="3378" w:type="dxa"/>
          </w:tcPr>
          <w:p w14:paraId="0930CA1D" w14:textId="6CA512DD" w:rsidR="00F476A1" w:rsidRPr="002D66DE" w:rsidRDefault="00F476A1" w:rsidP="00C55BDB">
            <w:pPr>
              <w:pStyle w:val="Tabletext"/>
              <w:rPr>
                <w:sz w:val="20"/>
                <w:szCs w:val="20"/>
              </w:rPr>
            </w:pPr>
            <w:r w:rsidRPr="002D66DE">
              <w:rPr>
                <w:sz w:val="20"/>
                <w:szCs w:val="20"/>
              </w:rPr>
              <w:t>4.3</w:t>
            </w:r>
            <w:r w:rsidRPr="002D66DE">
              <w:rPr>
                <w:sz w:val="20"/>
                <w:szCs w:val="20"/>
              </w:rPr>
              <w:tab/>
            </w:r>
            <w:r w:rsidRPr="002D66DE">
              <w:rPr>
                <w:i/>
                <w:iCs/>
                <w:sz w:val="20"/>
                <w:szCs w:val="20"/>
              </w:rPr>
              <w:t>d)</w:t>
            </w:r>
            <w:r w:rsidRPr="002D66DE">
              <w:rPr>
                <w:sz w:val="20"/>
                <w:szCs w:val="20"/>
              </w:rPr>
              <w:tab/>
              <w:t>la possibilité d'interfonctionnement entre services différents, le cas échéant, pour faciliter les communications internationales.</w:t>
            </w:r>
          </w:p>
        </w:tc>
        <w:tc>
          <w:tcPr>
            <w:tcW w:w="2951" w:type="dxa"/>
          </w:tcPr>
          <w:p w14:paraId="0D70DD21" w14:textId="03599396" w:rsidR="00C93421" w:rsidRPr="002D66DE" w:rsidRDefault="00C93421" w:rsidP="00C55BDB">
            <w:pPr>
              <w:pStyle w:val="Tabletext"/>
              <w:rPr>
                <w:rFonts w:cstheme="minorHAnsi"/>
                <w:sz w:val="20"/>
                <w:szCs w:val="20"/>
              </w:rPr>
            </w:pPr>
            <w:bookmarkStart w:id="175" w:name="lt_pId643"/>
            <w:r w:rsidRPr="002D66DE">
              <w:rPr>
                <w:sz w:val="20"/>
              </w:rPr>
              <w:t>Certains membres ont estimé que l</w:t>
            </w:r>
            <w:r w:rsidR="009F4D21" w:rsidRPr="002D66DE">
              <w:rPr>
                <w:sz w:val="20"/>
              </w:rPr>
              <w:t>'</w:t>
            </w:r>
            <w:r w:rsidRPr="002D66DE">
              <w:rPr>
                <w:sz w:val="20"/>
              </w:rPr>
              <w:t xml:space="preserve">expression </w:t>
            </w:r>
            <w:r w:rsidR="00C2314E" w:rsidRPr="002D66DE">
              <w:rPr>
                <w:sz w:val="20"/>
                <w:szCs w:val="20"/>
              </w:rPr>
              <w:t>"</w:t>
            </w:r>
            <w:r w:rsidRPr="002D66DE">
              <w:rPr>
                <w:sz w:val="20"/>
              </w:rPr>
              <w:t>Les États Membres s'efforcent de veiller</w:t>
            </w:r>
            <w:r w:rsidR="00C2314E" w:rsidRPr="002D66DE">
              <w:rPr>
                <w:sz w:val="20"/>
                <w:szCs w:val="20"/>
              </w:rPr>
              <w:t xml:space="preserve">" </w:t>
            </w:r>
            <w:r w:rsidRPr="002D66DE">
              <w:rPr>
                <w:sz w:val="20"/>
              </w:rPr>
              <w:t>est inapplicable,</w:t>
            </w:r>
            <w:r w:rsidR="004C7683" w:rsidRPr="002D66DE">
              <w:rPr>
                <w:sz w:val="20"/>
              </w:rPr>
              <w:t xml:space="preserve"> </w:t>
            </w:r>
            <w:r w:rsidR="007E2FFC" w:rsidRPr="002D66DE">
              <w:rPr>
                <w:sz w:val="20"/>
              </w:rPr>
              <w:t>et ont</w:t>
            </w:r>
            <w:r w:rsidRPr="002D66DE">
              <w:rPr>
                <w:sz w:val="20"/>
              </w:rPr>
              <w:t xml:space="preserve"> rappel</w:t>
            </w:r>
            <w:r w:rsidR="007E2FFC" w:rsidRPr="002D66DE">
              <w:rPr>
                <w:sz w:val="20"/>
              </w:rPr>
              <w:t>é</w:t>
            </w:r>
            <w:r w:rsidRPr="002D66DE">
              <w:rPr>
                <w:sz w:val="20"/>
              </w:rPr>
              <w:t xml:space="preserve"> qu</w:t>
            </w:r>
            <w:r w:rsidR="007A22BA" w:rsidRPr="002D66DE">
              <w:rPr>
                <w:sz w:val="20"/>
              </w:rPr>
              <w:t>e l</w:t>
            </w:r>
            <w:r w:rsidRPr="002D66DE">
              <w:rPr>
                <w:sz w:val="20"/>
              </w:rPr>
              <w:t>a concurrence sur le marché est</w:t>
            </w:r>
            <w:r w:rsidR="007A22BA" w:rsidRPr="002D66DE">
              <w:rPr>
                <w:sz w:val="20"/>
              </w:rPr>
              <w:t xml:space="preserve"> souvent</w:t>
            </w:r>
            <w:r w:rsidRPr="002D66DE">
              <w:rPr>
                <w:sz w:val="20"/>
              </w:rPr>
              <w:t xml:space="preserve"> le moyen le plus efficace de garantir à la fois l</w:t>
            </w:r>
            <w:r w:rsidR="009F4D21" w:rsidRPr="002D66DE">
              <w:rPr>
                <w:sz w:val="20"/>
              </w:rPr>
              <w:t>'</w:t>
            </w:r>
            <w:r w:rsidRPr="002D66DE">
              <w:rPr>
                <w:sz w:val="20"/>
              </w:rPr>
              <w:t>accès au service et une qualité de service satisfaisante</w:t>
            </w:r>
            <w:r w:rsidRPr="002D66DE">
              <w:rPr>
                <w:rFonts w:cstheme="minorHAnsi"/>
                <w:sz w:val="20"/>
                <w:szCs w:val="20"/>
              </w:rPr>
              <w:t>.</w:t>
            </w:r>
            <w:bookmarkEnd w:id="175"/>
          </w:p>
          <w:p w14:paraId="2FC67AE6" w14:textId="3059BF35" w:rsidR="00F476A1" w:rsidRPr="002D66DE" w:rsidRDefault="00C93421" w:rsidP="00C55BDB">
            <w:pPr>
              <w:pStyle w:val="Tabletext"/>
              <w:rPr>
                <w:sz w:val="20"/>
                <w:szCs w:val="20"/>
              </w:rPr>
            </w:pPr>
            <w:r w:rsidRPr="002D66DE">
              <w:rPr>
                <w:sz w:val="20"/>
              </w:rPr>
              <w:t>De l</w:t>
            </w:r>
            <w:r w:rsidR="009F4D21" w:rsidRPr="002D66DE">
              <w:rPr>
                <w:sz w:val="20"/>
              </w:rPr>
              <w:t>'</w:t>
            </w:r>
            <w:r w:rsidRPr="002D66DE">
              <w:rPr>
                <w:sz w:val="20"/>
              </w:rPr>
              <w:t xml:space="preserve">avis de certains membres, cette disposition </w:t>
            </w:r>
            <w:r w:rsidR="00C2314E" w:rsidRPr="002D66DE">
              <w:rPr>
                <w:sz w:val="20"/>
              </w:rPr>
              <w:t>encourage</w:t>
            </w:r>
            <w:r w:rsidRPr="002D66DE">
              <w:rPr>
                <w:sz w:val="20"/>
              </w:rPr>
              <w:t xml:space="preserve"> et soutient le développement des réseaux et des services</w:t>
            </w:r>
            <w:r w:rsidR="00C2314E" w:rsidRPr="002D66DE">
              <w:rPr>
                <w:sz w:val="20"/>
              </w:rPr>
              <w:t>,</w:t>
            </w:r>
            <w:r w:rsidRPr="002D66DE">
              <w:rPr>
                <w:sz w:val="20"/>
              </w:rPr>
              <w:t xml:space="preserve"> et est applicable.</w:t>
            </w:r>
          </w:p>
        </w:tc>
        <w:tc>
          <w:tcPr>
            <w:tcW w:w="2577" w:type="dxa"/>
          </w:tcPr>
          <w:p w14:paraId="00D3F29B" w14:textId="5F7EEF16" w:rsidR="00C2314E" w:rsidRPr="002D66DE" w:rsidRDefault="00C93421" w:rsidP="00C55BDB">
            <w:pPr>
              <w:pStyle w:val="Tabletext"/>
              <w:rPr>
                <w:sz w:val="20"/>
              </w:rPr>
            </w:pPr>
            <w:r w:rsidRPr="002D66DE">
              <w:rPr>
                <w:sz w:val="20"/>
              </w:rPr>
              <w:t>Certains membres ont estimé que les mesures prises au titre de cette disposition pour assurer certains niveaux de qualité de service pourraient freiner l</w:t>
            </w:r>
            <w:r w:rsidR="009F4D21" w:rsidRPr="002D66DE">
              <w:rPr>
                <w:sz w:val="20"/>
              </w:rPr>
              <w:t>'</w:t>
            </w:r>
            <w:r w:rsidRPr="002D66DE">
              <w:rPr>
                <w:sz w:val="20"/>
              </w:rPr>
              <w:t>innovation, étant donné que les attentes en matière de qualité de service seront différentes selon la technologie.</w:t>
            </w:r>
          </w:p>
          <w:p w14:paraId="6C65A484" w14:textId="7B514112" w:rsidR="00C2314E" w:rsidRPr="002D66DE" w:rsidRDefault="00C2314E" w:rsidP="00C55BDB">
            <w:pPr>
              <w:pStyle w:val="Tabletext"/>
              <w:rPr>
                <w:sz w:val="20"/>
                <w:szCs w:val="20"/>
              </w:rPr>
            </w:pPr>
            <w:r w:rsidRPr="002D66DE">
              <w:rPr>
                <w:sz w:val="20"/>
              </w:rPr>
              <w:t>De l</w:t>
            </w:r>
            <w:r w:rsidR="009F4D21" w:rsidRPr="002D66DE">
              <w:rPr>
                <w:sz w:val="20"/>
              </w:rPr>
              <w:t>'</w:t>
            </w:r>
            <w:r w:rsidRPr="002D66DE">
              <w:rPr>
                <w:sz w:val="20"/>
              </w:rPr>
              <w:t>avis de certains membres, cette disposition offre la souplesse nécessaire.</w:t>
            </w:r>
          </w:p>
        </w:tc>
        <w:tc>
          <w:tcPr>
            <w:tcW w:w="2424" w:type="dxa"/>
          </w:tcPr>
          <w:p w14:paraId="51823568" w14:textId="1AAEED1A"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1265496D" w14:textId="43CABAEA" w:rsidR="00F476A1"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53716CE3" w14:textId="416B1E0D" w:rsidR="00423417" w:rsidRPr="002D66DE" w:rsidRDefault="00423417"/>
    <w:p w14:paraId="456CAD8B" w14:textId="754A78A5"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5A0A0172" w14:textId="77777777" w:rsidTr="00423417">
        <w:tc>
          <w:tcPr>
            <w:tcW w:w="987" w:type="dxa"/>
          </w:tcPr>
          <w:p w14:paraId="2C843AFB"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67D76847"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4DC8555E"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197FCE5E"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571CB01B"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029CF259"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71BDA45B" w14:textId="77777777" w:rsidTr="00AC7710">
        <w:tc>
          <w:tcPr>
            <w:tcW w:w="987" w:type="dxa"/>
          </w:tcPr>
          <w:p w14:paraId="758AE77B" w14:textId="04BAF52C" w:rsidR="00F476A1" w:rsidRPr="002D66DE" w:rsidRDefault="00F476A1" w:rsidP="00C55BDB">
            <w:pPr>
              <w:pStyle w:val="Tablehead"/>
              <w:rPr>
                <w:sz w:val="20"/>
                <w:szCs w:val="20"/>
              </w:rPr>
            </w:pPr>
            <w:r w:rsidRPr="002D66DE">
              <w:rPr>
                <w:sz w:val="20"/>
                <w:szCs w:val="20"/>
              </w:rPr>
              <w:t>41</w:t>
            </w:r>
          </w:p>
        </w:tc>
        <w:tc>
          <w:tcPr>
            <w:tcW w:w="2860" w:type="dxa"/>
          </w:tcPr>
          <w:p w14:paraId="6CDF5F94" w14:textId="09809898" w:rsidR="00F476A1" w:rsidRPr="002D66DE" w:rsidRDefault="00F476A1" w:rsidP="00C55BDB">
            <w:pPr>
              <w:pStyle w:val="Tabletext"/>
              <w:rPr>
                <w:b/>
                <w:bCs/>
                <w:sz w:val="20"/>
                <w:szCs w:val="20"/>
              </w:rPr>
            </w:pPr>
            <w:r w:rsidRPr="002D66DE">
              <w:rPr>
                <w:b/>
                <w:bCs/>
                <w:sz w:val="20"/>
                <w:szCs w:val="20"/>
              </w:rPr>
              <w:t>4.4</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encouragent l'adoption de mesures visant à faire en sorte que les exploitations autorisées fournissent gratuitement et en toute transparence aux utilisateurs finals des informations exactes et à jour sur les services internationaux de télécommunication, y compris sur les prix de l'itinérance internationale et sur les conditions pertinentes associées, et ce dans les meilleurs délais.</w:t>
            </w:r>
          </w:p>
        </w:tc>
        <w:tc>
          <w:tcPr>
            <w:tcW w:w="3378" w:type="dxa"/>
          </w:tcPr>
          <w:p w14:paraId="5062A162" w14:textId="3DA0F8B3" w:rsidR="00FC7F04" w:rsidRPr="002D66DE" w:rsidRDefault="00FC7F04" w:rsidP="00C55BDB">
            <w:pPr>
              <w:pStyle w:val="Tabletext"/>
              <w:rPr>
                <w:sz w:val="20"/>
                <w:szCs w:val="20"/>
              </w:rPr>
            </w:pPr>
          </w:p>
        </w:tc>
        <w:tc>
          <w:tcPr>
            <w:tcW w:w="2951" w:type="dxa"/>
          </w:tcPr>
          <w:p w14:paraId="5EC91F05" w14:textId="4CE64656" w:rsidR="00C2314E" w:rsidRPr="002D66DE" w:rsidRDefault="00E24E9F" w:rsidP="00C55BDB">
            <w:pPr>
              <w:pStyle w:val="Tabletext"/>
              <w:rPr>
                <w:sz w:val="20"/>
              </w:rPr>
            </w:pPr>
            <w:r w:rsidRPr="002D66DE">
              <w:rPr>
                <w:sz w:val="20"/>
              </w:rPr>
              <w:t>De l</w:t>
            </w:r>
            <w:r w:rsidR="009F4D21" w:rsidRPr="002D66DE">
              <w:rPr>
                <w:sz w:val="20"/>
              </w:rPr>
              <w:t>'</w:t>
            </w:r>
            <w:r w:rsidRPr="002D66DE">
              <w:rPr>
                <w:sz w:val="20"/>
              </w:rPr>
              <w:t xml:space="preserve">avis de certains membres, cette disposition est inapplicable parce que les principaux acteurs sont les exploitations autorisées/fournisseurs de services et non pas les </w:t>
            </w:r>
            <w:r w:rsidR="00680D65" w:rsidRPr="002D66DE">
              <w:rPr>
                <w:sz w:val="20"/>
              </w:rPr>
              <w:t>États</w:t>
            </w:r>
            <w:r w:rsidRPr="002D66DE">
              <w:rPr>
                <w:sz w:val="20"/>
              </w:rPr>
              <w:t xml:space="preserve"> Membres, et que la façon dont les États Membres favoriseront l'adoption de ces principes entre leurs exploitations autorisées n'est pas définie. </w:t>
            </w:r>
          </w:p>
          <w:p w14:paraId="72D606BD" w14:textId="1A81CFCC" w:rsidR="00F476A1" w:rsidRPr="002D66DE" w:rsidRDefault="00E24E9F" w:rsidP="00C55BDB">
            <w:pPr>
              <w:pStyle w:val="Tabletext"/>
              <w:rPr>
                <w:sz w:val="20"/>
                <w:szCs w:val="20"/>
              </w:rPr>
            </w:pPr>
            <w:bookmarkStart w:id="176" w:name="lt_pId652"/>
            <w:r w:rsidRPr="002D66DE">
              <w:rPr>
                <w:sz w:val="20"/>
              </w:rPr>
              <w:t>De l</w:t>
            </w:r>
            <w:r w:rsidR="009F4D21" w:rsidRPr="002D66DE">
              <w:rPr>
                <w:sz w:val="20"/>
              </w:rPr>
              <w:t>'</w:t>
            </w:r>
            <w:r w:rsidRPr="002D66DE">
              <w:rPr>
                <w:sz w:val="20"/>
              </w:rPr>
              <w:t>avis de certains membres, cette disposition favorise et soutient le développement des réseaux et des services</w:t>
            </w:r>
            <w:r w:rsidR="00C2314E" w:rsidRPr="002D66DE">
              <w:rPr>
                <w:sz w:val="20"/>
              </w:rPr>
              <w:t>,</w:t>
            </w:r>
            <w:r w:rsidRPr="002D66DE">
              <w:rPr>
                <w:sz w:val="20"/>
              </w:rPr>
              <w:t xml:space="preserve"> et est applicable</w:t>
            </w:r>
            <w:r w:rsidR="00F476A1" w:rsidRPr="002D66DE">
              <w:rPr>
                <w:rFonts w:eastAsia="Calibri"/>
                <w:sz w:val="20"/>
              </w:rPr>
              <w:t>.</w:t>
            </w:r>
            <w:bookmarkEnd w:id="176"/>
            <w:r w:rsidR="00F476A1" w:rsidRPr="002D66DE">
              <w:rPr>
                <w:rFonts w:eastAsia="Calibri"/>
                <w:sz w:val="20"/>
              </w:rPr>
              <w:t xml:space="preserve"> </w:t>
            </w:r>
            <w:bookmarkStart w:id="177" w:name="lt_pId653"/>
            <w:r w:rsidRPr="002D66DE">
              <w:rPr>
                <w:rFonts w:eastAsia="Calibri"/>
                <w:sz w:val="20"/>
              </w:rPr>
              <w:t>Elle encourage la transparence en ce qui concerne les frais d'itinérance facturés aux usagers</w:t>
            </w:r>
            <w:r w:rsidR="00253F21" w:rsidRPr="002D66DE">
              <w:rPr>
                <w:rFonts w:eastAsia="Calibri"/>
                <w:sz w:val="20"/>
              </w:rPr>
              <w:t>. Ces informations s</w:t>
            </w:r>
            <w:r w:rsidRPr="002D66DE">
              <w:rPr>
                <w:rFonts w:eastAsia="Calibri"/>
                <w:sz w:val="20"/>
              </w:rPr>
              <w:t>ont demandé</w:t>
            </w:r>
            <w:r w:rsidR="00EB72B7" w:rsidRPr="002D66DE">
              <w:rPr>
                <w:rFonts w:eastAsia="Calibri"/>
                <w:sz w:val="20"/>
              </w:rPr>
              <w:t>e</w:t>
            </w:r>
            <w:r w:rsidRPr="002D66DE">
              <w:rPr>
                <w:rFonts w:eastAsia="Calibri"/>
                <w:sz w:val="20"/>
              </w:rPr>
              <w:t>s afin d'éviter aux consommateurs des factures exorbitantes, en particulier lorsqu</w:t>
            </w:r>
            <w:r w:rsidR="00253F21" w:rsidRPr="002D66DE">
              <w:rPr>
                <w:rFonts w:eastAsia="Calibri"/>
                <w:sz w:val="20"/>
              </w:rPr>
              <w:t>e ces derniers</w:t>
            </w:r>
            <w:r w:rsidRPr="002D66DE">
              <w:rPr>
                <w:rFonts w:eastAsia="Calibri"/>
                <w:sz w:val="20"/>
              </w:rPr>
              <w:t xml:space="preserve"> sont en situation d'itinérance ou utilisent des services internationaux de télécommunication dans un autre pays</w:t>
            </w:r>
            <w:r w:rsidR="00F476A1" w:rsidRPr="002D66DE">
              <w:rPr>
                <w:rFonts w:eastAsia="Calibri"/>
                <w:sz w:val="20"/>
              </w:rPr>
              <w:t>.</w:t>
            </w:r>
            <w:bookmarkEnd w:id="177"/>
          </w:p>
        </w:tc>
        <w:tc>
          <w:tcPr>
            <w:tcW w:w="2577" w:type="dxa"/>
          </w:tcPr>
          <w:p w14:paraId="0286419D" w14:textId="35E099B6" w:rsidR="00F476A1" w:rsidRPr="002D66DE" w:rsidRDefault="00680D65" w:rsidP="00C55BDB">
            <w:pPr>
              <w:pStyle w:val="Tabletext"/>
              <w:rPr>
                <w:sz w:val="20"/>
              </w:rPr>
            </w:pPr>
            <w:bookmarkStart w:id="178" w:name="lt_pId654"/>
            <w:r w:rsidRPr="002D66DE">
              <w:rPr>
                <w:sz w:val="20"/>
              </w:rPr>
              <w:t xml:space="preserve">Certains membres ont estimé que dans l'environnement moderne des télécommunications, les États Membres ne sont pas les </w:t>
            </w:r>
            <w:r w:rsidR="00253F21" w:rsidRPr="002D66DE">
              <w:rPr>
                <w:sz w:val="20"/>
              </w:rPr>
              <w:t xml:space="preserve">principaux </w:t>
            </w:r>
            <w:r w:rsidRPr="002D66DE">
              <w:rPr>
                <w:sz w:val="20"/>
              </w:rPr>
              <w:t>acteurs</w:t>
            </w:r>
            <w:r w:rsidR="00253F21" w:rsidRPr="002D66DE">
              <w:rPr>
                <w:sz w:val="20"/>
              </w:rPr>
              <w:t xml:space="preserve">, </w:t>
            </w:r>
            <w:r w:rsidRPr="002D66DE">
              <w:rPr>
                <w:sz w:val="20"/>
              </w:rPr>
              <w:t xml:space="preserve">et </w:t>
            </w:r>
            <w:r w:rsidR="00253F21" w:rsidRPr="002D66DE">
              <w:rPr>
                <w:sz w:val="20"/>
              </w:rPr>
              <w:t xml:space="preserve">que </w:t>
            </w:r>
            <w:r w:rsidRPr="002D66DE">
              <w:rPr>
                <w:sz w:val="20"/>
              </w:rPr>
              <w:t>les mesures prises par les États Membres au titre de cette disposition pourraient se révéler contre</w:t>
            </w:r>
            <w:r w:rsidR="004C7683" w:rsidRPr="002D66DE">
              <w:rPr>
                <w:sz w:val="20"/>
              </w:rPr>
              <w:noBreakHyphen/>
            </w:r>
            <w:r w:rsidRPr="002D66DE">
              <w:rPr>
                <w:sz w:val="20"/>
              </w:rPr>
              <w:t>productives</w:t>
            </w:r>
            <w:bookmarkEnd w:id="178"/>
            <w:r w:rsidRPr="002D66DE">
              <w:rPr>
                <w:sz w:val="20"/>
              </w:rPr>
              <w:t>.</w:t>
            </w:r>
          </w:p>
          <w:p w14:paraId="17CD6E35" w14:textId="1823BECF" w:rsidR="00F476A1" w:rsidRPr="002D66DE" w:rsidRDefault="00680D65" w:rsidP="00C55BDB">
            <w:pPr>
              <w:pStyle w:val="Tabletext"/>
              <w:rPr>
                <w:sz w:val="20"/>
                <w:szCs w:val="20"/>
              </w:rPr>
            </w:pPr>
            <w:bookmarkStart w:id="179" w:name="lt_pId655"/>
            <w:r w:rsidRPr="002D66DE">
              <w:rPr>
                <w:sz w:val="20"/>
              </w:rPr>
              <w:t>De l</w:t>
            </w:r>
            <w:r w:rsidR="009F4D21" w:rsidRPr="002D66DE">
              <w:rPr>
                <w:sz w:val="20"/>
              </w:rPr>
              <w:t>'</w:t>
            </w:r>
            <w:r w:rsidRPr="002D66DE">
              <w:rPr>
                <w:sz w:val="20"/>
              </w:rPr>
              <w:t>avis de certains membres, cette disposition est souple et permet la règlementation des technologies émergentes en mode itinérance</w:t>
            </w:r>
            <w:bookmarkEnd w:id="179"/>
            <w:r w:rsidR="00F476A1" w:rsidRPr="002D66DE">
              <w:rPr>
                <w:sz w:val="20"/>
              </w:rPr>
              <w:t>.</w:t>
            </w:r>
          </w:p>
        </w:tc>
        <w:tc>
          <w:tcPr>
            <w:tcW w:w="2424" w:type="dxa"/>
          </w:tcPr>
          <w:p w14:paraId="554F2339" w14:textId="61B6BD48"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3F09B04F" w14:textId="3A886EDD" w:rsidR="00F476A1"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tc>
      </w:tr>
    </w:tbl>
    <w:p w14:paraId="33E8903B" w14:textId="15144050"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6C2D4C42" w14:textId="77777777" w:rsidTr="00423417">
        <w:tc>
          <w:tcPr>
            <w:tcW w:w="987" w:type="dxa"/>
          </w:tcPr>
          <w:p w14:paraId="5C45FC7A"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03F3C1F2"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39640A6D"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4DF0C333"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287D5FEF"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6CD61695"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4E8EA4B6" w14:textId="77777777" w:rsidTr="00AC7710">
        <w:trPr>
          <w:trHeight w:val="710"/>
        </w:trPr>
        <w:tc>
          <w:tcPr>
            <w:tcW w:w="987" w:type="dxa"/>
          </w:tcPr>
          <w:p w14:paraId="13573936" w14:textId="555042C6" w:rsidR="00F476A1" w:rsidRPr="002D66DE" w:rsidRDefault="00F476A1" w:rsidP="00C55BDB">
            <w:pPr>
              <w:pStyle w:val="Tablehead"/>
              <w:rPr>
                <w:sz w:val="20"/>
                <w:szCs w:val="20"/>
              </w:rPr>
            </w:pPr>
            <w:r w:rsidRPr="002D66DE">
              <w:rPr>
                <w:sz w:val="20"/>
                <w:szCs w:val="20"/>
              </w:rPr>
              <w:t>42</w:t>
            </w:r>
          </w:p>
        </w:tc>
        <w:tc>
          <w:tcPr>
            <w:tcW w:w="2860" w:type="dxa"/>
          </w:tcPr>
          <w:p w14:paraId="143A93BA" w14:textId="0AFCB554" w:rsidR="00F476A1" w:rsidRPr="002D66DE" w:rsidRDefault="00F476A1" w:rsidP="00C55BDB">
            <w:pPr>
              <w:pStyle w:val="Tabletext"/>
              <w:rPr>
                <w:b/>
                <w:bCs/>
                <w:sz w:val="20"/>
                <w:szCs w:val="20"/>
              </w:rPr>
            </w:pPr>
            <w:r w:rsidRPr="002D66DE">
              <w:rPr>
                <w:b/>
                <w:bCs/>
                <w:sz w:val="20"/>
                <w:szCs w:val="20"/>
              </w:rPr>
              <w:t>4.5</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encouragent l'adoption de mesures visant à faire en sorte que des services de télécommunication en mode itinérance internationale d'une qualité satisfaisante soient fournis aux utilisateurs itinérants.</w:t>
            </w:r>
          </w:p>
        </w:tc>
        <w:tc>
          <w:tcPr>
            <w:tcW w:w="3378" w:type="dxa"/>
          </w:tcPr>
          <w:p w14:paraId="26420882" w14:textId="419EEC71" w:rsidR="00F476A1" w:rsidRPr="002D66DE" w:rsidRDefault="00F476A1" w:rsidP="00C55BDB">
            <w:pPr>
              <w:pStyle w:val="Tabletext"/>
              <w:rPr>
                <w:sz w:val="20"/>
                <w:szCs w:val="20"/>
              </w:rPr>
            </w:pPr>
          </w:p>
        </w:tc>
        <w:tc>
          <w:tcPr>
            <w:tcW w:w="2951" w:type="dxa"/>
          </w:tcPr>
          <w:p w14:paraId="4C75EE37" w14:textId="20D3832E" w:rsidR="00253F21" w:rsidRPr="002D66DE" w:rsidRDefault="00680D65" w:rsidP="00C55BDB">
            <w:pPr>
              <w:pStyle w:val="Tabletext"/>
              <w:rPr>
                <w:sz w:val="20"/>
              </w:rPr>
            </w:pPr>
            <w:bookmarkStart w:id="180" w:name="lt_pId660"/>
            <w:r w:rsidRPr="002D66DE">
              <w:rPr>
                <w:sz w:val="20"/>
              </w:rPr>
              <w:t>Certains membres ont estimé que l</w:t>
            </w:r>
            <w:r w:rsidR="009F4D21" w:rsidRPr="002D66DE">
              <w:rPr>
                <w:sz w:val="20"/>
              </w:rPr>
              <w:t>'</w:t>
            </w:r>
            <w:r w:rsidRPr="002D66DE">
              <w:rPr>
                <w:sz w:val="20"/>
              </w:rPr>
              <w:t>on ne voit pas bien quelles mesures les États Membres sont censés prendre puisque les services d'itinérance reposent sur des accords commerciaux entre opérateurs</w:t>
            </w:r>
            <w:r w:rsidR="00F476A1" w:rsidRPr="002D66DE">
              <w:rPr>
                <w:sz w:val="20"/>
              </w:rPr>
              <w:t>.</w:t>
            </w:r>
            <w:bookmarkEnd w:id="180"/>
            <w:r w:rsidR="00F476A1" w:rsidRPr="002D66DE">
              <w:rPr>
                <w:sz w:val="20"/>
              </w:rPr>
              <w:t xml:space="preserve"> </w:t>
            </w:r>
            <w:bookmarkStart w:id="181" w:name="lt_pId661"/>
            <w:r w:rsidRPr="002D66DE">
              <w:rPr>
                <w:sz w:val="20"/>
              </w:rPr>
              <w:t>Cette disposition n</w:t>
            </w:r>
            <w:r w:rsidR="009F4D21" w:rsidRPr="002D66DE">
              <w:rPr>
                <w:sz w:val="20"/>
              </w:rPr>
              <w:t>'</w:t>
            </w:r>
            <w:r w:rsidRPr="002D66DE">
              <w:rPr>
                <w:sz w:val="20"/>
              </w:rPr>
              <w:t>est pas applicable</w:t>
            </w:r>
            <w:r w:rsidR="00F476A1" w:rsidRPr="002D66DE">
              <w:rPr>
                <w:sz w:val="20"/>
              </w:rPr>
              <w:t>.</w:t>
            </w:r>
            <w:bookmarkEnd w:id="181"/>
          </w:p>
          <w:p w14:paraId="320CB91B" w14:textId="6D5C3148" w:rsidR="00253F21" w:rsidRPr="002D66DE" w:rsidRDefault="00095E4D" w:rsidP="00C55BDB">
            <w:pPr>
              <w:pStyle w:val="Tabletext"/>
              <w:rPr>
                <w:rFonts w:eastAsia="Calibri"/>
                <w:sz w:val="20"/>
              </w:rPr>
            </w:pPr>
            <w:bookmarkStart w:id="182" w:name="lt_pId662"/>
            <w:r w:rsidRPr="002D66DE">
              <w:rPr>
                <w:rFonts w:eastAsia="Times New Roman"/>
                <w:sz w:val="20"/>
              </w:rPr>
              <w:t>De l</w:t>
            </w:r>
            <w:r w:rsidR="009F4D21" w:rsidRPr="002D66DE">
              <w:rPr>
                <w:rFonts w:eastAsia="Times New Roman"/>
                <w:sz w:val="20"/>
              </w:rPr>
              <w:t>'</w:t>
            </w:r>
            <w:r w:rsidRPr="002D66DE">
              <w:rPr>
                <w:rFonts w:eastAsia="Times New Roman"/>
                <w:sz w:val="20"/>
              </w:rPr>
              <w:t>avis de certains membres, cette disposition encourage la surveillance de la qualité de service pour le service d'itinérance internationale fourni aux usagers</w:t>
            </w:r>
            <w:r w:rsidR="00253F21" w:rsidRPr="002D66DE">
              <w:rPr>
                <w:rFonts w:eastAsia="Times New Roman"/>
                <w:sz w:val="20"/>
              </w:rPr>
              <w:t>. En outre,</w:t>
            </w:r>
            <w:r w:rsidRPr="002D66DE">
              <w:rPr>
                <w:rFonts w:eastAsia="Times New Roman"/>
                <w:sz w:val="20"/>
              </w:rPr>
              <w:t xml:space="preserve"> la </w:t>
            </w:r>
            <w:r w:rsidRPr="002D66DE">
              <w:rPr>
                <w:rFonts w:eastAsia="Calibri"/>
                <w:sz w:val="20"/>
              </w:rPr>
              <w:t>qualité des services en itinérance est identique à celle des services offerts à un usager local qui utilise des services sur le même réseau</w:t>
            </w:r>
            <w:r w:rsidR="00F476A1" w:rsidRPr="002D66DE">
              <w:rPr>
                <w:rFonts w:eastAsia="Calibri"/>
                <w:sz w:val="20"/>
              </w:rPr>
              <w:t>.</w:t>
            </w:r>
            <w:bookmarkEnd w:id="182"/>
          </w:p>
          <w:p w14:paraId="4E4D3712" w14:textId="67A214DA" w:rsidR="00F476A1" w:rsidRPr="002D66DE" w:rsidRDefault="00095E4D" w:rsidP="00C55BDB">
            <w:pPr>
              <w:pStyle w:val="Tabletext"/>
              <w:rPr>
                <w:sz w:val="20"/>
                <w:szCs w:val="20"/>
              </w:rPr>
            </w:pPr>
            <w:bookmarkStart w:id="183" w:name="lt_pId663"/>
            <w:r w:rsidRPr="002D66DE">
              <w:rPr>
                <w:rFonts w:eastAsia="Calibri"/>
                <w:sz w:val="20"/>
              </w:rPr>
              <w:t>De l</w:t>
            </w:r>
            <w:r w:rsidR="009F4D21" w:rsidRPr="002D66DE">
              <w:rPr>
                <w:rFonts w:eastAsia="Calibri"/>
                <w:sz w:val="20"/>
              </w:rPr>
              <w:t>'</w:t>
            </w:r>
            <w:r w:rsidRPr="002D66DE">
              <w:rPr>
                <w:rFonts w:eastAsia="Calibri"/>
                <w:sz w:val="20"/>
              </w:rPr>
              <w:t xml:space="preserve">avis de certains membres, cette disposition est </w:t>
            </w:r>
            <w:r w:rsidR="00F476A1" w:rsidRPr="002D66DE">
              <w:rPr>
                <w:rFonts w:eastAsia="Calibri"/>
                <w:sz w:val="20"/>
              </w:rPr>
              <w:t xml:space="preserve">applicable </w:t>
            </w:r>
            <w:r w:rsidRPr="002D66DE">
              <w:rPr>
                <w:rFonts w:eastAsia="Calibri"/>
                <w:sz w:val="20"/>
              </w:rPr>
              <w:t xml:space="preserve">et </w:t>
            </w:r>
            <w:r w:rsidR="00253F21" w:rsidRPr="002D66DE">
              <w:rPr>
                <w:rFonts w:eastAsia="Calibri"/>
                <w:sz w:val="20"/>
              </w:rPr>
              <w:t>appuie</w:t>
            </w:r>
            <w:r w:rsidRPr="002D66DE">
              <w:rPr>
                <w:rFonts w:eastAsia="Calibri"/>
                <w:sz w:val="20"/>
              </w:rPr>
              <w:t xml:space="preserve"> le développement des réseaux et </w:t>
            </w:r>
            <w:r w:rsidR="00430A65" w:rsidRPr="002D66DE">
              <w:rPr>
                <w:rFonts w:eastAsia="Calibri"/>
                <w:sz w:val="20"/>
              </w:rPr>
              <w:t xml:space="preserve">des </w:t>
            </w:r>
            <w:r w:rsidRPr="002D66DE">
              <w:rPr>
                <w:rFonts w:eastAsia="Calibri"/>
                <w:sz w:val="20"/>
              </w:rPr>
              <w:t>services</w:t>
            </w:r>
            <w:r w:rsidR="00F476A1" w:rsidRPr="002D66DE">
              <w:rPr>
                <w:rFonts w:eastAsia="Calibri"/>
                <w:sz w:val="20"/>
              </w:rPr>
              <w:t>.</w:t>
            </w:r>
            <w:bookmarkEnd w:id="183"/>
          </w:p>
        </w:tc>
        <w:tc>
          <w:tcPr>
            <w:tcW w:w="2577" w:type="dxa"/>
          </w:tcPr>
          <w:p w14:paraId="4D50A5A1" w14:textId="04DB927E" w:rsidR="00F476A1" w:rsidRPr="002D66DE" w:rsidRDefault="003310AB" w:rsidP="00C55BDB">
            <w:pPr>
              <w:pStyle w:val="Tabletext"/>
              <w:rPr>
                <w:sz w:val="20"/>
              </w:rPr>
            </w:pPr>
            <w:bookmarkStart w:id="184" w:name="lt_pId664"/>
            <w:r w:rsidRPr="002D66DE">
              <w:rPr>
                <w:sz w:val="20"/>
              </w:rPr>
              <w:t>Certains membres ont estimé que cette disposition manque de souplesse parce qu</w:t>
            </w:r>
            <w:r w:rsidR="009F4D21" w:rsidRPr="002D66DE">
              <w:rPr>
                <w:sz w:val="20"/>
              </w:rPr>
              <w:t>'</w:t>
            </w:r>
            <w:r w:rsidRPr="002D66DE">
              <w:rPr>
                <w:sz w:val="20"/>
              </w:rPr>
              <w:t xml:space="preserve">elle pourrait freiner les investissements dans les nouvelles technologies et le développement de nouveaux services si les exploitations choisissent </w:t>
            </w:r>
            <w:bookmarkEnd w:id="184"/>
            <w:r w:rsidRPr="002D66DE">
              <w:rPr>
                <w:sz w:val="20"/>
              </w:rPr>
              <w:t>de fournir temporairement des services d'une qualité insuffisante</w:t>
            </w:r>
            <w:r w:rsidR="00095E4D" w:rsidRPr="002D66DE">
              <w:rPr>
                <w:sz w:val="20"/>
              </w:rPr>
              <w:t>.</w:t>
            </w:r>
          </w:p>
          <w:p w14:paraId="03469133" w14:textId="25270456" w:rsidR="00F476A1" w:rsidRPr="002D66DE" w:rsidRDefault="00680D65" w:rsidP="00C55BDB">
            <w:pPr>
              <w:pStyle w:val="Tabletext"/>
              <w:rPr>
                <w:sz w:val="20"/>
                <w:szCs w:val="20"/>
              </w:rPr>
            </w:pPr>
            <w:r w:rsidRPr="002D66DE">
              <w:rPr>
                <w:sz w:val="20"/>
              </w:rPr>
              <w:t>De l</w:t>
            </w:r>
            <w:r w:rsidR="009F4D21" w:rsidRPr="002D66DE">
              <w:rPr>
                <w:sz w:val="20"/>
              </w:rPr>
              <w:t>'</w:t>
            </w:r>
            <w:r w:rsidRPr="002D66DE">
              <w:rPr>
                <w:sz w:val="20"/>
              </w:rPr>
              <w:t>avis de certains membres, cette disposition offre la souplesse nécessaire.</w:t>
            </w:r>
          </w:p>
        </w:tc>
        <w:tc>
          <w:tcPr>
            <w:tcW w:w="2424" w:type="dxa"/>
          </w:tcPr>
          <w:p w14:paraId="565534BA" w14:textId="7EC62CF4"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453CF4F8" w14:textId="13B78727" w:rsidR="00F476A1"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r w:rsidR="003111C2" w:rsidRPr="002D66DE">
              <w:rPr>
                <w:sz w:val="20"/>
                <w:szCs w:val="20"/>
              </w:rPr>
              <w:t>.</w:t>
            </w:r>
          </w:p>
        </w:tc>
      </w:tr>
    </w:tbl>
    <w:p w14:paraId="4872564D" w14:textId="6565AA34"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0D719199" w14:textId="77777777" w:rsidTr="00423417">
        <w:trPr>
          <w:tblHeader/>
        </w:trPr>
        <w:tc>
          <w:tcPr>
            <w:tcW w:w="987" w:type="dxa"/>
          </w:tcPr>
          <w:p w14:paraId="04157CF2"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4766FB5F"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54C652D6"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5764C816"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505CE6DB"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17114ADC"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0E3718D1" w14:textId="77777777" w:rsidTr="00AC7710">
        <w:tc>
          <w:tcPr>
            <w:tcW w:w="987" w:type="dxa"/>
          </w:tcPr>
          <w:p w14:paraId="5151CA0F" w14:textId="171AD167" w:rsidR="00F476A1" w:rsidRPr="002D66DE" w:rsidRDefault="00F476A1" w:rsidP="00C55BDB">
            <w:pPr>
              <w:pStyle w:val="Tablehead"/>
              <w:rPr>
                <w:sz w:val="20"/>
                <w:szCs w:val="20"/>
              </w:rPr>
            </w:pPr>
            <w:r w:rsidRPr="002D66DE">
              <w:rPr>
                <w:sz w:val="20"/>
                <w:szCs w:val="20"/>
              </w:rPr>
              <w:t>43</w:t>
            </w:r>
          </w:p>
        </w:tc>
        <w:tc>
          <w:tcPr>
            <w:tcW w:w="2860" w:type="dxa"/>
          </w:tcPr>
          <w:p w14:paraId="49C18986" w14:textId="7265D6E1" w:rsidR="00F476A1" w:rsidRPr="002D66DE" w:rsidRDefault="00F476A1" w:rsidP="00C55BDB">
            <w:pPr>
              <w:pStyle w:val="Tabletext"/>
              <w:rPr>
                <w:b/>
                <w:bCs/>
                <w:sz w:val="20"/>
                <w:szCs w:val="20"/>
              </w:rPr>
            </w:pPr>
            <w:r w:rsidRPr="002D66DE">
              <w:rPr>
                <w:b/>
                <w:bCs/>
                <w:sz w:val="20"/>
                <w:szCs w:val="20"/>
              </w:rPr>
              <w:t>4.6</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devraient encourager la coopération entre exploitations autorisées, afin d'éviter ou de limiter les frais d'itinérance encourus par inadvertance dans les zones frontalières.</w:t>
            </w:r>
          </w:p>
        </w:tc>
        <w:tc>
          <w:tcPr>
            <w:tcW w:w="3378" w:type="dxa"/>
          </w:tcPr>
          <w:p w14:paraId="20C5BEFC" w14:textId="06767A5A" w:rsidR="00F476A1" w:rsidRPr="002D66DE" w:rsidRDefault="00F476A1" w:rsidP="00C55BDB">
            <w:pPr>
              <w:pStyle w:val="Tabletext"/>
              <w:rPr>
                <w:sz w:val="20"/>
                <w:szCs w:val="20"/>
              </w:rPr>
            </w:pPr>
          </w:p>
        </w:tc>
        <w:tc>
          <w:tcPr>
            <w:tcW w:w="2951" w:type="dxa"/>
          </w:tcPr>
          <w:p w14:paraId="6B6A3EEC" w14:textId="5BA039F2" w:rsidR="00F476A1" w:rsidRPr="002D66DE" w:rsidRDefault="00E205E0" w:rsidP="00C55BDB">
            <w:pPr>
              <w:pStyle w:val="Tabletext"/>
              <w:rPr>
                <w:rFonts w:cstheme="minorHAnsi"/>
                <w:sz w:val="20"/>
                <w:szCs w:val="20"/>
              </w:rPr>
            </w:pPr>
            <w:bookmarkStart w:id="185" w:name="lt_pId670"/>
            <w:r w:rsidRPr="002D66DE">
              <w:rPr>
                <w:rFonts w:cstheme="minorHAnsi"/>
                <w:sz w:val="20"/>
                <w:szCs w:val="20"/>
              </w:rPr>
              <w:t>C</w:t>
            </w:r>
            <w:r w:rsidR="00E66B9B" w:rsidRPr="002D66DE">
              <w:rPr>
                <w:rFonts w:cstheme="minorHAnsi"/>
                <w:sz w:val="20"/>
                <w:szCs w:val="20"/>
              </w:rPr>
              <w:t>ertains membres</w:t>
            </w:r>
            <w:r w:rsidRPr="002D66DE">
              <w:rPr>
                <w:rFonts w:cstheme="minorHAnsi"/>
                <w:sz w:val="20"/>
                <w:szCs w:val="20"/>
              </w:rPr>
              <w:t xml:space="preserve"> ont estimé que</w:t>
            </w:r>
            <w:r w:rsidR="00E66B9B" w:rsidRPr="002D66DE">
              <w:rPr>
                <w:rFonts w:cstheme="minorHAnsi"/>
                <w:sz w:val="20"/>
                <w:szCs w:val="20"/>
              </w:rPr>
              <w:t xml:space="preserve"> cette disposition est inapplicable et peut entraver la fourniture et le développement des réseaux et de</w:t>
            </w:r>
            <w:r w:rsidR="00F715DB" w:rsidRPr="002D66DE">
              <w:rPr>
                <w:rFonts w:cstheme="minorHAnsi"/>
                <w:sz w:val="20"/>
                <w:szCs w:val="20"/>
              </w:rPr>
              <w:t>s</w:t>
            </w:r>
            <w:r w:rsidR="00E66B9B" w:rsidRPr="002D66DE">
              <w:rPr>
                <w:rFonts w:cstheme="minorHAnsi"/>
                <w:sz w:val="20"/>
                <w:szCs w:val="20"/>
              </w:rPr>
              <w:t xml:space="preserve"> services</w:t>
            </w:r>
            <w:r w:rsidR="00F476A1" w:rsidRPr="002D66DE">
              <w:rPr>
                <w:rFonts w:cstheme="minorHAnsi"/>
                <w:sz w:val="20"/>
                <w:szCs w:val="20"/>
              </w:rPr>
              <w:t>.</w:t>
            </w:r>
            <w:bookmarkEnd w:id="185"/>
            <w:r w:rsidR="00F476A1" w:rsidRPr="002D66DE">
              <w:rPr>
                <w:rFonts w:cstheme="minorHAnsi"/>
                <w:sz w:val="20"/>
                <w:szCs w:val="20"/>
              </w:rPr>
              <w:t xml:space="preserve"> </w:t>
            </w:r>
            <w:bookmarkStart w:id="186" w:name="lt_pId671"/>
            <w:r w:rsidR="00E66B9B" w:rsidRPr="002D66DE">
              <w:rPr>
                <w:rFonts w:cstheme="minorHAnsi"/>
                <w:sz w:val="20"/>
                <w:szCs w:val="20"/>
              </w:rPr>
              <w:t xml:space="preserve">Ils ont également </w:t>
            </w:r>
            <w:r w:rsidR="00DD6792" w:rsidRPr="002D66DE">
              <w:rPr>
                <w:rFonts w:cstheme="minorHAnsi"/>
                <w:sz w:val="20"/>
                <w:szCs w:val="20"/>
              </w:rPr>
              <w:t>fait observer</w:t>
            </w:r>
            <w:r w:rsidR="00E66B9B" w:rsidRPr="002D66DE">
              <w:rPr>
                <w:rFonts w:cstheme="minorHAnsi"/>
                <w:sz w:val="20"/>
                <w:szCs w:val="20"/>
              </w:rPr>
              <w:t xml:space="preserve"> que les</w:t>
            </w:r>
            <w:r w:rsidR="00E66B9B" w:rsidRPr="002D66DE">
              <w:rPr>
                <w:rFonts w:ascii="Segoe UI" w:hAnsi="Segoe UI" w:cs="Segoe UI"/>
                <w:color w:val="000000"/>
                <w:sz w:val="20"/>
                <w:szCs w:val="20"/>
                <w:shd w:val="clear" w:color="auto" w:fill="FFFFFF"/>
              </w:rPr>
              <w:t xml:space="preserve"> </w:t>
            </w:r>
            <w:r w:rsidR="00E66B9B" w:rsidRPr="002D66DE">
              <w:rPr>
                <w:rFonts w:cstheme="minorHAnsi"/>
                <w:sz w:val="20"/>
                <w:szCs w:val="20"/>
              </w:rPr>
              <w:t>exploitations autorisées ont tout intérêt, commercialement, à coopérer entre elles sur cette question</w:t>
            </w:r>
            <w:r w:rsidR="00F476A1" w:rsidRPr="002D66DE">
              <w:rPr>
                <w:rFonts w:cstheme="minorHAnsi"/>
                <w:sz w:val="20"/>
                <w:szCs w:val="20"/>
              </w:rPr>
              <w:t xml:space="preserve">, </w:t>
            </w:r>
            <w:r w:rsidR="00DD6792" w:rsidRPr="002D66DE">
              <w:rPr>
                <w:rFonts w:cstheme="minorHAnsi"/>
                <w:sz w:val="20"/>
                <w:szCs w:val="20"/>
              </w:rPr>
              <w:t>et qu</w:t>
            </w:r>
            <w:r w:rsidR="009F4D21" w:rsidRPr="002D66DE">
              <w:rPr>
                <w:rFonts w:cstheme="minorHAnsi"/>
                <w:sz w:val="20"/>
                <w:szCs w:val="20"/>
              </w:rPr>
              <w:t>'</w:t>
            </w:r>
            <w:r w:rsidR="00DD6792" w:rsidRPr="002D66DE">
              <w:rPr>
                <w:rFonts w:cstheme="minorHAnsi"/>
                <w:sz w:val="20"/>
                <w:szCs w:val="20"/>
              </w:rPr>
              <w:t>en effet, si une coopération est suggérée par l'État, elle paraîtra peut-être non volontaire, si bien que les parties éprouveront peut-être des réticences à coopérer. En outre, il</w:t>
            </w:r>
            <w:r w:rsidR="00DD6792" w:rsidRPr="002D66DE">
              <w:rPr>
                <w:rFonts w:ascii="Segoe UI" w:eastAsia="Times New Roman" w:hAnsi="Segoe UI" w:cs="Segoe UI"/>
                <w:color w:val="000000"/>
                <w:sz w:val="20"/>
                <w:szCs w:val="20"/>
                <w:shd w:val="clear" w:color="auto" w:fill="FFFFFF"/>
              </w:rPr>
              <w:t xml:space="preserve"> </w:t>
            </w:r>
            <w:r w:rsidR="00DD6792" w:rsidRPr="002D66DE">
              <w:rPr>
                <w:rFonts w:cstheme="minorHAnsi"/>
                <w:sz w:val="20"/>
                <w:szCs w:val="20"/>
              </w:rPr>
              <w:t>est préoccupant de constater que cette disposition n'indique pas que les États Membres devraient l'appliquer de manière équitable et en toute impartialité entre toutes les exploitations autorisées</w:t>
            </w:r>
            <w:r w:rsidR="00F476A1" w:rsidRPr="002D66DE">
              <w:rPr>
                <w:rFonts w:cstheme="minorHAnsi"/>
                <w:sz w:val="20"/>
                <w:szCs w:val="20"/>
              </w:rPr>
              <w:t>.</w:t>
            </w:r>
            <w:bookmarkEnd w:id="186"/>
          </w:p>
          <w:p w14:paraId="3D985169" w14:textId="03A45133" w:rsidR="00F476A1" w:rsidRPr="002D66DE" w:rsidRDefault="00F476A1" w:rsidP="00423417">
            <w:pPr>
              <w:pStyle w:val="Tabletext"/>
              <w:keepNext/>
              <w:keepLines/>
              <w:rPr>
                <w:sz w:val="20"/>
                <w:szCs w:val="20"/>
              </w:rPr>
            </w:pPr>
            <w:r w:rsidRPr="002D66DE">
              <w:rPr>
                <w:sz w:val="20"/>
                <w:szCs w:val="20"/>
              </w:rPr>
              <w:lastRenderedPageBreak/>
              <w:t>Ce</w:t>
            </w:r>
            <w:r w:rsidR="00DD6792" w:rsidRPr="002D66DE">
              <w:rPr>
                <w:sz w:val="20"/>
                <w:szCs w:val="20"/>
              </w:rPr>
              <w:t>rtains membres ont estimé que ce</w:t>
            </w:r>
            <w:r w:rsidRPr="002D66DE">
              <w:rPr>
                <w:sz w:val="20"/>
                <w:szCs w:val="20"/>
              </w:rPr>
              <w:t>tte disposition encourage la coopération entre les opérateurs privés titulaires d'une licence afin d'éviter et de supprimer les factures exorbitantes dues au service d'itinérance internationale pour les usagers qui se connectent par inadvertance à des réseaux étrangers lorsqu'ils se trouvent à proximité d'une frontière.</w:t>
            </w:r>
          </w:p>
          <w:p w14:paraId="5D3C9333" w14:textId="4C08BAC6" w:rsidR="00F476A1" w:rsidRPr="002D66DE" w:rsidRDefault="00DD6792" w:rsidP="00C55BDB">
            <w:pPr>
              <w:pStyle w:val="Tabletext"/>
              <w:rPr>
                <w:sz w:val="20"/>
                <w:szCs w:val="20"/>
              </w:rPr>
            </w:pPr>
            <w:bookmarkStart w:id="187" w:name="lt_pId673"/>
            <w:r w:rsidRPr="002D66DE">
              <w:rPr>
                <w:rFonts w:eastAsia="Times New Roman" w:cstheme="minorHAnsi"/>
                <w:sz w:val="20"/>
                <w:szCs w:val="20"/>
              </w:rPr>
              <w:t>De l</w:t>
            </w:r>
            <w:r w:rsidR="009F4D21" w:rsidRPr="002D66DE">
              <w:rPr>
                <w:rFonts w:eastAsia="Times New Roman" w:cstheme="minorHAnsi"/>
                <w:sz w:val="20"/>
                <w:szCs w:val="20"/>
              </w:rPr>
              <w:t>'</w:t>
            </w:r>
            <w:r w:rsidRPr="002D66DE">
              <w:rPr>
                <w:rFonts w:eastAsia="Times New Roman" w:cstheme="minorHAnsi"/>
                <w:sz w:val="20"/>
                <w:szCs w:val="20"/>
              </w:rPr>
              <w:t>avis de certains membres, cette disposition est applicable et favorise le développement des</w:t>
            </w:r>
            <w:r w:rsidR="00F476A1" w:rsidRPr="002D66DE">
              <w:rPr>
                <w:rFonts w:eastAsia="Times New Roman" w:cstheme="minorHAnsi"/>
                <w:sz w:val="20"/>
                <w:szCs w:val="20"/>
              </w:rPr>
              <w:t xml:space="preserve"> </w:t>
            </w:r>
            <w:r w:rsidRPr="002D66DE">
              <w:rPr>
                <w:rFonts w:eastAsia="Times New Roman" w:cstheme="minorHAnsi"/>
                <w:sz w:val="20"/>
                <w:szCs w:val="20"/>
              </w:rPr>
              <w:t xml:space="preserve">réseaux et </w:t>
            </w:r>
            <w:r w:rsidR="00430A65" w:rsidRPr="002D66DE">
              <w:rPr>
                <w:rFonts w:eastAsia="Times New Roman" w:cstheme="minorHAnsi"/>
                <w:sz w:val="20"/>
                <w:szCs w:val="20"/>
              </w:rPr>
              <w:t xml:space="preserve">des </w:t>
            </w:r>
            <w:r w:rsidRPr="002D66DE">
              <w:rPr>
                <w:rFonts w:eastAsia="Times New Roman" w:cstheme="minorHAnsi"/>
                <w:sz w:val="20"/>
                <w:szCs w:val="20"/>
              </w:rPr>
              <w:t>services</w:t>
            </w:r>
            <w:r w:rsidR="00BF1394" w:rsidRPr="002D66DE">
              <w:rPr>
                <w:rFonts w:eastAsia="Times New Roman" w:cstheme="minorHAnsi"/>
                <w:sz w:val="20"/>
                <w:szCs w:val="20"/>
              </w:rPr>
              <w:t>,</w:t>
            </w:r>
            <w:r w:rsidRPr="002D66DE">
              <w:rPr>
                <w:rFonts w:eastAsia="Times New Roman" w:cstheme="minorHAnsi"/>
                <w:sz w:val="20"/>
                <w:szCs w:val="20"/>
              </w:rPr>
              <w:t xml:space="preserve"> et les États Membres fournissent </w:t>
            </w:r>
            <w:bookmarkEnd w:id="187"/>
            <w:r w:rsidRPr="002D66DE">
              <w:rPr>
                <w:rFonts w:cstheme="minorHAnsi"/>
                <w:sz w:val="20"/>
                <w:szCs w:val="20"/>
              </w:rPr>
              <w:t>des informations valables et actualisées concernant les services d'itinérance pour limiter le risque de facture exorbitante.</w:t>
            </w:r>
          </w:p>
        </w:tc>
        <w:tc>
          <w:tcPr>
            <w:tcW w:w="2577" w:type="dxa"/>
          </w:tcPr>
          <w:p w14:paraId="2000DDCB" w14:textId="32A95C33" w:rsidR="00F476A1" w:rsidRPr="002D66DE" w:rsidRDefault="00DD6792" w:rsidP="00C55BDB">
            <w:pPr>
              <w:pStyle w:val="Tabletext"/>
              <w:rPr>
                <w:sz w:val="20"/>
                <w:szCs w:val="20"/>
              </w:rPr>
            </w:pPr>
            <w:r w:rsidRPr="002D66DE">
              <w:rPr>
                <w:sz w:val="20"/>
                <w:szCs w:val="20"/>
              </w:rPr>
              <w:lastRenderedPageBreak/>
              <w:t>De l</w:t>
            </w:r>
            <w:r w:rsidR="009F4D21" w:rsidRPr="002D66DE">
              <w:rPr>
                <w:sz w:val="20"/>
                <w:szCs w:val="20"/>
              </w:rPr>
              <w:t>'</w:t>
            </w:r>
            <w:r w:rsidRPr="002D66DE">
              <w:rPr>
                <w:sz w:val="20"/>
                <w:szCs w:val="20"/>
              </w:rPr>
              <w:t>avis de certains membres, c</w:t>
            </w:r>
            <w:r w:rsidR="00F476A1" w:rsidRPr="002D66DE">
              <w:rPr>
                <w:sz w:val="20"/>
                <w:szCs w:val="20"/>
              </w:rPr>
              <w:t>ette disposition accorde trop d'importance à l'idée d'intervention par les États Membres</w:t>
            </w:r>
            <w:r w:rsidRPr="002D66DE">
              <w:rPr>
                <w:sz w:val="20"/>
                <w:szCs w:val="20"/>
              </w:rPr>
              <w:t xml:space="preserve">, ce qui </w:t>
            </w:r>
            <w:r w:rsidR="00F476A1" w:rsidRPr="002D66DE">
              <w:rPr>
                <w:sz w:val="20"/>
                <w:szCs w:val="20"/>
              </w:rPr>
              <w:t>signifie qu'elle est moins susceptible de tenir compte des nouvelles tendances et des nouveaux problèmes qui se font jour, les fournisseurs de services étant généralement les premiers à être confrontés à ces tendances et à ces problèmes.</w:t>
            </w:r>
          </w:p>
          <w:p w14:paraId="77E7FA91" w14:textId="215570CE" w:rsidR="00F476A1" w:rsidRPr="002D66DE" w:rsidRDefault="001E4E68" w:rsidP="00C55BDB">
            <w:pPr>
              <w:pStyle w:val="Tabletext"/>
              <w:rPr>
                <w:sz w:val="20"/>
                <w:szCs w:val="20"/>
              </w:rPr>
            </w:pPr>
            <w:bookmarkStart w:id="188" w:name="lt_pId675"/>
            <w:r w:rsidRPr="002D66DE">
              <w:rPr>
                <w:rFonts w:cstheme="minorHAnsi"/>
                <w:sz w:val="20"/>
                <w:szCs w:val="20"/>
              </w:rPr>
              <w:t>C</w:t>
            </w:r>
            <w:r w:rsidR="00B715D3" w:rsidRPr="002D66DE">
              <w:rPr>
                <w:rFonts w:cstheme="minorHAnsi"/>
                <w:sz w:val="20"/>
                <w:szCs w:val="20"/>
              </w:rPr>
              <w:t>e</w:t>
            </w:r>
            <w:r w:rsidRPr="002D66DE">
              <w:rPr>
                <w:rFonts w:cstheme="minorHAnsi"/>
                <w:sz w:val="20"/>
                <w:szCs w:val="20"/>
              </w:rPr>
              <w:t xml:space="preserve">rtains membres ont estimé que cette disposition </w:t>
            </w:r>
            <w:r w:rsidR="00BF1394" w:rsidRPr="002D66DE">
              <w:rPr>
                <w:rFonts w:cstheme="minorHAnsi"/>
                <w:sz w:val="20"/>
                <w:szCs w:val="20"/>
              </w:rPr>
              <w:t>offre la souplesse nécessaire</w:t>
            </w:r>
            <w:r w:rsidR="00F476A1" w:rsidRPr="002D66DE">
              <w:rPr>
                <w:rFonts w:cstheme="minorHAnsi"/>
                <w:sz w:val="20"/>
                <w:szCs w:val="20"/>
              </w:rPr>
              <w:t>.</w:t>
            </w:r>
            <w:bookmarkEnd w:id="188"/>
          </w:p>
        </w:tc>
        <w:tc>
          <w:tcPr>
            <w:tcW w:w="2424" w:type="dxa"/>
          </w:tcPr>
          <w:p w14:paraId="0856948B" w14:textId="55E209D6"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7AB866AE" w14:textId="1FBC3D2E" w:rsidR="003111C2" w:rsidRPr="002D66DE" w:rsidRDefault="000636B9" w:rsidP="00C55BDB">
            <w:pPr>
              <w:pStyle w:val="Tabletext"/>
              <w:rPr>
                <w:sz w:val="20"/>
                <w:szCs w:val="20"/>
              </w:rPr>
            </w:pPr>
            <w:r w:rsidRPr="002D66DE">
              <w:rPr>
                <w:sz w:val="20"/>
                <w:szCs w:val="20"/>
              </w:rPr>
              <w:t>Certains membres ont</w:t>
            </w:r>
            <w:r w:rsidR="004C7683" w:rsidRPr="002D66DE">
              <w:rPr>
                <w:sz w:val="20"/>
                <w:szCs w:val="20"/>
              </w:rPr>
              <w:t xml:space="preserve"> </w:t>
            </w:r>
            <w:r w:rsidRPr="002D66DE">
              <w:rPr>
                <w:sz w:val="20"/>
                <w:szCs w:val="20"/>
              </w:rPr>
              <w:t>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19849439" w14:textId="5661314D" w:rsidR="00F476A1" w:rsidRPr="002D66DE" w:rsidRDefault="003111C2" w:rsidP="00C55BDB">
            <w:pPr>
              <w:pStyle w:val="Tabletext"/>
              <w:rPr>
                <w:sz w:val="20"/>
              </w:rPr>
            </w:pPr>
            <w:r w:rsidRPr="002D66DE">
              <w:rPr>
                <w:sz w:val="20"/>
                <w:szCs w:val="20"/>
              </w:rPr>
              <w:t xml:space="preserve">Certains autres membres ont fait valoir que cette disposition </w:t>
            </w:r>
            <w:r w:rsidR="000636B9" w:rsidRPr="002D66DE">
              <w:rPr>
                <w:sz w:val="20"/>
                <w:szCs w:val="20"/>
              </w:rPr>
              <w:t>doit</w:t>
            </w:r>
            <w:r w:rsidRPr="002D66DE">
              <w:rPr>
                <w:sz w:val="20"/>
                <w:szCs w:val="20"/>
              </w:rPr>
              <w:t xml:space="preserve">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Pr="002D66DE">
              <w:rPr>
                <w:sz w:val="20"/>
              </w:rPr>
              <w:t>.</w:t>
            </w:r>
          </w:p>
        </w:tc>
      </w:tr>
    </w:tbl>
    <w:p w14:paraId="1B3C73E4" w14:textId="7936A8BF" w:rsidR="00423417" w:rsidRPr="002D66DE" w:rsidRDefault="00423417">
      <w:pPr>
        <w:tabs>
          <w:tab w:val="clear" w:pos="567"/>
          <w:tab w:val="clear" w:pos="1134"/>
          <w:tab w:val="clear" w:pos="1701"/>
          <w:tab w:val="clear" w:pos="2268"/>
          <w:tab w:val="clear" w:pos="2835"/>
        </w:tabs>
        <w:overflowPunct/>
        <w:autoSpaceDE/>
        <w:autoSpaceDN/>
        <w:adjustRightInd/>
        <w:spacing w:before="0"/>
        <w:textAlignment w:val="auto"/>
      </w:pPr>
      <w:r w:rsidRPr="002D66DE">
        <w:br w:type="page"/>
      </w:r>
    </w:p>
    <w:tbl>
      <w:tblPr>
        <w:tblStyle w:val="TableGrid1"/>
        <w:tblW w:w="15177" w:type="dxa"/>
        <w:tblLook w:val="04A0" w:firstRow="1" w:lastRow="0" w:firstColumn="1" w:lastColumn="0" w:noHBand="0" w:noVBand="1"/>
      </w:tblPr>
      <w:tblGrid>
        <w:gridCol w:w="987"/>
        <w:gridCol w:w="2860"/>
        <w:gridCol w:w="3378"/>
        <w:gridCol w:w="2951"/>
        <w:gridCol w:w="2577"/>
        <w:gridCol w:w="2424"/>
      </w:tblGrid>
      <w:tr w:rsidR="00423417" w:rsidRPr="002D66DE" w14:paraId="0FB1D52F" w14:textId="77777777" w:rsidTr="00423417">
        <w:tc>
          <w:tcPr>
            <w:tcW w:w="987" w:type="dxa"/>
          </w:tcPr>
          <w:p w14:paraId="059FF417"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lastRenderedPageBreak/>
              <w:t>Article de la version de 2012</w:t>
            </w:r>
          </w:p>
        </w:tc>
        <w:tc>
          <w:tcPr>
            <w:tcW w:w="2860" w:type="dxa"/>
          </w:tcPr>
          <w:p w14:paraId="6463CF73"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w:t>
            </w:r>
          </w:p>
        </w:tc>
        <w:tc>
          <w:tcPr>
            <w:tcW w:w="3378" w:type="dxa"/>
          </w:tcPr>
          <w:p w14:paraId="641A5859"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Paragraphe et disposition correspondants dans la version de 1988</w:t>
            </w:r>
          </w:p>
        </w:tc>
        <w:tc>
          <w:tcPr>
            <w:tcW w:w="2951" w:type="dxa"/>
          </w:tcPr>
          <w:p w14:paraId="61BC4BE9"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Applicabilité pour ce qui est de favoriser la fourniture et le développement des réseaux et des services</w:t>
            </w:r>
          </w:p>
        </w:tc>
        <w:tc>
          <w:tcPr>
            <w:tcW w:w="2577" w:type="dxa"/>
          </w:tcPr>
          <w:p w14:paraId="0FB913F9"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 xml:space="preserve">Souplesse pour tenir compte des nouvelles tendances et des nouveaux problèmes </w:t>
            </w:r>
            <w:r w:rsidRPr="002D66DE">
              <w:rPr>
                <w:sz w:val="20"/>
                <w:szCs w:val="20"/>
              </w:rPr>
              <w:br/>
              <w:t>qui se font jour</w:t>
            </w:r>
          </w:p>
        </w:tc>
        <w:tc>
          <w:tcPr>
            <w:tcW w:w="2424" w:type="dxa"/>
          </w:tcPr>
          <w:p w14:paraId="4A3FE144" w14:textId="77777777" w:rsidR="00423417" w:rsidRPr="002D66DE" w:rsidRDefault="00423417" w:rsidP="00E47D11">
            <w:pPr>
              <w:pStyle w:val="Tablehead"/>
              <w:rPr>
                <w:rFonts w:asciiTheme="minorHAnsi" w:hAnsiTheme="minorHAnsi" w:cstheme="minorHAnsi"/>
                <w:sz w:val="20"/>
                <w:szCs w:val="20"/>
              </w:rPr>
            </w:pPr>
            <w:r w:rsidRPr="002D66DE">
              <w:rPr>
                <w:sz w:val="20"/>
                <w:szCs w:val="20"/>
              </w:rPr>
              <w:t>Résumé des résultats</w:t>
            </w:r>
          </w:p>
        </w:tc>
      </w:tr>
      <w:tr w:rsidR="00A74E53" w:rsidRPr="002D66DE" w14:paraId="0C4E6610" w14:textId="77777777" w:rsidTr="00AC7710">
        <w:tc>
          <w:tcPr>
            <w:tcW w:w="987" w:type="dxa"/>
          </w:tcPr>
          <w:p w14:paraId="72BFAFB0" w14:textId="4E1FFCFF" w:rsidR="00F476A1" w:rsidRPr="002D66DE" w:rsidRDefault="00F476A1" w:rsidP="00C55BDB">
            <w:pPr>
              <w:pStyle w:val="Tablehead"/>
              <w:rPr>
                <w:sz w:val="20"/>
                <w:szCs w:val="20"/>
              </w:rPr>
            </w:pPr>
            <w:r w:rsidRPr="002D66DE">
              <w:rPr>
                <w:sz w:val="20"/>
                <w:szCs w:val="20"/>
              </w:rPr>
              <w:t>44</w:t>
            </w:r>
          </w:p>
        </w:tc>
        <w:tc>
          <w:tcPr>
            <w:tcW w:w="2860" w:type="dxa"/>
          </w:tcPr>
          <w:p w14:paraId="3EC3E1C2" w14:textId="16128731" w:rsidR="00F476A1" w:rsidRPr="002D66DE" w:rsidRDefault="00F476A1" w:rsidP="00C55BDB">
            <w:pPr>
              <w:pStyle w:val="Tabletext"/>
              <w:rPr>
                <w:b/>
                <w:bCs/>
                <w:sz w:val="20"/>
                <w:szCs w:val="20"/>
              </w:rPr>
            </w:pPr>
            <w:r w:rsidRPr="002D66DE">
              <w:rPr>
                <w:b/>
                <w:bCs/>
                <w:sz w:val="20"/>
                <w:szCs w:val="20"/>
              </w:rPr>
              <w:t>4.7</w:t>
            </w:r>
            <w:r w:rsidRPr="002D66DE">
              <w:rPr>
                <w:b/>
                <w:bCs/>
                <w:sz w:val="20"/>
                <w:szCs w:val="20"/>
              </w:rPr>
              <w:tab/>
              <w:t xml:space="preserve">Les </w:t>
            </w:r>
            <w:r w:rsidR="004C7683" w:rsidRPr="002D66DE">
              <w:rPr>
                <w:b/>
                <w:bCs/>
                <w:sz w:val="20"/>
                <w:szCs w:val="20"/>
              </w:rPr>
              <w:t>États</w:t>
            </w:r>
            <w:r w:rsidRPr="002D66DE">
              <w:rPr>
                <w:b/>
                <w:bCs/>
                <w:sz w:val="20"/>
                <w:szCs w:val="20"/>
              </w:rPr>
              <w:t xml:space="preserve"> Membres s'efforcent de promouvoir la concurrence dans la fourniture de services d'itinérance internationale et sont encouragés à élaborer des politiques propres à favoriser des prix d'itinérance compétitifs dans l'intérêt des utilisateurs finals.</w:t>
            </w:r>
          </w:p>
        </w:tc>
        <w:tc>
          <w:tcPr>
            <w:tcW w:w="3378" w:type="dxa"/>
          </w:tcPr>
          <w:p w14:paraId="7BB89BD3" w14:textId="1F3A3125" w:rsidR="00F476A1" w:rsidRPr="002D66DE" w:rsidRDefault="00F476A1" w:rsidP="00C55BDB">
            <w:pPr>
              <w:pStyle w:val="Tabletext"/>
              <w:rPr>
                <w:sz w:val="20"/>
                <w:szCs w:val="20"/>
              </w:rPr>
            </w:pPr>
          </w:p>
        </w:tc>
        <w:tc>
          <w:tcPr>
            <w:tcW w:w="2951" w:type="dxa"/>
          </w:tcPr>
          <w:p w14:paraId="1A87EF8F" w14:textId="3583DE3C" w:rsidR="00F476A1" w:rsidRPr="002D66DE" w:rsidRDefault="005A3BBB" w:rsidP="00C55BDB">
            <w:pPr>
              <w:pStyle w:val="Tabletext"/>
              <w:rPr>
                <w:sz w:val="20"/>
                <w:szCs w:val="20"/>
              </w:rPr>
            </w:pPr>
            <w:bookmarkStart w:id="189" w:name="lt_pId351"/>
            <w:r w:rsidRPr="002D66DE">
              <w:rPr>
                <w:sz w:val="20"/>
                <w:szCs w:val="20"/>
              </w:rPr>
              <w:t>Certains membres ont estimé que l</w:t>
            </w:r>
            <w:r w:rsidR="00F476A1" w:rsidRPr="002D66DE">
              <w:rPr>
                <w:sz w:val="20"/>
                <w:szCs w:val="20"/>
              </w:rPr>
              <w:t xml:space="preserve">'expression "Les États Membres s'efforcent de promouvoir" et le terme "favoriser" ne sont pas juridiquement exécutoires et </w:t>
            </w:r>
            <w:r w:rsidRPr="002D66DE">
              <w:rPr>
                <w:sz w:val="20"/>
                <w:szCs w:val="20"/>
              </w:rPr>
              <w:t>qu</w:t>
            </w:r>
            <w:r w:rsidR="009F4D21" w:rsidRPr="002D66DE">
              <w:rPr>
                <w:sz w:val="20"/>
                <w:szCs w:val="20"/>
              </w:rPr>
              <w:t>'</w:t>
            </w:r>
            <w:r w:rsidR="00F476A1" w:rsidRPr="002D66DE">
              <w:rPr>
                <w:sz w:val="20"/>
                <w:szCs w:val="20"/>
              </w:rPr>
              <w:t>il est difficile de savoir comment cela devrait être mis en œuvre</w:t>
            </w:r>
            <w:bookmarkEnd w:id="189"/>
            <w:r w:rsidR="00F476A1" w:rsidRPr="002D66DE">
              <w:rPr>
                <w:sz w:val="20"/>
                <w:szCs w:val="20"/>
              </w:rPr>
              <w:t>.</w:t>
            </w:r>
          </w:p>
          <w:p w14:paraId="36CBE208" w14:textId="344C19A2" w:rsidR="00F476A1" w:rsidRPr="002D66DE" w:rsidRDefault="005A3BBB" w:rsidP="00C55BDB">
            <w:pPr>
              <w:pStyle w:val="Tabletext"/>
              <w:rPr>
                <w:rFonts w:cstheme="minorHAnsi"/>
                <w:sz w:val="20"/>
                <w:szCs w:val="20"/>
              </w:rPr>
            </w:pPr>
            <w:bookmarkStart w:id="190" w:name="lt_pId682"/>
            <w:r w:rsidRPr="002D66DE">
              <w:rPr>
                <w:rFonts w:cstheme="minorHAnsi"/>
                <w:sz w:val="20"/>
                <w:szCs w:val="20"/>
              </w:rPr>
              <w:t>De l</w:t>
            </w:r>
            <w:r w:rsidR="009F4D21" w:rsidRPr="002D66DE">
              <w:rPr>
                <w:rFonts w:cstheme="minorHAnsi"/>
                <w:sz w:val="20"/>
                <w:szCs w:val="20"/>
              </w:rPr>
              <w:t>'</w:t>
            </w:r>
            <w:r w:rsidRPr="002D66DE">
              <w:rPr>
                <w:rFonts w:cstheme="minorHAnsi"/>
                <w:sz w:val="20"/>
                <w:szCs w:val="20"/>
              </w:rPr>
              <w:t>avis de certains, cette disposition encourage la concurrence pour le service d'itinérance internationale fourni aux usagers ainsi que la coopération ré</w:t>
            </w:r>
            <w:r w:rsidR="00F476A1" w:rsidRPr="002D66DE">
              <w:rPr>
                <w:rFonts w:eastAsia="Calibri" w:cstheme="minorHAnsi"/>
                <w:bCs/>
                <w:sz w:val="20"/>
                <w:szCs w:val="20"/>
              </w:rPr>
              <w:t>gional</w:t>
            </w:r>
            <w:r w:rsidRPr="002D66DE">
              <w:rPr>
                <w:rFonts w:eastAsia="Calibri" w:cstheme="minorHAnsi"/>
                <w:bCs/>
                <w:sz w:val="20"/>
                <w:szCs w:val="20"/>
              </w:rPr>
              <w:t>e pour</w:t>
            </w:r>
            <w:r w:rsidRPr="002D66DE">
              <w:rPr>
                <w:rFonts w:ascii="Segoe UI" w:eastAsia="Times New Roman" w:hAnsi="Segoe UI" w:cs="Segoe UI"/>
                <w:color w:val="000000"/>
                <w:sz w:val="20"/>
                <w:szCs w:val="20"/>
                <w:shd w:val="clear" w:color="auto" w:fill="FFFFFF"/>
              </w:rPr>
              <w:t xml:space="preserve"> </w:t>
            </w:r>
            <w:r w:rsidRPr="002D66DE">
              <w:rPr>
                <w:rFonts w:cstheme="minorHAnsi"/>
                <w:sz w:val="20"/>
                <w:szCs w:val="20"/>
              </w:rPr>
              <w:t>favoriser des prix d'itinérance compétitifs</w:t>
            </w:r>
            <w:r w:rsidR="00F476A1" w:rsidRPr="002D66DE">
              <w:rPr>
                <w:rFonts w:cstheme="minorHAnsi"/>
                <w:sz w:val="20"/>
                <w:szCs w:val="20"/>
              </w:rPr>
              <w:t>.</w:t>
            </w:r>
            <w:bookmarkEnd w:id="190"/>
          </w:p>
          <w:p w14:paraId="03E4CAD8" w14:textId="6680201C" w:rsidR="00F476A1" w:rsidRPr="002D66DE" w:rsidRDefault="005A3BBB" w:rsidP="00C55BDB">
            <w:pPr>
              <w:pStyle w:val="Tabletext"/>
              <w:rPr>
                <w:sz w:val="20"/>
              </w:rPr>
            </w:pPr>
            <w:r w:rsidRPr="002D66DE">
              <w:rPr>
                <w:rFonts w:eastAsia="Times New Roman" w:cstheme="minorHAnsi"/>
                <w:sz w:val="20"/>
                <w:szCs w:val="20"/>
              </w:rPr>
              <w:t>De l</w:t>
            </w:r>
            <w:r w:rsidR="009F4D21" w:rsidRPr="002D66DE">
              <w:rPr>
                <w:rFonts w:eastAsia="Times New Roman" w:cstheme="minorHAnsi"/>
                <w:sz w:val="20"/>
                <w:szCs w:val="20"/>
              </w:rPr>
              <w:t>'</w:t>
            </w:r>
            <w:r w:rsidRPr="002D66DE">
              <w:rPr>
                <w:rFonts w:eastAsia="Times New Roman" w:cstheme="minorHAnsi"/>
                <w:sz w:val="20"/>
                <w:szCs w:val="20"/>
              </w:rPr>
              <w:t>avis de certains membres, cette disposition est applicable et favorise le développement des réseaux et des services</w:t>
            </w:r>
            <w:r w:rsidR="00F476A1" w:rsidRPr="002D66DE">
              <w:rPr>
                <w:sz w:val="20"/>
              </w:rPr>
              <w:t>.</w:t>
            </w:r>
          </w:p>
          <w:p w14:paraId="743EF160" w14:textId="69CF1E1F" w:rsidR="00F476A1" w:rsidRPr="002D66DE" w:rsidRDefault="00BF1394" w:rsidP="00C55BDB">
            <w:pPr>
              <w:pStyle w:val="Tabletext"/>
              <w:rPr>
                <w:sz w:val="20"/>
                <w:szCs w:val="20"/>
              </w:rPr>
            </w:pPr>
            <w:bookmarkStart w:id="191" w:name="lt_pId342"/>
            <w:r w:rsidRPr="002D66DE">
              <w:rPr>
                <w:sz w:val="20"/>
              </w:rPr>
              <w:t>C</w:t>
            </w:r>
            <w:r w:rsidR="005A3BBB" w:rsidRPr="002D66DE">
              <w:rPr>
                <w:sz w:val="20"/>
              </w:rPr>
              <w:t xml:space="preserve">ertains membres ont </w:t>
            </w:r>
            <w:r w:rsidRPr="002D66DE">
              <w:rPr>
                <w:sz w:val="20"/>
              </w:rPr>
              <w:t xml:space="preserve">toutefois </w:t>
            </w:r>
            <w:r w:rsidR="005A3BBB" w:rsidRPr="002D66DE">
              <w:rPr>
                <w:sz w:val="20"/>
              </w:rPr>
              <w:t>estimé que</w:t>
            </w:r>
            <w:r w:rsidR="00F476A1" w:rsidRPr="002D66DE">
              <w:rPr>
                <w:sz w:val="20"/>
              </w:rPr>
              <w:t xml:space="preserve"> </w:t>
            </w:r>
            <w:r w:rsidR="005A3BBB" w:rsidRPr="002D66DE">
              <w:rPr>
                <w:sz w:val="20"/>
              </w:rPr>
              <w:t>les tarifs sont fixés/négociés directement entre opérateurs et acteurs intermédiaires</w:t>
            </w:r>
            <w:r w:rsidRPr="002D66DE">
              <w:rPr>
                <w:sz w:val="20"/>
              </w:rPr>
              <w:t>,</w:t>
            </w:r>
            <w:r w:rsidR="005A3BBB" w:rsidRPr="002D66DE">
              <w:rPr>
                <w:sz w:val="20"/>
              </w:rPr>
              <w:t xml:space="preserve"> et dépendent fortement des acteurs intermédiaires</w:t>
            </w:r>
            <w:r w:rsidR="00F476A1" w:rsidRPr="002D66DE">
              <w:rPr>
                <w:sz w:val="20"/>
              </w:rPr>
              <w:t>.</w:t>
            </w:r>
            <w:bookmarkEnd w:id="191"/>
          </w:p>
        </w:tc>
        <w:tc>
          <w:tcPr>
            <w:tcW w:w="2577" w:type="dxa"/>
          </w:tcPr>
          <w:p w14:paraId="6967532A" w14:textId="6C3B3347" w:rsidR="00F476A1" w:rsidRPr="002D66DE" w:rsidRDefault="00F476A1" w:rsidP="00C55BDB">
            <w:pPr>
              <w:pStyle w:val="Tabletext"/>
              <w:rPr>
                <w:sz w:val="20"/>
                <w:szCs w:val="20"/>
              </w:rPr>
            </w:pPr>
            <w:r w:rsidRPr="002D66DE">
              <w:rPr>
                <w:sz w:val="20"/>
                <w:szCs w:val="20"/>
              </w:rPr>
              <w:t>Ce</w:t>
            </w:r>
            <w:r w:rsidR="001F45E1" w:rsidRPr="002D66DE">
              <w:rPr>
                <w:sz w:val="20"/>
                <w:szCs w:val="20"/>
              </w:rPr>
              <w:t>rtains membres ont estimé que ce</w:t>
            </w:r>
            <w:r w:rsidRPr="002D66DE">
              <w:rPr>
                <w:sz w:val="20"/>
                <w:szCs w:val="20"/>
              </w:rPr>
              <w:t>tte disposition accorde trop d'importance à l'idée d'intervention par les États Membres. Cela signifie que</w:t>
            </w:r>
            <w:r w:rsidR="001F45E1" w:rsidRPr="002D66DE">
              <w:rPr>
                <w:sz w:val="20"/>
                <w:szCs w:val="20"/>
              </w:rPr>
              <w:t xml:space="preserve"> cette disposition</w:t>
            </w:r>
            <w:r w:rsidRPr="002D66DE">
              <w:rPr>
                <w:sz w:val="20"/>
                <w:szCs w:val="20"/>
              </w:rPr>
              <w:t xml:space="preserve"> est moins susceptible de tenir compte des nouvelles tendances et des nouveaux problèmes qui se font jour, les fournisseurs de services étant généralement les premiers à être confrontés à ces tendances et à ces problèmes.</w:t>
            </w:r>
          </w:p>
          <w:p w14:paraId="208FF413" w14:textId="5C5CBE38" w:rsidR="00F476A1" w:rsidRPr="002D66DE" w:rsidRDefault="001F45E1" w:rsidP="00C55BDB">
            <w:pPr>
              <w:pStyle w:val="Tabletext"/>
              <w:rPr>
                <w:sz w:val="20"/>
              </w:rPr>
            </w:pPr>
            <w:bookmarkStart w:id="192" w:name="lt_pId687"/>
            <w:r w:rsidRPr="002D66DE">
              <w:rPr>
                <w:sz w:val="20"/>
              </w:rPr>
              <w:t>De l</w:t>
            </w:r>
            <w:r w:rsidR="009F4D21" w:rsidRPr="002D66DE">
              <w:rPr>
                <w:sz w:val="20"/>
              </w:rPr>
              <w:t>'</w:t>
            </w:r>
            <w:r w:rsidRPr="002D66DE">
              <w:rPr>
                <w:sz w:val="20"/>
              </w:rPr>
              <w:t>avis de certains membres, cette disposition est souple et permet la règlementation de l</w:t>
            </w:r>
            <w:r w:rsidR="009F4D21" w:rsidRPr="002D66DE">
              <w:rPr>
                <w:sz w:val="20"/>
              </w:rPr>
              <w:t>'</w:t>
            </w:r>
            <w:r w:rsidRPr="002D66DE">
              <w:rPr>
                <w:sz w:val="20"/>
              </w:rPr>
              <w:t>itinérance internationale</w:t>
            </w:r>
            <w:r w:rsidR="00F476A1" w:rsidRPr="002D66DE">
              <w:rPr>
                <w:sz w:val="20"/>
              </w:rPr>
              <w:t>.</w:t>
            </w:r>
            <w:bookmarkEnd w:id="192"/>
          </w:p>
          <w:p w14:paraId="2DBED64E" w14:textId="57A955A9" w:rsidR="00F476A1" w:rsidRPr="002D66DE" w:rsidRDefault="001F45E1" w:rsidP="00C55BDB">
            <w:pPr>
              <w:pStyle w:val="Tabletext"/>
              <w:rPr>
                <w:sz w:val="20"/>
                <w:szCs w:val="20"/>
              </w:rPr>
            </w:pPr>
            <w:bookmarkStart w:id="193" w:name="lt_pId688"/>
            <w:r w:rsidRPr="002D66DE">
              <w:rPr>
                <w:sz w:val="20"/>
              </w:rPr>
              <w:t xml:space="preserve">Certains membres ont </w:t>
            </w:r>
            <w:r w:rsidR="00BF1394" w:rsidRPr="002D66DE">
              <w:rPr>
                <w:sz w:val="20"/>
              </w:rPr>
              <w:t xml:space="preserve">toutefois </w:t>
            </w:r>
            <w:r w:rsidRPr="002D66DE">
              <w:rPr>
                <w:sz w:val="20"/>
              </w:rPr>
              <w:t xml:space="preserve">estimé que les États </w:t>
            </w:r>
            <w:r w:rsidR="00BF1394" w:rsidRPr="002D66DE">
              <w:rPr>
                <w:sz w:val="20"/>
              </w:rPr>
              <w:t xml:space="preserve">Membres </w:t>
            </w:r>
            <w:r w:rsidRPr="002D66DE">
              <w:rPr>
                <w:sz w:val="20"/>
              </w:rPr>
              <w:t>n</w:t>
            </w:r>
            <w:r w:rsidR="009F4D21" w:rsidRPr="002D66DE">
              <w:rPr>
                <w:sz w:val="20"/>
              </w:rPr>
              <w:t>'</w:t>
            </w:r>
            <w:r w:rsidRPr="002D66DE">
              <w:rPr>
                <w:sz w:val="20"/>
              </w:rPr>
              <w:t>ont pas de marge de négociation pour protéger les consommateurs, étant donné que le service d</w:t>
            </w:r>
            <w:r w:rsidR="009F4D21" w:rsidRPr="002D66DE">
              <w:rPr>
                <w:sz w:val="20"/>
              </w:rPr>
              <w:t>'</w:t>
            </w:r>
            <w:r w:rsidRPr="002D66DE">
              <w:rPr>
                <w:sz w:val="20"/>
              </w:rPr>
              <w:t>itinérance repose sur des accords commerciaux</w:t>
            </w:r>
            <w:r w:rsidR="00F476A1" w:rsidRPr="002D66DE">
              <w:rPr>
                <w:sz w:val="20"/>
              </w:rPr>
              <w:t>.</w:t>
            </w:r>
            <w:bookmarkEnd w:id="193"/>
          </w:p>
        </w:tc>
        <w:tc>
          <w:tcPr>
            <w:tcW w:w="2424" w:type="dxa"/>
          </w:tcPr>
          <w:p w14:paraId="3AF9921F" w14:textId="5394EA0C"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a pas besoin d</w:t>
            </w:r>
            <w:r w:rsidR="009F4D21" w:rsidRPr="002D66DE">
              <w:rPr>
                <w:sz w:val="20"/>
                <w:szCs w:val="20"/>
              </w:rPr>
              <w:t>'</w:t>
            </w:r>
            <w:r w:rsidRPr="002D66DE">
              <w:rPr>
                <w:sz w:val="20"/>
                <w:szCs w:val="20"/>
              </w:rPr>
              <w:t>être modifiée puisqu</w:t>
            </w:r>
            <w:r w:rsidR="009F4D21" w:rsidRPr="002D66DE">
              <w:rPr>
                <w:sz w:val="20"/>
                <w:szCs w:val="20"/>
              </w:rPr>
              <w:t>'</w:t>
            </w:r>
            <w:r w:rsidRPr="002D66DE">
              <w:rPr>
                <w:sz w:val="20"/>
                <w:szCs w:val="20"/>
              </w:rPr>
              <w:t>elle est applicable et souple.</w:t>
            </w:r>
          </w:p>
          <w:p w14:paraId="05B1ED94" w14:textId="12E3AA13" w:rsidR="000636B9" w:rsidRPr="002D66DE" w:rsidRDefault="000636B9" w:rsidP="00C55BDB">
            <w:pPr>
              <w:pStyle w:val="Tabletext"/>
              <w:rPr>
                <w:sz w:val="20"/>
                <w:szCs w:val="20"/>
              </w:rPr>
            </w:pPr>
            <w:r w:rsidRPr="002D66DE">
              <w:rPr>
                <w:sz w:val="20"/>
                <w:szCs w:val="20"/>
              </w:rPr>
              <w:t>Certains membres ont estimé que cette disposition n</w:t>
            </w:r>
            <w:r w:rsidR="009F4D21" w:rsidRPr="002D66DE">
              <w:rPr>
                <w:sz w:val="20"/>
                <w:szCs w:val="20"/>
              </w:rPr>
              <w:t>'</w:t>
            </w:r>
            <w:r w:rsidRPr="002D66DE">
              <w:rPr>
                <w:sz w:val="20"/>
                <w:szCs w:val="20"/>
              </w:rPr>
              <w:t>est pas nécessaire, puisqu</w:t>
            </w:r>
            <w:r w:rsidR="009F4D21" w:rsidRPr="002D66DE">
              <w:rPr>
                <w:sz w:val="20"/>
                <w:szCs w:val="20"/>
              </w:rPr>
              <w:t>'</w:t>
            </w:r>
            <w:r w:rsidRPr="002D66DE">
              <w:rPr>
                <w:sz w:val="20"/>
                <w:szCs w:val="20"/>
              </w:rPr>
              <w:t>elle n</w:t>
            </w:r>
            <w:r w:rsidR="009F4D21" w:rsidRPr="002D66DE">
              <w:rPr>
                <w:sz w:val="20"/>
                <w:szCs w:val="20"/>
              </w:rPr>
              <w:t>'</w:t>
            </w:r>
            <w:r w:rsidRPr="002D66DE">
              <w:rPr>
                <w:sz w:val="20"/>
                <w:szCs w:val="20"/>
              </w:rPr>
              <w:t>est plus applicable ni souple.</w:t>
            </w:r>
          </w:p>
          <w:p w14:paraId="0D302D81" w14:textId="164810EF" w:rsidR="00F476A1" w:rsidRPr="002D66DE" w:rsidRDefault="003111C2" w:rsidP="00C55BDB">
            <w:pPr>
              <w:pStyle w:val="Tabletext"/>
              <w:rPr>
                <w:sz w:val="20"/>
              </w:rPr>
            </w:pPr>
            <w:r w:rsidRPr="002D66DE">
              <w:rPr>
                <w:sz w:val="20"/>
                <w:szCs w:val="20"/>
              </w:rPr>
              <w:t>Certains autres membres ont fait valoir que cette disposition d</w:t>
            </w:r>
            <w:r w:rsidR="000636B9" w:rsidRPr="002D66DE">
              <w:rPr>
                <w:sz w:val="20"/>
                <w:szCs w:val="20"/>
              </w:rPr>
              <w:t>oi</w:t>
            </w:r>
            <w:r w:rsidRPr="002D66DE">
              <w:rPr>
                <w:sz w:val="20"/>
                <w:szCs w:val="20"/>
              </w:rPr>
              <w:t>t être mise à jour afin de tenir compte des évolutions constatées dans la fourniture des services de télécommunication/TIC à l</w:t>
            </w:r>
            <w:r w:rsidR="009F4D21" w:rsidRPr="002D66DE">
              <w:rPr>
                <w:sz w:val="20"/>
                <w:szCs w:val="20"/>
              </w:rPr>
              <w:t>'</w:t>
            </w:r>
            <w:r w:rsidRPr="002D66DE">
              <w:rPr>
                <w:sz w:val="20"/>
                <w:szCs w:val="20"/>
              </w:rPr>
              <w:t>utilisateur final</w:t>
            </w:r>
            <w:r w:rsidRPr="002D66DE">
              <w:rPr>
                <w:sz w:val="20"/>
              </w:rPr>
              <w:t>.</w:t>
            </w:r>
          </w:p>
        </w:tc>
      </w:tr>
    </w:tbl>
    <w:bookmarkEnd w:id="74"/>
    <w:p w14:paraId="40D6123B" w14:textId="43005AF7" w:rsidR="006A0602" w:rsidRPr="002D66DE" w:rsidRDefault="006A0602" w:rsidP="00C176DF">
      <w:pPr>
        <w:jc w:val="center"/>
      </w:pPr>
      <w:r w:rsidRPr="002D66DE">
        <w:t>______________</w:t>
      </w:r>
    </w:p>
    <w:sectPr w:rsidR="006A0602" w:rsidRPr="002D66DE" w:rsidSect="005D0363">
      <w:headerReference w:type="first" r:id="rId31"/>
      <w:footerReference w:type="first" r:id="rId32"/>
      <w:pgSz w:w="16840" w:h="11907" w:orient="landscape" w:code="9"/>
      <w:pgMar w:top="1134" w:right="1418"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B5C64" w14:textId="77777777" w:rsidR="00E47D11" w:rsidRDefault="00E47D11">
      <w:r>
        <w:separator/>
      </w:r>
    </w:p>
  </w:endnote>
  <w:endnote w:type="continuationSeparator" w:id="0">
    <w:p w14:paraId="1B61540F" w14:textId="77777777" w:rsidR="00E47D11" w:rsidRDefault="00E4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815D" w14:textId="5AB92E77" w:rsidR="00E47D11" w:rsidRPr="009F655C" w:rsidRDefault="00E47D11">
    <w:pPr>
      <w:pStyle w:val="Footer"/>
    </w:pPr>
    <w:r>
      <w:fldChar w:fldCharType="begin"/>
    </w:r>
    <w:r w:rsidRPr="009F655C">
      <w:instrText xml:space="preserve"> FILENAME \p \* MERGEFORMAT </w:instrText>
    </w:r>
    <w:r>
      <w:fldChar w:fldCharType="separate"/>
    </w:r>
    <w:r w:rsidR="005D0363">
      <w:t>P:\FRA\SG\CONSEIL\EG-ITR\EG-ITR-2\000\013F.docx</w:t>
    </w:r>
    <w:r>
      <w:fldChar w:fldCharType="end"/>
    </w:r>
    <w:r w:rsidRPr="009F655C">
      <w:tab/>
    </w:r>
    <w:r>
      <w:fldChar w:fldCharType="begin"/>
    </w:r>
    <w:r>
      <w:instrText xml:space="preserve"> savedate \@ dd.MM.yy </w:instrText>
    </w:r>
    <w:r>
      <w:fldChar w:fldCharType="separate"/>
    </w:r>
    <w:r w:rsidR="00AA6AD3">
      <w:t>22.05.20</w:t>
    </w:r>
    <w:r>
      <w:fldChar w:fldCharType="end"/>
    </w:r>
    <w:r w:rsidRPr="009F655C">
      <w:tab/>
    </w:r>
    <w:r>
      <w:fldChar w:fldCharType="begin"/>
    </w:r>
    <w:r>
      <w:instrText xml:space="preserve"> printdate \@ dd.MM.yy </w:instrText>
    </w:r>
    <w:r>
      <w:fldChar w:fldCharType="separate"/>
    </w:r>
    <w:r w:rsidR="005D0363">
      <w:t>20.05.20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15D37" w14:textId="52F414D1" w:rsidR="00E47D11" w:rsidRPr="00AA6AD3" w:rsidRDefault="00E47D11" w:rsidP="00D837AA">
    <w:pPr>
      <w:pStyle w:val="Footer"/>
      <w:rPr>
        <w:color w:val="D9D9D9" w:themeColor="background1" w:themeShade="D9"/>
      </w:rPr>
    </w:pPr>
    <w:r w:rsidRPr="00AA6AD3">
      <w:rPr>
        <w:color w:val="D9D9D9" w:themeColor="background1" w:themeShade="D9"/>
      </w:rPr>
      <w:fldChar w:fldCharType="begin"/>
    </w:r>
    <w:r w:rsidRPr="00AA6AD3">
      <w:rPr>
        <w:color w:val="D9D9D9" w:themeColor="background1" w:themeShade="D9"/>
      </w:rPr>
      <w:instrText xml:space="preserve"> FILENAME \p \* MERGEFORMAT </w:instrText>
    </w:r>
    <w:r w:rsidRPr="00AA6AD3">
      <w:rPr>
        <w:color w:val="D9D9D9" w:themeColor="background1" w:themeShade="D9"/>
      </w:rPr>
      <w:fldChar w:fldCharType="separate"/>
    </w:r>
    <w:r w:rsidR="005D0363" w:rsidRPr="00AA6AD3">
      <w:rPr>
        <w:color w:val="D9D9D9" w:themeColor="background1" w:themeShade="D9"/>
      </w:rPr>
      <w:t>P:\FRA\SG\CONSEIL\EG-ITR\EG-ITR-2\000\013F.docx</w:t>
    </w:r>
    <w:r w:rsidRPr="00AA6AD3">
      <w:rPr>
        <w:color w:val="D9D9D9" w:themeColor="background1" w:themeShade="D9"/>
      </w:rPr>
      <w:fldChar w:fldCharType="end"/>
    </w:r>
    <w:r w:rsidRPr="00AA6AD3">
      <w:rPr>
        <w:color w:val="D9D9D9" w:themeColor="background1" w:themeShade="D9"/>
      </w:rPr>
      <w:t xml:space="preserve"> (470615)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639D" w14:textId="744B1EE4" w:rsidR="00E47D11" w:rsidRPr="006A0602" w:rsidRDefault="00E47D11" w:rsidP="006A0602">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15A3B" w14:textId="4BC2A40F" w:rsidR="00E47D11" w:rsidRPr="00AA6AD3" w:rsidRDefault="00E47D11" w:rsidP="00AD0B9A">
    <w:pPr>
      <w:spacing w:after="120"/>
      <w:rPr>
        <w:color w:val="D9D9D9" w:themeColor="background1" w:themeShade="D9"/>
        <w:sz w:val="16"/>
        <w:szCs w:val="16"/>
      </w:rPr>
    </w:pPr>
    <w:r w:rsidRPr="00AA6AD3">
      <w:rPr>
        <w:color w:val="D9D9D9" w:themeColor="background1" w:themeShade="D9"/>
        <w:sz w:val="16"/>
        <w:szCs w:val="16"/>
      </w:rPr>
      <w:fldChar w:fldCharType="begin"/>
    </w:r>
    <w:r w:rsidRPr="00AA6AD3">
      <w:rPr>
        <w:color w:val="D9D9D9" w:themeColor="background1" w:themeShade="D9"/>
        <w:sz w:val="16"/>
        <w:szCs w:val="16"/>
      </w:rPr>
      <w:instrText xml:space="preserve"> FILENAME \p \* MERGEFORMAT </w:instrText>
    </w:r>
    <w:r w:rsidRPr="00AA6AD3">
      <w:rPr>
        <w:color w:val="D9D9D9" w:themeColor="background1" w:themeShade="D9"/>
        <w:sz w:val="16"/>
        <w:szCs w:val="16"/>
      </w:rPr>
      <w:fldChar w:fldCharType="separate"/>
    </w:r>
    <w:r w:rsidR="005D0363" w:rsidRPr="00AA6AD3">
      <w:rPr>
        <w:noProof/>
        <w:color w:val="D9D9D9" w:themeColor="background1" w:themeShade="D9"/>
        <w:sz w:val="16"/>
        <w:szCs w:val="16"/>
      </w:rPr>
      <w:t>P:\FRA\SG\CONSEIL\EG-ITR\EG-ITR-2\000\013F.docx</w:t>
    </w:r>
    <w:r w:rsidRPr="00AA6AD3">
      <w:rPr>
        <w:color w:val="D9D9D9" w:themeColor="background1" w:themeShade="D9"/>
        <w:sz w:val="16"/>
        <w:szCs w:val="16"/>
      </w:rPr>
      <w:fldChar w:fldCharType="end"/>
    </w:r>
    <w:r w:rsidRPr="00AA6AD3">
      <w:rPr>
        <w:color w:val="D9D9D9" w:themeColor="background1" w:themeShade="D9"/>
        <w:sz w:val="16"/>
        <w:szCs w:val="16"/>
      </w:rPr>
      <w:t xml:space="preserve"> (470615)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62ECE" w14:textId="77777777" w:rsidR="00E47D11" w:rsidRDefault="00E47D11">
      <w:r>
        <w:t>____________________</w:t>
      </w:r>
    </w:p>
  </w:footnote>
  <w:footnote w:type="continuationSeparator" w:id="0">
    <w:p w14:paraId="1D032AB1" w14:textId="77777777" w:rsidR="00E47D11" w:rsidRDefault="00E47D11">
      <w:r>
        <w:continuationSeparator/>
      </w:r>
    </w:p>
  </w:footnote>
  <w:footnote w:id="1">
    <w:p w14:paraId="36AE3021" w14:textId="77777777" w:rsidR="00E47D11" w:rsidRDefault="00E47D11" w:rsidP="009C5218">
      <w:pPr>
        <w:pStyle w:val="FootnoteText"/>
      </w:pPr>
      <w:r w:rsidRPr="0039774D">
        <w:rPr>
          <w:rStyle w:val="FootnoteReference"/>
          <w:sz w:val="18"/>
          <w:szCs w:val="18"/>
        </w:rPr>
        <w:t>*</w:t>
      </w:r>
      <w:r>
        <w:tab/>
      </w:r>
      <w:r w:rsidRPr="00995C64">
        <w:rPr>
          <w:sz w:val="20"/>
          <w:lang w:val="fr-CH"/>
        </w:rPr>
        <w:t>ou exploitation(s) privée(s) reconnue(s).</w:t>
      </w:r>
    </w:p>
  </w:footnote>
  <w:footnote w:id="2">
    <w:p w14:paraId="23AABBEF" w14:textId="5D542693" w:rsidR="00E47D11" w:rsidRPr="004C7683" w:rsidRDefault="00E47D11">
      <w:pPr>
        <w:pStyle w:val="FootnoteText"/>
        <w:rPr>
          <w:lang w:val="fr-CH"/>
        </w:rPr>
      </w:pPr>
      <w:r>
        <w:rPr>
          <w:rStyle w:val="FootnoteReference"/>
        </w:rPr>
        <w:t>*</w:t>
      </w:r>
      <w:r>
        <w:tab/>
      </w:r>
      <w:r w:rsidRPr="00995C64">
        <w:rPr>
          <w:sz w:val="20"/>
        </w:rPr>
        <w:t>ou exploitation(s) privée(s) reconnue(s).</w:t>
      </w:r>
    </w:p>
  </w:footnote>
  <w:footnote w:id="3">
    <w:p w14:paraId="5CD773CC" w14:textId="0CED8185" w:rsidR="00E47D11" w:rsidRPr="004C7683" w:rsidRDefault="00E47D11">
      <w:pPr>
        <w:pStyle w:val="FootnoteText"/>
        <w:rPr>
          <w:lang w:val="fr-CH"/>
        </w:rPr>
      </w:pPr>
      <w:r>
        <w:rPr>
          <w:rStyle w:val="FootnoteReference"/>
        </w:rPr>
        <w:t>*</w:t>
      </w:r>
      <w:r>
        <w:tab/>
      </w:r>
      <w:r w:rsidRPr="00995C64">
        <w:rPr>
          <w:sz w:val="20"/>
        </w:rPr>
        <w:t>ou exploitation(s) privée(s) reconnue(s).</w:t>
      </w:r>
    </w:p>
  </w:footnote>
  <w:footnote w:id="4">
    <w:p w14:paraId="52376B2C" w14:textId="663B8F28" w:rsidR="00E47D11" w:rsidRPr="00995C64" w:rsidRDefault="00E47D11">
      <w:pPr>
        <w:pStyle w:val="FootnoteText"/>
        <w:rPr>
          <w:sz w:val="20"/>
          <w:lang w:val="fr-CH"/>
        </w:rPr>
      </w:pPr>
      <w:r>
        <w:rPr>
          <w:rStyle w:val="FootnoteReference"/>
        </w:rPr>
        <w:t>*</w:t>
      </w:r>
      <w:r>
        <w:tab/>
      </w:r>
      <w:r w:rsidRPr="00995C64">
        <w:rPr>
          <w:sz w:val="20"/>
        </w:rPr>
        <w:t>ou exploitation(s) privée(s) reconnue(s).</w:t>
      </w:r>
    </w:p>
  </w:footnote>
  <w:footnote w:id="5">
    <w:p w14:paraId="3764B07A" w14:textId="407E2221" w:rsidR="00E47D11" w:rsidRPr="00AB1D29" w:rsidRDefault="00E47D11">
      <w:pPr>
        <w:pStyle w:val="FootnoteText"/>
        <w:rPr>
          <w:sz w:val="20"/>
          <w:lang w:val="fr-CH"/>
        </w:rPr>
      </w:pPr>
      <w:r>
        <w:rPr>
          <w:rStyle w:val="FootnoteReference"/>
        </w:rPr>
        <w:t>*</w:t>
      </w:r>
      <w:r>
        <w:tab/>
      </w:r>
      <w:r w:rsidRPr="00AB1D29">
        <w:rPr>
          <w:sz w:val="20"/>
          <w:lang w:val="fr-CH"/>
        </w:rPr>
        <w:t>ou exploitation(s) privée(s) reconnue(s).</w:t>
      </w:r>
    </w:p>
  </w:footnote>
  <w:footnote w:id="6">
    <w:p w14:paraId="6B2D493D" w14:textId="0A05499B" w:rsidR="00E47D11" w:rsidRPr="0066635B" w:rsidRDefault="00E47D11">
      <w:pPr>
        <w:pStyle w:val="FootnoteText"/>
        <w:rPr>
          <w:sz w:val="20"/>
          <w:lang w:val="fr-CH"/>
        </w:rPr>
      </w:pPr>
      <w:r>
        <w:rPr>
          <w:rStyle w:val="FootnoteReference"/>
        </w:rPr>
        <w:t>*</w:t>
      </w:r>
      <w:r>
        <w:tab/>
      </w:r>
      <w:r w:rsidRPr="0066635B">
        <w:rPr>
          <w:sz w:val="20"/>
          <w:lang w:val="fr-CH"/>
        </w:rPr>
        <w:t>ou exploitation(s) privée(s) reconnue(s).</w:t>
      </w:r>
    </w:p>
  </w:footnote>
  <w:footnote w:id="7">
    <w:p w14:paraId="72FE150D" w14:textId="4DC1C80B" w:rsidR="0066635B" w:rsidRPr="0066635B" w:rsidRDefault="0066635B">
      <w:pPr>
        <w:pStyle w:val="FootnoteText"/>
        <w:rPr>
          <w:sz w:val="20"/>
        </w:rPr>
      </w:pPr>
      <w:r>
        <w:rPr>
          <w:rStyle w:val="FootnoteReference"/>
        </w:rPr>
        <w:t>*</w:t>
      </w:r>
      <w:r>
        <w:tab/>
      </w:r>
      <w:r w:rsidRPr="0066635B">
        <w:rPr>
          <w:sz w:val="20"/>
        </w:rPr>
        <w:t>ou exploitation(s) privée(s) reconnue(s).</w:t>
      </w:r>
    </w:p>
  </w:footnote>
  <w:footnote w:id="8">
    <w:p w14:paraId="34214487" w14:textId="02095FE5" w:rsidR="00E47D11" w:rsidRPr="00805344" w:rsidRDefault="00E47D11">
      <w:pPr>
        <w:pStyle w:val="FootnoteText"/>
        <w:rPr>
          <w:sz w:val="20"/>
          <w:lang w:val="fr-CH"/>
        </w:rPr>
      </w:pPr>
      <w:r>
        <w:rPr>
          <w:rStyle w:val="FootnoteReference"/>
        </w:rPr>
        <w:t>*</w:t>
      </w:r>
      <w:r w:rsidRPr="00805344">
        <w:rPr>
          <w:sz w:val="20"/>
        </w:rPr>
        <w:tab/>
      </w:r>
      <w:r w:rsidRPr="00805344">
        <w:rPr>
          <w:sz w:val="20"/>
          <w:lang w:val="fr-CH"/>
        </w:rPr>
        <w:t>ou exploitation(s) privée(s) reconnue(s).</w:t>
      </w:r>
    </w:p>
  </w:footnote>
  <w:footnote w:id="9">
    <w:p w14:paraId="5EC52A5F" w14:textId="049035BE" w:rsidR="00E47D11" w:rsidRPr="00FD0FDE" w:rsidRDefault="00E47D11">
      <w:pPr>
        <w:pStyle w:val="FootnoteText"/>
        <w:rPr>
          <w:sz w:val="20"/>
          <w:lang w:val="fr-CH"/>
        </w:rPr>
      </w:pPr>
      <w:r>
        <w:rPr>
          <w:rStyle w:val="FootnoteReference"/>
        </w:rPr>
        <w:t>*</w:t>
      </w:r>
      <w:r>
        <w:tab/>
      </w:r>
      <w:r w:rsidRPr="00FD0FDE">
        <w:rPr>
          <w:sz w:val="20"/>
          <w:lang w:val="fr-CH"/>
        </w:rPr>
        <w:t>ou exploitation(s) privée(s) reconnue(s).</w:t>
      </w:r>
    </w:p>
  </w:footnote>
  <w:footnote w:id="10">
    <w:p w14:paraId="4436DFB0" w14:textId="50E78803" w:rsidR="00E47D11" w:rsidRPr="00FD0FDE" w:rsidRDefault="00E47D11">
      <w:pPr>
        <w:pStyle w:val="FootnoteText"/>
        <w:rPr>
          <w:sz w:val="20"/>
          <w:lang w:val="fr-CH"/>
        </w:rPr>
      </w:pPr>
      <w:r>
        <w:rPr>
          <w:rStyle w:val="FootnoteReference"/>
        </w:rPr>
        <w:t>*</w:t>
      </w:r>
      <w:r>
        <w:tab/>
      </w:r>
      <w:r w:rsidRPr="00FD0FDE">
        <w:rPr>
          <w:sz w:val="20"/>
          <w:lang w:val="fr-CH"/>
        </w:rPr>
        <w:t>ou exploitation(s) privée(s) reconnue(s).</w:t>
      </w:r>
    </w:p>
  </w:footnote>
  <w:footnote w:id="11">
    <w:p w14:paraId="41BB104A" w14:textId="0B5E2433" w:rsidR="00E47D11" w:rsidRPr="00AA2A48" w:rsidRDefault="00E47D11">
      <w:pPr>
        <w:pStyle w:val="FootnoteText"/>
        <w:rPr>
          <w:sz w:val="20"/>
          <w:lang w:val="fr-CH"/>
        </w:rPr>
      </w:pPr>
      <w:r>
        <w:rPr>
          <w:rStyle w:val="FootnoteReference"/>
        </w:rPr>
        <w:t>*</w:t>
      </w:r>
      <w:r>
        <w:tab/>
      </w:r>
      <w:r w:rsidRPr="00AA2A48">
        <w:rPr>
          <w:sz w:val="20"/>
          <w:lang w:val="fr-CH"/>
        </w:rPr>
        <w:t>ou exploitation(s) privée(s) reconnue(s).</w:t>
      </w:r>
    </w:p>
  </w:footnote>
  <w:footnote w:id="12">
    <w:p w14:paraId="748AC657" w14:textId="30FBA0D5" w:rsidR="00E47D11" w:rsidRPr="008C10BF" w:rsidRDefault="00E47D11">
      <w:pPr>
        <w:pStyle w:val="FootnoteText"/>
        <w:rPr>
          <w:sz w:val="20"/>
          <w:lang w:val="fr-CH"/>
        </w:rPr>
      </w:pPr>
      <w:r>
        <w:rPr>
          <w:rStyle w:val="FootnoteReference"/>
        </w:rPr>
        <w:t>*</w:t>
      </w:r>
      <w:r>
        <w:tab/>
      </w:r>
      <w:r w:rsidRPr="008C10BF">
        <w:rPr>
          <w:sz w:val="20"/>
          <w:lang w:val="fr-CH"/>
        </w:rPr>
        <w:t>ou exploitation(s) privée(s) reconnue(s).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6DC6" w14:textId="77777777" w:rsidR="00E47D11" w:rsidRDefault="00E47D11">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B24316C" w14:textId="77777777" w:rsidR="00E47D11" w:rsidRDefault="00E47D11">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2567" w14:textId="77777777" w:rsidR="00E47D11" w:rsidRDefault="00E47D11" w:rsidP="00475FB3">
    <w:pPr>
      <w:pStyle w:val="Header"/>
    </w:pPr>
    <w:r>
      <w:fldChar w:fldCharType="begin"/>
    </w:r>
    <w:r>
      <w:instrText>PAGE</w:instrText>
    </w:r>
    <w:r>
      <w:fldChar w:fldCharType="separate"/>
    </w:r>
    <w:r>
      <w:rPr>
        <w:noProof/>
      </w:rPr>
      <w:t>2</w:t>
    </w:r>
    <w:r>
      <w:rPr>
        <w:noProof/>
      </w:rPr>
      <w:fldChar w:fldCharType="end"/>
    </w:r>
  </w:p>
  <w:p w14:paraId="73879FCE" w14:textId="6570F8E0" w:rsidR="00E47D11" w:rsidRDefault="00E47D11" w:rsidP="0093234A">
    <w:pPr>
      <w:pStyle w:val="Header"/>
    </w:pPr>
    <w:r>
      <w:rPr>
        <w:noProof/>
      </w:rPr>
      <w:t>EG-ITRs-2\13-F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DDA7" w14:textId="77777777" w:rsidR="00E47D11" w:rsidRDefault="00E47D11" w:rsidP="005853AF">
    <w:pPr>
      <w:pStyle w:val="Header"/>
    </w:pPr>
    <w:r>
      <w:fldChar w:fldCharType="begin"/>
    </w:r>
    <w:r>
      <w:instrText>PAGE</w:instrText>
    </w:r>
    <w:r>
      <w:fldChar w:fldCharType="separate"/>
    </w:r>
    <w:r>
      <w:t>15</w:t>
    </w:r>
    <w:r>
      <w:rPr>
        <w:noProof/>
      </w:rPr>
      <w:fldChar w:fldCharType="end"/>
    </w:r>
  </w:p>
  <w:p w14:paraId="153862E0" w14:textId="408524F0" w:rsidR="00E47D11" w:rsidRDefault="00E47D11" w:rsidP="005853AF">
    <w:pPr>
      <w:pStyle w:val="Header"/>
    </w:pPr>
    <w:r>
      <w:rPr>
        <w:noProof/>
      </w:rPr>
      <w:t>EG-ITRs-2\13-F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30634"/>
    <w:multiLevelType w:val="multilevel"/>
    <w:tmpl w:val="5D12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94"/>
    <w:rsid w:val="000053E9"/>
    <w:rsid w:val="00006388"/>
    <w:rsid w:val="000075F2"/>
    <w:rsid w:val="00014FB9"/>
    <w:rsid w:val="00035184"/>
    <w:rsid w:val="0004096C"/>
    <w:rsid w:val="0004376B"/>
    <w:rsid w:val="000443E8"/>
    <w:rsid w:val="0004701C"/>
    <w:rsid w:val="000636B9"/>
    <w:rsid w:val="00064DDD"/>
    <w:rsid w:val="00065588"/>
    <w:rsid w:val="000916D4"/>
    <w:rsid w:val="00093410"/>
    <w:rsid w:val="00095E4D"/>
    <w:rsid w:val="000979F2"/>
    <w:rsid w:val="000A04EF"/>
    <w:rsid w:val="000A414D"/>
    <w:rsid w:val="000A451D"/>
    <w:rsid w:val="000A6F60"/>
    <w:rsid w:val="000B237D"/>
    <w:rsid w:val="000B316C"/>
    <w:rsid w:val="000C1B05"/>
    <w:rsid w:val="000D0D0A"/>
    <w:rsid w:val="000D5022"/>
    <w:rsid w:val="000D6872"/>
    <w:rsid w:val="000E301A"/>
    <w:rsid w:val="000F2385"/>
    <w:rsid w:val="000F7EDA"/>
    <w:rsid w:val="001010FD"/>
    <w:rsid w:val="00103163"/>
    <w:rsid w:val="00107799"/>
    <w:rsid w:val="00115D93"/>
    <w:rsid w:val="00117AA1"/>
    <w:rsid w:val="00122EF5"/>
    <w:rsid w:val="001247A8"/>
    <w:rsid w:val="001312DB"/>
    <w:rsid w:val="0013133D"/>
    <w:rsid w:val="0013528B"/>
    <w:rsid w:val="001378C0"/>
    <w:rsid w:val="001454BE"/>
    <w:rsid w:val="001667FB"/>
    <w:rsid w:val="00171505"/>
    <w:rsid w:val="001755CC"/>
    <w:rsid w:val="00177D0B"/>
    <w:rsid w:val="00177DE8"/>
    <w:rsid w:val="0018694A"/>
    <w:rsid w:val="00192A84"/>
    <w:rsid w:val="001A3287"/>
    <w:rsid w:val="001A6508"/>
    <w:rsid w:val="001A7838"/>
    <w:rsid w:val="001B1960"/>
    <w:rsid w:val="001B211A"/>
    <w:rsid w:val="001C4DCE"/>
    <w:rsid w:val="001D4C31"/>
    <w:rsid w:val="001D634E"/>
    <w:rsid w:val="001D67E4"/>
    <w:rsid w:val="001D6C93"/>
    <w:rsid w:val="001D7591"/>
    <w:rsid w:val="001E4D21"/>
    <w:rsid w:val="001E4E68"/>
    <w:rsid w:val="001F233F"/>
    <w:rsid w:val="001F45E1"/>
    <w:rsid w:val="001F61FF"/>
    <w:rsid w:val="00206914"/>
    <w:rsid w:val="00207CD1"/>
    <w:rsid w:val="002109A1"/>
    <w:rsid w:val="00215AC3"/>
    <w:rsid w:val="0021637E"/>
    <w:rsid w:val="00217633"/>
    <w:rsid w:val="00225D48"/>
    <w:rsid w:val="0023238C"/>
    <w:rsid w:val="002477A2"/>
    <w:rsid w:val="00253F21"/>
    <w:rsid w:val="00260A97"/>
    <w:rsid w:val="00263A51"/>
    <w:rsid w:val="002664F7"/>
    <w:rsid w:val="00267E02"/>
    <w:rsid w:val="00270DA3"/>
    <w:rsid w:val="0028165F"/>
    <w:rsid w:val="00291C79"/>
    <w:rsid w:val="0029565A"/>
    <w:rsid w:val="00295F1D"/>
    <w:rsid w:val="00297A92"/>
    <w:rsid w:val="002A16A2"/>
    <w:rsid w:val="002A3BD3"/>
    <w:rsid w:val="002A582F"/>
    <w:rsid w:val="002A5D44"/>
    <w:rsid w:val="002A677F"/>
    <w:rsid w:val="002A6ADB"/>
    <w:rsid w:val="002B37D9"/>
    <w:rsid w:val="002C54D4"/>
    <w:rsid w:val="002D419D"/>
    <w:rsid w:val="002D66DE"/>
    <w:rsid w:val="002E0BC4"/>
    <w:rsid w:val="002E2E6F"/>
    <w:rsid w:val="002E3BB4"/>
    <w:rsid w:val="002E6121"/>
    <w:rsid w:val="002F1B76"/>
    <w:rsid w:val="002F5D56"/>
    <w:rsid w:val="0030139E"/>
    <w:rsid w:val="003042CF"/>
    <w:rsid w:val="00304489"/>
    <w:rsid w:val="0030693A"/>
    <w:rsid w:val="00307B10"/>
    <w:rsid w:val="003111C2"/>
    <w:rsid w:val="003133B9"/>
    <w:rsid w:val="0032098C"/>
    <w:rsid w:val="003310AB"/>
    <w:rsid w:val="00333EC8"/>
    <w:rsid w:val="003360FF"/>
    <w:rsid w:val="0034168A"/>
    <w:rsid w:val="00342FAF"/>
    <w:rsid w:val="0034482C"/>
    <w:rsid w:val="00347759"/>
    <w:rsid w:val="00355253"/>
    <w:rsid w:val="00355FF5"/>
    <w:rsid w:val="00361350"/>
    <w:rsid w:val="00365703"/>
    <w:rsid w:val="00366C36"/>
    <w:rsid w:val="003712D4"/>
    <w:rsid w:val="00372A50"/>
    <w:rsid w:val="00386D0B"/>
    <w:rsid w:val="003915FE"/>
    <w:rsid w:val="00391942"/>
    <w:rsid w:val="00395468"/>
    <w:rsid w:val="0039656D"/>
    <w:rsid w:val="003A05CB"/>
    <w:rsid w:val="003A6491"/>
    <w:rsid w:val="003A68B1"/>
    <w:rsid w:val="003A7CEB"/>
    <w:rsid w:val="003B1F07"/>
    <w:rsid w:val="003C34CA"/>
    <w:rsid w:val="003C66EE"/>
    <w:rsid w:val="003D138A"/>
    <w:rsid w:val="003D28F1"/>
    <w:rsid w:val="003D7382"/>
    <w:rsid w:val="003E2BE7"/>
    <w:rsid w:val="003E36BD"/>
    <w:rsid w:val="003F4CF0"/>
    <w:rsid w:val="0040118A"/>
    <w:rsid w:val="00401AD4"/>
    <w:rsid w:val="004038CB"/>
    <w:rsid w:val="0040546F"/>
    <w:rsid w:val="00411443"/>
    <w:rsid w:val="00414731"/>
    <w:rsid w:val="00423417"/>
    <w:rsid w:val="0042404A"/>
    <w:rsid w:val="0042535D"/>
    <w:rsid w:val="00430A65"/>
    <w:rsid w:val="00432BA0"/>
    <w:rsid w:val="004352DC"/>
    <w:rsid w:val="00442976"/>
    <w:rsid w:val="00444785"/>
    <w:rsid w:val="0044618F"/>
    <w:rsid w:val="00450F98"/>
    <w:rsid w:val="004539E7"/>
    <w:rsid w:val="00454C2C"/>
    <w:rsid w:val="00454F12"/>
    <w:rsid w:val="00457F6C"/>
    <w:rsid w:val="00463B9D"/>
    <w:rsid w:val="0046769A"/>
    <w:rsid w:val="00474851"/>
    <w:rsid w:val="00474A8E"/>
    <w:rsid w:val="004758B0"/>
    <w:rsid w:val="00475FB3"/>
    <w:rsid w:val="00477EB2"/>
    <w:rsid w:val="00493A6F"/>
    <w:rsid w:val="00495518"/>
    <w:rsid w:val="00496DA7"/>
    <w:rsid w:val="004A5179"/>
    <w:rsid w:val="004B6D45"/>
    <w:rsid w:val="004C08B9"/>
    <w:rsid w:val="004C37A9"/>
    <w:rsid w:val="004C4D4F"/>
    <w:rsid w:val="004C6BAE"/>
    <w:rsid w:val="004C7683"/>
    <w:rsid w:val="004C7F56"/>
    <w:rsid w:val="004D095F"/>
    <w:rsid w:val="004D5764"/>
    <w:rsid w:val="004E3308"/>
    <w:rsid w:val="004E656E"/>
    <w:rsid w:val="004F259E"/>
    <w:rsid w:val="004F25FE"/>
    <w:rsid w:val="005020C7"/>
    <w:rsid w:val="005033CE"/>
    <w:rsid w:val="00505CC9"/>
    <w:rsid w:val="00510A5F"/>
    <w:rsid w:val="00511F1D"/>
    <w:rsid w:val="00520F36"/>
    <w:rsid w:val="00523E55"/>
    <w:rsid w:val="0052639F"/>
    <w:rsid w:val="00531DD4"/>
    <w:rsid w:val="005333EB"/>
    <w:rsid w:val="005355A4"/>
    <w:rsid w:val="00540615"/>
    <w:rsid w:val="00540A6D"/>
    <w:rsid w:val="0054391B"/>
    <w:rsid w:val="00554F40"/>
    <w:rsid w:val="00556266"/>
    <w:rsid w:val="005569AE"/>
    <w:rsid w:val="00562608"/>
    <w:rsid w:val="00571EEA"/>
    <w:rsid w:val="00575417"/>
    <w:rsid w:val="005768E1"/>
    <w:rsid w:val="005853AF"/>
    <w:rsid w:val="00592CCA"/>
    <w:rsid w:val="0059690C"/>
    <w:rsid w:val="005A03D0"/>
    <w:rsid w:val="005A3118"/>
    <w:rsid w:val="005A3BBB"/>
    <w:rsid w:val="005A3D42"/>
    <w:rsid w:val="005B61F5"/>
    <w:rsid w:val="005C0BBD"/>
    <w:rsid w:val="005C3890"/>
    <w:rsid w:val="005D0363"/>
    <w:rsid w:val="005E2F9E"/>
    <w:rsid w:val="005F23EA"/>
    <w:rsid w:val="005F7BFE"/>
    <w:rsid w:val="00600017"/>
    <w:rsid w:val="00604BE9"/>
    <w:rsid w:val="00606C4C"/>
    <w:rsid w:val="006071F3"/>
    <w:rsid w:val="00610284"/>
    <w:rsid w:val="0061045F"/>
    <w:rsid w:val="0061783C"/>
    <w:rsid w:val="00617D54"/>
    <w:rsid w:val="006235CA"/>
    <w:rsid w:val="00626756"/>
    <w:rsid w:val="00630413"/>
    <w:rsid w:val="0064119C"/>
    <w:rsid w:val="00643A53"/>
    <w:rsid w:val="00654A4A"/>
    <w:rsid w:val="00655037"/>
    <w:rsid w:val="0065795C"/>
    <w:rsid w:val="00661C12"/>
    <w:rsid w:val="006643AB"/>
    <w:rsid w:val="0066635B"/>
    <w:rsid w:val="006712CF"/>
    <w:rsid w:val="0067449E"/>
    <w:rsid w:val="00680D65"/>
    <w:rsid w:val="00681505"/>
    <w:rsid w:val="00681F60"/>
    <w:rsid w:val="00682475"/>
    <w:rsid w:val="00685314"/>
    <w:rsid w:val="006859AE"/>
    <w:rsid w:val="006869E9"/>
    <w:rsid w:val="006936EE"/>
    <w:rsid w:val="006A0602"/>
    <w:rsid w:val="006A399D"/>
    <w:rsid w:val="006B6990"/>
    <w:rsid w:val="006E25AC"/>
    <w:rsid w:val="006E59F9"/>
    <w:rsid w:val="006E7FE8"/>
    <w:rsid w:val="006F75DF"/>
    <w:rsid w:val="00705F7D"/>
    <w:rsid w:val="0071497A"/>
    <w:rsid w:val="007210CD"/>
    <w:rsid w:val="00723587"/>
    <w:rsid w:val="007248C6"/>
    <w:rsid w:val="00726B4D"/>
    <w:rsid w:val="00727D9A"/>
    <w:rsid w:val="00732045"/>
    <w:rsid w:val="0073661E"/>
    <w:rsid w:val="007369DB"/>
    <w:rsid w:val="0075299B"/>
    <w:rsid w:val="0075520E"/>
    <w:rsid w:val="00756AA9"/>
    <w:rsid w:val="0076575F"/>
    <w:rsid w:val="007662D0"/>
    <w:rsid w:val="00774C51"/>
    <w:rsid w:val="00777B06"/>
    <w:rsid w:val="00786750"/>
    <w:rsid w:val="0079308F"/>
    <w:rsid w:val="007956C2"/>
    <w:rsid w:val="00797E94"/>
    <w:rsid w:val="007A187E"/>
    <w:rsid w:val="007A22BA"/>
    <w:rsid w:val="007A6BB2"/>
    <w:rsid w:val="007C0B29"/>
    <w:rsid w:val="007C72C2"/>
    <w:rsid w:val="007D4436"/>
    <w:rsid w:val="007D499B"/>
    <w:rsid w:val="007E2FFC"/>
    <w:rsid w:val="007E713F"/>
    <w:rsid w:val="007F257A"/>
    <w:rsid w:val="007F3665"/>
    <w:rsid w:val="00800037"/>
    <w:rsid w:val="00805344"/>
    <w:rsid w:val="008054D5"/>
    <w:rsid w:val="0080729B"/>
    <w:rsid w:val="008078D4"/>
    <w:rsid w:val="0081114A"/>
    <w:rsid w:val="0082634D"/>
    <w:rsid w:val="00834D2B"/>
    <w:rsid w:val="00836DD1"/>
    <w:rsid w:val="00837381"/>
    <w:rsid w:val="00844FA7"/>
    <w:rsid w:val="00845378"/>
    <w:rsid w:val="00852808"/>
    <w:rsid w:val="00854792"/>
    <w:rsid w:val="00856F5A"/>
    <w:rsid w:val="00861D73"/>
    <w:rsid w:val="00862FF5"/>
    <w:rsid w:val="00864C99"/>
    <w:rsid w:val="00873431"/>
    <w:rsid w:val="0088572D"/>
    <w:rsid w:val="008870D0"/>
    <w:rsid w:val="0089204E"/>
    <w:rsid w:val="0089337B"/>
    <w:rsid w:val="008A4E87"/>
    <w:rsid w:val="008A5CD4"/>
    <w:rsid w:val="008A7051"/>
    <w:rsid w:val="008C10BF"/>
    <w:rsid w:val="008C3BAE"/>
    <w:rsid w:val="008D4677"/>
    <w:rsid w:val="008D76E6"/>
    <w:rsid w:val="008E3DEF"/>
    <w:rsid w:val="008E6D55"/>
    <w:rsid w:val="00902AF3"/>
    <w:rsid w:val="00906E83"/>
    <w:rsid w:val="00913A7E"/>
    <w:rsid w:val="00920195"/>
    <w:rsid w:val="0092392D"/>
    <w:rsid w:val="0093234A"/>
    <w:rsid w:val="00934148"/>
    <w:rsid w:val="00935C03"/>
    <w:rsid w:val="009364F2"/>
    <w:rsid w:val="0094529B"/>
    <w:rsid w:val="00945FD5"/>
    <w:rsid w:val="00946A12"/>
    <w:rsid w:val="00947AB2"/>
    <w:rsid w:val="00965213"/>
    <w:rsid w:val="009820F9"/>
    <w:rsid w:val="00985C8C"/>
    <w:rsid w:val="009949A8"/>
    <w:rsid w:val="00995C64"/>
    <w:rsid w:val="0099613D"/>
    <w:rsid w:val="00997728"/>
    <w:rsid w:val="009A1E1B"/>
    <w:rsid w:val="009B3BDE"/>
    <w:rsid w:val="009B70F2"/>
    <w:rsid w:val="009C307F"/>
    <w:rsid w:val="009C5218"/>
    <w:rsid w:val="009D0934"/>
    <w:rsid w:val="009D0D24"/>
    <w:rsid w:val="009D7425"/>
    <w:rsid w:val="009E3214"/>
    <w:rsid w:val="009F0315"/>
    <w:rsid w:val="009F3DFD"/>
    <w:rsid w:val="009F4D21"/>
    <w:rsid w:val="009F6139"/>
    <w:rsid w:val="009F6199"/>
    <w:rsid w:val="009F655C"/>
    <w:rsid w:val="00A06D1E"/>
    <w:rsid w:val="00A2113E"/>
    <w:rsid w:val="00A21725"/>
    <w:rsid w:val="00A23A51"/>
    <w:rsid w:val="00A23B5E"/>
    <w:rsid w:val="00A24607"/>
    <w:rsid w:val="00A25CD3"/>
    <w:rsid w:val="00A374C1"/>
    <w:rsid w:val="00A43FA1"/>
    <w:rsid w:val="00A45103"/>
    <w:rsid w:val="00A46447"/>
    <w:rsid w:val="00A4759A"/>
    <w:rsid w:val="00A52D5B"/>
    <w:rsid w:val="00A66DB1"/>
    <w:rsid w:val="00A676ED"/>
    <w:rsid w:val="00A72E82"/>
    <w:rsid w:val="00A74E53"/>
    <w:rsid w:val="00A776F1"/>
    <w:rsid w:val="00A823AE"/>
    <w:rsid w:val="00A82767"/>
    <w:rsid w:val="00A903A7"/>
    <w:rsid w:val="00A92F1D"/>
    <w:rsid w:val="00A94729"/>
    <w:rsid w:val="00A95870"/>
    <w:rsid w:val="00A96E9F"/>
    <w:rsid w:val="00AA2A48"/>
    <w:rsid w:val="00AA332F"/>
    <w:rsid w:val="00AA4213"/>
    <w:rsid w:val="00AA6AD3"/>
    <w:rsid w:val="00AA7BBB"/>
    <w:rsid w:val="00AB03E5"/>
    <w:rsid w:val="00AB1D29"/>
    <w:rsid w:val="00AB28A1"/>
    <w:rsid w:val="00AB3F75"/>
    <w:rsid w:val="00AB64A8"/>
    <w:rsid w:val="00AB6795"/>
    <w:rsid w:val="00AC0266"/>
    <w:rsid w:val="00AC61C4"/>
    <w:rsid w:val="00AC7710"/>
    <w:rsid w:val="00AD0B9A"/>
    <w:rsid w:val="00AD0D54"/>
    <w:rsid w:val="00AD24EC"/>
    <w:rsid w:val="00AE4E77"/>
    <w:rsid w:val="00AE5350"/>
    <w:rsid w:val="00AF0F7D"/>
    <w:rsid w:val="00AF19E4"/>
    <w:rsid w:val="00B01611"/>
    <w:rsid w:val="00B06C97"/>
    <w:rsid w:val="00B15722"/>
    <w:rsid w:val="00B21D9C"/>
    <w:rsid w:val="00B309F9"/>
    <w:rsid w:val="00B3153F"/>
    <w:rsid w:val="00B32B60"/>
    <w:rsid w:val="00B378ED"/>
    <w:rsid w:val="00B421DA"/>
    <w:rsid w:val="00B45FD6"/>
    <w:rsid w:val="00B47629"/>
    <w:rsid w:val="00B50543"/>
    <w:rsid w:val="00B50A32"/>
    <w:rsid w:val="00B529FC"/>
    <w:rsid w:val="00B56A44"/>
    <w:rsid w:val="00B61550"/>
    <w:rsid w:val="00B61619"/>
    <w:rsid w:val="00B648BA"/>
    <w:rsid w:val="00B659B5"/>
    <w:rsid w:val="00B715D3"/>
    <w:rsid w:val="00B73686"/>
    <w:rsid w:val="00B7489A"/>
    <w:rsid w:val="00B84194"/>
    <w:rsid w:val="00B93CF0"/>
    <w:rsid w:val="00BA2178"/>
    <w:rsid w:val="00BB4545"/>
    <w:rsid w:val="00BB5C3D"/>
    <w:rsid w:val="00BC73A5"/>
    <w:rsid w:val="00BD5352"/>
    <w:rsid w:val="00BD5873"/>
    <w:rsid w:val="00BD6E7B"/>
    <w:rsid w:val="00BD7519"/>
    <w:rsid w:val="00BE448D"/>
    <w:rsid w:val="00BF1394"/>
    <w:rsid w:val="00C04BE3"/>
    <w:rsid w:val="00C10C4A"/>
    <w:rsid w:val="00C14C82"/>
    <w:rsid w:val="00C176DF"/>
    <w:rsid w:val="00C2314E"/>
    <w:rsid w:val="00C246EF"/>
    <w:rsid w:val="00C25D29"/>
    <w:rsid w:val="00C27244"/>
    <w:rsid w:val="00C27A7C"/>
    <w:rsid w:val="00C4082D"/>
    <w:rsid w:val="00C55BDB"/>
    <w:rsid w:val="00C57EF8"/>
    <w:rsid w:val="00C6519E"/>
    <w:rsid w:val="00C71F26"/>
    <w:rsid w:val="00C73937"/>
    <w:rsid w:val="00C77E70"/>
    <w:rsid w:val="00C81448"/>
    <w:rsid w:val="00C82271"/>
    <w:rsid w:val="00C93421"/>
    <w:rsid w:val="00C93610"/>
    <w:rsid w:val="00C9492F"/>
    <w:rsid w:val="00CA08ED"/>
    <w:rsid w:val="00CA324C"/>
    <w:rsid w:val="00CA481F"/>
    <w:rsid w:val="00CA73F8"/>
    <w:rsid w:val="00CB7D7F"/>
    <w:rsid w:val="00CE06EB"/>
    <w:rsid w:val="00CE4578"/>
    <w:rsid w:val="00CF183B"/>
    <w:rsid w:val="00CF2E79"/>
    <w:rsid w:val="00CF3A88"/>
    <w:rsid w:val="00CF4DFA"/>
    <w:rsid w:val="00D06D06"/>
    <w:rsid w:val="00D1233E"/>
    <w:rsid w:val="00D214DF"/>
    <w:rsid w:val="00D237ED"/>
    <w:rsid w:val="00D30535"/>
    <w:rsid w:val="00D3079B"/>
    <w:rsid w:val="00D31A27"/>
    <w:rsid w:val="00D3422B"/>
    <w:rsid w:val="00D355EC"/>
    <w:rsid w:val="00D375CD"/>
    <w:rsid w:val="00D45276"/>
    <w:rsid w:val="00D5270A"/>
    <w:rsid w:val="00D553A2"/>
    <w:rsid w:val="00D561EE"/>
    <w:rsid w:val="00D67DD4"/>
    <w:rsid w:val="00D71140"/>
    <w:rsid w:val="00D7416D"/>
    <w:rsid w:val="00D7695F"/>
    <w:rsid w:val="00D774D3"/>
    <w:rsid w:val="00D77660"/>
    <w:rsid w:val="00D801ED"/>
    <w:rsid w:val="00D812DA"/>
    <w:rsid w:val="00D837AA"/>
    <w:rsid w:val="00D85984"/>
    <w:rsid w:val="00D87D77"/>
    <w:rsid w:val="00D904E8"/>
    <w:rsid w:val="00D936DB"/>
    <w:rsid w:val="00D93CFD"/>
    <w:rsid w:val="00D95DC1"/>
    <w:rsid w:val="00DA08C3"/>
    <w:rsid w:val="00DB5A3E"/>
    <w:rsid w:val="00DC158A"/>
    <w:rsid w:val="00DC22AA"/>
    <w:rsid w:val="00DC4811"/>
    <w:rsid w:val="00DC5EEB"/>
    <w:rsid w:val="00DD3FE8"/>
    <w:rsid w:val="00DD43AD"/>
    <w:rsid w:val="00DD4E9A"/>
    <w:rsid w:val="00DD6792"/>
    <w:rsid w:val="00DE3980"/>
    <w:rsid w:val="00DE51F1"/>
    <w:rsid w:val="00DE74A3"/>
    <w:rsid w:val="00DF54FD"/>
    <w:rsid w:val="00DF6E88"/>
    <w:rsid w:val="00DF74DD"/>
    <w:rsid w:val="00E06A6A"/>
    <w:rsid w:val="00E205E0"/>
    <w:rsid w:val="00E24024"/>
    <w:rsid w:val="00E24E9F"/>
    <w:rsid w:val="00E25AD0"/>
    <w:rsid w:val="00E32904"/>
    <w:rsid w:val="00E45713"/>
    <w:rsid w:val="00E47D11"/>
    <w:rsid w:val="00E52B1F"/>
    <w:rsid w:val="00E5491D"/>
    <w:rsid w:val="00E55BC1"/>
    <w:rsid w:val="00E60875"/>
    <w:rsid w:val="00E66B9B"/>
    <w:rsid w:val="00E672C3"/>
    <w:rsid w:val="00E70AB1"/>
    <w:rsid w:val="00E71E99"/>
    <w:rsid w:val="00E75762"/>
    <w:rsid w:val="00E75C67"/>
    <w:rsid w:val="00E77015"/>
    <w:rsid w:val="00E77796"/>
    <w:rsid w:val="00E842B5"/>
    <w:rsid w:val="00E8568B"/>
    <w:rsid w:val="00E90A76"/>
    <w:rsid w:val="00E91F4F"/>
    <w:rsid w:val="00EA1A8D"/>
    <w:rsid w:val="00EA21E6"/>
    <w:rsid w:val="00EB0DB0"/>
    <w:rsid w:val="00EB389B"/>
    <w:rsid w:val="00EB3C6A"/>
    <w:rsid w:val="00EB6350"/>
    <w:rsid w:val="00EB72B7"/>
    <w:rsid w:val="00EF1C6F"/>
    <w:rsid w:val="00F031E4"/>
    <w:rsid w:val="00F0356A"/>
    <w:rsid w:val="00F064C9"/>
    <w:rsid w:val="00F06D00"/>
    <w:rsid w:val="00F07462"/>
    <w:rsid w:val="00F12705"/>
    <w:rsid w:val="00F15B57"/>
    <w:rsid w:val="00F40A9C"/>
    <w:rsid w:val="00F427DB"/>
    <w:rsid w:val="00F437DE"/>
    <w:rsid w:val="00F476A1"/>
    <w:rsid w:val="00F506E6"/>
    <w:rsid w:val="00F546C7"/>
    <w:rsid w:val="00F56C08"/>
    <w:rsid w:val="00F57CFC"/>
    <w:rsid w:val="00F66E0F"/>
    <w:rsid w:val="00F715DB"/>
    <w:rsid w:val="00F77D56"/>
    <w:rsid w:val="00F8198A"/>
    <w:rsid w:val="00F83CE7"/>
    <w:rsid w:val="00F84150"/>
    <w:rsid w:val="00F852A2"/>
    <w:rsid w:val="00F91884"/>
    <w:rsid w:val="00F94F0C"/>
    <w:rsid w:val="00FA5EB1"/>
    <w:rsid w:val="00FA7439"/>
    <w:rsid w:val="00FB53BB"/>
    <w:rsid w:val="00FC09B7"/>
    <w:rsid w:val="00FC4EC0"/>
    <w:rsid w:val="00FC6FB5"/>
    <w:rsid w:val="00FC765C"/>
    <w:rsid w:val="00FC7F04"/>
    <w:rsid w:val="00FD0FDE"/>
    <w:rsid w:val="00FD5CE9"/>
    <w:rsid w:val="00FF0181"/>
    <w:rsid w:val="00FF10D9"/>
    <w:rsid w:val="00FF31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4E7642"/>
  <w15:docId w15:val="{5ADF3ECC-0971-42AF-8AA5-E8C889A5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o"/>
    <w:basedOn w:val="DefaultParagraphFont"/>
    <w:qForma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797E94"/>
    <w:rPr>
      <w:color w:val="605E5C"/>
      <w:shd w:val="clear" w:color="auto" w:fill="E1DFDD"/>
    </w:rPr>
  </w:style>
  <w:style w:type="paragraph" w:styleId="BalloonText">
    <w:name w:val="Balloon Text"/>
    <w:basedOn w:val="Normal"/>
    <w:link w:val="BalloonTextChar"/>
    <w:semiHidden/>
    <w:unhideWhenUsed/>
    <w:rsid w:val="0004376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4376B"/>
    <w:rPr>
      <w:rFonts w:ascii="Segoe UI" w:hAnsi="Segoe UI" w:cs="Segoe UI"/>
      <w:sz w:val="18"/>
      <w:szCs w:val="18"/>
      <w:lang w:val="fr-FR" w:eastAsia="en-US"/>
    </w:rPr>
  </w:style>
  <w:style w:type="table" w:customStyle="1" w:styleId="TableGrid1">
    <w:name w:val="Table Grid1"/>
    <w:basedOn w:val="TableNormal"/>
    <w:next w:val="TableGrid"/>
    <w:uiPriority w:val="39"/>
    <w:rsid w:val="009C521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C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2B5"/>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HAnsi" w:hAnsiTheme="minorHAnsi" w:cstheme="minorBidi"/>
      <w:sz w:val="22"/>
      <w:szCs w:val="22"/>
      <w:lang w:val="en-GB"/>
    </w:rPr>
  </w:style>
  <w:style w:type="paragraph" w:customStyle="1" w:styleId="Tbl">
    <w:name w:val="Tbl"/>
    <w:basedOn w:val="ListParagraph"/>
    <w:rsid w:val="008A7051"/>
    <w:pPr>
      <w:ind w:left="0"/>
    </w:pPr>
    <w:rPr>
      <w:rFonts w:cstheme="minorHAnsi"/>
      <w:szCs w:val="24"/>
    </w:rPr>
  </w:style>
  <w:style w:type="character" w:customStyle="1" w:styleId="NormalaftertitleChar">
    <w:name w:val="Normal after title Char"/>
    <w:basedOn w:val="DefaultParagraphFont"/>
    <w:link w:val="Normalaftertitle"/>
    <w:locked/>
    <w:rsid w:val="0034482C"/>
    <w:rPr>
      <w:rFonts w:ascii="Calibri" w:hAnsi="Calibri"/>
      <w:sz w:val="24"/>
      <w:lang w:val="fr-FR" w:eastAsia="en-US"/>
    </w:rPr>
  </w:style>
  <w:style w:type="character" w:styleId="CommentReference">
    <w:name w:val="annotation reference"/>
    <w:basedOn w:val="DefaultParagraphFont"/>
    <w:semiHidden/>
    <w:unhideWhenUsed/>
    <w:rsid w:val="00D936DB"/>
    <w:rPr>
      <w:sz w:val="16"/>
      <w:szCs w:val="16"/>
    </w:rPr>
  </w:style>
  <w:style w:type="paragraph" w:styleId="CommentText">
    <w:name w:val="annotation text"/>
    <w:basedOn w:val="Normal"/>
    <w:link w:val="CommentTextChar"/>
    <w:semiHidden/>
    <w:unhideWhenUsed/>
    <w:rsid w:val="00D936DB"/>
    <w:rPr>
      <w:sz w:val="20"/>
    </w:rPr>
  </w:style>
  <w:style w:type="character" w:customStyle="1" w:styleId="CommentTextChar">
    <w:name w:val="Comment Text Char"/>
    <w:basedOn w:val="DefaultParagraphFont"/>
    <w:link w:val="CommentText"/>
    <w:semiHidden/>
    <w:rsid w:val="00D936DB"/>
    <w:rPr>
      <w:rFonts w:ascii="Calibri" w:hAnsi="Calibri"/>
      <w:lang w:val="fr-FR" w:eastAsia="en-US"/>
    </w:rPr>
  </w:style>
  <w:style w:type="paragraph" w:styleId="CommentSubject">
    <w:name w:val="annotation subject"/>
    <w:basedOn w:val="CommentText"/>
    <w:next w:val="CommentText"/>
    <w:link w:val="CommentSubjectChar"/>
    <w:semiHidden/>
    <w:unhideWhenUsed/>
    <w:rsid w:val="00D936DB"/>
    <w:rPr>
      <w:b/>
      <w:bCs/>
    </w:rPr>
  </w:style>
  <w:style w:type="character" w:customStyle="1" w:styleId="CommentSubjectChar">
    <w:name w:val="Comment Subject Char"/>
    <w:basedOn w:val="CommentTextChar"/>
    <w:link w:val="CommentSubject"/>
    <w:semiHidden/>
    <w:rsid w:val="00D936DB"/>
    <w:rPr>
      <w:rFonts w:ascii="Calibri" w:hAnsi="Calibri"/>
      <w:b/>
      <w:bCs/>
      <w:lang w:val="fr-FR" w:eastAsia="en-US"/>
    </w:rPr>
  </w:style>
  <w:style w:type="paragraph" w:styleId="Revision">
    <w:name w:val="Revision"/>
    <w:hidden/>
    <w:uiPriority w:val="99"/>
    <w:semiHidden/>
    <w:rsid w:val="00D95DC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8204">
      <w:bodyDiv w:val="1"/>
      <w:marLeft w:val="0"/>
      <w:marRight w:val="0"/>
      <w:marTop w:val="0"/>
      <w:marBottom w:val="0"/>
      <w:divBdr>
        <w:top w:val="none" w:sz="0" w:space="0" w:color="auto"/>
        <w:left w:val="none" w:sz="0" w:space="0" w:color="auto"/>
        <w:bottom w:val="none" w:sz="0" w:space="0" w:color="auto"/>
        <w:right w:val="none" w:sz="0" w:space="0" w:color="auto"/>
      </w:divBdr>
    </w:div>
    <w:div w:id="29191044">
      <w:bodyDiv w:val="1"/>
      <w:marLeft w:val="0"/>
      <w:marRight w:val="0"/>
      <w:marTop w:val="0"/>
      <w:marBottom w:val="0"/>
      <w:divBdr>
        <w:top w:val="none" w:sz="0" w:space="0" w:color="auto"/>
        <w:left w:val="none" w:sz="0" w:space="0" w:color="auto"/>
        <w:bottom w:val="none" w:sz="0" w:space="0" w:color="auto"/>
        <w:right w:val="none" w:sz="0" w:space="0" w:color="auto"/>
      </w:divBdr>
    </w:div>
    <w:div w:id="31610693">
      <w:bodyDiv w:val="1"/>
      <w:marLeft w:val="0"/>
      <w:marRight w:val="0"/>
      <w:marTop w:val="0"/>
      <w:marBottom w:val="0"/>
      <w:divBdr>
        <w:top w:val="none" w:sz="0" w:space="0" w:color="auto"/>
        <w:left w:val="none" w:sz="0" w:space="0" w:color="auto"/>
        <w:bottom w:val="none" w:sz="0" w:space="0" w:color="auto"/>
        <w:right w:val="none" w:sz="0" w:space="0" w:color="auto"/>
      </w:divBdr>
    </w:div>
    <w:div w:id="41902326">
      <w:bodyDiv w:val="1"/>
      <w:marLeft w:val="0"/>
      <w:marRight w:val="0"/>
      <w:marTop w:val="0"/>
      <w:marBottom w:val="0"/>
      <w:divBdr>
        <w:top w:val="none" w:sz="0" w:space="0" w:color="auto"/>
        <w:left w:val="none" w:sz="0" w:space="0" w:color="auto"/>
        <w:bottom w:val="none" w:sz="0" w:space="0" w:color="auto"/>
        <w:right w:val="none" w:sz="0" w:space="0" w:color="auto"/>
      </w:divBdr>
    </w:div>
    <w:div w:id="59836660">
      <w:bodyDiv w:val="1"/>
      <w:marLeft w:val="0"/>
      <w:marRight w:val="0"/>
      <w:marTop w:val="0"/>
      <w:marBottom w:val="0"/>
      <w:divBdr>
        <w:top w:val="none" w:sz="0" w:space="0" w:color="auto"/>
        <w:left w:val="none" w:sz="0" w:space="0" w:color="auto"/>
        <w:bottom w:val="none" w:sz="0" w:space="0" w:color="auto"/>
        <w:right w:val="none" w:sz="0" w:space="0" w:color="auto"/>
      </w:divBdr>
    </w:div>
    <w:div w:id="72625840">
      <w:bodyDiv w:val="1"/>
      <w:marLeft w:val="0"/>
      <w:marRight w:val="0"/>
      <w:marTop w:val="0"/>
      <w:marBottom w:val="0"/>
      <w:divBdr>
        <w:top w:val="none" w:sz="0" w:space="0" w:color="auto"/>
        <w:left w:val="none" w:sz="0" w:space="0" w:color="auto"/>
        <w:bottom w:val="none" w:sz="0" w:space="0" w:color="auto"/>
        <w:right w:val="none" w:sz="0" w:space="0" w:color="auto"/>
      </w:divBdr>
    </w:div>
    <w:div w:id="99491405">
      <w:bodyDiv w:val="1"/>
      <w:marLeft w:val="0"/>
      <w:marRight w:val="0"/>
      <w:marTop w:val="0"/>
      <w:marBottom w:val="0"/>
      <w:divBdr>
        <w:top w:val="none" w:sz="0" w:space="0" w:color="auto"/>
        <w:left w:val="none" w:sz="0" w:space="0" w:color="auto"/>
        <w:bottom w:val="none" w:sz="0" w:space="0" w:color="auto"/>
        <w:right w:val="none" w:sz="0" w:space="0" w:color="auto"/>
      </w:divBdr>
    </w:div>
    <w:div w:id="117191371">
      <w:bodyDiv w:val="1"/>
      <w:marLeft w:val="0"/>
      <w:marRight w:val="0"/>
      <w:marTop w:val="0"/>
      <w:marBottom w:val="0"/>
      <w:divBdr>
        <w:top w:val="none" w:sz="0" w:space="0" w:color="auto"/>
        <w:left w:val="none" w:sz="0" w:space="0" w:color="auto"/>
        <w:bottom w:val="none" w:sz="0" w:space="0" w:color="auto"/>
        <w:right w:val="none" w:sz="0" w:space="0" w:color="auto"/>
      </w:divBdr>
    </w:div>
    <w:div w:id="175921707">
      <w:bodyDiv w:val="1"/>
      <w:marLeft w:val="0"/>
      <w:marRight w:val="0"/>
      <w:marTop w:val="0"/>
      <w:marBottom w:val="0"/>
      <w:divBdr>
        <w:top w:val="none" w:sz="0" w:space="0" w:color="auto"/>
        <w:left w:val="none" w:sz="0" w:space="0" w:color="auto"/>
        <w:bottom w:val="none" w:sz="0" w:space="0" w:color="auto"/>
        <w:right w:val="none" w:sz="0" w:space="0" w:color="auto"/>
      </w:divBdr>
    </w:div>
    <w:div w:id="194198027">
      <w:bodyDiv w:val="1"/>
      <w:marLeft w:val="0"/>
      <w:marRight w:val="0"/>
      <w:marTop w:val="0"/>
      <w:marBottom w:val="0"/>
      <w:divBdr>
        <w:top w:val="none" w:sz="0" w:space="0" w:color="auto"/>
        <w:left w:val="none" w:sz="0" w:space="0" w:color="auto"/>
        <w:bottom w:val="none" w:sz="0" w:space="0" w:color="auto"/>
        <w:right w:val="none" w:sz="0" w:space="0" w:color="auto"/>
      </w:divBdr>
    </w:div>
    <w:div w:id="247809493">
      <w:bodyDiv w:val="1"/>
      <w:marLeft w:val="0"/>
      <w:marRight w:val="0"/>
      <w:marTop w:val="0"/>
      <w:marBottom w:val="0"/>
      <w:divBdr>
        <w:top w:val="none" w:sz="0" w:space="0" w:color="auto"/>
        <w:left w:val="none" w:sz="0" w:space="0" w:color="auto"/>
        <w:bottom w:val="none" w:sz="0" w:space="0" w:color="auto"/>
        <w:right w:val="none" w:sz="0" w:space="0" w:color="auto"/>
      </w:divBdr>
    </w:div>
    <w:div w:id="303314444">
      <w:bodyDiv w:val="1"/>
      <w:marLeft w:val="0"/>
      <w:marRight w:val="0"/>
      <w:marTop w:val="0"/>
      <w:marBottom w:val="0"/>
      <w:divBdr>
        <w:top w:val="none" w:sz="0" w:space="0" w:color="auto"/>
        <w:left w:val="none" w:sz="0" w:space="0" w:color="auto"/>
        <w:bottom w:val="none" w:sz="0" w:space="0" w:color="auto"/>
        <w:right w:val="none" w:sz="0" w:space="0" w:color="auto"/>
      </w:divBdr>
    </w:div>
    <w:div w:id="311519674">
      <w:bodyDiv w:val="1"/>
      <w:marLeft w:val="0"/>
      <w:marRight w:val="0"/>
      <w:marTop w:val="0"/>
      <w:marBottom w:val="0"/>
      <w:divBdr>
        <w:top w:val="none" w:sz="0" w:space="0" w:color="auto"/>
        <w:left w:val="none" w:sz="0" w:space="0" w:color="auto"/>
        <w:bottom w:val="none" w:sz="0" w:space="0" w:color="auto"/>
        <w:right w:val="none" w:sz="0" w:space="0" w:color="auto"/>
      </w:divBdr>
    </w:div>
    <w:div w:id="355426801">
      <w:bodyDiv w:val="1"/>
      <w:marLeft w:val="0"/>
      <w:marRight w:val="0"/>
      <w:marTop w:val="0"/>
      <w:marBottom w:val="0"/>
      <w:divBdr>
        <w:top w:val="none" w:sz="0" w:space="0" w:color="auto"/>
        <w:left w:val="none" w:sz="0" w:space="0" w:color="auto"/>
        <w:bottom w:val="none" w:sz="0" w:space="0" w:color="auto"/>
        <w:right w:val="none" w:sz="0" w:space="0" w:color="auto"/>
      </w:divBdr>
    </w:div>
    <w:div w:id="371151559">
      <w:bodyDiv w:val="1"/>
      <w:marLeft w:val="0"/>
      <w:marRight w:val="0"/>
      <w:marTop w:val="0"/>
      <w:marBottom w:val="0"/>
      <w:divBdr>
        <w:top w:val="none" w:sz="0" w:space="0" w:color="auto"/>
        <w:left w:val="none" w:sz="0" w:space="0" w:color="auto"/>
        <w:bottom w:val="none" w:sz="0" w:space="0" w:color="auto"/>
        <w:right w:val="none" w:sz="0" w:space="0" w:color="auto"/>
      </w:divBdr>
    </w:div>
    <w:div w:id="404843592">
      <w:bodyDiv w:val="1"/>
      <w:marLeft w:val="0"/>
      <w:marRight w:val="0"/>
      <w:marTop w:val="0"/>
      <w:marBottom w:val="0"/>
      <w:divBdr>
        <w:top w:val="none" w:sz="0" w:space="0" w:color="auto"/>
        <w:left w:val="none" w:sz="0" w:space="0" w:color="auto"/>
        <w:bottom w:val="none" w:sz="0" w:space="0" w:color="auto"/>
        <w:right w:val="none" w:sz="0" w:space="0" w:color="auto"/>
      </w:divBdr>
    </w:div>
    <w:div w:id="422261627">
      <w:bodyDiv w:val="1"/>
      <w:marLeft w:val="0"/>
      <w:marRight w:val="0"/>
      <w:marTop w:val="0"/>
      <w:marBottom w:val="0"/>
      <w:divBdr>
        <w:top w:val="none" w:sz="0" w:space="0" w:color="auto"/>
        <w:left w:val="none" w:sz="0" w:space="0" w:color="auto"/>
        <w:bottom w:val="none" w:sz="0" w:space="0" w:color="auto"/>
        <w:right w:val="none" w:sz="0" w:space="0" w:color="auto"/>
      </w:divBdr>
    </w:div>
    <w:div w:id="463625266">
      <w:bodyDiv w:val="1"/>
      <w:marLeft w:val="0"/>
      <w:marRight w:val="0"/>
      <w:marTop w:val="0"/>
      <w:marBottom w:val="0"/>
      <w:divBdr>
        <w:top w:val="none" w:sz="0" w:space="0" w:color="auto"/>
        <w:left w:val="none" w:sz="0" w:space="0" w:color="auto"/>
        <w:bottom w:val="none" w:sz="0" w:space="0" w:color="auto"/>
        <w:right w:val="none" w:sz="0" w:space="0" w:color="auto"/>
      </w:divBdr>
    </w:div>
    <w:div w:id="482163192">
      <w:bodyDiv w:val="1"/>
      <w:marLeft w:val="0"/>
      <w:marRight w:val="0"/>
      <w:marTop w:val="0"/>
      <w:marBottom w:val="0"/>
      <w:divBdr>
        <w:top w:val="none" w:sz="0" w:space="0" w:color="auto"/>
        <w:left w:val="none" w:sz="0" w:space="0" w:color="auto"/>
        <w:bottom w:val="none" w:sz="0" w:space="0" w:color="auto"/>
        <w:right w:val="none" w:sz="0" w:space="0" w:color="auto"/>
      </w:divBdr>
    </w:div>
    <w:div w:id="490951319">
      <w:bodyDiv w:val="1"/>
      <w:marLeft w:val="0"/>
      <w:marRight w:val="0"/>
      <w:marTop w:val="0"/>
      <w:marBottom w:val="0"/>
      <w:divBdr>
        <w:top w:val="none" w:sz="0" w:space="0" w:color="auto"/>
        <w:left w:val="none" w:sz="0" w:space="0" w:color="auto"/>
        <w:bottom w:val="none" w:sz="0" w:space="0" w:color="auto"/>
        <w:right w:val="none" w:sz="0" w:space="0" w:color="auto"/>
      </w:divBdr>
    </w:div>
    <w:div w:id="506679811">
      <w:bodyDiv w:val="1"/>
      <w:marLeft w:val="0"/>
      <w:marRight w:val="0"/>
      <w:marTop w:val="0"/>
      <w:marBottom w:val="0"/>
      <w:divBdr>
        <w:top w:val="none" w:sz="0" w:space="0" w:color="auto"/>
        <w:left w:val="none" w:sz="0" w:space="0" w:color="auto"/>
        <w:bottom w:val="none" w:sz="0" w:space="0" w:color="auto"/>
        <w:right w:val="none" w:sz="0" w:space="0" w:color="auto"/>
      </w:divBdr>
    </w:div>
    <w:div w:id="540290112">
      <w:bodyDiv w:val="1"/>
      <w:marLeft w:val="0"/>
      <w:marRight w:val="0"/>
      <w:marTop w:val="0"/>
      <w:marBottom w:val="0"/>
      <w:divBdr>
        <w:top w:val="none" w:sz="0" w:space="0" w:color="auto"/>
        <w:left w:val="none" w:sz="0" w:space="0" w:color="auto"/>
        <w:bottom w:val="none" w:sz="0" w:space="0" w:color="auto"/>
        <w:right w:val="none" w:sz="0" w:space="0" w:color="auto"/>
      </w:divBdr>
    </w:div>
    <w:div w:id="613286342">
      <w:bodyDiv w:val="1"/>
      <w:marLeft w:val="0"/>
      <w:marRight w:val="0"/>
      <w:marTop w:val="0"/>
      <w:marBottom w:val="0"/>
      <w:divBdr>
        <w:top w:val="none" w:sz="0" w:space="0" w:color="auto"/>
        <w:left w:val="none" w:sz="0" w:space="0" w:color="auto"/>
        <w:bottom w:val="none" w:sz="0" w:space="0" w:color="auto"/>
        <w:right w:val="none" w:sz="0" w:space="0" w:color="auto"/>
      </w:divBdr>
    </w:div>
    <w:div w:id="617564975">
      <w:bodyDiv w:val="1"/>
      <w:marLeft w:val="0"/>
      <w:marRight w:val="0"/>
      <w:marTop w:val="0"/>
      <w:marBottom w:val="0"/>
      <w:divBdr>
        <w:top w:val="none" w:sz="0" w:space="0" w:color="auto"/>
        <w:left w:val="none" w:sz="0" w:space="0" w:color="auto"/>
        <w:bottom w:val="none" w:sz="0" w:space="0" w:color="auto"/>
        <w:right w:val="none" w:sz="0" w:space="0" w:color="auto"/>
      </w:divBdr>
    </w:div>
    <w:div w:id="647512725">
      <w:bodyDiv w:val="1"/>
      <w:marLeft w:val="0"/>
      <w:marRight w:val="0"/>
      <w:marTop w:val="0"/>
      <w:marBottom w:val="0"/>
      <w:divBdr>
        <w:top w:val="none" w:sz="0" w:space="0" w:color="auto"/>
        <w:left w:val="none" w:sz="0" w:space="0" w:color="auto"/>
        <w:bottom w:val="none" w:sz="0" w:space="0" w:color="auto"/>
        <w:right w:val="none" w:sz="0" w:space="0" w:color="auto"/>
      </w:divBdr>
    </w:div>
    <w:div w:id="658577947">
      <w:bodyDiv w:val="1"/>
      <w:marLeft w:val="0"/>
      <w:marRight w:val="0"/>
      <w:marTop w:val="0"/>
      <w:marBottom w:val="0"/>
      <w:divBdr>
        <w:top w:val="none" w:sz="0" w:space="0" w:color="auto"/>
        <w:left w:val="none" w:sz="0" w:space="0" w:color="auto"/>
        <w:bottom w:val="none" w:sz="0" w:space="0" w:color="auto"/>
        <w:right w:val="none" w:sz="0" w:space="0" w:color="auto"/>
      </w:divBdr>
    </w:div>
    <w:div w:id="697975694">
      <w:bodyDiv w:val="1"/>
      <w:marLeft w:val="0"/>
      <w:marRight w:val="0"/>
      <w:marTop w:val="0"/>
      <w:marBottom w:val="0"/>
      <w:divBdr>
        <w:top w:val="none" w:sz="0" w:space="0" w:color="auto"/>
        <w:left w:val="none" w:sz="0" w:space="0" w:color="auto"/>
        <w:bottom w:val="none" w:sz="0" w:space="0" w:color="auto"/>
        <w:right w:val="none" w:sz="0" w:space="0" w:color="auto"/>
      </w:divBdr>
    </w:div>
    <w:div w:id="706948790">
      <w:bodyDiv w:val="1"/>
      <w:marLeft w:val="0"/>
      <w:marRight w:val="0"/>
      <w:marTop w:val="0"/>
      <w:marBottom w:val="0"/>
      <w:divBdr>
        <w:top w:val="none" w:sz="0" w:space="0" w:color="auto"/>
        <w:left w:val="none" w:sz="0" w:space="0" w:color="auto"/>
        <w:bottom w:val="none" w:sz="0" w:space="0" w:color="auto"/>
        <w:right w:val="none" w:sz="0" w:space="0" w:color="auto"/>
      </w:divBdr>
    </w:div>
    <w:div w:id="709378476">
      <w:bodyDiv w:val="1"/>
      <w:marLeft w:val="0"/>
      <w:marRight w:val="0"/>
      <w:marTop w:val="0"/>
      <w:marBottom w:val="0"/>
      <w:divBdr>
        <w:top w:val="none" w:sz="0" w:space="0" w:color="auto"/>
        <w:left w:val="none" w:sz="0" w:space="0" w:color="auto"/>
        <w:bottom w:val="none" w:sz="0" w:space="0" w:color="auto"/>
        <w:right w:val="none" w:sz="0" w:space="0" w:color="auto"/>
      </w:divBdr>
    </w:div>
    <w:div w:id="711269621">
      <w:bodyDiv w:val="1"/>
      <w:marLeft w:val="0"/>
      <w:marRight w:val="0"/>
      <w:marTop w:val="0"/>
      <w:marBottom w:val="0"/>
      <w:divBdr>
        <w:top w:val="none" w:sz="0" w:space="0" w:color="auto"/>
        <w:left w:val="none" w:sz="0" w:space="0" w:color="auto"/>
        <w:bottom w:val="none" w:sz="0" w:space="0" w:color="auto"/>
        <w:right w:val="none" w:sz="0" w:space="0" w:color="auto"/>
      </w:divBdr>
    </w:div>
    <w:div w:id="711661565">
      <w:bodyDiv w:val="1"/>
      <w:marLeft w:val="0"/>
      <w:marRight w:val="0"/>
      <w:marTop w:val="0"/>
      <w:marBottom w:val="0"/>
      <w:divBdr>
        <w:top w:val="none" w:sz="0" w:space="0" w:color="auto"/>
        <w:left w:val="none" w:sz="0" w:space="0" w:color="auto"/>
        <w:bottom w:val="none" w:sz="0" w:space="0" w:color="auto"/>
        <w:right w:val="none" w:sz="0" w:space="0" w:color="auto"/>
      </w:divBdr>
    </w:div>
    <w:div w:id="719784348">
      <w:bodyDiv w:val="1"/>
      <w:marLeft w:val="0"/>
      <w:marRight w:val="0"/>
      <w:marTop w:val="0"/>
      <w:marBottom w:val="0"/>
      <w:divBdr>
        <w:top w:val="none" w:sz="0" w:space="0" w:color="auto"/>
        <w:left w:val="none" w:sz="0" w:space="0" w:color="auto"/>
        <w:bottom w:val="none" w:sz="0" w:space="0" w:color="auto"/>
        <w:right w:val="none" w:sz="0" w:space="0" w:color="auto"/>
      </w:divBdr>
    </w:div>
    <w:div w:id="748423317">
      <w:bodyDiv w:val="1"/>
      <w:marLeft w:val="0"/>
      <w:marRight w:val="0"/>
      <w:marTop w:val="0"/>
      <w:marBottom w:val="0"/>
      <w:divBdr>
        <w:top w:val="none" w:sz="0" w:space="0" w:color="auto"/>
        <w:left w:val="none" w:sz="0" w:space="0" w:color="auto"/>
        <w:bottom w:val="none" w:sz="0" w:space="0" w:color="auto"/>
        <w:right w:val="none" w:sz="0" w:space="0" w:color="auto"/>
      </w:divBdr>
    </w:div>
    <w:div w:id="749931183">
      <w:bodyDiv w:val="1"/>
      <w:marLeft w:val="0"/>
      <w:marRight w:val="0"/>
      <w:marTop w:val="0"/>
      <w:marBottom w:val="0"/>
      <w:divBdr>
        <w:top w:val="none" w:sz="0" w:space="0" w:color="auto"/>
        <w:left w:val="none" w:sz="0" w:space="0" w:color="auto"/>
        <w:bottom w:val="none" w:sz="0" w:space="0" w:color="auto"/>
        <w:right w:val="none" w:sz="0" w:space="0" w:color="auto"/>
      </w:divBdr>
    </w:div>
    <w:div w:id="762067256">
      <w:bodyDiv w:val="1"/>
      <w:marLeft w:val="0"/>
      <w:marRight w:val="0"/>
      <w:marTop w:val="0"/>
      <w:marBottom w:val="0"/>
      <w:divBdr>
        <w:top w:val="none" w:sz="0" w:space="0" w:color="auto"/>
        <w:left w:val="none" w:sz="0" w:space="0" w:color="auto"/>
        <w:bottom w:val="none" w:sz="0" w:space="0" w:color="auto"/>
        <w:right w:val="none" w:sz="0" w:space="0" w:color="auto"/>
      </w:divBdr>
    </w:div>
    <w:div w:id="768157198">
      <w:bodyDiv w:val="1"/>
      <w:marLeft w:val="0"/>
      <w:marRight w:val="0"/>
      <w:marTop w:val="0"/>
      <w:marBottom w:val="0"/>
      <w:divBdr>
        <w:top w:val="none" w:sz="0" w:space="0" w:color="auto"/>
        <w:left w:val="none" w:sz="0" w:space="0" w:color="auto"/>
        <w:bottom w:val="none" w:sz="0" w:space="0" w:color="auto"/>
        <w:right w:val="none" w:sz="0" w:space="0" w:color="auto"/>
      </w:divBdr>
    </w:div>
    <w:div w:id="777913330">
      <w:bodyDiv w:val="1"/>
      <w:marLeft w:val="0"/>
      <w:marRight w:val="0"/>
      <w:marTop w:val="0"/>
      <w:marBottom w:val="0"/>
      <w:divBdr>
        <w:top w:val="none" w:sz="0" w:space="0" w:color="auto"/>
        <w:left w:val="none" w:sz="0" w:space="0" w:color="auto"/>
        <w:bottom w:val="none" w:sz="0" w:space="0" w:color="auto"/>
        <w:right w:val="none" w:sz="0" w:space="0" w:color="auto"/>
      </w:divBdr>
    </w:div>
    <w:div w:id="777914325">
      <w:bodyDiv w:val="1"/>
      <w:marLeft w:val="0"/>
      <w:marRight w:val="0"/>
      <w:marTop w:val="0"/>
      <w:marBottom w:val="0"/>
      <w:divBdr>
        <w:top w:val="none" w:sz="0" w:space="0" w:color="auto"/>
        <w:left w:val="none" w:sz="0" w:space="0" w:color="auto"/>
        <w:bottom w:val="none" w:sz="0" w:space="0" w:color="auto"/>
        <w:right w:val="none" w:sz="0" w:space="0" w:color="auto"/>
      </w:divBdr>
    </w:div>
    <w:div w:id="778373939">
      <w:bodyDiv w:val="1"/>
      <w:marLeft w:val="0"/>
      <w:marRight w:val="0"/>
      <w:marTop w:val="0"/>
      <w:marBottom w:val="0"/>
      <w:divBdr>
        <w:top w:val="none" w:sz="0" w:space="0" w:color="auto"/>
        <w:left w:val="none" w:sz="0" w:space="0" w:color="auto"/>
        <w:bottom w:val="none" w:sz="0" w:space="0" w:color="auto"/>
        <w:right w:val="none" w:sz="0" w:space="0" w:color="auto"/>
      </w:divBdr>
    </w:div>
    <w:div w:id="788402916">
      <w:bodyDiv w:val="1"/>
      <w:marLeft w:val="0"/>
      <w:marRight w:val="0"/>
      <w:marTop w:val="0"/>
      <w:marBottom w:val="0"/>
      <w:divBdr>
        <w:top w:val="none" w:sz="0" w:space="0" w:color="auto"/>
        <w:left w:val="none" w:sz="0" w:space="0" w:color="auto"/>
        <w:bottom w:val="none" w:sz="0" w:space="0" w:color="auto"/>
        <w:right w:val="none" w:sz="0" w:space="0" w:color="auto"/>
      </w:divBdr>
    </w:div>
    <w:div w:id="813520511">
      <w:bodyDiv w:val="1"/>
      <w:marLeft w:val="0"/>
      <w:marRight w:val="0"/>
      <w:marTop w:val="0"/>
      <w:marBottom w:val="0"/>
      <w:divBdr>
        <w:top w:val="none" w:sz="0" w:space="0" w:color="auto"/>
        <w:left w:val="none" w:sz="0" w:space="0" w:color="auto"/>
        <w:bottom w:val="none" w:sz="0" w:space="0" w:color="auto"/>
        <w:right w:val="none" w:sz="0" w:space="0" w:color="auto"/>
      </w:divBdr>
    </w:div>
    <w:div w:id="842402062">
      <w:bodyDiv w:val="1"/>
      <w:marLeft w:val="0"/>
      <w:marRight w:val="0"/>
      <w:marTop w:val="0"/>
      <w:marBottom w:val="0"/>
      <w:divBdr>
        <w:top w:val="none" w:sz="0" w:space="0" w:color="auto"/>
        <w:left w:val="none" w:sz="0" w:space="0" w:color="auto"/>
        <w:bottom w:val="none" w:sz="0" w:space="0" w:color="auto"/>
        <w:right w:val="none" w:sz="0" w:space="0" w:color="auto"/>
      </w:divBdr>
    </w:div>
    <w:div w:id="844784746">
      <w:bodyDiv w:val="1"/>
      <w:marLeft w:val="0"/>
      <w:marRight w:val="0"/>
      <w:marTop w:val="0"/>
      <w:marBottom w:val="0"/>
      <w:divBdr>
        <w:top w:val="none" w:sz="0" w:space="0" w:color="auto"/>
        <w:left w:val="none" w:sz="0" w:space="0" w:color="auto"/>
        <w:bottom w:val="none" w:sz="0" w:space="0" w:color="auto"/>
        <w:right w:val="none" w:sz="0" w:space="0" w:color="auto"/>
      </w:divBdr>
    </w:div>
    <w:div w:id="852576920">
      <w:bodyDiv w:val="1"/>
      <w:marLeft w:val="0"/>
      <w:marRight w:val="0"/>
      <w:marTop w:val="0"/>
      <w:marBottom w:val="0"/>
      <w:divBdr>
        <w:top w:val="none" w:sz="0" w:space="0" w:color="auto"/>
        <w:left w:val="none" w:sz="0" w:space="0" w:color="auto"/>
        <w:bottom w:val="none" w:sz="0" w:space="0" w:color="auto"/>
        <w:right w:val="none" w:sz="0" w:space="0" w:color="auto"/>
      </w:divBdr>
    </w:div>
    <w:div w:id="884946390">
      <w:bodyDiv w:val="1"/>
      <w:marLeft w:val="0"/>
      <w:marRight w:val="0"/>
      <w:marTop w:val="0"/>
      <w:marBottom w:val="0"/>
      <w:divBdr>
        <w:top w:val="none" w:sz="0" w:space="0" w:color="auto"/>
        <w:left w:val="none" w:sz="0" w:space="0" w:color="auto"/>
        <w:bottom w:val="none" w:sz="0" w:space="0" w:color="auto"/>
        <w:right w:val="none" w:sz="0" w:space="0" w:color="auto"/>
      </w:divBdr>
    </w:div>
    <w:div w:id="885415769">
      <w:bodyDiv w:val="1"/>
      <w:marLeft w:val="0"/>
      <w:marRight w:val="0"/>
      <w:marTop w:val="0"/>
      <w:marBottom w:val="0"/>
      <w:divBdr>
        <w:top w:val="none" w:sz="0" w:space="0" w:color="auto"/>
        <w:left w:val="none" w:sz="0" w:space="0" w:color="auto"/>
        <w:bottom w:val="none" w:sz="0" w:space="0" w:color="auto"/>
        <w:right w:val="none" w:sz="0" w:space="0" w:color="auto"/>
      </w:divBdr>
    </w:div>
    <w:div w:id="893278094">
      <w:bodyDiv w:val="1"/>
      <w:marLeft w:val="0"/>
      <w:marRight w:val="0"/>
      <w:marTop w:val="0"/>
      <w:marBottom w:val="0"/>
      <w:divBdr>
        <w:top w:val="none" w:sz="0" w:space="0" w:color="auto"/>
        <w:left w:val="none" w:sz="0" w:space="0" w:color="auto"/>
        <w:bottom w:val="none" w:sz="0" w:space="0" w:color="auto"/>
        <w:right w:val="none" w:sz="0" w:space="0" w:color="auto"/>
      </w:divBdr>
    </w:div>
    <w:div w:id="902327895">
      <w:bodyDiv w:val="1"/>
      <w:marLeft w:val="0"/>
      <w:marRight w:val="0"/>
      <w:marTop w:val="0"/>
      <w:marBottom w:val="0"/>
      <w:divBdr>
        <w:top w:val="none" w:sz="0" w:space="0" w:color="auto"/>
        <w:left w:val="none" w:sz="0" w:space="0" w:color="auto"/>
        <w:bottom w:val="none" w:sz="0" w:space="0" w:color="auto"/>
        <w:right w:val="none" w:sz="0" w:space="0" w:color="auto"/>
      </w:divBdr>
    </w:div>
    <w:div w:id="950748000">
      <w:bodyDiv w:val="1"/>
      <w:marLeft w:val="0"/>
      <w:marRight w:val="0"/>
      <w:marTop w:val="0"/>
      <w:marBottom w:val="0"/>
      <w:divBdr>
        <w:top w:val="none" w:sz="0" w:space="0" w:color="auto"/>
        <w:left w:val="none" w:sz="0" w:space="0" w:color="auto"/>
        <w:bottom w:val="none" w:sz="0" w:space="0" w:color="auto"/>
        <w:right w:val="none" w:sz="0" w:space="0" w:color="auto"/>
      </w:divBdr>
    </w:div>
    <w:div w:id="976880422">
      <w:bodyDiv w:val="1"/>
      <w:marLeft w:val="0"/>
      <w:marRight w:val="0"/>
      <w:marTop w:val="0"/>
      <w:marBottom w:val="0"/>
      <w:divBdr>
        <w:top w:val="none" w:sz="0" w:space="0" w:color="auto"/>
        <w:left w:val="none" w:sz="0" w:space="0" w:color="auto"/>
        <w:bottom w:val="none" w:sz="0" w:space="0" w:color="auto"/>
        <w:right w:val="none" w:sz="0" w:space="0" w:color="auto"/>
      </w:divBdr>
    </w:div>
    <w:div w:id="998465501">
      <w:bodyDiv w:val="1"/>
      <w:marLeft w:val="0"/>
      <w:marRight w:val="0"/>
      <w:marTop w:val="0"/>
      <w:marBottom w:val="0"/>
      <w:divBdr>
        <w:top w:val="none" w:sz="0" w:space="0" w:color="auto"/>
        <w:left w:val="none" w:sz="0" w:space="0" w:color="auto"/>
        <w:bottom w:val="none" w:sz="0" w:space="0" w:color="auto"/>
        <w:right w:val="none" w:sz="0" w:space="0" w:color="auto"/>
      </w:divBdr>
    </w:div>
    <w:div w:id="1036733618">
      <w:bodyDiv w:val="1"/>
      <w:marLeft w:val="0"/>
      <w:marRight w:val="0"/>
      <w:marTop w:val="0"/>
      <w:marBottom w:val="0"/>
      <w:divBdr>
        <w:top w:val="none" w:sz="0" w:space="0" w:color="auto"/>
        <w:left w:val="none" w:sz="0" w:space="0" w:color="auto"/>
        <w:bottom w:val="none" w:sz="0" w:space="0" w:color="auto"/>
        <w:right w:val="none" w:sz="0" w:space="0" w:color="auto"/>
      </w:divBdr>
    </w:div>
    <w:div w:id="1045905819">
      <w:bodyDiv w:val="1"/>
      <w:marLeft w:val="0"/>
      <w:marRight w:val="0"/>
      <w:marTop w:val="0"/>
      <w:marBottom w:val="0"/>
      <w:divBdr>
        <w:top w:val="none" w:sz="0" w:space="0" w:color="auto"/>
        <w:left w:val="none" w:sz="0" w:space="0" w:color="auto"/>
        <w:bottom w:val="none" w:sz="0" w:space="0" w:color="auto"/>
        <w:right w:val="none" w:sz="0" w:space="0" w:color="auto"/>
      </w:divBdr>
    </w:div>
    <w:div w:id="1054741629">
      <w:bodyDiv w:val="1"/>
      <w:marLeft w:val="0"/>
      <w:marRight w:val="0"/>
      <w:marTop w:val="0"/>
      <w:marBottom w:val="0"/>
      <w:divBdr>
        <w:top w:val="none" w:sz="0" w:space="0" w:color="auto"/>
        <w:left w:val="none" w:sz="0" w:space="0" w:color="auto"/>
        <w:bottom w:val="none" w:sz="0" w:space="0" w:color="auto"/>
        <w:right w:val="none" w:sz="0" w:space="0" w:color="auto"/>
      </w:divBdr>
    </w:div>
    <w:div w:id="1060521717">
      <w:bodyDiv w:val="1"/>
      <w:marLeft w:val="0"/>
      <w:marRight w:val="0"/>
      <w:marTop w:val="0"/>
      <w:marBottom w:val="0"/>
      <w:divBdr>
        <w:top w:val="none" w:sz="0" w:space="0" w:color="auto"/>
        <w:left w:val="none" w:sz="0" w:space="0" w:color="auto"/>
        <w:bottom w:val="none" w:sz="0" w:space="0" w:color="auto"/>
        <w:right w:val="none" w:sz="0" w:space="0" w:color="auto"/>
      </w:divBdr>
    </w:div>
    <w:div w:id="1153793885">
      <w:bodyDiv w:val="1"/>
      <w:marLeft w:val="0"/>
      <w:marRight w:val="0"/>
      <w:marTop w:val="0"/>
      <w:marBottom w:val="0"/>
      <w:divBdr>
        <w:top w:val="none" w:sz="0" w:space="0" w:color="auto"/>
        <w:left w:val="none" w:sz="0" w:space="0" w:color="auto"/>
        <w:bottom w:val="none" w:sz="0" w:space="0" w:color="auto"/>
        <w:right w:val="none" w:sz="0" w:space="0" w:color="auto"/>
      </w:divBdr>
    </w:div>
    <w:div w:id="1192718932">
      <w:bodyDiv w:val="1"/>
      <w:marLeft w:val="0"/>
      <w:marRight w:val="0"/>
      <w:marTop w:val="0"/>
      <w:marBottom w:val="0"/>
      <w:divBdr>
        <w:top w:val="none" w:sz="0" w:space="0" w:color="auto"/>
        <w:left w:val="none" w:sz="0" w:space="0" w:color="auto"/>
        <w:bottom w:val="none" w:sz="0" w:space="0" w:color="auto"/>
        <w:right w:val="none" w:sz="0" w:space="0" w:color="auto"/>
      </w:divBdr>
    </w:div>
    <w:div w:id="1208026862">
      <w:bodyDiv w:val="1"/>
      <w:marLeft w:val="0"/>
      <w:marRight w:val="0"/>
      <w:marTop w:val="0"/>
      <w:marBottom w:val="0"/>
      <w:divBdr>
        <w:top w:val="none" w:sz="0" w:space="0" w:color="auto"/>
        <w:left w:val="none" w:sz="0" w:space="0" w:color="auto"/>
        <w:bottom w:val="none" w:sz="0" w:space="0" w:color="auto"/>
        <w:right w:val="none" w:sz="0" w:space="0" w:color="auto"/>
      </w:divBdr>
    </w:div>
    <w:div w:id="1221592400">
      <w:bodyDiv w:val="1"/>
      <w:marLeft w:val="0"/>
      <w:marRight w:val="0"/>
      <w:marTop w:val="0"/>
      <w:marBottom w:val="0"/>
      <w:divBdr>
        <w:top w:val="none" w:sz="0" w:space="0" w:color="auto"/>
        <w:left w:val="none" w:sz="0" w:space="0" w:color="auto"/>
        <w:bottom w:val="none" w:sz="0" w:space="0" w:color="auto"/>
        <w:right w:val="none" w:sz="0" w:space="0" w:color="auto"/>
      </w:divBdr>
    </w:div>
    <w:div w:id="1225871522">
      <w:bodyDiv w:val="1"/>
      <w:marLeft w:val="0"/>
      <w:marRight w:val="0"/>
      <w:marTop w:val="0"/>
      <w:marBottom w:val="0"/>
      <w:divBdr>
        <w:top w:val="none" w:sz="0" w:space="0" w:color="auto"/>
        <w:left w:val="none" w:sz="0" w:space="0" w:color="auto"/>
        <w:bottom w:val="none" w:sz="0" w:space="0" w:color="auto"/>
        <w:right w:val="none" w:sz="0" w:space="0" w:color="auto"/>
      </w:divBdr>
    </w:div>
    <w:div w:id="1266231307">
      <w:bodyDiv w:val="1"/>
      <w:marLeft w:val="0"/>
      <w:marRight w:val="0"/>
      <w:marTop w:val="0"/>
      <w:marBottom w:val="0"/>
      <w:divBdr>
        <w:top w:val="none" w:sz="0" w:space="0" w:color="auto"/>
        <w:left w:val="none" w:sz="0" w:space="0" w:color="auto"/>
        <w:bottom w:val="none" w:sz="0" w:space="0" w:color="auto"/>
        <w:right w:val="none" w:sz="0" w:space="0" w:color="auto"/>
      </w:divBdr>
    </w:div>
    <w:div w:id="1283267133">
      <w:bodyDiv w:val="1"/>
      <w:marLeft w:val="0"/>
      <w:marRight w:val="0"/>
      <w:marTop w:val="0"/>
      <w:marBottom w:val="0"/>
      <w:divBdr>
        <w:top w:val="none" w:sz="0" w:space="0" w:color="auto"/>
        <w:left w:val="none" w:sz="0" w:space="0" w:color="auto"/>
        <w:bottom w:val="none" w:sz="0" w:space="0" w:color="auto"/>
        <w:right w:val="none" w:sz="0" w:space="0" w:color="auto"/>
      </w:divBdr>
    </w:div>
    <w:div w:id="1307977461">
      <w:bodyDiv w:val="1"/>
      <w:marLeft w:val="0"/>
      <w:marRight w:val="0"/>
      <w:marTop w:val="0"/>
      <w:marBottom w:val="0"/>
      <w:divBdr>
        <w:top w:val="none" w:sz="0" w:space="0" w:color="auto"/>
        <w:left w:val="none" w:sz="0" w:space="0" w:color="auto"/>
        <w:bottom w:val="none" w:sz="0" w:space="0" w:color="auto"/>
        <w:right w:val="none" w:sz="0" w:space="0" w:color="auto"/>
      </w:divBdr>
    </w:div>
    <w:div w:id="1343438767">
      <w:bodyDiv w:val="1"/>
      <w:marLeft w:val="0"/>
      <w:marRight w:val="0"/>
      <w:marTop w:val="0"/>
      <w:marBottom w:val="0"/>
      <w:divBdr>
        <w:top w:val="none" w:sz="0" w:space="0" w:color="auto"/>
        <w:left w:val="none" w:sz="0" w:space="0" w:color="auto"/>
        <w:bottom w:val="none" w:sz="0" w:space="0" w:color="auto"/>
        <w:right w:val="none" w:sz="0" w:space="0" w:color="auto"/>
      </w:divBdr>
    </w:div>
    <w:div w:id="1386294516">
      <w:bodyDiv w:val="1"/>
      <w:marLeft w:val="0"/>
      <w:marRight w:val="0"/>
      <w:marTop w:val="0"/>
      <w:marBottom w:val="0"/>
      <w:divBdr>
        <w:top w:val="none" w:sz="0" w:space="0" w:color="auto"/>
        <w:left w:val="none" w:sz="0" w:space="0" w:color="auto"/>
        <w:bottom w:val="none" w:sz="0" w:space="0" w:color="auto"/>
        <w:right w:val="none" w:sz="0" w:space="0" w:color="auto"/>
      </w:divBdr>
    </w:div>
    <w:div w:id="1387679248">
      <w:bodyDiv w:val="1"/>
      <w:marLeft w:val="0"/>
      <w:marRight w:val="0"/>
      <w:marTop w:val="0"/>
      <w:marBottom w:val="0"/>
      <w:divBdr>
        <w:top w:val="none" w:sz="0" w:space="0" w:color="auto"/>
        <w:left w:val="none" w:sz="0" w:space="0" w:color="auto"/>
        <w:bottom w:val="none" w:sz="0" w:space="0" w:color="auto"/>
        <w:right w:val="none" w:sz="0" w:space="0" w:color="auto"/>
      </w:divBdr>
    </w:div>
    <w:div w:id="1411847103">
      <w:bodyDiv w:val="1"/>
      <w:marLeft w:val="0"/>
      <w:marRight w:val="0"/>
      <w:marTop w:val="0"/>
      <w:marBottom w:val="0"/>
      <w:divBdr>
        <w:top w:val="none" w:sz="0" w:space="0" w:color="auto"/>
        <w:left w:val="none" w:sz="0" w:space="0" w:color="auto"/>
        <w:bottom w:val="none" w:sz="0" w:space="0" w:color="auto"/>
        <w:right w:val="none" w:sz="0" w:space="0" w:color="auto"/>
      </w:divBdr>
    </w:div>
    <w:div w:id="1416318677">
      <w:bodyDiv w:val="1"/>
      <w:marLeft w:val="0"/>
      <w:marRight w:val="0"/>
      <w:marTop w:val="0"/>
      <w:marBottom w:val="0"/>
      <w:divBdr>
        <w:top w:val="none" w:sz="0" w:space="0" w:color="auto"/>
        <w:left w:val="none" w:sz="0" w:space="0" w:color="auto"/>
        <w:bottom w:val="none" w:sz="0" w:space="0" w:color="auto"/>
        <w:right w:val="none" w:sz="0" w:space="0" w:color="auto"/>
      </w:divBdr>
    </w:div>
    <w:div w:id="1459568977">
      <w:bodyDiv w:val="1"/>
      <w:marLeft w:val="0"/>
      <w:marRight w:val="0"/>
      <w:marTop w:val="0"/>
      <w:marBottom w:val="0"/>
      <w:divBdr>
        <w:top w:val="none" w:sz="0" w:space="0" w:color="auto"/>
        <w:left w:val="none" w:sz="0" w:space="0" w:color="auto"/>
        <w:bottom w:val="none" w:sz="0" w:space="0" w:color="auto"/>
        <w:right w:val="none" w:sz="0" w:space="0" w:color="auto"/>
      </w:divBdr>
    </w:div>
    <w:div w:id="1475562264">
      <w:bodyDiv w:val="1"/>
      <w:marLeft w:val="0"/>
      <w:marRight w:val="0"/>
      <w:marTop w:val="0"/>
      <w:marBottom w:val="0"/>
      <w:divBdr>
        <w:top w:val="none" w:sz="0" w:space="0" w:color="auto"/>
        <w:left w:val="none" w:sz="0" w:space="0" w:color="auto"/>
        <w:bottom w:val="none" w:sz="0" w:space="0" w:color="auto"/>
        <w:right w:val="none" w:sz="0" w:space="0" w:color="auto"/>
      </w:divBdr>
    </w:div>
    <w:div w:id="1536693609">
      <w:bodyDiv w:val="1"/>
      <w:marLeft w:val="0"/>
      <w:marRight w:val="0"/>
      <w:marTop w:val="0"/>
      <w:marBottom w:val="0"/>
      <w:divBdr>
        <w:top w:val="none" w:sz="0" w:space="0" w:color="auto"/>
        <w:left w:val="none" w:sz="0" w:space="0" w:color="auto"/>
        <w:bottom w:val="none" w:sz="0" w:space="0" w:color="auto"/>
        <w:right w:val="none" w:sz="0" w:space="0" w:color="auto"/>
      </w:divBdr>
    </w:div>
    <w:div w:id="1576206935">
      <w:bodyDiv w:val="1"/>
      <w:marLeft w:val="0"/>
      <w:marRight w:val="0"/>
      <w:marTop w:val="0"/>
      <w:marBottom w:val="0"/>
      <w:divBdr>
        <w:top w:val="none" w:sz="0" w:space="0" w:color="auto"/>
        <w:left w:val="none" w:sz="0" w:space="0" w:color="auto"/>
        <w:bottom w:val="none" w:sz="0" w:space="0" w:color="auto"/>
        <w:right w:val="none" w:sz="0" w:space="0" w:color="auto"/>
      </w:divBdr>
    </w:div>
    <w:div w:id="1588031206">
      <w:bodyDiv w:val="1"/>
      <w:marLeft w:val="0"/>
      <w:marRight w:val="0"/>
      <w:marTop w:val="0"/>
      <w:marBottom w:val="0"/>
      <w:divBdr>
        <w:top w:val="none" w:sz="0" w:space="0" w:color="auto"/>
        <w:left w:val="none" w:sz="0" w:space="0" w:color="auto"/>
        <w:bottom w:val="none" w:sz="0" w:space="0" w:color="auto"/>
        <w:right w:val="none" w:sz="0" w:space="0" w:color="auto"/>
      </w:divBdr>
    </w:div>
    <w:div w:id="1595043882">
      <w:bodyDiv w:val="1"/>
      <w:marLeft w:val="0"/>
      <w:marRight w:val="0"/>
      <w:marTop w:val="0"/>
      <w:marBottom w:val="0"/>
      <w:divBdr>
        <w:top w:val="none" w:sz="0" w:space="0" w:color="auto"/>
        <w:left w:val="none" w:sz="0" w:space="0" w:color="auto"/>
        <w:bottom w:val="none" w:sz="0" w:space="0" w:color="auto"/>
        <w:right w:val="none" w:sz="0" w:space="0" w:color="auto"/>
      </w:divBdr>
    </w:div>
    <w:div w:id="1604071064">
      <w:bodyDiv w:val="1"/>
      <w:marLeft w:val="0"/>
      <w:marRight w:val="0"/>
      <w:marTop w:val="0"/>
      <w:marBottom w:val="0"/>
      <w:divBdr>
        <w:top w:val="none" w:sz="0" w:space="0" w:color="auto"/>
        <w:left w:val="none" w:sz="0" w:space="0" w:color="auto"/>
        <w:bottom w:val="none" w:sz="0" w:space="0" w:color="auto"/>
        <w:right w:val="none" w:sz="0" w:space="0" w:color="auto"/>
      </w:divBdr>
    </w:div>
    <w:div w:id="1618369621">
      <w:bodyDiv w:val="1"/>
      <w:marLeft w:val="0"/>
      <w:marRight w:val="0"/>
      <w:marTop w:val="0"/>
      <w:marBottom w:val="0"/>
      <w:divBdr>
        <w:top w:val="none" w:sz="0" w:space="0" w:color="auto"/>
        <w:left w:val="none" w:sz="0" w:space="0" w:color="auto"/>
        <w:bottom w:val="none" w:sz="0" w:space="0" w:color="auto"/>
        <w:right w:val="none" w:sz="0" w:space="0" w:color="auto"/>
      </w:divBdr>
    </w:div>
    <w:div w:id="1698893475">
      <w:bodyDiv w:val="1"/>
      <w:marLeft w:val="0"/>
      <w:marRight w:val="0"/>
      <w:marTop w:val="0"/>
      <w:marBottom w:val="0"/>
      <w:divBdr>
        <w:top w:val="none" w:sz="0" w:space="0" w:color="auto"/>
        <w:left w:val="none" w:sz="0" w:space="0" w:color="auto"/>
        <w:bottom w:val="none" w:sz="0" w:space="0" w:color="auto"/>
        <w:right w:val="none" w:sz="0" w:space="0" w:color="auto"/>
      </w:divBdr>
    </w:div>
    <w:div w:id="1703825624">
      <w:bodyDiv w:val="1"/>
      <w:marLeft w:val="0"/>
      <w:marRight w:val="0"/>
      <w:marTop w:val="0"/>
      <w:marBottom w:val="0"/>
      <w:divBdr>
        <w:top w:val="none" w:sz="0" w:space="0" w:color="auto"/>
        <w:left w:val="none" w:sz="0" w:space="0" w:color="auto"/>
        <w:bottom w:val="none" w:sz="0" w:space="0" w:color="auto"/>
        <w:right w:val="none" w:sz="0" w:space="0" w:color="auto"/>
      </w:divBdr>
    </w:div>
    <w:div w:id="1710448634">
      <w:bodyDiv w:val="1"/>
      <w:marLeft w:val="0"/>
      <w:marRight w:val="0"/>
      <w:marTop w:val="0"/>
      <w:marBottom w:val="0"/>
      <w:divBdr>
        <w:top w:val="none" w:sz="0" w:space="0" w:color="auto"/>
        <w:left w:val="none" w:sz="0" w:space="0" w:color="auto"/>
        <w:bottom w:val="none" w:sz="0" w:space="0" w:color="auto"/>
        <w:right w:val="none" w:sz="0" w:space="0" w:color="auto"/>
      </w:divBdr>
    </w:div>
    <w:div w:id="1711609011">
      <w:bodyDiv w:val="1"/>
      <w:marLeft w:val="0"/>
      <w:marRight w:val="0"/>
      <w:marTop w:val="0"/>
      <w:marBottom w:val="0"/>
      <w:divBdr>
        <w:top w:val="none" w:sz="0" w:space="0" w:color="auto"/>
        <w:left w:val="none" w:sz="0" w:space="0" w:color="auto"/>
        <w:bottom w:val="none" w:sz="0" w:space="0" w:color="auto"/>
        <w:right w:val="none" w:sz="0" w:space="0" w:color="auto"/>
      </w:divBdr>
    </w:div>
    <w:div w:id="1714648334">
      <w:bodyDiv w:val="1"/>
      <w:marLeft w:val="0"/>
      <w:marRight w:val="0"/>
      <w:marTop w:val="0"/>
      <w:marBottom w:val="0"/>
      <w:divBdr>
        <w:top w:val="none" w:sz="0" w:space="0" w:color="auto"/>
        <w:left w:val="none" w:sz="0" w:space="0" w:color="auto"/>
        <w:bottom w:val="none" w:sz="0" w:space="0" w:color="auto"/>
        <w:right w:val="none" w:sz="0" w:space="0" w:color="auto"/>
      </w:divBdr>
    </w:div>
    <w:div w:id="1724869326">
      <w:bodyDiv w:val="1"/>
      <w:marLeft w:val="0"/>
      <w:marRight w:val="0"/>
      <w:marTop w:val="0"/>
      <w:marBottom w:val="0"/>
      <w:divBdr>
        <w:top w:val="none" w:sz="0" w:space="0" w:color="auto"/>
        <w:left w:val="none" w:sz="0" w:space="0" w:color="auto"/>
        <w:bottom w:val="none" w:sz="0" w:space="0" w:color="auto"/>
        <w:right w:val="none" w:sz="0" w:space="0" w:color="auto"/>
      </w:divBdr>
    </w:div>
    <w:div w:id="1731535040">
      <w:bodyDiv w:val="1"/>
      <w:marLeft w:val="0"/>
      <w:marRight w:val="0"/>
      <w:marTop w:val="0"/>
      <w:marBottom w:val="0"/>
      <w:divBdr>
        <w:top w:val="none" w:sz="0" w:space="0" w:color="auto"/>
        <w:left w:val="none" w:sz="0" w:space="0" w:color="auto"/>
        <w:bottom w:val="none" w:sz="0" w:space="0" w:color="auto"/>
        <w:right w:val="none" w:sz="0" w:space="0" w:color="auto"/>
      </w:divBdr>
    </w:div>
    <w:div w:id="1749958690">
      <w:bodyDiv w:val="1"/>
      <w:marLeft w:val="0"/>
      <w:marRight w:val="0"/>
      <w:marTop w:val="0"/>
      <w:marBottom w:val="0"/>
      <w:divBdr>
        <w:top w:val="none" w:sz="0" w:space="0" w:color="auto"/>
        <w:left w:val="none" w:sz="0" w:space="0" w:color="auto"/>
        <w:bottom w:val="none" w:sz="0" w:space="0" w:color="auto"/>
        <w:right w:val="none" w:sz="0" w:space="0" w:color="auto"/>
      </w:divBdr>
    </w:div>
    <w:div w:id="1772436833">
      <w:bodyDiv w:val="1"/>
      <w:marLeft w:val="0"/>
      <w:marRight w:val="0"/>
      <w:marTop w:val="0"/>
      <w:marBottom w:val="0"/>
      <w:divBdr>
        <w:top w:val="none" w:sz="0" w:space="0" w:color="auto"/>
        <w:left w:val="none" w:sz="0" w:space="0" w:color="auto"/>
        <w:bottom w:val="none" w:sz="0" w:space="0" w:color="auto"/>
        <w:right w:val="none" w:sz="0" w:space="0" w:color="auto"/>
      </w:divBdr>
    </w:div>
    <w:div w:id="1774403239">
      <w:bodyDiv w:val="1"/>
      <w:marLeft w:val="0"/>
      <w:marRight w:val="0"/>
      <w:marTop w:val="0"/>
      <w:marBottom w:val="0"/>
      <w:divBdr>
        <w:top w:val="none" w:sz="0" w:space="0" w:color="auto"/>
        <w:left w:val="none" w:sz="0" w:space="0" w:color="auto"/>
        <w:bottom w:val="none" w:sz="0" w:space="0" w:color="auto"/>
        <w:right w:val="none" w:sz="0" w:space="0" w:color="auto"/>
      </w:divBdr>
    </w:div>
    <w:div w:id="1780222455">
      <w:bodyDiv w:val="1"/>
      <w:marLeft w:val="0"/>
      <w:marRight w:val="0"/>
      <w:marTop w:val="0"/>
      <w:marBottom w:val="0"/>
      <w:divBdr>
        <w:top w:val="none" w:sz="0" w:space="0" w:color="auto"/>
        <w:left w:val="none" w:sz="0" w:space="0" w:color="auto"/>
        <w:bottom w:val="none" w:sz="0" w:space="0" w:color="auto"/>
        <w:right w:val="none" w:sz="0" w:space="0" w:color="auto"/>
      </w:divBdr>
    </w:div>
    <w:div w:id="1795176782">
      <w:bodyDiv w:val="1"/>
      <w:marLeft w:val="0"/>
      <w:marRight w:val="0"/>
      <w:marTop w:val="0"/>
      <w:marBottom w:val="0"/>
      <w:divBdr>
        <w:top w:val="none" w:sz="0" w:space="0" w:color="auto"/>
        <w:left w:val="none" w:sz="0" w:space="0" w:color="auto"/>
        <w:bottom w:val="none" w:sz="0" w:space="0" w:color="auto"/>
        <w:right w:val="none" w:sz="0" w:space="0" w:color="auto"/>
      </w:divBdr>
    </w:div>
    <w:div w:id="1851407102">
      <w:bodyDiv w:val="1"/>
      <w:marLeft w:val="0"/>
      <w:marRight w:val="0"/>
      <w:marTop w:val="0"/>
      <w:marBottom w:val="0"/>
      <w:divBdr>
        <w:top w:val="none" w:sz="0" w:space="0" w:color="auto"/>
        <w:left w:val="none" w:sz="0" w:space="0" w:color="auto"/>
        <w:bottom w:val="none" w:sz="0" w:space="0" w:color="auto"/>
        <w:right w:val="none" w:sz="0" w:space="0" w:color="auto"/>
      </w:divBdr>
    </w:div>
    <w:div w:id="1853564762">
      <w:bodyDiv w:val="1"/>
      <w:marLeft w:val="0"/>
      <w:marRight w:val="0"/>
      <w:marTop w:val="0"/>
      <w:marBottom w:val="0"/>
      <w:divBdr>
        <w:top w:val="none" w:sz="0" w:space="0" w:color="auto"/>
        <w:left w:val="none" w:sz="0" w:space="0" w:color="auto"/>
        <w:bottom w:val="none" w:sz="0" w:space="0" w:color="auto"/>
        <w:right w:val="none" w:sz="0" w:space="0" w:color="auto"/>
      </w:divBdr>
    </w:div>
    <w:div w:id="1878815634">
      <w:bodyDiv w:val="1"/>
      <w:marLeft w:val="0"/>
      <w:marRight w:val="0"/>
      <w:marTop w:val="0"/>
      <w:marBottom w:val="0"/>
      <w:divBdr>
        <w:top w:val="none" w:sz="0" w:space="0" w:color="auto"/>
        <w:left w:val="none" w:sz="0" w:space="0" w:color="auto"/>
        <w:bottom w:val="none" w:sz="0" w:space="0" w:color="auto"/>
        <w:right w:val="none" w:sz="0" w:space="0" w:color="auto"/>
      </w:divBdr>
    </w:div>
    <w:div w:id="1894852337">
      <w:bodyDiv w:val="1"/>
      <w:marLeft w:val="0"/>
      <w:marRight w:val="0"/>
      <w:marTop w:val="0"/>
      <w:marBottom w:val="0"/>
      <w:divBdr>
        <w:top w:val="none" w:sz="0" w:space="0" w:color="auto"/>
        <w:left w:val="none" w:sz="0" w:space="0" w:color="auto"/>
        <w:bottom w:val="none" w:sz="0" w:space="0" w:color="auto"/>
        <w:right w:val="none" w:sz="0" w:space="0" w:color="auto"/>
      </w:divBdr>
    </w:div>
    <w:div w:id="1895966246">
      <w:bodyDiv w:val="1"/>
      <w:marLeft w:val="0"/>
      <w:marRight w:val="0"/>
      <w:marTop w:val="0"/>
      <w:marBottom w:val="0"/>
      <w:divBdr>
        <w:top w:val="none" w:sz="0" w:space="0" w:color="auto"/>
        <w:left w:val="none" w:sz="0" w:space="0" w:color="auto"/>
        <w:bottom w:val="none" w:sz="0" w:space="0" w:color="auto"/>
        <w:right w:val="none" w:sz="0" w:space="0" w:color="auto"/>
      </w:divBdr>
    </w:div>
    <w:div w:id="1943798911">
      <w:bodyDiv w:val="1"/>
      <w:marLeft w:val="0"/>
      <w:marRight w:val="0"/>
      <w:marTop w:val="0"/>
      <w:marBottom w:val="0"/>
      <w:divBdr>
        <w:top w:val="none" w:sz="0" w:space="0" w:color="auto"/>
        <w:left w:val="none" w:sz="0" w:space="0" w:color="auto"/>
        <w:bottom w:val="none" w:sz="0" w:space="0" w:color="auto"/>
        <w:right w:val="none" w:sz="0" w:space="0" w:color="auto"/>
      </w:divBdr>
    </w:div>
    <w:div w:id="1970502470">
      <w:bodyDiv w:val="1"/>
      <w:marLeft w:val="0"/>
      <w:marRight w:val="0"/>
      <w:marTop w:val="0"/>
      <w:marBottom w:val="0"/>
      <w:divBdr>
        <w:top w:val="none" w:sz="0" w:space="0" w:color="auto"/>
        <w:left w:val="none" w:sz="0" w:space="0" w:color="auto"/>
        <w:bottom w:val="none" w:sz="0" w:space="0" w:color="auto"/>
        <w:right w:val="none" w:sz="0" w:space="0" w:color="auto"/>
      </w:divBdr>
    </w:div>
    <w:div w:id="1970745610">
      <w:bodyDiv w:val="1"/>
      <w:marLeft w:val="0"/>
      <w:marRight w:val="0"/>
      <w:marTop w:val="0"/>
      <w:marBottom w:val="0"/>
      <w:divBdr>
        <w:top w:val="none" w:sz="0" w:space="0" w:color="auto"/>
        <w:left w:val="none" w:sz="0" w:space="0" w:color="auto"/>
        <w:bottom w:val="none" w:sz="0" w:space="0" w:color="auto"/>
        <w:right w:val="none" w:sz="0" w:space="0" w:color="auto"/>
      </w:divBdr>
    </w:div>
    <w:div w:id="1973945035">
      <w:bodyDiv w:val="1"/>
      <w:marLeft w:val="0"/>
      <w:marRight w:val="0"/>
      <w:marTop w:val="0"/>
      <w:marBottom w:val="0"/>
      <w:divBdr>
        <w:top w:val="none" w:sz="0" w:space="0" w:color="auto"/>
        <w:left w:val="none" w:sz="0" w:space="0" w:color="auto"/>
        <w:bottom w:val="none" w:sz="0" w:space="0" w:color="auto"/>
        <w:right w:val="none" w:sz="0" w:space="0" w:color="auto"/>
      </w:divBdr>
    </w:div>
    <w:div w:id="1982079437">
      <w:bodyDiv w:val="1"/>
      <w:marLeft w:val="0"/>
      <w:marRight w:val="0"/>
      <w:marTop w:val="0"/>
      <w:marBottom w:val="0"/>
      <w:divBdr>
        <w:top w:val="none" w:sz="0" w:space="0" w:color="auto"/>
        <w:left w:val="none" w:sz="0" w:space="0" w:color="auto"/>
        <w:bottom w:val="none" w:sz="0" w:space="0" w:color="auto"/>
        <w:right w:val="none" w:sz="0" w:space="0" w:color="auto"/>
      </w:divBdr>
    </w:div>
    <w:div w:id="2026440755">
      <w:bodyDiv w:val="1"/>
      <w:marLeft w:val="0"/>
      <w:marRight w:val="0"/>
      <w:marTop w:val="0"/>
      <w:marBottom w:val="0"/>
      <w:divBdr>
        <w:top w:val="none" w:sz="0" w:space="0" w:color="auto"/>
        <w:left w:val="none" w:sz="0" w:space="0" w:color="auto"/>
        <w:bottom w:val="none" w:sz="0" w:space="0" w:color="auto"/>
        <w:right w:val="none" w:sz="0" w:space="0" w:color="auto"/>
      </w:divBdr>
    </w:div>
    <w:div w:id="2042128831">
      <w:bodyDiv w:val="1"/>
      <w:marLeft w:val="0"/>
      <w:marRight w:val="0"/>
      <w:marTop w:val="0"/>
      <w:marBottom w:val="0"/>
      <w:divBdr>
        <w:top w:val="none" w:sz="0" w:space="0" w:color="auto"/>
        <w:left w:val="none" w:sz="0" w:space="0" w:color="auto"/>
        <w:bottom w:val="none" w:sz="0" w:space="0" w:color="auto"/>
        <w:right w:val="none" w:sz="0" w:space="0" w:color="auto"/>
      </w:divBdr>
    </w:div>
    <w:div w:id="2043704149">
      <w:bodyDiv w:val="1"/>
      <w:marLeft w:val="0"/>
      <w:marRight w:val="0"/>
      <w:marTop w:val="0"/>
      <w:marBottom w:val="0"/>
      <w:divBdr>
        <w:top w:val="none" w:sz="0" w:space="0" w:color="auto"/>
        <w:left w:val="none" w:sz="0" w:space="0" w:color="auto"/>
        <w:bottom w:val="none" w:sz="0" w:space="0" w:color="auto"/>
        <w:right w:val="none" w:sz="0" w:space="0" w:color="auto"/>
      </w:divBdr>
    </w:div>
    <w:div w:id="2059426397">
      <w:bodyDiv w:val="1"/>
      <w:marLeft w:val="0"/>
      <w:marRight w:val="0"/>
      <w:marTop w:val="0"/>
      <w:marBottom w:val="0"/>
      <w:divBdr>
        <w:top w:val="none" w:sz="0" w:space="0" w:color="auto"/>
        <w:left w:val="none" w:sz="0" w:space="0" w:color="auto"/>
        <w:bottom w:val="none" w:sz="0" w:space="0" w:color="auto"/>
        <w:right w:val="none" w:sz="0" w:space="0" w:color="auto"/>
      </w:divBdr>
    </w:div>
    <w:div w:id="2090225551">
      <w:bodyDiv w:val="1"/>
      <w:marLeft w:val="0"/>
      <w:marRight w:val="0"/>
      <w:marTop w:val="0"/>
      <w:marBottom w:val="0"/>
      <w:divBdr>
        <w:top w:val="none" w:sz="0" w:space="0" w:color="auto"/>
        <w:left w:val="none" w:sz="0" w:space="0" w:color="auto"/>
        <w:bottom w:val="none" w:sz="0" w:space="0" w:color="auto"/>
        <w:right w:val="none" w:sz="0" w:space="0" w:color="auto"/>
      </w:divBdr>
    </w:div>
    <w:div w:id="2113546200">
      <w:bodyDiv w:val="1"/>
      <w:marLeft w:val="0"/>
      <w:marRight w:val="0"/>
      <w:marTop w:val="0"/>
      <w:marBottom w:val="0"/>
      <w:divBdr>
        <w:top w:val="none" w:sz="0" w:space="0" w:color="auto"/>
        <w:left w:val="none" w:sz="0" w:space="0" w:color="auto"/>
        <w:bottom w:val="none" w:sz="0" w:space="0" w:color="auto"/>
        <w:right w:val="none" w:sz="0" w:space="0" w:color="auto"/>
      </w:divBdr>
    </w:div>
    <w:div w:id="2119254801">
      <w:bodyDiv w:val="1"/>
      <w:marLeft w:val="0"/>
      <w:marRight w:val="0"/>
      <w:marTop w:val="0"/>
      <w:marBottom w:val="0"/>
      <w:divBdr>
        <w:top w:val="none" w:sz="0" w:space="0" w:color="auto"/>
        <w:left w:val="none" w:sz="0" w:space="0" w:color="auto"/>
        <w:bottom w:val="none" w:sz="0" w:space="0" w:color="auto"/>
        <w:right w:val="none" w:sz="0" w:space="0" w:color="auto"/>
      </w:divBdr>
    </w:div>
    <w:div w:id="21317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20-EGITR2-C-0002/en" TargetMode="External"/><Relationship Id="rId18" Type="http://schemas.openxmlformats.org/officeDocument/2006/relationships/hyperlink" Target="https://www.itu.int/md/S20-EGITR2-C-0009/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20-EGITR2-C-0003/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0-EGITR2-C-0001/en" TargetMode="External"/><Relationship Id="rId17" Type="http://schemas.openxmlformats.org/officeDocument/2006/relationships/hyperlink" Target="https://www.itu.int/md/S19-EGITR1-C-0005/en" TargetMode="External"/><Relationship Id="rId25" Type="http://schemas.openxmlformats.org/officeDocument/2006/relationships/hyperlink" Target="https://www.itu.int/md/S20-EGITR2-200212-DL-0002/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19-EGITR1-C-0005/en" TargetMode="External"/><Relationship Id="rId20" Type="http://schemas.openxmlformats.org/officeDocument/2006/relationships/hyperlink" Target="https://www.itu.int/md/S20-EGITR2-C-0011/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EGITR2-C-0004/en"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itu.int/md/S20-EGITR2-C-0007/en" TargetMode="External"/><Relationship Id="rId23" Type="http://schemas.openxmlformats.org/officeDocument/2006/relationships/hyperlink" Target="https://www.itu.int/md/S20-EGITR2-C-0012/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0-EGITR2-C-0010/e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EGITR2-C-0005/en" TargetMode="External"/><Relationship Id="rId22" Type="http://schemas.openxmlformats.org/officeDocument/2006/relationships/hyperlink" Target="https://www.itu.int/md/S20-EGITR2-C-0006/en"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EBC28-2C43-47C2-AC53-DA5D4A16F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43BC7-FBC1-40EA-8875-D9E5F2F5CABB}">
  <ds:schemaRefs>
    <ds:schemaRef ds:uri="http://schemas.microsoft.com/sharepoint/v3/contenttype/forms"/>
  </ds:schemaRefs>
</ds:datastoreItem>
</file>

<file path=customXml/itemProps3.xml><?xml version="1.0" encoding="utf-8"?>
<ds:datastoreItem xmlns:ds="http://schemas.openxmlformats.org/officeDocument/2006/customXml" ds:itemID="{9C05E520-A59B-4E26-A1A3-A100E3555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427F0-531F-4745-88EC-4B506443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TotalTime>
  <Pages>59</Pages>
  <Words>18255</Words>
  <Characters>106533</Characters>
  <Application>Microsoft Office Word</Application>
  <DocSecurity>4</DocSecurity>
  <Lines>887</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124539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deuxième réunion du groupe d'experts sur le règlement des télécommunications internationales (EG-RTI)</dc:title>
  <dc:subject/>
  <dc:creator>Chanavat, Emilie</dc:creator>
  <cp:keywords>EG-ITRs</cp:keywords>
  <dc:description/>
  <cp:lastModifiedBy>Brouard, Ricarda</cp:lastModifiedBy>
  <cp:revision>2</cp:revision>
  <cp:lastPrinted>2020-05-20T15:14:00Z</cp:lastPrinted>
  <dcterms:created xsi:type="dcterms:W3CDTF">2020-06-01T12:30:00Z</dcterms:created>
  <dcterms:modified xsi:type="dcterms:W3CDTF">2020-06-01T12:30:00Z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