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C4C08" w14:paraId="357514C5" w14:textId="77777777">
        <w:trPr>
          <w:cantSplit/>
        </w:trPr>
        <w:tc>
          <w:tcPr>
            <w:tcW w:w="6912" w:type="dxa"/>
          </w:tcPr>
          <w:p w14:paraId="764C1E3E" w14:textId="77777777" w:rsidR="00093EEB" w:rsidRPr="001C4C08" w:rsidRDefault="00D92832" w:rsidP="00D92832">
            <w:pPr>
              <w:spacing w:before="240"/>
              <w:rPr>
                <w:szCs w:val="24"/>
              </w:rPr>
            </w:pPr>
            <w:bookmarkStart w:id="0" w:name="dbluepink" w:colFirst="0" w:colLast="0"/>
            <w:r w:rsidRPr="001C4C08">
              <w:rPr>
                <w:b/>
                <w:bCs/>
                <w:position w:val="6"/>
                <w:sz w:val="30"/>
                <w:szCs w:val="30"/>
              </w:rPr>
              <w:t xml:space="preserve">Grupo de Expertos sobre el Reglamento de las </w:t>
            </w:r>
            <w:r w:rsidRPr="001C4C08">
              <w:rPr>
                <w:b/>
                <w:bCs/>
                <w:position w:val="6"/>
                <w:sz w:val="30"/>
                <w:szCs w:val="30"/>
              </w:rPr>
              <w:br/>
              <w:t>Telecomunicaciones Internacionales (GE-RTI)</w:t>
            </w:r>
          </w:p>
        </w:tc>
        <w:tc>
          <w:tcPr>
            <w:tcW w:w="3261" w:type="dxa"/>
          </w:tcPr>
          <w:p w14:paraId="61312569" w14:textId="77777777" w:rsidR="00093EEB" w:rsidRPr="001C4C08" w:rsidRDefault="00012E27" w:rsidP="00C85B97">
            <w:pPr>
              <w:spacing w:before="0"/>
              <w:rPr>
                <w:szCs w:val="24"/>
              </w:rPr>
            </w:pPr>
            <w:bookmarkStart w:id="1" w:name="ditulogo"/>
            <w:bookmarkEnd w:id="1"/>
            <w:r w:rsidRPr="001C4C08">
              <w:rPr>
                <w:noProof/>
              </w:rPr>
              <w:drawing>
                <wp:inline distT="0" distB="0" distL="0" distR="0" wp14:anchorId="30DAAEA4" wp14:editId="506A9554">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1C4C08" w14:paraId="197F309E" w14:textId="77777777">
        <w:trPr>
          <w:cantSplit/>
          <w:trHeight w:val="20"/>
        </w:trPr>
        <w:tc>
          <w:tcPr>
            <w:tcW w:w="10173" w:type="dxa"/>
            <w:gridSpan w:val="2"/>
            <w:tcBorders>
              <w:bottom w:val="single" w:sz="12" w:space="0" w:color="auto"/>
            </w:tcBorders>
          </w:tcPr>
          <w:p w14:paraId="67AAAB6C" w14:textId="77777777" w:rsidR="00093EEB" w:rsidRPr="001C4C08" w:rsidRDefault="00C85B97" w:rsidP="00012E27">
            <w:pPr>
              <w:spacing w:before="0"/>
              <w:rPr>
                <w:b/>
                <w:bCs/>
                <w:szCs w:val="24"/>
              </w:rPr>
            </w:pPr>
            <w:r w:rsidRPr="001C4C08">
              <w:rPr>
                <w:rFonts w:eastAsia="Calibri" w:cs="Calibri"/>
                <w:b/>
                <w:color w:val="000000"/>
                <w:szCs w:val="24"/>
              </w:rPr>
              <w:t>Segunda</w:t>
            </w:r>
            <w:r w:rsidR="00012E27" w:rsidRPr="001C4C08">
              <w:rPr>
                <w:rFonts w:eastAsia="Calibri" w:cs="Calibri"/>
                <w:b/>
                <w:color w:val="000000"/>
                <w:szCs w:val="24"/>
              </w:rPr>
              <w:t xml:space="preserve"> reunión </w:t>
            </w:r>
            <w:r w:rsidR="00D92832" w:rsidRPr="001C4C08">
              <w:rPr>
                <w:b/>
                <w:bCs/>
              </w:rPr>
              <w:t>– Ginebra, 1</w:t>
            </w:r>
            <w:r w:rsidRPr="001C4C08">
              <w:rPr>
                <w:b/>
                <w:bCs/>
              </w:rPr>
              <w:t>2</w:t>
            </w:r>
            <w:r w:rsidR="00D92832" w:rsidRPr="001C4C08">
              <w:rPr>
                <w:b/>
                <w:bCs/>
              </w:rPr>
              <w:t>-1</w:t>
            </w:r>
            <w:r w:rsidRPr="001C4C08">
              <w:rPr>
                <w:b/>
                <w:bCs/>
              </w:rPr>
              <w:t>3</w:t>
            </w:r>
            <w:r w:rsidR="00D92832" w:rsidRPr="001C4C08">
              <w:rPr>
                <w:b/>
                <w:bCs/>
              </w:rPr>
              <w:t xml:space="preserve"> de </w:t>
            </w:r>
            <w:r w:rsidRPr="001C4C08">
              <w:rPr>
                <w:b/>
                <w:bCs/>
              </w:rPr>
              <w:t>febrero</w:t>
            </w:r>
            <w:r w:rsidR="00D92832" w:rsidRPr="001C4C08">
              <w:rPr>
                <w:b/>
                <w:bCs/>
              </w:rPr>
              <w:t xml:space="preserve"> de 20</w:t>
            </w:r>
            <w:r w:rsidRPr="001C4C08">
              <w:rPr>
                <w:b/>
                <w:bCs/>
              </w:rPr>
              <w:t>20</w:t>
            </w:r>
          </w:p>
        </w:tc>
      </w:tr>
      <w:tr w:rsidR="00093EEB" w:rsidRPr="001C4C08" w14:paraId="109C9317" w14:textId="77777777">
        <w:trPr>
          <w:cantSplit/>
          <w:trHeight w:val="20"/>
        </w:trPr>
        <w:tc>
          <w:tcPr>
            <w:tcW w:w="6912" w:type="dxa"/>
            <w:tcBorders>
              <w:top w:val="single" w:sz="12" w:space="0" w:color="auto"/>
            </w:tcBorders>
          </w:tcPr>
          <w:p w14:paraId="3F78E3D5" w14:textId="77777777" w:rsidR="00093EEB" w:rsidRPr="001C4C0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BC93254" w14:textId="77777777" w:rsidR="00093EEB" w:rsidRPr="001C4C08" w:rsidRDefault="00093EEB">
            <w:pPr>
              <w:spacing w:before="0"/>
              <w:rPr>
                <w:b/>
                <w:bCs/>
                <w:szCs w:val="24"/>
              </w:rPr>
            </w:pPr>
          </w:p>
        </w:tc>
      </w:tr>
      <w:tr w:rsidR="00093EEB" w:rsidRPr="001C4C08" w14:paraId="3EE9F3B6" w14:textId="77777777">
        <w:trPr>
          <w:cantSplit/>
          <w:trHeight w:val="20"/>
        </w:trPr>
        <w:tc>
          <w:tcPr>
            <w:tcW w:w="6912" w:type="dxa"/>
            <w:shd w:val="clear" w:color="auto" w:fill="auto"/>
          </w:tcPr>
          <w:p w14:paraId="61C39346" w14:textId="77777777" w:rsidR="00093EEB" w:rsidRPr="001C4C08"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26F5CDEE" w14:textId="3190AD9A" w:rsidR="00093EEB" w:rsidRPr="001C4C08" w:rsidRDefault="00093EEB" w:rsidP="001F60AD">
            <w:pPr>
              <w:spacing w:before="0"/>
              <w:rPr>
                <w:b/>
                <w:bCs/>
                <w:szCs w:val="24"/>
              </w:rPr>
            </w:pPr>
            <w:r w:rsidRPr="001C4C08">
              <w:rPr>
                <w:b/>
                <w:bCs/>
                <w:szCs w:val="24"/>
              </w:rPr>
              <w:t xml:space="preserve">Documento </w:t>
            </w:r>
            <w:proofErr w:type="spellStart"/>
            <w:r w:rsidR="00D92832" w:rsidRPr="001C4C08">
              <w:rPr>
                <w:rFonts w:asciiTheme="minorHAnsi" w:hAnsiTheme="minorHAnsi" w:cs="Times New Roman Bold"/>
                <w:b/>
                <w:spacing w:val="-4"/>
              </w:rPr>
              <w:t>EG-ITRs</w:t>
            </w:r>
            <w:proofErr w:type="spellEnd"/>
            <w:r w:rsidR="00D92832" w:rsidRPr="001C4C08">
              <w:rPr>
                <w:rFonts w:asciiTheme="minorHAnsi" w:hAnsiTheme="minorHAnsi" w:cs="Times New Roman Bold"/>
                <w:b/>
                <w:spacing w:val="-4"/>
              </w:rPr>
              <w:t>/</w:t>
            </w:r>
            <w:r w:rsidR="00BC3FFA" w:rsidRPr="001C4C08">
              <w:rPr>
                <w:rFonts w:asciiTheme="minorHAnsi" w:hAnsiTheme="minorHAnsi" w:cs="Times New Roman Bold"/>
                <w:b/>
                <w:spacing w:val="-4"/>
              </w:rPr>
              <w:t>8</w:t>
            </w:r>
            <w:r w:rsidR="00D92832" w:rsidRPr="001C4C08">
              <w:rPr>
                <w:rFonts w:asciiTheme="minorHAnsi" w:hAnsiTheme="minorHAnsi" w:cs="Times New Roman Bold"/>
                <w:b/>
                <w:spacing w:val="-4"/>
              </w:rPr>
              <w:t>-S</w:t>
            </w:r>
          </w:p>
        </w:tc>
      </w:tr>
      <w:tr w:rsidR="00093EEB" w:rsidRPr="001C4C08" w14:paraId="1AF23C27" w14:textId="77777777">
        <w:trPr>
          <w:cantSplit/>
          <w:trHeight w:val="20"/>
        </w:trPr>
        <w:tc>
          <w:tcPr>
            <w:tcW w:w="6912" w:type="dxa"/>
            <w:shd w:val="clear" w:color="auto" w:fill="auto"/>
          </w:tcPr>
          <w:p w14:paraId="30375533" w14:textId="77777777" w:rsidR="00093EEB" w:rsidRPr="001C4C08" w:rsidRDefault="00093EEB">
            <w:pPr>
              <w:shd w:val="solid" w:color="FFFFFF" w:fill="FFFFFF"/>
              <w:spacing w:before="0"/>
              <w:rPr>
                <w:smallCaps/>
                <w:szCs w:val="24"/>
              </w:rPr>
            </w:pPr>
            <w:bookmarkStart w:id="4" w:name="ddate" w:colFirst="1" w:colLast="1"/>
            <w:bookmarkEnd w:id="2"/>
            <w:bookmarkEnd w:id="3"/>
          </w:p>
        </w:tc>
        <w:tc>
          <w:tcPr>
            <w:tcW w:w="3261" w:type="dxa"/>
          </w:tcPr>
          <w:p w14:paraId="55CC5553" w14:textId="17B4A677" w:rsidR="00093EEB" w:rsidRPr="001C4C08" w:rsidRDefault="006018B0" w:rsidP="001F60AD">
            <w:pPr>
              <w:spacing w:before="0"/>
              <w:rPr>
                <w:b/>
                <w:bCs/>
                <w:szCs w:val="24"/>
              </w:rPr>
            </w:pPr>
            <w:r w:rsidRPr="001C4C08">
              <w:rPr>
                <w:b/>
                <w:bCs/>
                <w:szCs w:val="24"/>
              </w:rPr>
              <w:t>29</w:t>
            </w:r>
            <w:r w:rsidR="0077252D" w:rsidRPr="001C4C08">
              <w:rPr>
                <w:b/>
                <w:bCs/>
                <w:szCs w:val="24"/>
              </w:rPr>
              <w:t xml:space="preserve"> </w:t>
            </w:r>
            <w:r w:rsidR="00D92832" w:rsidRPr="001C4C08">
              <w:rPr>
                <w:b/>
                <w:bCs/>
                <w:szCs w:val="24"/>
              </w:rPr>
              <w:t xml:space="preserve">de </w:t>
            </w:r>
            <w:r w:rsidR="00AE6A66" w:rsidRPr="001C4C08">
              <w:rPr>
                <w:b/>
                <w:bCs/>
                <w:szCs w:val="24"/>
              </w:rPr>
              <w:t>enero</w:t>
            </w:r>
            <w:r w:rsidR="00093EEB" w:rsidRPr="001C4C08">
              <w:rPr>
                <w:b/>
                <w:bCs/>
                <w:szCs w:val="24"/>
              </w:rPr>
              <w:t xml:space="preserve"> de 20</w:t>
            </w:r>
            <w:r w:rsidR="00C85B97" w:rsidRPr="001C4C08">
              <w:rPr>
                <w:b/>
                <w:bCs/>
                <w:szCs w:val="24"/>
              </w:rPr>
              <w:t>20</w:t>
            </w:r>
          </w:p>
        </w:tc>
      </w:tr>
      <w:tr w:rsidR="00093EEB" w:rsidRPr="001C4C08" w14:paraId="591C40FE" w14:textId="77777777">
        <w:trPr>
          <w:cantSplit/>
          <w:trHeight w:val="20"/>
        </w:trPr>
        <w:tc>
          <w:tcPr>
            <w:tcW w:w="6912" w:type="dxa"/>
            <w:shd w:val="clear" w:color="auto" w:fill="auto"/>
          </w:tcPr>
          <w:p w14:paraId="59FA6654" w14:textId="77777777" w:rsidR="00093EEB" w:rsidRPr="001C4C08" w:rsidRDefault="00093EEB">
            <w:pPr>
              <w:shd w:val="solid" w:color="FFFFFF" w:fill="FFFFFF"/>
              <w:spacing w:before="0"/>
              <w:rPr>
                <w:smallCaps/>
                <w:szCs w:val="24"/>
              </w:rPr>
            </w:pPr>
            <w:bookmarkStart w:id="5" w:name="dorlang" w:colFirst="1" w:colLast="1"/>
            <w:bookmarkEnd w:id="4"/>
          </w:p>
        </w:tc>
        <w:tc>
          <w:tcPr>
            <w:tcW w:w="3261" w:type="dxa"/>
          </w:tcPr>
          <w:p w14:paraId="76348D43" w14:textId="62E1157B" w:rsidR="00093EEB" w:rsidRPr="001C4C08" w:rsidRDefault="00093EEB" w:rsidP="00093EEB">
            <w:pPr>
              <w:spacing w:before="0"/>
              <w:rPr>
                <w:b/>
                <w:bCs/>
                <w:szCs w:val="24"/>
              </w:rPr>
            </w:pPr>
            <w:r w:rsidRPr="001C4C08">
              <w:rPr>
                <w:b/>
                <w:bCs/>
                <w:szCs w:val="24"/>
              </w:rPr>
              <w:t xml:space="preserve">Original: </w:t>
            </w:r>
            <w:r w:rsidR="006018B0" w:rsidRPr="001C4C08">
              <w:rPr>
                <w:b/>
                <w:bCs/>
                <w:szCs w:val="24"/>
              </w:rPr>
              <w:t>inglés</w:t>
            </w:r>
          </w:p>
        </w:tc>
      </w:tr>
      <w:tr w:rsidR="00093EEB" w:rsidRPr="001C4C08" w14:paraId="2141039A" w14:textId="77777777">
        <w:trPr>
          <w:cantSplit/>
        </w:trPr>
        <w:tc>
          <w:tcPr>
            <w:tcW w:w="10173" w:type="dxa"/>
            <w:gridSpan w:val="2"/>
          </w:tcPr>
          <w:p w14:paraId="2BF641A4" w14:textId="14E873C8" w:rsidR="00093EEB" w:rsidRPr="001C4C08" w:rsidRDefault="00026705">
            <w:pPr>
              <w:pStyle w:val="Source"/>
            </w:pPr>
            <w:bookmarkStart w:id="6" w:name="lt_pId010"/>
            <w:bookmarkStart w:id="7" w:name="dsource" w:colFirst="0" w:colLast="0"/>
            <w:bookmarkEnd w:id="0"/>
            <w:bookmarkEnd w:id="5"/>
            <w:r w:rsidRPr="001C4C08">
              <w:t>Sudáfrica</w:t>
            </w:r>
            <w:r w:rsidR="00BC3FFA" w:rsidRPr="001C4C08">
              <w:t xml:space="preserve"> (</w:t>
            </w:r>
            <w:r w:rsidRPr="001C4C08">
              <w:t>República de</w:t>
            </w:r>
            <w:r w:rsidR="00BC3FFA" w:rsidRPr="001C4C08">
              <w:t>)</w:t>
            </w:r>
            <w:bookmarkEnd w:id="6"/>
          </w:p>
        </w:tc>
      </w:tr>
      <w:tr w:rsidR="00093EEB" w:rsidRPr="001C4C08" w14:paraId="206415D6" w14:textId="77777777">
        <w:trPr>
          <w:cantSplit/>
        </w:trPr>
        <w:tc>
          <w:tcPr>
            <w:tcW w:w="10173" w:type="dxa"/>
            <w:gridSpan w:val="2"/>
          </w:tcPr>
          <w:p w14:paraId="5633E850" w14:textId="3D1A6624" w:rsidR="00093EEB" w:rsidRPr="001C4C08" w:rsidRDefault="00A21A2E" w:rsidP="00E41212">
            <w:pPr>
              <w:pStyle w:val="Title1"/>
            </w:pPr>
            <w:bookmarkStart w:id="8" w:name="dtitle1" w:colFirst="0" w:colLast="0"/>
            <w:bookmarkEnd w:id="7"/>
            <w:r w:rsidRPr="001C4C08">
              <w:t>examen pormenorizado del reglamento de las</w:t>
            </w:r>
            <w:r w:rsidRPr="001C4C08">
              <w:br/>
              <w:t>telecomunicaciones internacionales</w:t>
            </w:r>
          </w:p>
        </w:tc>
      </w:tr>
    </w:tbl>
    <w:bookmarkEnd w:id="8"/>
    <w:p w14:paraId="526546BF" w14:textId="3D36CD4E" w:rsidR="00E41212" w:rsidRPr="001C4C08" w:rsidRDefault="00E41212" w:rsidP="00E41212">
      <w:pPr>
        <w:pStyle w:val="Headingb"/>
        <w:spacing w:before="600"/>
      </w:pPr>
      <w:r w:rsidRPr="001C4C08">
        <w:t>Introducción</w:t>
      </w:r>
    </w:p>
    <w:p w14:paraId="50D7D589" w14:textId="2FC65CF6" w:rsidR="000022FD" w:rsidRPr="001C4C08" w:rsidRDefault="00E41212" w:rsidP="00E41212">
      <w:r w:rsidRPr="001C4C08">
        <w:t>La República de Sudáfrica agradece la oportunidad de participar nuevamente en la importante labor del Grupo de Expertos sobre el Reglamento de las Telecomunicaciones Internacionales en relación con el examen amplio del Reglamento de las Telecomunicaciones Internacionales (RTI).</w:t>
      </w:r>
    </w:p>
    <w:p w14:paraId="67E91C03" w14:textId="194FF1C2" w:rsidR="00E41212" w:rsidRPr="001C4C08" w:rsidRDefault="00E41212" w:rsidP="00E41212">
      <w:pPr>
        <w:pStyle w:val="Headingb"/>
      </w:pPr>
      <w:r w:rsidRPr="001C4C08">
        <w:t>Discusión</w:t>
      </w:r>
    </w:p>
    <w:p w14:paraId="3FA67C7D" w14:textId="4695701C" w:rsidR="00E41212" w:rsidRPr="001C4C08" w:rsidRDefault="00E41212" w:rsidP="00E41212">
      <w:r w:rsidRPr="001C4C08">
        <w:t>Los Estados Miembros no han podido ponerse de acuerdo sobre un RTI que pudiera ser adoptado y aplicado por todos. Al emprender este examen pormenorizado del RTI, se recuerda a los Estados Miembros que "</w:t>
      </w:r>
      <w:r w:rsidRPr="001C4C08">
        <w:rPr>
          <w:i/>
          <w:iCs/>
        </w:rPr>
        <w:t>la UIT está comprometida para conectar a toda la población mundial – dondequiera que viva y cualesquiera que sean sus medios. A través de nuestra labor, protegemos y apoyamos el derecho fundamental de todos a comunicar</w:t>
      </w:r>
      <w:r w:rsidRPr="001C4C08">
        <w:rPr>
          <w:sz w:val="28"/>
          <w:szCs w:val="28"/>
          <w:vertAlign w:val="superscript"/>
        </w:rPr>
        <w:footnoteReference w:id="1"/>
      </w:r>
      <w:r w:rsidRPr="001C4C08">
        <w:t>".</w:t>
      </w:r>
    </w:p>
    <w:p w14:paraId="211621D2" w14:textId="13EC60F4" w:rsidR="00E41212" w:rsidRPr="001C4C08" w:rsidRDefault="00E41212" w:rsidP="00E41212">
      <w:r w:rsidRPr="001C4C08">
        <w:t>Habiendo tomado nota de las deliberaciones del GE-RTI que tuvieron lugar los días 16 y 17 de septiembre de 2019, el plan de trabajo y el cuadro de examen acordados, la presente es la contribución de la República de Sudáfrica con respecto al examen, disposición por disposición, del</w:t>
      </w:r>
      <w:r w:rsidR="00151AF4" w:rsidRPr="001C4C08">
        <w:t> </w:t>
      </w:r>
      <w:r w:rsidRPr="001C4C08">
        <w:t xml:space="preserve">RTI de 2012, centrándose especialmente en el preámbulo y los artículos 1 a 4. Véase el </w:t>
      </w:r>
      <w:r w:rsidRPr="001C4C08">
        <w:rPr>
          <w:b/>
        </w:rPr>
        <w:t>Anexo</w:t>
      </w:r>
      <w:r w:rsidR="00151AF4" w:rsidRPr="001C4C08">
        <w:rPr>
          <w:b/>
        </w:rPr>
        <w:t> </w:t>
      </w:r>
      <w:r w:rsidRPr="001C4C08">
        <w:rPr>
          <w:b/>
        </w:rPr>
        <w:t>I</w:t>
      </w:r>
      <w:r w:rsidRPr="001C4C08">
        <w:t>.</w:t>
      </w:r>
    </w:p>
    <w:p w14:paraId="27A28404" w14:textId="77777777" w:rsidR="00E41212" w:rsidRPr="001C4C08" w:rsidRDefault="00E41212" w:rsidP="00E41212">
      <w:r w:rsidRPr="001C4C08">
        <w:t xml:space="preserve">Habiendo tomado nota también de las opiniones divergentes de diversos Estados Miembros en cuanto a la pertinencia del RTI, la República de Sudáfrica inició un proceso de consultas con sus empresas de explotación autorizadas sobre esta cuestión. Los resultados del proceso de consulta figuran en el </w:t>
      </w:r>
      <w:r w:rsidRPr="001C4C08">
        <w:rPr>
          <w:b/>
          <w:bCs/>
        </w:rPr>
        <w:t>Anexo II</w:t>
      </w:r>
      <w:r w:rsidRPr="001C4C08">
        <w:t>.</w:t>
      </w:r>
    </w:p>
    <w:p w14:paraId="0E8633B1" w14:textId="2F0BEF6F" w:rsidR="00E41212" w:rsidRPr="001C4C08" w:rsidRDefault="00E41212" w:rsidP="00E41212">
      <w:pPr>
        <w:pStyle w:val="Headingb"/>
      </w:pPr>
      <w:r w:rsidRPr="001C4C08">
        <w:t>Conclusión</w:t>
      </w:r>
    </w:p>
    <w:p w14:paraId="51FF6E4F" w14:textId="04AAFF2C" w:rsidR="00E41212" w:rsidRPr="001C4C08" w:rsidRDefault="00E41212" w:rsidP="00E41212">
      <w:r w:rsidRPr="001C4C08">
        <w:rPr>
          <w:rFonts w:eastAsiaTheme="minorHAnsi"/>
        </w:rPr>
        <w:t>En conclusión, la República de Sudáfrica espera colaborar con otros Estados miembros en el cumplimiento de los objetivos de la UIT.</w:t>
      </w:r>
    </w:p>
    <w:p w14:paraId="6EF2A8B8" w14:textId="77777777" w:rsidR="00E41212" w:rsidRPr="001C4C08" w:rsidRDefault="00E41212" w:rsidP="00E41212"/>
    <w:p w14:paraId="25FE8C61" w14:textId="49713E02" w:rsidR="00E41212" w:rsidRPr="001C4C08" w:rsidRDefault="00E41212">
      <w:pPr>
        <w:tabs>
          <w:tab w:val="clear" w:pos="567"/>
          <w:tab w:val="clear" w:pos="1134"/>
          <w:tab w:val="clear" w:pos="1701"/>
          <w:tab w:val="clear" w:pos="2268"/>
          <w:tab w:val="clear" w:pos="2835"/>
        </w:tabs>
        <w:overflowPunct/>
        <w:autoSpaceDE/>
        <w:autoSpaceDN/>
        <w:adjustRightInd/>
        <w:spacing w:before="0"/>
        <w:textAlignment w:val="auto"/>
      </w:pPr>
      <w:r w:rsidRPr="001C4C08">
        <w:br w:type="page"/>
      </w:r>
    </w:p>
    <w:p w14:paraId="4BBF1A5B" w14:textId="22943E6B" w:rsidR="00781B80" w:rsidRPr="001C4C08" w:rsidRDefault="00781B80" w:rsidP="00781B80">
      <w:pPr>
        <w:pStyle w:val="AnnexNo"/>
      </w:pPr>
      <w:bookmarkStart w:id="9" w:name="lt_pId024"/>
      <w:r w:rsidRPr="001C4C08">
        <w:lastRenderedPageBreak/>
        <w:t>Anex</w:t>
      </w:r>
      <w:r w:rsidR="000213E4" w:rsidRPr="001C4C08">
        <w:t>o</w:t>
      </w:r>
      <w:r w:rsidRPr="001C4C08">
        <w:t xml:space="preserve"> I</w:t>
      </w:r>
      <w:bookmarkEnd w:id="9"/>
    </w:p>
    <w:p w14:paraId="7D62F3C4" w14:textId="7A8EEA6D" w:rsidR="00781B80" w:rsidRPr="001C4C08" w:rsidRDefault="000213E4" w:rsidP="00781B80">
      <w:pPr>
        <w:pStyle w:val="Annextitle"/>
        <w:rPr>
          <w:u w:val="single"/>
        </w:rPr>
      </w:pPr>
      <w:bookmarkStart w:id="10" w:name="lt_pId025"/>
      <w:r w:rsidRPr="001C4C08">
        <w:rPr>
          <w:u w:val="single"/>
        </w:rPr>
        <w:t>Cuadro de examen</w:t>
      </w:r>
      <w:bookmarkEnd w:id="10"/>
    </w:p>
    <w:tbl>
      <w:tblPr>
        <w:tblStyle w:val="TableGrid1"/>
        <w:tblW w:w="10519" w:type="dxa"/>
        <w:jc w:val="center"/>
        <w:tblLayout w:type="fixed"/>
        <w:tblLook w:val="04A0" w:firstRow="1" w:lastRow="0" w:firstColumn="1" w:lastColumn="0" w:noHBand="0" w:noVBand="1"/>
      </w:tblPr>
      <w:tblGrid>
        <w:gridCol w:w="1075"/>
        <w:gridCol w:w="2140"/>
        <w:gridCol w:w="2142"/>
        <w:gridCol w:w="2029"/>
        <w:gridCol w:w="1825"/>
        <w:gridCol w:w="1308"/>
      </w:tblGrid>
      <w:tr w:rsidR="00781B80" w:rsidRPr="001C4C08" w14:paraId="55762C3C" w14:textId="77777777" w:rsidTr="001C4C08">
        <w:trPr>
          <w:jc w:val="center"/>
        </w:trPr>
        <w:tc>
          <w:tcPr>
            <w:tcW w:w="1075" w:type="dxa"/>
            <w:tcMar>
              <w:left w:w="85" w:type="dxa"/>
              <w:right w:w="85" w:type="dxa"/>
            </w:tcMar>
          </w:tcPr>
          <w:p w14:paraId="0E5CD06E" w14:textId="3C468C75" w:rsidR="00781B80" w:rsidRPr="001C4C08" w:rsidRDefault="00110ECD" w:rsidP="00110ECD">
            <w:pPr>
              <w:spacing w:before="80" w:after="60"/>
              <w:jc w:val="center"/>
              <w:rPr>
                <w:b/>
                <w:sz w:val="18"/>
                <w:szCs w:val="18"/>
              </w:rPr>
            </w:pPr>
            <w:r w:rsidRPr="001C4C08">
              <w:rPr>
                <w:b/>
                <w:sz w:val="18"/>
                <w:szCs w:val="18"/>
              </w:rPr>
              <w:t>Artículo de 2012</w:t>
            </w:r>
          </w:p>
        </w:tc>
        <w:tc>
          <w:tcPr>
            <w:tcW w:w="2140" w:type="dxa"/>
            <w:tcMar>
              <w:left w:w="85" w:type="dxa"/>
              <w:right w:w="85" w:type="dxa"/>
            </w:tcMar>
          </w:tcPr>
          <w:p w14:paraId="19B4D325" w14:textId="3C6D8EA1" w:rsidR="00781B80" w:rsidRPr="001C4C08" w:rsidRDefault="00110ECD" w:rsidP="00110ECD">
            <w:pPr>
              <w:tabs>
                <w:tab w:val="clear" w:pos="1134"/>
                <w:tab w:val="left" w:pos="1156"/>
              </w:tabs>
              <w:spacing w:before="80" w:after="60"/>
              <w:ind w:right="319"/>
              <w:jc w:val="center"/>
              <w:rPr>
                <w:b/>
                <w:sz w:val="18"/>
                <w:szCs w:val="18"/>
              </w:rPr>
            </w:pPr>
            <w:r w:rsidRPr="001C4C08">
              <w:rPr>
                <w:b/>
                <w:sz w:val="18"/>
                <w:szCs w:val="18"/>
              </w:rPr>
              <w:t>Párrafo y disposición</w:t>
            </w:r>
          </w:p>
        </w:tc>
        <w:tc>
          <w:tcPr>
            <w:tcW w:w="2142" w:type="dxa"/>
            <w:tcMar>
              <w:left w:w="85" w:type="dxa"/>
              <w:right w:w="85" w:type="dxa"/>
            </w:tcMar>
          </w:tcPr>
          <w:p w14:paraId="4914FB59" w14:textId="709D327E" w:rsidR="00781B80" w:rsidRPr="001C4C08" w:rsidRDefault="00110ECD" w:rsidP="00110ECD">
            <w:pPr>
              <w:tabs>
                <w:tab w:val="clear" w:pos="1134"/>
                <w:tab w:val="left" w:pos="1156"/>
              </w:tabs>
              <w:spacing w:before="80" w:after="60"/>
              <w:ind w:right="319"/>
              <w:jc w:val="center"/>
              <w:rPr>
                <w:b/>
                <w:sz w:val="18"/>
                <w:szCs w:val="18"/>
              </w:rPr>
            </w:pPr>
            <w:r w:rsidRPr="001C4C08">
              <w:rPr>
                <w:b/>
                <w:sz w:val="18"/>
                <w:szCs w:val="18"/>
              </w:rPr>
              <w:t xml:space="preserve">Párrafo y disposición </w:t>
            </w:r>
            <w:r w:rsidRPr="001C4C08">
              <w:rPr>
                <w:b/>
                <w:sz w:val="18"/>
                <w:szCs w:val="18"/>
              </w:rPr>
              <w:br/>
              <w:t>conexos de 1988</w:t>
            </w:r>
          </w:p>
        </w:tc>
        <w:tc>
          <w:tcPr>
            <w:tcW w:w="2029" w:type="dxa"/>
            <w:tcMar>
              <w:left w:w="85" w:type="dxa"/>
              <w:right w:w="85" w:type="dxa"/>
            </w:tcMar>
          </w:tcPr>
          <w:p w14:paraId="44FB550E" w14:textId="61E49AAB" w:rsidR="00781B80" w:rsidRPr="001C4C08" w:rsidRDefault="00110ECD" w:rsidP="00110ECD">
            <w:pPr>
              <w:spacing w:before="80" w:after="60"/>
              <w:jc w:val="center"/>
              <w:rPr>
                <w:b/>
                <w:sz w:val="18"/>
                <w:szCs w:val="18"/>
              </w:rPr>
            </w:pPr>
            <w:r w:rsidRPr="001C4C08">
              <w:rPr>
                <w:b/>
                <w:sz w:val="18"/>
                <w:szCs w:val="18"/>
              </w:rPr>
              <w:t xml:space="preserve">Aplicabilidad </w:t>
            </w:r>
            <w:r w:rsidRPr="001C4C08">
              <w:rPr>
                <w:b/>
                <w:sz w:val="18"/>
                <w:szCs w:val="18"/>
              </w:rPr>
              <w:br/>
              <w:t xml:space="preserve">para fomentar </w:t>
            </w:r>
            <w:r w:rsidRPr="001C4C08">
              <w:rPr>
                <w:b/>
                <w:sz w:val="18"/>
                <w:szCs w:val="18"/>
              </w:rPr>
              <w:br/>
              <w:t xml:space="preserve">la prestación y el desarrollo de redes </w:t>
            </w:r>
            <w:r w:rsidRPr="001C4C08">
              <w:rPr>
                <w:b/>
                <w:sz w:val="18"/>
                <w:szCs w:val="18"/>
              </w:rPr>
              <w:br/>
              <w:t>y servicios</w:t>
            </w:r>
          </w:p>
        </w:tc>
        <w:tc>
          <w:tcPr>
            <w:tcW w:w="1825" w:type="dxa"/>
            <w:tcMar>
              <w:left w:w="85" w:type="dxa"/>
              <w:right w:w="85" w:type="dxa"/>
            </w:tcMar>
          </w:tcPr>
          <w:p w14:paraId="78FADE1D" w14:textId="78A356B0" w:rsidR="00781B80" w:rsidRPr="001C4C08" w:rsidRDefault="00110ECD" w:rsidP="00110ECD">
            <w:pPr>
              <w:spacing w:before="80" w:after="60"/>
              <w:jc w:val="center"/>
              <w:rPr>
                <w:b/>
                <w:sz w:val="18"/>
                <w:szCs w:val="18"/>
              </w:rPr>
            </w:pPr>
            <w:r w:rsidRPr="001C4C08">
              <w:rPr>
                <w:b/>
                <w:sz w:val="18"/>
                <w:szCs w:val="18"/>
              </w:rPr>
              <w:t>Flexibilidad para adaptarse a las nuevas tendencias y a los problemas emergentes</w:t>
            </w:r>
          </w:p>
        </w:tc>
        <w:tc>
          <w:tcPr>
            <w:tcW w:w="1308" w:type="dxa"/>
            <w:tcMar>
              <w:left w:w="85" w:type="dxa"/>
              <w:right w:w="85" w:type="dxa"/>
            </w:tcMar>
          </w:tcPr>
          <w:p w14:paraId="4B27EB2E" w14:textId="72B3F853" w:rsidR="00781B80" w:rsidRPr="001C4C08" w:rsidRDefault="00110ECD" w:rsidP="00110ECD">
            <w:pPr>
              <w:spacing w:before="80" w:after="60"/>
              <w:jc w:val="center"/>
              <w:rPr>
                <w:b/>
                <w:sz w:val="18"/>
                <w:szCs w:val="18"/>
              </w:rPr>
            </w:pPr>
            <w:r w:rsidRPr="001C4C08">
              <w:rPr>
                <w:b/>
                <w:sz w:val="18"/>
                <w:szCs w:val="18"/>
              </w:rPr>
              <w:t>Resumen de los resultados</w:t>
            </w:r>
          </w:p>
        </w:tc>
      </w:tr>
      <w:tr w:rsidR="00781B80" w:rsidRPr="001C4C08" w14:paraId="19A81F70" w14:textId="77777777" w:rsidTr="001C4C08">
        <w:trPr>
          <w:jc w:val="center"/>
        </w:trPr>
        <w:tc>
          <w:tcPr>
            <w:tcW w:w="1075" w:type="dxa"/>
            <w:tcMar>
              <w:left w:w="85" w:type="dxa"/>
              <w:right w:w="85" w:type="dxa"/>
            </w:tcMar>
          </w:tcPr>
          <w:p w14:paraId="5E7EEC26" w14:textId="6F12501A" w:rsidR="00781B80" w:rsidRPr="001C4C08" w:rsidRDefault="00026705" w:rsidP="00110ECD">
            <w:pPr>
              <w:spacing w:after="60"/>
              <w:rPr>
                <w:rFonts w:cs="Calibri"/>
                <w:b/>
                <w:bCs/>
                <w:sz w:val="18"/>
                <w:szCs w:val="18"/>
              </w:rPr>
            </w:pPr>
            <w:bookmarkStart w:id="11" w:name="_Hlk31296445"/>
            <w:bookmarkStart w:id="12" w:name="_Hlk31296105"/>
            <w:r w:rsidRPr="001C4C08">
              <w:rPr>
                <w:rFonts w:cs="Calibri"/>
                <w:b/>
                <w:bCs/>
                <w:sz w:val="18"/>
                <w:szCs w:val="18"/>
              </w:rPr>
              <w:t>Preámbulo</w:t>
            </w:r>
          </w:p>
        </w:tc>
        <w:tc>
          <w:tcPr>
            <w:tcW w:w="2140" w:type="dxa"/>
            <w:tcMar>
              <w:left w:w="85" w:type="dxa"/>
              <w:right w:w="85" w:type="dxa"/>
            </w:tcMar>
          </w:tcPr>
          <w:p w14:paraId="2EEB0E23" w14:textId="0A5D54A1" w:rsidR="00781B80" w:rsidRPr="001C4C08" w:rsidRDefault="00110ECD" w:rsidP="001C4C08">
            <w:pPr>
              <w:spacing w:after="60"/>
              <w:rPr>
                <w:rFonts w:cs="Calibri"/>
                <w:bCs/>
                <w:sz w:val="18"/>
                <w:szCs w:val="18"/>
              </w:rPr>
            </w:pPr>
            <w:bookmarkStart w:id="13" w:name="lt_pId034"/>
            <w:r w:rsidRPr="001C4C08">
              <w:rPr>
                <w:rFonts w:cs="Calibri"/>
                <w:bCs/>
                <w:sz w:val="18"/>
                <w:szCs w:val="18"/>
              </w:rPr>
              <w:t>Reconociendo en toda su plenitud a cada Estado el derecho soberano a reglamentar sus telecomunicaciones, las disposiciones contenidas en el presente Reglamento de las Telecomunicaciones Internacionales (denominado en adelante, el "Reglamento") complementan la Constitución y el Convenio de la Unión Internacional de Telecomunicaciones y tienen por objeto alcanzar los fines de la Unión Internacional de Telecomunicaciones favoreciendo el desarrollo de los servicios de telecomunicación y su más eficaz explotación, armonizando al mismo tiempo el desarrollo de los medios para las telecomunicaciones a escala mundial.</w:t>
            </w:r>
            <w:r w:rsidR="00781B80" w:rsidRPr="001C4C08">
              <w:rPr>
                <w:rFonts w:cs="Calibri"/>
                <w:bCs/>
                <w:sz w:val="18"/>
                <w:szCs w:val="18"/>
              </w:rPr>
              <w:t>.</w:t>
            </w:r>
            <w:bookmarkEnd w:id="13"/>
          </w:p>
        </w:tc>
        <w:tc>
          <w:tcPr>
            <w:tcW w:w="2142" w:type="dxa"/>
            <w:tcMar>
              <w:left w:w="85" w:type="dxa"/>
              <w:right w:w="85" w:type="dxa"/>
            </w:tcMar>
          </w:tcPr>
          <w:p w14:paraId="6E829949" w14:textId="44089390" w:rsidR="00781B80" w:rsidRPr="001C4C08" w:rsidRDefault="004649AF" w:rsidP="00110ECD">
            <w:pPr>
              <w:spacing w:after="60"/>
              <w:rPr>
                <w:rFonts w:cs="Calibri"/>
                <w:bCs/>
                <w:sz w:val="18"/>
                <w:szCs w:val="18"/>
              </w:rPr>
            </w:pPr>
            <w:r w:rsidRPr="001C4C08">
              <w:rPr>
                <w:rFonts w:cs="Calibri"/>
                <w:bCs/>
                <w:sz w:val="18"/>
                <w:szCs w:val="18"/>
              </w:rPr>
              <w:t>Reconociendo en toda su plenitud a cada país el derecho soberano a reglamentar sus telecomunicaciones, las disposiciones contenidas en el presente Reglamento completan el Convenio 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t>
            </w:r>
          </w:p>
        </w:tc>
        <w:tc>
          <w:tcPr>
            <w:tcW w:w="2029" w:type="dxa"/>
            <w:tcMar>
              <w:left w:w="85" w:type="dxa"/>
              <w:right w:w="85" w:type="dxa"/>
            </w:tcMar>
          </w:tcPr>
          <w:p w14:paraId="56674279" w14:textId="09EC6077" w:rsidR="00781B80" w:rsidRPr="001C4C08" w:rsidRDefault="009C2AA1" w:rsidP="001C4C08">
            <w:pPr>
              <w:spacing w:after="60"/>
              <w:rPr>
                <w:rFonts w:cs="Calibri"/>
                <w:bCs/>
                <w:sz w:val="18"/>
                <w:szCs w:val="18"/>
              </w:rPr>
            </w:pPr>
            <w:bookmarkStart w:id="14" w:name="lt_pId036"/>
            <w:r w:rsidRPr="001C4C08">
              <w:rPr>
                <w:rFonts w:cs="Calibri"/>
                <w:bCs/>
                <w:sz w:val="18"/>
                <w:szCs w:val="18"/>
              </w:rPr>
              <w:t>Las Reglas, junto con el preámbulo, complementan la Constitución y el Convenio, que también apoya el desarrollo de los servicios de telecomunicaciones internacionales. Véase, por ejemplo, el artículo</w:t>
            </w:r>
            <w:r w:rsidR="001C4C08">
              <w:rPr>
                <w:rFonts w:cs="Calibri"/>
                <w:bCs/>
                <w:sz w:val="18"/>
                <w:szCs w:val="18"/>
              </w:rPr>
              <w:t> </w:t>
            </w:r>
            <w:r w:rsidRPr="001C4C08">
              <w:rPr>
                <w:rFonts w:cs="Calibri"/>
                <w:bCs/>
                <w:sz w:val="18"/>
                <w:szCs w:val="18"/>
              </w:rPr>
              <w:t>38 de la Constitución y las Resoluciones 201, 203 y 205.</w:t>
            </w:r>
            <w:bookmarkEnd w:id="14"/>
          </w:p>
        </w:tc>
        <w:tc>
          <w:tcPr>
            <w:tcW w:w="1825" w:type="dxa"/>
            <w:tcMar>
              <w:left w:w="85" w:type="dxa"/>
              <w:right w:w="85" w:type="dxa"/>
            </w:tcMar>
          </w:tcPr>
          <w:p w14:paraId="622A65DF" w14:textId="7BF384B4" w:rsidR="00781B80" w:rsidRPr="001C4C08" w:rsidRDefault="009C2AA1" w:rsidP="00110ECD">
            <w:pPr>
              <w:spacing w:after="60"/>
              <w:ind w:right="-111"/>
              <w:rPr>
                <w:rFonts w:cs="Calibri"/>
                <w:bCs/>
                <w:sz w:val="18"/>
                <w:szCs w:val="18"/>
              </w:rPr>
            </w:pPr>
            <w:r w:rsidRPr="001C4C08">
              <w:rPr>
                <w:rFonts w:cs="Calibri"/>
                <w:bCs/>
                <w:sz w:val="18"/>
                <w:szCs w:val="18"/>
              </w:rPr>
              <w:t>El preámbulo es lo suficientemente amplio como para dar cabida a las nuevas tendencias y cuestiones emergentes, reconociendo al mismo tiempo el derecho soberano de cada país a reglamentar sus servicios de telecomunicaciones.</w:t>
            </w:r>
          </w:p>
        </w:tc>
        <w:tc>
          <w:tcPr>
            <w:tcW w:w="1308" w:type="dxa"/>
            <w:tcMar>
              <w:left w:w="85" w:type="dxa"/>
              <w:right w:w="85" w:type="dxa"/>
            </w:tcMar>
          </w:tcPr>
          <w:p w14:paraId="15BD490C" w14:textId="22A01E78" w:rsidR="00781B80" w:rsidRPr="001C4C08" w:rsidRDefault="00026705" w:rsidP="00110ECD">
            <w:pPr>
              <w:spacing w:after="60"/>
              <w:ind w:right="-111"/>
              <w:rPr>
                <w:rFonts w:cs="Calibri"/>
                <w:b/>
                <w:bCs/>
                <w:sz w:val="18"/>
                <w:szCs w:val="18"/>
              </w:rPr>
            </w:pPr>
            <w:r w:rsidRPr="001C4C08">
              <w:rPr>
                <w:rFonts w:cs="Calibri"/>
                <w:b/>
                <w:bCs/>
                <w:sz w:val="18"/>
                <w:szCs w:val="18"/>
              </w:rPr>
              <w:t>No se requiere cambio.</w:t>
            </w:r>
          </w:p>
        </w:tc>
      </w:tr>
      <w:tr w:rsidR="00781B80" w:rsidRPr="001C4C08" w14:paraId="42B0827F" w14:textId="77777777" w:rsidTr="001C4C08">
        <w:trPr>
          <w:jc w:val="center"/>
        </w:trPr>
        <w:tc>
          <w:tcPr>
            <w:tcW w:w="1075" w:type="dxa"/>
            <w:tcMar>
              <w:left w:w="85" w:type="dxa"/>
              <w:right w:w="85" w:type="dxa"/>
            </w:tcMar>
          </w:tcPr>
          <w:p w14:paraId="3BA12E15" w14:textId="7759EF66" w:rsidR="00781B80" w:rsidRPr="001C4C08" w:rsidRDefault="00026705" w:rsidP="00110ECD">
            <w:pPr>
              <w:spacing w:after="60"/>
              <w:rPr>
                <w:rFonts w:cs="Calibri"/>
                <w:b/>
                <w:bCs/>
                <w:sz w:val="18"/>
                <w:szCs w:val="18"/>
              </w:rPr>
            </w:pPr>
            <w:r w:rsidRPr="001C4C08">
              <w:rPr>
                <w:rFonts w:cs="Calibri"/>
                <w:b/>
                <w:bCs/>
                <w:sz w:val="18"/>
                <w:szCs w:val="18"/>
              </w:rPr>
              <w:t>Preámbulo</w:t>
            </w:r>
          </w:p>
        </w:tc>
        <w:tc>
          <w:tcPr>
            <w:tcW w:w="2140" w:type="dxa"/>
            <w:tcMar>
              <w:left w:w="85" w:type="dxa"/>
              <w:right w:w="85" w:type="dxa"/>
            </w:tcMar>
          </w:tcPr>
          <w:p w14:paraId="733D0366" w14:textId="533F33FF" w:rsidR="00781B80" w:rsidRPr="001C4C08" w:rsidRDefault="004649AF" w:rsidP="00110ECD">
            <w:pPr>
              <w:spacing w:after="60"/>
              <w:rPr>
                <w:rFonts w:cs="Calibri"/>
                <w:bCs/>
                <w:sz w:val="18"/>
                <w:szCs w:val="18"/>
              </w:rPr>
            </w:pPr>
            <w:r w:rsidRPr="001C4C08">
              <w:rPr>
                <w:rFonts w:cs="Calibri"/>
                <w:bCs/>
                <w:sz w:val="18"/>
                <w:szCs w:val="18"/>
              </w:rPr>
              <w:t>Los Estados Miembros reafirman su compromiso de aplicar el presente Reglamento en el respeto y el cumplimiento de sus obligaciones en materia de derechos humanos.</w:t>
            </w:r>
          </w:p>
        </w:tc>
        <w:tc>
          <w:tcPr>
            <w:tcW w:w="2142" w:type="dxa"/>
            <w:tcMar>
              <w:left w:w="85" w:type="dxa"/>
              <w:right w:w="85" w:type="dxa"/>
            </w:tcMar>
          </w:tcPr>
          <w:p w14:paraId="6A1DD80D" w14:textId="0C7647D3" w:rsidR="00781B80" w:rsidRPr="001C4C08" w:rsidRDefault="00026705" w:rsidP="00151AF4">
            <w:pPr>
              <w:spacing w:after="60"/>
              <w:rPr>
                <w:rFonts w:cs="Calibri"/>
                <w:bCs/>
                <w:sz w:val="18"/>
                <w:szCs w:val="18"/>
              </w:rPr>
            </w:pPr>
            <w:bookmarkStart w:id="15" w:name="lt_pId042"/>
            <w:r w:rsidRPr="001C4C08">
              <w:rPr>
                <w:rFonts w:cs="Calibri"/>
                <w:bCs/>
                <w:sz w:val="18"/>
                <w:szCs w:val="18"/>
              </w:rPr>
              <w:t>No hay disposición análoga</w:t>
            </w:r>
            <w:r w:rsidR="00781B80" w:rsidRPr="001C4C08">
              <w:rPr>
                <w:rFonts w:cs="Calibri"/>
                <w:bCs/>
                <w:sz w:val="18"/>
                <w:szCs w:val="18"/>
              </w:rPr>
              <w:t>.</w:t>
            </w:r>
            <w:bookmarkEnd w:id="15"/>
          </w:p>
        </w:tc>
        <w:tc>
          <w:tcPr>
            <w:tcW w:w="2029" w:type="dxa"/>
            <w:tcMar>
              <w:left w:w="85" w:type="dxa"/>
              <w:right w:w="85" w:type="dxa"/>
            </w:tcMar>
          </w:tcPr>
          <w:p w14:paraId="24497322" w14:textId="4F889314" w:rsidR="00781B80" w:rsidRPr="001C4C08" w:rsidRDefault="009C2AA1" w:rsidP="00110ECD">
            <w:pPr>
              <w:spacing w:after="60"/>
              <w:rPr>
                <w:rFonts w:cs="Calibri"/>
                <w:bCs/>
                <w:sz w:val="18"/>
                <w:szCs w:val="18"/>
              </w:rPr>
            </w:pPr>
            <w:r w:rsidRPr="001C4C08">
              <w:rPr>
                <w:rFonts w:cs="Calibri"/>
                <w:bCs/>
                <w:sz w:val="18"/>
                <w:szCs w:val="18"/>
              </w:rPr>
              <w:t>En el contexto de los servicios internacionales de telecomunicaciones, si bien se toma nota de la exclusión de las cuestiones relacionadas con el contenido, las cuestiones de derechos humanos podrían incluir la protección de los datos personales, el derecho de acceso a las tecnologías de comunicación móviles y basadas en la Internet, la libertad de expresión, la promoción del acceso universal a Internet, etc.</w:t>
            </w:r>
          </w:p>
        </w:tc>
        <w:tc>
          <w:tcPr>
            <w:tcW w:w="1825" w:type="dxa"/>
            <w:tcMar>
              <w:left w:w="85" w:type="dxa"/>
              <w:right w:w="85" w:type="dxa"/>
            </w:tcMar>
          </w:tcPr>
          <w:p w14:paraId="1B09AD29" w14:textId="37BAB77F" w:rsidR="00781B80" w:rsidRPr="001C4C08" w:rsidRDefault="009C2AA1" w:rsidP="00110ECD">
            <w:pPr>
              <w:spacing w:after="60"/>
              <w:rPr>
                <w:rFonts w:cs="Calibri"/>
                <w:bCs/>
                <w:sz w:val="18"/>
                <w:szCs w:val="18"/>
              </w:rPr>
            </w:pPr>
            <w:r w:rsidRPr="001C4C08">
              <w:rPr>
                <w:rFonts w:cs="Calibri"/>
                <w:bCs/>
                <w:sz w:val="18"/>
                <w:szCs w:val="18"/>
              </w:rPr>
              <w:t>La referencia a las obligaciones en materia de derechos humanos es muy amplia, mientras que los detalles relativos a las obligaciones en materia de derechos humanos figuran en otros instrumentos vinculantes y no vinculantes. Esta disposición no obstaculiza las nuevas tendencias y cuestiones emergentes.</w:t>
            </w:r>
          </w:p>
        </w:tc>
        <w:tc>
          <w:tcPr>
            <w:tcW w:w="1308" w:type="dxa"/>
            <w:tcMar>
              <w:left w:w="85" w:type="dxa"/>
              <w:right w:w="85" w:type="dxa"/>
            </w:tcMar>
          </w:tcPr>
          <w:p w14:paraId="33BF085C" w14:textId="0276B9C8" w:rsidR="00781B80" w:rsidRPr="001C4C08" w:rsidRDefault="00026705" w:rsidP="00110ECD">
            <w:pPr>
              <w:spacing w:after="60"/>
              <w:rPr>
                <w:rFonts w:cs="Calibri"/>
                <w:bCs/>
                <w:sz w:val="18"/>
                <w:szCs w:val="18"/>
              </w:rPr>
            </w:pPr>
            <w:r w:rsidRPr="001C4C08">
              <w:rPr>
                <w:rFonts w:cs="Calibri"/>
                <w:b/>
                <w:bCs/>
                <w:sz w:val="18"/>
                <w:szCs w:val="18"/>
              </w:rPr>
              <w:t>No se requiere cambio.</w:t>
            </w:r>
          </w:p>
        </w:tc>
      </w:tr>
      <w:tr w:rsidR="00781B80" w:rsidRPr="001C4C08" w14:paraId="2A58A956" w14:textId="77777777" w:rsidTr="001C4C08">
        <w:trPr>
          <w:cantSplit/>
          <w:jc w:val="center"/>
        </w:trPr>
        <w:tc>
          <w:tcPr>
            <w:tcW w:w="1075" w:type="dxa"/>
            <w:tcMar>
              <w:left w:w="85" w:type="dxa"/>
              <w:right w:w="85" w:type="dxa"/>
            </w:tcMar>
          </w:tcPr>
          <w:p w14:paraId="5910F645" w14:textId="24F72184" w:rsidR="00781B80" w:rsidRPr="001C4C08" w:rsidRDefault="00026705" w:rsidP="00110ECD">
            <w:pPr>
              <w:spacing w:after="60"/>
              <w:rPr>
                <w:rFonts w:cs="Calibri"/>
                <w:b/>
                <w:bCs/>
                <w:sz w:val="18"/>
                <w:szCs w:val="18"/>
              </w:rPr>
            </w:pPr>
            <w:r w:rsidRPr="001C4C08">
              <w:rPr>
                <w:rFonts w:cs="Calibri"/>
                <w:b/>
                <w:bCs/>
                <w:sz w:val="18"/>
                <w:szCs w:val="18"/>
              </w:rPr>
              <w:lastRenderedPageBreak/>
              <w:t>Preámbulo</w:t>
            </w:r>
          </w:p>
        </w:tc>
        <w:tc>
          <w:tcPr>
            <w:tcW w:w="2140" w:type="dxa"/>
            <w:tcMar>
              <w:left w:w="85" w:type="dxa"/>
              <w:right w:w="85" w:type="dxa"/>
            </w:tcMar>
          </w:tcPr>
          <w:p w14:paraId="64DB8739" w14:textId="52928270" w:rsidR="00781B80" w:rsidRPr="001C4C08" w:rsidRDefault="004649AF" w:rsidP="00110ECD">
            <w:pPr>
              <w:spacing w:after="60"/>
              <w:rPr>
                <w:rFonts w:cs="Calibri"/>
                <w:bCs/>
                <w:sz w:val="18"/>
                <w:szCs w:val="18"/>
              </w:rPr>
            </w:pPr>
            <w:r w:rsidRPr="001C4C08">
              <w:rPr>
                <w:rFonts w:cs="Calibri"/>
                <w:bCs/>
                <w:sz w:val="18"/>
                <w:szCs w:val="18"/>
              </w:rPr>
              <w:t>El presente Reglamento reconoce el derecho de acceso de los Estados Miembros a los servicios internacionales de telecomunicación.</w:t>
            </w:r>
          </w:p>
        </w:tc>
        <w:tc>
          <w:tcPr>
            <w:tcW w:w="2142" w:type="dxa"/>
            <w:tcMar>
              <w:left w:w="85" w:type="dxa"/>
              <w:right w:w="85" w:type="dxa"/>
            </w:tcMar>
          </w:tcPr>
          <w:p w14:paraId="1D8FFF76" w14:textId="18240E3A" w:rsidR="00781B80" w:rsidRPr="001C4C08" w:rsidRDefault="00026705" w:rsidP="00151AF4">
            <w:pPr>
              <w:spacing w:after="60"/>
              <w:rPr>
                <w:rFonts w:cs="Calibri"/>
                <w:bCs/>
                <w:sz w:val="18"/>
                <w:szCs w:val="18"/>
              </w:rPr>
            </w:pPr>
            <w:bookmarkStart w:id="16" w:name="lt_pId049"/>
            <w:r w:rsidRPr="001C4C08">
              <w:rPr>
                <w:rFonts w:cs="Calibri"/>
                <w:bCs/>
                <w:sz w:val="18"/>
                <w:szCs w:val="18"/>
              </w:rPr>
              <w:t>No hay disposición análoga</w:t>
            </w:r>
            <w:r w:rsidR="00781B80" w:rsidRPr="001C4C08">
              <w:rPr>
                <w:rFonts w:cs="Calibri"/>
                <w:bCs/>
                <w:sz w:val="18"/>
                <w:szCs w:val="18"/>
              </w:rPr>
              <w:t>.</w:t>
            </w:r>
            <w:bookmarkEnd w:id="16"/>
          </w:p>
        </w:tc>
        <w:tc>
          <w:tcPr>
            <w:tcW w:w="2029" w:type="dxa"/>
            <w:tcMar>
              <w:left w:w="85" w:type="dxa"/>
              <w:right w:w="85" w:type="dxa"/>
            </w:tcMar>
          </w:tcPr>
          <w:p w14:paraId="40017B9F" w14:textId="4EE7837A" w:rsidR="00781B80" w:rsidRPr="001C4C08" w:rsidRDefault="009C2AA1" w:rsidP="00110ECD">
            <w:pPr>
              <w:spacing w:after="60"/>
              <w:rPr>
                <w:sz w:val="18"/>
                <w:szCs w:val="18"/>
              </w:rPr>
            </w:pPr>
            <w:r w:rsidRPr="001C4C08">
              <w:rPr>
                <w:sz w:val="18"/>
                <w:szCs w:val="18"/>
              </w:rPr>
              <w:t>Esta disposición podría servir para brindar apoyo, por ejemplo, a los países sin litoral, que pueden depender de otros países para acceder a los servicios de telecomunicaciones internacionales. Esto fomentará el desarrollo de redes y servicios</w:t>
            </w:r>
            <w:bookmarkStart w:id="17" w:name="lt_pId051"/>
            <w:r w:rsidR="00781B80" w:rsidRPr="001C4C08">
              <w:rPr>
                <w:sz w:val="18"/>
                <w:szCs w:val="18"/>
              </w:rPr>
              <w:t>.</w:t>
            </w:r>
            <w:bookmarkEnd w:id="17"/>
          </w:p>
        </w:tc>
        <w:tc>
          <w:tcPr>
            <w:tcW w:w="1825" w:type="dxa"/>
            <w:tcMar>
              <w:left w:w="85" w:type="dxa"/>
              <w:right w:w="85" w:type="dxa"/>
            </w:tcMar>
          </w:tcPr>
          <w:p w14:paraId="0659DA6A" w14:textId="2E162F5F" w:rsidR="00781B80" w:rsidRPr="001C4C08" w:rsidRDefault="009C2AA1" w:rsidP="00110ECD">
            <w:pPr>
              <w:spacing w:after="60"/>
              <w:rPr>
                <w:sz w:val="18"/>
                <w:szCs w:val="18"/>
              </w:rPr>
            </w:pPr>
            <w:bookmarkStart w:id="18" w:name="lt_pId052"/>
            <w:r w:rsidRPr="001C4C08">
              <w:rPr>
                <w:sz w:val="18"/>
                <w:szCs w:val="18"/>
              </w:rPr>
              <w:t>Esta disposición promoverá y facilitará las nuevas tendencias y cuestiones emergentes</w:t>
            </w:r>
            <w:r w:rsidR="00781B80" w:rsidRPr="001C4C08">
              <w:rPr>
                <w:sz w:val="18"/>
                <w:szCs w:val="18"/>
              </w:rPr>
              <w:t>.</w:t>
            </w:r>
            <w:bookmarkEnd w:id="18"/>
          </w:p>
        </w:tc>
        <w:tc>
          <w:tcPr>
            <w:tcW w:w="1308" w:type="dxa"/>
            <w:tcMar>
              <w:left w:w="85" w:type="dxa"/>
              <w:right w:w="85" w:type="dxa"/>
            </w:tcMar>
          </w:tcPr>
          <w:p w14:paraId="2CE00CD2" w14:textId="6889BF47" w:rsidR="00781B80" w:rsidRPr="001C4C08" w:rsidRDefault="00026705" w:rsidP="00110ECD">
            <w:pPr>
              <w:spacing w:after="60"/>
              <w:rPr>
                <w:b/>
                <w:sz w:val="18"/>
                <w:szCs w:val="18"/>
              </w:rPr>
            </w:pPr>
            <w:r w:rsidRPr="001C4C08">
              <w:rPr>
                <w:b/>
                <w:sz w:val="18"/>
                <w:szCs w:val="18"/>
              </w:rPr>
              <w:t>No se requiere cambio.</w:t>
            </w:r>
          </w:p>
        </w:tc>
      </w:tr>
      <w:tr w:rsidR="00781B80" w:rsidRPr="001C4C08" w14:paraId="4BC1754D" w14:textId="77777777" w:rsidTr="001C4C08">
        <w:trPr>
          <w:jc w:val="center"/>
        </w:trPr>
        <w:tc>
          <w:tcPr>
            <w:tcW w:w="1075" w:type="dxa"/>
            <w:tcMar>
              <w:left w:w="85" w:type="dxa"/>
              <w:right w:w="85" w:type="dxa"/>
            </w:tcMar>
          </w:tcPr>
          <w:p w14:paraId="0C0828C9" w14:textId="206B3D5A" w:rsidR="00781B80" w:rsidRPr="001C4C08" w:rsidRDefault="00026705" w:rsidP="00110ECD">
            <w:pPr>
              <w:spacing w:after="60"/>
              <w:rPr>
                <w:rFonts w:cs="Calibri"/>
                <w:bCs/>
                <w:sz w:val="18"/>
                <w:szCs w:val="18"/>
              </w:rPr>
            </w:pPr>
            <w:bookmarkStart w:id="19" w:name="lt_pId054"/>
            <w:r w:rsidRPr="001C4C08">
              <w:rPr>
                <w:rFonts w:cs="Calibri"/>
                <w:b/>
                <w:bCs/>
                <w:sz w:val="18"/>
                <w:szCs w:val="18"/>
              </w:rPr>
              <w:t>Artículo</w:t>
            </w:r>
            <w:r w:rsidR="00781B80" w:rsidRPr="001C4C08">
              <w:rPr>
                <w:rFonts w:cs="Calibri"/>
                <w:b/>
                <w:bCs/>
                <w:sz w:val="18"/>
                <w:szCs w:val="18"/>
              </w:rPr>
              <w:t xml:space="preserve"> 1</w:t>
            </w:r>
            <w:bookmarkEnd w:id="19"/>
          </w:p>
        </w:tc>
        <w:tc>
          <w:tcPr>
            <w:tcW w:w="2140" w:type="dxa"/>
            <w:tcMar>
              <w:left w:w="85" w:type="dxa"/>
              <w:right w:w="85" w:type="dxa"/>
            </w:tcMar>
          </w:tcPr>
          <w:p w14:paraId="2533E707" w14:textId="7552B172" w:rsidR="00781B80" w:rsidRPr="001C4C08" w:rsidRDefault="004649AF" w:rsidP="00110ECD">
            <w:pPr>
              <w:spacing w:after="60"/>
              <w:rPr>
                <w:rFonts w:cs="Calibri"/>
                <w:bCs/>
                <w:sz w:val="18"/>
                <w:szCs w:val="18"/>
              </w:rPr>
            </w:pPr>
            <w:r w:rsidRPr="001C4C08">
              <w:rPr>
                <w:rFonts w:cs="Calibri"/>
                <w:bCs/>
                <w:sz w:val="18"/>
                <w:szCs w:val="18"/>
              </w:rPr>
              <w:t xml:space="preserve">1.1 </w:t>
            </w:r>
            <w:r w:rsidRPr="001C4C08">
              <w:rPr>
                <w:rFonts w:cs="Calibri"/>
                <w:bCs/>
                <w:i/>
                <w:iCs/>
                <w:sz w:val="18"/>
                <w:szCs w:val="18"/>
              </w:rPr>
              <w:t>a)</w:t>
            </w:r>
            <w:r w:rsidRPr="001C4C08">
              <w:rPr>
                <w:rFonts w:cs="Calibri"/>
                <w:bCs/>
                <w:sz w:val="18"/>
                <w:szCs w:val="18"/>
              </w:rPr>
              <w:tab/>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El presente Reglamento no atañe a los aspectos de contenido de las telecomunicaciones.</w:t>
            </w:r>
          </w:p>
        </w:tc>
        <w:tc>
          <w:tcPr>
            <w:tcW w:w="2142" w:type="dxa"/>
            <w:tcMar>
              <w:left w:w="85" w:type="dxa"/>
              <w:right w:w="85" w:type="dxa"/>
            </w:tcMar>
          </w:tcPr>
          <w:p w14:paraId="59EBCF95" w14:textId="19002742" w:rsidR="00781B80" w:rsidRPr="001C4C08" w:rsidRDefault="004649AF" w:rsidP="00110ECD">
            <w:pPr>
              <w:spacing w:after="60"/>
              <w:rPr>
                <w:rFonts w:cs="Calibri"/>
                <w:bCs/>
                <w:sz w:val="18"/>
                <w:szCs w:val="18"/>
              </w:rPr>
            </w:pPr>
            <w:r w:rsidRPr="001C4C08">
              <w:rPr>
                <w:rFonts w:cs="Calibri"/>
                <w:bCs/>
                <w:sz w:val="18"/>
                <w:szCs w:val="18"/>
              </w:rPr>
              <w:t>1.1 a)</w:t>
            </w:r>
            <w:r w:rsidRPr="001C4C08">
              <w:rPr>
                <w:rFonts w:cs="Calibri"/>
                <w:bCs/>
                <w:sz w:val="18"/>
                <w:szCs w:val="18"/>
              </w:rPr>
              <w:tab/>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Fija también las reglas aplicables a las administraciones</w:t>
            </w:r>
            <w:r w:rsidRPr="001C4C08">
              <w:rPr>
                <w:rFonts w:cs="Calibri"/>
                <w:bCs/>
                <w:sz w:val="18"/>
                <w:szCs w:val="18"/>
              </w:rPr>
              <w:footnoteReference w:customMarkFollows="1" w:id="2"/>
              <w:t>*.</w:t>
            </w:r>
          </w:p>
        </w:tc>
        <w:tc>
          <w:tcPr>
            <w:tcW w:w="2029" w:type="dxa"/>
            <w:tcMar>
              <w:left w:w="85" w:type="dxa"/>
              <w:right w:w="85" w:type="dxa"/>
            </w:tcMar>
          </w:tcPr>
          <w:p w14:paraId="53FBAC1E" w14:textId="70207974" w:rsidR="00781B80" w:rsidRPr="001C4C08" w:rsidRDefault="009C2AA1" w:rsidP="00110ECD">
            <w:pPr>
              <w:spacing w:after="60"/>
              <w:rPr>
                <w:rFonts w:cs="Calibri"/>
                <w:bCs/>
                <w:sz w:val="18"/>
                <w:szCs w:val="18"/>
              </w:rPr>
            </w:pPr>
            <w:r w:rsidRPr="001C4C08">
              <w:rPr>
                <w:rFonts w:cs="Calibri"/>
                <w:bCs/>
                <w:sz w:val="18"/>
                <w:szCs w:val="18"/>
              </w:rPr>
              <w:t>La definición de "telecomunicación" reconoce que el contenido se transmite, emite o recibe en última instancia, pero este Reglamento se centra en el cómo y no en el qué de la telecomunicación. Podría apoyarse esta cláusula para tratar de la creación de redes y servicios. Sin embargo, no debe abordar cuestiones relacionadas con el contenido.</w:t>
            </w:r>
          </w:p>
        </w:tc>
        <w:tc>
          <w:tcPr>
            <w:tcW w:w="1825" w:type="dxa"/>
            <w:tcMar>
              <w:left w:w="85" w:type="dxa"/>
              <w:right w:w="85" w:type="dxa"/>
            </w:tcMar>
          </w:tcPr>
          <w:p w14:paraId="160DC8FB" w14:textId="4C3D6A34" w:rsidR="00781B80" w:rsidRPr="001C4C08" w:rsidRDefault="00781B80" w:rsidP="00D63F75">
            <w:pPr>
              <w:spacing w:after="60"/>
              <w:rPr>
                <w:rFonts w:cs="Calibri"/>
                <w:bCs/>
                <w:sz w:val="18"/>
                <w:szCs w:val="18"/>
              </w:rPr>
            </w:pPr>
            <w:bookmarkStart w:id="20" w:name="lt_pId062"/>
            <w:r w:rsidRPr="001C4C08">
              <w:rPr>
                <w:rFonts w:cs="Calibri"/>
                <w:b/>
                <w:bCs/>
                <w:sz w:val="18"/>
                <w:szCs w:val="18"/>
              </w:rPr>
              <w:t>Flexible:</w:t>
            </w:r>
            <w:r w:rsidRPr="001C4C08">
              <w:rPr>
                <w:rFonts w:cs="Calibri"/>
                <w:bCs/>
                <w:sz w:val="18"/>
                <w:szCs w:val="18"/>
              </w:rPr>
              <w:t xml:space="preserve"> </w:t>
            </w:r>
            <w:r w:rsidR="009C2AA1" w:rsidRPr="001C4C08">
              <w:rPr>
                <w:rFonts w:cs="Calibri"/>
                <w:bCs/>
                <w:sz w:val="18"/>
                <w:szCs w:val="18"/>
              </w:rPr>
              <w:t xml:space="preserve">Si bien la intención del </w:t>
            </w:r>
            <w:r w:rsidR="00D63F75" w:rsidRPr="001C4C08">
              <w:rPr>
                <w:rFonts w:cs="Calibri"/>
                <w:bCs/>
                <w:sz w:val="18"/>
                <w:szCs w:val="18"/>
              </w:rPr>
              <w:t>R</w:t>
            </w:r>
            <w:r w:rsidR="009C2AA1" w:rsidRPr="001C4C08">
              <w:rPr>
                <w:rFonts w:cs="Calibri"/>
                <w:bCs/>
                <w:sz w:val="18"/>
                <w:szCs w:val="18"/>
              </w:rPr>
              <w:t>eglamento es centrarse en el principio general de la prestación y el funcionamiento de las telecomunicaciones internacionales, permitirá la flexibilidad necesaria para dar cabida a las nuevas tendencias y cuestiones que vayan surgiendo.</w:t>
            </w:r>
            <w:bookmarkEnd w:id="20"/>
          </w:p>
          <w:p w14:paraId="29E40CE4" w14:textId="5FB11126" w:rsidR="00781B80" w:rsidRPr="001C4C08" w:rsidRDefault="00D63F75" w:rsidP="00110ECD">
            <w:pPr>
              <w:spacing w:after="60"/>
              <w:rPr>
                <w:rFonts w:cs="Calibri"/>
                <w:bCs/>
                <w:sz w:val="18"/>
                <w:szCs w:val="18"/>
              </w:rPr>
            </w:pPr>
            <w:bookmarkStart w:id="21" w:name="lt_pId063"/>
            <w:r w:rsidRPr="001C4C08">
              <w:rPr>
                <w:rFonts w:cs="Calibri"/>
                <w:bCs/>
                <w:sz w:val="18"/>
                <w:szCs w:val="18"/>
              </w:rPr>
              <w:t xml:space="preserve">Por otra parte, los RTI no deben abordar cuestiones relacionadas con el contenido, ya que ello dará lugar a todo un nuevo conjunto de cuestiones que se gestionan mejor a través de las medidas legislativas de los propios Estados Miembros. </w:t>
            </w:r>
            <w:bookmarkEnd w:id="21"/>
          </w:p>
        </w:tc>
        <w:tc>
          <w:tcPr>
            <w:tcW w:w="1308" w:type="dxa"/>
            <w:tcMar>
              <w:left w:w="85" w:type="dxa"/>
              <w:right w:w="85" w:type="dxa"/>
            </w:tcMar>
          </w:tcPr>
          <w:p w14:paraId="29C23D0C" w14:textId="3B60BF0C" w:rsidR="00781B80" w:rsidRPr="001C4C08" w:rsidRDefault="00026705" w:rsidP="00110ECD">
            <w:pPr>
              <w:spacing w:after="60"/>
              <w:rPr>
                <w:rFonts w:cs="Calibri"/>
                <w:bCs/>
                <w:sz w:val="18"/>
                <w:szCs w:val="18"/>
              </w:rPr>
            </w:pPr>
            <w:bookmarkStart w:id="22" w:name="lt_pId064"/>
            <w:r w:rsidRPr="001C4C08">
              <w:rPr>
                <w:rFonts w:cs="Calibri"/>
                <w:b/>
                <w:bCs/>
                <w:sz w:val="18"/>
                <w:szCs w:val="18"/>
              </w:rPr>
              <w:t>No se requiere cambio</w:t>
            </w:r>
            <w:r w:rsidR="00781B80" w:rsidRPr="001C4C08">
              <w:rPr>
                <w:rFonts w:cs="Calibri"/>
                <w:bCs/>
                <w:sz w:val="18"/>
                <w:szCs w:val="18"/>
              </w:rPr>
              <w:t>:</w:t>
            </w:r>
            <w:bookmarkEnd w:id="22"/>
            <w:r w:rsidR="00781B80" w:rsidRPr="001C4C08">
              <w:rPr>
                <w:rFonts w:cs="Calibri"/>
                <w:bCs/>
                <w:sz w:val="18"/>
                <w:szCs w:val="18"/>
              </w:rPr>
              <w:t xml:space="preserve"> </w:t>
            </w:r>
          </w:p>
          <w:p w14:paraId="1BACB5A7" w14:textId="1ABB2189" w:rsidR="00781B80" w:rsidRPr="001C4C08" w:rsidRDefault="00781B80" w:rsidP="00110ECD">
            <w:pPr>
              <w:spacing w:after="60"/>
              <w:rPr>
                <w:rFonts w:cs="Calibri"/>
                <w:bCs/>
                <w:sz w:val="18"/>
                <w:szCs w:val="18"/>
              </w:rPr>
            </w:pPr>
            <w:bookmarkStart w:id="23" w:name="lt_pId065"/>
            <w:r w:rsidRPr="001C4C08">
              <w:rPr>
                <w:rFonts w:cs="Calibri"/>
                <w:bCs/>
                <w:sz w:val="18"/>
                <w:szCs w:val="18"/>
              </w:rPr>
              <w:t>(</w:t>
            </w:r>
            <w:r w:rsidR="00D63F75" w:rsidRPr="001C4C08">
              <w:rPr>
                <w:rFonts w:cs="Calibri"/>
                <w:bCs/>
                <w:sz w:val="18"/>
                <w:szCs w:val="18"/>
              </w:rPr>
              <w:t>Nota: Hay que asegurarse de que las disposiciones del RTI se mantengan dentro del propósito y el alcance definidos, es decir, cómo se puede lograr de la manera más eficiente la transmisión, la emisión y la recepción. Además, el RTI debe desarrollar las disposiciones pertinentes de la Constitución y del Convenio, y no limitarse a repetirlas</w:t>
            </w:r>
            <w:bookmarkStart w:id="24" w:name="lt_pId066"/>
            <w:bookmarkEnd w:id="23"/>
            <w:r w:rsidRPr="001C4C08">
              <w:rPr>
                <w:rFonts w:cs="Calibri"/>
                <w:bCs/>
                <w:sz w:val="18"/>
                <w:szCs w:val="18"/>
              </w:rPr>
              <w:t>)</w:t>
            </w:r>
            <w:bookmarkEnd w:id="24"/>
            <w:r w:rsidR="00D63F75" w:rsidRPr="001C4C08">
              <w:rPr>
                <w:rFonts w:cs="Calibri"/>
                <w:bCs/>
                <w:sz w:val="18"/>
                <w:szCs w:val="18"/>
              </w:rPr>
              <w:t>.</w:t>
            </w:r>
          </w:p>
        </w:tc>
      </w:tr>
      <w:tr w:rsidR="004649AF" w:rsidRPr="001C4C08" w14:paraId="46485A97" w14:textId="77777777" w:rsidTr="001C4C08">
        <w:trPr>
          <w:jc w:val="center"/>
        </w:trPr>
        <w:tc>
          <w:tcPr>
            <w:tcW w:w="1075" w:type="dxa"/>
            <w:tcMar>
              <w:left w:w="85" w:type="dxa"/>
              <w:right w:w="85" w:type="dxa"/>
            </w:tcMar>
          </w:tcPr>
          <w:p w14:paraId="28CF4A74" w14:textId="70374D88" w:rsidR="004649AF" w:rsidRPr="001C4C08" w:rsidRDefault="00026705" w:rsidP="004649AF">
            <w:pPr>
              <w:spacing w:after="60"/>
              <w:rPr>
                <w:rFonts w:cs="Calibri"/>
                <w:b/>
                <w:bCs/>
                <w:sz w:val="18"/>
                <w:szCs w:val="18"/>
              </w:rPr>
            </w:pPr>
            <w:bookmarkStart w:id="25" w:name="lt_pId067"/>
            <w:r w:rsidRPr="001C4C08">
              <w:rPr>
                <w:rFonts w:cs="Calibri"/>
                <w:b/>
                <w:bCs/>
                <w:sz w:val="18"/>
                <w:szCs w:val="18"/>
              </w:rPr>
              <w:t>Artículo</w:t>
            </w:r>
            <w:r w:rsidR="004649AF" w:rsidRPr="001C4C08">
              <w:rPr>
                <w:rFonts w:cs="Calibri"/>
                <w:b/>
                <w:bCs/>
                <w:sz w:val="18"/>
                <w:szCs w:val="18"/>
              </w:rPr>
              <w:t xml:space="preserve"> 1</w:t>
            </w:r>
            <w:bookmarkEnd w:id="25"/>
          </w:p>
        </w:tc>
        <w:tc>
          <w:tcPr>
            <w:tcW w:w="2140" w:type="dxa"/>
            <w:tcMar>
              <w:left w:w="85" w:type="dxa"/>
              <w:right w:w="85" w:type="dxa"/>
            </w:tcMar>
          </w:tcPr>
          <w:p w14:paraId="3BF41C20" w14:textId="2F0BEC19" w:rsidR="004649AF" w:rsidRPr="001C4C08" w:rsidRDefault="004649AF" w:rsidP="004649AF">
            <w:pPr>
              <w:spacing w:after="60"/>
              <w:rPr>
                <w:rFonts w:cs="Calibri"/>
                <w:bCs/>
                <w:sz w:val="18"/>
                <w:szCs w:val="18"/>
              </w:rPr>
            </w:pPr>
            <w:r w:rsidRPr="001C4C08">
              <w:rPr>
                <w:rFonts w:cs="Calibri"/>
                <w:bCs/>
                <w:sz w:val="18"/>
                <w:szCs w:val="18"/>
              </w:rPr>
              <w:t>1.1 b)</w:t>
            </w:r>
            <w:r w:rsidRPr="001C4C08">
              <w:rPr>
                <w:rFonts w:cs="Calibri"/>
                <w:bCs/>
                <w:sz w:val="18"/>
                <w:szCs w:val="18"/>
              </w:rPr>
              <w:tab/>
              <w:t>El presente Reglamento contiene asimismo disposiciones aplicables a las empresas de explotación, autorizadas o reconocidas por un Estado Miembro para establecer, explotar y prestar servicios internacionales de telecomunicación destinados al público, en adelante denominadas "empresas de explotación autorizadas".</w:t>
            </w:r>
          </w:p>
        </w:tc>
        <w:tc>
          <w:tcPr>
            <w:tcW w:w="2142" w:type="dxa"/>
            <w:tcMar>
              <w:left w:w="85" w:type="dxa"/>
              <w:right w:w="85" w:type="dxa"/>
            </w:tcMar>
          </w:tcPr>
          <w:p w14:paraId="3BAC92D0" w14:textId="548C3BD7" w:rsidR="004649AF" w:rsidRPr="001C4C08" w:rsidRDefault="00026705" w:rsidP="007A0147">
            <w:pPr>
              <w:spacing w:after="60"/>
              <w:rPr>
                <w:rFonts w:cs="Calibri"/>
                <w:bCs/>
                <w:sz w:val="18"/>
                <w:szCs w:val="18"/>
              </w:rPr>
            </w:pPr>
            <w:bookmarkStart w:id="26" w:name="lt_pId069"/>
            <w:r w:rsidRPr="001C4C08">
              <w:rPr>
                <w:rFonts w:cs="Calibri"/>
                <w:bCs/>
                <w:sz w:val="18"/>
                <w:szCs w:val="18"/>
              </w:rPr>
              <w:t>No hay disposición análoga</w:t>
            </w:r>
            <w:r w:rsidR="004649AF" w:rsidRPr="001C4C08">
              <w:rPr>
                <w:rFonts w:cs="Calibri"/>
                <w:bCs/>
                <w:sz w:val="18"/>
                <w:szCs w:val="18"/>
              </w:rPr>
              <w:t>.</w:t>
            </w:r>
            <w:bookmarkEnd w:id="26"/>
          </w:p>
        </w:tc>
        <w:tc>
          <w:tcPr>
            <w:tcW w:w="2029" w:type="dxa"/>
            <w:tcMar>
              <w:left w:w="85" w:type="dxa"/>
              <w:right w:w="85" w:type="dxa"/>
            </w:tcMar>
          </w:tcPr>
          <w:p w14:paraId="586F9B1B" w14:textId="77777777" w:rsidR="00D63F75" w:rsidRPr="001C4C08" w:rsidRDefault="00D63F75" w:rsidP="004649AF">
            <w:pPr>
              <w:spacing w:after="60"/>
              <w:rPr>
                <w:rFonts w:cs="Calibri"/>
                <w:bCs/>
                <w:sz w:val="18"/>
                <w:szCs w:val="18"/>
              </w:rPr>
            </w:pPr>
            <w:r w:rsidRPr="001C4C08">
              <w:rPr>
                <w:rFonts w:cs="Calibri"/>
                <w:bCs/>
                <w:sz w:val="18"/>
                <w:szCs w:val="18"/>
              </w:rPr>
              <w:t>Estados Miembros de la UIT, algunas disposiciones se aplican a los titulares de licencias (empresas de explotación autorizadas) y corresponde entonces a los Estados Miembros asegurarse de que los titulares de licencias bajo su jurisdicción cumplan con el RTI, según sea necesario.</w:t>
            </w:r>
            <w:bookmarkStart w:id="27" w:name="lt_pId071"/>
          </w:p>
          <w:p w14:paraId="031420AA" w14:textId="7C38E8C7" w:rsidR="004649AF" w:rsidRPr="001C4C08" w:rsidRDefault="00D63F75" w:rsidP="004649AF">
            <w:pPr>
              <w:spacing w:after="60"/>
              <w:rPr>
                <w:rFonts w:cs="Calibri"/>
                <w:bCs/>
                <w:sz w:val="18"/>
                <w:szCs w:val="18"/>
              </w:rPr>
            </w:pPr>
            <w:r w:rsidRPr="001C4C08">
              <w:rPr>
                <w:rFonts w:cs="Calibri"/>
                <w:bCs/>
                <w:sz w:val="18"/>
                <w:szCs w:val="18"/>
              </w:rPr>
              <w:t xml:space="preserve">Esta cláusula es lo suficientemente amplia como para reconocer a las "empresas de </w:t>
            </w:r>
            <w:r w:rsidRPr="001C4C08">
              <w:rPr>
                <w:rFonts w:cs="Calibri"/>
                <w:bCs/>
                <w:sz w:val="18"/>
                <w:szCs w:val="18"/>
              </w:rPr>
              <w:lastRenderedPageBreak/>
              <w:t>explotación autorizadas", que incluyen a los proveedores de servicios privados</w:t>
            </w:r>
            <w:r w:rsidR="004649AF" w:rsidRPr="001C4C08">
              <w:rPr>
                <w:rFonts w:cs="Calibri"/>
                <w:bCs/>
                <w:sz w:val="18"/>
                <w:szCs w:val="18"/>
              </w:rPr>
              <w:t>.</w:t>
            </w:r>
            <w:bookmarkEnd w:id="27"/>
          </w:p>
        </w:tc>
        <w:tc>
          <w:tcPr>
            <w:tcW w:w="1825" w:type="dxa"/>
            <w:tcMar>
              <w:left w:w="85" w:type="dxa"/>
              <w:right w:w="85" w:type="dxa"/>
            </w:tcMar>
          </w:tcPr>
          <w:p w14:paraId="491AC7F4" w14:textId="3EEC57F1" w:rsidR="004649AF" w:rsidRPr="001C4C08" w:rsidRDefault="00D63F75" w:rsidP="004649AF">
            <w:pPr>
              <w:spacing w:after="60"/>
              <w:rPr>
                <w:rFonts w:cs="Calibri"/>
                <w:bCs/>
                <w:sz w:val="18"/>
                <w:szCs w:val="18"/>
              </w:rPr>
            </w:pPr>
            <w:r w:rsidRPr="001C4C08">
              <w:rPr>
                <w:rFonts w:cs="Calibri"/>
                <w:bCs/>
                <w:sz w:val="18"/>
                <w:szCs w:val="18"/>
              </w:rPr>
              <w:lastRenderedPageBreak/>
              <w:t xml:space="preserve">El uso del término "empresas de explotación autorizadas" es lo suficientemente flexible como para incluir a cualquier entidad que pueda ser autorizada por los Estados Miembros (por ejemplo, proveedores de servicios privados, o si un Estado Miembro permite operaciones sin licencia/permiso, etc.), lo que también es suficiente para </w:t>
            </w:r>
            <w:r w:rsidRPr="001C4C08">
              <w:rPr>
                <w:rFonts w:cs="Calibri"/>
                <w:bCs/>
                <w:sz w:val="18"/>
                <w:szCs w:val="18"/>
              </w:rPr>
              <w:lastRenderedPageBreak/>
              <w:t>hacer frente a las nuevas tendencias y cuestiones emergentes.</w:t>
            </w:r>
          </w:p>
        </w:tc>
        <w:tc>
          <w:tcPr>
            <w:tcW w:w="1308" w:type="dxa"/>
            <w:tcMar>
              <w:left w:w="85" w:type="dxa"/>
              <w:right w:w="85" w:type="dxa"/>
            </w:tcMar>
          </w:tcPr>
          <w:p w14:paraId="76A8D6E1" w14:textId="0C496DEF" w:rsidR="004649AF" w:rsidRPr="001C4C08" w:rsidRDefault="00026705" w:rsidP="004649AF">
            <w:pPr>
              <w:spacing w:after="60"/>
              <w:rPr>
                <w:rFonts w:cs="Calibri"/>
                <w:b/>
                <w:bCs/>
                <w:sz w:val="18"/>
                <w:szCs w:val="18"/>
              </w:rPr>
            </w:pPr>
            <w:r w:rsidRPr="001C4C08">
              <w:rPr>
                <w:rFonts w:cs="Calibri"/>
                <w:b/>
                <w:bCs/>
                <w:sz w:val="18"/>
                <w:szCs w:val="18"/>
              </w:rPr>
              <w:lastRenderedPageBreak/>
              <w:t>No se requiere cambio.</w:t>
            </w:r>
          </w:p>
        </w:tc>
      </w:tr>
      <w:tr w:rsidR="00781B80" w:rsidRPr="001C4C08" w14:paraId="596A1540" w14:textId="77777777" w:rsidTr="001C4C08">
        <w:trPr>
          <w:jc w:val="center"/>
        </w:trPr>
        <w:tc>
          <w:tcPr>
            <w:tcW w:w="1075" w:type="dxa"/>
            <w:tcMar>
              <w:left w:w="85" w:type="dxa"/>
              <w:right w:w="85" w:type="dxa"/>
            </w:tcMar>
          </w:tcPr>
          <w:p w14:paraId="60C83F93" w14:textId="2ED04578" w:rsidR="00781B80" w:rsidRPr="001C4C08" w:rsidRDefault="00026705" w:rsidP="00110ECD">
            <w:pPr>
              <w:spacing w:after="60"/>
              <w:rPr>
                <w:rFonts w:cs="Calibri"/>
                <w:b/>
                <w:bCs/>
                <w:sz w:val="18"/>
                <w:szCs w:val="18"/>
              </w:rPr>
            </w:pPr>
            <w:bookmarkStart w:id="28" w:name="lt_pId074"/>
            <w:r w:rsidRPr="001C4C08">
              <w:rPr>
                <w:rFonts w:cs="Calibri"/>
                <w:b/>
                <w:bCs/>
                <w:sz w:val="18"/>
                <w:szCs w:val="18"/>
              </w:rPr>
              <w:t>Artículo</w:t>
            </w:r>
            <w:r w:rsidR="00781B80" w:rsidRPr="001C4C08">
              <w:rPr>
                <w:rFonts w:cs="Calibri"/>
                <w:b/>
                <w:bCs/>
                <w:sz w:val="18"/>
                <w:szCs w:val="18"/>
              </w:rPr>
              <w:t xml:space="preserve"> 1</w:t>
            </w:r>
            <w:bookmarkEnd w:id="28"/>
          </w:p>
        </w:tc>
        <w:tc>
          <w:tcPr>
            <w:tcW w:w="2140" w:type="dxa"/>
            <w:tcMar>
              <w:left w:w="85" w:type="dxa"/>
              <w:right w:w="85" w:type="dxa"/>
            </w:tcMar>
          </w:tcPr>
          <w:p w14:paraId="7C1D4B13" w14:textId="545E9510" w:rsidR="00781B80" w:rsidRPr="001C4C08" w:rsidRDefault="004649AF" w:rsidP="00110ECD">
            <w:pPr>
              <w:spacing w:after="60"/>
              <w:rPr>
                <w:rFonts w:cs="Calibri"/>
                <w:bCs/>
                <w:sz w:val="18"/>
                <w:szCs w:val="18"/>
              </w:rPr>
            </w:pPr>
            <w:r w:rsidRPr="001C4C08">
              <w:rPr>
                <w:rFonts w:cs="Calibri"/>
                <w:b/>
                <w:bCs/>
                <w:sz w:val="18"/>
                <w:szCs w:val="18"/>
              </w:rPr>
              <w:t>1.1</w:t>
            </w:r>
            <w:r w:rsidRPr="001C4C08">
              <w:rPr>
                <w:rFonts w:cs="Calibri"/>
                <w:bCs/>
                <w:sz w:val="18"/>
                <w:szCs w:val="18"/>
              </w:rPr>
              <w:t xml:space="preserve"> </w:t>
            </w:r>
            <w:r w:rsidRPr="001C4C08">
              <w:rPr>
                <w:rFonts w:cs="Calibri"/>
                <w:bCs/>
                <w:i/>
                <w:iCs/>
                <w:sz w:val="18"/>
                <w:szCs w:val="18"/>
              </w:rPr>
              <w:t>c)</w:t>
            </w:r>
            <w:r w:rsidRPr="001C4C08">
              <w:rPr>
                <w:rFonts w:cs="Calibri"/>
                <w:bCs/>
                <w:sz w:val="18"/>
                <w:szCs w:val="18"/>
              </w:rPr>
              <w:tab/>
              <w:t>En el Artículo 13 se reconoce a los Estados Miembros el derecho de permitir la concertación de acuerdos particulares.</w:t>
            </w:r>
          </w:p>
        </w:tc>
        <w:tc>
          <w:tcPr>
            <w:tcW w:w="2142" w:type="dxa"/>
            <w:tcMar>
              <w:left w:w="85" w:type="dxa"/>
              <w:right w:w="85" w:type="dxa"/>
            </w:tcMar>
          </w:tcPr>
          <w:p w14:paraId="53534AF3" w14:textId="347C31D2" w:rsidR="00781B80" w:rsidRPr="001C4C08" w:rsidRDefault="004649AF" w:rsidP="00110ECD">
            <w:pPr>
              <w:spacing w:after="60"/>
              <w:rPr>
                <w:rFonts w:cs="Calibri"/>
                <w:bCs/>
                <w:sz w:val="18"/>
                <w:szCs w:val="18"/>
              </w:rPr>
            </w:pPr>
            <w:r w:rsidRPr="001C4C08">
              <w:rPr>
                <w:rFonts w:cs="Calibri"/>
                <w:bCs/>
                <w:sz w:val="18"/>
                <w:szCs w:val="18"/>
              </w:rPr>
              <w:t xml:space="preserve">1.1 </w:t>
            </w:r>
            <w:r w:rsidRPr="001C4C08">
              <w:rPr>
                <w:rFonts w:cs="Calibri"/>
                <w:bCs/>
                <w:i/>
                <w:iCs/>
                <w:sz w:val="18"/>
                <w:szCs w:val="18"/>
              </w:rPr>
              <w:t>b)</w:t>
            </w:r>
            <w:r w:rsidRPr="001C4C08">
              <w:rPr>
                <w:rFonts w:cs="Calibri"/>
                <w:bCs/>
                <w:i/>
                <w:iCs/>
                <w:sz w:val="18"/>
                <w:szCs w:val="18"/>
              </w:rPr>
              <w:tab/>
            </w:r>
            <w:r w:rsidRPr="001C4C08">
              <w:rPr>
                <w:rFonts w:cs="Calibri"/>
                <w:bCs/>
                <w:sz w:val="18"/>
                <w:szCs w:val="18"/>
              </w:rPr>
              <w:t>En el Artículo 9 se reconoce a los Miembros el derecho de permitir la concertación de arreglos particulares. (trasladado al 1.1 c)</w:t>
            </w:r>
          </w:p>
        </w:tc>
        <w:tc>
          <w:tcPr>
            <w:tcW w:w="2029" w:type="dxa"/>
            <w:tcMar>
              <w:left w:w="85" w:type="dxa"/>
              <w:right w:w="85" w:type="dxa"/>
            </w:tcMar>
          </w:tcPr>
          <w:p w14:paraId="6E29E6A4" w14:textId="0F017495" w:rsidR="00781B80" w:rsidRPr="001C4C08" w:rsidRDefault="00D63F75" w:rsidP="00110ECD">
            <w:pPr>
              <w:spacing w:after="60"/>
              <w:rPr>
                <w:rFonts w:cs="Calibri"/>
                <w:bCs/>
                <w:sz w:val="18"/>
                <w:szCs w:val="18"/>
              </w:rPr>
            </w:pPr>
            <w:bookmarkStart w:id="29" w:name="lt_pId077"/>
            <w:r w:rsidRPr="001C4C08">
              <w:rPr>
                <w:rFonts w:cs="Calibri"/>
                <w:bCs/>
                <w:sz w:val="18"/>
                <w:szCs w:val="18"/>
              </w:rPr>
              <w:t>El alcance de estos acuerdos particulares es positivo para fomentar el desarrollo de redes y servicios</w:t>
            </w:r>
            <w:r w:rsidR="00781B80" w:rsidRPr="001C4C08">
              <w:rPr>
                <w:rFonts w:cs="Calibri"/>
                <w:bCs/>
                <w:sz w:val="18"/>
                <w:szCs w:val="18"/>
              </w:rPr>
              <w:t>.</w:t>
            </w:r>
            <w:bookmarkEnd w:id="29"/>
          </w:p>
        </w:tc>
        <w:tc>
          <w:tcPr>
            <w:tcW w:w="1825" w:type="dxa"/>
            <w:tcMar>
              <w:left w:w="85" w:type="dxa"/>
              <w:right w:w="85" w:type="dxa"/>
            </w:tcMar>
          </w:tcPr>
          <w:p w14:paraId="14005FDA" w14:textId="0EE29D30" w:rsidR="00781B80" w:rsidRPr="001C4C08" w:rsidRDefault="00A438A4" w:rsidP="00110ECD">
            <w:pPr>
              <w:spacing w:after="60"/>
              <w:rPr>
                <w:rFonts w:cs="Calibri"/>
                <w:bCs/>
                <w:sz w:val="18"/>
                <w:szCs w:val="18"/>
              </w:rPr>
            </w:pPr>
            <w:bookmarkStart w:id="30" w:name="lt_pId078"/>
            <w:r w:rsidRPr="001C4C08">
              <w:rPr>
                <w:rFonts w:cs="Calibri"/>
                <w:bCs/>
                <w:sz w:val="18"/>
                <w:szCs w:val="18"/>
              </w:rPr>
              <w:t xml:space="preserve">apoya los acuerdos particulares, como también se refleja en el </w:t>
            </w:r>
            <w:r w:rsidR="001F3F6B" w:rsidRPr="001C4C08">
              <w:rPr>
                <w:rFonts w:cs="Calibri"/>
                <w:bCs/>
                <w:sz w:val="18"/>
                <w:szCs w:val="18"/>
              </w:rPr>
              <w:t>A</w:t>
            </w:r>
            <w:r w:rsidRPr="001C4C08">
              <w:rPr>
                <w:rFonts w:cs="Calibri"/>
                <w:bCs/>
                <w:sz w:val="18"/>
                <w:szCs w:val="18"/>
              </w:rPr>
              <w:t xml:space="preserve">rtículo 42 de la Constitución. La libertad de concertar acuerdos particulares entre países es un marco deseable para dar soporte a los requisitos nacionales. </w:t>
            </w:r>
            <w:bookmarkEnd w:id="30"/>
          </w:p>
        </w:tc>
        <w:tc>
          <w:tcPr>
            <w:tcW w:w="1308" w:type="dxa"/>
            <w:tcMar>
              <w:left w:w="85" w:type="dxa"/>
              <w:right w:w="85" w:type="dxa"/>
            </w:tcMar>
          </w:tcPr>
          <w:p w14:paraId="12177441" w14:textId="78BA1797" w:rsidR="00781B80" w:rsidRPr="001C4C08" w:rsidRDefault="00026705" w:rsidP="00110ECD">
            <w:pPr>
              <w:spacing w:after="60"/>
              <w:rPr>
                <w:rFonts w:cs="Calibri"/>
                <w:b/>
                <w:bCs/>
                <w:sz w:val="18"/>
                <w:szCs w:val="18"/>
              </w:rPr>
            </w:pPr>
            <w:r w:rsidRPr="001C4C08">
              <w:rPr>
                <w:rFonts w:cs="Calibri"/>
                <w:b/>
                <w:bCs/>
                <w:sz w:val="18"/>
                <w:szCs w:val="18"/>
              </w:rPr>
              <w:t>No se requiere cambio.</w:t>
            </w:r>
            <w:r w:rsidR="00781B80" w:rsidRPr="001C4C08">
              <w:rPr>
                <w:rFonts w:cs="Calibri"/>
                <w:b/>
                <w:bCs/>
                <w:sz w:val="18"/>
                <w:szCs w:val="18"/>
              </w:rPr>
              <w:t xml:space="preserve"> </w:t>
            </w:r>
          </w:p>
          <w:p w14:paraId="28D39E3B" w14:textId="647D0A6E" w:rsidR="00781B80" w:rsidRPr="001C4C08" w:rsidRDefault="00781B80" w:rsidP="00110ECD">
            <w:pPr>
              <w:spacing w:after="60"/>
              <w:rPr>
                <w:rFonts w:cs="Calibri"/>
                <w:bCs/>
                <w:sz w:val="18"/>
                <w:szCs w:val="18"/>
              </w:rPr>
            </w:pPr>
            <w:bookmarkStart w:id="31" w:name="lt_pId081"/>
            <w:r w:rsidRPr="001C4C08">
              <w:rPr>
                <w:rFonts w:cs="Calibri"/>
                <w:bCs/>
                <w:sz w:val="18"/>
                <w:szCs w:val="18"/>
              </w:rPr>
              <w:t>(Not</w:t>
            </w:r>
            <w:r w:rsidR="00A438A4" w:rsidRPr="001C4C08">
              <w:rPr>
                <w:rFonts w:cs="Calibri"/>
                <w:bCs/>
                <w:sz w:val="18"/>
                <w:szCs w:val="18"/>
              </w:rPr>
              <w:t>a</w:t>
            </w:r>
            <w:r w:rsidRPr="001C4C08">
              <w:rPr>
                <w:rFonts w:cs="Calibri"/>
                <w:bCs/>
                <w:sz w:val="18"/>
                <w:szCs w:val="18"/>
              </w:rPr>
              <w:t xml:space="preserve">: </w:t>
            </w:r>
            <w:r w:rsidR="00A438A4" w:rsidRPr="001C4C08">
              <w:rPr>
                <w:rFonts w:cs="Calibri"/>
                <w:bCs/>
                <w:sz w:val="18"/>
                <w:szCs w:val="18"/>
              </w:rPr>
              <w:t xml:space="preserve">El Artículo 13) se discutirá de manera pormenorizada en la 4ª reunión de febrero de 2021). </w:t>
            </w:r>
            <w:bookmarkEnd w:id="31"/>
          </w:p>
        </w:tc>
      </w:tr>
      <w:tr w:rsidR="00781B80" w:rsidRPr="001C4C08" w14:paraId="359EF518" w14:textId="77777777" w:rsidTr="001C4C08">
        <w:trPr>
          <w:jc w:val="center"/>
        </w:trPr>
        <w:tc>
          <w:tcPr>
            <w:tcW w:w="1075" w:type="dxa"/>
            <w:tcMar>
              <w:left w:w="85" w:type="dxa"/>
              <w:right w:w="85" w:type="dxa"/>
            </w:tcMar>
          </w:tcPr>
          <w:p w14:paraId="771C55C9" w14:textId="63E2FE68" w:rsidR="00781B80" w:rsidRPr="001C4C08" w:rsidRDefault="00026705" w:rsidP="00110ECD">
            <w:pPr>
              <w:spacing w:after="60"/>
              <w:rPr>
                <w:rFonts w:cs="Calibri"/>
                <w:b/>
                <w:bCs/>
                <w:sz w:val="18"/>
                <w:szCs w:val="18"/>
              </w:rPr>
            </w:pPr>
            <w:bookmarkStart w:id="32" w:name="lt_pId082"/>
            <w:r w:rsidRPr="001C4C08">
              <w:rPr>
                <w:rFonts w:cs="Calibri"/>
                <w:b/>
                <w:bCs/>
                <w:sz w:val="18"/>
                <w:szCs w:val="18"/>
              </w:rPr>
              <w:t>Artículo</w:t>
            </w:r>
            <w:r w:rsidR="00781B80" w:rsidRPr="001C4C08">
              <w:rPr>
                <w:rFonts w:cs="Calibri"/>
                <w:b/>
                <w:bCs/>
                <w:sz w:val="18"/>
                <w:szCs w:val="18"/>
              </w:rPr>
              <w:t xml:space="preserve"> 1</w:t>
            </w:r>
            <w:bookmarkEnd w:id="32"/>
          </w:p>
        </w:tc>
        <w:tc>
          <w:tcPr>
            <w:tcW w:w="2140" w:type="dxa"/>
            <w:tcMar>
              <w:left w:w="85" w:type="dxa"/>
              <w:right w:w="85" w:type="dxa"/>
            </w:tcMar>
          </w:tcPr>
          <w:p w14:paraId="3817C1F6" w14:textId="7BD53DCF" w:rsidR="00781B80" w:rsidRPr="001C4C08" w:rsidRDefault="004649AF" w:rsidP="00110ECD">
            <w:pPr>
              <w:spacing w:after="60"/>
              <w:rPr>
                <w:rFonts w:cs="Calibri"/>
                <w:bCs/>
                <w:sz w:val="18"/>
                <w:szCs w:val="18"/>
              </w:rPr>
            </w:pPr>
            <w:r w:rsidRPr="001C4C08">
              <w:rPr>
                <w:rFonts w:cs="Calibri"/>
                <w:b/>
                <w:bCs/>
                <w:sz w:val="18"/>
                <w:szCs w:val="18"/>
              </w:rPr>
              <w:t>1.2</w:t>
            </w:r>
            <w:r w:rsidRPr="001C4C08">
              <w:rPr>
                <w:rFonts w:cs="Calibri"/>
                <w:bCs/>
                <w:sz w:val="18"/>
                <w:szCs w:val="18"/>
              </w:rPr>
              <w:tab/>
              <w:t>En este Reglamento, la expresión "el público" se utiliza en el sentido de la población en general, e incluye las entidades gubernamentales y las personas jurídicas.</w:t>
            </w:r>
          </w:p>
        </w:tc>
        <w:tc>
          <w:tcPr>
            <w:tcW w:w="2142" w:type="dxa"/>
            <w:tcMar>
              <w:left w:w="85" w:type="dxa"/>
              <w:right w:w="85" w:type="dxa"/>
            </w:tcMar>
          </w:tcPr>
          <w:p w14:paraId="6C8C53CD" w14:textId="0BFC0276" w:rsidR="00781B80" w:rsidRPr="001C4C08" w:rsidRDefault="004649AF" w:rsidP="00110ECD">
            <w:pPr>
              <w:spacing w:after="60"/>
              <w:rPr>
                <w:rFonts w:cs="Calibri"/>
                <w:bCs/>
                <w:sz w:val="18"/>
                <w:szCs w:val="18"/>
              </w:rPr>
            </w:pPr>
            <w:r w:rsidRPr="001C4C08">
              <w:rPr>
                <w:rFonts w:cs="Calibri"/>
                <w:bCs/>
                <w:sz w:val="18"/>
                <w:szCs w:val="18"/>
              </w:rPr>
              <w:t>1.2</w:t>
            </w:r>
            <w:r w:rsidRPr="001C4C08">
              <w:rPr>
                <w:rFonts w:cs="Calibri"/>
                <w:bCs/>
                <w:sz w:val="18"/>
                <w:szCs w:val="18"/>
              </w:rPr>
              <w:tab/>
              <w:t>En este Reglamento, la expresión "el público" se utiliza en el sentido de la población en general, e incluye las entidades gubernamentales y las personas jurídicas.</w:t>
            </w:r>
          </w:p>
        </w:tc>
        <w:tc>
          <w:tcPr>
            <w:tcW w:w="2029" w:type="dxa"/>
            <w:tcMar>
              <w:left w:w="85" w:type="dxa"/>
              <w:right w:w="85" w:type="dxa"/>
            </w:tcMar>
          </w:tcPr>
          <w:p w14:paraId="3391295B" w14:textId="685A61AD" w:rsidR="00781B80" w:rsidRPr="001C4C08" w:rsidRDefault="00A438A4" w:rsidP="00110ECD">
            <w:pPr>
              <w:spacing w:after="60"/>
              <w:rPr>
                <w:rFonts w:cs="Calibri"/>
                <w:bCs/>
                <w:sz w:val="18"/>
                <w:szCs w:val="18"/>
              </w:rPr>
            </w:pPr>
            <w:r w:rsidRPr="001C4C08">
              <w:rPr>
                <w:rFonts w:cs="Calibri"/>
                <w:bCs/>
                <w:sz w:val="18"/>
                <w:szCs w:val="18"/>
              </w:rPr>
              <w:t>Enfoque central para el suministro de servicios de telecomunicaciones internacionales.</w:t>
            </w:r>
          </w:p>
        </w:tc>
        <w:tc>
          <w:tcPr>
            <w:tcW w:w="1825" w:type="dxa"/>
            <w:tcMar>
              <w:left w:w="85" w:type="dxa"/>
              <w:right w:w="85" w:type="dxa"/>
            </w:tcMar>
          </w:tcPr>
          <w:p w14:paraId="1E300BDD" w14:textId="77777777" w:rsidR="00781B80" w:rsidRPr="001C4C08" w:rsidRDefault="00781B80" w:rsidP="00110ECD">
            <w:pPr>
              <w:spacing w:after="60"/>
              <w:rPr>
                <w:rFonts w:cs="Calibri"/>
                <w:bCs/>
                <w:sz w:val="18"/>
                <w:szCs w:val="18"/>
              </w:rPr>
            </w:pPr>
            <w:bookmarkStart w:id="33" w:name="lt_pId088"/>
            <w:r w:rsidRPr="001C4C08">
              <w:rPr>
                <w:rFonts w:cs="Calibri"/>
                <w:bCs/>
                <w:sz w:val="18"/>
                <w:szCs w:val="18"/>
              </w:rPr>
              <w:t>Flexible.</w:t>
            </w:r>
            <w:bookmarkEnd w:id="33"/>
          </w:p>
        </w:tc>
        <w:tc>
          <w:tcPr>
            <w:tcW w:w="1308" w:type="dxa"/>
            <w:tcMar>
              <w:left w:w="85" w:type="dxa"/>
              <w:right w:w="85" w:type="dxa"/>
            </w:tcMar>
          </w:tcPr>
          <w:p w14:paraId="2A19AA17" w14:textId="6DB02C17" w:rsidR="00781B80" w:rsidRPr="001C4C08" w:rsidRDefault="00026705" w:rsidP="00110ECD">
            <w:pPr>
              <w:spacing w:after="60"/>
              <w:rPr>
                <w:rFonts w:cs="Calibri"/>
                <w:b/>
                <w:bCs/>
                <w:sz w:val="18"/>
                <w:szCs w:val="18"/>
              </w:rPr>
            </w:pPr>
            <w:r w:rsidRPr="001C4C08">
              <w:rPr>
                <w:rFonts w:cs="Calibri"/>
                <w:b/>
                <w:bCs/>
                <w:sz w:val="18"/>
                <w:szCs w:val="18"/>
              </w:rPr>
              <w:t>No se requiere cambio.</w:t>
            </w:r>
          </w:p>
        </w:tc>
      </w:tr>
      <w:tr w:rsidR="00781B80" w:rsidRPr="001C4C08" w14:paraId="1A8AA89A" w14:textId="77777777" w:rsidTr="001C4C08">
        <w:trPr>
          <w:jc w:val="center"/>
        </w:trPr>
        <w:tc>
          <w:tcPr>
            <w:tcW w:w="1075" w:type="dxa"/>
            <w:tcMar>
              <w:left w:w="85" w:type="dxa"/>
              <w:right w:w="85" w:type="dxa"/>
            </w:tcMar>
          </w:tcPr>
          <w:p w14:paraId="205B0AC3" w14:textId="274DB4E1" w:rsidR="00781B80" w:rsidRPr="001C4C08" w:rsidRDefault="00026705" w:rsidP="00110ECD">
            <w:pPr>
              <w:spacing w:after="60"/>
              <w:rPr>
                <w:rFonts w:cs="Calibri"/>
                <w:b/>
                <w:bCs/>
                <w:sz w:val="18"/>
                <w:szCs w:val="18"/>
              </w:rPr>
            </w:pPr>
            <w:bookmarkStart w:id="34" w:name="lt_pId090"/>
            <w:r w:rsidRPr="001C4C08">
              <w:rPr>
                <w:rFonts w:cs="Calibri"/>
                <w:b/>
                <w:bCs/>
                <w:sz w:val="18"/>
                <w:szCs w:val="18"/>
              </w:rPr>
              <w:t>Artículo</w:t>
            </w:r>
            <w:r w:rsidR="00781B80" w:rsidRPr="001C4C08">
              <w:rPr>
                <w:rFonts w:cs="Calibri"/>
                <w:b/>
                <w:bCs/>
                <w:sz w:val="18"/>
                <w:szCs w:val="18"/>
              </w:rPr>
              <w:t xml:space="preserve"> 1</w:t>
            </w:r>
            <w:bookmarkEnd w:id="34"/>
          </w:p>
        </w:tc>
        <w:tc>
          <w:tcPr>
            <w:tcW w:w="2140" w:type="dxa"/>
            <w:tcMar>
              <w:left w:w="85" w:type="dxa"/>
              <w:right w:w="85" w:type="dxa"/>
            </w:tcMar>
          </w:tcPr>
          <w:p w14:paraId="48AB2EE8" w14:textId="288EFEC2" w:rsidR="00781B80" w:rsidRPr="001C4C08" w:rsidRDefault="004649AF" w:rsidP="00110ECD">
            <w:pPr>
              <w:spacing w:after="60"/>
              <w:rPr>
                <w:rFonts w:cs="Calibri"/>
                <w:bCs/>
                <w:sz w:val="18"/>
                <w:szCs w:val="18"/>
              </w:rPr>
            </w:pPr>
            <w:r w:rsidRPr="001C4C08">
              <w:rPr>
                <w:rFonts w:cs="Calibri"/>
                <w:b/>
                <w:bCs/>
                <w:sz w:val="18"/>
                <w:szCs w:val="18"/>
              </w:rPr>
              <w:t>1.3</w:t>
            </w:r>
            <w:r w:rsidRPr="001C4C08">
              <w:rPr>
                <w:rFonts w:cs="Calibri"/>
                <w:bCs/>
                <w:sz w:val="18"/>
                <w:szCs w:val="18"/>
              </w:rPr>
              <w:tab/>
              <w:t>El presente Reglamento se establece 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w:t>
            </w:r>
          </w:p>
        </w:tc>
        <w:tc>
          <w:tcPr>
            <w:tcW w:w="2142" w:type="dxa"/>
            <w:tcMar>
              <w:left w:w="85" w:type="dxa"/>
              <w:right w:w="85" w:type="dxa"/>
            </w:tcMar>
          </w:tcPr>
          <w:p w14:paraId="4BB69763" w14:textId="1AD2DBD8" w:rsidR="00781B80" w:rsidRPr="001C4C08" w:rsidRDefault="004649AF" w:rsidP="00110ECD">
            <w:pPr>
              <w:spacing w:after="60"/>
              <w:rPr>
                <w:rFonts w:cs="Calibri"/>
                <w:bCs/>
                <w:sz w:val="18"/>
                <w:szCs w:val="18"/>
              </w:rPr>
            </w:pPr>
            <w:r w:rsidRPr="001C4C08">
              <w:rPr>
                <w:rFonts w:cs="Calibri"/>
                <w:bCs/>
                <w:sz w:val="18"/>
                <w:szCs w:val="18"/>
              </w:rPr>
              <w:t>1.3</w:t>
            </w:r>
            <w:r w:rsidRPr="001C4C08">
              <w:rPr>
                <w:rFonts w:cs="Calibri"/>
                <w:bCs/>
                <w:sz w:val="18"/>
                <w:szCs w:val="18"/>
              </w:rPr>
              <w:tab/>
              <w:t>El presente Reglamento se establece 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w:t>
            </w:r>
          </w:p>
        </w:tc>
        <w:tc>
          <w:tcPr>
            <w:tcW w:w="2029" w:type="dxa"/>
            <w:tcMar>
              <w:left w:w="85" w:type="dxa"/>
              <w:right w:w="85" w:type="dxa"/>
            </w:tcMar>
          </w:tcPr>
          <w:p w14:paraId="76DE2B98" w14:textId="1C1783B4" w:rsidR="00781B80" w:rsidRPr="001C4C08" w:rsidRDefault="00A438A4" w:rsidP="00110ECD">
            <w:pPr>
              <w:spacing w:after="60"/>
              <w:rPr>
                <w:sz w:val="18"/>
                <w:szCs w:val="18"/>
              </w:rPr>
            </w:pPr>
            <w:bookmarkStart w:id="35" w:name="lt_pId095"/>
            <w:r w:rsidRPr="001C4C08">
              <w:rPr>
                <w:sz w:val="18"/>
                <w:szCs w:val="18"/>
              </w:rPr>
              <w:t>Se apoya este objetivo</w:t>
            </w:r>
            <w:r w:rsidR="00781B80" w:rsidRPr="001C4C08">
              <w:rPr>
                <w:sz w:val="18"/>
                <w:szCs w:val="18"/>
              </w:rPr>
              <w:t>.</w:t>
            </w:r>
            <w:bookmarkEnd w:id="35"/>
          </w:p>
        </w:tc>
        <w:tc>
          <w:tcPr>
            <w:tcW w:w="1825" w:type="dxa"/>
            <w:tcMar>
              <w:left w:w="85" w:type="dxa"/>
              <w:right w:w="85" w:type="dxa"/>
            </w:tcMar>
          </w:tcPr>
          <w:p w14:paraId="34D81A5D" w14:textId="2E8B6A00" w:rsidR="00781B80" w:rsidRPr="001C4C08" w:rsidRDefault="00A438A4" w:rsidP="00110ECD">
            <w:pPr>
              <w:spacing w:after="60"/>
              <w:rPr>
                <w:sz w:val="18"/>
                <w:szCs w:val="18"/>
              </w:rPr>
            </w:pPr>
            <w:r w:rsidRPr="001C4C08">
              <w:rPr>
                <w:sz w:val="18"/>
                <w:szCs w:val="18"/>
              </w:rPr>
              <w:t>El carácter amplio de esta disposición es flexible para apoyar las nuevas tendencias y cuestiones emergentes.</w:t>
            </w:r>
          </w:p>
        </w:tc>
        <w:tc>
          <w:tcPr>
            <w:tcW w:w="1308" w:type="dxa"/>
            <w:tcMar>
              <w:left w:w="85" w:type="dxa"/>
              <w:right w:w="85" w:type="dxa"/>
            </w:tcMar>
          </w:tcPr>
          <w:p w14:paraId="5A6973C1" w14:textId="5BBD932A" w:rsidR="00781B80" w:rsidRPr="001C4C08" w:rsidRDefault="00026705" w:rsidP="00110ECD">
            <w:pPr>
              <w:spacing w:after="60"/>
              <w:rPr>
                <w:b/>
                <w:sz w:val="18"/>
                <w:szCs w:val="18"/>
              </w:rPr>
            </w:pPr>
            <w:r w:rsidRPr="001C4C08">
              <w:rPr>
                <w:b/>
                <w:sz w:val="18"/>
                <w:szCs w:val="18"/>
              </w:rPr>
              <w:t>No se requiere cambio.</w:t>
            </w:r>
            <w:r w:rsidR="00781B80" w:rsidRPr="001C4C08">
              <w:rPr>
                <w:b/>
                <w:sz w:val="18"/>
                <w:szCs w:val="18"/>
              </w:rPr>
              <w:t xml:space="preserve"> </w:t>
            </w:r>
          </w:p>
        </w:tc>
      </w:tr>
      <w:tr w:rsidR="00781B80" w:rsidRPr="001C4C08" w14:paraId="1E134EDF" w14:textId="77777777" w:rsidTr="001C4C08">
        <w:trPr>
          <w:jc w:val="center"/>
        </w:trPr>
        <w:tc>
          <w:tcPr>
            <w:tcW w:w="1075" w:type="dxa"/>
            <w:shd w:val="clear" w:color="auto" w:fill="auto"/>
            <w:tcMar>
              <w:left w:w="85" w:type="dxa"/>
              <w:right w:w="85" w:type="dxa"/>
            </w:tcMar>
          </w:tcPr>
          <w:p w14:paraId="5837FE1B" w14:textId="058E749B" w:rsidR="00781B80" w:rsidRPr="001C4C08" w:rsidRDefault="00026705" w:rsidP="00A43565">
            <w:pPr>
              <w:spacing w:after="60"/>
              <w:rPr>
                <w:rFonts w:cs="Calibri"/>
                <w:b/>
                <w:bCs/>
                <w:sz w:val="18"/>
                <w:szCs w:val="18"/>
              </w:rPr>
            </w:pPr>
            <w:bookmarkStart w:id="36" w:name="lt_pId098"/>
            <w:r w:rsidRPr="001C4C08">
              <w:rPr>
                <w:rFonts w:cs="Calibri"/>
                <w:b/>
                <w:bCs/>
                <w:sz w:val="18"/>
                <w:szCs w:val="18"/>
              </w:rPr>
              <w:t>Artículo</w:t>
            </w:r>
            <w:r w:rsidR="00781B80" w:rsidRPr="001C4C08">
              <w:rPr>
                <w:rFonts w:cs="Calibri"/>
                <w:b/>
                <w:bCs/>
                <w:sz w:val="18"/>
                <w:szCs w:val="18"/>
              </w:rPr>
              <w:t xml:space="preserve"> 1</w:t>
            </w:r>
            <w:bookmarkEnd w:id="36"/>
          </w:p>
        </w:tc>
        <w:tc>
          <w:tcPr>
            <w:tcW w:w="2140" w:type="dxa"/>
            <w:shd w:val="clear" w:color="auto" w:fill="auto"/>
            <w:tcMar>
              <w:left w:w="85" w:type="dxa"/>
              <w:right w:w="85" w:type="dxa"/>
            </w:tcMar>
          </w:tcPr>
          <w:p w14:paraId="107DFD10" w14:textId="48FD3EDE" w:rsidR="00781B80" w:rsidRPr="001C4C08" w:rsidRDefault="004649AF" w:rsidP="00110ECD">
            <w:pPr>
              <w:spacing w:after="60"/>
              <w:rPr>
                <w:rFonts w:cs="Calibri"/>
                <w:bCs/>
                <w:sz w:val="18"/>
                <w:szCs w:val="18"/>
              </w:rPr>
            </w:pPr>
            <w:r w:rsidRPr="001C4C08">
              <w:rPr>
                <w:rFonts w:cs="Calibri"/>
                <w:b/>
                <w:bCs/>
                <w:sz w:val="18"/>
                <w:szCs w:val="18"/>
              </w:rPr>
              <w:t>1.4</w:t>
            </w:r>
            <w:r w:rsidRPr="001C4C08">
              <w:rPr>
                <w:rFonts w:cs="Calibri"/>
                <w:bCs/>
                <w:sz w:val="18"/>
                <w:szCs w:val="18"/>
              </w:rPr>
              <w:tab/>
              <w:t>Ninguna referencia a las Recomendaciones del Sector de Normalización de las Telecomunicaciones de la UIT (UIT-T) contenida en el presente Reglamento se interpretará en el sentido de que confiere a tales Recomendaciones la misma condición jurídica que tiene el Reglamento.</w:t>
            </w:r>
          </w:p>
        </w:tc>
        <w:tc>
          <w:tcPr>
            <w:tcW w:w="2142" w:type="dxa"/>
            <w:shd w:val="clear" w:color="auto" w:fill="auto"/>
            <w:tcMar>
              <w:left w:w="85" w:type="dxa"/>
              <w:right w:w="85" w:type="dxa"/>
            </w:tcMar>
          </w:tcPr>
          <w:p w14:paraId="698E0511" w14:textId="18E994C6" w:rsidR="00781B80" w:rsidRPr="001C4C08" w:rsidRDefault="004649AF" w:rsidP="00110ECD">
            <w:pPr>
              <w:spacing w:after="60"/>
              <w:rPr>
                <w:rFonts w:cs="Calibri"/>
                <w:bCs/>
                <w:sz w:val="18"/>
                <w:szCs w:val="18"/>
              </w:rPr>
            </w:pPr>
            <w:r w:rsidRPr="001C4C08">
              <w:rPr>
                <w:rFonts w:cs="Calibri"/>
                <w:bCs/>
                <w:sz w:val="18"/>
                <w:szCs w:val="18"/>
              </w:rPr>
              <w:t>1.4</w:t>
            </w:r>
            <w:r w:rsidRPr="001C4C08">
              <w:rPr>
                <w:rFonts w:cs="Calibri"/>
                <w:bCs/>
                <w:sz w:val="18"/>
                <w:szCs w:val="18"/>
              </w:rPr>
              <w:tab/>
              <w:t xml:space="preserve">Ninguna referencia a las </w:t>
            </w:r>
            <w:r w:rsidRPr="001C4C08">
              <w:rPr>
                <w:rFonts w:cs="Calibri"/>
                <w:bCs/>
                <w:i/>
                <w:iCs/>
                <w:sz w:val="18"/>
                <w:szCs w:val="18"/>
              </w:rPr>
              <w:t>Recomendaciones del CCITT y a las Instrucciones</w:t>
            </w:r>
            <w:r w:rsidRPr="001C4C08">
              <w:rPr>
                <w:rFonts w:cs="Calibri"/>
                <w:bCs/>
                <w:sz w:val="18"/>
                <w:szCs w:val="18"/>
              </w:rPr>
              <w:t xml:space="preserve"> contenida en el presente Reglamento se interpretará en el sentido de que confiere a tales Recomendaciones o Instrucciones la misma condición jurídica que tiene el Reglamento.</w:t>
            </w:r>
          </w:p>
        </w:tc>
        <w:tc>
          <w:tcPr>
            <w:tcW w:w="2029" w:type="dxa"/>
            <w:shd w:val="clear" w:color="auto" w:fill="auto"/>
            <w:tcMar>
              <w:left w:w="85" w:type="dxa"/>
              <w:right w:w="85" w:type="dxa"/>
            </w:tcMar>
          </w:tcPr>
          <w:p w14:paraId="30D68547" w14:textId="0F883A95" w:rsidR="00781B80" w:rsidRPr="001C4C08" w:rsidRDefault="00CE0D79" w:rsidP="00110ECD">
            <w:pPr>
              <w:spacing w:after="60"/>
              <w:jc w:val="center"/>
              <w:rPr>
                <w:bCs/>
                <w:sz w:val="18"/>
                <w:szCs w:val="18"/>
              </w:rPr>
            </w:pPr>
            <w:r w:rsidRPr="001C4C08">
              <w:rPr>
                <w:bCs/>
                <w:sz w:val="18"/>
                <w:szCs w:val="18"/>
              </w:rPr>
              <w:t>–</w:t>
            </w:r>
          </w:p>
        </w:tc>
        <w:tc>
          <w:tcPr>
            <w:tcW w:w="1825" w:type="dxa"/>
            <w:shd w:val="clear" w:color="auto" w:fill="auto"/>
            <w:tcMar>
              <w:left w:w="85" w:type="dxa"/>
              <w:right w:w="85" w:type="dxa"/>
            </w:tcMar>
          </w:tcPr>
          <w:p w14:paraId="6126022E" w14:textId="354D39DE" w:rsidR="00781B80" w:rsidRPr="001C4C08" w:rsidRDefault="00CE0D79" w:rsidP="00110ECD">
            <w:pPr>
              <w:spacing w:after="60"/>
              <w:jc w:val="center"/>
              <w:rPr>
                <w:bCs/>
                <w:sz w:val="18"/>
                <w:szCs w:val="18"/>
              </w:rPr>
            </w:pPr>
            <w:r w:rsidRPr="001C4C08">
              <w:rPr>
                <w:bCs/>
                <w:sz w:val="18"/>
                <w:szCs w:val="18"/>
              </w:rPr>
              <w:t>–</w:t>
            </w:r>
          </w:p>
        </w:tc>
        <w:tc>
          <w:tcPr>
            <w:tcW w:w="1308" w:type="dxa"/>
            <w:shd w:val="clear" w:color="auto" w:fill="auto"/>
            <w:tcMar>
              <w:left w:w="85" w:type="dxa"/>
              <w:right w:w="85" w:type="dxa"/>
            </w:tcMar>
          </w:tcPr>
          <w:p w14:paraId="35A535F2" w14:textId="1DCC2653" w:rsidR="00781B80" w:rsidRPr="001C4C08" w:rsidRDefault="00026705" w:rsidP="00110ECD">
            <w:pPr>
              <w:spacing w:after="60"/>
              <w:rPr>
                <w:b/>
                <w:sz w:val="18"/>
                <w:szCs w:val="18"/>
              </w:rPr>
            </w:pPr>
            <w:bookmarkStart w:id="37" w:name="lt_pId105"/>
            <w:r w:rsidRPr="001C4C08">
              <w:rPr>
                <w:b/>
                <w:sz w:val="18"/>
                <w:szCs w:val="18"/>
              </w:rPr>
              <w:t>No se requiere cambio</w:t>
            </w:r>
            <w:r w:rsidR="00781B80" w:rsidRPr="001C4C08">
              <w:rPr>
                <w:b/>
                <w:sz w:val="18"/>
                <w:szCs w:val="18"/>
              </w:rPr>
              <w:t xml:space="preserve">: </w:t>
            </w:r>
            <w:r w:rsidR="00A43565" w:rsidRPr="001C4C08">
              <w:rPr>
                <w:b/>
                <w:sz w:val="18"/>
                <w:szCs w:val="18"/>
              </w:rPr>
              <w:t>l</w:t>
            </w:r>
            <w:r w:rsidR="00A438A4" w:rsidRPr="001C4C08">
              <w:rPr>
                <w:sz w:val="18"/>
                <w:szCs w:val="18"/>
              </w:rPr>
              <w:t>a disposición aclara la situación jurídica de las recomendaciones contenidas en el RTI.</w:t>
            </w:r>
            <w:bookmarkEnd w:id="37"/>
          </w:p>
        </w:tc>
      </w:tr>
      <w:tr w:rsidR="00781B80" w:rsidRPr="001C4C08" w14:paraId="066083FC" w14:textId="77777777" w:rsidTr="001C4C08">
        <w:trPr>
          <w:jc w:val="center"/>
        </w:trPr>
        <w:tc>
          <w:tcPr>
            <w:tcW w:w="1075" w:type="dxa"/>
            <w:tcMar>
              <w:left w:w="85" w:type="dxa"/>
              <w:right w:w="85" w:type="dxa"/>
            </w:tcMar>
          </w:tcPr>
          <w:p w14:paraId="64ADBE96" w14:textId="4CC91A50" w:rsidR="00781B80" w:rsidRPr="001C4C08" w:rsidRDefault="00026705" w:rsidP="00110ECD">
            <w:pPr>
              <w:spacing w:after="60"/>
              <w:rPr>
                <w:rFonts w:cs="Calibri"/>
                <w:b/>
                <w:bCs/>
                <w:sz w:val="18"/>
                <w:szCs w:val="18"/>
              </w:rPr>
            </w:pPr>
            <w:bookmarkStart w:id="38" w:name="lt_pId106"/>
            <w:r w:rsidRPr="001C4C08">
              <w:rPr>
                <w:rFonts w:cs="Calibri"/>
                <w:b/>
                <w:bCs/>
                <w:sz w:val="18"/>
                <w:szCs w:val="18"/>
              </w:rPr>
              <w:t>Artículo</w:t>
            </w:r>
            <w:r w:rsidR="00781B80" w:rsidRPr="001C4C08">
              <w:rPr>
                <w:rFonts w:cs="Calibri"/>
                <w:b/>
                <w:bCs/>
                <w:sz w:val="18"/>
                <w:szCs w:val="18"/>
              </w:rPr>
              <w:t xml:space="preserve"> 1</w:t>
            </w:r>
            <w:bookmarkEnd w:id="38"/>
          </w:p>
        </w:tc>
        <w:tc>
          <w:tcPr>
            <w:tcW w:w="2140" w:type="dxa"/>
            <w:tcMar>
              <w:left w:w="85" w:type="dxa"/>
              <w:right w:w="85" w:type="dxa"/>
            </w:tcMar>
          </w:tcPr>
          <w:p w14:paraId="4CB1F709" w14:textId="3D94B808" w:rsidR="00781B80" w:rsidRPr="001C4C08" w:rsidRDefault="004649AF" w:rsidP="00110ECD">
            <w:pPr>
              <w:spacing w:after="60"/>
              <w:rPr>
                <w:rFonts w:cs="Calibri"/>
                <w:bCs/>
                <w:sz w:val="18"/>
                <w:szCs w:val="18"/>
              </w:rPr>
            </w:pPr>
            <w:r w:rsidRPr="001C4C08">
              <w:rPr>
                <w:rFonts w:cs="Calibri"/>
                <w:b/>
                <w:bCs/>
                <w:sz w:val="18"/>
                <w:szCs w:val="18"/>
              </w:rPr>
              <w:t>1.5</w:t>
            </w:r>
            <w:r w:rsidRPr="001C4C08">
              <w:rPr>
                <w:rFonts w:cs="Calibri"/>
                <w:bCs/>
                <w:sz w:val="18"/>
                <w:szCs w:val="18"/>
              </w:rPr>
              <w:tab/>
              <w:t xml:space="preserve">En el ámbito del presente Reglamento, la prestación y explotación de los servicios internacionales de telecomunicación en cada relación se efectuarán </w:t>
            </w:r>
            <w:r w:rsidRPr="001C4C08">
              <w:rPr>
                <w:rFonts w:cs="Calibri"/>
                <w:bCs/>
                <w:sz w:val="18"/>
                <w:szCs w:val="18"/>
              </w:rPr>
              <w:lastRenderedPageBreak/>
              <w:t>mediante acuerdos mutuos entre las empresas de explotación autorizadas.</w:t>
            </w:r>
          </w:p>
        </w:tc>
        <w:tc>
          <w:tcPr>
            <w:tcW w:w="2142" w:type="dxa"/>
            <w:tcMar>
              <w:left w:w="85" w:type="dxa"/>
              <w:right w:w="85" w:type="dxa"/>
            </w:tcMar>
          </w:tcPr>
          <w:p w14:paraId="71CCD837" w14:textId="6749D4A3" w:rsidR="00781B80" w:rsidRPr="001C4C08" w:rsidRDefault="004649AF" w:rsidP="00110ECD">
            <w:pPr>
              <w:spacing w:after="60"/>
              <w:rPr>
                <w:rFonts w:cs="Calibri"/>
                <w:bCs/>
                <w:sz w:val="18"/>
                <w:szCs w:val="18"/>
              </w:rPr>
            </w:pPr>
            <w:r w:rsidRPr="001C4C08">
              <w:rPr>
                <w:rFonts w:cs="Calibri"/>
                <w:bCs/>
                <w:sz w:val="18"/>
                <w:szCs w:val="18"/>
              </w:rPr>
              <w:lastRenderedPageBreak/>
              <w:t>1.5</w:t>
            </w:r>
            <w:r w:rsidRPr="001C4C08">
              <w:rPr>
                <w:rFonts w:cs="Calibri"/>
                <w:bCs/>
                <w:sz w:val="18"/>
                <w:szCs w:val="18"/>
              </w:rPr>
              <w:tab/>
              <w:t xml:space="preserve">En el ámbito del presente Reglamento, la prestación y explotación de los servicios internacionales de telecomunicación en cada relación se efectuarán </w:t>
            </w:r>
            <w:r w:rsidRPr="001C4C08">
              <w:rPr>
                <w:rFonts w:cs="Calibri"/>
                <w:bCs/>
                <w:sz w:val="18"/>
                <w:szCs w:val="18"/>
              </w:rPr>
              <w:lastRenderedPageBreak/>
              <w:t>mediante acuerdos mutuos entre las administraciones*.</w:t>
            </w:r>
          </w:p>
        </w:tc>
        <w:tc>
          <w:tcPr>
            <w:tcW w:w="2029" w:type="dxa"/>
            <w:tcMar>
              <w:left w:w="85" w:type="dxa"/>
              <w:right w:w="85" w:type="dxa"/>
            </w:tcMar>
          </w:tcPr>
          <w:p w14:paraId="56A336F1" w14:textId="09A454D9" w:rsidR="00781B80" w:rsidRPr="001C4C08" w:rsidRDefault="00A438A4" w:rsidP="00110ECD">
            <w:pPr>
              <w:spacing w:after="60"/>
              <w:rPr>
                <w:sz w:val="18"/>
                <w:szCs w:val="18"/>
              </w:rPr>
            </w:pPr>
            <w:bookmarkStart w:id="39" w:name="lt_pId111"/>
            <w:r w:rsidRPr="001C4C08">
              <w:rPr>
                <w:sz w:val="18"/>
                <w:szCs w:val="18"/>
              </w:rPr>
              <w:lastRenderedPageBreak/>
              <w:t>Esta disposición apoya el desarrollo de redes y servicios basados en acuerdos comerciales</w:t>
            </w:r>
            <w:r w:rsidR="00781B80" w:rsidRPr="001C4C08">
              <w:rPr>
                <w:sz w:val="18"/>
                <w:szCs w:val="18"/>
              </w:rPr>
              <w:t>.</w:t>
            </w:r>
            <w:bookmarkEnd w:id="39"/>
          </w:p>
          <w:p w14:paraId="4E7F935E" w14:textId="70EB039F" w:rsidR="00781B80" w:rsidRPr="001C4C08" w:rsidRDefault="00A438A4" w:rsidP="00110ECD">
            <w:pPr>
              <w:spacing w:after="60"/>
              <w:rPr>
                <w:sz w:val="18"/>
                <w:szCs w:val="18"/>
              </w:rPr>
            </w:pPr>
            <w:bookmarkStart w:id="40" w:name="lt_pId112"/>
            <w:r w:rsidRPr="001C4C08">
              <w:rPr>
                <w:sz w:val="18"/>
                <w:szCs w:val="18"/>
              </w:rPr>
              <w:t>Se apoya esta disposición</w:t>
            </w:r>
            <w:r w:rsidR="00781B80" w:rsidRPr="001C4C08">
              <w:rPr>
                <w:sz w:val="18"/>
                <w:szCs w:val="18"/>
              </w:rPr>
              <w:t>.</w:t>
            </w:r>
            <w:bookmarkEnd w:id="40"/>
            <w:r w:rsidR="00781B80" w:rsidRPr="001C4C08">
              <w:rPr>
                <w:sz w:val="18"/>
                <w:szCs w:val="18"/>
              </w:rPr>
              <w:t xml:space="preserve"> </w:t>
            </w:r>
          </w:p>
        </w:tc>
        <w:tc>
          <w:tcPr>
            <w:tcW w:w="1825" w:type="dxa"/>
            <w:tcMar>
              <w:left w:w="85" w:type="dxa"/>
              <w:right w:w="85" w:type="dxa"/>
            </w:tcMar>
          </w:tcPr>
          <w:p w14:paraId="717A8157" w14:textId="27D55198" w:rsidR="00781B80" w:rsidRPr="001C4C08" w:rsidRDefault="00A438A4" w:rsidP="00110ECD">
            <w:pPr>
              <w:spacing w:after="60"/>
              <w:rPr>
                <w:sz w:val="18"/>
                <w:szCs w:val="18"/>
              </w:rPr>
            </w:pPr>
            <w:r w:rsidRPr="001C4C08">
              <w:rPr>
                <w:sz w:val="18"/>
                <w:szCs w:val="18"/>
              </w:rPr>
              <w:t xml:space="preserve">Esta disposición se apoya ya que permite el establecimiento de servicios de telecomunicaciones internacionales en condiciones </w:t>
            </w:r>
            <w:r w:rsidRPr="001C4C08">
              <w:rPr>
                <w:sz w:val="18"/>
                <w:szCs w:val="18"/>
              </w:rPr>
              <w:lastRenderedPageBreak/>
              <w:t>comerciales mediante el acuerdo mutuo entre empresas de explotación autorizadas. Este término es flexible para apoyar las nuevas tendencias y cuestiones emergentes.</w:t>
            </w:r>
          </w:p>
        </w:tc>
        <w:tc>
          <w:tcPr>
            <w:tcW w:w="1308" w:type="dxa"/>
            <w:tcMar>
              <w:left w:w="85" w:type="dxa"/>
              <w:right w:w="85" w:type="dxa"/>
            </w:tcMar>
          </w:tcPr>
          <w:p w14:paraId="1721CA74" w14:textId="7F69A912" w:rsidR="00781B80" w:rsidRPr="001C4C08" w:rsidRDefault="00026705" w:rsidP="00110ECD">
            <w:pPr>
              <w:spacing w:after="60"/>
              <w:rPr>
                <w:b/>
                <w:sz w:val="18"/>
                <w:szCs w:val="18"/>
              </w:rPr>
            </w:pPr>
            <w:r w:rsidRPr="001C4C08">
              <w:rPr>
                <w:b/>
                <w:sz w:val="18"/>
                <w:szCs w:val="18"/>
              </w:rPr>
              <w:lastRenderedPageBreak/>
              <w:t>No se requiere cambio.</w:t>
            </w:r>
          </w:p>
        </w:tc>
      </w:tr>
      <w:tr w:rsidR="00781B80" w:rsidRPr="001C4C08" w14:paraId="7E0CA707" w14:textId="77777777" w:rsidTr="001C4C08">
        <w:trPr>
          <w:jc w:val="center"/>
        </w:trPr>
        <w:tc>
          <w:tcPr>
            <w:tcW w:w="1075" w:type="dxa"/>
            <w:tcMar>
              <w:left w:w="85" w:type="dxa"/>
              <w:right w:w="85" w:type="dxa"/>
            </w:tcMar>
          </w:tcPr>
          <w:p w14:paraId="78265DE3" w14:textId="6D8559B7" w:rsidR="00781B80" w:rsidRPr="001C4C08" w:rsidRDefault="00026705" w:rsidP="00110ECD">
            <w:pPr>
              <w:spacing w:after="60"/>
              <w:rPr>
                <w:rFonts w:cs="Calibri"/>
                <w:b/>
                <w:bCs/>
                <w:sz w:val="18"/>
                <w:szCs w:val="18"/>
              </w:rPr>
            </w:pPr>
            <w:bookmarkStart w:id="41" w:name="lt_pId116"/>
            <w:r w:rsidRPr="001C4C08">
              <w:rPr>
                <w:rFonts w:cs="Calibri"/>
                <w:b/>
                <w:bCs/>
                <w:sz w:val="18"/>
                <w:szCs w:val="18"/>
              </w:rPr>
              <w:t>Artículo</w:t>
            </w:r>
            <w:r w:rsidR="00781B80" w:rsidRPr="001C4C08">
              <w:rPr>
                <w:rFonts w:cs="Calibri"/>
                <w:b/>
                <w:bCs/>
                <w:sz w:val="18"/>
                <w:szCs w:val="18"/>
              </w:rPr>
              <w:t xml:space="preserve"> 1</w:t>
            </w:r>
            <w:bookmarkEnd w:id="41"/>
          </w:p>
        </w:tc>
        <w:tc>
          <w:tcPr>
            <w:tcW w:w="2140" w:type="dxa"/>
            <w:tcMar>
              <w:left w:w="85" w:type="dxa"/>
              <w:right w:w="85" w:type="dxa"/>
            </w:tcMar>
          </w:tcPr>
          <w:p w14:paraId="7DA158A5" w14:textId="08207198" w:rsidR="00781B80" w:rsidRPr="001C4C08" w:rsidRDefault="004649AF" w:rsidP="00110ECD">
            <w:pPr>
              <w:spacing w:after="60"/>
              <w:rPr>
                <w:rFonts w:cs="Calibri"/>
                <w:bCs/>
                <w:sz w:val="18"/>
                <w:szCs w:val="18"/>
              </w:rPr>
            </w:pPr>
            <w:r w:rsidRPr="001C4C08">
              <w:rPr>
                <w:rFonts w:cs="Calibri"/>
                <w:b/>
                <w:bCs/>
                <w:sz w:val="18"/>
                <w:szCs w:val="18"/>
              </w:rPr>
              <w:t>1.6</w:t>
            </w:r>
            <w:r w:rsidRPr="001C4C08">
              <w:rPr>
                <w:rFonts w:cs="Calibri"/>
                <w:bCs/>
                <w:sz w:val="18"/>
                <w:szCs w:val="18"/>
              </w:rPr>
              <w:tab/>
              <w:t>Al aplicar los principios de este Reglamento, las empresas de explotación autorizadas deben ajustarse en la mayor medida posible a las Recomendaciones UIT-T pertinentes.</w:t>
            </w:r>
          </w:p>
        </w:tc>
        <w:tc>
          <w:tcPr>
            <w:tcW w:w="2142" w:type="dxa"/>
            <w:tcMar>
              <w:left w:w="85" w:type="dxa"/>
              <w:right w:w="85" w:type="dxa"/>
            </w:tcMar>
          </w:tcPr>
          <w:p w14:paraId="7C2E39FE" w14:textId="26597384" w:rsidR="00781B80" w:rsidRPr="001C4C08" w:rsidRDefault="004649AF" w:rsidP="00110ECD">
            <w:pPr>
              <w:spacing w:after="60"/>
              <w:rPr>
                <w:rFonts w:cs="Calibri"/>
                <w:bCs/>
                <w:sz w:val="18"/>
                <w:szCs w:val="18"/>
              </w:rPr>
            </w:pPr>
            <w:r w:rsidRPr="001C4C08">
              <w:rPr>
                <w:rFonts w:cs="Calibri"/>
                <w:bCs/>
                <w:sz w:val="18"/>
                <w:szCs w:val="18"/>
              </w:rPr>
              <w:t>1.6</w:t>
            </w:r>
            <w:r w:rsidRPr="001C4C08">
              <w:rPr>
                <w:rFonts w:cs="Calibri"/>
                <w:bCs/>
                <w:sz w:val="18"/>
                <w:szCs w:val="18"/>
              </w:rPr>
              <w:tab/>
              <w:t>Al aplicar los principios de este Reglamento, las administraciones* deberían ajustarse en la mayor medida posible a las Recomendaciones pertinentes del CCITT, así como a las Instrucciones que formen parte o se deriven de dichas Recomendaciones.</w:t>
            </w:r>
          </w:p>
        </w:tc>
        <w:tc>
          <w:tcPr>
            <w:tcW w:w="2029" w:type="dxa"/>
            <w:tcMar>
              <w:left w:w="85" w:type="dxa"/>
              <w:right w:w="85" w:type="dxa"/>
            </w:tcMar>
          </w:tcPr>
          <w:p w14:paraId="39A4FCE5" w14:textId="47BF2615" w:rsidR="00781B80" w:rsidRPr="001C4C08" w:rsidRDefault="00A438A4" w:rsidP="00110ECD">
            <w:pPr>
              <w:spacing w:after="60"/>
              <w:rPr>
                <w:sz w:val="18"/>
                <w:szCs w:val="18"/>
              </w:rPr>
            </w:pPr>
            <w:r w:rsidRPr="001C4C08">
              <w:rPr>
                <w:sz w:val="18"/>
                <w:szCs w:val="18"/>
              </w:rPr>
              <w:t>Esta disposición apoya el desarrollo de redes y servicios, basado en las Recomendaciones del UIT-T cuando sea necesario (también podrían aplicarse otras normas si fuera necesario).</w:t>
            </w:r>
          </w:p>
          <w:p w14:paraId="0986C1C0" w14:textId="0074B182" w:rsidR="00781B80" w:rsidRPr="001C4C08" w:rsidRDefault="00A438A4" w:rsidP="00110ECD">
            <w:pPr>
              <w:spacing w:after="60"/>
              <w:rPr>
                <w:sz w:val="18"/>
                <w:szCs w:val="18"/>
              </w:rPr>
            </w:pPr>
            <w:bookmarkStart w:id="42" w:name="lt_pId122"/>
            <w:r w:rsidRPr="001C4C08">
              <w:rPr>
                <w:sz w:val="18"/>
                <w:szCs w:val="18"/>
              </w:rPr>
              <w:t>Se apoya esta disposición</w:t>
            </w:r>
            <w:r w:rsidR="00781B80" w:rsidRPr="001C4C08">
              <w:rPr>
                <w:sz w:val="18"/>
                <w:szCs w:val="18"/>
              </w:rPr>
              <w:t>.</w:t>
            </w:r>
            <w:bookmarkEnd w:id="42"/>
          </w:p>
        </w:tc>
        <w:tc>
          <w:tcPr>
            <w:tcW w:w="1825" w:type="dxa"/>
            <w:tcMar>
              <w:left w:w="85" w:type="dxa"/>
              <w:right w:w="85" w:type="dxa"/>
            </w:tcMar>
          </w:tcPr>
          <w:p w14:paraId="16085086" w14:textId="5BBA256F" w:rsidR="00781B80" w:rsidRPr="001C4C08" w:rsidRDefault="00A438A4" w:rsidP="00110ECD">
            <w:pPr>
              <w:spacing w:after="60"/>
              <w:rPr>
                <w:sz w:val="18"/>
                <w:szCs w:val="18"/>
              </w:rPr>
            </w:pPr>
            <w:r w:rsidRPr="001C4C08">
              <w:rPr>
                <w:sz w:val="18"/>
                <w:szCs w:val="18"/>
              </w:rPr>
              <w:t>En la medida necesaria, la adhesión a las Recomendaciones del UIT-T facilita el establecimiento de servicios de telecomunicaciones internacionales, al tiempo que permite la flexibilidad necesaria para utilizar también otras normas en caso necesario. La selección de las normas se determinará en el marco de los acuerdos comerciales bilaterales entre los titulares de las licencias.</w:t>
            </w:r>
          </w:p>
        </w:tc>
        <w:tc>
          <w:tcPr>
            <w:tcW w:w="1308" w:type="dxa"/>
            <w:tcMar>
              <w:left w:w="85" w:type="dxa"/>
              <w:right w:w="85" w:type="dxa"/>
            </w:tcMar>
          </w:tcPr>
          <w:p w14:paraId="73CC41FE" w14:textId="1E4E432D" w:rsidR="00781B80" w:rsidRPr="001C4C08" w:rsidRDefault="00026705" w:rsidP="00110ECD">
            <w:pPr>
              <w:spacing w:after="60"/>
              <w:rPr>
                <w:b/>
                <w:sz w:val="18"/>
                <w:szCs w:val="18"/>
              </w:rPr>
            </w:pPr>
            <w:r w:rsidRPr="001C4C08">
              <w:rPr>
                <w:b/>
                <w:sz w:val="18"/>
                <w:szCs w:val="18"/>
              </w:rPr>
              <w:t>No se requiere cambio.</w:t>
            </w:r>
          </w:p>
        </w:tc>
      </w:tr>
      <w:tr w:rsidR="00781B80" w:rsidRPr="001C4C08" w14:paraId="1BB61C65" w14:textId="77777777" w:rsidTr="001C4C08">
        <w:trPr>
          <w:jc w:val="center"/>
        </w:trPr>
        <w:tc>
          <w:tcPr>
            <w:tcW w:w="1075" w:type="dxa"/>
            <w:tcMar>
              <w:left w:w="85" w:type="dxa"/>
              <w:right w:w="85" w:type="dxa"/>
            </w:tcMar>
          </w:tcPr>
          <w:p w14:paraId="6E3D2102" w14:textId="62B96EA9" w:rsidR="00781B80" w:rsidRPr="001C4C08" w:rsidRDefault="00026705" w:rsidP="00110ECD">
            <w:pPr>
              <w:spacing w:after="60"/>
              <w:rPr>
                <w:rFonts w:cs="Calibri"/>
                <w:b/>
                <w:bCs/>
                <w:sz w:val="18"/>
                <w:szCs w:val="18"/>
              </w:rPr>
            </w:pPr>
            <w:bookmarkStart w:id="43" w:name="lt_pId126"/>
            <w:r w:rsidRPr="001C4C08">
              <w:rPr>
                <w:rFonts w:cs="Calibri"/>
                <w:b/>
                <w:bCs/>
                <w:sz w:val="18"/>
                <w:szCs w:val="18"/>
              </w:rPr>
              <w:t>Artículo</w:t>
            </w:r>
            <w:r w:rsidR="00781B80" w:rsidRPr="001C4C08">
              <w:rPr>
                <w:rFonts w:cs="Calibri"/>
                <w:b/>
                <w:bCs/>
                <w:sz w:val="18"/>
                <w:szCs w:val="18"/>
              </w:rPr>
              <w:t xml:space="preserve"> 1</w:t>
            </w:r>
            <w:bookmarkEnd w:id="43"/>
          </w:p>
        </w:tc>
        <w:tc>
          <w:tcPr>
            <w:tcW w:w="2140" w:type="dxa"/>
            <w:tcMar>
              <w:left w:w="85" w:type="dxa"/>
              <w:right w:w="85" w:type="dxa"/>
            </w:tcMar>
          </w:tcPr>
          <w:p w14:paraId="364465A9" w14:textId="1C1A6225" w:rsidR="00781B80" w:rsidRPr="001C4C08" w:rsidRDefault="00E617CB" w:rsidP="00110ECD">
            <w:pPr>
              <w:spacing w:after="60"/>
              <w:rPr>
                <w:rFonts w:cs="Calibri"/>
                <w:bCs/>
                <w:sz w:val="18"/>
                <w:szCs w:val="18"/>
              </w:rPr>
            </w:pPr>
            <w:r w:rsidRPr="001C4C08">
              <w:rPr>
                <w:rFonts w:cs="Calibri"/>
                <w:b/>
                <w:bCs/>
                <w:sz w:val="18"/>
                <w:szCs w:val="18"/>
              </w:rPr>
              <w:t>1.7</w:t>
            </w:r>
            <w:r w:rsidRPr="001C4C08">
              <w:rPr>
                <w:rFonts w:cs="Calibri"/>
                <w:bCs/>
                <w:sz w:val="18"/>
                <w:szCs w:val="18"/>
              </w:rPr>
              <w:t xml:space="preserve"> </w:t>
            </w:r>
            <w:r w:rsidRPr="001C4C08">
              <w:rPr>
                <w:rFonts w:cs="Calibri"/>
                <w:b/>
                <w:bCs/>
                <w:i/>
                <w:iCs/>
                <w:sz w:val="18"/>
                <w:szCs w:val="18"/>
              </w:rPr>
              <w:t>a)</w:t>
            </w:r>
            <w:r w:rsidRPr="001C4C08">
              <w:rPr>
                <w:rFonts w:cs="Calibri"/>
                <w:bCs/>
                <w:sz w:val="18"/>
                <w:szCs w:val="18"/>
              </w:rPr>
              <w:tab/>
              <w:t>En el presente Reglamento se reconoce a todo Estado Miembro el derecho a exigir, en aplicación de su legislación nacional y si así lo decide, que las empresas de explotación autorizadas que funcionen en su territorio y presten un servicio internacional de telecomunicación al público estén autorizadas por ese Estado Miembro.</w:t>
            </w:r>
          </w:p>
        </w:tc>
        <w:tc>
          <w:tcPr>
            <w:tcW w:w="2142" w:type="dxa"/>
            <w:tcMar>
              <w:left w:w="85" w:type="dxa"/>
              <w:right w:w="85" w:type="dxa"/>
            </w:tcMar>
          </w:tcPr>
          <w:p w14:paraId="1673A628" w14:textId="1DAB3C97" w:rsidR="00781B80" w:rsidRPr="001C4C08" w:rsidRDefault="00E617CB" w:rsidP="00110ECD">
            <w:pPr>
              <w:spacing w:after="60"/>
              <w:rPr>
                <w:rFonts w:cs="Calibri"/>
                <w:bCs/>
                <w:sz w:val="18"/>
                <w:szCs w:val="18"/>
              </w:rPr>
            </w:pPr>
            <w:r w:rsidRPr="001C4C08">
              <w:rPr>
                <w:rFonts w:cs="Calibri"/>
                <w:b/>
                <w:bCs/>
                <w:sz w:val="18"/>
                <w:szCs w:val="18"/>
              </w:rPr>
              <w:t xml:space="preserve">1.7 </w:t>
            </w:r>
            <w:r w:rsidRPr="001C4C08">
              <w:rPr>
                <w:rFonts w:cs="Calibri"/>
                <w:b/>
                <w:bCs/>
                <w:i/>
                <w:iCs/>
                <w:sz w:val="18"/>
                <w:szCs w:val="18"/>
              </w:rPr>
              <w:t>a)</w:t>
            </w:r>
            <w:r w:rsidRPr="001C4C08">
              <w:rPr>
                <w:rFonts w:cs="Calibri"/>
                <w:bCs/>
                <w:sz w:val="18"/>
                <w:szCs w:val="18"/>
              </w:rPr>
              <w:tab/>
              <w:t>En el presente Reglamento se reconoce a todo Miembro el derecho a exigir, en aplicación de su legislación nacional y si así lo decide, que las administraciones y empresas privadas de explotación que funcionen en su territorio y presten un servicio internacional de telecomunicación al público estén autorizadas por ese Miembro.</w:t>
            </w:r>
          </w:p>
        </w:tc>
        <w:tc>
          <w:tcPr>
            <w:tcW w:w="2029" w:type="dxa"/>
            <w:tcMar>
              <w:left w:w="85" w:type="dxa"/>
              <w:right w:w="85" w:type="dxa"/>
            </w:tcMar>
          </w:tcPr>
          <w:p w14:paraId="12BEE87D" w14:textId="16CC7F06" w:rsidR="00781B80" w:rsidRPr="001C4C08" w:rsidRDefault="00A438A4" w:rsidP="00110ECD">
            <w:pPr>
              <w:spacing w:after="60"/>
              <w:rPr>
                <w:sz w:val="18"/>
                <w:szCs w:val="18"/>
              </w:rPr>
            </w:pPr>
            <w:r w:rsidRPr="001C4C08">
              <w:rPr>
                <w:sz w:val="18"/>
                <w:szCs w:val="18"/>
              </w:rPr>
              <w:t>Esta disposición reconoce el derecho soberano de los Estados Miembros a reglamentar dentro de sus jurisdicciones.</w:t>
            </w:r>
          </w:p>
        </w:tc>
        <w:tc>
          <w:tcPr>
            <w:tcW w:w="1825" w:type="dxa"/>
            <w:tcMar>
              <w:left w:w="85" w:type="dxa"/>
              <w:right w:w="85" w:type="dxa"/>
            </w:tcMar>
          </w:tcPr>
          <w:p w14:paraId="63365BD2" w14:textId="06335805" w:rsidR="00781B80" w:rsidRPr="001C4C08" w:rsidRDefault="00A438A4" w:rsidP="00110ECD">
            <w:pPr>
              <w:spacing w:after="60"/>
              <w:rPr>
                <w:sz w:val="18"/>
                <w:szCs w:val="18"/>
              </w:rPr>
            </w:pPr>
            <w:r w:rsidRPr="001C4C08">
              <w:rPr>
                <w:sz w:val="18"/>
                <w:szCs w:val="18"/>
              </w:rPr>
              <w:t>Esta disposición reconoce el derecho soberano de los Estados Miembros a autorizar a cualquier entidad dentro de su jurisdicción a prestar servicios de telecomunicaciones internacionales mediante un régimen de licencia o de exención de licencia. Por consiguiente, también servirá para las nuevas tendencias.</w:t>
            </w:r>
          </w:p>
        </w:tc>
        <w:tc>
          <w:tcPr>
            <w:tcW w:w="1308" w:type="dxa"/>
            <w:tcMar>
              <w:left w:w="85" w:type="dxa"/>
              <w:right w:w="85" w:type="dxa"/>
            </w:tcMar>
          </w:tcPr>
          <w:p w14:paraId="7EC30C26" w14:textId="7C011511" w:rsidR="00781B80" w:rsidRPr="001C4C08" w:rsidRDefault="00CE0D79" w:rsidP="00110ECD">
            <w:pPr>
              <w:spacing w:after="60"/>
              <w:rPr>
                <w:b/>
                <w:sz w:val="18"/>
                <w:szCs w:val="18"/>
              </w:rPr>
            </w:pPr>
            <w:r w:rsidRPr="001C4C08">
              <w:rPr>
                <w:b/>
                <w:sz w:val="18"/>
                <w:szCs w:val="18"/>
              </w:rPr>
              <w:t>No se requiere cambio.</w:t>
            </w:r>
          </w:p>
        </w:tc>
      </w:tr>
      <w:tr w:rsidR="00E617CB" w:rsidRPr="001C4C08" w14:paraId="35E8DC42" w14:textId="77777777" w:rsidTr="001C4C08">
        <w:trPr>
          <w:jc w:val="center"/>
        </w:trPr>
        <w:tc>
          <w:tcPr>
            <w:tcW w:w="1075" w:type="dxa"/>
            <w:shd w:val="clear" w:color="auto" w:fill="auto"/>
            <w:tcMar>
              <w:left w:w="85" w:type="dxa"/>
              <w:right w:w="85" w:type="dxa"/>
            </w:tcMar>
          </w:tcPr>
          <w:p w14:paraId="326D5153" w14:textId="721D5869" w:rsidR="00E617CB" w:rsidRPr="001C4C08" w:rsidRDefault="00026705" w:rsidP="00E617CB">
            <w:pPr>
              <w:spacing w:after="60"/>
              <w:rPr>
                <w:rFonts w:cs="Calibri"/>
                <w:b/>
                <w:bCs/>
                <w:sz w:val="18"/>
                <w:szCs w:val="18"/>
              </w:rPr>
            </w:pPr>
            <w:bookmarkStart w:id="44" w:name="lt_pId133"/>
            <w:r w:rsidRPr="001C4C08">
              <w:rPr>
                <w:rFonts w:cs="Calibri"/>
                <w:b/>
                <w:bCs/>
                <w:sz w:val="18"/>
                <w:szCs w:val="18"/>
              </w:rPr>
              <w:t>Artículo</w:t>
            </w:r>
            <w:r w:rsidR="00E617CB" w:rsidRPr="001C4C08">
              <w:rPr>
                <w:rFonts w:cs="Calibri"/>
                <w:b/>
                <w:bCs/>
                <w:sz w:val="18"/>
                <w:szCs w:val="18"/>
              </w:rPr>
              <w:t xml:space="preserve"> 1</w:t>
            </w:r>
            <w:bookmarkEnd w:id="44"/>
          </w:p>
        </w:tc>
        <w:tc>
          <w:tcPr>
            <w:tcW w:w="2140" w:type="dxa"/>
            <w:shd w:val="clear" w:color="auto" w:fill="auto"/>
            <w:tcMar>
              <w:left w:w="85" w:type="dxa"/>
              <w:right w:w="85" w:type="dxa"/>
            </w:tcMar>
          </w:tcPr>
          <w:p w14:paraId="6CC66361" w14:textId="7D57AB50" w:rsidR="00E617CB" w:rsidRPr="001C4C08" w:rsidRDefault="00E617CB" w:rsidP="00E617CB">
            <w:pPr>
              <w:spacing w:after="60"/>
              <w:rPr>
                <w:rFonts w:cs="Calibri"/>
                <w:bCs/>
                <w:sz w:val="18"/>
                <w:szCs w:val="18"/>
              </w:rPr>
            </w:pPr>
            <w:r w:rsidRPr="001C4C08">
              <w:rPr>
                <w:rFonts w:cs="Calibri"/>
                <w:bCs/>
                <w:sz w:val="18"/>
                <w:szCs w:val="18"/>
              </w:rPr>
              <w:t>1.7 b)</w:t>
            </w:r>
            <w:r w:rsidRPr="001C4C08">
              <w:rPr>
                <w:rFonts w:cs="Calibri"/>
                <w:bCs/>
                <w:sz w:val="18"/>
                <w:szCs w:val="18"/>
              </w:rPr>
              <w:tab/>
              <w:t>El Estado Miembro interesado promoverá, en su caso, la aplicación de las Recomendaciones UIT-T pertinentes por tales proveedores de servicios.</w:t>
            </w:r>
          </w:p>
        </w:tc>
        <w:tc>
          <w:tcPr>
            <w:tcW w:w="2142" w:type="dxa"/>
            <w:shd w:val="clear" w:color="auto" w:fill="auto"/>
            <w:tcMar>
              <w:left w:w="85" w:type="dxa"/>
              <w:right w:w="85" w:type="dxa"/>
            </w:tcMar>
          </w:tcPr>
          <w:p w14:paraId="42FC6714" w14:textId="609F3084" w:rsidR="00E617CB" w:rsidRPr="001C4C08" w:rsidRDefault="00E617CB" w:rsidP="00E617CB">
            <w:pPr>
              <w:spacing w:after="60"/>
              <w:rPr>
                <w:rFonts w:cs="Calibri"/>
                <w:bCs/>
                <w:sz w:val="18"/>
                <w:szCs w:val="18"/>
              </w:rPr>
            </w:pPr>
            <w:r w:rsidRPr="001C4C08">
              <w:rPr>
                <w:rFonts w:cs="Calibri"/>
                <w:bCs/>
                <w:sz w:val="18"/>
                <w:szCs w:val="18"/>
              </w:rPr>
              <w:t>1.7 b)</w:t>
            </w:r>
            <w:r w:rsidRPr="001C4C08">
              <w:rPr>
                <w:rFonts w:cs="Calibri"/>
                <w:bCs/>
                <w:sz w:val="18"/>
                <w:szCs w:val="18"/>
              </w:rPr>
              <w:tab/>
              <w:t>El Miembro interesado promoverá, según proceda, la aplicación de las Recomendaciones pertinentes del CCITT por tales proveedores de servicios.</w:t>
            </w:r>
          </w:p>
        </w:tc>
        <w:tc>
          <w:tcPr>
            <w:tcW w:w="2029" w:type="dxa"/>
            <w:shd w:val="clear" w:color="auto" w:fill="auto"/>
            <w:tcMar>
              <w:left w:w="85" w:type="dxa"/>
              <w:right w:w="85" w:type="dxa"/>
            </w:tcMar>
          </w:tcPr>
          <w:p w14:paraId="130FB3AF" w14:textId="1AF81DF1" w:rsidR="00E617CB" w:rsidRPr="001C4C08" w:rsidRDefault="00A438A4" w:rsidP="00E617CB">
            <w:pPr>
              <w:spacing w:after="60"/>
              <w:rPr>
                <w:sz w:val="18"/>
                <w:szCs w:val="18"/>
              </w:rPr>
            </w:pPr>
            <w:bookmarkStart w:id="45" w:name="lt_pId136"/>
            <w:r w:rsidRPr="001C4C08">
              <w:rPr>
                <w:sz w:val="18"/>
                <w:szCs w:val="18"/>
              </w:rPr>
              <w:t>Esta disposición apoya el desarrollo de redes y servicios</w:t>
            </w:r>
            <w:r w:rsidR="00E617CB" w:rsidRPr="001C4C08">
              <w:rPr>
                <w:sz w:val="18"/>
                <w:szCs w:val="18"/>
              </w:rPr>
              <w:t>.</w:t>
            </w:r>
            <w:bookmarkEnd w:id="45"/>
          </w:p>
        </w:tc>
        <w:tc>
          <w:tcPr>
            <w:tcW w:w="1825" w:type="dxa"/>
            <w:shd w:val="clear" w:color="auto" w:fill="auto"/>
            <w:tcMar>
              <w:left w:w="85" w:type="dxa"/>
              <w:right w:w="85" w:type="dxa"/>
            </w:tcMar>
          </w:tcPr>
          <w:p w14:paraId="59CA54AE" w14:textId="28DF8292" w:rsidR="00E617CB" w:rsidRPr="001C4C08" w:rsidRDefault="00A438A4" w:rsidP="00E617CB">
            <w:pPr>
              <w:spacing w:after="60"/>
              <w:rPr>
                <w:sz w:val="18"/>
                <w:szCs w:val="18"/>
              </w:rPr>
            </w:pPr>
            <w:r w:rsidRPr="001C4C08">
              <w:rPr>
                <w:sz w:val="18"/>
                <w:szCs w:val="18"/>
              </w:rPr>
              <w:t xml:space="preserve">Véanse también los comentarios al artículo 1.6 supra sobre las Recomendaciones del UIT-T. También permite la flexibilidad necesaria a los Estados Miembros para decidir sobre las Recomendaciones del UIT-T si fuera necesario, o dejarlo a </w:t>
            </w:r>
            <w:r w:rsidRPr="001C4C08">
              <w:rPr>
                <w:sz w:val="18"/>
                <w:szCs w:val="18"/>
              </w:rPr>
              <w:lastRenderedPageBreak/>
              <w:t xml:space="preserve">la discreción de los </w:t>
            </w:r>
            <w:r w:rsidR="00AE7C68" w:rsidRPr="001C4C08">
              <w:rPr>
                <w:sz w:val="18"/>
                <w:szCs w:val="18"/>
              </w:rPr>
              <w:t>titulares de licencias</w:t>
            </w:r>
            <w:r w:rsidRPr="001C4C08">
              <w:rPr>
                <w:sz w:val="18"/>
                <w:szCs w:val="18"/>
              </w:rPr>
              <w:t xml:space="preserve"> </w:t>
            </w:r>
            <w:r w:rsidR="00AE7C68" w:rsidRPr="001C4C08">
              <w:rPr>
                <w:sz w:val="18"/>
                <w:szCs w:val="18"/>
              </w:rPr>
              <w:t>implicados</w:t>
            </w:r>
            <w:r w:rsidRPr="001C4C08">
              <w:rPr>
                <w:sz w:val="18"/>
                <w:szCs w:val="18"/>
              </w:rPr>
              <w:t xml:space="preserve"> en los servicios de telecomunicaciones internacionales.</w:t>
            </w:r>
          </w:p>
        </w:tc>
        <w:tc>
          <w:tcPr>
            <w:tcW w:w="1308" w:type="dxa"/>
            <w:shd w:val="clear" w:color="auto" w:fill="auto"/>
            <w:tcMar>
              <w:left w:w="85" w:type="dxa"/>
              <w:right w:w="85" w:type="dxa"/>
            </w:tcMar>
          </w:tcPr>
          <w:p w14:paraId="4C5D6497" w14:textId="7D23620D" w:rsidR="00E617CB" w:rsidRPr="001C4C08" w:rsidRDefault="00AE7C68" w:rsidP="00E617CB">
            <w:pPr>
              <w:spacing w:after="60"/>
              <w:rPr>
                <w:b/>
                <w:sz w:val="18"/>
                <w:szCs w:val="18"/>
              </w:rPr>
            </w:pPr>
            <w:bookmarkStart w:id="46" w:name="lt_pId139"/>
            <w:r w:rsidRPr="001C4C08">
              <w:rPr>
                <w:b/>
                <w:sz w:val="18"/>
                <w:szCs w:val="18"/>
              </w:rPr>
              <w:lastRenderedPageBreak/>
              <w:t>Es posible que se requiera un cambio</w:t>
            </w:r>
            <w:r w:rsidR="00E617CB" w:rsidRPr="001C4C08">
              <w:rPr>
                <w:b/>
                <w:sz w:val="18"/>
                <w:szCs w:val="18"/>
              </w:rPr>
              <w:t xml:space="preserve">: </w:t>
            </w:r>
            <w:r w:rsidRPr="001C4C08">
              <w:rPr>
                <w:sz w:val="18"/>
                <w:szCs w:val="18"/>
              </w:rPr>
              <w:t xml:space="preserve">Esta disposición es similar a la contenida en el artículo 1.6, podría considerarse una posible fusión de </w:t>
            </w:r>
            <w:r w:rsidRPr="001C4C08">
              <w:rPr>
                <w:sz w:val="18"/>
                <w:szCs w:val="18"/>
              </w:rPr>
              <w:lastRenderedPageBreak/>
              <w:t>ambos artículos.</w:t>
            </w:r>
            <w:bookmarkEnd w:id="46"/>
          </w:p>
        </w:tc>
      </w:tr>
      <w:tr w:rsidR="00E617CB" w:rsidRPr="001C4C08" w14:paraId="02DE728F" w14:textId="77777777" w:rsidTr="001C4C08">
        <w:trPr>
          <w:jc w:val="center"/>
        </w:trPr>
        <w:tc>
          <w:tcPr>
            <w:tcW w:w="1075" w:type="dxa"/>
            <w:tcMar>
              <w:left w:w="85" w:type="dxa"/>
              <w:right w:w="85" w:type="dxa"/>
            </w:tcMar>
          </w:tcPr>
          <w:p w14:paraId="32CF1ED8" w14:textId="2C9211E1" w:rsidR="00E617CB" w:rsidRPr="001C4C08" w:rsidRDefault="00026705" w:rsidP="00E617CB">
            <w:pPr>
              <w:spacing w:after="60"/>
              <w:rPr>
                <w:rFonts w:cs="Calibri"/>
                <w:b/>
                <w:bCs/>
                <w:sz w:val="18"/>
                <w:szCs w:val="18"/>
              </w:rPr>
            </w:pPr>
            <w:bookmarkStart w:id="47" w:name="lt_pId140"/>
            <w:r w:rsidRPr="001C4C08">
              <w:rPr>
                <w:rFonts w:cs="Calibri"/>
                <w:b/>
                <w:bCs/>
                <w:sz w:val="18"/>
                <w:szCs w:val="18"/>
              </w:rPr>
              <w:lastRenderedPageBreak/>
              <w:t>Artículo</w:t>
            </w:r>
            <w:r w:rsidR="00E617CB" w:rsidRPr="001C4C08">
              <w:rPr>
                <w:rFonts w:cs="Calibri"/>
                <w:b/>
                <w:bCs/>
                <w:sz w:val="18"/>
                <w:szCs w:val="18"/>
              </w:rPr>
              <w:t xml:space="preserve"> 1</w:t>
            </w:r>
            <w:bookmarkEnd w:id="47"/>
          </w:p>
        </w:tc>
        <w:tc>
          <w:tcPr>
            <w:tcW w:w="2140" w:type="dxa"/>
            <w:tcMar>
              <w:left w:w="85" w:type="dxa"/>
              <w:right w:w="85" w:type="dxa"/>
            </w:tcMar>
          </w:tcPr>
          <w:p w14:paraId="5D86F1CE" w14:textId="01FB5E41" w:rsidR="00E617CB" w:rsidRPr="001C4C08" w:rsidRDefault="00E617CB" w:rsidP="00E617CB">
            <w:pPr>
              <w:spacing w:after="60"/>
              <w:rPr>
                <w:rFonts w:cs="Calibri"/>
                <w:bCs/>
                <w:sz w:val="18"/>
                <w:szCs w:val="18"/>
              </w:rPr>
            </w:pPr>
            <w:r w:rsidRPr="001C4C08">
              <w:rPr>
                <w:rFonts w:cs="Calibri"/>
                <w:bCs/>
                <w:sz w:val="18"/>
                <w:szCs w:val="18"/>
              </w:rPr>
              <w:t>1.7 c)</w:t>
            </w:r>
            <w:r w:rsidRPr="001C4C08">
              <w:rPr>
                <w:rFonts w:cs="Calibri"/>
                <w:bCs/>
                <w:sz w:val="18"/>
                <w:szCs w:val="18"/>
              </w:rPr>
              <w:tab/>
              <w:t>Los Estados Miembros cooperarán, en su caso, en la aplicación del presente Reglamento.</w:t>
            </w:r>
          </w:p>
        </w:tc>
        <w:tc>
          <w:tcPr>
            <w:tcW w:w="2142" w:type="dxa"/>
            <w:tcMar>
              <w:left w:w="85" w:type="dxa"/>
              <w:right w:w="85" w:type="dxa"/>
            </w:tcMar>
          </w:tcPr>
          <w:p w14:paraId="57A5B396" w14:textId="75D96D3E" w:rsidR="00E617CB" w:rsidRPr="001C4C08" w:rsidRDefault="00E617CB" w:rsidP="00E617CB">
            <w:pPr>
              <w:spacing w:after="60"/>
              <w:rPr>
                <w:rFonts w:cs="Calibri"/>
                <w:bCs/>
                <w:sz w:val="18"/>
                <w:szCs w:val="18"/>
              </w:rPr>
            </w:pPr>
            <w:bookmarkStart w:id="48" w:name="lt_pId142"/>
            <w:r w:rsidRPr="001C4C08">
              <w:rPr>
                <w:rFonts w:cs="Calibri"/>
                <w:bCs/>
                <w:sz w:val="18"/>
                <w:szCs w:val="18"/>
              </w:rPr>
              <w:t>1.7 c)</w:t>
            </w:r>
            <w:r w:rsidR="001C4C08">
              <w:rPr>
                <w:rFonts w:cs="Calibri"/>
                <w:bCs/>
                <w:sz w:val="18"/>
                <w:szCs w:val="18"/>
              </w:rPr>
              <w:tab/>
            </w:r>
            <w:r w:rsidRPr="001C4C08">
              <w:rPr>
                <w:rFonts w:cs="Calibri"/>
                <w:bCs/>
                <w:sz w:val="18"/>
                <w:szCs w:val="18"/>
              </w:rPr>
              <w:t>Los Miembros cooperarán</w:t>
            </w:r>
            <w:bookmarkStart w:id="49" w:name="_Hlk32323500"/>
            <w:r w:rsidRPr="001C4C08">
              <w:rPr>
                <w:rFonts w:cs="Calibri"/>
                <w:bCs/>
                <w:sz w:val="18"/>
                <w:szCs w:val="18"/>
              </w:rPr>
              <w:t>, en su caso</w:t>
            </w:r>
            <w:bookmarkEnd w:id="49"/>
            <w:r w:rsidRPr="001C4C08">
              <w:rPr>
                <w:rFonts w:cs="Calibri"/>
                <w:bCs/>
                <w:sz w:val="18"/>
                <w:szCs w:val="18"/>
              </w:rPr>
              <w:t>, en la aplicación del Reglamento de las Telecomunicaciones Internacionales (véase también, a efectos de interpretación, la Resolución </w:t>
            </w:r>
            <w:proofErr w:type="spellStart"/>
            <w:r w:rsidRPr="001C4C08">
              <w:rPr>
                <w:rFonts w:cs="Calibri"/>
                <w:bCs/>
                <w:sz w:val="18"/>
                <w:szCs w:val="18"/>
              </w:rPr>
              <w:t>Nº</w:t>
            </w:r>
            <w:proofErr w:type="spellEnd"/>
            <w:r w:rsidRPr="001C4C08">
              <w:rPr>
                <w:rFonts w:cs="Calibri"/>
                <w:bCs/>
                <w:sz w:val="18"/>
                <w:szCs w:val="18"/>
              </w:rPr>
              <w:t xml:space="preserve"> 2).</w:t>
            </w:r>
            <w:bookmarkEnd w:id="48"/>
          </w:p>
        </w:tc>
        <w:tc>
          <w:tcPr>
            <w:tcW w:w="2029" w:type="dxa"/>
            <w:tcMar>
              <w:left w:w="85" w:type="dxa"/>
              <w:right w:w="85" w:type="dxa"/>
            </w:tcMar>
          </w:tcPr>
          <w:p w14:paraId="676B6BC6" w14:textId="221FDAB7" w:rsidR="00E617CB" w:rsidRPr="001C4C08" w:rsidRDefault="00AE7C68" w:rsidP="00E617CB">
            <w:pPr>
              <w:spacing w:after="60"/>
              <w:rPr>
                <w:sz w:val="18"/>
                <w:szCs w:val="18"/>
              </w:rPr>
            </w:pPr>
            <w:bookmarkStart w:id="50" w:name="lt_pId143"/>
            <w:r w:rsidRPr="001C4C08">
              <w:rPr>
                <w:sz w:val="18"/>
                <w:szCs w:val="18"/>
              </w:rPr>
              <w:t>Aplicable</w:t>
            </w:r>
            <w:r w:rsidR="00E617CB" w:rsidRPr="001C4C08">
              <w:rPr>
                <w:sz w:val="18"/>
                <w:szCs w:val="18"/>
              </w:rPr>
              <w:t>.</w:t>
            </w:r>
            <w:bookmarkEnd w:id="50"/>
          </w:p>
        </w:tc>
        <w:tc>
          <w:tcPr>
            <w:tcW w:w="1825" w:type="dxa"/>
            <w:tcMar>
              <w:left w:w="85" w:type="dxa"/>
              <w:right w:w="85" w:type="dxa"/>
            </w:tcMar>
          </w:tcPr>
          <w:p w14:paraId="2450F5F5" w14:textId="1DE3FAB1" w:rsidR="00E617CB" w:rsidRPr="001C4C08" w:rsidRDefault="00AE7C68" w:rsidP="00E617CB">
            <w:pPr>
              <w:spacing w:after="60"/>
              <w:rPr>
                <w:sz w:val="18"/>
                <w:szCs w:val="18"/>
              </w:rPr>
            </w:pPr>
            <w:bookmarkStart w:id="51" w:name="lt_pId144"/>
            <w:r w:rsidRPr="001C4C08">
              <w:rPr>
                <w:sz w:val="18"/>
                <w:szCs w:val="18"/>
              </w:rPr>
              <w:t>Permite flexibilidad para adaptarse a las nuevas tendencias y cuestiones emergentes</w:t>
            </w:r>
            <w:r w:rsidR="00E617CB" w:rsidRPr="001C4C08">
              <w:rPr>
                <w:sz w:val="18"/>
                <w:szCs w:val="18"/>
              </w:rPr>
              <w:t>.</w:t>
            </w:r>
            <w:bookmarkEnd w:id="51"/>
          </w:p>
        </w:tc>
        <w:tc>
          <w:tcPr>
            <w:tcW w:w="1308" w:type="dxa"/>
            <w:tcMar>
              <w:left w:w="85" w:type="dxa"/>
              <w:right w:w="85" w:type="dxa"/>
            </w:tcMar>
          </w:tcPr>
          <w:p w14:paraId="69732EFC" w14:textId="0BB53CBF" w:rsidR="00E617CB" w:rsidRPr="001C4C08" w:rsidRDefault="00026705" w:rsidP="00E617CB">
            <w:pPr>
              <w:spacing w:after="60"/>
              <w:rPr>
                <w:b/>
                <w:sz w:val="18"/>
                <w:szCs w:val="18"/>
              </w:rPr>
            </w:pPr>
            <w:r w:rsidRPr="001C4C08">
              <w:rPr>
                <w:b/>
                <w:sz w:val="18"/>
                <w:szCs w:val="18"/>
              </w:rPr>
              <w:t>No se requiere cambio.</w:t>
            </w:r>
          </w:p>
        </w:tc>
      </w:tr>
      <w:tr w:rsidR="00E617CB" w:rsidRPr="001C4C08" w14:paraId="5532DEA1" w14:textId="77777777" w:rsidTr="001C4C08">
        <w:trPr>
          <w:jc w:val="center"/>
        </w:trPr>
        <w:tc>
          <w:tcPr>
            <w:tcW w:w="1075" w:type="dxa"/>
            <w:tcMar>
              <w:left w:w="85" w:type="dxa"/>
              <w:right w:w="85" w:type="dxa"/>
            </w:tcMar>
          </w:tcPr>
          <w:p w14:paraId="123D2F20" w14:textId="06F406FC" w:rsidR="00E617CB" w:rsidRPr="001C4C08" w:rsidRDefault="00026705" w:rsidP="00E617CB">
            <w:pPr>
              <w:spacing w:after="60"/>
              <w:rPr>
                <w:rFonts w:cs="Calibri"/>
                <w:b/>
                <w:bCs/>
                <w:sz w:val="18"/>
                <w:szCs w:val="18"/>
              </w:rPr>
            </w:pPr>
            <w:bookmarkStart w:id="52" w:name="lt_pId146"/>
            <w:r w:rsidRPr="001C4C08">
              <w:rPr>
                <w:rFonts w:cs="Calibri"/>
                <w:b/>
                <w:bCs/>
                <w:sz w:val="18"/>
                <w:szCs w:val="18"/>
              </w:rPr>
              <w:t>Artículo</w:t>
            </w:r>
            <w:r w:rsidR="00E617CB" w:rsidRPr="001C4C08">
              <w:rPr>
                <w:rFonts w:cs="Calibri"/>
                <w:b/>
                <w:bCs/>
                <w:sz w:val="18"/>
                <w:szCs w:val="18"/>
              </w:rPr>
              <w:t xml:space="preserve"> 1</w:t>
            </w:r>
            <w:bookmarkEnd w:id="52"/>
          </w:p>
        </w:tc>
        <w:tc>
          <w:tcPr>
            <w:tcW w:w="2140" w:type="dxa"/>
            <w:tcMar>
              <w:left w:w="85" w:type="dxa"/>
              <w:right w:w="85" w:type="dxa"/>
            </w:tcMar>
          </w:tcPr>
          <w:p w14:paraId="1A13A953" w14:textId="484A3D41" w:rsidR="00E617CB" w:rsidRPr="001C4C08" w:rsidRDefault="00E617CB" w:rsidP="00E617CB">
            <w:pPr>
              <w:spacing w:after="60"/>
              <w:rPr>
                <w:rFonts w:cs="Calibri"/>
                <w:bCs/>
                <w:sz w:val="18"/>
                <w:szCs w:val="18"/>
              </w:rPr>
            </w:pPr>
            <w:r w:rsidRPr="001C4C08">
              <w:rPr>
                <w:rFonts w:cs="Calibri"/>
                <w:bCs/>
                <w:sz w:val="18"/>
                <w:szCs w:val="18"/>
              </w:rPr>
              <w:t>1.8</w:t>
            </w:r>
            <w:r w:rsidRPr="001C4C08">
              <w:rPr>
                <w:rFonts w:cs="Calibri"/>
                <w:bCs/>
                <w:sz w:val="18"/>
                <w:szCs w:val="18"/>
              </w:rPr>
              <w:tab/>
              <w:t>Las disposiciones del presente Reglamento serán aplicables, independientemente del medio de transmisión utilizado, siempre que en el Reglamento de Radiocomunicaciones no se disponga lo contrario.</w:t>
            </w:r>
          </w:p>
        </w:tc>
        <w:tc>
          <w:tcPr>
            <w:tcW w:w="2142" w:type="dxa"/>
            <w:tcMar>
              <w:left w:w="85" w:type="dxa"/>
              <w:right w:w="85" w:type="dxa"/>
            </w:tcMar>
          </w:tcPr>
          <w:p w14:paraId="43F50B6B" w14:textId="63C4B4A5" w:rsidR="00E617CB" w:rsidRPr="001C4C08" w:rsidRDefault="00E617CB" w:rsidP="00E617CB">
            <w:pPr>
              <w:spacing w:after="60"/>
              <w:rPr>
                <w:rFonts w:cs="Calibri"/>
                <w:bCs/>
                <w:sz w:val="18"/>
                <w:szCs w:val="18"/>
              </w:rPr>
            </w:pPr>
            <w:r w:rsidRPr="001C4C08">
              <w:rPr>
                <w:rFonts w:cs="Calibri"/>
                <w:bCs/>
                <w:sz w:val="18"/>
                <w:szCs w:val="18"/>
              </w:rPr>
              <w:t>1.8</w:t>
            </w:r>
            <w:r w:rsidRPr="001C4C08">
              <w:rPr>
                <w:rFonts w:cs="Calibri"/>
                <w:bCs/>
                <w:sz w:val="18"/>
                <w:szCs w:val="18"/>
              </w:rPr>
              <w:tab/>
              <w:t>Las disposiciones del presente Reglamento serán aplicables, independientemente del medio de transmisión utilizado, siempre que en el Reglamento de Radiocomunicaciones no se disponga lo contrario.</w:t>
            </w:r>
          </w:p>
        </w:tc>
        <w:tc>
          <w:tcPr>
            <w:tcW w:w="2029" w:type="dxa"/>
            <w:tcMar>
              <w:left w:w="85" w:type="dxa"/>
              <w:right w:w="85" w:type="dxa"/>
            </w:tcMar>
          </w:tcPr>
          <w:p w14:paraId="363B65DC" w14:textId="0BF1E228" w:rsidR="00E617CB" w:rsidRPr="001C4C08" w:rsidRDefault="00AE7C68" w:rsidP="00E617CB">
            <w:pPr>
              <w:spacing w:after="60"/>
              <w:rPr>
                <w:sz w:val="18"/>
                <w:szCs w:val="18"/>
              </w:rPr>
            </w:pPr>
            <w:r w:rsidRPr="001C4C08">
              <w:rPr>
                <w:sz w:val="18"/>
                <w:szCs w:val="18"/>
              </w:rPr>
              <w:t>La gestión de las órbitas de los satélites y la utilización del espectro de radiofrecuencias se inscribe en el ámbito del Reglamento de Radiocomunicaciones. El RTI no debe abordar ningún asunto que esté (o deba estar) contemplado en el Reglamento de Radiocomunicaciones.</w:t>
            </w:r>
          </w:p>
        </w:tc>
        <w:tc>
          <w:tcPr>
            <w:tcW w:w="1825" w:type="dxa"/>
            <w:tcMar>
              <w:left w:w="85" w:type="dxa"/>
              <w:right w:w="85" w:type="dxa"/>
            </w:tcMar>
          </w:tcPr>
          <w:p w14:paraId="11FF7965" w14:textId="77777777" w:rsidR="00E617CB" w:rsidRPr="001C4C08" w:rsidRDefault="00E617CB" w:rsidP="00E617CB">
            <w:pPr>
              <w:spacing w:after="60"/>
              <w:rPr>
                <w:sz w:val="18"/>
                <w:szCs w:val="18"/>
              </w:rPr>
            </w:pPr>
            <w:bookmarkStart w:id="53" w:name="lt_pId153"/>
            <w:r w:rsidRPr="001C4C08">
              <w:rPr>
                <w:sz w:val="18"/>
                <w:szCs w:val="18"/>
              </w:rPr>
              <w:t>Flexible.</w:t>
            </w:r>
            <w:bookmarkEnd w:id="53"/>
          </w:p>
        </w:tc>
        <w:tc>
          <w:tcPr>
            <w:tcW w:w="1308" w:type="dxa"/>
            <w:tcMar>
              <w:left w:w="85" w:type="dxa"/>
              <w:right w:w="85" w:type="dxa"/>
            </w:tcMar>
          </w:tcPr>
          <w:p w14:paraId="196F12D9" w14:textId="5A119633" w:rsidR="00E617CB" w:rsidRPr="001C4C08" w:rsidRDefault="00026705" w:rsidP="00E617CB">
            <w:pPr>
              <w:spacing w:after="60"/>
              <w:rPr>
                <w:b/>
                <w:sz w:val="18"/>
                <w:szCs w:val="18"/>
              </w:rPr>
            </w:pPr>
            <w:r w:rsidRPr="001C4C08">
              <w:rPr>
                <w:b/>
                <w:sz w:val="18"/>
                <w:szCs w:val="18"/>
              </w:rPr>
              <w:t>No se requiere cambio.</w:t>
            </w:r>
          </w:p>
        </w:tc>
      </w:tr>
      <w:tr w:rsidR="00781B80" w:rsidRPr="001C4C08" w14:paraId="12FEE659" w14:textId="77777777" w:rsidTr="001C4C08">
        <w:trPr>
          <w:jc w:val="center"/>
        </w:trPr>
        <w:tc>
          <w:tcPr>
            <w:tcW w:w="1075" w:type="dxa"/>
            <w:tcMar>
              <w:left w:w="85" w:type="dxa"/>
              <w:right w:w="85" w:type="dxa"/>
            </w:tcMar>
          </w:tcPr>
          <w:p w14:paraId="0C0CCA93" w14:textId="279DC3D1" w:rsidR="00781B80" w:rsidRPr="001C4C08" w:rsidRDefault="00026705" w:rsidP="00110ECD">
            <w:pPr>
              <w:spacing w:after="60"/>
              <w:rPr>
                <w:rFonts w:cs="Calibri"/>
                <w:b/>
                <w:bCs/>
                <w:sz w:val="18"/>
                <w:szCs w:val="18"/>
              </w:rPr>
            </w:pPr>
            <w:bookmarkStart w:id="54" w:name="lt_pId155"/>
            <w:r w:rsidRPr="001C4C08">
              <w:rPr>
                <w:rFonts w:cs="Calibri"/>
                <w:b/>
                <w:bCs/>
                <w:sz w:val="18"/>
                <w:szCs w:val="18"/>
              </w:rPr>
              <w:t>Artículo</w:t>
            </w:r>
            <w:r w:rsidR="00781B80" w:rsidRPr="001C4C08">
              <w:rPr>
                <w:rFonts w:cs="Calibri"/>
                <w:b/>
                <w:bCs/>
                <w:sz w:val="18"/>
                <w:szCs w:val="18"/>
              </w:rPr>
              <w:t xml:space="preserve"> 2</w:t>
            </w:r>
            <w:bookmarkEnd w:id="54"/>
          </w:p>
        </w:tc>
        <w:tc>
          <w:tcPr>
            <w:tcW w:w="2140" w:type="dxa"/>
            <w:tcMar>
              <w:left w:w="85" w:type="dxa"/>
              <w:right w:w="85" w:type="dxa"/>
            </w:tcMar>
          </w:tcPr>
          <w:p w14:paraId="3DD0BBAD" w14:textId="32FB2CB4" w:rsidR="00781B80" w:rsidRPr="001C4C08" w:rsidRDefault="00E617CB" w:rsidP="00110ECD">
            <w:pPr>
              <w:spacing w:after="60"/>
              <w:rPr>
                <w:rFonts w:cs="Calibri"/>
                <w:bCs/>
                <w:sz w:val="18"/>
                <w:szCs w:val="18"/>
              </w:rPr>
            </w:pPr>
            <w:r w:rsidRPr="001C4C08">
              <w:rPr>
                <w:rFonts w:cs="Calibri"/>
                <w:b/>
                <w:bCs/>
                <w:sz w:val="18"/>
                <w:szCs w:val="18"/>
              </w:rPr>
              <w:t>2.1</w:t>
            </w:r>
            <w:r w:rsidRPr="001C4C08">
              <w:rPr>
                <w:rFonts w:cs="Calibri"/>
                <w:bCs/>
                <w:sz w:val="18"/>
                <w:szCs w:val="18"/>
              </w:rPr>
              <w:tab/>
              <w:t>A los efectos del presente Reglamento serán aplicables las definiciones siguientes. Estos términos y definiciones, sin embargo, no tienen que ser necesariamente aplicables a otros fines.</w:t>
            </w:r>
          </w:p>
        </w:tc>
        <w:tc>
          <w:tcPr>
            <w:tcW w:w="2142" w:type="dxa"/>
            <w:tcMar>
              <w:left w:w="85" w:type="dxa"/>
              <w:right w:w="85" w:type="dxa"/>
            </w:tcMar>
          </w:tcPr>
          <w:p w14:paraId="5F56EC58" w14:textId="45C521EF" w:rsidR="00781B80" w:rsidRPr="001C4C08" w:rsidRDefault="00E617CB" w:rsidP="00110ECD">
            <w:pPr>
              <w:spacing w:after="60"/>
              <w:rPr>
                <w:rFonts w:cs="Calibri"/>
                <w:bCs/>
                <w:sz w:val="18"/>
                <w:szCs w:val="18"/>
              </w:rPr>
            </w:pPr>
            <w:r w:rsidRPr="001C4C08">
              <w:rPr>
                <w:rFonts w:cs="Calibri"/>
                <w:bCs/>
                <w:sz w:val="18"/>
                <w:szCs w:val="18"/>
              </w:rPr>
              <w:t>A los efectos del presente Reglamento serán aplicables las definiciones siguientes. Estos términos y definiciones, sin embargo, no tienen que ser necesariamente aplicables a otros fines.</w:t>
            </w:r>
          </w:p>
        </w:tc>
        <w:tc>
          <w:tcPr>
            <w:tcW w:w="2029" w:type="dxa"/>
            <w:tcMar>
              <w:left w:w="85" w:type="dxa"/>
              <w:right w:w="85" w:type="dxa"/>
            </w:tcMar>
          </w:tcPr>
          <w:p w14:paraId="6E8BEFAF" w14:textId="7296D6D6" w:rsidR="00781B80" w:rsidRPr="001C4C08" w:rsidRDefault="00CE0D79" w:rsidP="00110ECD">
            <w:pPr>
              <w:spacing w:after="60"/>
              <w:jc w:val="center"/>
              <w:rPr>
                <w:bCs/>
                <w:sz w:val="18"/>
                <w:szCs w:val="18"/>
              </w:rPr>
            </w:pPr>
            <w:r w:rsidRPr="001C4C08">
              <w:rPr>
                <w:bCs/>
                <w:sz w:val="18"/>
                <w:szCs w:val="18"/>
              </w:rPr>
              <w:t>–</w:t>
            </w:r>
          </w:p>
        </w:tc>
        <w:tc>
          <w:tcPr>
            <w:tcW w:w="1825" w:type="dxa"/>
            <w:tcMar>
              <w:left w:w="85" w:type="dxa"/>
              <w:right w:w="85" w:type="dxa"/>
            </w:tcMar>
          </w:tcPr>
          <w:p w14:paraId="369F6690" w14:textId="25DC12C5" w:rsidR="00781B80" w:rsidRPr="001C4C08" w:rsidRDefault="00CE0D79" w:rsidP="00110ECD">
            <w:pPr>
              <w:spacing w:after="60"/>
              <w:jc w:val="center"/>
              <w:rPr>
                <w:bCs/>
                <w:sz w:val="18"/>
                <w:szCs w:val="18"/>
              </w:rPr>
            </w:pPr>
            <w:r w:rsidRPr="001C4C08">
              <w:rPr>
                <w:bCs/>
                <w:sz w:val="18"/>
                <w:szCs w:val="18"/>
              </w:rPr>
              <w:t>–</w:t>
            </w:r>
          </w:p>
        </w:tc>
        <w:tc>
          <w:tcPr>
            <w:tcW w:w="1308" w:type="dxa"/>
            <w:tcMar>
              <w:left w:w="85" w:type="dxa"/>
              <w:right w:w="85" w:type="dxa"/>
            </w:tcMar>
          </w:tcPr>
          <w:p w14:paraId="3B4CF925" w14:textId="21648AAF" w:rsidR="00781B80" w:rsidRPr="001C4C08" w:rsidRDefault="00026705" w:rsidP="00110ECD">
            <w:pPr>
              <w:spacing w:after="60"/>
              <w:rPr>
                <w:b/>
                <w:sz w:val="18"/>
                <w:szCs w:val="18"/>
              </w:rPr>
            </w:pPr>
            <w:bookmarkStart w:id="55" w:name="lt_pId163"/>
            <w:r w:rsidRPr="001C4C08">
              <w:rPr>
                <w:b/>
                <w:sz w:val="18"/>
                <w:szCs w:val="18"/>
              </w:rPr>
              <w:t>No se requiere cambio</w:t>
            </w:r>
            <w:r w:rsidR="00781B80" w:rsidRPr="001C4C08">
              <w:rPr>
                <w:b/>
                <w:sz w:val="18"/>
                <w:szCs w:val="18"/>
              </w:rPr>
              <w:t>: (</w:t>
            </w:r>
            <w:r w:rsidR="00AE7C68" w:rsidRPr="001C4C08">
              <w:rPr>
                <w:sz w:val="18"/>
                <w:szCs w:val="18"/>
              </w:rPr>
              <w:t>Nota: Varias de estas definiciones son las mismas que las que figuran en la Constitución y en el Convenio, que se apoyan</w:t>
            </w:r>
            <w:r w:rsidR="00781B80" w:rsidRPr="001C4C08">
              <w:rPr>
                <w:sz w:val="18"/>
                <w:szCs w:val="18"/>
              </w:rPr>
              <w:t>.)</w:t>
            </w:r>
            <w:bookmarkEnd w:id="55"/>
          </w:p>
        </w:tc>
      </w:tr>
      <w:tr w:rsidR="00E617CB" w:rsidRPr="001C4C08" w14:paraId="164E5748" w14:textId="77777777" w:rsidTr="001C4C08">
        <w:trPr>
          <w:jc w:val="center"/>
        </w:trPr>
        <w:tc>
          <w:tcPr>
            <w:tcW w:w="1075" w:type="dxa"/>
            <w:shd w:val="clear" w:color="auto" w:fill="FFFFFF"/>
            <w:tcMar>
              <w:left w:w="85" w:type="dxa"/>
              <w:right w:w="85" w:type="dxa"/>
            </w:tcMar>
          </w:tcPr>
          <w:p w14:paraId="0515AFCE" w14:textId="7032813D" w:rsidR="00E617CB" w:rsidRPr="001C4C08" w:rsidRDefault="00026705" w:rsidP="00E617CB">
            <w:pPr>
              <w:spacing w:after="60"/>
              <w:rPr>
                <w:rFonts w:cs="Calibri"/>
                <w:b/>
                <w:bCs/>
                <w:sz w:val="18"/>
                <w:szCs w:val="18"/>
              </w:rPr>
            </w:pPr>
            <w:bookmarkStart w:id="56" w:name="lt_pId164"/>
            <w:r w:rsidRPr="001C4C08">
              <w:rPr>
                <w:rFonts w:cs="Calibri"/>
                <w:b/>
                <w:bCs/>
                <w:sz w:val="18"/>
                <w:szCs w:val="18"/>
              </w:rPr>
              <w:t>Artículo</w:t>
            </w:r>
            <w:r w:rsidR="00E617CB" w:rsidRPr="001C4C08">
              <w:rPr>
                <w:rFonts w:cs="Calibri"/>
                <w:b/>
                <w:bCs/>
                <w:sz w:val="18"/>
                <w:szCs w:val="18"/>
              </w:rPr>
              <w:t xml:space="preserve"> 2</w:t>
            </w:r>
            <w:bookmarkEnd w:id="56"/>
          </w:p>
        </w:tc>
        <w:tc>
          <w:tcPr>
            <w:tcW w:w="2140" w:type="dxa"/>
            <w:shd w:val="clear" w:color="auto" w:fill="FFFFFF"/>
            <w:tcMar>
              <w:left w:w="85" w:type="dxa"/>
              <w:right w:w="85" w:type="dxa"/>
            </w:tcMar>
          </w:tcPr>
          <w:p w14:paraId="045EEDE4" w14:textId="27078797" w:rsidR="00E617CB" w:rsidRPr="001C4C08" w:rsidRDefault="00E617CB" w:rsidP="00E617CB">
            <w:pPr>
              <w:spacing w:after="60"/>
              <w:rPr>
                <w:rFonts w:cs="Calibri"/>
                <w:bCs/>
                <w:sz w:val="18"/>
                <w:szCs w:val="18"/>
              </w:rPr>
            </w:pPr>
            <w:r w:rsidRPr="001C4C08">
              <w:rPr>
                <w:rFonts w:cs="Calibri"/>
                <w:bCs/>
                <w:sz w:val="18"/>
                <w:szCs w:val="18"/>
              </w:rPr>
              <w:t>2.2</w:t>
            </w:r>
            <w:r w:rsidRPr="001C4C08">
              <w:rPr>
                <w:rFonts w:cs="Calibri"/>
                <w:bCs/>
                <w:sz w:val="18"/>
                <w:szCs w:val="18"/>
              </w:rPr>
              <w:tab/>
              <w:t>Telecomunicación: Toda transmisión, emisión o recepción de signos, señales, escritos, imágenes, sonidos o informaciones de cualquier naturaleza por hilo, radioelectricidad, medio ópticos u otros sistemas electromagnéticos.</w:t>
            </w:r>
          </w:p>
        </w:tc>
        <w:tc>
          <w:tcPr>
            <w:tcW w:w="2142" w:type="dxa"/>
            <w:shd w:val="clear" w:color="auto" w:fill="FFFFFF"/>
            <w:tcMar>
              <w:left w:w="85" w:type="dxa"/>
              <w:right w:w="85" w:type="dxa"/>
            </w:tcMar>
          </w:tcPr>
          <w:p w14:paraId="4785B225" w14:textId="275913BC" w:rsidR="00E617CB" w:rsidRPr="001C4C08" w:rsidRDefault="00E617CB" w:rsidP="00E617CB">
            <w:pPr>
              <w:spacing w:after="60"/>
              <w:rPr>
                <w:rFonts w:cs="Calibri"/>
                <w:bCs/>
                <w:sz w:val="18"/>
                <w:szCs w:val="18"/>
              </w:rPr>
            </w:pPr>
            <w:r w:rsidRPr="001C4C08">
              <w:rPr>
                <w:rFonts w:cs="Calibri"/>
                <w:bCs/>
                <w:sz w:val="18"/>
                <w:szCs w:val="18"/>
              </w:rPr>
              <w:t>2.1</w:t>
            </w:r>
            <w:r w:rsidRPr="001C4C08">
              <w:rPr>
                <w:rFonts w:cs="Calibri"/>
                <w:bCs/>
                <w:sz w:val="18"/>
                <w:szCs w:val="18"/>
              </w:rPr>
              <w:tab/>
              <w:t>Telecomunicación: Toda transmisión, emisión o recepción de signos, señales, escritos, imágenes, sonidos o informaciones de cualquier naturaleza por hilo, radioelectricidad, medio ópticos u otros sistemas electromagnéticos.</w:t>
            </w:r>
          </w:p>
        </w:tc>
        <w:tc>
          <w:tcPr>
            <w:tcW w:w="2029" w:type="dxa"/>
            <w:shd w:val="clear" w:color="auto" w:fill="FFFFFF"/>
            <w:tcMar>
              <w:left w:w="85" w:type="dxa"/>
              <w:right w:w="85" w:type="dxa"/>
            </w:tcMar>
          </w:tcPr>
          <w:p w14:paraId="55F35128" w14:textId="59CE258D" w:rsidR="00E617CB" w:rsidRPr="001C4C08" w:rsidRDefault="00AE7C68" w:rsidP="00E617CB">
            <w:pPr>
              <w:spacing w:after="60"/>
              <w:rPr>
                <w:sz w:val="18"/>
                <w:szCs w:val="18"/>
              </w:rPr>
            </w:pPr>
            <w:bookmarkStart w:id="57" w:name="lt_pId169"/>
            <w:r w:rsidRPr="001C4C08">
              <w:rPr>
                <w:sz w:val="18"/>
                <w:szCs w:val="18"/>
              </w:rPr>
              <w:t xml:space="preserve">Esta definición es la misma que la contenida en la Constitución </w:t>
            </w:r>
            <w:r w:rsidR="00E617CB" w:rsidRPr="001C4C08">
              <w:rPr>
                <w:sz w:val="18"/>
                <w:szCs w:val="18"/>
              </w:rPr>
              <w:t>(CS.1012)</w:t>
            </w:r>
            <w:bookmarkEnd w:id="57"/>
          </w:p>
        </w:tc>
        <w:tc>
          <w:tcPr>
            <w:tcW w:w="1825" w:type="dxa"/>
            <w:shd w:val="clear" w:color="auto" w:fill="FFFFFF"/>
            <w:tcMar>
              <w:left w:w="85" w:type="dxa"/>
              <w:right w:w="85" w:type="dxa"/>
            </w:tcMar>
          </w:tcPr>
          <w:p w14:paraId="4A68245B" w14:textId="77777777" w:rsidR="00E617CB" w:rsidRPr="001C4C08" w:rsidRDefault="00E617CB" w:rsidP="00E617CB">
            <w:pPr>
              <w:spacing w:after="60"/>
              <w:rPr>
                <w:sz w:val="18"/>
                <w:szCs w:val="18"/>
              </w:rPr>
            </w:pPr>
            <w:bookmarkStart w:id="58" w:name="lt_pId170"/>
            <w:r w:rsidRPr="001C4C08">
              <w:rPr>
                <w:sz w:val="18"/>
                <w:szCs w:val="18"/>
              </w:rPr>
              <w:t>Flexible.</w:t>
            </w:r>
            <w:bookmarkEnd w:id="58"/>
          </w:p>
        </w:tc>
        <w:tc>
          <w:tcPr>
            <w:tcW w:w="1308" w:type="dxa"/>
            <w:shd w:val="clear" w:color="auto" w:fill="FFFFFF"/>
            <w:tcMar>
              <w:left w:w="85" w:type="dxa"/>
              <w:right w:w="85" w:type="dxa"/>
            </w:tcMar>
          </w:tcPr>
          <w:p w14:paraId="0E380617" w14:textId="18B11E72" w:rsidR="00E617CB" w:rsidRPr="001C4C08" w:rsidRDefault="00026705" w:rsidP="00E617CB">
            <w:pPr>
              <w:spacing w:after="60"/>
              <w:rPr>
                <w:b/>
                <w:sz w:val="18"/>
                <w:szCs w:val="18"/>
              </w:rPr>
            </w:pPr>
            <w:r w:rsidRPr="001C4C08">
              <w:rPr>
                <w:b/>
                <w:sz w:val="18"/>
                <w:szCs w:val="18"/>
              </w:rPr>
              <w:t>No se requiere cambio.</w:t>
            </w:r>
          </w:p>
        </w:tc>
      </w:tr>
      <w:tr w:rsidR="00E617CB" w:rsidRPr="001C4C08" w14:paraId="5C857B5A" w14:textId="77777777" w:rsidTr="001C4C08">
        <w:trPr>
          <w:jc w:val="center"/>
        </w:trPr>
        <w:tc>
          <w:tcPr>
            <w:tcW w:w="1075" w:type="dxa"/>
            <w:tcMar>
              <w:left w:w="85" w:type="dxa"/>
              <w:right w:w="85" w:type="dxa"/>
            </w:tcMar>
          </w:tcPr>
          <w:p w14:paraId="32CAA715" w14:textId="385DB0C9" w:rsidR="00E617CB" w:rsidRPr="001C4C08" w:rsidRDefault="00026705" w:rsidP="00E617CB">
            <w:pPr>
              <w:spacing w:after="60"/>
              <w:rPr>
                <w:rFonts w:cs="Calibri"/>
                <w:b/>
                <w:bCs/>
                <w:sz w:val="18"/>
                <w:szCs w:val="18"/>
              </w:rPr>
            </w:pPr>
            <w:bookmarkStart w:id="59" w:name="lt_pId172"/>
            <w:r w:rsidRPr="001C4C08">
              <w:rPr>
                <w:rFonts w:cs="Calibri"/>
                <w:b/>
                <w:bCs/>
                <w:sz w:val="18"/>
                <w:szCs w:val="18"/>
              </w:rPr>
              <w:t>Artículo</w:t>
            </w:r>
            <w:r w:rsidR="00E617CB" w:rsidRPr="001C4C08">
              <w:rPr>
                <w:rFonts w:cs="Calibri"/>
                <w:b/>
                <w:bCs/>
                <w:sz w:val="18"/>
                <w:szCs w:val="18"/>
              </w:rPr>
              <w:t xml:space="preserve"> 2</w:t>
            </w:r>
            <w:bookmarkEnd w:id="59"/>
          </w:p>
        </w:tc>
        <w:tc>
          <w:tcPr>
            <w:tcW w:w="2140" w:type="dxa"/>
            <w:tcMar>
              <w:left w:w="85" w:type="dxa"/>
              <w:right w:w="85" w:type="dxa"/>
            </w:tcMar>
          </w:tcPr>
          <w:p w14:paraId="68082590" w14:textId="494FE390" w:rsidR="00E617CB" w:rsidRPr="001C4C08" w:rsidRDefault="00E617CB" w:rsidP="00E617CB">
            <w:pPr>
              <w:spacing w:after="60"/>
              <w:rPr>
                <w:rFonts w:cs="Calibri"/>
                <w:bCs/>
                <w:sz w:val="18"/>
                <w:szCs w:val="18"/>
              </w:rPr>
            </w:pPr>
            <w:r w:rsidRPr="001C4C08">
              <w:rPr>
                <w:rFonts w:cs="Calibri"/>
                <w:bCs/>
                <w:sz w:val="18"/>
                <w:szCs w:val="18"/>
              </w:rPr>
              <w:t>2.3</w:t>
            </w:r>
            <w:r w:rsidRPr="001C4C08">
              <w:rPr>
                <w:rFonts w:cs="Calibri"/>
                <w:bCs/>
                <w:sz w:val="18"/>
                <w:szCs w:val="18"/>
              </w:rPr>
              <w:tab/>
              <w:t xml:space="preserve">Servicio internacional de telecomunicación: Prestación de telecomunicación entre oficinas o estaciones de telecomunicación de cualquier naturaleza, situadas en países </w:t>
            </w:r>
            <w:r w:rsidRPr="001C4C08">
              <w:rPr>
                <w:rFonts w:cs="Calibri"/>
                <w:bCs/>
                <w:sz w:val="18"/>
                <w:szCs w:val="18"/>
              </w:rPr>
              <w:lastRenderedPageBreak/>
              <w:t>distintos o pertenecientes a países distintos.</w:t>
            </w:r>
          </w:p>
        </w:tc>
        <w:tc>
          <w:tcPr>
            <w:tcW w:w="2142" w:type="dxa"/>
            <w:tcMar>
              <w:left w:w="85" w:type="dxa"/>
              <w:right w:w="85" w:type="dxa"/>
            </w:tcMar>
          </w:tcPr>
          <w:p w14:paraId="64F9CF26" w14:textId="77BAB78C" w:rsidR="00E617CB" w:rsidRPr="001C4C08" w:rsidRDefault="00E617CB" w:rsidP="00E617CB">
            <w:pPr>
              <w:spacing w:after="60"/>
              <w:rPr>
                <w:rFonts w:cs="Calibri"/>
                <w:bCs/>
                <w:sz w:val="18"/>
                <w:szCs w:val="18"/>
              </w:rPr>
            </w:pPr>
            <w:r w:rsidRPr="001C4C08">
              <w:rPr>
                <w:rFonts w:cs="Calibri"/>
                <w:bCs/>
                <w:sz w:val="18"/>
                <w:szCs w:val="18"/>
              </w:rPr>
              <w:lastRenderedPageBreak/>
              <w:t>2.2</w:t>
            </w:r>
            <w:r w:rsidRPr="001C4C08">
              <w:rPr>
                <w:rFonts w:cs="Calibri"/>
                <w:bCs/>
                <w:sz w:val="18"/>
                <w:szCs w:val="18"/>
              </w:rPr>
              <w:tab/>
              <w:t xml:space="preserve">Servicio internacional de telecomunicación: Prestación de telecomunicación entre oficinas o estaciones de telecomunicación de cualquier naturaleza, situadas en países </w:t>
            </w:r>
            <w:r w:rsidRPr="001C4C08">
              <w:rPr>
                <w:rFonts w:cs="Calibri"/>
                <w:bCs/>
                <w:sz w:val="18"/>
                <w:szCs w:val="18"/>
              </w:rPr>
              <w:lastRenderedPageBreak/>
              <w:t>distintos o pertenecientes a países distintos.</w:t>
            </w:r>
          </w:p>
        </w:tc>
        <w:tc>
          <w:tcPr>
            <w:tcW w:w="2029" w:type="dxa"/>
            <w:tcMar>
              <w:left w:w="85" w:type="dxa"/>
              <w:right w:w="85" w:type="dxa"/>
            </w:tcMar>
          </w:tcPr>
          <w:p w14:paraId="5CC78014" w14:textId="2BD3A4BB" w:rsidR="00E617CB" w:rsidRPr="001C4C08" w:rsidRDefault="00AE7C68" w:rsidP="00E617CB">
            <w:pPr>
              <w:spacing w:after="60"/>
              <w:rPr>
                <w:sz w:val="18"/>
                <w:szCs w:val="18"/>
              </w:rPr>
            </w:pPr>
            <w:bookmarkStart w:id="60" w:name="lt_pId177"/>
            <w:r w:rsidRPr="001C4C08">
              <w:rPr>
                <w:sz w:val="18"/>
                <w:szCs w:val="18"/>
              </w:rPr>
              <w:lastRenderedPageBreak/>
              <w:t xml:space="preserve">Esta definición es la misma que la contenida en la Constitución </w:t>
            </w:r>
            <w:r w:rsidR="00E617CB" w:rsidRPr="001C4C08">
              <w:rPr>
                <w:sz w:val="18"/>
                <w:szCs w:val="18"/>
              </w:rPr>
              <w:t>(CS.1011)</w:t>
            </w:r>
            <w:bookmarkEnd w:id="60"/>
          </w:p>
        </w:tc>
        <w:tc>
          <w:tcPr>
            <w:tcW w:w="1825" w:type="dxa"/>
            <w:tcMar>
              <w:left w:w="85" w:type="dxa"/>
              <w:right w:w="85" w:type="dxa"/>
            </w:tcMar>
          </w:tcPr>
          <w:p w14:paraId="7108DA7B" w14:textId="77777777" w:rsidR="00E617CB" w:rsidRPr="001C4C08" w:rsidRDefault="00E617CB" w:rsidP="00E617CB">
            <w:pPr>
              <w:spacing w:after="60"/>
              <w:rPr>
                <w:sz w:val="18"/>
                <w:szCs w:val="18"/>
              </w:rPr>
            </w:pPr>
            <w:bookmarkStart w:id="61" w:name="lt_pId178"/>
            <w:r w:rsidRPr="001C4C08">
              <w:rPr>
                <w:sz w:val="18"/>
                <w:szCs w:val="18"/>
              </w:rPr>
              <w:t>Flexible.</w:t>
            </w:r>
            <w:bookmarkEnd w:id="61"/>
          </w:p>
        </w:tc>
        <w:tc>
          <w:tcPr>
            <w:tcW w:w="1308" w:type="dxa"/>
            <w:tcMar>
              <w:left w:w="85" w:type="dxa"/>
              <w:right w:w="85" w:type="dxa"/>
            </w:tcMar>
          </w:tcPr>
          <w:p w14:paraId="0BD098E0" w14:textId="355BF84B" w:rsidR="00E617CB" w:rsidRPr="001C4C08" w:rsidRDefault="00026705" w:rsidP="00E617CB">
            <w:pPr>
              <w:spacing w:after="60"/>
              <w:rPr>
                <w:b/>
                <w:sz w:val="18"/>
                <w:szCs w:val="18"/>
              </w:rPr>
            </w:pPr>
            <w:r w:rsidRPr="001C4C08">
              <w:rPr>
                <w:b/>
                <w:sz w:val="18"/>
                <w:szCs w:val="18"/>
              </w:rPr>
              <w:t>No se requiere cambio.</w:t>
            </w:r>
          </w:p>
        </w:tc>
      </w:tr>
      <w:tr w:rsidR="00E617CB" w:rsidRPr="001C4C08" w14:paraId="48DE06D6" w14:textId="77777777" w:rsidTr="001C4C08">
        <w:trPr>
          <w:jc w:val="center"/>
        </w:trPr>
        <w:tc>
          <w:tcPr>
            <w:tcW w:w="1075" w:type="dxa"/>
            <w:tcMar>
              <w:left w:w="85" w:type="dxa"/>
              <w:right w:w="85" w:type="dxa"/>
            </w:tcMar>
          </w:tcPr>
          <w:p w14:paraId="52F64039" w14:textId="477C2C7F" w:rsidR="00E617CB" w:rsidRPr="001C4C08" w:rsidRDefault="00026705" w:rsidP="00E617CB">
            <w:pPr>
              <w:spacing w:after="60"/>
              <w:rPr>
                <w:rFonts w:cs="Calibri"/>
                <w:b/>
                <w:bCs/>
                <w:sz w:val="18"/>
                <w:szCs w:val="18"/>
              </w:rPr>
            </w:pPr>
            <w:bookmarkStart w:id="62" w:name="lt_pId180"/>
            <w:r w:rsidRPr="001C4C08">
              <w:rPr>
                <w:rFonts w:cs="Calibri"/>
                <w:b/>
                <w:bCs/>
                <w:sz w:val="18"/>
                <w:szCs w:val="18"/>
              </w:rPr>
              <w:t>Artículo</w:t>
            </w:r>
            <w:r w:rsidR="00E617CB" w:rsidRPr="001C4C08">
              <w:rPr>
                <w:rFonts w:cs="Calibri"/>
                <w:b/>
                <w:bCs/>
                <w:sz w:val="18"/>
                <w:szCs w:val="18"/>
              </w:rPr>
              <w:t xml:space="preserve"> 2</w:t>
            </w:r>
            <w:bookmarkEnd w:id="62"/>
          </w:p>
        </w:tc>
        <w:tc>
          <w:tcPr>
            <w:tcW w:w="2140" w:type="dxa"/>
            <w:tcMar>
              <w:left w:w="85" w:type="dxa"/>
              <w:right w:w="85" w:type="dxa"/>
            </w:tcMar>
          </w:tcPr>
          <w:p w14:paraId="523A1F4B" w14:textId="2CE748C9" w:rsidR="00E617CB" w:rsidRPr="001C4C08" w:rsidRDefault="00E617CB" w:rsidP="00E617CB">
            <w:pPr>
              <w:spacing w:after="60"/>
              <w:rPr>
                <w:rFonts w:cs="Calibri"/>
                <w:bCs/>
                <w:sz w:val="18"/>
                <w:szCs w:val="18"/>
              </w:rPr>
            </w:pPr>
            <w:r w:rsidRPr="001C4C08">
              <w:rPr>
                <w:rFonts w:cs="Calibri"/>
                <w:bCs/>
                <w:sz w:val="18"/>
                <w:szCs w:val="18"/>
              </w:rPr>
              <w:t>2.4</w:t>
            </w:r>
            <w:r w:rsidRPr="001C4C08">
              <w:rPr>
                <w:rFonts w:cs="Calibri"/>
                <w:bCs/>
                <w:sz w:val="18"/>
                <w:szCs w:val="18"/>
              </w:rPr>
              <w:tab/>
              <w:t>Telecomunicación de Estado: Telecomunicación procedente de cualquiera de las siguientes autoridades: Jefe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 y las respuestas a las citadas telecomunicaciones de Estado.</w:t>
            </w:r>
          </w:p>
        </w:tc>
        <w:tc>
          <w:tcPr>
            <w:tcW w:w="2142" w:type="dxa"/>
            <w:tcMar>
              <w:left w:w="85" w:type="dxa"/>
              <w:right w:w="85" w:type="dxa"/>
            </w:tcMar>
          </w:tcPr>
          <w:p w14:paraId="21F05673" w14:textId="0F6002E3" w:rsidR="00E617CB" w:rsidRPr="001C4C08" w:rsidRDefault="00E617CB" w:rsidP="00E617CB">
            <w:pPr>
              <w:spacing w:after="60"/>
              <w:rPr>
                <w:rFonts w:cs="Calibri"/>
                <w:bCs/>
                <w:sz w:val="18"/>
                <w:szCs w:val="18"/>
              </w:rPr>
            </w:pPr>
            <w:r w:rsidRPr="001C4C08">
              <w:rPr>
                <w:rFonts w:cs="Calibri"/>
                <w:bCs/>
                <w:sz w:val="18"/>
                <w:szCs w:val="18"/>
              </w:rPr>
              <w:t>2.3</w:t>
            </w:r>
            <w:r w:rsidRPr="001C4C08">
              <w:rPr>
                <w:rFonts w:cs="Calibri"/>
                <w:bCs/>
                <w:sz w:val="18"/>
                <w:szCs w:val="18"/>
              </w:rPr>
              <w:tab/>
              <w:t>Telecomunicación de Estado: Telecomunicación procedente de cualquiera de las siguientes autoridades: Jefe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 y respuestas a telegramas de Estado.</w:t>
            </w:r>
          </w:p>
        </w:tc>
        <w:tc>
          <w:tcPr>
            <w:tcW w:w="2029" w:type="dxa"/>
            <w:tcMar>
              <w:left w:w="85" w:type="dxa"/>
              <w:right w:w="85" w:type="dxa"/>
            </w:tcMar>
          </w:tcPr>
          <w:p w14:paraId="25DE4592" w14:textId="1F347741" w:rsidR="00E617CB" w:rsidRPr="001C4C08" w:rsidRDefault="00AE7C68" w:rsidP="00E617CB">
            <w:pPr>
              <w:spacing w:after="60"/>
              <w:rPr>
                <w:sz w:val="18"/>
                <w:szCs w:val="18"/>
              </w:rPr>
            </w:pPr>
            <w:bookmarkStart w:id="63" w:name="lt_pId185"/>
            <w:r w:rsidRPr="001C4C08">
              <w:rPr>
                <w:sz w:val="18"/>
                <w:szCs w:val="18"/>
              </w:rPr>
              <w:t xml:space="preserve">Esta definición es la misma que la contenida en la Constitución </w:t>
            </w:r>
            <w:r w:rsidR="00E617CB" w:rsidRPr="001C4C08">
              <w:rPr>
                <w:sz w:val="18"/>
                <w:szCs w:val="18"/>
              </w:rPr>
              <w:t>(CS.1014)</w:t>
            </w:r>
            <w:bookmarkEnd w:id="63"/>
          </w:p>
        </w:tc>
        <w:tc>
          <w:tcPr>
            <w:tcW w:w="1825" w:type="dxa"/>
            <w:tcMar>
              <w:left w:w="85" w:type="dxa"/>
              <w:right w:w="85" w:type="dxa"/>
            </w:tcMar>
          </w:tcPr>
          <w:p w14:paraId="6C537A20" w14:textId="77777777" w:rsidR="00E617CB" w:rsidRPr="001C4C08" w:rsidRDefault="00E617CB" w:rsidP="00E617CB">
            <w:pPr>
              <w:spacing w:after="60"/>
              <w:rPr>
                <w:sz w:val="18"/>
                <w:szCs w:val="18"/>
              </w:rPr>
            </w:pPr>
            <w:bookmarkStart w:id="64" w:name="lt_pId186"/>
            <w:r w:rsidRPr="001C4C08">
              <w:rPr>
                <w:sz w:val="18"/>
                <w:szCs w:val="18"/>
              </w:rPr>
              <w:t>Flexible</w:t>
            </w:r>
            <w:bookmarkEnd w:id="64"/>
          </w:p>
        </w:tc>
        <w:tc>
          <w:tcPr>
            <w:tcW w:w="1308" w:type="dxa"/>
            <w:tcMar>
              <w:left w:w="85" w:type="dxa"/>
              <w:right w:w="85" w:type="dxa"/>
            </w:tcMar>
          </w:tcPr>
          <w:p w14:paraId="47B01337" w14:textId="65AA13D2" w:rsidR="00E617CB" w:rsidRPr="001C4C08" w:rsidRDefault="00026705" w:rsidP="00E617CB">
            <w:pPr>
              <w:spacing w:after="60"/>
              <w:rPr>
                <w:b/>
                <w:sz w:val="18"/>
                <w:szCs w:val="18"/>
              </w:rPr>
            </w:pPr>
            <w:r w:rsidRPr="001C4C08">
              <w:rPr>
                <w:b/>
                <w:sz w:val="18"/>
                <w:szCs w:val="18"/>
              </w:rPr>
              <w:t>No se requiere cambio.</w:t>
            </w:r>
          </w:p>
        </w:tc>
      </w:tr>
      <w:tr w:rsidR="00E617CB" w:rsidRPr="001C4C08" w14:paraId="1D6DE731" w14:textId="77777777" w:rsidTr="001C4C08">
        <w:trPr>
          <w:jc w:val="center"/>
        </w:trPr>
        <w:tc>
          <w:tcPr>
            <w:tcW w:w="1075" w:type="dxa"/>
            <w:tcMar>
              <w:left w:w="85" w:type="dxa"/>
              <w:right w:w="85" w:type="dxa"/>
            </w:tcMar>
          </w:tcPr>
          <w:p w14:paraId="415EEC0F" w14:textId="41E143C3" w:rsidR="00E617CB" w:rsidRPr="001C4C08" w:rsidRDefault="00026705" w:rsidP="00E617CB">
            <w:pPr>
              <w:spacing w:after="60"/>
              <w:rPr>
                <w:rFonts w:cs="Calibri"/>
                <w:b/>
                <w:bCs/>
                <w:sz w:val="18"/>
                <w:szCs w:val="18"/>
              </w:rPr>
            </w:pPr>
            <w:bookmarkStart w:id="65" w:name="lt_pId188"/>
            <w:r w:rsidRPr="001C4C08">
              <w:rPr>
                <w:rFonts w:cs="Calibri"/>
                <w:b/>
                <w:bCs/>
                <w:sz w:val="18"/>
                <w:szCs w:val="18"/>
              </w:rPr>
              <w:t>Artículo</w:t>
            </w:r>
            <w:r w:rsidR="00E617CB" w:rsidRPr="001C4C08">
              <w:rPr>
                <w:rFonts w:cs="Calibri"/>
                <w:b/>
                <w:bCs/>
                <w:sz w:val="18"/>
                <w:szCs w:val="18"/>
              </w:rPr>
              <w:t xml:space="preserve"> 2</w:t>
            </w:r>
            <w:bookmarkEnd w:id="65"/>
          </w:p>
        </w:tc>
        <w:tc>
          <w:tcPr>
            <w:tcW w:w="2140" w:type="dxa"/>
            <w:tcMar>
              <w:left w:w="85" w:type="dxa"/>
              <w:right w:w="85" w:type="dxa"/>
            </w:tcMar>
          </w:tcPr>
          <w:p w14:paraId="21C3F101" w14:textId="77777777" w:rsidR="00E617CB" w:rsidRPr="001C4C08" w:rsidRDefault="00E617CB" w:rsidP="00E617CB">
            <w:pPr>
              <w:spacing w:after="60"/>
              <w:rPr>
                <w:rFonts w:cs="Calibri"/>
                <w:bCs/>
                <w:sz w:val="18"/>
                <w:szCs w:val="18"/>
              </w:rPr>
            </w:pPr>
            <w:r w:rsidRPr="001C4C08">
              <w:rPr>
                <w:rFonts w:cs="Calibri"/>
                <w:bCs/>
                <w:sz w:val="18"/>
                <w:szCs w:val="18"/>
              </w:rPr>
              <w:t>2.5</w:t>
            </w:r>
            <w:r w:rsidRPr="001C4C08">
              <w:rPr>
                <w:rFonts w:cs="Calibri"/>
                <w:bCs/>
                <w:sz w:val="18"/>
                <w:szCs w:val="18"/>
              </w:rPr>
              <w:tab/>
              <w:t>Telecomunicación de servicio: Telecomunicación relativa a las telecomunicaciones públicas internacionales y cursada entre las personas o entidades siguientes:</w:t>
            </w:r>
          </w:p>
          <w:p w14:paraId="750173F3" w14:textId="77777777" w:rsidR="00E617CB" w:rsidRPr="001C4C08" w:rsidRDefault="00E617CB" w:rsidP="00C72313">
            <w:pPr>
              <w:spacing w:before="60" w:after="60"/>
              <w:rPr>
                <w:rFonts w:cs="Calibri"/>
                <w:bCs/>
                <w:sz w:val="18"/>
                <w:szCs w:val="18"/>
              </w:rPr>
            </w:pPr>
            <w:r w:rsidRPr="001C4C08">
              <w:rPr>
                <w:rFonts w:cs="Calibri"/>
                <w:bCs/>
                <w:sz w:val="18"/>
                <w:szCs w:val="18"/>
              </w:rPr>
              <w:t>–</w:t>
            </w:r>
            <w:r w:rsidRPr="001C4C08">
              <w:rPr>
                <w:rFonts w:cs="Calibri"/>
                <w:bCs/>
                <w:sz w:val="18"/>
                <w:szCs w:val="18"/>
              </w:rPr>
              <w:tab/>
              <w:t>Estados Miembros;</w:t>
            </w:r>
          </w:p>
          <w:p w14:paraId="53CA2125" w14:textId="77777777" w:rsidR="00E617CB" w:rsidRPr="001C4C08" w:rsidRDefault="00E617CB" w:rsidP="00C72313">
            <w:pPr>
              <w:spacing w:before="60" w:after="60"/>
              <w:rPr>
                <w:rFonts w:cs="Calibri"/>
                <w:bCs/>
                <w:sz w:val="18"/>
                <w:szCs w:val="18"/>
              </w:rPr>
            </w:pPr>
            <w:r w:rsidRPr="001C4C08">
              <w:rPr>
                <w:rFonts w:cs="Calibri"/>
                <w:bCs/>
                <w:sz w:val="18"/>
                <w:szCs w:val="18"/>
              </w:rPr>
              <w:t>–</w:t>
            </w:r>
            <w:r w:rsidRPr="001C4C08">
              <w:rPr>
                <w:rFonts w:cs="Calibri"/>
                <w:bCs/>
                <w:sz w:val="18"/>
                <w:szCs w:val="18"/>
              </w:rPr>
              <w:tab/>
              <w:t>empresas de explotación autorizadas;</w:t>
            </w:r>
          </w:p>
          <w:p w14:paraId="1CE2FD30" w14:textId="0C6669A0" w:rsidR="00E617CB" w:rsidRPr="001C4C08" w:rsidRDefault="00E617CB" w:rsidP="00C72313">
            <w:pPr>
              <w:spacing w:before="60" w:after="60"/>
              <w:rPr>
                <w:rFonts w:cs="Calibri"/>
                <w:bCs/>
                <w:sz w:val="18"/>
                <w:szCs w:val="18"/>
              </w:rPr>
            </w:pPr>
            <w:r w:rsidRPr="001C4C08">
              <w:rPr>
                <w:rFonts w:cs="Calibri"/>
                <w:bCs/>
                <w:sz w:val="18"/>
                <w:szCs w:val="18"/>
              </w:rPr>
              <w:br w:type="page"/>
              <w:t>–</w:t>
            </w:r>
            <w:r w:rsidRPr="001C4C08">
              <w:rPr>
                <w:rFonts w:cs="Calibri"/>
                <w:bCs/>
                <w:sz w:val="18"/>
                <w:szCs w:val="18"/>
              </w:rPr>
              <w:tab/>
              <w:t>el Presidente del Consejo, el Secretario General, el Vicesecretario General, los Directores de las Oficinas, los miembros de la Junta del Reglamento de Radiocomunicaciones, cualquier otro representante o funcionario autorizado de la Unión, incluidos los que se ocupan de asuntos oficiales fuera de la Sede de la Unión.</w:t>
            </w:r>
          </w:p>
        </w:tc>
        <w:tc>
          <w:tcPr>
            <w:tcW w:w="2142" w:type="dxa"/>
            <w:tcMar>
              <w:left w:w="85" w:type="dxa"/>
              <w:right w:w="85" w:type="dxa"/>
            </w:tcMar>
          </w:tcPr>
          <w:p w14:paraId="1B7368B1" w14:textId="77777777" w:rsidR="00E617CB" w:rsidRPr="001C4C08" w:rsidRDefault="00E617CB" w:rsidP="00E617CB">
            <w:pPr>
              <w:spacing w:after="60"/>
              <w:rPr>
                <w:rFonts w:cs="Calibri"/>
                <w:bCs/>
                <w:sz w:val="18"/>
                <w:szCs w:val="18"/>
              </w:rPr>
            </w:pPr>
            <w:r w:rsidRPr="001C4C08">
              <w:rPr>
                <w:rFonts w:cs="Calibri"/>
                <w:bCs/>
                <w:sz w:val="18"/>
                <w:szCs w:val="18"/>
              </w:rPr>
              <w:t>2.4</w:t>
            </w:r>
            <w:r w:rsidRPr="001C4C08">
              <w:rPr>
                <w:rFonts w:cs="Calibri"/>
                <w:bCs/>
                <w:sz w:val="18"/>
                <w:szCs w:val="18"/>
              </w:rPr>
              <w:tab/>
              <w:t>Telecomunicación de servicio</w:t>
            </w:r>
          </w:p>
          <w:p w14:paraId="35841AE1" w14:textId="77777777" w:rsidR="00E617CB" w:rsidRPr="001C4C08" w:rsidRDefault="00E617CB" w:rsidP="00E617CB">
            <w:pPr>
              <w:spacing w:after="60"/>
              <w:rPr>
                <w:rFonts w:cs="Calibri"/>
                <w:bCs/>
                <w:sz w:val="18"/>
                <w:szCs w:val="18"/>
              </w:rPr>
            </w:pPr>
            <w:r w:rsidRPr="001C4C08">
              <w:rPr>
                <w:rFonts w:cs="Calibri"/>
                <w:bCs/>
                <w:sz w:val="18"/>
                <w:szCs w:val="18"/>
              </w:rPr>
              <w:t>Telecomunicación relativa a las telecomunicaciones públicas internacionales y cursada entre las personas o entidades siguientes:</w:t>
            </w:r>
          </w:p>
          <w:p w14:paraId="2807F5A4" w14:textId="77777777" w:rsidR="00E617CB" w:rsidRPr="001C4C08" w:rsidRDefault="00E617CB" w:rsidP="00C72313">
            <w:pPr>
              <w:spacing w:before="60" w:after="60"/>
              <w:rPr>
                <w:rFonts w:cs="Calibri"/>
                <w:bCs/>
                <w:sz w:val="18"/>
                <w:szCs w:val="18"/>
              </w:rPr>
            </w:pPr>
            <w:r w:rsidRPr="001C4C08">
              <w:rPr>
                <w:rFonts w:cs="Calibri"/>
                <w:bCs/>
                <w:sz w:val="18"/>
                <w:szCs w:val="18"/>
              </w:rPr>
              <w:t>–</w:t>
            </w:r>
            <w:r w:rsidRPr="001C4C08">
              <w:rPr>
                <w:rFonts w:cs="Calibri"/>
                <w:bCs/>
                <w:sz w:val="18"/>
                <w:szCs w:val="18"/>
              </w:rPr>
              <w:tab/>
              <w:t>las administraciones;</w:t>
            </w:r>
          </w:p>
          <w:p w14:paraId="54676E7E" w14:textId="77777777" w:rsidR="00E617CB" w:rsidRPr="001C4C08" w:rsidRDefault="00E617CB" w:rsidP="00C72313">
            <w:pPr>
              <w:spacing w:before="60" w:after="60"/>
              <w:rPr>
                <w:rFonts w:cs="Calibri"/>
                <w:bCs/>
                <w:sz w:val="18"/>
                <w:szCs w:val="18"/>
              </w:rPr>
            </w:pPr>
            <w:r w:rsidRPr="001C4C08">
              <w:rPr>
                <w:rFonts w:cs="Calibri"/>
                <w:bCs/>
                <w:sz w:val="18"/>
                <w:szCs w:val="18"/>
              </w:rPr>
              <w:t>–</w:t>
            </w:r>
            <w:r w:rsidRPr="001C4C08">
              <w:rPr>
                <w:rFonts w:cs="Calibri"/>
                <w:bCs/>
                <w:sz w:val="18"/>
                <w:szCs w:val="18"/>
              </w:rPr>
              <w:tab/>
              <w:t>las empresas privadas de explotación reconocidas;</w:t>
            </w:r>
          </w:p>
          <w:p w14:paraId="05F214A5" w14:textId="1F06B06A" w:rsidR="00E617CB" w:rsidRPr="001C4C08" w:rsidRDefault="00E617CB" w:rsidP="00C72313">
            <w:pPr>
              <w:spacing w:before="60" w:after="60"/>
              <w:rPr>
                <w:rFonts w:cs="Calibri"/>
                <w:bCs/>
                <w:sz w:val="18"/>
                <w:szCs w:val="18"/>
              </w:rPr>
            </w:pPr>
            <w:r w:rsidRPr="001C4C08">
              <w:rPr>
                <w:rFonts w:cs="Calibri"/>
                <w:bCs/>
                <w:sz w:val="18"/>
                <w:szCs w:val="18"/>
              </w:rPr>
              <w:t>–</w:t>
            </w:r>
            <w:r w:rsidRPr="001C4C08">
              <w:rPr>
                <w:rFonts w:cs="Calibri"/>
                <w:bCs/>
                <w:sz w:val="18"/>
                <w:szCs w:val="18"/>
              </w:rPr>
              <w:tab/>
              <w:t>el Presidente del Consejo de Administración, el Secretario General, el Vicesecretario General, los Directores de los Comités Consultivos Internacionales, los miembros de la Junta Internacional de Registro de Frecuencias, otros representantes o funcionarios autorizados de la Unión, comprendidos los que se ocupan de asuntos oficiales fuera de la Sede de la Unión.</w:t>
            </w:r>
          </w:p>
        </w:tc>
        <w:tc>
          <w:tcPr>
            <w:tcW w:w="2029" w:type="dxa"/>
            <w:tcMar>
              <w:left w:w="85" w:type="dxa"/>
              <w:right w:w="85" w:type="dxa"/>
            </w:tcMar>
          </w:tcPr>
          <w:p w14:paraId="57B8D086" w14:textId="0D808F08" w:rsidR="00E617CB" w:rsidRPr="001C4C08" w:rsidRDefault="00AE7C68" w:rsidP="00E617CB">
            <w:pPr>
              <w:spacing w:after="60"/>
              <w:rPr>
                <w:sz w:val="18"/>
                <w:szCs w:val="18"/>
              </w:rPr>
            </w:pPr>
            <w:bookmarkStart w:id="66" w:name="lt_pId199"/>
            <w:r w:rsidRPr="001C4C08">
              <w:rPr>
                <w:sz w:val="18"/>
                <w:szCs w:val="18"/>
              </w:rPr>
              <w:t xml:space="preserve">Esta definición es similar a la contenida en la Constitución </w:t>
            </w:r>
            <w:r w:rsidR="00E617CB" w:rsidRPr="001C4C08">
              <w:rPr>
                <w:sz w:val="18"/>
                <w:szCs w:val="18"/>
              </w:rPr>
              <w:t>(CS.1006).</w:t>
            </w:r>
            <w:bookmarkEnd w:id="66"/>
            <w:r w:rsidR="00E617CB" w:rsidRPr="001C4C08">
              <w:rPr>
                <w:sz w:val="18"/>
                <w:szCs w:val="18"/>
              </w:rPr>
              <w:t xml:space="preserve"> </w:t>
            </w:r>
            <w:bookmarkStart w:id="67" w:name="lt_pId200"/>
            <w:r w:rsidRPr="001C4C08">
              <w:rPr>
                <w:sz w:val="18"/>
                <w:szCs w:val="18"/>
              </w:rPr>
              <w:t xml:space="preserve">Las diferencias son la referencia a los </w:t>
            </w:r>
            <w:r w:rsidR="00F45CD6" w:rsidRPr="001C4C08">
              <w:rPr>
                <w:sz w:val="18"/>
                <w:szCs w:val="18"/>
              </w:rPr>
              <w:t>"</w:t>
            </w:r>
            <w:r w:rsidRPr="001C4C08">
              <w:rPr>
                <w:sz w:val="18"/>
                <w:szCs w:val="18"/>
              </w:rPr>
              <w:t>Estados Miembros</w:t>
            </w:r>
            <w:r w:rsidR="00F45CD6" w:rsidRPr="001C4C08">
              <w:rPr>
                <w:sz w:val="18"/>
                <w:szCs w:val="18"/>
              </w:rPr>
              <w:t>"</w:t>
            </w:r>
            <w:r w:rsidRPr="001C4C08">
              <w:rPr>
                <w:sz w:val="18"/>
                <w:szCs w:val="18"/>
              </w:rPr>
              <w:t xml:space="preserve"> (y no a las administraciones) y a las </w:t>
            </w:r>
            <w:r w:rsidR="00F45CD6" w:rsidRPr="001C4C08">
              <w:rPr>
                <w:sz w:val="18"/>
                <w:szCs w:val="18"/>
              </w:rPr>
              <w:t>"</w:t>
            </w:r>
            <w:r w:rsidRPr="001C4C08">
              <w:rPr>
                <w:sz w:val="18"/>
                <w:szCs w:val="18"/>
              </w:rPr>
              <w:t>empresas de explotación autorizadas</w:t>
            </w:r>
            <w:r w:rsidR="00F45CD6" w:rsidRPr="001C4C08">
              <w:rPr>
                <w:sz w:val="18"/>
                <w:szCs w:val="18"/>
              </w:rPr>
              <w:t>"</w:t>
            </w:r>
            <w:r w:rsidRPr="001C4C08">
              <w:rPr>
                <w:sz w:val="18"/>
                <w:szCs w:val="18"/>
              </w:rPr>
              <w:t xml:space="preserve"> (y no a las empresas de explotación reconocidas</w:t>
            </w:r>
            <w:r w:rsidR="00E617CB" w:rsidRPr="001C4C08">
              <w:rPr>
                <w:sz w:val="18"/>
                <w:szCs w:val="18"/>
              </w:rPr>
              <w:t xml:space="preserve">); </w:t>
            </w:r>
            <w:r w:rsidRPr="001C4C08">
              <w:rPr>
                <w:sz w:val="18"/>
                <w:szCs w:val="18"/>
              </w:rPr>
              <w:t>se apoyan estas diferencias</w:t>
            </w:r>
            <w:r w:rsidR="00E617CB" w:rsidRPr="001C4C08">
              <w:rPr>
                <w:sz w:val="18"/>
                <w:szCs w:val="18"/>
              </w:rPr>
              <w:t>.</w:t>
            </w:r>
            <w:bookmarkEnd w:id="67"/>
          </w:p>
        </w:tc>
        <w:tc>
          <w:tcPr>
            <w:tcW w:w="1825" w:type="dxa"/>
            <w:tcMar>
              <w:left w:w="85" w:type="dxa"/>
              <w:right w:w="85" w:type="dxa"/>
            </w:tcMar>
          </w:tcPr>
          <w:p w14:paraId="5A530EC8" w14:textId="77777777" w:rsidR="00E617CB" w:rsidRPr="001C4C08" w:rsidRDefault="00E617CB" w:rsidP="00E617CB">
            <w:pPr>
              <w:spacing w:after="60"/>
              <w:rPr>
                <w:sz w:val="18"/>
                <w:szCs w:val="18"/>
              </w:rPr>
            </w:pPr>
            <w:bookmarkStart w:id="68" w:name="lt_pId201"/>
            <w:r w:rsidRPr="001C4C08">
              <w:rPr>
                <w:sz w:val="18"/>
                <w:szCs w:val="18"/>
              </w:rPr>
              <w:t>Flexible.</w:t>
            </w:r>
            <w:bookmarkEnd w:id="68"/>
          </w:p>
        </w:tc>
        <w:tc>
          <w:tcPr>
            <w:tcW w:w="1308" w:type="dxa"/>
            <w:tcMar>
              <w:left w:w="85" w:type="dxa"/>
              <w:right w:w="85" w:type="dxa"/>
            </w:tcMar>
          </w:tcPr>
          <w:p w14:paraId="05154E6A" w14:textId="3E799EA4" w:rsidR="00E617CB" w:rsidRPr="001C4C08" w:rsidRDefault="00026705" w:rsidP="00E617CB">
            <w:pPr>
              <w:spacing w:after="60"/>
              <w:rPr>
                <w:b/>
                <w:sz w:val="18"/>
                <w:szCs w:val="18"/>
              </w:rPr>
            </w:pPr>
            <w:r w:rsidRPr="001C4C08">
              <w:rPr>
                <w:b/>
                <w:sz w:val="18"/>
                <w:szCs w:val="18"/>
              </w:rPr>
              <w:t>No se requiere cambio.</w:t>
            </w:r>
          </w:p>
        </w:tc>
      </w:tr>
      <w:tr w:rsidR="00781B80" w:rsidRPr="001C4C08" w14:paraId="40E5076F" w14:textId="77777777" w:rsidTr="001C4C08">
        <w:trPr>
          <w:cantSplit/>
          <w:jc w:val="center"/>
        </w:trPr>
        <w:tc>
          <w:tcPr>
            <w:tcW w:w="1075" w:type="dxa"/>
            <w:tcMar>
              <w:left w:w="85" w:type="dxa"/>
              <w:right w:w="85" w:type="dxa"/>
            </w:tcMar>
          </w:tcPr>
          <w:p w14:paraId="03C568BC" w14:textId="38F86E63" w:rsidR="00781B80" w:rsidRPr="001C4C08" w:rsidRDefault="00026705" w:rsidP="00110ECD">
            <w:pPr>
              <w:spacing w:after="60"/>
              <w:rPr>
                <w:rFonts w:cs="Calibri"/>
                <w:b/>
                <w:bCs/>
                <w:sz w:val="18"/>
                <w:szCs w:val="18"/>
              </w:rPr>
            </w:pPr>
            <w:bookmarkStart w:id="69" w:name="lt_pId203"/>
            <w:r w:rsidRPr="001C4C08">
              <w:rPr>
                <w:rFonts w:cs="Calibri"/>
                <w:b/>
                <w:bCs/>
                <w:sz w:val="18"/>
                <w:szCs w:val="18"/>
              </w:rPr>
              <w:lastRenderedPageBreak/>
              <w:t>Artículo</w:t>
            </w:r>
            <w:r w:rsidR="00781B80" w:rsidRPr="001C4C08">
              <w:rPr>
                <w:rFonts w:cs="Calibri"/>
                <w:b/>
                <w:bCs/>
                <w:sz w:val="18"/>
                <w:szCs w:val="18"/>
              </w:rPr>
              <w:t xml:space="preserve"> 2</w:t>
            </w:r>
            <w:bookmarkEnd w:id="69"/>
          </w:p>
        </w:tc>
        <w:tc>
          <w:tcPr>
            <w:tcW w:w="2140" w:type="dxa"/>
            <w:tcMar>
              <w:left w:w="85" w:type="dxa"/>
              <w:right w:w="85" w:type="dxa"/>
            </w:tcMar>
          </w:tcPr>
          <w:p w14:paraId="564E83D1" w14:textId="7CC1FA4D" w:rsidR="00781B80" w:rsidRPr="001C4C08" w:rsidRDefault="00E617CB" w:rsidP="00110ECD">
            <w:pPr>
              <w:spacing w:after="60"/>
              <w:rPr>
                <w:rFonts w:cs="Calibri"/>
                <w:bCs/>
                <w:sz w:val="18"/>
                <w:szCs w:val="18"/>
              </w:rPr>
            </w:pPr>
            <w:r w:rsidRPr="001C4C08">
              <w:rPr>
                <w:rFonts w:cs="Calibri"/>
                <w:bCs/>
                <w:sz w:val="18"/>
                <w:szCs w:val="18"/>
              </w:rPr>
              <w:t>2.6</w:t>
            </w:r>
            <w:r w:rsidRPr="001C4C08">
              <w:rPr>
                <w:rFonts w:cs="Calibri"/>
                <w:bCs/>
                <w:sz w:val="18"/>
                <w:szCs w:val="18"/>
              </w:rPr>
              <w:tab/>
            </w:r>
            <w:r w:rsidRPr="001C4C08">
              <w:rPr>
                <w:rFonts w:cs="Calibri"/>
                <w:bCs/>
                <w:i/>
                <w:iCs/>
                <w:sz w:val="18"/>
                <w:szCs w:val="18"/>
              </w:rPr>
              <w:t xml:space="preserve">Ruta internacional: </w:t>
            </w:r>
            <w:r w:rsidRPr="001C4C08">
              <w:rPr>
                <w:rFonts w:cs="Calibri"/>
                <w:bCs/>
                <w:sz w:val="18"/>
                <w:szCs w:val="18"/>
              </w:rPr>
              <w:t>Medios e instalaciones técnicos situados en diferentes países y utilizados para el tráfico de telecomunicaciones, entre dos centrales u oficinas terminales internacionales de telecomunicación.</w:t>
            </w:r>
          </w:p>
        </w:tc>
        <w:tc>
          <w:tcPr>
            <w:tcW w:w="2142" w:type="dxa"/>
            <w:tcMar>
              <w:left w:w="85" w:type="dxa"/>
              <w:right w:w="85" w:type="dxa"/>
            </w:tcMar>
          </w:tcPr>
          <w:p w14:paraId="0007C9F9" w14:textId="5AA37727" w:rsidR="00781B80" w:rsidRPr="001C4C08" w:rsidRDefault="00026705" w:rsidP="001C4C08">
            <w:pPr>
              <w:spacing w:after="60"/>
              <w:rPr>
                <w:rFonts w:cs="Calibri"/>
                <w:bCs/>
                <w:sz w:val="18"/>
                <w:szCs w:val="18"/>
              </w:rPr>
            </w:pPr>
            <w:bookmarkStart w:id="70" w:name="lt_pId206"/>
            <w:r w:rsidRPr="001C4C08">
              <w:rPr>
                <w:rFonts w:cs="Calibri"/>
                <w:bCs/>
                <w:sz w:val="18"/>
                <w:szCs w:val="18"/>
              </w:rPr>
              <w:t>No hay disposición análoga</w:t>
            </w:r>
            <w:r w:rsidR="00781B80" w:rsidRPr="001C4C08">
              <w:rPr>
                <w:rFonts w:cs="Calibri"/>
                <w:bCs/>
                <w:sz w:val="18"/>
                <w:szCs w:val="18"/>
              </w:rPr>
              <w:t>.</w:t>
            </w:r>
            <w:bookmarkEnd w:id="70"/>
          </w:p>
        </w:tc>
        <w:tc>
          <w:tcPr>
            <w:tcW w:w="2029" w:type="dxa"/>
            <w:tcMar>
              <w:left w:w="85" w:type="dxa"/>
              <w:right w:w="85" w:type="dxa"/>
            </w:tcMar>
          </w:tcPr>
          <w:p w14:paraId="26AB5ADA" w14:textId="755626C8" w:rsidR="00781B80" w:rsidRPr="001C4C08" w:rsidRDefault="00AE7C68" w:rsidP="00110ECD">
            <w:pPr>
              <w:spacing w:after="60"/>
              <w:rPr>
                <w:sz w:val="18"/>
                <w:szCs w:val="18"/>
              </w:rPr>
            </w:pPr>
            <w:bookmarkStart w:id="71" w:name="lt_pId207"/>
            <w:r w:rsidRPr="001C4C08">
              <w:rPr>
                <w:sz w:val="18"/>
                <w:szCs w:val="18"/>
              </w:rPr>
              <w:t>Esta disposición apoya la oferta y el desarrollo de redes y servicios</w:t>
            </w:r>
            <w:r w:rsidR="00781B80" w:rsidRPr="001C4C08">
              <w:rPr>
                <w:sz w:val="18"/>
                <w:szCs w:val="18"/>
              </w:rPr>
              <w:t>.</w:t>
            </w:r>
            <w:bookmarkEnd w:id="71"/>
          </w:p>
        </w:tc>
        <w:tc>
          <w:tcPr>
            <w:tcW w:w="1825" w:type="dxa"/>
            <w:tcMar>
              <w:left w:w="85" w:type="dxa"/>
              <w:right w:w="85" w:type="dxa"/>
            </w:tcMar>
          </w:tcPr>
          <w:p w14:paraId="3C8E3144" w14:textId="05FEB93C" w:rsidR="00AE7C68" w:rsidRPr="001C4C08" w:rsidRDefault="00AE7C68" w:rsidP="00AE7C68">
            <w:pPr>
              <w:spacing w:after="60"/>
            </w:pPr>
            <w:r w:rsidRPr="001C4C08">
              <w:rPr>
                <w:sz w:val="18"/>
                <w:szCs w:val="18"/>
              </w:rPr>
              <w:t>Flexible para acomodarse a las nuevas tendencias y cuestiones emergentes.</w:t>
            </w:r>
            <w:r w:rsidRPr="001C4C08">
              <w:t xml:space="preserve"> </w:t>
            </w:r>
          </w:p>
        </w:tc>
        <w:tc>
          <w:tcPr>
            <w:tcW w:w="1308" w:type="dxa"/>
            <w:tcMar>
              <w:left w:w="85" w:type="dxa"/>
              <w:right w:w="85" w:type="dxa"/>
            </w:tcMar>
          </w:tcPr>
          <w:p w14:paraId="72A862D9" w14:textId="07E378B9" w:rsidR="00781B80" w:rsidRPr="001C4C08" w:rsidRDefault="00026705" w:rsidP="00110ECD">
            <w:pPr>
              <w:spacing w:after="60"/>
              <w:rPr>
                <w:b/>
                <w:sz w:val="18"/>
                <w:szCs w:val="18"/>
              </w:rPr>
            </w:pPr>
            <w:r w:rsidRPr="001C4C08">
              <w:rPr>
                <w:b/>
                <w:sz w:val="18"/>
                <w:szCs w:val="18"/>
              </w:rPr>
              <w:t>No se requiere cambio.</w:t>
            </w:r>
          </w:p>
        </w:tc>
      </w:tr>
      <w:tr w:rsidR="00E617CB" w:rsidRPr="001C4C08" w14:paraId="15C49F2A" w14:textId="77777777" w:rsidTr="001C4C08">
        <w:trPr>
          <w:jc w:val="center"/>
        </w:trPr>
        <w:tc>
          <w:tcPr>
            <w:tcW w:w="1075" w:type="dxa"/>
            <w:shd w:val="clear" w:color="auto" w:fill="auto"/>
            <w:tcMar>
              <w:left w:w="85" w:type="dxa"/>
              <w:right w:w="85" w:type="dxa"/>
            </w:tcMar>
          </w:tcPr>
          <w:p w14:paraId="15B64462" w14:textId="51E1E6DF" w:rsidR="00E617CB" w:rsidRPr="001C4C08" w:rsidRDefault="00026705" w:rsidP="00E617CB">
            <w:pPr>
              <w:spacing w:after="60"/>
              <w:rPr>
                <w:rFonts w:cs="Calibri"/>
                <w:b/>
                <w:bCs/>
                <w:sz w:val="18"/>
                <w:szCs w:val="18"/>
              </w:rPr>
            </w:pPr>
            <w:bookmarkStart w:id="72" w:name="lt_pId210"/>
            <w:r w:rsidRPr="001C4C08">
              <w:rPr>
                <w:rFonts w:cs="Calibri"/>
                <w:b/>
                <w:bCs/>
                <w:sz w:val="18"/>
                <w:szCs w:val="18"/>
              </w:rPr>
              <w:t>Artículo</w:t>
            </w:r>
            <w:r w:rsidR="00E617CB" w:rsidRPr="001C4C08">
              <w:rPr>
                <w:rFonts w:cs="Calibri"/>
                <w:b/>
                <w:bCs/>
                <w:sz w:val="18"/>
                <w:szCs w:val="18"/>
              </w:rPr>
              <w:t xml:space="preserve"> 2</w:t>
            </w:r>
            <w:bookmarkEnd w:id="72"/>
          </w:p>
        </w:tc>
        <w:tc>
          <w:tcPr>
            <w:tcW w:w="2140" w:type="dxa"/>
            <w:shd w:val="clear" w:color="auto" w:fill="auto"/>
            <w:tcMar>
              <w:left w:w="85" w:type="dxa"/>
              <w:right w:w="85" w:type="dxa"/>
            </w:tcMar>
          </w:tcPr>
          <w:p w14:paraId="7F8DF8CE" w14:textId="71015AD2" w:rsidR="00E617CB" w:rsidRPr="001C4C08" w:rsidRDefault="00E617CB" w:rsidP="00E617CB">
            <w:pPr>
              <w:spacing w:after="60"/>
              <w:rPr>
                <w:rFonts w:cs="Calibri"/>
                <w:bCs/>
                <w:sz w:val="18"/>
                <w:szCs w:val="18"/>
              </w:rPr>
            </w:pPr>
            <w:r w:rsidRPr="001C4C08">
              <w:rPr>
                <w:rFonts w:cs="Calibri"/>
                <w:bCs/>
                <w:sz w:val="18"/>
                <w:szCs w:val="18"/>
              </w:rPr>
              <w:t>2.7</w:t>
            </w:r>
            <w:r w:rsidRPr="001C4C08">
              <w:rPr>
                <w:rFonts w:cs="Calibri"/>
                <w:bCs/>
                <w:sz w:val="18"/>
                <w:szCs w:val="18"/>
              </w:rPr>
              <w:tab/>
              <w:t>Relación: Intercambio de tráfico entre dos países terminales, asociado siempre a un servicio específico cuando existe entre sus empresas de explotación autorizadas:</w:t>
            </w:r>
          </w:p>
        </w:tc>
        <w:tc>
          <w:tcPr>
            <w:tcW w:w="2142" w:type="dxa"/>
            <w:shd w:val="clear" w:color="auto" w:fill="auto"/>
            <w:tcMar>
              <w:left w:w="85" w:type="dxa"/>
              <w:right w:w="85" w:type="dxa"/>
            </w:tcMar>
          </w:tcPr>
          <w:p w14:paraId="7A85B983" w14:textId="6FBC2201" w:rsidR="00E617CB" w:rsidRPr="001C4C08" w:rsidRDefault="00E617CB" w:rsidP="00E617CB">
            <w:pPr>
              <w:spacing w:after="60"/>
              <w:rPr>
                <w:rFonts w:cs="Calibri"/>
                <w:bCs/>
                <w:sz w:val="18"/>
                <w:szCs w:val="18"/>
              </w:rPr>
            </w:pPr>
            <w:r w:rsidRPr="001C4C08">
              <w:rPr>
                <w:rFonts w:cs="Calibri"/>
                <w:bCs/>
                <w:sz w:val="18"/>
                <w:szCs w:val="18"/>
              </w:rPr>
              <w:t>2.7</w:t>
            </w:r>
            <w:r w:rsidRPr="001C4C08">
              <w:rPr>
                <w:rFonts w:cs="Calibri"/>
                <w:bCs/>
                <w:sz w:val="18"/>
                <w:szCs w:val="18"/>
              </w:rPr>
              <w:tab/>
              <w:t>Relación: Intercambio de tráfico entre dos países terminales, asociado siempre a un servicio específico cuando existe entre sus administraciones*:</w:t>
            </w:r>
          </w:p>
        </w:tc>
        <w:tc>
          <w:tcPr>
            <w:tcW w:w="2029" w:type="dxa"/>
            <w:shd w:val="clear" w:color="auto" w:fill="auto"/>
            <w:tcMar>
              <w:left w:w="85" w:type="dxa"/>
              <w:right w:w="85" w:type="dxa"/>
            </w:tcMar>
          </w:tcPr>
          <w:p w14:paraId="42A70E3F" w14:textId="6DC6E225" w:rsidR="00E617CB" w:rsidRPr="001C4C08" w:rsidRDefault="00AE7C68" w:rsidP="00E617CB">
            <w:pPr>
              <w:spacing w:after="60"/>
              <w:rPr>
                <w:sz w:val="18"/>
                <w:szCs w:val="18"/>
              </w:rPr>
            </w:pPr>
            <w:bookmarkStart w:id="73" w:name="lt_pId215"/>
            <w:r w:rsidRPr="001C4C08">
              <w:rPr>
                <w:sz w:val="18"/>
                <w:szCs w:val="18"/>
              </w:rPr>
              <w:t>Aplicable</w:t>
            </w:r>
            <w:r w:rsidR="00E617CB" w:rsidRPr="001C4C08">
              <w:rPr>
                <w:sz w:val="18"/>
                <w:szCs w:val="18"/>
              </w:rPr>
              <w:t>.</w:t>
            </w:r>
            <w:bookmarkEnd w:id="73"/>
          </w:p>
        </w:tc>
        <w:tc>
          <w:tcPr>
            <w:tcW w:w="1825" w:type="dxa"/>
            <w:shd w:val="clear" w:color="auto" w:fill="auto"/>
            <w:tcMar>
              <w:left w:w="85" w:type="dxa"/>
              <w:right w:w="85" w:type="dxa"/>
            </w:tcMar>
          </w:tcPr>
          <w:p w14:paraId="5F66FE1A" w14:textId="44358B9C" w:rsidR="00E617CB" w:rsidRPr="001C4C08" w:rsidRDefault="00E617CB" w:rsidP="00E617CB">
            <w:pPr>
              <w:spacing w:after="60"/>
              <w:rPr>
                <w:sz w:val="18"/>
                <w:szCs w:val="18"/>
              </w:rPr>
            </w:pPr>
            <w:bookmarkStart w:id="74" w:name="lt_pId216"/>
            <w:r w:rsidRPr="001C4C08">
              <w:rPr>
                <w:b/>
                <w:sz w:val="18"/>
                <w:szCs w:val="18"/>
              </w:rPr>
              <w:t>No</w:t>
            </w:r>
            <w:r w:rsidR="00AE7C68" w:rsidRPr="001C4C08">
              <w:rPr>
                <w:b/>
                <w:sz w:val="18"/>
                <w:szCs w:val="18"/>
              </w:rPr>
              <w:t xml:space="preserve"> es lo suficientemente </w:t>
            </w:r>
            <w:r w:rsidRPr="001C4C08">
              <w:rPr>
                <w:b/>
                <w:sz w:val="18"/>
                <w:szCs w:val="18"/>
              </w:rPr>
              <w:t>flexible:</w:t>
            </w:r>
            <w:r w:rsidRPr="001C4C08">
              <w:rPr>
                <w:sz w:val="18"/>
                <w:szCs w:val="18"/>
              </w:rPr>
              <w:t xml:space="preserve"> </w:t>
            </w:r>
            <w:r w:rsidR="00AE7C68" w:rsidRPr="001C4C08">
              <w:rPr>
                <w:sz w:val="18"/>
                <w:szCs w:val="18"/>
              </w:rPr>
              <w:t>El término es aplicable en el contexto del RTI, sin embargo, la pertinencia de su inclusión no está clara y el intento de definir el término lo hace inflexible.</w:t>
            </w:r>
            <w:bookmarkEnd w:id="74"/>
          </w:p>
        </w:tc>
        <w:tc>
          <w:tcPr>
            <w:tcW w:w="1308" w:type="dxa"/>
            <w:shd w:val="clear" w:color="auto" w:fill="auto"/>
            <w:tcMar>
              <w:left w:w="85" w:type="dxa"/>
              <w:right w:w="85" w:type="dxa"/>
            </w:tcMar>
          </w:tcPr>
          <w:p w14:paraId="606ECD3E" w14:textId="5696ED19" w:rsidR="00E617CB" w:rsidRPr="001C4C08" w:rsidRDefault="00026705" w:rsidP="00E617CB">
            <w:pPr>
              <w:spacing w:after="60"/>
              <w:rPr>
                <w:b/>
                <w:sz w:val="18"/>
                <w:szCs w:val="18"/>
              </w:rPr>
            </w:pPr>
            <w:bookmarkStart w:id="75" w:name="lt_pId217"/>
            <w:r w:rsidRPr="001C4C08">
              <w:rPr>
                <w:b/>
                <w:sz w:val="18"/>
                <w:szCs w:val="18"/>
              </w:rPr>
              <w:t>Estudiar la supresión o el perfeccionamiento de la definición</w:t>
            </w:r>
            <w:r w:rsidR="00E617CB" w:rsidRPr="001C4C08">
              <w:rPr>
                <w:b/>
                <w:sz w:val="18"/>
                <w:szCs w:val="18"/>
              </w:rPr>
              <w:t>.</w:t>
            </w:r>
            <w:bookmarkEnd w:id="75"/>
          </w:p>
        </w:tc>
      </w:tr>
      <w:tr w:rsidR="00781B80" w:rsidRPr="001C4C08" w14:paraId="27139AFC" w14:textId="77777777" w:rsidTr="001C4C08">
        <w:trPr>
          <w:jc w:val="center"/>
        </w:trPr>
        <w:tc>
          <w:tcPr>
            <w:tcW w:w="1075" w:type="dxa"/>
            <w:tcMar>
              <w:left w:w="85" w:type="dxa"/>
              <w:right w:w="85" w:type="dxa"/>
            </w:tcMar>
          </w:tcPr>
          <w:p w14:paraId="331AC75B" w14:textId="77777777" w:rsidR="00781B80" w:rsidRPr="001C4C08" w:rsidRDefault="00781B80" w:rsidP="00110ECD">
            <w:pPr>
              <w:spacing w:after="60"/>
              <w:jc w:val="both"/>
              <w:rPr>
                <w:rFonts w:cs="Calibri"/>
                <w:bCs/>
                <w:sz w:val="18"/>
                <w:szCs w:val="18"/>
              </w:rPr>
            </w:pPr>
          </w:p>
        </w:tc>
        <w:tc>
          <w:tcPr>
            <w:tcW w:w="2140" w:type="dxa"/>
            <w:tcMar>
              <w:left w:w="85" w:type="dxa"/>
              <w:right w:w="85" w:type="dxa"/>
            </w:tcMar>
          </w:tcPr>
          <w:p w14:paraId="2CAC5106" w14:textId="0EBB3934" w:rsidR="00E617CB" w:rsidRPr="001C4C08" w:rsidRDefault="00781B80" w:rsidP="00E617CB">
            <w:pPr>
              <w:pStyle w:val="Tabletext"/>
              <w:tabs>
                <w:tab w:val="left" w:pos="457"/>
                <w:tab w:val="left" w:pos="1024"/>
              </w:tabs>
              <w:rPr>
                <w:rFonts w:cs="Calibri"/>
                <w:bCs/>
                <w:sz w:val="18"/>
                <w:szCs w:val="18"/>
              </w:rPr>
            </w:pPr>
            <w:bookmarkStart w:id="76" w:name="lt_pId218"/>
            <w:r w:rsidRPr="001C4C08">
              <w:rPr>
                <w:rFonts w:cs="Calibri"/>
                <w:bCs/>
                <w:sz w:val="18"/>
                <w:szCs w:val="18"/>
              </w:rPr>
              <w:t>2.7 a)</w:t>
            </w:r>
            <w:bookmarkEnd w:id="76"/>
            <w:r w:rsidR="001C4C08">
              <w:rPr>
                <w:rFonts w:cs="Calibri"/>
                <w:bCs/>
                <w:sz w:val="18"/>
                <w:szCs w:val="18"/>
              </w:rPr>
              <w:tab/>
            </w:r>
            <w:r w:rsidR="00E617CB" w:rsidRPr="001C4C08">
              <w:rPr>
                <w:rFonts w:cs="Calibri"/>
                <w:bCs/>
                <w:sz w:val="18"/>
                <w:szCs w:val="18"/>
              </w:rPr>
              <w:t>un medio de intercambiar el tráfico de este servicio específico</w:t>
            </w:r>
          </w:p>
          <w:p w14:paraId="69AD29A5" w14:textId="77777777" w:rsidR="00E617CB" w:rsidRPr="001C4C08" w:rsidRDefault="00E617CB" w:rsidP="00E617CB">
            <w:pPr>
              <w:pStyle w:val="Tabletext"/>
              <w:tabs>
                <w:tab w:val="left" w:pos="457"/>
                <w:tab w:val="left" w:pos="1024"/>
              </w:tabs>
              <w:ind w:left="457" w:hanging="457"/>
              <w:rPr>
                <w:rFonts w:cs="Calibri"/>
                <w:bCs/>
                <w:sz w:val="18"/>
                <w:szCs w:val="18"/>
              </w:rPr>
            </w:pPr>
            <w:r w:rsidRPr="001C4C08">
              <w:rPr>
                <w:rFonts w:cs="Calibri"/>
                <w:bCs/>
                <w:sz w:val="18"/>
                <w:szCs w:val="18"/>
              </w:rPr>
              <w:t>–</w:t>
            </w:r>
            <w:r w:rsidRPr="001C4C08">
              <w:rPr>
                <w:rFonts w:cs="Calibri"/>
                <w:bCs/>
                <w:sz w:val="18"/>
                <w:szCs w:val="18"/>
              </w:rPr>
              <w:tab/>
              <w:t>por circuitos directos (relación directa), o</w:t>
            </w:r>
          </w:p>
          <w:p w14:paraId="325D637B" w14:textId="3323904F" w:rsidR="00781B80" w:rsidRPr="001C4C08" w:rsidRDefault="00E617CB" w:rsidP="001C4C08">
            <w:pPr>
              <w:pStyle w:val="Tabletext"/>
              <w:tabs>
                <w:tab w:val="left" w:pos="457"/>
                <w:tab w:val="left" w:pos="1024"/>
              </w:tabs>
              <w:ind w:left="457" w:hanging="457"/>
              <w:rPr>
                <w:rFonts w:cs="Calibri"/>
                <w:bCs/>
                <w:sz w:val="18"/>
                <w:szCs w:val="18"/>
              </w:rPr>
            </w:pPr>
            <w:r w:rsidRPr="001C4C08">
              <w:rPr>
                <w:rFonts w:cs="Calibri"/>
                <w:bCs/>
                <w:sz w:val="18"/>
                <w:szCs w:val="18"/>
              </w:rPr>
              <w:t>–</w:t>
            </w:r>
            <w:r w:rsidRPr="001C4C08">
              <w:rPr>
                <w:rFonts w:cs="Calibri"/>
                <w:bCs/>
                <w:sz w:val="18"/>
                <w:szCs w:val="18"/>
              </w:rPr>
              <w:tab/>
              <w:t>por un punto de tránsito en un tercer país (relación indirecta), y</w:t>
            </w:r>
          </w:p>
        </w:tc>
        <w:tc>
          <w:tcPr>
            <w:tcW w:w="2142" w:type="dxa"/>
            <w:tcMar>
              <w:left w:w="85" w:type="dxa"/>
              <w:right w:w="85" w:type="dxa"/>
            </w:tcMar>
          </w:tcPr>
          <w:p w14:paraId="3FFABFFC" w14:textId="7C5AF7E4" w:rsidR="00E617CB" w:rsidRPr="001C4C08" w:rsidRDefault="00781B80" w:rsidP="001C4C08">
            <w:pPr>
              <w:pStyle w:val="Tabletext"/>
              <w:tabs>
                <w:tab w:val="left" w:pos="457"/>
                <w:tab w:val="left" w:pos="1024"/>
              </w:tabs>
              <w:rPr>
                <w:rFonts w:cs="Calibri"/>
                <w:bCs/>
                <w:sz w:val="18"/>
                <w:szCs w:val="18"/>
              </w:rPr>
            </w:pPr>
            <w:bookmarkStart w:id="77" w:name="lt_pId220"/>
            <w:r w:rsidRPr="001C4C08">
              <w:rPr>
                <w:rFonts w:cs="Calibri"/>
                <w:bCs/>
                <w:sz w:val="18"/>
                <w:szCs w:val="18"/>
              </w:rPr>
              <w:t>2.7</w:t>
            </w:r>
            <w:bookmarkEnd w:id="77"/>
            <w:r w:rsidR="00841D46" w:rsidRPr="001C4C08">
              <w:rPr>
                <w:rFonts w:cs="Calibri"/>
                <w:bCs/>
                <w:sz w:val="18"/>
                <w:szCs w:val="18"/>
              </w:rPr>
              <w:t xml:space="preserve"> </w:t>
            </w:r>
            <w:r w:rsidR="00841D46" w:rsidRPr="001C4C08">
              <w:rPr>
                <w:rFonts w:cs="Calibri"/>
                <w:bCs/>
                <w:sz w:val="18"/>
                <w:szCs w:val="18"/>
              </w:rPr>
              <w:t>a)</w:t>
            </w:r>
            <w:r w:rsidR="00841D46">
              <w:rPr>
                <w:rFonts w:cs="Calibri"/>
                <w:bCs/>
                <w:sz w:val="18"/>
                <w:szCs w:val="18"/>
              </w:rPr>
              <w:tab/>
            </w:r>
            <w:r w:rsidR="00E617CB" w:rsidRPr="001C4C08">
              <w:rPr>
                <w:rFonts w:cs="Calibri"/>
                <w:bCs/>
                <w:sz w:val="18"/>
                <w:szCs w:val="18"/>
              </w:rPr>
              <w:t>un medio de intercambiar el tráfico de este servicio específico</w:t>
            </w:r>
          </w:p>
          <w:p w14:paraId="11A3F84C" w14:textId="77777777" w:rsidR="00E617CB" w:rsidRPr="001C4C08" w:rsidRDefault="00E617CB" w:rsidP="00E617CB">
            <w:pPr>
              <w:pStyle w:val="Tabletext"/>
              <w:tabs>
                <w:tab w:val="left" w:pos="457"/>
                <w:tab w:val="left" w:pos="1024"/>
              </w:tabs>
              <w:ind w:left="457" w:hanging="457"/>
              <w:rPr>
                <w:rFonts w:cs="Calibri"/>
                <w:bCs/>
                <w:sz w:val="18"/>
                <w:szCs w:val="18"/>
              </w:rPr>
            </w:pPr>
            <w:r w:rsidRPr="001C4C08">
              <w:rPr>
                <w:rFonts w:cs="Calibri"/>
                <w:bCs/>
                <w:sz w:val="18"/>
                <w:szCs w:val="18"/>
              </w:rPr>
              <w:t>–</w:t>
            </w:r>
            <w:r w:rsidRPr="001C4C08">
              <w:rPr>
                <w:rFonts w:cs="Calibri"/>
                <w:bCs/>
                <w:sz w:val="18"/>
                <w:szCs w:val="18"/>
              </w:rPr>
              <w:tab/>
              <w:t xml:space="preserve">por circuitos </w:t>
            </w:r>
            <w:bookmarkStart w:id="78" w:name="_GoBack"/>
            <w:bookmarkEnd w:id="78"/>
            <w:r w:rsidRPr="001C4C08">
              <w:rPr>
                <w:rFonts w:cs="Calibri"/>
                <w:bCs/>
                <w:sz w:val="18"/>
                <w:szCs w:val="18"/>
              </w:rPr>
              <w:t>directos (relación directa), o</w:t>
            </w:r>
          </w:p>
          <w:p w14:paraId="6C98FF30" w14:textId="5A79359A" w:rsidR="00781B80" w:rsidRPr="001C4C08" w:rsidRDefault="00E617CB" w:rsidP="001C4C08">
            <w:pPr>
              <w:pStyle w:val="Tabletext"/>
              <w:tabs>
                <w:tab w:val="left" w:pos="457"/>
                <w:tab w:val="left" w:pos="1024"/>
              </w:tabs>
              <w:ind w:left="457" w:hanging="457"/>
              <w:rPr>
                <w:rFonts w:cs="Calibri"/>
                <w:bCs/>
                <w:sz w:val="18"/>
                <w:szCs w:val="18"/>
              </w:rPr>
            </w:pPr>
            <w:r w:rsidRPr="001C4C08">
              <w:rPr>
                <w:rFonts w:cs="Calibri"/>
                <w:bCs/>
                <w:sz w:val="18"/>
                <w:szCs w:val="18"/>
              </w:rPr>
              <w:t>–</w:t>
            </w:r>
            <w:r w:rsidRPr="001C4C08">
              <w:rPr>
                <w:rFonts w:cs="Calibri"/>
                <w:bCs/>
                <w:sz w:val="18"/>
                <w:szCs w:val="18"/>
              </w:rPr>
              <w:tab/>
              <w:t>por un punto de tránsito en un tercer país (relación indirecta), y</w:t>
            </w:r>
          </w:p>
        </w:tc>
        <w:tc>
          <w:tcPr>
            <w:tcW w:w="2029" w:type="dxa"/>
            <w:tcMar>
              <w:left w:w="85" w:type="dxa"/>
              <w:right w:w="85" w:type="dxa"/>
            </w:tcMar>
          </w:tcPr>
          <w:p w14:paraId="66E88E92" w14:textId="518913DE" w:rsidR="00781B80" w:rsidRPr="001C4C08" w:rsidRDefault="00AE7C68" w:rsidP="00110ECD">
            <w:pPr>
              <w:spacing w:after="60"/>
              <w:rPr>
                <w:sz w:val="18"/>
                <w:szCs w:val="18"/>
              </w:rPr>
            </w:pPr>
            <w:bookmarkStart w:id="79" w:name="lt_pId222"/>
            <w:r w:rsidRPr="001C4C08">
              <w:rPr>
                <w:sz w:val="18"/>
                <w:szCs w:val="18"/>
              </w:rPr>
              <w:t>Esta disposición apoya la oferta y el desarrollo de redes y servicios</w:t>
            </w:r>
            <w:r w:rsidR="00781B80" w:rsidRPr="001C4C08">
              <w:rPr>
                <w:sz w:val="18"/>
                <w:szCs w:val="18"/>
              </w:rPr>
              <w:t>.</w:t>
            </w:r>
            <w:bookmarkEnd w:id="79"/>
          </w:p>
        </w:tc>
        <w:tc>
          <w:tcPr>
            <w:tcW w:w="1825" w:type="dxa"/>
            <w:tcMar>
              <w:left w:w="85" w:type="dxa"/>
              <w:right w:w="85" w:type="dxa"/>
            </w:tcMar>
          </w:tcPr>
          <w:p w14:paraId="0E73B24D" w14:textId="77777777" w:rsidR="00781B80" w:rsidRPr="001C4C08" w:rsidRDefault="00781B80" w:rsidP="00110ECD">
            <w:pPr>
              <w:spacing w:after="60"/>
              <w:rPr>
                <w:sz w:val="18"/>
                <w:szCs w:val="18"/>
              </w:rPr>
            </w:pPr>
            <w:bookmarkStart w:id="80" w:name="lt_pId223"/>
            <w:r w:rsidRPr="001C4C08">
              <w:rPr>
                <w:sz w:val="18"/>
                <w:szCs w:val="18"/>
              </w:rPr>
              <w:t>Flexible.</w:t>
            </w:r>
            <w:bookmarkEnd w:id="80"/>
          </w:p>
        </w:tc>
        <w:tc>
          <w:tcPr>
            <w:tcW w:w="1308" w:type="dxa"/>
            <w:tcMar>
              <w:left w:w="85" w:type="dxa"/>
              <w:right w:w="85" w:type="dxa"/>
            </w:tcMar>
          </w:tcPr>
          <w:p w14:paraId="1DB0EA27" w14:textId="370825EE" w:rsidR="00781B80" w:rsidRPr="001C4C08" w:rsidRDefault="00026705" w:rsidP="00110ECD">
            <w:pPr>
              <w:spacing w:after="60"/>
              <w:rPr>
                <w:b/>
                <w:bCs/>
                <w:sz w:val="18"/>
                <w:szCs w:val="18"/>
              </w:rPr>
            </w:pPr>
            <w:r w:rsidRPr="001C4C08">
              <w:rPr>
                <w:b/>
                <w:bCs/>
                <w:sz w:val="18"/>
                <w:szCs w:val="18"/>
              </w:rPr>
              <w:t>No se requiere cambio.</w:t>
            </w:r>
          </w:p>
        </w:tc>
      </w:tr>
      <w:tr w:rsidR="00781B80" w:rsidRPr="001C4C08" w14:paraId="33EFE19C" w14:textId="77777777" w:rsidTr="001C4C08">
        <w:trPr>
          <w:jc w:val="center"/>
        </w:trPr>
        <w:tc>
          <w:tcPr>
            <w:tcW w:w="1075" w:type="dxa"/>
            <w:tcMar>
              <w:left w:w="85" w:type="dxa"/>
              <w:right w:w="85" w:type="dxa"/>
            </w:tcMar>
          </w:tcPr>
          <w:p w14:paraId="362D6D98" w14:textId="77777777" w:rsidR="00781B80" w:rsidRPr="001C4C08" w:rsidRDefault="00781B80" w:rsidP="00110ECD">
            <w:pPr>
              <w:spacing w:after="60"/>
              <w:rPr>
                <w:rFonts w:cs="Calibri"/>
                <w:bCs/>
                <w:sz w:val="18"/>
                <w:szCs w:val="18"/>
              </w:rPr>
            </w:pPr>
          </w:p>
        </w:tc>
        <w:tc>
          <w:tcPr>
            <w:tcW w:w="2140" w:type="dxa"/>
            <w:tcMar>
              <w:left w:w="85" w:type="dxa"/>
              <w:right w:w="85" w:type="dxa"/>
            </w:tcMar>
          </w:tcPr>
          <w:p w14:paraId="2646ABEB" w14:textId="09B4F8F2" w:rsidR="00781B80" w:rsidRPr="001C4C08" w:rsidRDefault="00781B80" w:rsidP="00110ECD">
            <w:pPr>
              <w:spacing w:after="60"/>
              <w:rPr>
                <w:rFonts w:cs="Calibri"/>
                <w:bCs/>
                <w:sz w:val="18"/>
                <w:szCs w:val="18"/>
              </w:rPr>
            </w:pPr>
            <w:bookmarkStart w:id="81" w:name="lt_pId225"/>
            <w:r w:rsidRPr="001C4C08">
              <w:rPr>
                <w:rFonts w:cs="Calibri"/>
                <w:bCs/>
                <w:sz w:val="18"/>
                <w:szCs w:val="18"/>
              </w:rPr>
              <w:t>2.7 b)</w:t>
            </w:r>
            <w:r w:rsidR="001C4C08">
              <w:rPr>
                <w:rFonts w:cs="Calibri"/>
                <w:bCs/>
                <w:sz w:val="18"/>
                <w:szCs w:val="18"/>
              </w:rPr>
              <w:tab/>
            </w:r>
            <w:r w:rsidR="00D3074A" w:rsidRPr="001C4C08">
              <w:rPr>
                <w:rFonts w:cs="Calibri"/>
                <w:bCs/>
                <w:sz w:val="18"/>
                <w:szCs w:val="18"/>
              </w:rPr>
              <w:t>normalmente, liquidación de cuentas.</w:t>
            </w:r>
            <w:bookmarkEnd w:id="81"/>
          </w:p>
        </w:tc>
        <w:tc>
          <w:tcPr>
            <w:tcW w:w="2142" w:type="dxa"/>
            <w:tcMar>
              <w:left w:w="85" w:type="dxa"/>
              <w:right w:w="85" w:type="dxa"/>
            </w:tcMar>
          </w:tcPr>
          <w:p w14:paraId="68BBC81A" w14:textId="44D00910" w:rsidR="00781B80" w:rsidRPr="001C4C08" w:rsidRDefault="00781B80" w:rsidP="00110ECD">
            <w:pPr>
              <w:spacing w:after="60"/>
              <w:ind w:left="-44"/>
              <w:rPr>
                <w:rFonts w:cs="Calibri"/>
                <w:bCs/>
                <w:sz w:val="18"/>
                <w:szCs w:val="18"/>
              </w:rPr>
            </w:pPr>
            <w:bookmarkStart w:id="82" w:name="lt_pId226"/>
            <w:r w:rsidRPr="001C4C08">
              <w:rPr>
                <w:rFonts w:cs="Calibri"/>
                <w:bCs/>
                <w:sz w:val="18"/>
                <w:szCs w:val="18"/>
              </w:rPr>
              <w:t>2.7 b)</w:t>
            </w:r>
            <w:r w:rsidR="001C4C08">
              <w:rPr>
                <w:rFonts w:cs="Calibri"/>
                <w:bCs/>
                <w:sz w:val="18"/>
                <w:szCs w:val="18"/>
              </w:rPr>
              <w:tab/>
            </w:r>
            <w:r w:rsidR="00D3074A" w:rsidRPr="001C4C08">
              <w:rPr>
                <w:rFonts w:cs="Calibri"/>
                <w:bCs/>
                <w:sz w:val="18"/>
                <w:szCs w:val="18"/>
              </w:rPr>
              <w:t>normalmente, liquidación de cuentas.</w:t>
            </w:r>
            <w:bookmarkEnd w:id="82"/>
          </w:p>
        </w:tc>
        <w:tc>
          <w:tcPr>
            <w:tcW w:w="2029" w:type="dxa"/>
            <w:tcMar>
              <w:left w:w="85" w:type="dxa"/>
              <w:right w:w="85" w:type="dxa"/>
            </w:tcMar>
          </w:tcPr>
          <w:p w14:paraId="07A701A5" w14:textId="459496C5" w:rsidR="00781B80" w:rsidRPr="001C4C08" w:rsidRDefault="001943E1" w:rsidP="00110ECD">
            <w:pPr>
              <w:spacing w:after="60"/>
              <w:jc w:val="center"/>
              <w:rPr>
                <w:bCs/>
                <w:sz w:val="18"/>
                <w:szCs w:val="18"/>
              </w:rPr>
            </w:pPr>
            <w:r w:rsidRPr="001C4C08">
              <w:rPr>
                <w:bCs/>
                <w:sz w:val="18"/>
                <w:szCs w:val="18"/>
              </w:rPr>
              <w:t>–</w:t>
            </w:r>
          </w:p>
        </w:tc>
        <w:tc>
          <w:tcPr>
            <w:tcW w:w="1825" w:type="dxa"/>
            <w:tcMar>
              <w:left w:w="85" w:type="dxa"/>
              <w:right w:w="85" w:type="dxa"/>
            </w:tcMar>
          </w:tcPr>
          <w:p w14:paraId="113F0DE0" w14:textId="5EFB2E89" w:rsidR="00781B80" w:rsidRPr="001C4C08" w:rsidRDefault="001943E1" w:rsidP="00110ECD">
            <w:pPr>
              <w:spacing w:after="60"/>
              <w:jc w:val="center"/>
              <w:rPr>
                <w:bCs/>
                <w:sz w:val="18"/>
                <w:szCs w:val="18"/>
              </w:rPr>
            </w:pPr>
            <w:r w:rsidRPr="001C4C08">
              <w:rPr>
                <w:bCs/>
                <w:sz w:val="18"/>
                <w:szCs w:val="18"/>
              </w:rPr>
              <w:t>–</w:t>
            </w:r>
          </w:p>
        </w:tc>
        <w:tc>
          <w:tcPr>
            <w:tcW w:w="1308" w:type="dxa"/>
            <w:tcMar>
              <w:left w:w="85" w:type="dxa"/>
              <w:right w:w="85" w:type="dxa"/>
            </w:tcMar>
          </w:tcPr>
          <w:p w14:paraId="2561CC85" w14:textId="648ED9AF" w:rsidR="00781B80" w:rsidRPr="001C4C08" w:rsidRDefault="00026705" w:rsidP="00110ECD">
            <w:pPr>
              <w:spacing w:after="60"/>
              <w:rPr>
                <w:b/>
                <w:sz w:val="18"/>
                <w:szCs w:val="18"/>
              </w:rPr>
            </w:pPr>
            <w:r w:rsidRPr="001C4C08">
              <w:rPr>
                <w:b/>
                <w:sz w:val="18"/>
                <w:szCs w:val="18"/>
              </w:rPr>
              <w:t>No se requiere cambio.</w:t>
            </w:r>
          </w:p>
        </w:tc>
      </w:tr>
      <w:tr w:rsidR="00D3074A" w:rsidRPr="001C4C08" w14:paraId="67F0D89F" w14:textId="77777777" w:rsidTr="001C4C08">
        <w:trPr>
          <w:jc w:val="center"/>
        </w:trPr>
        <w:tc>
          <w:tcPr>
            <w:tcW w:w="1075" w:type="dxa"/>
            <w:shd w:val="clear" w:color="auto" w:fill="auto"/>
            <w:tcMar>
              <w:left w:w="85" w:type="dxa"/>
              <w:right w:w="85" w:type="dxa"/>
            </w:tcMar>
          </w:tcPr>
          <w:p w14:paraId="151E2800" w14:textId="1BFB7655" w:rsidR="00D3074A" w:rsidRPr="001C4C08" w:rsidRDefault="00026705" w:rsidP="00D3074A">
            <w:pPr>
              <w:spacing w:after="60"/>
              <w:rPr>
                <w:rFonts w:cs="Calibri"/>
                <w:b/>
                <w:bCs/>
                <w:sz w:val="18"/>
                <w:szCs w:val="18"/>
              </w:rPr>
            </w:pPr>
            <w:bookmarkStart w:id="83" w:name="lt_pId230"/>
            <w:r w:rsidRPr="001C4C08">
              <w:rPr>
                <w:rFonts w:cs="Calibri"/>
                <w:b/>
                <w:bCs/>
                <w:sz w:val="18"/>
                <w:szCs w:val="18"/>
              </w:rPr>
              <w:t>Artículo</w:t>
            </w:r>
            <w:r w:rsidR="00D3074A" w:rsidRPr="001C4C08">
              <w:rPr>
                <w:rFonts w:cs="Calibri"/>
                <w:b/>
                <w:bCs/>
                <w:sz w:val="18"/>
                <w:szCs w:val="18"/>
              </w:rPr>
              <w:t xml:space="preserve"> 2</w:t>
            </w:r>
            <w:bookmarkEnd w:id="83"/>
          </w:p>
        </w:tc>
        <w:tc>
          <w:tcPr>
            <w:tcW w:w="2140" w:type="dxa"/>
            <w:shd w:val="clear" w:color="auto" w:fill="auto"/>
            <w:tcMar>
              <w:left w:w="85" w:type="dxa"/>
              <w:right w:w="85" w:type="dxa"/>
            </w:tcMar>
          </w:tcPr>
          <w:p w14:paraId="039D10D0" w14:textId="6CE0232B" w:rsidR="00D3074A" w:rsidRPr="001C4C08" w:rsidRDefault="00D3074A" w:rsidP="00D3074A">
            <w:pPr>
              <w:spacing w:after="60"/>
              <w:rPr>
                <w:rFonts w:cs="Calibri"/>
                <w:bCs/>
                <w:sz w:val="18"/>
                <w:szCs w:val="18"/>
              </w:rPr>
            </w:pPr>
            <w:r w:rsidRPr="001C4C08">
              <w:rPr>
                <w:rFonts w:cs="Calibri"/>
                <w:bCs/>
                <w:sz w:val="18"/>
                <w:szCs w:val="18"/>
              </w:rPr>
              <w:t>2.8</w:t>
            </w:r>
            <w:r w:rsidRPr="001C4C08">
              <w:rPr>
                <w:rFonts w:cs="Calibri"/>
                <w:bCs/>
                <w:sz w:val="18"/>
                <w:szCs w:val="18"/>
              </w:rPr>
              <w:tab/>
              <w:t>Tasa de distribución: Tasa fijada por acuerdo entre empresas de explotación autorizadas en una relación dada y que sirve para el establecimiento de las cuentas internacionales.</w:t>
            </w:r>
          </w:p>
        </w:tc>
        <w:tc>
          <w:tcPr>
            <w:tcW w:w="2142" w:type="dxa"/>
            <w:shd w:val="clear" w:color="auto" w:fill="auto"/>
            <w:tcMar>
              <w:left w:w="85" w:type="dxa"/>
              <w:right w:w="85" w:type="dxa"/>
            </w:tcMar>
          </w:tcPr>
          <w:p w14:paraId="37A74AE7" w14:textId="62FDE4A0" w:rsidR="00D3074A" w:rsidRPr="001C4C08" w:rsidRDefault="00D3074A" w:rsidP="00D3074A">
            <w:pPr>
              <w:spacing w:after="60"/>
              <w:ind w:left="-44"/>
              <w:rPr>
                <w:rFonts w:cs="Calibri"/>
                <w:bCs/>
                <w:sz w:val="18"/>
                <w:szCs w:val="18"/>
              </w:rPr>
            </w:pPr>
            <w:r w:rsidRPr="001C4C08">
              <w:rPr>
                <w:rFonts w:cs="Calibri"/>
                <w:bCs/>
                <w:sz w:val="18"/>
                <w:szCs w:val="18"/>
              </w:rPr>
              <w:t>2.8</w:t>
            </w:r>
            <w:r w:rsidRPr="001C4C08">
              <w:rPr>
                <w:rFonts w:cs="Calibri"/>
                <w:bCs/>
                <w:sz w:val="18"/>
                <w:szCs w:val="18"/>
              </w:rPr>
              <w:tab/>
              <w:t>Tasa de distribución: Tasa fijada por acuerdo entre administraciones* en una relación dada y que sirve para el establecimiento de las cuentas internacionales.</w:t>
            </w:r>
          </w:p>
        </w:tc>
        <w:tc>
          <w:tcPr>
            <w:tcW w:w="2029" w:type="dxa"/>
            <w:shd w:val="clear" w:color="auto" w:fill="auto"/>
            <w:tcMar>
              <w:left w:w="85" w:type="dxa"/>
              <w:right w:w="85" w:type="dxa"/>
            </w:tcMar>
          </w:tcPr>
          <w:p w14:paraId="6DFC7C74" w14:textId="3DFBD9D4" w:rsidR="00D3074A" w:rsidRPr="001C4C08" w:rsidRDefault="00AE7C68" w:rsidP="00D3074A">
            <w:pPr>
              <w:spacing w:after="60"/>
              <w:rPr>
                <w:sz w:val="18"/>
                <w:szCs w:val="18"/>
              </w:rPr>
            </w:pPr>
            <w:r w:rsidRPr="001C4C08">
              <w:rPr>
                <w:sz w:val="18"/>
                <w:szCs w:val="18"/>
              </w:rPr>
              <w:t>Aunque se reconoce que los principios de la tasa de distribución pueden seguir siendo aplicables en algunos países, las empresas de explotación</w:t>
            </w:r>
            <w:r w:rsidR="00F6203A" w:rsidRPr="001C4C08">
              <w:rPr>
                <w:sz w:val="18"/>
                <w:szCs w:val="18"/>
              </w:rPr>
              <w:t xml:space="preserve"> autorizadas</w:t>
            </w:r>
            <w:r w:rsidRPr="001C4C08">
              <w:rPr>
                <w:sz w:val="18"/>
                <w:szCs w:val="18"/>
              </w:rPr>
              <w:t>/titulares de licencias ya no los utilizan. Los términos y condiciones de los acuerdos internacionales se establecen mediante acuerdos comerciales</w:t>
            </w:r>
            <w:bookmarkStart w:id="84" w:name="lt_pId236"/>
            <w:r w:rsidR="00D3074A" w:rsidRPr="001C4C08">
              <w:rPr>
                <w:sz w:val="18"/>
                <w:szCs w:val="18"/>
              </w:rPr>
              <w:t>.</w:t>
            </w:r>
            <w:bookmarkEnd w:id="84"/>
          </w:p>
        </w:tc>
        <w:tc>
          <w:tcPr>
            <w:tcW w:w="1825" w:type="dxa"/>
            <w:shd w:val="clear" w:color="auto" w:fill="auto"/>
            <w:tcMar>
              <w:left w:w="85" w:type="dxa"/>
              <w:right w:w="85" w:type="dxa"/>
            </w:tcMar>
          </w:tcPr>
          <w:p w14:paraId="3A880509" w14:textId="251656C1" w:rsidR="00D3074A" w:rsidRPr="001C4C08" w:rsidRDefault="00F6203A" w:rsidP="00D3074A">
            <w:pPr>
              <w:spacing w:after="60"/>
              <w:rPr>
                <w:sz w:val="18"/>
                <w:szCs w:val="18"/>
              </w:rPr>
            </w:pPr>
            <w:bookmarkStart w:id="85" w:name="lt_pId237"/>
            <w:r w:rsidRPr="001C4C08">
              <w:rPr>
                <w:b/>
                <w:sz w:val="18"/>
                <w:szCs w:val="18"/>
              </w:rPr>
              <w:t>No es lo suficientemente flexible</w:t>
            </w:r>
            <w:r w:rsidR="00D3074A" w:rsidRPr="001C4C08">
              <w:rPr>
                <w:b/>
                <w:sz w:val="18"/>
                <w:szCs w:val="18"/>
              </w:rPr>
              <w:t>:</w:t>
            </w:r>
            <w:r w:rsidR="00D3074A" w:rsidRPr="001C4C08">
              <w:rPr>
                <w:sz w:val="18"/>
                <w:szCs w:val="18"/>
              </w:rPr>
              <w:t xml:space="preserve"> </w:t>
            </w:r>
            <w:r w:rsidRPr="001C4C08">
              <w:rPr>
                <w:sz w:val="18"/>
                <w:szCs w:val="18"/>
              </w:rPr>
              <w:t>En los acuerdos comerciales se utilizan terminologías diferentes para designar lo mismo</w:t>
            </w:r>
            <w:r w:rsidR="00D3074A" w:rsidRPr="001C4C08">
              <w:rPr>
                <w:sz w:val="18"/>
                <w:szCs w:val="18"/>
              </w:rPr>
              <w:t>.</w:t>
            </w:r>
            <w:bookmarkEnd w:id="85"/>
          </w:p>
        </w:tc>
        <w:tc>
          <w:tcPr>
            <w:tcW w:w="1308" w:type="dxa"/>
            <w:shd w:val="clear" w:color="auto" w:fill="auto"/>
            <w:tcMar>
              <w:left w:w="85" w:type="dxa"/>
              <w:right w:w="85" w:type="dxa"/>
            </w:tcMar>
          </w:tcPr>
          <w:p w14:paraId="24852C26" w14:textId="06A2FDFD" w:rsidR="00D3074A" w:rsidRPr="001C4C08" w:rsidRDefault="00026705" w:rsidP="00D3074A">
            <w:pPr>
              <w:spacing w:after="60"/>
              <w:rPr>
                <w:b/>
                <w:sz w:val="18"/>
                <w:szCs w:val="18"/>
              </w:rPr>
            </w:pPr>
            <w:bookmarkStart w:id="86" w:name="lt_pId238"/>
            <w:r w:rsidRPr="001C4C08">
              <w:rPr>
                <w:b/>
                <w:sz w:val="18"/>
                <w:szCs w:val="18"/>
              </w:rPr>
              <w:t>Estudiar la supresión o el perfeccionamiento de la definición</w:t>
            </w:r>
            <w:r w:rsidR="00D3074A" w:rsidRPr="001C4C08">
              <w:rPr>
                <w:b/>
                <w:sz w:val="18"/>
                <w:szCs w:val="18"/>
              </w:rPr>
              <w:t>.</w:t>
            </w:r>
            <w:bookmarkEnd w:id="86"/>
          </w:p>
          <w:p w14:paraId="23FB8207" w14:textId="3A516938" w:rsidR="00D3074A" w:rsidRPr="001C4C08" w:rsidRDefault="00D3074A" w:rsidP="00D3074A">
            <w:pPr>
              <w:spacing w:after="60"/>
              <w:rPr>
                <w:sz w:val="18"/>
                <w:szCs w:val="18"/>
              </w:rPr>
            </w:pPr>
            <w:bookmarkStart w:id="87" w:name="lt_pId239"/>
            <w:r w:rsidRPr="001C4C08">
              <w:rPr>
                <w:sz w:val="18"/>
                <w:szCs w:val="18"/>
              </w:rPr>
              <w:t>(</w:t>
            </w:r>
            <w:r w:rsidR="00F6203A" w:rsidRPr="001C4C08">
              <w:rPr>
                <w:sz w:val="18"/>
                <w:szCs w:val="18"/>
              </w:rPr>
              <w:t>Nota: Esta cuestión se debatirá en detalle cuando se examine el Apéndice 1 en la tercera reunión prevista para septiembre de 2020.</w:t>
            </w:r>
            <w:bookmarkEnd w:id="87"/>
          </w:p>
          <w:p w14:paraId="02B80051" w14:textId="1DDB9788" w:rsidR="00D3074A" w:rsidRPr="001C4C08" w:rsidRDefault="00F6203A" w:rsidP="00D3074A">
            <w:pPr>
              <w:spacing w:after="60"/>
              <w:rPr>
                <w:sz w:val="18"/>
                <w:szCs w:val="18"/>
              </w:rPr>
            </w:pPr>
            <w:bookmarkStart w:id="88" w:name="lt_pId240"/>
            <w:r w:rsidRPr="001C4C08">
              <w:rPr>
                <w:sz w:val="18"/>
                <w:szCs w:val="18"/>
              </w:rPr>
              <w:t xml:space="preserve">Relacionada con esto está la cuestión de la unidad monetaria, que también se aborda en el artículo 38 de </w:t>
            </w:r>
            <w:r w:rsidRPr="001C4C08">
              <w:rPr>
                <w:sz w:val="18"/>
                <w:szCs w:val="18"/>
              </w:rPr>
              <w:lastRenderedPageBreak/>
              <w:t>la Constitución</w:t>
            </w:r>
            <w:r w:rsidR="00D3074A" w:rsidRPr="001C4C08">
              <w:rPr>
                <w:sz w:val="18"/>
                <w:szCs w:val="18"/>
              </w:rPr>
              <w:t>.)</w:t>
            </w:r>
            <w:bookmarkEnd w:id="88"/>
          </w:p>
        </w:tc>
      </w:tr>
      <w:tr w:rsidR="00D3074A" w:rsidRPr="001C4C08" w14:paraId="01A21D3C" w14:textId="77777777" w:rsidTr="001C4C08">
        <w:trPr>
          <w:jc w:val="center"/>
        </w:trPr>
        <w:tc>
          <w:tcPr>
            <w:tcW w:w="1075" w:type="dxa"/>
            <w:shd w:val="clear" w:color="auto" w:fill="auto"/>
            <w:tcMar>
              <w:left w:w="85" w:type="dxa"/>
              <w:right w:w="85" w:type="dxa"/>
            </w:tcMar>
          </w:tcPr>
          <w:p w14:paraId="02426DBD" w14:textId="6F46A55A" w:rsidR="00D3074A" w:rsidRPr="001C4C08" w:rsidRDefault="00026705" w:rsidP="00D3074A">
            <w:pPr>
              <w:spacing w:after="60"/>
              <w:rPr>
                <w:rFonts w:cs="Calibri"/>
                <w:b/>
                <w:bCs/>
                <w:sz w:val="18"/>
                <w:szCs w:val="18"/>
              </w:rPr>
            </w:pPr>
            <w:bookmarkStart w:id="89" w:name="lt_pId241"/>
            <w:r w:rsidRPr="001C4C08">
              <w:rPr>
                <w:rFonts w:cs="Calibri"/>
                <w:b/>
                <w:bCs/>
                <w:sz w:val="18"/>
                <w:szCs w:val="18"/>
              </w:rPr>
              <w:lastRenderedPageBreak/>
              <w:t>Artículo</w:t>
            </w:r>
            <w:r w:rsidR="00D3074A" w:rsidRPr="001C4C08">
              <w:rPr>
                <w:rFonts w:cs="Calibri"/>
                <w:b/>
                <w:bCs/>
                <w:sz w:val="18"/>
                <w:szCs w:val="18"/>
              </w:rPr>
              <w:t xml:space="preserve"> 2</w:t>
            </w:r>
            <w:bookmarkEnd w:id="89"/>
          </w:p>
        </w:tc>
        <w:tc>
          <w:tcPr>
            <w:tcW w:w="2140" w:type="dxa"/>
            <w:shd w:val="clear" w:color="auto" w:fill="auto"/>
            <w:tcMar>
              <w:left w:w="85" w:type="dxa"/>
              <w:right w:w="85" w:type="dxa"/>
            </w:tcMar>
          </w:tcPr>
          <w:p w14:paraId="31AF0836" w14:textId="62FE36DB" w:rsidR="00D3074A" w:rsidRPr="001C4C08" w:rsidRDefault="00D3074A" w:rsidP="00D3074A">
            <w:pPr>
              <w:spacing w:after="60"/>
              <w:rPr>
                <w:rFonts w:cs="Calibri"/>
                <w:bCs/>
                <w:sz w:val="18"/>
                <w:szCs w:val="18"/>
              </w:rPr>
            </w:pPr>
            <w:r w:rsidRPr="001C4C08">
              <w:rPr>
                <w:rFonts w:cs="Calibri"/>
                <w:bCs/>
                <w:sz w:val="18"/>
                <w:szCs w:val="18"/>
              </w:rPr>
              <w:t>2.9</w:t>
            </w:r>
            <w:r w:rsidRPr="001C4C08">
              <w:rPr>
                <w:rFonts w:cs="Calibri"/>
                <w:bCs/>
                <w:sz w:val="18"/>
                <w:szCs w:val="18"/>
              </w:rPr>
              <w:tab/>
              <w:t>Tasa de percepción: Tasa que las empresas de explotación autorizadas establecen y perciben de sus clientes por la utilización de los servicios internacionales de telecomunicación.</w:t>
            </w:r>
          </w:p>
        </w:tc>
        <w:tc>
          <w:tcPr>
            <w:tcW w:w="2142" w:type="dxa"/>
            <w:shd w:val="clear" w:color="auto" w:fill="auto"/>
            <w:tcMar>
              <w:left w:w="85" w:type="dxa"/>
              <w:right w:w="85" w:type="dxa"/>
            </w:tcMar>
          </w:tcPr>
          <w:p w14:paraId="4028B6F0" w14:textId="76B35B62" w:rsidR="00D3074A" w:rsidRPr="001C4C08" w:rsidRDefault="00D3074A" w:rsidP="00D3074A">
            <w:pPr>
              <w:spacing w:after="60"/>
              <w:ind w:left="-44"/>
              <w:rPr>
                <w:rFonts w:cs="Calibri"/>
                <w:bCs/>
                <w:sz w:val="18"/>
                <w:szCs w:val="18"/>
              </w:rPr>
            </w:pPr>
            <w:r w:rsidRPr="001C4C08">
              <w:rPr>
                <w:rFonts w:cs="Calibri"/>
                <w:bCs/>
                <w:sz w:val="18"/>
                <w:szCs w:val="18"/>
              </w:rPr>
              <w:t>2.9</w:t>
            </w:r>
            <w:r w:rsidRPr="001C4C08">
              <w:rPr>
                <w:rFonts w:cs="Calibri"/>
                <w:bCs/>
                <w:sz w:val="18"/>
                <w:szCs w:val="18"/>
              </w:rPr>
              <w:tab/>
              <w:t>Tasa de percepción: Tasa que las administraciones* establecen y perciben de sus clientes por la utilización de los servicios internacionales de telecomunicación.</w:t>
            </w:r>
          </w:p>
        </w:tc>
        <w:tc>
          <w:tcPr>
            <w:tcW w:w="2029" w:type="dxa"/>
            <w:shd w:val="clear" w:color="auto" w:fill="auto"/>
            <w:tcMar>
              <w:left w:w="85" w:type="dxa"/>
              <w:right w:w="85" w:type="dxa"/>
            </w:tcMar>
          </w:tcPr>
          <w:p w14:paraId="6FE316B7" w14:textId="1B9D94B3" w:rsidR="00D3074A" w:rsidRPr="001C4C08" w:rsidRDefault="001943E1" w:rsidP="00D3074A">
            <w:pPr>
              <w:spacing w:after="60"/>
              <w:jc w:val="center"/>
              <w:rPr>
                <w:bCs/>
                <w:sz w:val="18"/>
                <w:szCs w:val="18"/>
              </w:rPr>
            </w:pPr>
            <w:r w:rsidRPr="001C4C08">
              <w:rPr>
                <w:bCs/>
                <w:sz w:val="18"/>
                <w:szCs w:val="18"/>
              </w:rPr>
              <w:t>–</w:t>
            </w:r>
          </w:p>
        </w:tc>
        <w:tc>
          <w:tcPr>
            <w:tcW w:w="1825" w:type="dxa"/>
            <w:shd w:val="clear" w:color="auto" w:fill="auto"/>
            <w:tcMar>
              <w:left w:w="85" w:type="dxa"/>
              <w:right w:w="85" w:type="dxa"/>
            </w:tcMar>
          </w:tcPr>
          <w:p w14:paraId="64378402" w14:textId="45C6DFFD" w:rsidR="00D3074A" w:rsidRPr="001C4C08" w:rsidRDefault="00F6203A" w:rsidP="00D3074A">
            <w:pPr>
              <w:spacing w:after="60"/>
              <w:rPr>
                <w:sz w:val="18"/>
                <w:szCs w:val="18"/>
              </w:rPr>
            </w:pPr>
            <w:bookmarkStart w:id="90" w:name="lt_pId247"/>
            <w:r w:rsidRPr="001C4C08">
              <w:rPr>
                <w:b/>
                <w:sz w:val="18"/>
                <w:szCs w:val="18"/>
              </w:rPr>
              <w:t>No es lo suficientemente flexible</w:t>
            </w:r>
            <w:r w:rsidR="00D3074A" w:rsidRPr="001C4C08">
              <w:rPr>
                <w:b/>
                <w:sz w:val="18"/>
                <w:szCs w:val="18"/>
              </w:rPr>
              <w:t>:</w:t>
            </w:r>
            <w:r w:rsidR="00D3074A" w:rsidRPr="001C4C08">
              <w:rPr>
                <w:sz w:val="18"/>
                <w:szCs w:val="18"/>
              </w:rPr>
              <w:t xml:space="preserve"> </w:t>
            </w:r>
            <w:r w:rsidRPr="001C4C08">
              <w:rPr>
                <w:sz w:val="18"/>
                <w:szCs w:val="18"/>
              </w:rPr>
              <w:t>En los acuerdos comerciales se utilizan terminologías diferentes para designar lo mismo</w:t>
            </w:r>
            <w:r w:rsidR="00D3074A" w:rsidRPr="001C4C08">
              <w:rPr>
                <w:sz w:val="18"/>
                <w:szCs w:val="18"/>
              </w:rPr>
              <w:t>.</w:t>
            </w:r>
            <w:bookmarkEnd w:id="90"/>
            <w:r w:rsidR="00D3074A" w:rsidRPr="001C4C08">
              <w:rPr>
                <w:sz w:val="18"/>
                <w:szCs w:val="18"/>
              </w:rPr>
              <w:t xml:space="preserve"> </w:t>
            </w:r>
          </w:p>
        </w:tc>
        <w:tc>
          <w:tcPr>
            <w:tcW w:w="1308" w:type="dxa"/>
            <w:shd w:val="clear" w:color="auto" w:fill="auto"/>
            <w:tcMar>
              <w:left w:w="85" w:type="dxa"/>
              <w:right w:w="85" w:type="dxa"/>
            </w:tcMar>
          </w:tcPr>
          <w:p w14:paraId="0D1BE162" w14:textId="0548FC6E" w:rsidR="00D3074A" w:rsidRPr="001C4C08" w:rsidRDefault="00D3074A" w:rsidP="00D3074A">
            <w:pPr>
              <w:spacing w:after="60"/>
              <w:rPr>
                <w:sz w:val="18"/>
                <w:szCs w:val="18"/>
              </w:rPr>
            </w:pPr>
            <w:bookmarkStart w:id="91" w:name="lt_pId248"/>
            <w:r w:rsidRPr="001C4C08">
              <w:rPr>
                <w:b/>
                <w:sz w:val="18"/>
                <w:szCs w:val="18"/>
              </w:rPr>
              <w:t>Consider</w:t>
            </w:r>
            <w:r w:rsidR="00F6203A" w:rsidRPr="001C4C08">
              <w:rPr>
                <w:b/>
                <w:sz w:val="18"/>
                <w:szCs w:val="18"/>
              </w:rPr>
              <w:t>ar</w:t>
            </w:r>
            <w:r w:rsidRPr="001C4C08">
              <w:rPr>
                <w:b/>
                <w:sz w:val="18"/>
                <w:szCs w:val="18"/>
              </w:rPr>
              <w:t xml:space="preserve"> </w:t>
            </w:r>
            <w:r w:rsidR="00F6203A" w:rsidRPr="001C4C08">
              <w:rPr>
                <w:b/>
                <w:sz w:val="18"/>
                <w:szCs w:val="18"/>
              </w:rPr>
              <w:t>la supresión</w:t>
            </w:r>
            <w:r w:rsidRPr="001C4C08">
              <w:rPr>
                <w:b/>
                <w:sz w:val="18"/>
                <w:szCs w:val="18"/>
              </w:rPr>
              <w:t>:</w:t>
            </w:r>
            <w:r w:rsidRPr="001C4C08">
              <w:rPr>
                <w:sz w:val="18"/>
                <w:szCs w:val="18"/>
              </w:rPr>
              <w:t xml:space="preserve"> </w:t>
            </w:r>
            <w:r w:rsidR="00F6203A" w:rsidRPr="001C4C08">
              <w:rPr>
                <w:sz w:val="18"/>
                <w:szCs w:val="18"/>
              </w:rPr>
              <w:t>El RTI pueden contener disposiciones que se refieran a las tasas establecidas y recaudadas por una administración sin definirla necesariamente.</w:t>
            </w:r>
            <w:bookmarkEnd w:id="91"/>
          </w:p>
        </w:tc>
      </w:tr>
      <w:tr w:rsidR="006C2C79" w:rsidRPr="001C4C08" w14:paraId="7A6E7F36" w14:textId="77777777" w:rsidTr="001C4C08">
        <w:trPr>
          <w:jc w:val="center"/>
        </w:trPr>
        <w:tc>
          <w:tcPr>
            <w:tcW w:w="1075" w:type="dxa"/>
            <w:tcMar>
              <w:left w:w="85" w:type="dxa"/>
              <w:right w:w="85" w:type="dxa"/>
            </w:tcMar>
          </w:tcPr>
          <w:p w14:paraId="4446C8BC" w14:textId="40CD724B" w:rsidR="006C2C79" w:rsidRPr="001C4C08" w:rsidRDefault="00026705" w:rsidP="006C2C79">
            <w:pPr>
              <w:spacing w:after="60"/>
              <w:rPr>
                <w:rFonts w:cs="Calibri"/>
                <w:bCs/>
                <w:sz w:val="18"/>
                <w:szCs w:val="18"/>
              </w:rPr>
            </w:pPr>
            <w:bookmarkStart w:id="92" w:name="lt_pId249"/>
            <w:r w:rsidRPr="001C4C08">
              <w:rPr>
                <w:rFonts w:cs="Calibri"/>
                <w:b/>
                <w:bCs/>
                <w:sz w:val="18"/>
                <w:szCs w:val="18"/>
              </w:rPr>
              <w:t>Artículo</w:t>
            </w:r>
            <w:r w:rsidR="006C2C79" w:rsidRPr="001C4C08">
              <w:rPr>
                <w:rFonts w:cs="Calibri"/>
                <w:b/>
                <w:bCs/>
                <w:sz w:val="18"/>
                <w:szCs w:val="18"/>
              </w:rPr>
              <w:t xml:space="preserve"> 3</w:t>
            </w:r>
            <w:bookmarkEnd w:id="92"/>
            <w:r w:rsidR="006C2C79" w:rsidRPr="001C4C08">
              <w:rPr>
                <w:rFonts w:cs="Calibri"/>
                <w:b/>
                <w:bCs/>
                <w:sz w:val="18"/>
                <w:szCs w:val="18"/>
              </w:rPr>
              <w:t xml:space="preserve"> </w:t>
            </w:r>
          </w:p>
        </w:tc>
        <w:tc>
          <w:tcPr>
            <w:tcW w:w="2140" w:type="dxa"/>
            <w:tcMar>
              <w:left w:w="85" w:type="dxa"/>
              <w:right w:w="85" w:type="dxa"/>
            </w:tcMar>
          </w:tcPr>
          <w:p w14:paraId="22F05F38" w14:textId="04F52118" w:rsidR="006C2C79" w:rsidRPr="001C4C08" w:rsidRDefault="006C2C79" w:rsidP="006C2C79">
            <w:pPr>
              <w:spacing w:after="60"/>
              <w:rPr>
                <w:rFonts w:cs="Calibri"/>
                <w:bCs/>
                <w:sz w:val="18"/>
                <w:szCs w:val="18"/>
              </w:rPr>
            </w:pPr>
            <w:r w:rsidRPr="001C4C08">
              <w:rPr>
                <w:rFonts w:cs="Calibri"/>
                <w:bCs/>
                <w:sz w:val="18"/>
                <w:szCs w:val="18"/>
              </w:rPr>
              <w:t>3.1</w:t>
            </w:r>
            <w:r w:rsidRPr="001C4C08">
              <w:rPr>
                <w:rFonts w:cs="Calibri"/>
                <w:bCs/>
                <w:sz w:val="18"/>
                <w:szCs w:val="18"/>
              </w:rPr>
              <w:tab/>
              <w:t>Los Estados Miembros procurarán velar por que las empresas de explotación autorizadas colaboren en el establecimiento, la explotación y el mantenimiento de la red internacional para proporcionar una calidad de servicio satisfactoria.</w:t>
            </w:r>
          </w:p>
        </w:tc>
        <w:tc>
          <w:tcPr>
            <w:tcW w:w="2142" w:type="dxa"/>
            <w:tcMar>
              <w:left w:w="85" w:type="dxa"/>
              <w:right w:w="85" w:type="dxa"/>
            </w:tcMar>
          </w:tcPr>
          <w:p w14:paraId="5CA3D35A" w14:textId="5AD095AB" w:rsidR="006C2C79" w:rsidRPr="001C4C08" w:rsidRDefault="006C2C79" w:rsidP="006C2C79">
            <w:pPr>
              <w:spacing w:after="60"/>
              <w:ind w:left="-44"/>
              <w:rPr>
                <w:rFonts w:cs="Calibri"/>
                <w:bCs/>
                <w:sz w:val="18"/>
                <w:szCs w:val="18"/>
              </w:rPr>
            </w:pPr>
            <w:r w:rsidRPr="001C4C08">
              <w:rPr>
                <w:rFonts w:cs="Calibri"/>
                <w:bCs/>
                <w:sz w:val="18"/>
                <w:szCs w:val="18"/>
              </w:rPr>
              <w:t>3.1</w:t>
            </w:r>
            <w:r w:rsidRPr="001C4C08">
              <w:rPr>
                <w:rFonts w:cs="Calibri"/>
                <w:bCs/>
                <w:sz w:val="18"/>
                <w:szCs w:val="18"/>
              </w:rPr>
              <w:tab/>
              <w:t>Los Miembros garantizarán que las administraciones* colaboren en el establecimiento, la explotación, el mantenimiento de la red internacional para proporcionar una calidad de servicio satisfactoria.</w:t>
            </w:r>
          </w:p>
        </w:tc>
        <w:tc>
          <w:tcPr>
            <w:tcW w:w="2029" w:type="dxa"/>
            <w:tcMar>
              <w:left w:w="85" w:type="dxa"/>
              <w:right w:w="85" w:type="dxa"/>
            </w:tcMar>
          </w:tcPr>
          <w:p w14:paraId="7A59B15E" w14:textId="79B58E0D" w:rsidR="006C2C79" w:rsidRPr="001C4C08" w:rsidRDefault="00F6203A" w:rsidP="006C2C79">
            <w:pPr>
              <w:spacing w:after="60"/>
              <w:rPr>
                <w:sz w:val="18"/>
                <w:szCs w:val="18"/>
              </w:rPr>
            </w:pPr>
            <w:r w:rsidRPr="001C4C08">
              <w:rPr>
                <w:sz w:val="18"/>
                <w:szCs w:val="18"/>
              </w:rPr>
              <w:t>Esta disposición apoya el desarrollo de redes y servicios de calidad, aunque la palabra/término "satisfactoria" es vaga.</w:t>
            </w:r>
          </w:p>
        </w:tc>
        <w:tc>
          <w:tcPr>
            <w:tcW w:w="1825" w:type="dxa"/>
            <w:tcMar>
              <w:left w:w="85" w:type="dxa"/>
              <w:right w:w="85" w:type="dxa"/>
            </w:tcMar>
          </w:tcPr>
          <w:p w14:paraId="4F34921E" w14:textId="030B2036" w:rsidR="006C2C79" w:rsidRPr="001C4C08" w:rsidRDefault="00A438A4" w:rsidP="006C2C79">
            <w:pPr>
              <w:spacing w:after="60"/>
              <w:rPr>
                <w:sz w:val="18"/>
                <w:szCs w:val="18"/>
              </w:rPr>
            </w:pPr>
            <w:bookmarkStart w:id="93" w:name="lt_pId255"/>
            <w:r w:rsidRPr="001C4C08">
              <w:rPr>
                <w:sz w:val="18"/>
                <w:szCs w:val="18"/>
              </w:rPr>
              <w:t>Se apoya esta disposición</w:t>
            </w:r>
            <w:r w:rsidR="006C2C79" w:rsidRPr="001C4C08">
              <w:rPr>
                <w:sz w:val="18"/>
                <w:szCs w:val="18"/>
              </w:rPr>
              <w:t>.</w:t>
            </w:r>
            <w:bookmarkEnd w:id="93"/>
            <w:r w:rsidR="006C2C79" w:rsidRPr="001C4C08">
              <w:rPr>
                <w:sz w:val="18"/>
                <w:szCs w:val="18"/>
              </w:rPr>
              <w:t xml:space="preserve"> </w:t>
            </w:r>
            <w:bookmarkStart w:id="94" w:name="lt_pId256"/>
            <w:r w:rsidR="00F6203A" w:rsidRPr="001C4C08">
              <w:rPr>
                <w:sz w:val="18"/>
                <w:szCs w:val="18"/>
              </w:rPr>
              <w:t>No obstante, cabe señalar que los servicios de telecomunicaciones internacionales se prestan sobre la base de la calidad acordada con las demás partes y en condiciones comerciales</w:t>
            </w:r>
            <w:r w:rsidR="006C2C79" w:rsidRPr="001C4C08">
              <w:rPr>
                <w:sz w:val="18"/>
                <w:szCs w:val="18"/>
              </w:rPr>
              <w:t>.</w:t>
            </w:r>
            <w:bookmarkEnd w:id="94"/>
            <w:r w:rsidR="006C2C79" w:rsidRPr="001C4C08">
              <w:rPr>
                <w:sz w:val="18"/>
                <w:szCs w:val="18"/>
              </w:rPr>
              <w:t xml:space="preserve"> </w:t>
            </w:r>
            <w:bookmarkStart w:id="95" w:name="lt_pId257"/>
            <w:r w:rsidR="00F6203A" w:rsidRPr="001C4C08">
              <w:rPr>
                <w:b/>
                <w:sz w:val="18"/>
                <w:szCs w:val="18"/>
              </w:rPr>
              <w:t xml:space="preserve">No obstante, esta disposición ofrece flexibilidad </w:t>
            </w:r>
            <w:r w:rsidR="00F6203A" w:rsidRPr="001C4C08">
              <w:rPr>
                <w:sz w:val="18"/>
                <w:szCs w:val="18"/>
              </w:rPr>
              <w:t>para dar cabida a las nuevas tendencias y cuestiones que vayan surgiendo.</w:t>
            </w:r>
            <w:bookmarkEnd w:id="95"/>
          </w:p>
        </w:tc>
        <w:tc>
          <w:tcPr>
            <w:tcW w:w="1308" w:type="dxa"/>
            <w:tcMar>
              <w:left w:w="85" w:type="dxa"/>
              <w:right w:w="85" w:type="dxa"/>
            </w:tcMar>
          </w:tcPr>
          <w:p w14:paraId="6FD93260" w14:textId="21D9F4F4" w:rsidR="006C2C79" w:rsidRPr="001C4C08" w:rsidRDefault="00026705" w:rsidP="006C2C79">
            <w:pPr>
              <w:spacing w:after="60"/>
              <w:rPr>
                <w:b/>
                <w:sz w:val="18"/>
                <w:szCs w:val="18"/>
              </w:rPr>
            </w:pPr>
            <w:r w:rsidRPr="001C4C08">
              <w:rPr>
                <w:b/>
                <w:sz w:val="18"/>
                <w:szCs w:val="18"/>
              </w:rPr>
              <w:t>No se requiere cambio.</w:t>
            </w:r>
          </w:p>
        </w:tc>
      </w:tr>
      <w:tr w:rsidR="006C2C79" w:rsidRPr="001C4C08" w14:paraId="473CA999" w14:textId="77777777" w:rsidTr="001C4C08">
        <w:trPr>
          <w:jc w:val="center"/>
        </w:trPr>
        <w:tc>
          <w:tcPr>
            <w:tcW w:w="1075" w:type="dxa"/>
            <w:tcMar>
              <w:left w:w="85" w:type="dxa"/>
              <w:right w:w="85" w:type="dxa"/>
            </w:tcMar>
          </w:tcPr>
          <w:p w14:paraId="09D84FA0" w14:textId="1FD22D8B" w:rsidR="006C2C79" w:rsidRPr="001C4C08" w:rsidRDefault="00026705" w:rsidP="006C2C79">
            <w:pPr>
              <w:spacing w:after="60"/>
              <w:rPr>
                <w:rFonts w:cs="Calibri"/>
                <w:bCs/>
                <w:sz w:val="18"/>
                <w:szCs w:val="18"/>
              </w:rPr>
            </w:pPr>
            <w:bookmarkStart w:id="96" w:name="lt_pId259"/>
            <w:r w:rsidRPr="001C4C08">
              <w:rPr>
                <w:rFonts w:cs="Calibri"/>
                <w:b/>
                <w:bCs/>
                <w:sz w:val="18"/>
                <w:szCs w:val="18"/>
              </w:rPr>
              <w:t>Artículo</w:t>
            </w:r>
            <w:r w:rsidR="006C2C79" w:rsidRPr="001C4C08">
              <w:rPr>
                <w:rFonts w:cs="Calibri"/>
                <w:b/>
                <w:bCs/>
                <w:sz w:val="18"/>
                <w:szCs w:val="18"/>
              </w:rPr>
              <w:t xml:space="preserve"> 3</w:t>
            </w:r>
            <w:bookmarkEnd w:id="96"/>
            <w:r w:rsidR="006C2C79" w:rsidRPr="001C4C08">
              <w:rPr>
                <w:rFonts w:cs="Calibri"/>
                <w:b/>
                <w:bCs/>
                <w:sz w:val="18"/>
                <w:szCs w:val="18"/>
              </w:rPr>
              <w:t xml:space="preserve"> </w:t>
            </w:r>
          </w:p>
        </w:tc>
        <w:tc>
          <w:tcPr>
            <w:tcW w:w="2140" w:type="dxa"/>
            <w:tcMar>
              <w:left w:w="85" w:type="dxa"/>
              <w:right w:w="85" w:type="dxa"/>
            </w:tcMar>
          </w:tcPr>
          <w:p w14:paraId="467ECEEE" w14:textId="1E29CB0B" w:rsidR="006C2C79" w:rsidRPr="001C4C08" w:rsidRDefault="006C2C79" w:rsidP="006C2C79">
            <w:pPr>
              <w:spacing w:after="60"/>
              <w:rPr>
                <w:rFonts w:cs="Calibri"/>
                <w:bCs/>
                <w:sz w:val="18"/>
                <w:szCs w:val="18"/>
              </w:rPr>
            </w:pPr>
            <w:r w:rsidRPr="001C4C08">
              <w:rPr>
                <w:rFonts w:cs="Calibri"/>
                <w:bCs/>
                <w:sz w:val="18"/>
                <w:szCs w:val="18"/>
              </w:rPr>
              <w:t>3.2</w:t>
            </w:r>
            <w:r w:rsidRPr="001C4C08">
              <w:rPr>
                <w:rFonts w:cs="Calibri"/>
                <w:bCs/>
                <w:sz w:val="18"/>
                <w:szCs w:val="18"/>
              </w:rPr>
              <w:tab/>
              <w:t>Los Estados Miembros se esforzarán en asegurar la provisión de suficientes medios de telecomunicación para satisfacer la demanda de los servicios internacionales de telecomunicación.</w:t>
            </w:r>
          </w:p>
        </w:tc>
        <w:tc>
          <w:tcPr>
            <w:tcW w:w="2142" w:type="dxa"/>
            <w:tcMar>
              <w:left w:w="85" w:type="dxa"/>
              <w:right w:w="85" w:type="dxa"/>
            </w:tcMar>
          </w:tcPr>
          <w:p w14:paraId="575DE002" w14:textId="0F040E17" w:rsidR="006C2C79" w:rsidRPr="001C4C08" w:rsidRDefault="006C2C79" w:rsidP="006C2C79">
            <w:pPr>
              <w:spacing w:after="60"/>
              <w:ind w:left="-44"/>
              <w:rPr>
                <w:rFonts w:cs="Calibri"/>
                <w:bCs/>
                <w:sz w:val="18"/>
                <w:szCs w:val="18"/>
              </w:rPr>
            </w:pPr>
            <w:r w:rsidRPr="001C4C08">
              <w:rPr>
                <w:rFonts w:cs="Calibri"/>
                <w:bCs/>
                <w:sz w:val="18"/>
                <w:szCs w:val="18"/>
              </w:rPr>
              <w:t>3.2</w:t>
            </w:r>
            <w:r w:rsidRPr="001C4C08">
              <w:rPr>
                <w:rFonts w:cs="Calibri"/>
                <w:bCs/>
                <w:sz w:val="18"/>
                <w:szCs w:val="18"/>
              </w:rPr>
              <w:tab/>
              <w:t>Las administraciones* deberán esforzarse en proporcionar suficientes medios de telecomunicación para satisfacer las exigencias y la demanda de los servicios internacionales de telecomunicación.</w:t>
            </w:r>
          </w:p>
        </w:tc>
        <w:tc>
          <w:tcPr>
            <w:tcW w:w="2029" w:type="dxa"/>
            <w:shd w:val="clear" w:color="auto" w:fill="FFFFFF"/>
            <w:tcMar>
              <w:left w:w="85" w:type="dxa"/>
              <w:right w:w="85" w:type="dxa"/>
            </w:tcMar>
          </w:tcPr>
          <w:p w14:paraId="6B06AA4F" w14:textId="35521120" w:rsidR="006C2C79" w:rsidRPr="001C4C08" w:rsidRDefault="00F6203A" w:rsidP="006C2C79">
            <w:pPr>
              <w:spacing w:after="60"/>
              <w:rPr>
                <w:sz w:val="18"/>
                <w:szCs w:val="18"/>
              </w:rPr>
            </w:pPr>
            <w:r w:rsidRPr="001C4C08">
              <w:rPr>
                <w:sz w:val="18"/>
                <w:szCs w:val="18"/>
                <w:shd w:val="clear" w:color="auto" w:fill="FFFFFF"/>
              </w:rPr>
              <w:t xml:space="preserve">Con sujeción a la legislación nacional, la provisión de instalaciones de telecomunicaciones se concluye sobre la base de la demanda comercial para responder </w:t>
            </w:r>
            <w:r w:rsidR="00F45CD6" w:rsidRPr="001C4C08">
              <w:rPr>
                <w:sz w:val="18"/>
                <w:szCs w:val="18"/>
                <w:shd w:val="clear" w:color="auto" w:fill="FFFFFF"/>
              </w:rPr>
              <w:t>a</w:t>
            </w:r>
            <w:r w:rsidRPr="001C4C08">
              <w:rPr>
                <w:sz w:val="18"/>
                <w:szCs w:val="18"/>
                <w:shd w:val="clear" w:color="auto" w:fill="FFFFFF"/>
              </w:rPr>
              <w:t xml:space="preserve"> las necesidades de capacidad con otro operador del país (empresa de explotación autorizada).</w:t>
            </w:r>
          </w:p>
        </w:tc>
        <w:tc>
          <w:tcPr>
            <w:tcW w:w="1825" w:type="dxa"/>
            <w:tcMar>
              <w:left w:w="85" w:type="dxa"/>
              <w:right w:w="85" w:type="dxa"/>
            </w:tcMar>
          </w:tcPr>
          <w:p w14:paraId="6ACDFDA6" w14:textId="42A70869" w:rsidR="006C2C79" w:rsidRPr="001C4C08" w:rsidRDefault="00F6203A" w:rsidP="006C2C79">
            <w:pPr>
              <w:spacing w:after="60"/>
              <w:rPr>
                <w:sz w:val="18"/>
                <w:szCs w:val="18"/>
              </w:rPr>
            </w:pPr>
            <w:bookmarkStart w:id="97" w:name="lt_pId265"/>
            <w:r w:rsidRPr="001C4C08">
              <w:rPr>
                <w:sz w:val="18"/>
                <w:szCs w:val="18"/>
              </w:rPr>
              <w:t>La demanda de servicios de telecomunicaciones internacionales está impulsada por imperativos comerciales basados en solicitudes y acuerdos mutuos entre operadores.</w:t>
            </w:r>
            <w:bookmarkEnd w:id="97"/>
            <w:r w:rsidR="006C2C79" w:rsidRPr="001C4C08">
              <w:rPr>
                <w:sz w:val="18"/>
                <w:szCs w:val="18"/>
              </w:rPr>
              <w:t xml:space="preserve"> </w:t>
            </w:r>
            <w:bookmarkStart w:id="98" w:name="lt_pId266"/>
            <w:r w:rsidRPr="001C4C08">
              <w:rPr>
                <w:b/>
                <w:sz w:val="18"/>
                <w:szCs w:val="18"/>
              </w:rPr>
              <w:t>Esta disposición proporciona flexibilidad para dar cabida a las nuevas tendencias y cuestiones que van surgiendo</w:t>
            </w:r>
            <w:r w:rsidR="006C2C79" w:rsidRPr="001C4C08">
              <w:rPr>
                <w:sz w:val="18"/>
                <w:szCs w:val="18"/>
              </w:rPr>
              <w:t>.</w:t>
            </w:r>
            <w:bookmarkEnd w:id="98"/>
          </w:p>
        </w:tc>
        <w:tc>
          <w:tcPr>
            <w:tcW w:w="1308" w:type="dxa"/>
            <w:tcMar>
              <w:left w:w="85" w:type="dxa"/>
              <w:right w:w="85" w:type="dxa"/>
            </w:tcMar>
          </w:tcPr>
          <w:p w14:paraId="4665B77A" w14:textId="60A693AC" w:rsidR="006C2C79" w:rsidRPr="001C4C08" w:rsidRDefault="00026705" w:rsidP="006C2C79">
            <w:pPr>
              <w:spacing w:after="60"/>
              <w:rPr>
                <w:b/>
                <w:sz w:val="18"/>
                <w:szCs w:val="18"/>
              </w:rPr>
            </w:pPr>
            <w:r w:rsidRPr="001C4C08">
              <w:rPr>
                <w:b/>
                <w:sz w:val="18"/>
                <w:szCs w:val="18"/>
              </w:rPr>
              <w:t>No se requiere cambio.</w:t>
            </w:r>
          </w:p>
        </w:tc>
      </w:tr>
      <w:tr w:rsidR="006C2C79" w:rsidRPr="001C4C08" w14:paraId="3EF99182" w14:textId="77777777" w:rsidTr="001C4C08">
        <w:trPr>
          <w:jc w:val="center"/>
        </w:trPr>
        <w:tc>
          <w:tcPr>
            <w:tcW w:w="1075" w:type="dxa"/>
            <w:shd w:val="clear" w:color="auto" w:fill="auto"/>
            <w:tcMar>
              <w:left w:w="85" w:type="dxa"/>
              <w:right w:w="85" w:type="dxa"/>
            </w:tcMar>
          </w:tcPr>
          <w:p w14:paraId="14B2E0EB" w14:textId="39DF234A" w:rsidR="006C2C79" w:rsidRPr="001C4C08" w:rsidRDefault="00026705" w:rsidP="006C2C79">
            <w:pPr>
              <w:spacing w:after="60"/>
              <w:rPr>
                <w:rFonts w:cs="Calibri"/>
                <w:bCs/>
                <w:sz w:val="18"/>
                <w:szCs w:val="18"/>
              </w:rPr>
            </w:pPr>
            <w:bookmarkStart w:id="99" w:name="lt_pId268"/>
            <w:r w:rsidRPr="001C4C08">
              <w:rPr>
                <w:rFonts w:cs="Calibri"/>
                <w:b/>
                <w:bCs/>
                <w:sz w:val="18"/>
                <w:szCs w:val="18"/>
              </w:rPr>
              <w:t>Artículo</w:t>
            </w:r>
            <w:r w:rsidR="006C2C79" w:rsidRPr="001C4C08">
              <w:rPr>
                <w:rFonts w:cs="Calibri"/>
                <w:b/>
                <w:bCs/>
                <w:sz w:val="18"/>
                <w:szCs w:val="18"/>
              </w:rPr>
              <w:t xml:space="preserve"> 3</w:t>
            </w:r>
            <w:bookmarkEnd w:id="99"/>
            <w:r w:rsidR="006C2C79" w:rsidRPr="001C4C08">
              <w:rPr>
                <w:rFonts w:cs="Calibri"/>
                <w:b/>
                <w:bCs/>
                <w:sz w:val="18"/>
                <w:szCs w:val="18"/>
              </w:rPr>
              <w:t xml:space="preserve"> </w:t>
            </w:r>
          </w:p>
        </w:tc>
        <w:tc>
          <w:tcPr>
            <w:tcW w:w="2140" w:type="dxa"/>
            <w:shd w:val="clear" w:color="auto" w:fill="auto"/>
            <w:tcMar>
              <w:left w:w="85" w:type="dxa"/>
              <w:right w:w="85" w:type="dxa"/>
            </w:tcMar>
          </w:tcPr>
          <w:p w14:paraId="09FAA34C" w14:textId="6174AD8C" w:rsidR="006C2C79" w:rsidRPr="001C4C08" w:rsidRDefault="006C2C79" w:rsidP="006C2C79">
            <w:pPr>
              <w:spacing w:after="60"/>
              <w:rPr>
                <w:rFonts w:cs="Calibri"/>
                <w:bCs/>
                <w:sz w:val="18"/>
                <w:szCs w:val="18"/>
              </w:rPr>
            </w:pPr>
            <w:r w:rsidRPr="001C4C08">
              <w:rPr>
                <w:rFonts w:cs="Calibri"/>
                <w:bCs/>
                <w:sz w:val="18"/>
                <w:szCs w:val="18"/>
              </w:rPr>
              <w:t>3.3</w:t>
            </w:r>
            <w:r w:rsidRPr="001C4C08">
              <w:rPr>
                <w:rFonts w:cs="Calibri"/>
                <w:bCs/>
                <w:sz w:val="18"/>
                <w:szCs w:val="18"/>
              </w:rPr>
              <w:tab/>
              <w:t xml:space="preserve">Las empresas de explotación autorizadas determinarán por acuerdo mutuo las rutas internacionales que han de utilizar. A reserva de acuerdo y a condición de que no exista una ruta directa entre las empresas </w:t>
            </w:r>
            <w:r w:rsidRPr="001C4C08">
              <w:rPr>
                <w:rFonts w:cs="Calibri"/>
                <w:bCs/>
                <w:sz w:val="18"/>
                <w:szCs w:val="18"/>
              </w:rPr>
              <w:lastRenderedPageBreak/>
              <w:t>de explotación autorizadas de destino interesadas, la empresa de explotación autorizada de origen podrá elegir el encaminamiento de su tráfico saliente de telecomunicación, teniendo en cuenta los intereses respectivos de las empresas de explotación autorizadas de tránsito y de destino.</w:t>
            </w:r>
          </w:p>
        </w:tc>
        <w:tc>
          <w:tcPr>
            <w:tcW w:w="2142" w:type="dxa"/>
            <w:shd w:val="clear" w:color="auto" w:fill="auto"/>
            <w:tcMar>
              <w:left w:w="85" w:type="dxa"/>
              <w:right w:w="85" w:type="dxa"/>
            </w:tcMar>
          </w:tcPr>
          <w:p w14:paraId="057D9B19" w14:textId="3A26FC34" w:rsidR="006C2C79" w:rsidRPr="001C4C08" w:rsidRDefault="006C2C79" w:rsidP="006C2C79">
            <w:pPr>
              <w:spacing w:after="60"/>
              <w:ind w:left="-44"/>
              <w:rPr>
                <w:rFonts w:cs="Calibri"/>
                <w:bCs/>
                <w:sz w:val="18"/>
                <w:szCs w:val="18"/>
              </w:rPr>
            </w:pPr>
            <w:r w:rsidRPr="001C4C08">
              <w:rPr>
                <w:rFonts w:cs="Calibri"/>
                <w:bCs/>
                <w:sz w:val="18"/>
                <w:szCs w:val="18"/>
              </w:rPr>
              <w:lastRenderedPageBreak/>
              <w:t>3.3</w:t>
            </w:r>
            <w:r w:rsidRPr="001C4C08">
              <w:rPr>
                <w:rFonts w:cs="Calibri"/>
                <w:bCs/>
                <w:sz w:val="18"/>
                <w:szCs w:val="18"/>
              </w:rPr>
              <w:tab/>
              <w:t xml:space="preserve">Las administraciones* determinarán por acuerdo mutuo las rutas internacionales que han de utilizar. A reserva de acuerdo y a condición de que no exista una ruta directa entre las </w:t>
            </w:r>
            <w:r w:rsidRPr="001C4C08">
              <w:rPr>
                <w:rFonts w:cs="Calibri"/>
                <w:bCs/>
                <w:sz w:val="18"/>
                <w:szCs w:val="18"/>
              </w:rPr>
              <w:lastRenderedPageBreak/>
              <w:t>administraciones* terminales interesadas, la administración* de origen podrá elegir el encaminamiento de su tráfico saliente de telecomunicación, teniendo en cuenta los intereses respectivos de las administraciones* de tránsito y de destino.</w:t>
            </w:r>
          </w:p>
        </w:tc>
        <w:tc>
          <w:tcPr>
            <w:tcW w:w="2029" w:type="dxa"/>
            <w:shd w:val="clear" w:color="auto" w:fill="auto"/>
            <w:tcMar>
              <w:left w:w="85" w:type="dxa"/>
              <w:right w:w="85" w:type="dxa"/>
            </w:tcMar>
          </w:tcPr>
          <w:p w14:paraId="0EA8788F" w14:textId="1A0BBA80" w:rsidR="006C2C79" w:rsidRPr="001C4C08" w:rsidRDefault="00F6203A" w:rsidP="006C2C79">
            <w:pPr>
              <w:spacing w:after="60"/>
              <w:rPr>
                <w:sz w:val="18"/>
                <w:szCs w:val="18"/>
              </w:rPr>
            </w:pPr>
            <w:bookmarkStart w:id="100" w:name="lt_pId275"/>
            <w:r w:rsidRPr="001C4C08">
              <w:rPr>
                <w:sz w:val="18"/>
                <w:szCs w:val="18"/>
              </w:rPr>
              <w:lastRenderedPageBreak/>
              <w:t>Esta disposición apoya el desarrollo de redes y servicios</w:t>
            </w:r>
            <w:r w:rsidR="006C2C79" w:rsidRPr="001C4C08">
              <w:rPr>
                <w:sz w:val="18"/>
                <w:szCs w:val="18"/>
              </w:rPr>
              <w:t>.</w:t>
            </w:r>
            <w:bookmarkEnd w:id="100"/>
          </w:p>
        </w:tc>
        <w:tc>
          <w:tcPr>
            <w:tcW w:w="1825" w:type="dxa"/>
            <w:shd w:val="clear" w:color="auto" w:fill="auto"/>
            <w:tcMar>
              <w:left w:w="85" w:type="dxa"/>
              <w:right w:w="85" w:type="dxa"/>
            </w:tcMar>
          </w:tcPr>
          <w:p w14:paraId="73610F98" w14:textId="62A35A2D" w:rsidR="006C2C79" w:rsidRPr="001C4C08" w:rsidRDefault="00F6203A" w:rsidP="006C2C79">
            <w:pPr>
              <w:spacing w:after="60"/>
              <w:rPr>
                <w:sz w:val="18"/>
                <w:szCs w:val="18"/>
              </w:rPr>
            </w:pPr>
            <w:bookmarkStart w:id="101" w:name="lt_pId276"/>
            <w:r w:rsidRPr="001C4C08">
              <w:rPr>
                <w:b/>
                <w:sz w:val="18"/>
                <w:szCs w:val="18"/>
              </w:rPr>
              <w:t>Puede que no sea lo suficientemente</w:t>
            </w:r>
            <w:r w:rsidR="006C2C79" w:rsidRPr="001C4C08">
              <w:rPr>
                <w:b/>
                <w:sz w:val="18"/>
                <w:szCs w:val="18"/>
              </w:rPr>
              <w:t xml:space="preserve"> flexible:</w:t>
            </w:r>
            <w:r w:rsidR="006C2C79" w:rsidRPr="001C4C08">
              <w:rPr>
                <w:sz w:val="18"/>
                <w:szCs w:val="18"/>
              </w:rPr>
              <w:t xml:space="preserve"> </w:t>
            </w:r>
            <w:r w:rsidRPr="001C4C08">
              <w:rPr>
                <w:sz w:val="18"/>
                <w:szCs w:val="18"/>
              </w:rPr>
              <w:t xml:space="preserve">La selección de las rutas internacionales es una cuestión que deben decidir las empresas de explotación autorizadas, lo que se </w:t>
            </w:r>
            <w:r w:rsidRPr="001C4C08">
              <w:rPr>
                <w:sz w:val="18"/>
                <w:szCs w:val="18"/>
              </w:rPr>
              <w:lastRenderedPageBreak/>
              <w:t>hace sobre la base de factores técnicos y comerciales considerados entre las partes</w:t>
            </w:r>
            <w:r w:rsidR="006C2C79" w:rsidRPr="001C4C08">
              <w:rPr>
                <w:sz w:val="18"/>
                <w:szCs w:val="18"/>
              </w:rPr>
              <w:t>.</w:t>
            </w:r>
            <w:bookmarkEnd w:id="101"/>
          </w:p>
          <w:p w14:paraId="6DA025BD" w14:textId="7618396E" w:rsidR="006C2C79" w:rsidRPr="001C4C08" w:rsidRDefault="00F6203A" w:rsidP="006C2C79">
            <w:pPr>
              <w:spacing w:after="60"/>
              <w:rPr>
                <w:sz w:val="18"/>
                <w:szCs w:val="18"/>
              </w:rPr>
            </w:pPr>
            <w:r w:rsidRPr="001C4C08">
              <w:rPr>
                <w:sz w:val="18"/>
                <w:szCs w:val="18"/>
              </w:rPr>
              <w:t xml:space="preserve">Es posible que la última parte de la disposición no ofrezca la flexibilidad necesaria para dar cabida a las nuevas tendencias y cuestiones emergentes, porque implica que la empresa operadora autorizada de origen tiene que llegar a algún acuerdo con las empresas </w:t>
            </w:r>
            <w:r w:rsidR="0006643E" w:rsidRPr="001C4C08">
              <w:rPr>
                <w:sz w:val="18"/>
                <w:szCs w:val="18"/>
              </w:rPr>
              <w:t>de explotación</w:t>
            </w:r>
            <w:r w:rsidRPr="001C4C08">
              <w:rPr>
                <w:sz w:val="18"/>
                <w:szCs w:val="18"/>
              </w:rPr>
              <w:t xml:space="preserve"> autorizadas de tránsito y destino pertinentes </w:t>
            </w:r>
            <w:r w:rsidR="0006643E" w:rsidRPr="001C4C08">
              <w:rPr>
                <w:sz w:val="18"/>
                <w:szCs w:val="18"/>
              </w:rPr>
              <w:t>a fin de tener</w:t>
            </w:r>
            <w:r w:rsidRPr="001C4C08">
              <w:rPr>
                <w:sz w:val="18"/>
                <w:szCs w:val="18"/>
              </w:rPr>
              <w:t xml:space="preserve"> en cuenta sus intereses. Sería mejor que la segunda parte diera a la empresa de explotación autorizada de origen un "derecho" en lugar de sólo una "</w:t>
            </w:r>
            <w:r w:rsidR="0006643E" w:rsidRPr="001C4C08">
              <w:rPr>
                <w:sz w:val="18"/>
                <w:szCs w:val="18"/>
              </w:rPr>
              <w:t>elec</w:t>
            </w:r>
            <w:r w:rsidRPr="001C4C08">
              <w:rPr>
                <w:sz w:val="18"/>
                <w:szCs w:val="18"/>
              </w:rPr>
              <w:t>ción" para determinar la ruta</w:t>
            </w:r>
            <w:bookmarkStart w:id="102" w:name="lt_pId278"/>
            <w:r w:rsidR="006C2C79" w:rsidRPr="001C4C08">
              <w:rPr>
                <w:sz w:val="18"/>
                <w:szCs w:val="18"/>
              </w:rPr>
              <w:t>.</w:t>
            </w:r>
            <w:bookmarkEnd w:id="102"/>
          </w:p>
        </w:tc>
        <w:tc>
          <w:tcPr>
            <w:tcW w:w="1308" w:type="dxa"/>
            <w:shd w:val="clear" w:color="auto" w:fill="auto"/>
            <w:tcMar>
              <w:left w:w="85" w:type="dxa"/>
              <w:right w:w="85" w:type="dxa"/>
            </w:tcMar>
          </w:tcPr>
          <w:p w14:paraId="0270DDCC" w14:textId="2E6966C8" w:rsidR="006C2C79" w:rsidRPr="001C4C08" w:rsidRDefault="00F6203A" w:rsidP="006C2C79">
            <w:pPr>
              <w:spacing w:after="60"/>
              <w:rPr>
                <w:b/>
                <w:sz w:val="18"/>
                <w:szCs w:val="18"/>
              </w:rPr>
            </w:pPr>
            <w:bookmarkStart w:id="103" w:name="lt_pId279"/>
            <w:r w:rsidRPr="001C4C08">
              <w:rPr>
                <w:b/>
                <w:sz w:val="18"/>
                <w:szCs w:val="18"/>
              </w:rPr>
              <w:lastRenderedPageBreak/>
              <w:t>Estudiar la posibilidad de perfeccionar esta disposición</w:t>
            </w:r>
            <w:r w:rsidR="006C2C79" w:rsidRPr="001C4C08">
              <w:rPr>
                <w:b/>
                <w:sz w:val="18"/>
                <w:szCs w:val="18"/>
              </w:rPr>
              <w:t>.</w:t>
            </w:r>
            <w:bookmarkEnd w:id="103"/>
          </w:p>
        </w:tc>
      </w:tr>
      <w:tr w:rsidR="006C2C79" w:rsidRPr="001C4C08" w14:paraId="7C0BDF58" w14:textId="77777777" w:rsidTr="001C4C08">
        <w:trPr>
          <w:jc w:val="center"/>
        </w:trPr>
        <w:tc>
          <w:tcPr>
            <w:tcW w:w="1075" w:type="dxa"/>
            <w:tcMar>
              <w:left w:w="85" w:type="dxa"/>
              <w:right w:w="85" w:type="dxa"/>
            </w:tcMar>
          </w:tcPr>
          <w:p w14:paraId="22AE7763" w14:textId="6CDFFDBD" w:rsidR="006C2C79" w:rsidRPr="001C4C08" w:rsidRDefault="00026705" w:rsidP="006C2C79">
            <w:pPr>
              <w:spacing w:after="60"/>
              <w:rPr>
                <w:rFonts w:cs="Calibri"/>
                <w:bCs/>
                <w:sz w:val="18"/>
                <w:szCs w:val="18"/>
              </w:rPr>
            </w:pPr>
            <w:bookmarkStart w:id="104" w:name="lt_pId280"/>
            <w:r w:rsidRPr="001C4C08">
              <w:rPr>
                <w:rFonts w:cs="Calibri"/>
                <w:b/>
                <w:bCs/>
                <w:sz w:val="18"/>
                <w:szCs w:val="18"/>
              </w:rPr>
              <w:t>Artículo</w:t>
            </w:r>
            <w:r w:rsidR="006C2C79" w:rsidRPr="001C4C08">
              <w:rPr>
                <w:rFonts w:cs="Calibri"/>
                <w:b/>
                <w:bCs/>
                <w:sz w:val="18"/>
                <w:szCs w:val="18"/>
              </w:rPr>
              <w:t xml:space="preserve"> 3</w:t>
            </w:r>
            <w:bookmarkEnd w:id="104"/>
          </w:p>
        </w:tc>
        <w:tc>
          <w:tcPr>
            <w:tcW w:w="2140" w:type="dxa"/>
            <w:tcMar>
              <w:left w:w="85" w:type="dxa"/>
              <w:right w:w="85" w:type="dxa"/>
            </w:tcMar>
          </w:tcPr>
          <w:p w14:paraId="6121DCFB" w14:textId="50C95DD9" w:rsidR="006C2C79" w:rsidRPr="001C4C08" w:rsidRDefault="006C2C79" w:rsidP="006C2C79">
            <w:pPr>
              <w:spacing w:after="60"/>
              <w:rPr>
                <w:rFonts w:cs="Calibri"/>
                <w:bCs/>
                <w:sz w:val="18"/>
                <w:szCs w:val="18"/>
              </w:rPr>
            </w:pPr>
            <w:r w:rsidRPr="001C4C08">
              <w:rPr>
                <w:rFonts w:cs="Calibri"/>
                <w:bCs/>
                <w:sz w:val="18"/>
                <w:szCs w:val="18"/>
              </w:rPr>
              <w:t>3.4</w:t>
            </w:r>
            <w:r w:rsidRPr="001C4C08">
              <w:rPr>
                <w:rFonts w:cs="Calibri"/>
                <w:bCs/>
                <w:sz w:val="18"/>
                <w:szCs w:val="18"/>
              </w:rPr>
              <w:tab/>
              <w:t>De conformidad con la legislación nacional, todo usuario que goce de acceso a la red internacional tendrá derecho a cursar tráfico. Se debe mantener en la mayor medida posible una calidad de servicio satisfactoria, correspondiente a la de las Recomendaciones UIT-T pertinentes.</w:t>
            </w:r>
          </w:p>
        </w:tc>
        <w:tc>
          <w:tcPr>
            <w:tcW w:w="2142" w:type="dxa"/>
            <w:tcMar>
              <w:left w:w="85" w:type="dxa"/>
              <w:right w:w="85" w:type="dxa"/>
            </w:tcMar>
          </w:tcPr>
          <w:p w14:paraId="65056133" w14:textId="31C03E80" w:rsidR="006C2C79" w:rsidRPr="001C4C08" w:rsidRDefault="006C2C79" w:rsidP="006C2C79">
            <w:pPr>
              <w:spacing w:after="60"/>
              <w:rPr>
                <w:rFonts w:cs="Calibri"/>
                <w:bCs/>
                <w:sz w:val="18"/>
                <w:szCs w:val="18"/>
              </w:rPr>
            </w:pPr>
            <w:r w:rsidRPr="001C4C08">
              <w:rPr>
                <w:rFonts w:cs="Calibri"/>
                <w:bCs/>
                <w:sz w:val="18"/>
                <w:szCs w:val="18"/>
              </w:rPr>
              <w:t>3.4</w:t>
            </w:r>
            <w:r w:rsidRPr="001C4C08">
              <w:rPr>
                <w:rFonts w:cs="Calibri"/>
                <w:bCs/>
                <w:sz w:val="18"/>
                <w:szCs w:val="18"/>
              </w:rPr>
              <w:tab/>
              <w:t>A reserva de la legislación nacional, todo usuario que goce de acceso a la red internacional establecida por una administración* tendrá derecho a cursar tráfico. Se debería mantener en la mayor medida posible una calidad de servicio satisfactoria, correspondiente a las Recomendaciones pertinentes del CCITT.</w:t>
            </w:r>
          </w:p>
        </w:tc>
        <w:tc>
          <w:tcPr>
            <w:tcW w:w="2029" w:type="dxa"/>
            <w:tcMar>
              <w:left w:w="85" w:type="dxa"/>
              <w:right w:w="85" w:type="dxa"/>
            </w:tcMar>
          </w:tcPr>
          <w:p w14:paraId="257E522B" w14:textId="7BA256FC" w:rsidR="006C2C79" w:rsidRPr="001C4C08" w:rsidRDefault="0006643E" w:rsidP="006C2C79">
            <w:pPr>
              <w:spacing w:after="60"/>
              <w:rPr>
                <w:sz w:val="18"/>
                <w:szCs w:val="18"/>
              </w:rPr>
            </w:pPr>
            <w:bookmarkStart w:id="105" w:name="lt_pId287"/>
            <w:r w:rsidRPr="001C4C08">
              <w:rPr>
                <w:sz w:val="18"/>
                <w:szCs w:val="18"/>
              </w:rPr>
              <w:t>Esta disposición apoya el desarrollo de redes y servicios</w:t>
            </w:r>
            <w:r w:rsidR="006C2C79" w:rsidRPr="001C4C08">
              <w:rPr>
                <w:sz w:val="18"/>
                <w:szCs w:val="18"/>
              </w:rPr>
              <w:t>.</w:t>
            </w:r>
            <w:bookmarkEnd w:id="105"/>
          </w:p>
        </w:tc>
        <w:tc>
          <w:tcPr>
            <w:tcW w:w="1825" w:type="dxa"/>
            <w:tcMar>
              <w:left w:w="85" w:type="dxa"/>
              <w:right w:w="85" w:type="dxa"/>
            </w:tcMar>
          </w:tcPr>
          <w:p w14:paraId="29ED9BBD" w14:textId="1888AF34" w:rsidR="006C2C79" w:rsidRPr="001C4C08" w:rsidRDefault="0006643E" w:rsidP="006C2C79">
            <w:pPr>
              <w:spacing w:after="60"/>
              <w:rPr>
                <w:sz w:val="18"/>
                <w:szCs w:val="18"/>
              </w:rPr>
            </w:pPr>
            <w:bookmarkStart w:id="106" w:name="lt_pId288"/>
            <w:r w:rsidRPr="001C4C08">
              <w:rPr>
                <w:sz w:val="18"/>
                <w:szCs w:val="18"/>
              </w:rPr>
              <w:t xml:space="preserve">La </w:t>
            </w:r>
            <w:r w:rsidR="006C2C79" w:rsidRPr="001C4C08">
              <w:rPr>
                <w:sz w:val="18"/>
                <w:szCs w:val="18"/>
              </w:rPr>
              <w:t xml:space="preserve">QoS </w:t>
            </w:r>
            <w:r w:rsidRPr="001C4C08">
              <w:rPr>
                <w:sz w:val="18"/>
                <w:szCs w:val="18"/>
              </w:rPr>
              <w:t>afecta a los derechos humanos fundamentales</w:t>
            </w:r>
            <w:r w:rsidR="006C2C79" w:rsidRPr="001C4C08">
              <w:rPr>
                <w:sz w:val="18"/>
                <w:szCs w:val="18"/>
              </w:rPr>
              <w:t>.</w:t>
            </w:r>
            <w:bookmarkEnd w:id="106"/>
            <w:r w:rsidR="006C2C79" w:rsidRPr="001C4C08">
              <w:rPr>
                <w:sz w:val="18"/>
                <w:szCs w:val="18"/>
              </w:rPr>
              <w:t xml:space="preserve"> </w:t>
            </w:r>
            <w:bookmarkStart w:id="107" w:name="lt_pId289"/>
            <w:r w:rsidRPr="001C4C08">
              <w:rPr>
                <w:b/>
                <w:bCs/>
                <w:sz w:val="18"/>
                <w:szCs w:val="18"/>
              </w:rPr>
              <w:t>Esta disposición proporciona flexibilidad</w:t>
            </w:r>
            <w:r w:rsidRPr="001C4C08">
              <w:rPr>
                <w:sz w:val="18"/>
                <w:szCs w:val="18"/>
              </w:rPr>
              <w:t xml:space="preserve"> para dar cabida a las nuevas tendencias y cuestiones que van surgiendo</w:t>
            </w:r>
            <w:r w:rsidR="006C2C79" w:rsidRPr="001C4C08">
              <w:rPr>
                <w:sz w:val="18"/>
                <w:szCs w:val="18"/>
              </w:rPr>
              <w:t>.</w:t>
            </w:r>
            <w:bookmarkEnd w:id="107"/>
          </w:p>
        </w:tc>
        <w:tc>
          <w:tcPr>
            <w:tcW w:w="1308" w:type="dxa"/>
            <w:tcMar>
              <w:left w:w="85" w:type="dxa"/>
              <w:right w:w="85" w:type="dxa"/>
            </w:tcMar>
          </w:tcPr>
          <w:p w14:paraId="47A0B9FC" w14:textId="40AEB288" w:rsidR="006C2C79" w:rsidRPr="001C4C08" w:rsidRDefault="00026705" w:rsidP="006C2C79">
            <w:pPr>
              <w:spacing w:after="60"/>
              <w:rPr>
                <w:sz w:val="18"/>
                <w:szCs w:val="18"/>
              </w:rPr>
            </w:pPr>
            <w:r w:rsidRPr="001C4C08">
              <w:rPr>
                <w:b/>
                <w:sz w:val="18"/>
                <w:szCs w:val="18"/>
              </w:rPr>
              <w:t>No se requiere cambio.</w:t>
            </w:r>
          </w:p>
        </w:tc>
      </w:tr>
      <w:tr w:rsidR="006C2C79" w:rsidRPr="001C4C08" w14:paraId="115FCE00" w14:textId="77777777" w:rsidTr="001C4C08">
        <w:trPr>
          <w:jc w:val="center"/>
        </w:trPr>
        <w:tc>
          <w:tcPr>
            <w:tcW w:w="1075" w:type="dxa"/>
            <w:tcMar>
              <w:left w:w="85" w:type="dxa"/>
              <w:right w:w="85" w:type="dxa"/>
            </w:tcMar>
          </w:tcPr>
          <w:p w14:paraId="61E262C3" w14:textId="1156C3AD" w:rsidR="006C2C79" w:rsidRPr="001C4C08" w:rsidRDefault="00026705" w:rsidP="006C2C79">
            <w:pPr>
              <w:spacing w:after="60"/>
              <w:rPr>
                <w:rFonts w:cs="Calibri"/>
                <w:bCs/>
                <w:sz w:val="18"/>
                <w:szCs w:val="18"/>
              </w:rPr>
            </w:pPr>
            <w:bookmarkStart w:id="108" w:name="lt_pId291"/>
            <w:r w:rsidRPr="001C4C08">
              <w:rPr>
                <w:rFonts w:cs="Calibri"/>
                <w:b/>
                <w:bCs/>
                <w:sz w:val="18"/>
                <w:szCs w:val="18"/>
              </w:rPr>
              <w:t>Artículo</w:t>
            </w:r>
            <w:r w:rsidR="006C2C79" w:rsidRPr="001C4C08">
              <w:rPr>
                <w:rFonts w:cs="Calibri"/>
                <w:b/>
                <w:bCs/>
                <w:sz w:val="18"/>
                <w:szCs w:val="18"/>
              </w:rPr>
              <w:t xml:space="preserve"> 3</w:t>
            </w:r>
            <w:bookmarkEnd w:id="108"/>
            <w:r w:rsidR="006C2C79" w:rsidRPr="001C4C08">
              <w:rPr>
                <w:rFonts w:cs="Calibri"/>
                <w:b/>
                <w:bCs/>
                <w:sz w:val="18"/>
                <w:szCs w:val="18"/>
              </w:rPr>
              <w:t xml:space="preserve"> </w:t>
            </w:r>
          </w:p>
        </w:tc>
        <w:tc>
          <w:tcPr>
            <w:tcW w:w="2140" w:type="dxa"/>
            <w:tcMar>
              <w:left w:w="85" w:type="dxa"/>
              <w:right w:w="85" w:type="dxa"/>
            </w:tcMar>
          </w:tcPr>
          <w:p w14:paraId="567BBB1E" w14:textId="3F81F3AE" w:rsidR="006C2C79" w:rsidRPr="001C4C08" w:rsidRDefault="006C2C79" w:rsidP="006C2C79">
            <w:pPr>
              <w:spacing w:after="60"/>
              <w:rPr>
                <w:rFonts w:cs="Calibri"/>
                <w:bCs/>
                <w:sz w:val="18"/>
                <w:szCs w:val="18"/>
              </w:rPr>
            </w:pPr>
            <w:r w:rsidRPr="001C4C08">
              <w:rPr>
                <w:rFonts w:cs="Calibri"/>
                <w:bCs/>
                <w:sz w:val="18"/>
                <w:szCs w:val="18"/>
              </w:rPr>
              <w:t>3.5</w:t>
            </w:r>
            <w:r w:rsidRPr="001C4C08">
              <w:rPr>
                <w:rFonts w:cs="Calibri"/>
                <w:bCs/>
                <w:sz w:val="18"/>
                <w:szCs w:val="18"/>
              </w:rPr>
              <w:tab/>
              <w:t xml:space="preserve">Los Estados Miembros procurarán velar por que los recursos de numeración de telecomunicaciones internacionales especificados en las Recomendaciones UIT-T sean utilizados exclusivamente por los asignatarios y con el único propósito para los que </w:t>
            </w:r>
            <w:r w:rsidRPr="001C4C08">
              <w:rPr>
                <w:rFonts w:cs="Calibri"/>
                <w:bCs/>
                <w:sz w:val="18"/>
                <w:szCs w:val="18"/>
              </w:rPr>
              <w:lastRenderedPageBreak/>
              <w:t xml:space="preserve">fueron asignados; y </w:t>
            </w:r>
            <w:proofErr w:type="spellStart"/>
            <w:r w:rsidRPr="001C4C08">
              <w:rPr>
                <w:rFonts w:cs="Calibri"/>
                <w:bCs/>
                <w:sz w:val="18"/>
                <w:szCs w:val="18"/>
              </w:rPr>
              <w:t>por que</w:t>
            </w:r>
            <w:proofErr w:type="spellEnd"/>
            <w:r w:rsidRPr="001C4C08">
              <w:rPr>
                <w:rFonts w:cs="Calibri"/>
                <w:bCs/>
                <w:sz w:val="18"/>
                <w:szCs w:val="18"/>
              </w:rPr>
              <w:t xml:space="preserve"> no se utilicen recursos no asignados.</w:t>
            </w:r>
          </w:p>
        </w:tc>
        <w:tc>
          <w:tcPr>
            <w:tcW w:w="2142" w:type="dxa"/>
            <w:tcMar>
              <w:left w:w="85" w:type="dxa"/>
              <w:right w:w="85" w:type="dxa"/>
            </w:tcMar>
          </w:tcPr>
          <w:p w14:paraId="4C4D0635" w14:textId="11DEF0D6" w:rsidR="006C2C79" w:rsidRPr="001C4C08" w:rsidRDefault="00026705" w:rsidP="006C2C79">
            <w:pPr>
              <w:spacing w:after="60"/>
              <w:rPr>
                <w:rFonts w:cs="Calibri"/>
                <w:bCs/>
                <w:sz w:val="18"/>
                <w:szCs w:val="18"/>
              </w:rPr>
            </w:pPr>
            <w:bookmarkStart w:id="109" w:name="lt_pId294"/>
            <w:r w:rsidRPr="001C4C08">
              <w:rPr>
                <w:rFonts w:cs="Calibri"/>
                <w:bCs/>
                <w:sz w:val="18"/>
                <w:szCs w:val="18"/>
              </w:rPr>
              <w:lastRenderedPageBreak/>
              <w:t>No hay disposición análoga</w:t>
            </w:r>
            <w:r w:rsidR="006C2C79" w:rsidRPr="001C4C08">
              <w:rPr>
                <w:rFonts w:cs="Calibri"/>
                <w:bCs/>
                <w:sz w:val="18"/>
                <w:szCs w:val="18"/>
              </w:rPr>
              <w:t>.</w:t>
            </w:r>
            <w:bookmarkEnd w:id="109"/>
          </w:p>
        </w:tc>
        <w:tc>
          <w:tcPr>
            <w:tcW w:w="2029" w:type="dxa"/>
            <w:tcMar>
              <w:left w:w="85" w:type="dxa"/>
              <w:right w:w="85" w:type="dxa"/>
            </w:tcMar>
          </w:tcPr>
          <w:p w14:paraId="46AAEAC5" w14:textId="6EC3B908" w:rsidR="006C2C79" w:rsidRPr="001C4C08" w:rsidRDefault="0006643E" w:rsidP="006C2C79">
            <w:pPr>
              <w:spacing w:after="60"/>
              <w:rPr>
                <w:sz w:val="18"/>
                <w:szCs w:val="18"/>
              </w:rPr>
            </w:pPr>
            <w:r w:rsidRPr="001C4C08">
              <w:rPr>
                <w:sz w:val="18"/>
                <w:szCs w:val="18"/>
              </w:rPr>
              <w:t xml:space="preserve">La gestión de los recursos internacionales de numeración es importante para garantizar la exactitud del encaminamiento y la facturación de las comunicaciones. No debe permitirse el uso indebido de los recursos de numeración. Esta disposición apoya el </w:t>
            </w:r>
            <w:r w:rsidRPr="001C4C08">
              <w:rPr>
                <w:sz w:val="18"/>
                <w:szCs w:val="18"/>
              </w:rPr>
              <w:lastRenderedPageBreak/>
              <w:t>desarrollo de redes y servicios.</w:t>
            </w:r>
          </w:p>
        </w:tc>
        <w:tc>
          <w:tcPr>
            <w:tcW w:w="1825" w:type="dxa"/>
            <w:tcMar>
              <w:left w:w="85" w:type="dxa"/>
              <w:right w:w="85" w:type="dxa"/>
            </w:tcMar>
          </w:tcPr>
          <w:p w14:paraId="0718473B" w14:textId="3A776DA1" w:rsidR="006C2C79" w:rsidRPr="001C4C08" w:rsidRDefault="006C2C79" w:rsidP="006C2C79">
            <w:pPr>
              <w:spacing w:after="60"/>
              <w:rPr>
                <w:sz w:val="18"/>
                <w:szCs w:val="18"/>
              </w:rPr>
            </w:pPr>
            <w:bookmarkStart w:id="110" w:name="lt_pId298"/>
            <w:r w:rsidRPr="001C4C08">
              <w:rPr>
                <w:b/>
                <w:sz w:val="18"/>
                <w:szCs w:val="18"/>
              </w:rPr>
              <w:lastRenderedPageBreak/>
              <w:t>Flexible:</w:t>
            </w:r>
            <w:r w:rsidRPr="001C4C08">
              <w:rPr>
                <w:sz w:val="18"/>
                <w:szCs w:val="18"/>
              </w:rPr>
              <w:t xml:space="preserve"> </w:t>
            </w:r>
            <w:r w:rsidR="00A438A4" w:rsidRPr="001C4C08">
              <w:rPr>
                <w:sz w:val="18"/>
                <w:szCs w:val="18"/>
              </w:rPr>
              <w:t>Se apoya esta disposición</w:t>
            </w:r>
            <w:r w:rsidRPr="001C4C08">
              <w:rPr>
                <w:sz w:val="18"/>
                <w:szCs w:val="18"/>
              </w:rPr>
              <w:t xml:space="preserve"> </w:t>
            </w:r>
            <w:bookmarkEnd w:id="110"/>
            <w:r w:rsidR="0006643E" w:rsidRPr="001C4C08">
              <w:rPr>
                <w:sz w:val="18"/>
                <w:szCs w:val="18"/>
              </w:rPr>
              <w:t xml:space="preserve">ya que asegura la precisión en el uso de los recursos de numeración. De no ser así, podría dar lugar a un encaminamiento y una facturación de las llamadas inexactos o infructuosos. Dado </w:t>
            </w:r>
            <w:r w:rsidR="0006643E" w:rsidRPr="001C4C08">
              <w:rPr>
                <w:sz w:val="18"/>
                <w:szCs w:val="18"/>
              </w:rPr>
              <w:lastRenderedPageBreak/>
              <w:t>que un operador no tiene jurisdicción sobre otros operadores de otro país, es importante que los Estados Miembros apoyen esta cuestión</w:t>
            </w:r>
            <w:bookmarkStart w:id="111" w:name="lt_pId300"/>
            <w:r w:rsidRPr="001C4C08">
              <w:rPr>
                <w:sz w:val="18"/>
                <w:szCs w:val="18"/>
              </w:rPr>
              <w:t>.</w:t>
            </w:r>
            <w:bookmarkEnd w:id="111"/>
          </w:p>
        </w:tc>
        <w:tc>
          <w:tcPr>
            <w:tcW w:w="1308" w:type="dxa"/>
            <w:tcMar>
              <w:left w:w="85" w:type="dxa"/>
              <w:right w:w="85" w:type="dxa"/>
            </w:tcMar>
          </w:tcPr>
          <w:p w14:paraId="1A503076" w14:textId="2BDB482A" w:rsidR="006C2C79" w:rsidRPr="001C4C08" w:rsidRDefault="00026705" w:rsidP="006C2C79">
            <w:pPr>
              <w:spacing w:after="60"/>
              <w:rPr>
                <w:b/>
                <w:sz w:val="18"/>
                <w:szCs w:val="18"/>
              </w:rPr>
            </w:pPr>
            <w:r w:rsidRPr="001C4C08">
              <w:rPr>
                <w:b/>
                <w:sz w:val="18"/>
                <w:szCs w:val="18"/>
              </w:rPr>
              <w:lastRenderedPageBreak/>
              <w:t>No se requiere cambio.</w:t>
            </w:r>
          </w:p>
        </w:tc>
      </w:tr>
      <w:tr w:rsidR="006C2C79" w:rsidRPr="001C4C08" w14:paraId="450522D9" w14:textId="77777777" w:rsidTr="001C4C08">
        <w:trPr>
          <w:jc w:val="center"/>
        </w:trPr>
        <w:tc>
          <w:tcPr>
            <w:tcW w:w="1075" w:type="dxa"/>
            <w:tcMar>
              <w:left w:w="85" w:type="dxa"/>
              <w:right w:w="85" w:type="dxa"/>
            </w:tcMar>
          </w:tcPr>
          <w:p w14:paraId="640FAE4F" w14:textId="19A1CCB9" w:rsidR="006C2C79" w:rsidRPr="001C4C08" w:rsidRDefault="00026705" w:rsidP="006C2C79">
            <w:pPr>
              <w:spacing w:after="60"/>
              <w:jc w:val="both"/>
              <w:rPr>
                <w:rFonts w:cs="Calibri"/>
                <w:bCs/>
                <w:sz w:val="18"/>
                <w:szCs w:val="18"/>
              </w:rPr>
            </w:pPr>
            <w:bookmarkStart w:id="112" w:name="lt_pId302"/>
            <w:bookmarkEnd w:id="11"/>
            <w:r w:rsidRPr="001C4C08">
              <w:rPr>
                <w:rFonts w:cs="Calibri"/>
                <w:b/>
                <w:bCs/>
                <w:sz w:val="18"/>
                <w:szCs w:val="18"/>
              </w:rPr>
              <w:t>Artículo</w:t>
            </w:r>
            <w:r w:rsidR="006C2C79" w:rsidRPr="001C4C08">
              <w:rPr>
                <w:rFonts w:cs="Calibri"/>
                <w:b/>
                <w:bCs/>
                <w:sz w:val="18"/>
                <w:szCs w:val="18"/>
              </w:rPr>
              <w:t xml:space="preserve"> 3</w:t>
            </w:r>
            <w:bookmarkEnd w:id="112"/>
            <w:r w:rsidR="006C2C79" w:rsidRPr="001C4C08">
              <w:rPr>
                <w:rFonts w:cs="Calibri"/>
                <w:b/>
                <w:bCs/>
                <w:sz w:val="18"/>
                <w:szCs w:val="18"/>
              </w:rPr>
              <w:t xml:space="preserve"> </w:t>
            </w:r>
          </w:p>
        </w:tc>
        <w:tc>
          <w:tcPr>
            <w:tcW w:w="2140" w:type="dxa"/>
            <w:tcMar>
              <w:left w:w="85" w:type="dxa"/>
              <w:right w:w="85" w:type="dxa"/>
            </w:tcMar>
          </w:tcPr>
          <w:p w14:paraId="13BFA525" w14:textId="3D9CC674" w:rsidR="006C2C79" w:rsidRPr="001C4C08" w:rsidRDefault="006C2C79" w:rsidP="006C2C79">
            <w:pPr>
              <w:spacing w:after="60"/>
              <w:rPr>
                <w:rFonts w:cs="Calibri"/>
                <w:bCs/>
                <w:sz w:val="18"/>
                <w:szCs w:val="18"/>
              </w:rPr>
            </w:pPr>
            <w:r w:rsidRPr="001C4C08">
              <w:rPr>
                <w:rFonts w:cs="Calibri"/>
                <w:bCs/>
                <w:sz w:val="18"/>
                <w:szCs w:val="18"/>
              </w:rPr>
              <w:t>3.6</w:t>
            </w:r>
            <w:r w:rsidRPr="001C4C08">
              <w:rPr>
                <w:rFonts w:cs="Calibri"/>
                <w:bCs/>
                <w:sz w:val="18"/>
                <w:szCs w:val="18"/>
              </w:rPr>
              <w:tab/>
              <w:t>Los Estados Miembros procurarán asegurar que la identificación de línea llamante internacional (CLI) se proporcione de acuerdo con las Recomendaciones UIT-T pertinentes.</w:t>
            </w:r>
          </w:p>
        </w:tc>
        <w:tc>
          <w:tcPr>
            <w:tcW w:w="2142" w:type="dxa"/>
            <w:tcMar>
              <w:left w:w="85" w:type="dxa"/>
              <w:right w:w="85" w:type="dxa"/>
            </w:tcMar>
          </w:tcPr>
          <w:p w14:paraId="3E1A89E2" w14:textId="3583FDE8" w:rsidR="006C2C79" w:rsidRPr="001C4C08" w:rsidRDefault="00026705" w:rsidP="006C2C79">
            <w:pPr>
              <w:spacing w:after="60"/>
              <w:rPr>
                <w:rFonts w:cs="Calibri"/>
                <w:bCs/>
                <w:sz w:val="18"/>
                <w:szCs w:val="18"/>
              </w:rPr>
            </w:pPr>
            <w:bookmarkStart w:id="113" w:name="lt_pId305"/>
            <w:r w:rsidRPr="001C4C08">
              <w:rPr>
                <w:rFonts w:cs="Calibri"/>
                <w:bCs/>
                <w:sz w:val="18"/>
                <w:szCs w:val="18"/>
              </w:rPr>
              <w:t>No hay disposición análoga</w:t>
            </w:r>
            <w:r w:rsidR="006C2C79" w:rsidRPr="001C4C08">
              <w:rPr>
                <w:rFonts w:cs="Calibri"/>
                <w:bCs/>
                <w:sz w:val="18"/>
                <w:szCs w:val="18"/>
              </w:rPr>
              <w:t>.</w:t>
            </w:r>
            <w:bookmarkEnd w:id="113"/>
          </w:p>
        </w:tc>
        <w:tc>
          <w:tcPr>
            <w:tcW w:w="2029" w:type="dxa"/>
            <w:tcMar>
              <w:left w:w="85" w:type="dxa"/>
              <w:right w:w="85" w:type="dxa"/>
            </w:tcMar>
          </w:tcPr>
          <w:p w14:paraId="78543D7E" w14:textId="1640A04E" w:rsidR="006C2C79" w:rsidRPr="001C4C08" w:rsidRDefault="0006643E" w:rsidP="006C2C79">
            <w:pPr>
              <w:spacing w:after="60"/>
              <w:rPr>
                <w:sz w:val="18"/>
                <w:szCs w:val="18"/>
              </w:rPr>
            </w:pPr>
            <w:r w:rsidRPr="001C4C08">
              <w:rPr>
                <w:sz w:val="18"/>
                <w:szCs w:val="18"/>
              </w:rPr>
              <w:t>El envío de información precisa de CLI de acuerdo con las Recomendaciones del UIT-T es importante para garantizar el encaminamiento y la facturación de las comunicaciones precisos. No se debe permitir el uso indebido de la CLI. Esta disposición apoya el desarrollo de redes y servicios.</w:t>
            </w:r>
          </w:p>
        </w:tc>
        <w:tc>
          <w:tcPr>
            <w:tcW w:w="1825" w:type="dxa"/>
            <w:tcMar>
              <w:left w:w="85" w:type="dxa"/>
              <w:right w:w="85" w:type="dxa"/>
            </w:tcMar>
          </w:tcPr>
          <w:p w14:paraId="5C37EE93" w14:textId="46D5EE9D" w:rsidR="006C2C79" w:rsidRPr="001C4C08" w:rsidRDefault="006C2C79" w:rsidP="006C2C79">
            <w:pPr>
              <w:spacing w:after="60"/>
              <w:rPr>
                <w:sz w:val="18"/>
                <w:szCs w:val="18"/>
              </w:rPr>
            </w:pPr>
            <w:bookmarkStart w:id="114" w:name="lt_pId309"/>
            <w:r w:rsidRPr="001C4C08">
              <w:rPr>
                <w:b/>
                <w:sz w:val="18"/>
                <w:szCs w:val="18"/>
              </w:rPr>
              <w:t>Flexible:</w:t>
            </w:r>
            <w:r w:rsidRPr="001C4C08">
              <w:rPr>
                <w:sz w:val="18"/>
                <w:szCs w:val="18"/>
              </w:rPr>
              <w:t xml:space="preserve"> </w:t>
            </w:r>
            <w:r w:rsidR="00A438A4" w:rsidRPr="001C4C08">
              <w:rPr>
                <w:sz w:val="18"/>
                <w:szCs w:val="18"/>
              </w:rPr>
              <w:t>Se apoya esta disposición</w:t>
            </w:r>
            <w:r w:rsidRPr="001C4C08">
              <w:rPr>
                <w:sz w:val="18"/>
                <w:szCs w:val="18"/>
              </w:rPr>
              <w:t xml:space="preserve"> </w:t>
            </w:r>
            <w:bookmarkEnd w:id="114"/>
            <w:r w:rsidR="0006643E" w:rsidRPr="001C4C08">
              <w:rPr>
                <w:sz w:val="18"/>
                <w:szCs w:val="18"/>
              </w:rPr>
              <w:t>ya que frena la manipulación de</w:t>
            </w:r>
            <w:r w:rsidR="001943E1" w:rsidRPr="001C4C08">
              <w:rPr>
                <w:sz w:val="18"/>
                <w:szCs w:val="18"/>
              </w:rPr>
              <w:t xml:space="preserve"> </w:t>
            </w:r>
            <w:r w:rsidR="0006643E" w:rsidRPr="001C4C08">
              <w:rPr>
                <w:sz w:val="18"/>
                <w:szCs w:val="18"/>
              </w:rPr>
              <w:t>l</w:t>
            </w:r>
            <w:r w:rsidR="001943E1" w:rsidRPr="001C4C08">
              <w:rPr>
                <w:sz w:val="18"/>
                <w:szCs w:val="18"/>
              </w:rPr>
              <w:t>a</w:t>
            </w:r>
            <w:r w:rsidR="0006643E" w:rsidRPr="001C4C08">
              <w:rPr>
                <w:sz w:val="18"/>
                <w:szCs w:val="18"/>
              </w:rPr>
              <w:t xml:space="preserve"> CLI, que podría llevar a un encaminamiento y una facturación de las llamadas internacionales inexactos o infructuosos. Dado que un operador no tiene jurisdicción sobre otros operadores de otro país, es importante que los Estados Miembros den su apoyo en esta cuestión.</w:t>
            </w:r>
          </w:p>
        </w:tc>
        <w:tc>
          <w:tcPr>
            <w:tcW w:w="1308" w:type="dxa"/>
            <w:tcMar>
              <w:left w:w="85" w:type="dxa"/>
              <w:right w:w="85" w:type="dxa"/>
            </w:tcMar>
          </w:tcPr>
          <w:p w14:paraId="688B59E9" w14:textId="18A0ECDB" w:rsidR="006C2C79" w:rsidRPr="001C4C08" w:rsidRDefault="00026705" w:rsidP="006C2C79">
            <w:pPr>
              <w:spacing w:after="60"/>
              <w:rPr>
                <w:b/>
                <w:sz w:val="18"/>
                <w:szCs w:val="18"/>
              </w:rPr>
            </w:pPr>
            <w:r w:rsidRPr="001C4C08">
              <w:rPr>
                <w:b/>
                <w:sz w:val="18"/>
                <w:szCs w:val="18"/>
              </w:rPr>
              <w:t>No se requiere cambio.</w:t>
            </w:r>
          </w:p>
        </w:tc>
      </w:tr>
      <w:tr w:rsidR="006C2C79" w:rsidRPr="001C4C08" w14:paraId="7E13EAEF" w14:textId="77777777" w:rsidTr="001C4C08">
        <w:trPr>
          <w:jc w:val="center"/>
        </w:trPr>
        <w:tc>
          <w:tcPr>
            <w:tcW w:w="1075" w:type="dxa"/>
            <w:tcMar>
              <w:left w:w="85" w:type="dxa"/>
              <w:right w:w="85" w:type="dxa"/>
            </w:tcMar>
          </w:tcPr>
          <w:p w14:paraId="128BCF92" w14:textId="79F410B9" w:rsidR="006C2C79" w:rsidRPr="001C4C08" w:rsidRDefault="00026705" w:rsidP="006C2C79">
            <w:pPr>
              <w:spacing w:after="60"/>
              <w:jc w:val="both"/>
              <w:rPr>
                <w:rFonts w:cs="Calibri"/>
                <w:bCs/>
                <w:sz w:val="18"/>
                <w:szCs w:val="18"/>
              </w:rPr>
            </w:pPr>
            <w:bookmarkStart w:id="115" w:name="lt_pId312"/>
            <w:r w:rsidRPr="001C4C08">
              <w:rPr>
                <w:rFonts w:cs="Calibri"/>
                <w:b/>
                <w:bCs/>
                <w:sz w:val="18"/>
                <w:szCs w:val="18"/>
              </w:rPr>
              <w:t>Artículo</w:t>
            </w:r>
            <w:r w:rsidR="006C2C79" w:rsidRPr="001C4C08">
              <w:rPr>
                <w:rFonts w:cs="Calibri"/>
                <w:b/>
                <w:bCs/>
                <w:sz w:val="18"/>
                <w:szCs w:val="18"/>
              </w:rPr>
              <w:t xml:space="preserve"> 3</w:t>
            </w:r>
            <w:bookmarkEnd w:id="115"/>
            <w:r w:rsidR="006C2C79" w:rsidRPr="001C4C08">
              <w:rPr>
                <w:rFonts w:cs="Calibri"/>
                <w:b/>
                <w:bCs/>
                <w:sz w:val="18"/>
                <w:szCs w:val="18"/>
              </w:rPr>
              <w:t xml:space="preserve"> </w:t>
            </w:r>
          </w:p>
        </w:tc>
        <w:tc>
          <w:tcPr>
            <w:tcW w:w="2140" w:type="dxa"/>
            <w:tcMar>
              <w:left w:w="85" w:type="dxa"/>
              <w:right w:w="85" w:type="dxa"/>
            </w:tcMar>
          </w:tcPr>
          <w:p w14:paraId="50CDE9CC" w14:textId="7A8E04BA" w:rsidR="006C2C79" w:rsidRPr="001C4C08" w:rsidRDefault="006C2C79" w:rsidP="006C2C79">
            <w:pPr>
              <w:spacing w:after="60"/>
              <w:rPr>
                <w:rFonts w:cs="Calibri"/>
                <w:bCs/>
                <w:sz w:val="18"/>
                <w:szCs w:val="18"/>
              </w:rPr>
            </w:pPr>
            <w:r w:rsidRPr="001C4C08">
              <w:rPr>
                <w:rFonts w:cs="Calibri"/>
                <w:bCs/>
                <w:sz w:val="18"/>
                <w:szCs w:val="18"/>
              </w:rPr>
              <w:t>3.7</w:t>
            </w:r>
            <w:r w:rsidRPr="001C4C08">
              <w:rPr>
                <w:rFonts w:cs="Calibri"/>
                <w:bCs/>
                <w:sz w:val="18"/>
                <w:szCs w:val="18"/>
              </w:rPr>
              <w:tab/>
              <w:t>Los Estados Miembros deben crear un entorno propicio a la implantación de centrales regionales de intercambio de tráfico de telecomunicación con el fin de mejorar la calidad, aumentar la conectividad y resistencia de las redes, fomentar la competencia y reducir los costes de las interconexiones de las telecomunicaciones internacionales.</w:t>
            </w:r>
          </w:p>
        </w:tc>
        <w:tc>
          <w:tcPr>
            <w:tcW w:w="2142" w:type="dxa"/>
            <w:tcMar>
              <w:left w:w="85" w:type="dxa"/>
              <w:right w:w="85" w:type="dxa"/>
            </w:tcMar>
          </w:tcPr>
          <w:p w14:paraId="3B2DB911" w14:textId="6C84E5FE" w:rsidR="006C2C79" w:rsidRPr="001C4C08" w:rsidRDefault="00026705" w:rsidP="006C2C79">
            <w:pPr>
              <w:spacing w:after="60"/>
              <w:rPr>
                <w:rFonts w:cs="Calibri"/>
                <w:bCs/>
                <w:sz w:val="18"/>
                <w:szCs w:val="18"/>
              </w:rPr>
            </w:pPr>
            <w:bookmarkStart w:id="116" w:name="lt_pId315"/>
            <w:r w:rsidRPr="001C4C08">
              <w:rPr>
                <w:rFonts w:cs="Calibri"/>
                <w:bCs/>
                <w:sz w:val="18"/>
                <w:szCs w:val="18"/>
              </w:rPr>
              <w:t>No hay disposición análoga</w:t>
            </w:r>
            <w:r w:rsidR="006C2C79" w:rsidRPr="001C4C08">
              <w:rPr>
                <w:rFonts w:cs="Calibri"/>
                <w:bCs/>
                <w:sz w:val="18"/>
                <w:szCs w:val="18"/>
              </w:rPr>
              <w:t>.</w:t>
            </w:r>
            <w:bookmarkEnd w:id="116"/>
          </w:p>
        </w:tc>
        <w:tc>
          <w:tcPr>
            <w:tcW w:w="2029" w:type="dxa"/>
            <w:tcMar>
              <w:left w:w="85" w:type="dxa"/>
              <w:right w:w="85" w:type="dxa"/>
            </w:tcMar>
          </w:tcPr>
          <w:p w14:paraId="7A0525F2" w14:textId="69A8EE96" w:rsidR="006C2C79" w:rsidRPr="001C4C08" w:rsidRDefault="0006643E" w:rsidP="006C2C79">
            <w:pPr>
              <w:spacing w:after="60"/>
              <w:rPr>
                <w:sz w:val="18"/>
                <w:szCs w:val="18"/>
              </w:rPr>
            </w:pPr>
            <w:r w:rsidRPr="001C4C08">
              <w:rPr>
                <w:sz w:val="18"/>
                <w:szCs w:val="18"/>
              </w:rPr>
              <w:t>Esta disposición exige que los Estados Miembros promuevan más de un punto de interconexión para el intercambio de tráfico. Esto apoya el suministro y el desarrollo de redes y servicios</w:t>
            </w:r>
            <w:bookmarkStart w:id="117" w:name="lt_pId317"/>
            <w:r w:rsidR="006C2C79" w:rsidRPr="001C4C08">
              <w:rPr>
                <w:sz w:val="18"/>
                <w:szCs w:val="18"/>
              </w:rPr>
              <w:t>.</w:t>
            </w:r>
            <w:bookmarkEnd w:id="117"/>
          </w:p>
        </w:tc>
        <w:tc>
          <w:tcPr>
            <w:tcW w:w="1825" w:type="dxa"/>
            <w:tcMar>
              <w:left w:w="85" w:type="dxa"/>
              <w:right w:w="85" w:type="dxa"/>
            </w:tcMar>
          </w:tcPr>
          <w:p w14:paraId="02BD4264" w14:textId="77777777" w:rsidR="006C2C79" w:rsidRPr="001C4C08" w:rsidRDefault="006C2C79" w:rsidP="006C2C79">
            <w:pPr>
              <w:spacing w:after="60"/>
              <w:rPr>
                <w:sz w:val="18"/>
                <w:szCs w:val="18"/>
              </w:rPr>
            </w:pPr>
            <w:bookmarkStart w:id="118" w:name="lt_pId318"/>
            <w:r w:rsidRPr="001C4C08">
              <w:rPr>
                <w:sz w:val="18"/>
                <w:szCs w:val="18"/>
              </w:rPr>
              <w:t>Flexible.</w:t>
            </w:r>
            <w:bookmarkEnd w:id="118"/>
          </w:p>
        </w:tc>
        <w:tc>
          <w:tcPr>
            <w:tcW w:w="1308" w:type="dxa"/>
            <w:tcMar>
              <w:left w:w="85" w:type="dxa"/>
              <w:right w:w="85" w:type="dxa"/>
            </w:tcMar>
          </w:tcPr>
          <w:p w14:paraId="2B9E9702" w14:textId="059B8C05" w:rsidR="006C2C79" w:rsidRPr="001C4C08" w:rsidRDefault="00026705" w:rsidP="006C2C79">
            <w:pPr>
              <w:spacing w:after="60"/>
              <w:rPr>
                <w:b/>
                <w:sz w:val="18"/>
                <w:szCs w:val="18"/>
              </w:rPr>
            </w:pPr>
            <w:r w:rsidRPr="001C4C08">
              <w:rPr>
                <w:b/>
                <w:sz w:val="18"/>
                <w:szCs w:val="18"/>
              </w:rPr>
              <w:t>No se requiere cambio.</w:t>
            </w:r>
          </w:p>
        </w:tc>
      </w:tr>
      <w:tr w:rsidR="006C2C79" w:rsidRPr="001C4C08" w14:paraId="1711C5D4" w14:textId="77777777" w:rsidTr="001C4C08">
        <w:trPr>
          <w:jc w:val="center"/>
        </w:trPr>
        <w:tc>
          <w:tcPr>
            <w:tcW w:w="1075" w:type="dxa"/>
            <w:shd w:val="clear" w:color="auto" w:fill="auto"/>
            <w:tcMar>
              <w:left w:w="85" w:type="dxa"/>
              <w:right w:w="85" w:type="dxa"/>
            </w:tcMar>
          </w:tcPr>
          <w:p w14:paraId="01CFE9BF" w14:textId="06ECDE7F" w:rsidR="006C2C79" w:rsidRPr="001C4C08" w:rsidRDefault="00026705" w:rsidP="006C2C79">
            <w:pPr>
              <w:spacing w:after="60"/>
              <w:jc w:val="both"/>
              <w:rPr>
                <w:rFonts w:cs="Calibri"/>
                <w:bCs/>
                <w:sz w:val="18"/>
                <w:szCs w:val="18"/>
              </w:rPr>
            </w:pPr>
            <w:bookmarkStart w:id="119" w:name="lt_pId320"/>
            <w:r w:rsidRPr="001C4C08">
              <w:rPr>
                <w:rFonts w:cs="Calibri"/>
                <w:b/>
                <w:bCs/>
                <w:sz w:val="18"/>
                <w:szCs w:val="18"/>
              </w:rPr>
              <w:t>Artículo</w:t>
            </w:r>
            <w:r w:rsidR="006C2C79" w:rsidRPr="001C4C08">
              <w:rPr>
                <w:rFonts w:cs="Calibri"/>
                <w:b/>
                <w:bCs/>
                <w:sz w:val="18"/>
                <w:szCs w:val="18"/>
              </w:rPr>
              <w:t xml:space="preserve"> 4</w:t>
            </w:r>
            <w:bookmarkEnd w:id="119"/>
            <w:r w:rsidR="006C2C79" w:rsidRPr="001C4C08">
              <w:rPr>
                <w:rFonts w:cs="Calibri"/>
                <w:b/>
                <w:bCs/>
                <w:sz w:val="18"/>
                <w:szCs w:val="18"/>
              </w:rPr>
              <w:t xml:space="preserve"> </w:t>
            </w:r>
          </w:p>
        </w:tc>
        <w:tc>
          <w:tcPr>
            <w:tcW w:w="2140" w:type="dxa"/>
            <w:shd w:val="clear" w:color="auto" w:fill="auto"/>
            <w:tcMar>
              <w:left w:w="85" w:type="dxa"/>
              <w:right w:w="85" w:type="dxa"/>
            </w:tcMar>
          </w:tcPr>
          <w:p w14:paraId="5C2CDBA4" w14:textId="0F049EDF" w:rsidR="006C2C79" w:rsidRPr="001C4C08" w:rsidRDefault="006C2C79" w:rsidP="006C2C79">
            <w:pPr>
              <w:spacing w:after="60"/>
              <w:rPr>
                <w:rFonts w:cs="Calibri"/>
                <w:bCs/>
                <w:sz w:val="18"/>
                <w:szCs w:val="18"/>
              </w:rPr>
            </w:pPr>
            <w:r w:rsidRPr="001C4C08">
              <w:rPr>
                <w:rFonts w:cs="Calibri"/>
                <w:bCs/>
                <w:sz w:val="18"/>
                <w:szCs w:val="18"/>
              </w:rPr>
              <w:t>4.1</w:t>
            </w:r>
            <w:r w:rsidRPr="001C4C08">
              <w:rPr>
                <w:rFonts w:cs="Calibri"/>
                <w:bCs/>
                <w:sz w:val="18"/>
                <w:szCs w:val="18"/>
              </w:rPr>
              <w:tab/>
              <w:t>Los Estados Miembros promoverán el desarrollo de servicios internacionales de telecomunicación y fomentarán su disponibilidad para el público.</w:t>
            </w:r>
          </w:p>
        </w:tc>
        <w:tc>
          <w:tcPr>
            <w:tcW w:w="2142" w:type="dxa"/>
            <w:shd w:val="clear" w:color="auto" w:fill="auto"/>
            <w:tcMar>
              <w:left w:w="85" w:type="dxa"/>
              <w:right w:w="85" w:type="dxa"/>
            </w:tcMar>
          </w:tcPr>
          <w:p w14:paraId="6A59C90E" w14:textId="69133BA6" w:rsidR="006C2C79" w:rsidRPr="001C4C08" w:rsidRDefault="006C2C79" w:rsidP="006C2C79">
            <w:pPr>
              <w:spacing w:after="60"/>
              <w:rPr>
                <w:rFonts w:cs="Calibri"/>
                <w:bCs/>
                <w:sz w:val="18"/>
                <w:szCs w:val="18"/>
              </w:rPr>
            </w:pPr>
            <w:r w:rsidRPr="001C4C08">
              <w:rPr>
                <w:rFonts w:cs="Calibri"/>
                <w:bCs/>
                <w:sz w:val="18"/>
                <w:szCs w:val="18"/>
              </w:rPr>
              <w:t>4.1</w:t>
            </w:r>
            <w:r w:rsidRPr="001C4C08">
              <w:rPr>
                <w:rFonts w:cs="Calibri"/>
                <w:bCs/>
                <w:sz w:val="18"/>
                <w:szCs w:val="18"/>
              </w:rPr>
              <w:tab/>
              <w:t>Los Miembros promoverán la prestación de los servicios internacionales de telecomunicación y procurarán facilitar generalmente esos servicios al público en sus redes nacionales.</w:t>
            </w:r>
          </w:p>
        </w:tc>
        <w:tc>
          <w:tcPr>
            <w:tcW w:w="2029" w:type="dxa"/>
            <w:shd w:val="clear" w:color="auto" w:fill="auto"/>
            <w:tcMar>
              <w:left w:w="85" w:type="dxa"/>
              <w:right w:w="85" w:type="dxa"/>
            </w:tcMar>
          </w:tcPr>
          <w:p w14:paraId="6B482FEB" w14:textId="588FE9E8" w:rsidR="006C2C79" w:rsidRPr="001C4C08" w:rsidRDefault="0006643E" w:rsidP="006C2C79">
            <w:pPr>
              <w:spacing w:after="60"/>
              <w:rPr>
                <w:sz w:val="18"/>
                <w:szCs w:val="18"/>
              </w:rPr>
            </w:pPr>
            <w:bookmarkStart w:id="120" w:name="lt_pId325"/>
            <w:r w:rsidRPr="001C4C08">
              <w:rPr>
                <w:sz w:val="18"/>
                <w:szCs w:val="18"/>
              </w:rPr>
              <w:t>Las telecomunicaciones internacionales se prestan en virtud de acuerdos comerciales entre empresas de explotación autorizadas</w:t>
            </w:r>
            <w:r w:rsidR="006C2C79" w:rsidRPr="001C4C08">
              <w:rPr>
                <w:sz w:val="18"/>
                <w:szCs w:val="18"/>
              </w:rPr>
              <w:t>.</w:t>
            </w:r>
            <w:bookmarkEnd w:id="120"/>
            <w:r w:rsidR="006C2C79" w:rsidRPr="001C4C08">
              <w:rPr>
                <w:sz w:val="18"/>
                <w:szCs w:val="18"/>
              </w:rPr>
              <w:t xml:space="preserve"> </w:t>
            </w:r>
            <w:bookmarkStart w:id="121" w:name="lt_pId326"/>
            <w:r w:rsidR="00A438A4" w:rsidRPr="001C4C08">
              <w:rPr>
                <w:sz w:val="18"/>
                <w:szCs w:val="18"/>
              </w:rPr>
              <w:t>Se apoya esta disposición</w:t>
            </w:r>
            <w:r w:rsidR="006C2C79" w:rsidRPr="001C4C08">
              <w:rPr>
                <w:sz w:val="18"/>
                <w:szCs w:val="18"/>
              </w:rPr>
              <w:t xml:space="preserve"> </w:t>
            </w:r>
            <w:r w:rsidRPr="001C4C08">
              <w:rPr>
                <w:sz w:val="18"/>
                <w:szCs w:val="18"/>
              </w:rPr>
              <w:t>ya que permite a los Estados Miembros promover los servicios de telecomunicaciones internacionales y fomentar su disponibilidad para el público en los casos en que se haya identificado esa necesidad</w:t>
            </w:r>
            <w:r w:rsidR="006C2C79" w:rsidRPr="001C4C08">
              <w:rPr>
                <w:sz w:val="18"/>
                <w:szCs w:val="18"/>
              </w:rPr>
              <w:t>.</w:t>
            </w:r>
            <w:bookmarkEnd w:id="121"/>
          </w:p>
        </w:tc>
        <w:tc>
          <w:tcPr>
            <w:tcW w:w="1825" w:type="dxa"/>
            <w:shd w:val="clear" w:color="auto" w:fill="auto"/>
            <w:tcMar>
              <w:left w:w="85" w:type="dxa"/>
              <w:right w:w="85" w:type="dxa"/>
            </w:tcMar>
          </w:tcPr>
          <w:p w14:paraId="397BCECF" w14:textId="566C5031" w:rsidR="006C2C79" w:rsidRPr="001C4C08" w:rsidRDefault="0006643E" w:rsidP="006C2C79">
            <w:pPr>
              <w:spacing w:after="60"/>
              <w:rPr>
                <w:sz w:val="18"/>
                <w:szCs w:val="18"/>
              </w:rPr>
            </w:pPr>
            <w:r w:rsidRPr="001C4C08">
              <w:rPr>
                <w:sz w:val="18"/>
                <w:szCs w:val="18"/>
              </w:rPr>
              <w:t>El uso de acuerdos comerciales permite flexibilidad para acomodar nuevas tendencias y cuestiones emergentes. Los Estados Miembros tienen que intervenir cuando no se desarrollen los servicios de telecomunicaciones internacionales y no haya disponibilidad para el público</w:t>
            </w:r>
            <w:bookmarkStart w:id="122" w:name="lt_pId328"/>
            <w:r w:rsidR="006C2C79" w:rsidRPr="001C4C08">
              <w:rPr>
                <w:sz w:val="18"/>
                <w:szCs w:val="18"/>
              </w:rPr>
              <w:t>.</w:t>
            </w:r>
            <w:bookmarkEnd w:id="122"/>
          </w:p>
        </w:tc>
        <w:tc>
          <w:tcPr>
            <w:tcW w:w="1308" w:type="dxa"/>
            <w:shd w:val="clear" w:color="auto" w:fill="auto"/>
            <w:tcMar>
              <w:left w:w="85" w:type="dxa"/>
              <w:right w:w="85" w:type="dxa"/>
            </w:tcMar>
          </w:tcPr>
          <w:p w14:paraId="3580538B" w14:textId="48EEA8A4" w:rsidR="006C2C79" w:rsidRPr="001C4C08" w:rsidRDefault="00026705" w:rsidP="006C2C79">
            <w:pPr>
              <w:spacing w:after="60"/>
              <w:rPr>
                <w:b/>
                <w:sz w:val="18"/>
                <w:szCs w:val="18"/>
              </w:rPr>
            </w:pPr>
            <w:r w:rsidRPr="001C4C08">
              <w:rPr>
                <w:b/>
                <w:sz w:val="18"/>
                <w:szCs w:val="18"/>
              </w:rPr>
              <w:t>No se requiere cambio.</w:t>
            </w:r>
          </w:p>
        </w:tc>
      </w:tr>
      <w:tr w:rsidR="006C2C79" w:rsidRPr="001C4C08" w14:paraId="7E8F6460" w14:textId="77777777" w:rsidTr="001C4C08">
        <w:trPr>
          <w:jc w:val="center"/>
        </w:trPr>
        <w:tc>
          <w:tcPr>
            <w:tcW w:w="1075" w:type="dxa"/>
            <w:shd w:val="clear" w:color="auto" w:fill="auto"/>
            <w:tcMar>
              <w:left w:w="85" w:type="dxa"/>
              <w:right w:w="85" w:type="dxa"/>
            </w:tcMar>
          </w:tcPr>
          <w:p w14:paraId="1FDF10B0" w14:textId="78559DB2" w:rsidR="006C2C79" w:rsidRPr="001C4C08" w:rsidRDefault="00026705" w:rsidP="006C2C79">
            <w:pPr>
              <w:spacing w:after="60"/>
              <w:jc w:val="both"/>
              <w:rPr>
                <w:rFonts w:cs="Calibri"/>
                <w:bCs/>
                <w:sz w:val="18"/>
                <w:szCs w:val="18"/>
              </w:rPr>
            </w:pPr>
            <w:bookmarkStart w:id="123" w:name="lt_pId330"/>
            <w:r w:rsidRPr="001C4C08">
              <w:rPr>
                <w:rFonts w:cs="Calibri"/>
                <w:b/>
                <w:bCs/>
                <w:sz w:val="18"/>
                <w:szCs w:val="18"/>
              </w:rPr>
              <w:lastRenderedPageBreak/>
              <w:t>Artículo</w:t>
            </w:r>
            <w:r w:rsidR="006C2C79" w:rsidRPr="001C4C08">
              <w:rPr>
                <w:rFonts w:cs="Calibri"/>
                <w:b/>
                <w:bCs/>
                <w:sz w:val="18"/>
                <w:szCs w:val="18"/>
              </w:rPr>
              <w:t xml:space="preserve"> 4</w:t>
            </w:r>
            <w:bookmarkEnd w:id="123"/>
          </w:p>
        </w:tc>
        <w:tc>
          <w:tcPr>
            <w:tcW w:w="2140" w:type="dxa"/>
            <w:shd w:val="clear" w:color="auto" w:fill="auto"/>
            <w:tcMar>
              <w:left w:w="85" w:type="dxa"/>
              <w:right w:w="85" w:type="dxa"/>
            </w:tcMar>
          </w:tcPr>
          <w:p w14:paraId="4B8FEC08" w14:textId="3DCA47BE" w:rsidR="006C2C79" w:rsidRPr="001C4C08" w:rsidRDefault="006C2C79" w:rsidP="006C2C79">
            <w:pPr>
              <w:spacing w:after="60"/>
              <w:rPr>
                <w:rFonts w:cs="Calibri"/>
                <w:bCs/>
                <w:sz w:val="18"/>
                <w:szCs w:val="18"/>
              </w:rPr>
            </w:pPr>
            <w:r w:rsidRPr="001C4C08">
              <w:rPr>
                <w:rFonts w:cs="Calibri"/>
                <w:bCs/>
                <w:sz w:val="18"/>
                <w:szCs w:val="18"/>
              </w:rPr>
              <w:t>4.2</w:t>
            </w:r>
            <w:r w:rsidRPr="001C4C08">
              <w:rPr>
                <w:rFonts w:cs="Calibri"/>
                <w:bCs/>
                <w:sz w:val="18"/>
                <w:szCs w:val="18"/>
              </w:rPr>
              <w:tab/>
              <w:t>Los Estados Miembros se esforzarán por garantizar que las empresas de explotación autorizadas colaboren en el marco del presente Reglamento para ofrecer mediante acuerdo una amplia gama de servicios internacionales de telecomunicación, que deberían ajustarse en la mayor medida posible a las Recomendaciones UIT</w:t>
            </w:r>
            <w:r w:rsidRPr="001C4C08">
              <w:rPr>
                <w:rFonts w:cs="Calibri"/>
                <w:bCs/>
                <w:sz w:val="18"/>
                <w:szCs w:val="18"/>
              </w:rPr>
              <w:noBreakHyphen/>
              <w:t>T pertinentes.</w:t>
            </w:r>
          </w:p>
        </w:tc>
        <w:tc>
          <w:tcPr>
            <w:tcW w:w="2142" w:type="dxa"/>
            <w:shd w:val="clear" w:color="auto" w:fill="auto"/>
            <w:tcMar>
              <w:left w:w="85" w:type="dxa"/>
              <w:right w:w="85" w:type="dxa"/>
            </w:tcMar>
          </w:tcPr>
          <w:p w14:paraId="6B5EBC4E" w14:textId="6ED8B61C" w:rsidR="006C2C79" w:rsidRPr="001C4C08" w:rsidRDefault="006C2C79" w:rsidP="006C2C79">
            <w:pPr>
              <w:spacing w:after="60"/>
              <w:rPr>
                <w:rFonts w:cs="Calibri"/>
                <w:bCs/>
                <w:sz w:val="18"/>
                <w:szCs w:val="18"/>
              </w:rPr>
            </w:pPr>
            <w:r w:rsidRPr="001C4C08">
              <w:rPr>
                <w:rFonts w:cs="Calibri"/>
                <w:bCs/>
                <w:sz w:val="18"/>
                <w:szCs w:val="18"/>
              </w:rPr>
              <w:t>4.2</w:t>
            </w:r>
            <w:r w:rsidRPr="001C4C08">
              <w:rPr>
                <w:rFonts w:cs="Calibri"/>
                <w:bCs/>
                <w:sz w:val="18"/>
                <w:szCs w:val="18"/>
              </w:rPr>
              <w:tab/>
              <w:t>Los Miembros garantizarán que las administraciones* colaboren en el marco del presente Reglamento para ofrecer de común acuerdo una amplia gama de servicios internacionales de telecomunicación, que deberían ajustarse en la mayor medida posible a las Recomendaciones pertinentes del CCITT.</w:t>
            </w:r>
          </w:p>
        </w:tc>
        <w:tc>
          <w:tcPr>
            <w:tcW w:w="2029" w:type="dxa"/>
            <w:shd w:val="clear" w:color="auto" w:fill="auto"/>
            <w:tcMar>
              <w:left w:w="85" w:type="dxa"/>
              <w:right w:w="85" w:type="dxa"/>
            </w:tcMar>
          </w:tcPr>
          <w:p w14:paraId="2C6AEE87" w14:textId="7D037131" w:rsidR="006C2C79" w:rsidRPr="001C4C08" w:rsidRDefault="0006643E" w:rsidP="006C2C79">
            <w:pPr>
              <w:spacing w:after="60"/>
              <w:rPr>
                <w:sz w:val="18"/>
                <w:szCs w:val="18"/>
              </w:rPr>
            </w:pPr>
            <w:r w:rsidRPr="001C4C08">
              <w:rPr>
                <w:sz w:val="18"/>
                <w:szCs w:val="18"/>
              </w:rPr>
              <w:t>Esto apoya el suministro y el desarrollo de redes y servicios.</w:t>
            </w:r>
          </w:p>
        </w:tc>
        <w:tc>
          <w:tcPr>
            <w:tcW w:w="1825" w:type="dxa"/>
            <w:shd w:val="clear" w:color="auto" w:fill="auto"/>
            <w:tcMar>
              <w:left w:w="85" w:type="dxa"/>
              <w:right w:w="85" w:type="dxa"/>
            </w:tcMar>
          </w:tcPr>
          <w:p w14:paraId="1D4D83FE" w14:textId="23B50FFB" w:rsidR="006C2C79" w:rsidRPr="001C4C08" w:rsidRDefault="006C2C79" w:rsidP="006C2C79">
            <w:pPr>
              <w:spacing w:after="60"/>
              <w:rPr>
                <w:sz w:val="18"/>
                <w:szCs w:val="18"/>
              </w:rPr>
            </w:pPr>
            <w:bookmarkStart w:id="124" w:name="lt_pId336"/>
            <w:r w:rsidRPr="001C4C08">
              <w:rPr>
                <w:b/>
                <w:sz w:val="18"/>
                <w:szCs w:val="18"/>
              </w:rPr>
              <w:t>Flexible:</w:t>
            </w:r>
            <w:r w:rsidRPr="001C4C08">
              <w:rPr>
                <w:sz w:val="18"/>
                <w:szCs w:val="18"/>
              </w:rPr>
              <w:t xml:space="preserve"> </w:t>
            </w:r>
            <w:r w:rsidR="00025D06" w:rsidRPr="001C4C08">
              <w:rPr>
                <w:sz w:val="18"/>
                <w:szCs w:val="18"/>
              </w:rPr>
              <w:t>Reconociendo que la prestación de servicios de telecomunicaciones internacionales se basa en acuerdos comerciales entre las respectivas empresas de explotación autorizadas, un Estado Miembro puede hacer una evaluación para determinar si es necesario un marco o unas directrices nacionales para sus empresas de explotación autorizadas, con el fin de promover los servicios de telecomunicaciones internacionales y fomentar su disponibilidad para el público</w:t>
            </w:r>
            <w:r w:rsidRPr="001C4C08">
              <w:rPr>
                <w:sz w:val="18"/>
                <w:szCs w:val="18"/>
              </w:rPr>
              <w:t>.</w:t>
            </w:r>
            <w:bookmarkEnd w:id="124"/>
          </w:p>
        </w:tc>
        <w:tc>
          <w:tcPr>
            <w:tcW w:w="1308" w:type="dxa"/>
            <w:shd w:val="clear" w:color="auto" w:fill="auto"/>
            <w:tcMar>
              <w:left w:w="85" w:type="dxa"/>
              <w:right w:w="85" w:type="dxa"/>
            </w:tcMar>
          </w:tcPr>
          <w:p w14:paraId="41CD5DAC" w14:textId="1C4ACDE4" w:rsidR="006C2C79" w:rsidRPr="001C4C08" w:rsidRDefault="00026705" w:rsidP="006C2C79">
            <w:pPr>
              <w:spacing w:after="60"/>
              <w:rPr>
                <w:b/>
                <w:sz w:val="18"/>
                <w:szCs w:val="18"/>
              </w:rPr>
            </w:pPr>
            <w:r w:rsidRPr="001C4C08">
              <w:rPr>
                <w:b/>
                <w:sz w:val="18"/>
                <w:szCs w:val="18"/>
              </w:rPr>
              <w:t>No se requiere cambio.</w:t>
            </w:r>
          </w:p>
        </w:tc>
      </w:tr>
      <w:tr w:rsidR="006C2C79" w:rsidRPr="001C4C08" w14:paraId="17A9D94B" w14:textId="77777777" w:rsidTr="001C4C08">
        <w:trPr>
          <w:jc w:val="center"/>
        </w:trPr>
        <w:tc>
          <w:tcPr>
            <w:tcW w:w="1075" w:type="dxa"/>
            <w:shd w:val="clear" w:color="auto" w:fill="auto"/>
            <w:tcMar>
              <w:left w:w="85" w:type="dxa"/>
              <w:right w:w="85" w:type="dxa"/>
            </w:tcMar>
          </w:tcPr>
          <w:p w14:paraId="5E0AAF5C" w14:textId="7B92C0F2" w:rsidR="006C2C79" w:rsidRPr="001C4C08" w:rsidRDefault="00026705" w:rsidP="006C2C79">
            <w:pPr>
              <w:spacing w:after="60"/>
              <w:jc w:val="both"/>
              <w:rPr>
                <w:rFonts w:cs="Calibri"/>
                <w:bCs/>
                <w:sz w:val="18"/>
                <w:szCs w:val="18"/>
              </w:rPr>
            </w:pPr>
            <w:bookmarkStart w:id="125" w:name="lt_pId338"/>
            <w:r w:rsidRPr="001C4C08">
              <w:rPr>
                <w:rFonts w:cs="Calibri"/>
                <w:b/>
                <w:bCs/>
                <w:sz w:val="18"/>
                <w:szCs w:val="18"/>
              </w:rPr>
              <w:t>Artículo</w:t>
            </w:r>
            <w:r w:rsidR="006C2C79" w:rsidRPr="001C4C08">
              <w:rPr>
                <w:rFonts w:cs="Calibri"/>
                <w:b/>
                <w:bCs/>
                <w:sz w:val="18"/>
                <w:szCs w:val="18"/>
              </w:rPr>
              <w:t xml:space="preserve"> 4</w:t>
            </w:r>
            <w:bookmarkEnd w:id="125"/>
          </w:p>
        </w:tc>
        <w:tc>
          <w:tcPr>
            <w:tcW w:w="2140" w:type="dxa"/>
            <w:shd w:val="clear" w:color="auto" w:fill="auto"/>
            <w:tcMar>
              <w:left w:w="85" w:type="dxa"/>
              <w:right w:w="85" w:type="dxa"/>
            </w:tcMar>
          </w:tcPr>
          <w:p w14:paraId="5AF63942" w14:textId="2128ED52" w:rsidR="006C2C79" w:rsidRPr="001C4C08" w:rsidRDefault="006C2C79" w:rsidP="006C2C79">
            <w:pPr>
              <w:spacing w:after="60"/>
              <w:rPr>
                <w:rFonts w:cs="Calibri"/>
                <w:bCs/>
                <w:sz w:val="18"/>
                <w:szCs w:val="18"/>
              </w:rPr>
            </w:pPr>
            <w:r w:rsidRPr="001C4C08">
              <w:rPr>
                <w:rFonts w:cs="Calibri"/>
                <w:bCs/>
                <w:sz w:val="18"/>
                <w:szCs w:val="18"/>
              </w:rPr>
              <w:t>4.3</w:t>
            </w:r>
            <w:r w:rsidRPr="001C4C08">
              <w:rPr>
                <w:rFonts w:cs="Calibri"/>
                <w:bCs/>
                <w:sz w:val="18"/>
                <w:szCs w:val="18"/>
              </w:rPr>
              <w:tab/>
              <w:t>De acuerdo con la legislación nacional aplicable, los Estados Miembros procurarán velar por que las empresas de explotación autorizadas proporcionen y mantengan en la mayor medida posible una calidad de servicio satisfactoria correspondiente a la de las Recomendaciones UIT-T pertinentes en relación con:</w:t>
            </w:r>
          </w:p>
        </w:tc>
        <w:tc>
          <w:tcPr>
            <w:tcW w:w="2142" w:type="dxa"/>
            <w:shd w:val="clear" w:color="auto" w:fill="auto"/>
            <w:tcMar>
              <w:left w:w="85" w:type="dxa"/>
              <w:right w:w="85" w:type="dxa"/>
            </w:tcMar>
          </w:tcPr>
          <w:p w14:paraId="32FF74D7" w14:textId="3BA8E251" w:rsidR="006C2C79" w:rsidRPr="001C4C08" w:rsidRDefault="006C2C79" w:rsidP="006C2C79">
            <w:pPr>
              <w:spacing w:after="60"/>
              <w:rPr>
                <w:rFonts w:cs="Calibri"/>
                <w:bCs/>
                <w:sz w:val="18"/>
                <w:szCs w:val="18"/>
              </w:rPr>
            </w:pPr>
            <w:r w:rsidRPr="001C4C08">
              <w:rPr>
                <w:rFonts w:cs="Calibri"/>
                <w:bCs/>
                <w:sz w:val="18"/>
                <w:szCs w:val="18"/>
              </w:rPr>
              <w:t>4.3</w:t>
            </w:r>
            <w:r w:rsidRPr="001C4C08">
              <w:rPr>
                <w:rFonts w:cs="Calibri"/>
                <w:bCs/>
                <w:sz w:val="18"/>
                <w:szCs w:val="18"/>
              </w:rPr>
              <w:tab/>
              <w:t>Sin perjuicio de la legislación nacional aplicable, los Miembros procurarán garantizar que las administraciones* proporcionen y mantengan en la mayor medida posible la calidad mínima de servicio correspondiente a las Recomendaciones pertinentes del CCITT en relación con:</w:t>
            </w:r>
          </w:p>
        </w:tc>
        <w:tc>
          <w:tcPr>
            <w:tcW w:w="2029" w:type="dxa"/>
            <w:shd w:val="clear" w:color="auto" w:fill="auto"/>
            <w:tcMar>
              <w:left w:w="85" w:type="dxa"/>
              <w:right w:w="85" w:type="dxa"/>
            </w:tcMar>
          </w:tcPr>
          <w:p w14:paraId="0D322A1C" w14:textId="5BC9C97F" w:rsidR="006C2C79" w:rsidRPr="001C4C08" w:rsidRDefault="0006643E" w:rsidP="006C2C79">
            <w:pPr>
              <w:spacing w:after="60"/>
              <w:rPr>
                <w:sz w:val="18"/>
                <w:szCs w:val="18"/>
              </w:rPr>
            </w:pPr>
            <w:bookmarkStart w:id="126" w:name="lt_pId343"/>
            <w:r w:rsidRPr="001C4C08">
              <w:rPr>
                <w:sz w:val="18"/>
                <w:szCs w:val="18"/>
              </w:rPr>
              <w:t>Esto apoya el suministro y el desarrollo de redes y servicios.</w:t>
            </w:r>
            <w:bookmarkEnd w:id="126"/>
          </w:p>
        </w:tc>
        <w:tc>
          <w:tcPr>
            <w:tcW w:w="1825" w:type="dxa"/>
            <w:shd w:val="clear" w:color="auto" w:fill="auto"/>
            <w:tcMar>
              <w:left w:w="85" w:type="dxa"/>
              <w:right w:w="85" w:type="dxa"/>
            </w:tcMar>
          </w:tcPr>
          <w:p w14:paraId="58862B05" w14:textId="77777777" w:rsidR="006C2C79" w:rsidRPr="001C4C08" w:rsidRDefault="006C2C79" w:rsidP="006C2C79">
            <w:pPr>
              <w:spacing w:after="60"/>
              <w:rPr>
                <w:sz w:val="18"/>
                <w:szCs w:val="18"/>
              </w:rPr>
            </w:pPr>
            <w:bookmarkStart w:id="127" w:name="lt_pId344"/>
            <w:r w:rsidRPr="001C4C08">
              <w:rPr>
                <w:sz w:val="18"/>
                <w:szCs w:val="18"/>
              </w:rPr>
              <w:t>Flexible.</w:t>
            </w:r>
            <w:bookmarkEnd w:id="127"/>
          </w:p>
        </w:tc>
        <w:tc>
          <w:tcPr>
            <w:tcW w:w="1308" w:type="dxa"/>
            <w:shd w:val="clear" w:color="auto" w:fill="auto"/>
            <w:tcMar>
              <w:left w:w="85" w:type="dxa"/>
              <w:right w:w="85" w:type="dxa"/>
            </w:tcMar>
          </w:tcPr>
          <w:p w14:paraId="2E2D3729" w14:textId="6E81F915" w:rsidR="006C2C79" w:rsidRPr="001C4C08" w:rsidRDefault="00026705" w:rsidP="006C2C79">
            <w:pPr>
              <w:spacing w:after="60"/>
              <w:rPr>
                <w:b/>
                <w:sz w:val="18"/>
                <w:szCs w:val="18"/>
              </w:rPr>
            </w:pPr>
            <w:r w:rsidRPr="001C4C08">
              <w:rPr>
                <w:b/>
                <w:sz w:val="18"/>
                <w:szCs w:val="18"/>
              </w:rPr>
              <w:t>No se requiere cambio.</w:t>
            </w:r>
          </w:p>
        </w:tc>
      </w:tr>
      <w:tr w:rsidR="006C2C79" w:rsidRPr="001C4C08" w14:paraId="72E625AA" w14:textId="77777777" w:rsidTr="001C4C08">
        <w:trPr>
          <w:jc w:val="center"/>
        </w:trPr>
        <w:tc>
          <w:tcPr>
            <w:tcW w:w="1075" w:type="dxa"/>
            <w:tcMar>
              <w:left w:w="85" w:type="dxa"/>
              <w:right w:w="85" w:type="dxa"/>
            </w:tcMar>
          </w:tcPr>
          <w:p w14:paraId="6A01CAF7" w14:textId="77777777" w:rsidR="006C2C79" w:rsidRPr="001C4C08" w:rsidRDefault="006C2C79" w:rsidP="006C2C79">
            <w:pPr>
              <w:spacing w:after="60"/>
              <w:jc w:val="both"/>
              <w:rPr>
                <w:rFonts w:cs="Calibri"/>
                <w:bCs/>
                <w:sz w:val="18"/>
                <w:szCs w:val="18"/>
              </w:rPr>
            </w:pPr>
          </w:p>
        </w:tc>
        <w:tc>
          <w:tcPr>
            <w:tcW w:w="2140" w:type="dxa"/>
            <w:tcMar>
              <w:left w:w="85" w:type="dxa"/>
              <w:right w:w="85" w:type="dxa"/>
            </w:tcMar>
          </w:tcPr>
          <w:p w14:paraId="297A547A" w14:textId="345D63F1" w:rsidR="006C2C79" w:rsidRPr="001C4C08" w:rsidRDefault="006C2C79" w:rsidP="006C2C79">
            <w:pPr>
              <w:spacing w:after="60"/>
              <w:rPr>
                <w:rFonts w:cs="Calibri"/>
                <w:bCs/>
                <w:sz w:val="18"/>
                <w:szCs w:val="18"/>
              </w:rPr>
            </w:pPr>
            <w:bookmarkStart w:id="128" w:name="lt_pId346"/>
            <w:r w:rsidRPr="001C4C08">
              <w:rPr>
                <w:rFonts w:cs="Calibri"/>
                <w:bCs/>
                <w:sz w:val="18"/>
                <w:szCs w:val="18"/>
              </w:rPr>
              <w:t>4.3 a)</w:t>
            </w:r>
            <w:r w:rsidR="001C4C08">
              <w:rPr>
                <w:rFonts w:cs="Calibri"/>
                <w:bCs/>
                <w:sz w:val="18"/>
                <w:szCs w:val="18"/>
              </w:rPr>
              <w:tab/>
            </w:r>
            <w:r w:rsidRPr="001C4C08">
              <w:rPr>
                <w:rFonts w:cs="Calibri"/>
                <w:bCs/>
                <w:sz w:val="18"/>
                <w:szCs w:val="18"/>
              </w:rPr>
              <w:t>el acceso de los usuarios a la red internacional mediante terminales que hayan sido autorizados a conectarse a la red y que no causen daños a las instalaciones técnicas ni al personal;</w:t>
            </w:r>
            <w:bookmarkEnd w:id="128"/>
          </w:p>
        </w:tc>
        <w:tc>
          <w:tcPr>
            <w:tcW w:w="2142" w:type="dxa"/>
            <w:tcMar>
              <w:left w:w="85" w:type="dxa"/>
              <w:right w:w="85" w:type="dxa"/>
            </w:tcMar>
          </w:tcPr>
          <w:p w14:paraId="1DEF0D91" w14:textId="28DA5377" w:rsidR="006C2C79" w:rsidRPr="001C4C08" w:rsidRDefault="006C2C79" w:rsidP="006C2C79">
            <w:pPr>
              <w:spacing w:after="60"/>
              <w:rPr>
                <w:rFonts w:cs="Calibri"/>
                <w:bCs/>
                <w:sz w:val="18"/>
                <w:szCs w:val="18"/>
              </w:rPr>
            </w:pPr>
            <w:bookmarkStart w:id="129" w:name="lt_pId347"/>
            <w:r w:rsidRPr="001C4C08">
              <w:rPr>
                <w:rFonts w:cs="Calibri"/>
                <w:bCs/>
                <w:sz w:val="18"/>
                <w:szCs w:val="18"/>
              </w:rPr>
              <w:t>4.3 a)</w:t>
            </w:r>
            <w:r w:rsidR="001C4C08">
              <w:rPr>
                <w:rFonts w:cs="Calibri"/>
                <w:bCs/>
                <w:sz w:val="18"/>
                <w:szCs w:val="18"/>
              </w:rPr>
              <w:tab/>
            </w:r>
            <w:r w:rsidRPr="001C4C08">
              <w:rPr>
                <w:rFonts w:cs="Calibri"/>
                <w:bCs/>
                <w:sz w:val="18"/>
                <w:szCs w:val="18"/>
              </w:rPr>
              <w:t>el acceso de los usuarios a la red internacional mediante terminales que hayan sido autorizados a conectarse a la red y que no causen daños a las instalaciones técnicas ni al personal;</w:t>
            </w:r>
            <w:bookmarkEnd w:id="129"/>
          </w:p>
        </w:tc>
        <w:tc>
          <w:tcPr>
            <w:tcW w:w="2029" w:type="dxa"/>
            <w:tcMar>
              <w:left w:w="85" w:type="dxa"/>
              <w:right w:w="85" w:type="dxa"/>
            </w:tcMar>
          </w:tcPr>
          <w:p w14:paraId="436F3220" w14:textId="49719AAB" w:rsidR="006C2C79" w:rsidRPr="001C4C08" w:rsidRDefault="0006643E" w:rsidP="006C2C79">
            <w:pPr>
              <w:spacing w:after="60"/>
              <w:rPr>
                <w:sz w:val="18"/>
                <w:szCs w:val="18"/>
              </w:rPr>
            </w:pPr>
            <w:bookmarkStart w:id="130" w:name="lt_pId348"/>
            <w:r w:rsidRPr="001C4C08">
              <w:rPr>
                <w:sz w:val="18"/>
                <w:szCs w:val="18"/>
              </w:rPr>
              <w:t>Esto apoya el suministro y el desarrollo de redes y servicios</w:t>
            </w:r>
            <w:r w:rsidR="006C2C79" w:rsidRPr="001C4C08">
              <w:rPr>
                <w:sz w:val="18"/>
                <w:szCs w:val="18"/>
              </w:rPr>
              <w:t>.</w:t>
            </w:r>
            <w:bookmarkEnd w:id="130"/>
          </w:p>
        </w:tc>
        <w:tc>
          <w:tcPr>
            <w:tcW w:w="1825" w:type="dxa"/>
            <w:tcMar>
              <w:left w:w="85" w:type="dxa"/>
              <w:right w:w="85" w:type="dxa"/>
            </w:tcMar>
          </w:tcPr>
          <w:p w14:paraId="65B6EB7D" w14:textId="77777777" w:rsidR="006C2C79" w:rsidRPr="001C4C08" w:rsidRDefault="006C2C79" w:rsidP="006C2C79">
            <w:pPr>
              <w:spacing w:after="60"/>
              <w:rPr>
                <w:sz w:val="18"/>
                <w:szCs w:val="18"/>
              </w:rPr>
            </w:pPr>
            <w:bookmarkStart w:id="131" w:name="lt_pId349"/>
            <w:r w:rsidRPr="001C4C08">
              <w:rPr>
                <w:sz w:val="18"/>
                <w:szCs w:val="18"/>
              </w:rPr>
              <w:t>Flexible.</w:t>
            </w:r>
            <w:bookmarkEnd w:id="131"/>
          </w:p>
        </w:tc>
        <w:tc>
          <w:tcPr>
            <w:tcW w:w="1308" w:type="dxa"/>
            <w:tcMar>
              <w:left w:w="85" w:type="dxa"/>
              <w:right w:w="85" w:type="dxa"/>
            </w:tcMar>
          </w:tcPr>
          <w:p w14:paraId="663AA559" w14:textId="0AEC2DE2" w:rsidR="006C2C79" w:rsidRPr="001C4C08" w:rsidRDefault="00026705" w:rsidP="006C2C79">
            <w:pPr>
              <w:spacing w:after="60"/>
              <w:rPr>
                <w:b/>
                <w:sz w:val="18"/>
                <w:szCs w:val="18"/>
              </w:rPr>
            </w:pPr>
            <w:r w:rsidRPr="001C4C08">
              <w:rPr>
                <w:b/>
                <w:sz w:val="18"/>
                <w:szCs w:val="18"/>
              </w:rPr>
              <w:t>No se requiere cambio.</w:t>
            </w:r>
          </w:p>
        </w:tc>
      </w:tr>
      <w:tr w:rsidR="006C2C79" w:rsidRPr="001C4C08" w14:paraId="24C71296" w14:textId="77777777" w:rsidTr="001C4C08">
        <w:trPr>
          <w:jc w:val="center"/>
        </w:trPr>
        <w:tc>
          <w:tcPr>
            <w:tcW w:w="1075" w:type="dxa"/>
            <w:tcMar>
              <w:left w:w="85" w:type="dxa"/>
              <w:right w:w="85" w:type="dxa"/>
            </w:tcMar>
          </w:tcPr>
          <w:p w14:paraId="023FDEE7" w14:textId="77777777" w:rsidR="006C2C79" w:rsidRPr="001C4C08" w:rsidRDefault="006C2C79" w:rsidP="006C2C79">
            <w:pPr>
              <w:spacing w:after="60"/>
              <w:jc w:val="both"/>
              <w:rPr>
                <w:rFonts w:cs="Calibri"/>
                <w:bCs/>
                <w:sz w:val="18"/>
                <w:szCs w:val="18"/>
              </w:rPr>
            </w:pPr>
          </w:p>
        </w:tc>
        <w:tc>
          <w:tcPr>
            <w:tcW w:w="2140" w:type="dxa"/>
            <w:tcMar>
              <w:left w:w="85" w:type="dxa"/>
              <w:right w:w="85" w:type="dxa"/>
            </w:tcMar>
          </w:tcPr>
          <w:p w14:paraId="0BC2CD5F" w14:textId="313A2D1F" w:rsidR="006C2C79" w:rsidRPr="001C4C08" w:rsidRDefault="006C2C79" w:rsidP="006C2C79">
            <w:pPr>
              <w:spacing w:after="60"/>
              <w:rPr>
                <w:rFonts w:cs="Calibri"/>
                <w:bCs/>
                <w:sz w:val="18"/>
                <w:szCs w:val="18"/>
              </w:rPr>
            </w:pPr>
            <w:bookmarkStart w:id="132" w:name="lt_pId351"/>
            <w:r w:rsidRPr="001C4C08">
              <w:rPr>
                <w:rFonts w:cs="Calibri"/>
                <w:bCs/>
                <w:sz w:val="18"/>
                <w:szCs w:val="18"/>
              </w:rPr>
              <w:t>4.3 b)</w:t>
            </w:r>
            <w:r w:rsidR="001C4C08">
              <w:rPr>
                <w:rFonts w:cs="Calibri"/>
                <w:bCs/>
                <w:sz w:val="18"/>
                <w:szCs w:val="18"/>
              </w:rPr>
              <w:tab/>
            </w:r>
            <w:r w:rsidRPr="001C4C08">
              <w:rPr>
                <w:rFonts w:cs="Calibri"/>
                <w:bCs/>
                <w:sz w:val="18"/>
                <w:szCs w:val="18"/>
              </w:rPr>
              <w:t>los medios y servicios internacionales de telecomunicación puestos a disposición de los usuarios para uso especializado;</w:t>
            </w:r>
            <w:bookmarkEnd w:id="132"/>
          </w:p>
        </w:tc>
        <w:tc>
          <w:tcPr>
            <w:tcW w:w="2142" w:type="dxa"/>
            <w:tcMar>
              <w:left w:w="85" w:type="dxa"/>
              <w:right w:w="85" w:type="dxa"/>
            </w:tcMar>
          </w:tcPr>
          <w:p w14:paraId="76AFC1D3" w14:textId="2F82E903" w:rsidR="006C2C79" w:rsidRPr="001C4C08" w:rsidRDefault="006C2C79" w:rsidP="006C2C79">
            <w:pPr>
              <w:spacing w:after="60"/>
              <w:rPr>
                <w:rFonts w:cs="Calibri"/>
                <w:bCs/>
                <w:sz w:val="18"/>
                <w:szCs w:val="18"/>
              </w:rPr>
            </w:pPr>
            <w:bookmarkStart w:id="133" w:name="lt_pId352"/>
            <w:r w:rsidRPr="001C4C08">
              <w:rPr>
                <w:rFonts w:cs="Calibri"/>
                <w:bCs/>
                <w:sz w:val="18"/>
                <w:szCs w:val="18"/>
              </w:rPr>
              <w:t>4.3 b)</w:t>
            </w:r>
            <w:r w:rsidR="001C4C08">
              <w:rPr>
                <w:rFonts w:cs="Calibri"/>
                <w:bCs/>
                <w:sz w:val="18"/>
                <w:szCs w:val="18"/>
              </w:rPr>
              <w:tab/>
            </w:r>
            <w:r w:rsidRPr="001C4C08">
              <w:rPr>
                <w:rFonts w:cs="Calibri"/>
                <w:bCs/>
                <w:sz w:val="18"/>
                <w:szCs w:val="18"/>
              </w:rPr>
              <w:t>los medios y servicios internacionales de telecomunicación puestos a disposición de los clientes para uso especializado;</w:t>
            </w:r>
            <w:bookmarkEnd w:id="133"/>
          </w:p>
        </w:tc>
        <w:tc>
          <w:tcPr>
            <w:tcW w:w="2029" w:type="dxa"/>
            <w:tcMar>
              <w:left w:w="85" w:type="dxa"/>
              <w:right w:w="85" w:type="dxa"/>
            </w:tcMar>
          </w:tcPr>
          <w:p w14:paraId="0A0AB59E" w14:textId="360372B3" w:rsidR="006C2C79" w:rsidRPr="001C4C08" w:rsidRDefault="0006643E" w:rsidP="006C2C79">
            <w:pPr>
              <w:spacing w:after="60"/>
              <w:rPr>
                <w:sz w:val="18"/>
                <w:szCs w:val="18"/>
              </w:rPr>
            </w:pPr>
            <w:bookmarkStart w:id="134" w:name="lt_pId353"/>
            <w:r w:rsidRPr="001C4C08">
              <w:rPr>
                <w:sz w:val="18"/>
                <w:szCs w:val="18"/>
              </w:rPr>
              <w:t>Esto apoya el suministro y el desarrollo de redes y servicios</w:t>
            </w:r>
            <w:r w:rsidR="006C2C79" w:rsidRPr="001C4C08">
              <w:rPr>
                <w:sz w:val="18"/>
                <w:szCs w:val="18"/>
              </w:rPr>
              <w:t>.</w:t>
            </w:r>
            <w:bookmarkEnd w:id="134"/>
          </w:p>
        </w:tc>
        <w:tc>
          <w:tcPr>
            <w:tcW w:w="1825" w:type="dxa"/>
            <w:tcMar>
              <w:left w:w="85" w:type="dxa"/>
              <w:right w:w="85" w:type="dxa"/>
            </w:tcMar>
          </w:tcPr>
          <w:p w14:paraId="32E4FD97" w14:textId="77777777" w:rsidR="006C2C79" w:rsidRPr="001C4C08" w:rsidRDefault="006C2C79" w:rsidP="006C2C79">
            <w:pPr>
              <w:spacing w:after="60"/>
              <w:rPr>
                <w:sz w:val="18"/>
                <w:szCs w:val="18"/>
              </w:rPr>
            </w:pPr>
            <w:bookmarkStart w:id="135" w:name="lt_pId354"/>
            <w:r w:rsidRPr="001C4C08">
              <w:rPr>
                <w:sz w:val="18"/>
                <w:szCs w:val="18"/>
              </w:rPr>
              <w:t>Flexible.</w:t>
            </w:r>
            <w:bookmarkEnd w:id="135"/>
          </w:p>
        </w:tc>
        <w:tc>
          <w:tcPr>
            <w:tcW w:w="1308" w:type="dxa"/>
            <w:tcMar>
              <w:left w:w="85" w:type="dxa"/>
              <w:right w:w="85" w:type="dxa"/>
            </w:tcMar>
          </w:tcPr>
          <w:p w14:paraId="026CD8D5" w14:textId="68D40A5B" w:rsidR="006C2C79" w:rsidRPr="001C4C08" w:rsidRDefault="00026705" w:rsidP="006C2C79">
            <w:pPr>
              <w:spacing w:after="60"/>
              <w:rPr>
                <w:b/>
                <w:sz w:val="18"/>
                <w:szCs w:val="18"/>
              </w:rPr>
            </w:pPr>
            <w:r w:rsidRPr="001C4C08">
              <w:rPr>
                <w:b/>
                <w:sz w:val="18"/>
                <w:szCs w:val="18"/>
              </w:rPr>
              <w:t>No se requiere cambio.</w:t>
            </w:r>
          </w:p>
        </w:tc>
      </w:tr>
      <w:tr w:rsidR="006C2C79" w:rsidRPr="001C4C08" w14:paraId="3B4E8C08" w14:textId="77777777" w:rsidTr="001C4C08">
        <w:trPr>
          <w:jc w:val="center"/>
        </w:trPr>
        <w:tc>
          <w:tcPr>
            <w:tcW w:w="1075" w:type="dxa"/>
            <w:tcMar>
              <w:left w:w="85" w:type="dxa"/>
              <w:right w:w="85" w:type="dxa"/>
            </w:tcMar>
          </w:tcPr>
          <w:p w14:paraId="0420C89C" w14:textId="77777777" w:rsidR="006C2C79" w:rsidRPr="001C4C08" w:rsidRDefault="006C2C79" w:rsidP="006C2C79">
            <w:pPr>
              <w:spacing w:after="60"/>
              <w:jc w:val="both"/>
              <w:rPr>
                <w:rFonts w:cs="Calibri"/>
                <w:bCs/>
                <w:sz w:val="18"/>
                <w:szCs w:val="18"/>
              </w:rPr>
            </w:pPr>
          </w:p>
        </w:tc>
        <w:tc>
          <w:tcPr>
            <w:tcW w:w="2140" w:type="dxa"/>
            <w:tcMar>
              <w:left w:w="85" w:type="dxa"/>
              <w:right w:w="85" w:type="dxa"/>
            </w:tcMar>
          </w:tcPr>
          <w:p w14:paraId="79E1629D" w14:textId="6CA99012" w:rsidR="006C2C79" w:rsidRPr="001C4C08" w:rsidRDefault="006C2C79" w:rsidP="006C2C79">
            <w:pPr>
              <w:spacing w:after="60"/>
              <w:rPr>
                <w:rFonts w:cs="Calibri"/>
                <w:bCs/>
                <w:sz w:val="18"/>
                <w:szCs w:val="18"/>
              </w:rPr>
            </w:pPr>
            <w:bookmarkStart w:id="136" w:name="lt_pId356"/>
            <w:r w:rsidRPr="001C4C08">
              <w:rPr>
                <w:rFonts w:cs="Calibri"/>
                <w:bCs/>
                <w:sz w:val="18"/>
                <w:szCs w:val="18"/>
              </w:rPr>
              <w:t>4.3 c)</w:t>
            </w:r>
            <w:r w:rsidR="001C4C08">
              <w:rPr>
                <w:rFonts w:cs="Calibri"/>
                <w:bCs/>
                <w:sz w:val="18"/>
                <w:szCs w:val="18"/>
              </w:rPr>
              <w:tab/>
            </w:r>
            <w:r w:rsidRPr="001C4C08">
              <w:rPr>
                <w:rFonts w:cs="Calibri"/>
                <w:bCs/>
                <w:sz w:val="18"/>
                <w:szCs w:val="18"/>
              </w:rPr>
              <w:t>al menos una forma de servicio de telecomunicación razonablemente accesible al público, comprendidas las personas que puedan no estar abonadas a un servicio específico de telecomunicación; y</w:t>
            </w:r>
            <w:bookmarkEnd w:id="136"/>
          </w:p>
        </w:tc>
        <w:tc>
          <w:tcPr>
            <w:tcW w:w="2142" w:type="dxa"/>
            <w:tcMar>
              <w:left w:w="85" w:type="dxa"/>
              <w:right w:w="85" w:type="dxa"/>
            </w:tcMar>
          </w:tcPr>
          <w:p w14:paraId="1813FA27" w14:textId="2E977D20" w:rsidR="006C2C79" w:rsidRPr="001C4C08" w:rsidRDefault="006C2C79" w:rsidP="006C2C79">
            <w:pPr>
              <w:spacing w:after="60"/>
              <w:rPr>
                <w:rFonts w:cs="Calibri"/>
                <w:bCs/>
                <w:sz w:val="18"/>
                <w:szCs w:val="18"/>
              </w:rPr>
            </w:pPr>
            <w:bookmarkStart w:id="137" w:name="lt_pId357"/>
            <w:r w:rsidRPr="001C4C08">
              <w:rPr>
                <w:rFonts w:cs="Calibri"/>
                <w:bCs/>
                <w:sz w:val="18"/>
                <w:szCs w:val="18"/>
              </w:rPr>
              <w:t>4.3 c)</w:t>
            </w:r>
            <w:r w:rsidR="001C4C08">
              <w:rPr>
                <w:rFonts w:cs="Calibri"/>
                <w:bCs/>
                <w:sz w:val="18"/>
                <w:szCs w:val="18"/>
              </w:rPr>
              <w:tab/>
            </w:r>
            <w:r w:rsidRPr="001C4C08">
              <w:rPr>
                <w:rFonts w:cs="Calibri"/>
                <w:bCs/>
                <w:sz w:val="18"/>
                <w:szCs w:val="18"/>
              </w:rPr>
              <w:t>al menos una forma de telecomunicación razonablemente accesible al público, comprendidas las personas que puedan no estar abonadas a un servicio específico de telecomunicación; y</w:t>
            </w:r>
            <w:bookmarkEnd w:id="137"/>
          </w:p>
        </w:tc>
        <w:tc>
          <w:tcPr>
            <w:tcW w:w="2029" w:type="dxa"/>
            <w:tcMar>
              <w:left w:w="85" w:type="dxa"/>
              <w:right w:w="85" w:type="dxa"/>
            </w:tcMar>
          </w:tcPr>
          <w:p w14:paraId="5FD66853" w14:textId="3AB79D05" w:rsidR="006C2C79" w:rsidRPr="001C4C08" w:rsidRDefault="0006643E" w:rsidP="006C2C79">
            <w:pPr>
              <w:spacing w:after="60"/>
              <w:rPr>
                <w:sz w:val="18"/>
                <w:szCs w:val="18"/>
              </w:rPr>
            </w:pPr>
            <w:bookmarkStart w:id="138" w:name="lt_pId358"/>
            <w:r w:rsidRPr="001C4C08">
              <w:rPr>
                <w:sz w:val="18"/>
                <w:szCs w:val="18"/>
              </w:rPr>
              <w:t>Esto apoya el suministro y el desarrollo de redes y servicios</w:t>
            </w:r>
            <w:r w:rsidR="006C2C79" w:rsidRPr="001C4C08">
              <w:rPr>
                <w:sz w:val="18"/>
                <w:szCs w:val="18"/>
              </w:rPr>
              <w:t>.</w:t>
            </w:r>
            <w:bookmarkEnd w:id="138"/>
          </w:p>
        </w:tc>
        <w:tc>
          <w:tcPr>
            <w:tcW w:w="1825" w:type="dxa"/>
            <w:tcMar>
              <w:left w:w="85" w:type="dxa"/>
              <w:right w:w="85" w:type="dxa"/>
            </w:tcMar>
          </w:tcPr>
          <w:p w14:paraId="5AD8BB16" w14:textId="77777777" w:rsidR="006C2C79" w:rsidRPr="001C4C08" w:rsidRDefault="006C2C79" w:rsidP="006C2C79">
            <w:pPr>
              <w:spacing w:after="60"/>
              <w:rPr>
                <w:sz w:val="18"/>
                <w:szCs w:val="18"/>
              </w:rPr>
            </w:pPr>
            <w:bookmarkStart w:id="139" w:name="lt_pId359"/>
            <w:r w:rsidRPr="001C4C08">
              <w:rPr>
                <w:sz w:val="18"/>
                <w:szCs w:val="18"/>
              </w:rPr>
              <w:t>Flexible.</w:t>
            </w:r>
            <w:bookmarkEnd w:id="139"/>
          </w:p>
        </w:tc>
        <w:tc>
          <w:tcPr>
            <w:tcW w:w="1308" w:type="dxa"/>
            <w:tcMar>
              <w:left w:w="85" w:type="dxa"/>
              <w:right w:w="85" w:type="dxa"/>
            </w:tcMar>
          </w:tcPr>
          <w:p w14:paraId="3040A6DF" w14:textId="0BD41EF1" w:rsidR="006C2C79" w:rsidRPr="001C4C08" w:rsidRDefault="00026705" w:rsidP="006C2C79">
            <w:pPr>
              <w:spacing w:after="60"/>
              <w:rPr>
                <w:b/>
                <w:sz w:val="18"/>
                <w:szCs w:val="18"/>
              </w:rPr>
            </w:pPr>
            <w:r w:rsidRPr="001C4C08">
              <w:rPr>
                <w:b/>
                <w:sz w:val="18"/>
                <w:szCs w:val="18"/>
              </w:rPr>
              <w:t>No se requiere cambio.</w:t>
            </w:r>
          </w:p>
        </w:tc>
      </w:tr>
      <w:tr w:rsidR="006C2C79" w:rsidRPr="001C4C08" w14:paraId="65F9A1D5" w14:textId="77777777" w:rsidTr="001C4C08">
        <w:trPr>
          <w:jc w:val="center"/>
        </w:trPr>
        <w:tc>
          <w:tcPr>
            <w:tcW w:w="1075" w:type="dxa"/>
            <w:tcMar>
              <w:left w:w="85" w:type="dxa"/>
              <w:right w:w="85" w:type="dxa"/>
            </w:tcMar>
          </w:tcPr>
          <w:p w14:paraId="4F5EF2A3" w14:textId="77777777" w:rsidR="006C2C79" w:rsidRPr="001C4C08" w:rsidRDefault="006C2C79" w:rsidP="006C2C79">
            <w:pPr>
              <w:spacing w:after="60"/>
              <w:jc w:val="both"/>
              <w:rPr>
                <w:rFonts w:cs="Calibri"/>
                <w:bCs/>
                <w:sz w:val="18"/>
                <w:szCs w:val="18"/>
              </w:rPr>
            </w:pPr>
          </w:p>
        </w:tc>
        <w:tc>
          <w:tcPr>
            <w:tcW w:w="2140" w:type="dxa"/>
            <w:tcMar>
              <w:left w:w="85" w:type="dxa"/>
              <w:right w:w="85" w:type="dxa"/>
            </w:tcMar>
          </w:tcPr>
          <w:p w14:paraId="76FDE767" w14:textId="2CC1C598" w:rsidR="006C2C79" w:rsidRPr="001C4C08" w:rsidRDefault="006C2C79" w:rsidP="006C2C79">
            <w:pPr>
              <w:spacing w:after="60"/>
              <w:rPr>
                <w:rFonts w:cs="Calibri"/>
                <w:bCs/>
                <w:sz w:val="18"/>
                <w:szCs w:val="18"/>
              </w:rPr>
            </w:pPr>
            <w:bookmarkStart w:id="140" w:name="lt_pId361"/>
            <w:r w:rsidRPr="001C4C08">
              <w:rPr>
                <w:sz w:val="18"/>
                <w:szCs w:val="18"/>
              </w:rPr>
              <w:t>4.3 d)</w:t>
            </w:r>
            <w:r w:rsidR="001C4C08">
              <w:rPr>
                <w:sz w:val="18"/>
                <w:szCs w:val="18"/>
              </w:rPr>
              <w:tab/>
            </w:r>
            <w:r w:rsidRPr="001C4C08">
              <w:rPr>
                <w:sz w:val="18"/>
                <w:szCs w:val="18"/>
              </w:rPr>
              <w:t>en su caso, una posibilidad de interfuncionamiento entre servicios diferentes, para facilitar los servicios de telecomunicaciones internacionales.</w:t>
            </w:r>
            <w:bookmarkEnd w:id="140"/>
          </w:p>
        </w:tc>
        <w:tc>
          <w:tcPr>
            <w:tcW w:w="2142" w:type="dxa"/>
            <w:tcMar>
              <w:left w:w="85" w:type="dxa"/>
              <w:right w:w="85" w:type="dxa"/>
            </w:tcMar>
          </w:tcPr>
          <w:p w14:paraId="66C43856" w14:textId="397CF3BD" w:rsidR="006C2C79" w:rsidRPr="001C4C08" w:rsidRDefault="006C2C79" w:rsidP="006C2C79">
            <w:pPr>
              <w:spacing w:after="60"/>
              <w:rPr>
                <w:rFonts w:cs="Calibri"/>
                <w:bCs/>
                <w:sz w:val="18"/>
                <w:szCs w:val="18"/>
              </w:rPr>
            </w:pPr>
            <w:bookmarkStart w:id="141" w:name="lt_pId362"/>
            <w:r w:rsidRPr="001C4C08">
              <w:rPr>
                <w:rFonts w:cs="Calibri"/>
                <w:bCs/>
                <w:sz w:val="18"/>
                <w:szCs w:val="18"/>
              </w:rPr>
              <w:t>4.3 d)</w:t>
            </w:r>
            <w:r w:rsidR="001C4C08">
              <w:rPr>
                <w:rFonts w:cs="Calibri"/>
                <w:bCs/>
                <w:sz w:val="18"/>
                <w:szCs w:val="18"/>
              </w:rPr>
              <w:tab/>
            </w:r>
            <w:r w:rsidRPr="001C4C08">
              <w:rPr>
                <w:rFonts w:cs="Calibri"/>
                <w:bCs/>
                <w:sz w:val="18"/>
                <w:szCs w:val="18"/>
              </w:rPr>
              <w:t>en su caso, una posibilidad de interfuncionamiento entre servicios diferentes, para facilitar las comunicaciones internacionales.</w:t>
            </w:r>
            <w:bookmarkEnd w:id="141"/>
          </w:p>
        </w:tc>
        <w:tc>
          <w:tcPr>
            <w:tcW w:w="2029" w:type="dxa"/>
            <w:tcMar>
              <w:left w:w="85" w:type="dxa"/>
              <w:right w:w="85" w:type="dxa"/>
            </w:tcMar>
          </w:tcPr>
          <w:p w14:paraId="1F21074A" w14:textId="49B77C35" w:rsidR="006C2C79" w:rsidRPr="001C4C08" w:rsidRDefault="0006643E" w:rsidP="006C2C79">
            <w:pPr>
              <w:spacing w:after="60"/>
              <w:rPr>
                <w:sz w:val="18"/>
                <w:szCs w:val="18"/>
              </w:rPr>
            </w:pPr>
            <w:bookmarkStart w:id="142" w:name="lt_pId363"/>
            <w:r w:rsidRPr="001C4C08">
              <w:rPr>
                <w:sz w:val="18"/>
                <w:szCs w:val="18"/>
              </w:rPr>
              <w:t>Esto apoya el suministro y el desarrollo de redes y servicios</w:t>
            </w:r>
            <w:r w:rsidR="006C2C79" w:rsidRPr="001C4C08">
              <w:rPr>
                <w:sz w:val="18"/>
                <w:szCs w:val="18"/>
              </w:rPr>
              <w:t>.</w:t>
            </w:r>
            <w:bookmarkEnd w:id="142"/>
          </w:p>
        </w:tc>
        <w:tc>
          <w:tcPr>
            <w:tcW w:w="1825" w:type="dxa"/>
            <w:tcMar>
              <w:left w:w="85" w:type="dxa"/>
              <w:right w:w="85" w:type="dxa"/>
            </w:tcMar>
          </w:tcPr>
          <w:p w14:paraId="0869C9DD" w14:textId="77777777" w:rsidR="006C2C79" w:rsidRPr="001C4C08" w:rsidRDefault="006C2C79" w:rsidP="006C2C79">
            <w:pPr>
              <w:spacing w:after="60"/>
              <w:rPr>
                <w:sz w:val="18"/>
                <w:szCs w:val="18"/>
              </w:rPr>
            </w:pPr>
            <w:bookmarkStart w:id="143" w:name="lt_pId364"/>
            <w:r w:rsidRPr="001C4C08">
              <w:rPr>
                <w:sz w:val="18"/>
                <w:szCs w:val="18"/>
              </w:rPr>
              <w:t>Flexible.</w:t>
            </w:r>
            <w:bookmarkEnd w:id="143"/>
          </w:p>
        </w:tc>
        <w:tc>
          <w:tcPr>
            <w:tcW w:w="1308" w:type="dxa"/>
            <w:tcMar>
              <w:left w:w="85" w:type="dxa"/>
              <w:right w:w="85" w:type="dxa"/>
            </w:tcMar>
          </w:tcPr>
          <w:p w14:paraId="725FF2FC" w14:textId="7BADFD0B" w:rsidR="006C2C79" w:rsidRPr="001C4C08" w:rsidRDefault="00026705" w:rsidP="006C2C79">
            <w:pPr>
              <w:spacing w:after="60"/>
              <w:rPr>
                <w:b/>
                <w:sz w:val="18"/>
                <w:szCs w:val="18"/>
              </w:rPr>
            </w:pPr>
            <w:r w:rsidRPr="001C4C08">
              <w:rPr>
                <w:b/>
                <w:sz w:val="18"/>
                <w:szCs w:val="18"/>
              </w:rPr>
              <w:t>No se requiere cambio.</w:t>
            </w:r>
          </w:p>
        </w:tc>
      </w:tr>
      <w:tr w:rsidR="006C2C79" w:rsidRPr="001C4C08" w14:paraId="6EC643CD" w14:textId="77777777" w:rsidTr="001C4C08">
        <w:trPr>
          <w:jc w:val="center"/>
        </w:trPr>
        <w:tc>
          <w:tcPr>
            <w:tcW w:w="1075" w:type="dxa"/>
            <w:tcMar>
              <w:left w:w="85" w:type="dxa"/>
              <w:right w:w="85" w:type="dxa"/>
            </w:tcMar>
          </w:tcPr>
          <w:p w14:paraId="20A8F403" w14:textId="45995D85" w:rsidR="006C2C79" w:rsidRPr="001C4C08" w:rsidRDefault="00026705" w:rsidP="006C2C79">
            <w:pPr>
              <w:spacing w:after="60"/>
              <w:jc w:val="both"/>
              <w:rPr>
                <w:rFonts w:cs="Calibri"/>
                <w:bCs/>
                <w:sz w:val="18"/>
                <w:szCs w:val="18"/>
              </w:rPr>
            </w:pPr>
            <w:bookmarkStart w:id="144" w:name="lt_pId366"/>
            <w:r w:rsidRPr="001C4C08">
              <w:rPr>
                <w:rFonts w:cs="Calibri"/>
                <w:b/>
                <w:bCs/>
                <w:sz w:val="18"/>
                <w:szCs w:val="18"/>
              </w:rPr>
              <w:t>Artículo</w:t>
            </w:r>
            <w:r w:rsidR="006C2C79" w:rsidRPr="001C4C08">
              <w:rPr>
                <w:rFonts w:cs="Calibri"/>
                <w:b/>
                <w:bCs/>
                <w:sz w:val="18"/>
                <w:szCs w:val="18"/>
              </w:rPr>
              <w:t xml:space="preserve"> 4</w:t>
            </w:r>
            <w:bookmarkEnd w:id="144"/>
          </w:p>
        </w:tc>
        <w:tc>
          <w:tcPr>
            <w:tcW w:w="2140" w:type="dxa"/>
            <w:tcMar>
              <w:left w:w="85" w:type="dxa"/>
              <w:right w:w="85" w:type="dxa"/>
            </w:tcMar>
          </w:tcPr>
          <w:p w14:paraId="502DA4C7" w14:textId="02064948" w:rsidR="006C2C79" w:rsidRPr="001C4C08" w:rsidRDefault="006C2C79" w:rsidP="006C2C79">
            <w:pPr>
              <w:spacing w:after="60"/>
              <w:rPr>
                <w:rFonts w:cs="Calibri"/>
                <w:bCs/>
                <w:sz w:val="18"/>
                <w:szCs w:val="18"/>
              </w:rPr>
            </w:pPr>
            <w:r w:rsidRPr="001C4C08">
              <w:rPr>
                <w:rFonts w:cs="Calibri"/>
                <w:bCs/>
                <w:sz w:val="18"/>
                <w:szCs w:val="18"/>
              </w:rPr>
              <w:t>4.4</w:t>
            </w:r>
            <w:r w:rsidR="001C4C08">
              <w:rPr>
                <w:rFonts w:cs="Calibri"/>
                <w:bCs/>
                <w:sz w:val="18"/>
                <w:szCs w:val="18"/>
              </w:rPr>
              <w:tab/>
            </w:r>
            <w:r w:rsidRPr="001C4C08">
              <w:rPr>
                <w:rFonts w:cs="Calibri"/>
                <w:bCs/>
                <w:sz w:val="18"/>
                <w:szCs w:val="18"/>
              </w:rPr>
              <w:t>Los Estados Miembros fomentarán medidas para asegurar que las empresas de explotación autorizadas suministren una información gratuita, transparente, actualizada y precisa a los usuarios finales sobre servicios internacionales de telecomunicación, incluidas las tarifas de itinerancia internacional y las condiciones aplicables relevantes, de manera oportuna.</w:t>
            </w:r>
          </w:p>
        </w:tc>
        <w:tc>
          <w:tcPr>
            <w:tcW w:w="2142" w:type="dxa"/>
            <w:tcMar>
              <w:left w:w="85" w:type="dxa"/>
              <w:right w:w="85" w:type="dxa"/>
            </w:tcMar>
          </w:tcPr>
          <w:p w14:paraId="513DA770" w14:textId="30DDCDD4" w:rsidR="006C2C79" w:rsidRPr="001C4C08" w:rsidRDefault="00026705" w:rsidP="006C2C79">
            <w:pPr>
              <w:spacing w:after="60"/>
              <w:rPr>
                <w:rFonts w:cs="Calibri"/>
                <w:bCs/>
                <w:sz w:val="18"/>
                <w:szCs w:val="18"/>
              </w:rPr>
            </w:pPr>
            <w:bookmarkStart w:id="145" w:name="lt_pId369"/>
            <w:r w:rsidRPr="001C4C08">
              <w:rPr>
                <w:rFonts w:cs="Calibri"/>
                <w:bCs/>
                <w:sz w:val="18"/>
                <w:szCs w:val="18"/>
              </w:rPr>
              <w:t>No hay disposición análoga</w:t>
            </w:r>
            <w:r w:rsidR="006C2C79" w:rsidRPr="001C4C08">
              <w:rPr>
                <w:rFonts w:cs="Calibri"/>
                <w:bCs/>
                <w:sz w:val="18"/>
                <w:szCs w:val="18"/>
              </w:rPr>
              <w:t>.</w:t>
            </w:r>
            <w:bookmarkEnd w:id="145"/>
          </w:p>
        </w:tc>
        <w:tc>
          <w:tcPr>
            <w:tcW w:w="2029" w:type="dxa"/>
            <w:tcMar>
              <w:left w:w="85" w:type="dxa"/>
              <w:right w:w="85" w:type="dxa"/>
            </w:tcMar>
          </w:tcPr>
          <w:p w14:paraId="40B86753" w14:textId="2587797C" w:rsidR="006C2C79" w:rsidRPr="001C4C08" w:rsidRDefault="00025D06" w:rsidP="006C2C79">
            <w:pPr>
              <w:spacing w:after="60"/>
              <w:rPr>
                <w:sz w:val="18"/>
                <w:szCs w:val="18"/>
              </w:rPr>
            </w:pPr>
            <w:bookmarkStart w:id="146" w:name="lt_pId370"/>
            <w:r w:rsidRPr="001C4C08">
              <w:rPr>
                <w:sz w:val="18"/>
                <w:szCs w:val="18"/>
              </w:rPr>
              <w:t>La disposición promueve la transparencia de las tarifas de itinerancia para los usuarios; éstas son necesarias para evitar que los consumidores reciban facturas exorbitantes, especialmente cuando se encuentran en itinerancia o utilizan las telecomunicaciones internacionales en otro país</w:t>
            </w:r>
            <w:r w:rsidR="006C2C79" w:rsidRPr="001C4C08">
              <w:rPr>
                <w:sz w:val="18"/>
                <w:szCs w:val="18"/>
              </w:rPr>
              <w:t>.</w:t>
            </w:r>
            <w:bookmarkEnd w:id="146"/>
            <w:r w:rsidR="006C2C79" w:rsidRPr="001C4C08">
              <w:rPr>
                <w:sz w:val="18"/>
                <w:szCs w:val="18"/>
              </w:rPr>
              <w:t xml:space="preserve"> </w:t>
            </w:r>
            <w:bookmarkStart w:id="147" w:name="lt_pId371"/>
            <w:r w:rsidR="0006643E" w:rsidRPr="001C4C08">
              <w:rPr>
                <w:sz w:val="18"/>
                <w:szCs w:val="18"/>
              </w:rPr>
              <w:t>Esta disposición apoya el desarrollo de redes y servicios</w:t>
            </w:r>
            <w:r w:rsidR="006C2C79" w:rsidRPr="001C4C08">
              <w:rPr>
                <w:sz w:val="18"/>
                <w:szCs w:val="18"/>
              </w:rPr>
              <w:t>.</w:t>
            </w:r>
            <w:bookmarkEnd w:id="147"/>
          </w:p>
        </w:tc>
        <w:tc>
          <w:tcPr>
            <w:tcW w:w="1825" w:type="dxa"/>
            <w:tcMar>
              <w:left w:w="85" w:type="dxa"/>
              <w:right w:w="85" w:type="dxa"/>
            </w:tcMar>
          </w:tcPr>
          <w:p w14:paraId="7F85830A" w14:textId="77777777" w:rsidR="006C2C79" w:rsidRPr="001C4C08" w:rsidRDefault="006C2C79" w:rsidP="006C2C79">
            <w:pPr>
              <w:spacing w:after="60"/>
              <w:rPr>
                <w:sz w:val="18"/>
                <w:szCs w:val="18"/>
              </w:rPr>
            </w:pPr>
            <w:bookmarkStart w:id="148" w:name="lt_pId372"/>
            <w:r w:rsidRPr="001C4C08">
              <w:rPr>
                <w:sz w:val="18"/>
                <w:szCs w:val="18"/>
              </w:rPr>
              <w:t>Flexible.</w:t>
            </w:r>
            <w:bookmarkEnd w:id="148"/>
          </w:p>
        </w:tc>
        <w:tc>
          <w:tcPr>
            <w:tcW w:w="1308" w:type="dxa"/>
            <w:tcMar>
              <w:left w:w="85" w:type="dxa"/>
              <w:right w:w="85" w:type="dxa"/>
            </w:tcMar>
          </w:tcPr>
          <w:p w14:paraId="05C196E3" w14:textId="3397EE6B" w:rsidR="006C2C79" w:rsidRPr="001C4C08" w:rsidRDefault="00026705" w:rsidP="006C2C79">
            <w:pPr>
              <w:spacing w:after="60"/>
              <w:rPr>
                <w:b/>
                <w:sz w:val="18"/>
                <w:szCs w:val="18"/>
              </w:rPr>
            </w:pPr>
            <w:r w:rsidRPr="001C4C08">
              <w:rPr>
                <w:b/>
                <w:sz w:val="18"/>
                <w:szCs w:val="18"/>
              </w:rPr>
              <w:t>No se requiere cambio.</w:t>
            </w:r>
          </w:p>
        </w:tc>
      </w:tr>
      <w:tr w:rsidR="006C2C79" w:rsidRPr="001C4C08" w14:paraId="34C85AAD" w14:textId="77777777" w:rsidTr="001C4C08">
        <w:trPr>
          <w:jc w:val="center"/>
        </w:trPr>
        <w:tc>
          <w:tcPr>
            <w:tcW w:w="1075" w:type="dxa"/>
            <w:tcMar>
              <w:left w:w="85" w:type="dxa"/>
              <w:right w:w="85" w:type="dxa"/>
            </w:tcMar>
          </w:tcPr>
          <w:p w14:paraId="49F959F2" w14:textId="3CF9FB7A" w:rsidR="006C2C79" w:rsidRPr="001C4C08" w:rsidRDefault="00026705" w:rsidP="006C2C79">
            <w:pPr>
              <w:spacing w:after="60"/>
              <w:jc w:val="both"/>
              <w:rPr>
                <w:rFonts w:cs="Calibri"/>
                <w:bCs/>
                <w:sz w:val="18"/>
                <w:szCs w:val="18"/>
              </w:rPr>
            </w:pPr>
            <w:bookmarkStart w:id="149" w:name="lt_pId374"/>
            <w:r w:rsidRPr="001C4C08">
              <w:rPr>
                <w:rFonts w:cs="Calibri"/>
                <w:b/>
                <w:bCs/>
                <w:sz w:val="18"/>
                <w:szCs w:val="18"/>
              </w:rPr>
              <w:t>Artículo</w:t>
            </w:r>
            <w:r w:rsidR="006C2C79" w:rsidRPr="001C4C08">
              <w:rPr>
                <w:rFonts w:cs="Calibri"/>
                <w:b/>
                <w:bCs/>
                <w:sz w:val="18"/>
                <w:szCs w:val="18"/>
              </w:rPr>
              <w:t xml:space="preserve"> 4</w:t>
            </w:r>
            <w:bookmarkEnd w:id="149"/>
          </w:p>
        </w:tc>
        <w:tc>
          <w:tcPr>
            <w:tcW w:w="2140" w:type="dxa"/>
            <w:tcMar>
              <w:left w:w="85" w:type="dxa"/>
              <w:right w:w="85" w:type="dxa"/>
            </w:tcMar>
          </w:tcPr>
          <w:p w14:paraId="56FC5C9B" w14:textId="204C5B52" w:rsidR="006C2C79" w:rsidRPr="001C4C08" w:rsidRDefault="006C2C79" w:rsidP="006C2C79">
            <w:pPr>
              <w:spacing w:after="60"/>
              <w:rPr>
                <w:rFonts w:cs="Calibri"/>
                <w:bCs/>
                <w:sz w:val="18"/>
                <w:szCs w:val="18"/>
              </w:rPr>
            </w:pPr>
            <w:r w:rsidRPr="001C4C08">
              <w:rPr>
                <w:rFonts w:cs="Calibri"/>
                <w:bCs/>
                <w:sz w:val="18"/>
                <w:szCs w:val="18"/>
              </w:rPr>
              <w:t>4.5</w:t>
            </w:r>
            <w:r w:rsidR="001C4C08">
              <w:rPr>
                <w:rFonts w:cs="Calibri"/>
                <w:bCs/>
                <w:sz w:val="18"/>
                <w:szCs w:val="18"/>
              </w:rPr>
              <w:tab/>
            </w:r>
            <w:r w:rsidRPr="001C4C08">
              <w:rPr>
                <w:rFonts w:cs="Calibri"/>
                <w:bCs/>
                <w:sz w:val="18"/>
                <w:szCs w:val="18"/>
              </w:rPr>
              <w:t>Los Estados Miembros fomentarán medidas para asegurar que los servicios de telecomunicaciones en itinerancia internacional se presten en condiciones de calidad satisfactorias a los usuarios visitantes.</w:t>
            </w:r>
          </w:p>
        </w:tc>
        <w:tc>
          <w:tcPr>
            <w:tcW w:w="2142" w:type="dxa"/>
            <w:tcMar>
              <w:left w:w="85" w:type="dxa"/>
              <w:right w:w="85" w:type="dxa"/>
            </w:tcMar>
          </w:tcPr>
          <w:p w14:paraId="13D9B099" w14:textId="3CABB794" w:rsidR="006C2C79" w:rsidRPr="001C4C08" w:rsidRDefault="00026705" w:rsidP="006C2C79">
            <w:pPr>
              <w:spacing w:after="60"/>
              <w:rPr>
                <w:rFonts w:cs="Calibri"/>
                <w:bCs/>
                <w:sz w:val="18"/>
                <w:szCs w:val="18"/>
              </w:rPr>
            </w:pPr>
            <w:bookmarkStart w:id="150" w:name="lt_pId377"/>
            <w:r w:rsidRPr="001C4C08">
              <w:rPr>
                <w:rFonts w:cs="Calibri"/>
                <w:bCs/>
                <w:sz w:val="18"/>
                <w:szCs w:val="18"/>
              </w:rPr>
              <w:t>No hay disposición análoga</w:t>
            </w:r>
            <w:r w:rsidR="006C2C79" w:rsidRPr="001C4C08">
              <w:rPr>
                <w:rFonts w:cs="Calibri"/>
                <w:bCs/>
                <w:sz w:val="18"/>
                <w:szCs w:val="18"/>
              </w:rPr>
              <w:t>.</w:t>
            </w:r>
            <w:bookmarkEnd w:id="150"/>
          </w:p>
        </w:tc>
        <w:tc>
          <w:tcPr>
            <w:tcW w:w="2029" w:type="dxa"/>
            <w:tcMar>
              <w:left w:w="85" w:type="dxa"/>
              <w:right w:w="85" w:type="dxa"/>
            </w:tcMar>
          </w:tcPr>
          <w:p w14:paraId="5F8229F2" w14:textId="4EBBAA16" w:rsidR="006C2C79" w:rsidRPr="001C4C08" w:rsidRDefault="00025D06" w:rsidP="006C2C79">
            <w:pPr>
              <w:spacing w:after="60"/>
              <w:rPr>
                <w:rFonts w:cs="Calibri"/>
                <w:bCs/>
                <w:sz w:val="18"/>
                <w:szCs w:val="18"/>
              </w:rPr>
            </w:pPr>
            <w:r w:rsidRPr="001C4C08">
              <w:rPr>
                <w:rFonts w:cs="Calibri"/>
                <w:bCs/>
                <w:sz w:val="18"/>
                <w:szCs w:val="18"/>
              </w:rPr>
              <w:t>La disposición impulsa el control de la calidad del servicio en el servicio de itinerancia internacional a los usuarios. Los servicios de itinerancia son de la misma calidad que los ofrecidos a los usuarios locales, ya que funcionan en la misma red</w:t>
            </w:r>
            <w:bookmarkStart w:id="151" w:name="lt_pId379"/>
            <w:r w:rsidR="006C2C79" w:rsidRPr="001C4C08">
              <w:rPr>
                <w:rFonts w:cs="Calibri"/>
                <w:bCs/>
                <w:sz w:val="18"/>
                <w:szCs w:val="18"/>
              </w:rPr>
              <w:t>.</w:t>
            </w:r>
            <w:bookmarkEnd w:id="151"/>
            <w:r w:rsidR="006C2C79" w:rsidRPr="001C4C08">
              <w:rPr>
                <w:rFonts w:cs="Calibri"/>
                <w:bCs/>
                <w:sz w:val="18"/>
                <w:szCs w:val="18"/>
              </w:rPr>
              <w:t xml:space="preserve"> </w:t>
            </w:r>
            <w:bookmarkStart w:id="152" w:name="lt_pId380"/>
            <w:r w:rsidR="0006643E" w:rsidRPr="001C4C08">
              <w:rPr>
                <w:rFonts w:cs="Calibri"/>
                <w:bCs/>
                <w:sz w:val="18"/>
                <w:szCs w:val="18"/>
              </w:rPr>
              <w:t>Esta disposición apoya el desarrollo de redes y servicios</w:t>
            </w:r>
            <w:r w:rsidR="006C2C79" w:rsidRPr="001C4C08">
              <w:rPr>
                <w:rFonts w:cs="Calibri"/>
                <w:bCs/>
                <w:sz w:val="18"/>
                <w:szCs w:val="18"/>
              </w:rPr>
              <w:t>.</w:t>
            </w:r>
            <w:bookmarkEnd w:id="152"/>
          </w:p>
        </w:tc>
        <w:tc>
          <w:tcPr>
            <w:tcW w:w="1825" w:type="dxa"/>
            <w:tcMar>
              <w:left w:w="85" w:type="dxa"/>
              <w:right w:w="85" w:type="dxa"/>
            </w:tcMar>
          </w:tcPr>
          <w:p w14:paraId="7419A886" w14:textId="77777777" w:rsidR="006C2C79" w:rsidRPr="001C4C08" w:rsidRDefault="006C2C79" w:rsidP="006C2C79">
            <w:pPr>
              <w:spacing w:after="60"/>
              <w:rPr>
                <w:rFonts w:cs="Calibri"/>
                <w:bCs/>
                <w:sz w:val="18"/>
                <w:szCs w:val="18"/>
              </w:rPr>
            </w:pPr>
            <w:bookmarkStart w:id="153" w:name="lt_pId381"/>
            <w:r w:rsidRPr="001C4C08">
              <w:rPr>
                <w:rFonts w:cs="Calibri"/>
                <w:bCs/>
                <w:sz w:val="18"/>
                <w:szCs w:val="18"/>
              </w:rPr>
              <w:t>Flexible.</w:t>
            </w:r>
            <w:bookmarkEnd w:id="153"/>
          </w:p>
        </w:tc>
        <w:tc>
          <w:tcPr>
            <w:tcW w:w="1308" w:type="dxa"/>
            <w:tcMar>
              <w:left w:w="85" w:type="dxa"/>
              <w:right w:w="85" w:type="dxa"/>
            </w:tcMar>
          </w:tcPr>
          <w:p w14:paraId="4C64095F" w14:textId="7D9CC323" w:rsidR="006C2C79" w:rsidRPr="001C4C08" w:rsidRDefault="00026705" w:rsidP="006C2C79">
            <w:pPr>
              <w:spacing w:after="60"/>
              <w:rPr>
                <w:b/>
                <w:sz w:val="18"/>
                <w:szCs w:val="18"/>
              </w:rPr>
            </w:pPr>
            <w:r w:rsidRPr="001C4C08">
              <w:rPr>
                <w:b/>
                <w:sz w:val="18"/>
                <w:szCs w:val="18"/>
              </w:rPr>
              <w:t>No se requiere cambio.</w:t>
            </w:r>
          </w:p>
        </w:tc>
      </w:tr>
      <w:tr w:rsidR="006C2C79" w:rsidRPr="001C4C08" w14:paraId="6D421AA2" w14:textId="77777777" w:rsidTr="001C4C08">
        <w:trPr>
          <w:jc w:val="center"/>
        </w:trPr>
        <w:tc>
          <w:tcPr>
            <w:tcW w:w="1075" w:type="dxa"/>
            <w:tcMar>
              <w:left w:w="85" w:type="dxa"/>
              <w:right w:w="85" w:type="dxa"/>
            </w:tcMar>
          </w:tcPr>
          <w:p w14:paraId="3C41FF86" w14:textId="0BC0DC82" w:rsidR="006C2C79" w:rsidRPr="001C4C08" w:rsidRDefault="00026705" w:rsidP="006C2C79">
            <w:pPr>
              <w:spacing w:after="60"/>
              <w:jc w:val="both"/>
              <w:rPr>
                <w:rFonts w:cs="Calibri"/>
                <w:bCs/>
                <w:sz w:val="18"/>
                <w:szCs w:val="18"/>
              </w:rPr>
            </w:pPr>
            <w:bookmarkStart w:id="154" w:name="lt_pId383"/>
            <w:r w:rsidRPr="001C4C08">
              <w:rPr>
                <w:rFonts w:cs="Calibri"/>
                <w:b/>
                <w:bCs/>
                <w:sz w:val="18"/>
                <w:szCs w:val="18"/>
              </w:rPr>
              <w:t>Artículo</w:t>
            </w:r>
            <w:r w:rsidR="006C2C79" w:rsidRPr="001C4C08">
              <w:rPr>
                <w:rFonts w:cs="Calibri"/>
                <w:b/>
                <w:bCs/>
                <w:sz w:val="18"/>
                <w:szCs w:val="18"/>
              </w:rPr>
              <w:t xml:space="preserve"> 4</w:t>
            </w:r>
            <w:bookmarkEnd w:id="154"/>
          </w:p>
        </w:tc>
        <w:tc>
          <w:tcPr>
            <w:tcW w:w="2140" w:type="dxa"/>
            <w:tcMar>
              <w:left w:w="85" w:type="dxa"/>
              <w:right w:w="85" w:type="dxa"/>
            </w:tcMar>
          </w:tcPr>
          <w:p w14:paraId="214086DB" w14:textId="4DFD0346" w:rsidR="006C2C79" w:rsidRPr="001C4C08" w:rsidRDefault="006C2C79" w:rsidP="006C2C79">
            <w:pPr>
              <w:spacing w:after="60"/>
              <w:rPr>
                <w:rFonts w:cs="Calibri"/>
                <w:bCs/>
                <w:sz w:val="18"/>
                <w:szCs w:val="18"/>
              </w:rPr>
            </w:pPr>
            <w:r w:rsidRPr="001C4C08">
              <w:rPr>
                <w:rFonts w:cs="Calibri"/>
                <w:bCs/>
                <w:sz w:val="18"/>
                <w:szCs w:val="18"/>
              </w:rPr>
              <w:t>4.6</w:t>
            </w:r>
            <w:r w:rsidR="001C4C08">
              <w:rPr>
                <w:rFonts w:cs="Calibri"/>
                <w:bCs/>
                <w:sz w:val="18"/>
                <w:szCs w:val="18"/>
              </w:rPr>
              <w:tab/>
            </w:r>
            <w:r w:rsidRPr="001C4C08">
              <w:rPr>
                <w:rFonts w:cs="Calibri"/>
                <w:bCs/>
                <w:sz w:val="18"/>
                <w:szCs w:val="18"/>
              </w:rPr>
              <w:t>Los Estados Miembros deben fomentar la cooperación entre empresas de explotación autorizadas a fin de evitar o reducir los costos de itinerancia inadvertida en zonas fronterizas.</w:t>
            </w:r>
          </w:p>
        </w:tc>
        <w:tc>
          <w:tcPr>
            <w:tcW w:w="2142" w:type="dxa"/>
            <w:tcMar>
              <w:left w:w="85" w:type="dxa"/>
              <w:right w:w="85" w:type="dxa"/>
            </w:tcMar>
          </w:tcPr>
          <w:p w14:paraId="77A452A4" w14:textId="5D1C02B4" w:rsidR="006C2C79" w:rsidRPr="001C4C08" w:rsidRDefault="00026705" w:rsidP="006C2C79">
            <w:pPr>
              <w:spacing w:after="60"/>
              <w:rPr>
                <w:rFonts w:cs="Calibri"/>
                <w:bCs/>
                <w:sz w:val="18"/>
                <w:szCs w:val="18"/>
              </w:rPr>
            </w:pPr>
            <w:bookmarkStart w:id="155" w:name="lt_pId386"/>
            <w:r w:rsidRPr="001C4C08">
              <w:rPr>
                <w:rFonts w:cs="Calibri"/>
                <w:bCs/>
                <w:sz w:val="18"/>
                <w:szCs w:val="18"/>
              </w:rPr>
              <w:t>No hay disposición análoga</w:t>
            </w:r>
            <w:r w:rsidR="006C2C79" w:rsidRPr="001C4C08">
              <w:rPr>
                <w:rFonts w:cs="Calibri"/>
                <w:bCs/>
                <w:sz w:val="18"/>
                <w:szCs w:val="18"/>
              </w:rPr>
              <w:t>.</w:t>
            </w:r>
            <w:bookmarkEnd w:id="155"/>
          </w:p>
        </w:tc>
        <w:tc>
          <w:tcPr>
            <w:tcW w:w="2029" w:type="dxa"/>
            <w:tcMar>
              <w:left w:w="85" w:type="dxa"/>
              <w:right w:w="85" w:type="dxa"/>
            </w:tcMar>
          </w:tcPr>
          <w:p w14:paraId="7A2613EB" w14:textId="7DC90F7F" w:rsidR="006C2C79" w:rsidRPr="001C4C08" w:rsidRDefault="00025D06" w:rsidP="006C2C79">
            <w:pPr>
              <w:spacing w:after="60"/>
              <w:rPr>
                <w:rFonts w:cs="Calibri"/>
                <w:bCs/>
                <w:sz w:val="18"/>
                <w:szCs w:val="18"/>
              </w:rPr>
            </w:pPr>
            <w:bookmarkStart w:id="156" w:name="lt_pId387"/>
            <w:r w:rsidRPr="001C4C08">
              <w:rPr>
                <w:rFonts w:cs="Calibri"/>
                <w:bCs/>
                <w:sz w:val="18"/>
                <w:szCs w:val="18"/>
              </w:rPr>
              <w:t>La disposición impulsa la cooperación entre los operadores privados con licencia para evitar y neutralizar las facturas exorbitantes por el servicio de itinerancia internacional a los usuarios debido a la conexión accidental a redes extranjeras cuando se encuentran cerca de la frontera</w:t>
            </w:r>
            <w:r w:rsidR="006C2C79" w:rsidRPr="001C4C08">
              <w:rPr>
                <w:rFonts w:cs="Calibri"/>
                <w:bCs/>
                <w:sz w:val="18"/>
                <w:szCs w:val="18"/>
              </w:rPr>
              <w:t>.</w:t>
            </w:r>
            <w:bookmarkEnd w:id="156"/>
            <w:r w:rsidR="006C2C79" w:rsidRPr="001C4C08">
              <w:rPr>
                <w:rFonts w:cs="Calibri"/>
                <w:bCs/>
                <w:sz w:val="18"/>
                <w:szCs w:val="18"/>
              </w:rPr>
              <w:t xml:space="preserve"> </w:t>
            </w:r>
            <w:bookmarkStart w:id="157" w:name="lt_pId388"/>
            <w:r w:rsidR="0006643E" w:rsidRPr="001C4C08">
              <w:rPr>
                <w:rFonts w:cs="Calibri"/>
                <w:bCs/>
                <w:sz w:val="18"/>
                <w:szCs w:val="18"/>
              </w:rPr>
              <w:t xml:space="preserve">Esta </w:t>
            </w:r>
            <w:r w:rsidR="0006643E" w:rsidRPr="001C4C08">
              <w:rPr>
                <w:rFonts w:cs="Calibri"/>
                <w:bCs/>
                <w:sz w:val="18"/>
                <w:szCs w:val="18"/>
              </w:rPr>
              <w:lastRenderedPageBreak/>
              <w:t>disposición apoya el desarrollo de redes y servicios</w:t>
            </w:r>
            <w:r w:rsidR="006C2C79" w:rsidRPr="001C4C08">
              <w:rPr>
                <w:rFonts w:cs="Calibri"/>
                <w:bCs/>
                <w:sz w:val="18"/>
                <w:szCs w:val="18"/>
              </w:rPr>
              <w:t>.</w:t>
            </w:r>
            <w:bookmarkEnd w:id="157"/>
          </w:p>
        </w:tc>
        <w:tc>
          <w:tcPr>
            <w:tcW w:w="1825" w:type="dxa"/>
            <w:tcMar>
              <w:left w:w="85" w:type="dxa"/>
              <w:right w:w="85" w:type="dxa"/>
            </w:tcMar>
          </w:tcPr>
          <w:p w14:paraId="52725988" w14:textId="77777777" w:rsidR="006C2C79" w:rsidRPr="001C4C08" w:rsidRDefault="006C2C79" w:rsidP="006C2C79">
            <w:pPr>
              <w:spacing w:after="60"/>
              <w:rPr>
                <w:rFonts w:cs="Calibri"/>
                <w:bCs/>
                <w:sz w:val="18"/>
                <w:szCs w:val="18"/>
              </w:rPr>
            </w:pPr>
            <w:bookmarkStart w:id="158" w:name="lt_pId389"/>
            <w:r w:rsidRPr="001C4C08">
              <w:rPr>
                <w:rFonts w:cs="Calibri"/>
                <w:bCs/>
                <w:sz w:val="18"/>
                <w:szCs w:val="18"/>
              </w:rPr>
              <w:lastRenderedPageBreak/>
              <w:t>Flexible.</w:t>
            </w:r>
            <w:bookmarkEnd w:id="158"/>
          </w:p>
        </w:tc>
        <w:tc>
          <w:tcPr>
            <w:tcW w:w="1308" w:type="dxa"/>
            <w:tcMar>
              <w:left w:w="85" w:type="dxa"/>
              <w:right w:w="85" w:type="dxa"/>
            </w:tcMar>
          </w:tcPr>
          <w:p w14:paraId="73E32CFF" w14:textId="020B7DB4" w:rsidR="006C2C79" w:rsidRPr="001C4C08" w:rsidRDefault="00026705" w:rsidP="006C2C79">
            <w:pPr>
              <w:spacing w:after="60"/>
              <w:rPr>
                <w:b/>
                <w:sz w:val="18"/>
                <w:szCs w:val="18"/>
              </w:rPr>
            </w:pPr>
            <w:r w:rsidRPr="001C4C08">
              <w:rPr>
                <w:b/>
                <w:sz w:val="18"/>
                <w:szCs w:val="18"/>
              </w:rPr>
              <w:t>No se requiere cambio.</w:t>
            </w:r>
          </w:p>
        </w:tc>
      </w:tr>
      <w:tr w:rsidR="006C2C79" w:rsidRPr="001C4C08" w14:paraId="09BA8F3B" w14:textId="77777777" w:rsidTr="001C4C08">
        <w:trPr>
          <w:jc w:val="center"/>
        </w:trPr>
        <w:tc>
          <w:tcPr>
            <w:tcW w:w="1075" w:type="dxa"/>
            <w:tcMar>
              <w:left w:w="85" w:type="dxa"/>
              <w:right w:w="85" w:type="dxa"/>
            </w:tcMar>
          </w:tcPr>
          <w:p w14:paraId="7CE89812" w14:textId="584906C8" w:rsidR="006C2C79" w:rsidRPr="001C4C08" w:rsidRDefault="00026705" w:rsidP="006C2C79">
            <w:pPr>
              <w:spacing w:after="60"/>
              <w:jc w:val="both"/>
              <w:rPr>
                <w:rFonts w:cs="Calibri"/>
                <w:bCs/>
                <w:sz w:val="18"/>
                <w:szCs w:val="18"/>
              </w:rPr>
            </w:pPr>
            <w:bookmarkStart w:id="159" w:name="lt_pId391"/>
            <w:r w:rsidRPr="001C4C08">
              <w:rPr>
                <w:rFonts w:cs="Calibri"/>
                <w:b/>
                <w:bCs/>
                <w:sz w:val="18"/>
                <w:szCs w:val="18"/>
              </w:rPr>
              <w:t>Artículo</w:t>
            </w:r>
            <w:r w:rsidR="006C2C79" w:rsidRPr="001C4C08">
              <w:rPr>
                <w:rFonts w:cs="Calibri"/>
                <w:b/>
                <w:bCs/>
                <w:sz w:val="18"/>
                <w:szCs w:val="18"/>
              </w:rPr>
              <w:t xml:space="preserve"> 4</w:t>
            </w:r>
            <w:bookmarkEnd w:id="159"/>
          </w:p>
        </w:tc>
        <w:tc>
          <w:tcPr>
            <w:tcW w:w="2140" w:type="dxa"/>
            <w:tcMar>
              <w:left w:w="85" w:type="dxa"/>
              <w:right w:w="85" w:type="dxa"/>
            </w:tcMar>
          </w:tcPr>
          <w:p w14:paraId="758AFF14" w14:textId="4272A5F4" w:rsidR="006C2C79" w:rsidRPr="001C4C08" w:rsidRDefault="006C2C79" w:rsidP="006C2C79">
            <w:pPr>
              <w:spacing w:after="60"/>
              <w:rPr>
                <w:rFonts w:cs="Calibri"/>
                <w:bCs/>
                <w:sz w:val="18"/>
                <w:szCs w:val="18"/>
              </w:rPr>
            </w:pPr>
            <w:r w:rsidRPr="001C4C08">
              <w:rPr>
                <w:rFonts w:cs="Calibri"/>
                <w:bCs/>
                <w:sz w:val="18"/>
                <w:szCs w:val="18"/>
              </w:rPr>
              <w:t>4.7</w:t>
            </w:r>
            <w:r w:rsidR="001C4C08">
              <w:rPr>
                <w:rFonts w:cs="Calibri"/>
                <w:bCs/>
                <w:sz w:val="18"/>
                <w:szCs w:val="18"/>
              </w:rPr>
              <w:tab/>
            </w:r>
            <w:r w:rsidRPr="001C4C08">
              <w:rPr>
                <w:rFonts w:cs="Calibri"/>
                <w:bCs/>
                <w:sz w:val="18"/>
                <w:szCs w:val="18"/>
              </w:rPr>
              <w:t>Los Estados Miembros procurarán fomentar la competencia en la prestación de servicios de itinerancia internacional, y se los alienta a formular políticas que impulsen precios competitivos en materia de itinerancia en beneficio de los usuarios finales.</w:t>
            </w:r>
          </w:p>
        </w:tc>
        <w:tc>
          <w:tcPr>
            <w:tcW w:w="2142" w:type="dxa"/>
            <w:tcMar>
              <w:left w:w="85" w:type="dxa"/>
              <w:right w:w="85" w:type="dxa"/>
            </w:tcMar>
          </w:tcPr>
          <w:p w14:paraId="764AFF94" w14:textId="39ABB84A" w:rsidR="006C2C79" w:rsidRPr="001C4C08" w:rsidRDefault="00026705" w:rsidP="006C2C79">
            <w:pPr>
              <w:spacing w:after="60"/>
              <w:rPr>
                <w:rFonts w:cs="Calibri"/>
                <w:bCs/>
                <w:sz w:val="18"/>
                <w:szCs w:val="18"/>
              </w:rPr>
            </w:pPr>
            <w:bookmarkStart w:id="160" w:name="lt_pId394"/>
            <w:r w:rsidRPr="001C4C08">
              <w:rPr>
                <w:rFonts w:cs="Calibri"/>
                <w:bCs/>
                <w:sz w:val="18"/>
                <w:szCs w:val="18"/>
              </w:rPr>
              <w:t>No hay disposición análoga</w:t>
            </w:r>
            <w:r w:rsidR="006C2C79" w:rsidRPr="001C4C08">
              <w:rPr>
                <w:rFonts w:cs="Calibri"/>
                <w:bCs/>
                <w:sz w:val="18"/>
                <w:szCs w:val="18"/>
              </w:rPr>
              <w:t>.</w:t>
            </w:r>
            <w:bookmarkEnd w:id="160"/>
          </w:p>
        </w:tc>
        <w:tc>
          <w:tcPr>
            <w:tcW w:w="2029" w:type="dxa"/>
            <w:tcMar>
              <w:left w:w="85" w:type="dxa"/>
              <w:right w:w="85" w:type="dxa"/>
            </w:tcMar>
          </w:tcPr>
          <w:p w14:paraId="2D2BEA1B" w14:textId="51E07D11" w:rsidR="006C2C79" w:rsidRPr="001C4C08" w:rsidRDefault="00025D06" w:rsidP="006C2C79">
            <w:pPr>
              <w:spacing w:after="60"/>
              <w:rPr>
                <w:rFonts w:cs="Calibri"/>
                <w:bCs/>
                <w:sz w:val="18"/>
                <w:szCs w:val="18"/>
              </w:rPr>
            </w:pPr>
            <w:r w:rsidRPr="001C4C08">
              <w:rPr>
                <w:rFonts w:cs="Calibri"/>
                <w:bCs/>
                <w:sz w:val="18"/>
                <w:szCs w:val="18"/>
              </w:rPr>
              <w:t xml:space="preserve">La disposición impulsa la competencia en el servicio de itinerancia internacional para los usuarios. </w:t>
            </w:r>
            <w:r w:rsidR="0006643E" w:rsidRPr="001C4C08">
              <w:rPr>
                <w:rFonts w:cs="Calibri"/>
                <w:bCs/>
                <w:sz w:val="18"/>
                <w:szCs w:val="18"/>
              </w:rPr>
              <w:t>Esta disposición apoya el desarrollo de redes y servicios</w:t>
            </w:r>
          </w:p>
        </w:tc>
        <w:tc>
          <w:tcPr>
            <w:tcW w:w="1825" w:type="dxa"/>
            <w:tcMar>
              <w:left w:w="85" w:type="dxa"/>
              <w:right w:w="85" w:type="dxa"/>
            </w:tcMar>
          </w:tcPr>
          <w:p w14:paraId="67872AE3" w14:textId="77777777" w:rsidR="006C2C79" w:rsidRPr="001C4C08" w:rsidRDefault="006C2C79" w:rsidP="006C2C79">
            <w:pPr>
              <w:spacing w:after="60"/>
              <w:rPr>
                <w:rFonts w:cs="Calibri"/>
                <w:bCs/>
                <w:sz w:val="18"/>
                <w:szCs w:val="18"/>
              </w:rPr>
            </w:pPr>
            <w:bookmarkStart w:id="161" w:name="lt_pId397"/>
            <w:r w:rsidRPr="001C4C08">
              <w:rPr>
                <w:rFonts w:cs="Calibri"/>
                <w:bCs/>
                <w:sz w:val="18"/>
                <w:szCs w:val="18"/>
              </w:rPr>
              <w:t>Flexible.</w:t>
            </w:r>
            <w:bookmarkEnd w:id="161"/>
          </w:p>
        </w:tc>
        <w:tc>
          <w:tcPr>
            <w:tcW w:w="1308" w:type="dxa"/>
            <w:tcMar>
              <w:left w:w="85" w:type="dxa"/>
              <w:right w:w="85" w:type="dxa"/>
            </w:tcMar>
          </w:tcPr>
          <w:p w14:paraId="59EA39DC" w14:textId="27FD7BF5" w:rsidR="006C2C79" w:rsidRPr="001C4C08" w:rsidRDefault="00026705" w:rsidP="006C2C79">
            <w:pPr>
              <w:spacing w:after="60"/>
              <w:rPr>
                <w:b/>
                <w:sz w:val="18"/>
                <w:szCs w:val="18"/>
              </w:rPr>
            </w:pPr>
            <w:r w:rsidRPr="001C4C08">
              <w:rPr>
                <w:b/>
                <w:sz w:val="18"/>
                <w:szCs w:val="18"/>
              </w:rPr>
              <w:t>No se requiere cambio.</w:t>
            </w:r>
          </w:p>
        </w:tc>
      </w:tr>
      <w:bookmarkEnd w:id="12"/>
    </w:tbl>
    <w:p w14:paraId="365810A0" w14:textId="77777777" w:rsidR="00781B80" w:rsidRPr="001C4C08" w:rsidRDefault="00781B80" w:rsidP="001C4C08">
      <w:r w:rsidRPr="001C4C08">
        <w:br w:type="page"/>
      </w:r>
    </w:p>
    <w:p w14:paraId="6B829C52" w14:textId="046B1A90" w:rsidR="00781B80" w:rsidRPr="001C4C08" w:rsidRDefault="00781B80" w:rsidP="00781B80">
      <w:pPr>
        <w:pStyle w:val="AnnexNo"/>
      </w:pPr>
      <w:bookmarkStart w:id="162" w:name="lt_pId399"/>
      <w:r w:rsidRPr="001C4C08">
        <w:lastRenderedPageBreak/>
        <w:t>Anex</w:t>
      </w:r>
      <w:r w:rsidR="00025D06" w:rsidRPr="001C4C08">
        <w:t>O</w:t>
      </w:r>
      <w:r w:rsidRPr="001C4C08">
        <w:t xml:space="preserve"> II</w:t>
      </w:r>
      <w:bookmarkEnd w:id="162"/>
    </w:p>
    <w:p w14:paraId="0CB3D999" w14:textId="4E4029F5" w:rsidR="00781B80" w:rsidRPr="001C4C08" w:rsidRDefault="00797D1A" w:rsidP="00781B80">
      <w:pPr>
        <w:pStyle w:val="Annextitle"/>
      </w:pPr>
      <w:bookmarkStart w:id="163" w:name="lt_pId400"/>
      <w:r w:rsidRPr="001C4C08">
        <w:t>Preguntas para las partes interesadas</w:t>
      </w:r>
      <w:bookmarkEnd w:id="163"/>
    </w:p>
    <w:p w14:paraId="6AAF73F5" w14:textId="7E89BE96" w:rsidR="00781B80" w:rsidRPr="001C4C08" w:rsidRDefault="001943E1" w:rsidP="00EA3D70">
      <w:pPr>
        <w:spacing w:before="720" w:after="120"/>
        <w:ind w:left="562" w:hanging="562"/>
        <w:jc w:val="both"/>
        <w:rPr>
          <w:bCs/>
        </w:rPr>
      </w:pPr>
      <w:bookmarkStart w:id="164" w:name="lt_pId401"/>
      <w:r w:rsidRPr="001C4C08">
        <w:rPr>
          <w:b/>
        </w:rPr>
        <w:t>C</w:t>
      </w:r>
      <w:r w:rsidR="00781B80" w:rsidRPr="001C4C08">
        <w:rPr>
          <w:b/>
        </w:rPr>
        <w:t>1:</w:t>
      </w:r>
      <w:bookmarkEnd w:id="164"/>
      <w:r w:rsidR="00781B80" w:rsidRPr="001C4C08">
        <w:t xml:space="preserve"> </w:t>
      </w:r>
      <w:r w:rsidR="00781B80" w:rsidRPr="001C4C08">
        <w:tab/>
      </w:r>
      <w:r w:rsidR="00EA3D70" w:rsidRPr="001C4C08">
        <w:rPr>
          <w:bCs/>
        </w:rPr>
        <w:t>Sírvase identificar la(s) disposición(es) del RTI de 2012 que considere esencial(es) y la(s) que no considere esencial(es) para facilitar u obstaculizar la interconexión mundial y la interoperabilidad del tráfico de telecomunicaciones a través de las fronteras nacionales en el actual entorno internacional de las telecomunicaciones sobre la base de su experiencia. Sírvase citar ejemplos al respecto</w:t>
      </w:r>
      <w:r w:rsidR="00781B80" w:rsidRPr="001C4C08">
        <w:rPr>
          <w:bCs/>
        </w:rPr>
        <w:t>.</w:t>
      </w:r>
    </w:p>
    <w:p w14:paraId="680072BD" w14:textId="3C3660E7" w:rsidR="00781B80" w:rsidRPr="001C4C08" w:rsidRDefault="001943E1" w:rsidP="00781B80">
      <w:pPr>
        <w:spacing w:before="360" w:after="120"/>
        <w:rPr>
          <w:b/>
        </w:rPr>
      </w:pPr>
      <w:bookmarkStart w:id="165" w:name="lt_pId404"/>
      <w:r w:rsidRPr="001C4C08">
        <w:rPr>
          <w:b/>
        </w:rPr>
        <w:t>Respuesta</w:t>
      </w:r>
      <w:r w:rsidR="00781B80" w:rsidRPr="001C4C08">
        <w:rPr>
          <w:b/>
        </w:rPr>
        <w:t>:</w:t>
      </w:r>
      <w:bookmarkEnd w:id="165"/>
    </w:p>
    <w:p w14:paraId="743EBCB6" w14:textId="375B3309" w:rsidR="00781B80" w:rsidRPr="001C4C08" w:rsidRDefault="00781B80" w:rsidP="00781B80">
      <w:pPr>
        <w:spacing w:before="240" w:after="360"/>
      </w:pPr>
      <w:bookmarkStart w:id="166" w:name="lt_pId405"/>
      <w:r w:rsidRPr="001C4C08">
        <w:t>No</w:t>
      </w:r>
      <w:r w:rsidR="00EA3D70" w:rsidRPr="001C4C08">
        <w:t xml:space="preserve"> esencial</w:t>
      </w:r>
      <w:bookmarkEnd w:id="166"/>
    </w:p>
    <w:tbl>
      <w:tblPr>
        <w:tblStyle w:val="TableGrid"/>
        <w:tblW w:w="0" w:type="auto"/>
        <w:tblLook w:val="04A0" w:firstRow="1" w:lastRow="0" w:firstColumn="1" w:lastColumn="0" w:noHBand="0" w:noVBand="1"/>
      </w:tblPr>
      <w:tblGrid>
        <w:gridCol w:w="4814"/>
        <w:gridCol w:w="4815"/>
      </w:tblGrid>
      <w:tr w:rsidR="00781B80" w:rsidRPr="001C4C08" w14:paraId="7A67BB62" w14:textId="77777777" w:rsidTr="00110ECD">
        <w:tc>
          <w:tcPr>
            <w:tcW w:w="4814" w:type="dxa"/>
          </w:tcPr>
          <w:p w14:paraId="25DA7C38" w14:textId="0C814FA5" w:rsidR="00781B80" w:rsidRPr="001C4C08" w:rsidRDefault="00EA3D70" w:rsidP="00110ECD">
            <w:pPr>
              <w:rPr>
                <w:b/>
              </w:rPr>
            </w:pPr>
            <w:r w:rsidRPr="001C4C08">
              <w:rPr>
                <w:b/>
              </w:rPr>
              <w:t>Disposición</w:t>
            </w:r>
          </w:p>
          <w:p w14:paraId="49DC2B9D" w14:textId="77777777" w:rsidR="00781B80" w:rsidRPr="001C4C08" w:rsidRDefault="00781B80" w:rsidP="00110ECD"/>
        </w:tc>
        <w:tc>
          <w:tcPr>
            <w:tcW w:w="4815" w:type="dxa"/>
          </w:tcPr>
          <w:p w14:paraId="1E81F383" w14:textId="05594C38" w:rsidR="00781B80" w:rsidRPr="001C4C08" w:rsidRDefault="00781B80" w:rsidP="00110ECD">
            <w:pPr>
              <w:rPr>
                <w:b/>
              </w:rPr>
            </w:pPr>
            <w:bookmarkStart w:id="167" w:name="lt_pId407"/>
            <w:r w:rsidRPr="001C4C08">
              <w:rPr>
                <w:b/>
              </w:rPr>
              <w:t>Com</w:t>
            </w:r>
            <w:r w:rsidR="00EA3D70" w:rsidRPr="001C4C08">
              <w:rPr>
                <w:b/>
              </w:rPr>
              <w:t>entario</w:t>
            </w:r>
            <w:bookmarkEnd w:id="167"/>
          </w:p>
        </w:tc>
      </w:tr>
      <w:tr w:rsidR="00781B80" w:rsidRPr="001C4C08" w14:paraId="11DF3ED0" w14:textId="77777777" w:rsidTr="00110ECD">
        <w:tc>
          <w:tcPr>
            <w:tcW w:w="4814" w:type="dxa"/>
          </w:tcPr>
          <w:p w14:paraId="7CBE84C3" w14:textId="10B9AEC6" w:rsidR="00781B80" w:rsidRPr="001C4C08" w:rsidRDefault="00781B80" w:rsidP="001C4C08">
            <w:pPr>
              <w:ind w:left="447" w:hanging="447"/>
            </w:pPr>
            <w:r w:rsidRPr="001C4C08">
              <w:t>2.7</w:t>
            </w:r>
            <w:r w:rsidR="001C4C08">
              <w:tab/>
            </w:r>
            <w:r w:rsidR="00EA3D70" w:rsidRPr="001C4C08">
              <w:t>Relación: Intercambio de tráfico entre dos países terminales, asociado siempre a un servicio específico cuando existe entre sus empresas de explotación autorizadas:</w:t>
            </w:r>
          </w:p>
        </w:tc>
        <w:tc>
          <w:tcPr>
            <w:tcW w:w="4815" w:type="dxa"/>
          </w:tcPr>
          <w:p w14:paraId="6AC7E669" w14:textId="3A13ECD8" w:rsidR="00781B80" w:rsidRPr="001C4C08" w:rsidRDefault="00EA3D70" w:rsidP="001C4C08">
            <w:pPr>
              <w:spacing w:after="120"/>
            </w:pPr>
            <w:r w:rsidRPr="001C4C08">
              <w:t>No sólo el término "relación" no se utiliza habitualmente en el sector de las telecomunicaciones, sino que su inclusión en el RTI carece de toda importancia. El intercambio de tráfico o pagos y similares entre empresas de explotación autorizadas se explica por sí mismo y no es necesario definirlo con más detalle con un nuevo término</w:t>
            </w:r>
            <w:bookmarkStart w:id="168" w:name="lt_pId411"/>
            <w:r w:rsidR="00781B80" w:rsidRPr="001C4C08">
              <w:t>.</w:t>
            </w:r>
            <w:bookmarkEnd w:id="168"/>
          </w:p>
        </w:tc>
      </w:tr>
    </w:tbl>
    <w:p w14:paraId="1717CE77" w14:textId="0A0B3540" w:rsidR="00781B80" w:rsidRPr="001C4C08" w:rsidRDefault="001943E1" w:rsidP="001943E1">
      <w:pPr>
        <w:spacing w:before="360" w:after="120"/>
        <w:ind w:left="562" w:hanging="562"/>
        <w:jc w:val="both"/>
        <w:rPr>
          <w:rFonts w:cs="Calibri"/>
          <w:bCs/>
        </w:rPr>
      </w:pPr>
      <w:bookmarkStart w:id="169" w:name="lt_pId412"/>
      <w:r w:rsidRPr="001C4C08">
        <w:rPr>
          <w:b/>
        </w:rPr>
        <w:t>C</w:t>
      </w:r>
      <w:r w:rsidR="00781B80" w:rsidRPr="001C4C08">
        <w:rPr>
          <w:b/>
        </w:rPr>
        <w:t>2:</w:t>
      </w:r>
      <w:bookmarkEnd w:id="169"/>
      <w:r w:rsidR="00781B80" w:rsidRPr="001C4C08">
        <w:rPr>
          <w:b/>
        </w:rPr>
        <w:tab/>
      </w:r>
      <w:bookmarkStart w:id="170" w:name="lt_pId414"/>
      <w:r w:rsidR="00781B80" w:rsidRPr="001C4C08">
        <w:rPr>
          <w:bCs/>
        </w:rPr>
        <w:t>¿Se ha topado con algún obstáculo como consecuencia de la aplicación del RTI de 2012?</w:t>
      </w:r>
    </w:p>
    <w:p w14:paraId="07586202" w14:textId="5D8A7867" w:rsidR="00781B80" w:rsidRPr="001C4C08" w:rsidRDefault="00781B80" w:rsidP="00781B80">
      <w:pPr>
        <w:spacing w:before="360" w:after="120"/>
        <w:ind w:left="426" w:hanging="426"/>
        <w:jc w:val="both"/>
        <w:rPr>
          <w:b/>
        </w:rPr>
      </w:pPr>
      <w:r w:rsidRPr="001C4C08">
        <w:rPr>
          <w:b/>
        </w:rPr>
        <w:t>Resp</w:t>
      </w:r>
      <w:r w:rsidR="0051107A" w:rsidRPr="001C4C08">
        <w:rPr>
          <w:b/>
        </w:rPr>
        <w:t>uesta</w:t>
      </w:r>
      <w:r w:rsidRPr="001C4C08">
        <w:rPr>
          <w:b/>
        </w:rPr>
        <w:t>:</w:t>
      </w:r>
      <w:bookmarkEnd w:id="170"/>
    </w:p>
    <w:p w14:paraId="64B491BC" w14:textId="4834D511" w:rsidR="00781B80" w:rsidRPr="001C4C08" w:rsidRDefault="0051107A" w:rsidP="00781B80">
      <w:pPr>
        <w:spacing w:after="240"/>
        <w:jc w:val="both"/>
      </w:pPr>
      <w:bookmarkStart w:id="171" w:name="lt_pId415"/>
      <w:r w:rsidRPr="001C4C08">
        <w:t>En la prestación de los servicios de telecomunicaciones internacionales, algunas partes interesadas han experimentado dificultades con algunos países que cobran tasas de terminación ligeramente más altas debido a la fiscalidad impuesta por el gobierno</w:t>
      </w:r>
      <w:r w:rsidR="00781B80" w:rsidRPr="001C4C08">
        <w:t>.</w:t>
      </w:r>
      <w:bookmarkEnd w:id="171"/>
    </w:p>
    <w:p w14:paraId="7E47BD2C" w14:textId="6EA34E99" w:rsidR="00781B80" w:rsidRPr="001C4C08" w:rsidRDefault="001943E1" w:rsidP="001943E1">
      <w:pPr>
        <w:spacing w:before="480" w:after="120"/>
        <w:ind w:left="562" w:hanging="562"/>
        <w:jc w:val="both"/>
        <w:rPr>
          <w:rFonts w:cs="Calibri"/>
          <w:bCs/>
        </w:rPr>
      </w:pPr>
      <w:bookmarkStart w:id="172" w:name="lt_pId416"/>
      <w:r w:rsidRPr="001C4C08">
        <w:rPr>
          <w:b/>
        </w:rPr>
        <w:t>C</w:t>
      </w:r>
      <w:r w:rsidR="00781B80" w:rsidRPr="001C4C08">
        <w:rPr>
          <w:b/>
        </w:rPr>
        <w:t>3:</w:t>
      </w:r>
      <w:bookmarkEnd w:id="172"/>
      <w:r w:rsidR="00781B80" w:rsidRPr="001C4C08">
        <w:t xml:space="preserve"> </w:t>
      </w:r>
      <w:r w:rsidR="00781B80" w:rsidRPr="001C4C08">
        <w:tab/>
      </w:r>
      <w:r w:rsidR="00781B80" w:rsidRPr="001C4C08">
        <w:rPr>
          <w:bCs/>
        </w:rPr>
        <w:t>¿Cree que el RTI de 2012 puede contribuir en gran medida a la rápida evolución del entorno de las telecomunicaciones internacionales, teniendo en cuenta la tecnología, los servicios y las obligaciones jurídicas multilaterales e internacionales vigentes, así como los cambios en el alcance de los regímenes reglamentarios nacionales?</w:t>
      </w:r>
    </w:p>
    <w:p w14:paraId="2131460F" w14:textId="5D9AAE45" w:rsidR="00781B80" w:rsidRPr="001C4C08" w:rsidRDefault="00781B80" w:rsidP="001C4C08">
      <w:pPr>
        <w:keepNext/>
        <w:keepLines/>
        <w:spacing w:before="240" w:after="240"/>
        <w:rPr>
          <w:b/>
        </w:rPr>
      </w:pPr>
      <w:bookmarkStart w:id="173" w:name="lt_pId418"/>
      <w:r w:rsidRPr="001C4C08">
        <w:rPr>
          <w:b/>
        </w:rPr>
        <w:lastRenderedPageBreak/>
        <w:t>Resp</w:t>
      </w:r>
      <w:r w:rsidR="0051107A" w:rsidRPr="001C4C08">
        <w:rPr>
          <w:b/>
        </w:rPr>
        <w:t>uesta</w:t>
      </w:r>
      <w:r w:rsidRPr="001C4C08">
        <w:rPr>
          <w:b/>
        </w:rPr>
        <w:t>:</w:t>
      </w:r>
      <w:bookmarkEnd w:id="173"/>
    </w:p>
    <w:p w14:paraId="7A5977B3" w14:textId="04F8FCB8" w:rsidR="00781B80" w:rsidRPr="001C4C08" w:rsidRDefault="001943E1" w:rsidP="001C4C08">
      <w:pPr>
        <w:pStyle w:val="enumlev1"/>
        <w:keepNext/>
        <w:keepLines/>
      </w:pPr>
      <w:bookmarkStart w:id="174" w:name="lt_pId420"/>
      <w:r w:rsidRPr="001C4C08">
        <w:t>•</w:t>
      </w:r>
      <w:r w:rsidRPr="001C4C08">
        <w:tab/>
      </w:r>
      <w:r w:rsidR="0051107A" w:rsidRPr="001C4C08">
        <w:t>El RTI de 2012 puede seguir desempeñando un papel importante en cuanto a su contribución al entorno de las telecomunicaciones que está evolucionando rápidamente, tanto a nivel nacional como internacional. Las disposiciones del RTI se utilizan como base para las reglamentaciones locales elaboradas por los Estados Miembros a fin de asegurar la armonización y la colaboración en la prestación de servicios internacionales</w:t>
      </w:r>
      <w:r w:rsidR="00781B80" w:rsidRPr="001C4C08">
        <w:t>.</w:t>
      </w:r>
      <w:bookmarkEnd w:id="174"/>
    </w:p>
    <w:p w14:paraId="55520E74" w14:textId="226005B6" w:rsidR="00781B80" w:rsidRPr="001C4C08" w:rsidRDefault="001943E1" w:rsidP="001943E1">
      <w:pPr>
        <w:pStyle w:val="enumlev1"/>
      </w:pPr>
      <w:bookmarkStart w:id="175" w:name="lt_pId421"/>
      <w:r w:rsidRPr="001C4C08">
        <w:t>•</w:t>
      </w:r>
      <w:r w:rsidRPr="001C4C08">
        <w:tab/>
      </w:r>
      <w:r w:rsidR="0051107A" w:rsidRPr="001C4C08">
        <w:t>El RTI de 2012 se centra en proporcionar orientación sobre los principios subyacentes que deben regir las telecomunicaciones en los Estados Miembros y, en el proceso de examen, el Grupo de Expertos no debe estipular normas detalladas en el RTI, según lo comunicado por otras partes interesadas, el RTI no debe restringir la libertad de comercio entre los operadores internacionales, ya que ello tendría un efecto negativo en la industria de las telecomunicaciones y, en última instancia, en los usuarios</w:t>
      </w:r>
      <w:r w:rsidR="00781B80" w:rsidRPr="001C4C08">
        <w:t>.</w:t>
      </w:r>
      <w:bookmarkEnd w:id="175"/>
    </w:p>
    <w:p w14:paraId="5A513D5E" w14:textId="037D5D5A" w:rsidR="00884546" w:rsidRPr="001C4C08" w:rsidRDefault="001943E1" w:rsidP="001943E1">
      <w:pPr>
        <w:pStyle w:val="enumlev1"/>
      </w:pPr>
      <w:bookmarkStart w:id="176" w:name="lt_pId422"/>
      <w:r w:rsidRPr="001C4C08">
        <w:t>•</w:t>
      </w:r>
      <w:r w:rsidRPr="001C4C08">
        <w:tab/>
      </w:r>
      <w:r w:rsidR="0051107A" w:rsidRPr="001C4C08">
        <w:t>El examen periódico de los RTI es crucial, y a medida que crece la industria de las comunicaciones electrónicas y se plantean nuevos problemas/desafíos en materia de desarrollo, los RTI deben revisarse para reflejar los cambios y proporcionar orientación sobre la forma de abordar esas cuestiones</w:t>
      </w:r>
      <w:r w:rsidR="00781B80" w:rsidRPr="001C4C08">
        <w:t>.</w:t>
      </w:r>
      <w:bookmarkEnd w:id="176"/>
    </w:p>
    <w:p w14:paraId="36599FC4" w14:textId="77777777" w:rsidR="00C42B2F" w:rsidRPr="001C4C08" w:rsidRDefault="00C42B2F" w:rsidP="001C4C08"/>
    <w:p w14:paraId="2752EB1C" w14:textId="77777777" w:rsidR="00C42B2F" w:rsidRDefault="00C42B2F">
      <w:pPr>
        <w:jc w:val="center"/>
      </w:pPr>
      <w:r w:rsidRPr="001C4C08">
        <w:t>______________</w:t>
      </w:r>
    </w:p>
    <w:sectPr w:rsidR="00C42B2F" w:rsidSect="00781B80">
      <w:headerReference w:type="default" r:id="rId9"/>
      <w:footerReference w:type="default" r:id="rId10"/>
      <w:footerReference w:type="first" r:id="rId11"/>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DDC31" w14:textId="77777777" w:rsidR="007A0147" w:rsidRDefault="007A0147">
      <w:r>
        <w:separator/>
      </w:r>
    </w:p>
  </w:endnote>
  <w:endnote w:type="continuationSeparator" w:id="0">
    <w:p w14:paraId="3253C40A" w14:textId="77777777" w:rsidR="007A0147" w:rsidRDefault="007A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FE39" w14:textId="46E560B1" w:rsidR="007A0147" w:rsidRDefault="00C72313" w:rsidP="000213E4">
    <w:pPr>
      <w:pStyle w:val="Footer"/>
    </w:pPr>
    <w:fldSimple w:instr=" FILENAME \p  \* MERGEFORMAT ">
      <w:r w:rsidR="007A0147">
        <w:t>P:\ESP\SG\CONSEIL\EG-ITR\EG-ITR-2\000\008S.docx</w:t>
      </w:r>
    </w:fldSimple>
    <w:r w:rsidR="007A0147">
      <w:t xml:space="preserve"> (467135)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4356" w14:textId="720B9D16" w:rsidR="007A0147" w:rsidRPr="006018B0" w:rsidRDefault="007A0147" w:rsidP="006018B0">
    <w:pPr>
      <w:pStyle w:val="Footer"/>
      <w:rPr>
        <w:lang w:val="en-US"/>
      </w:rPr>
    </w:pPr>
    <w:r w:rsidRPr="00D378F1">
      <w:rPr>
        <w:lang w:val="en-US"/>
      </w:rPr>
      <w:fldChar w:fldCharType="begin"/>
    </w:r>
    <w:r w:rsidRPr="00D378F1">
      <w:rPr>
        <w:lang w:val="en-US"/>
      </w:rPr>
      <w:instrText xml:space="preserve"> FILENAME \p  \* MERGEFORMAT </w:instrText>
    </w:r>
    <w:r w:rsidRPr="00D378F1">
      <w:rPr>
        <w:lang w:val="en-US"/>
      </w:rPr>
      <w:fldChar w:fldCharType="separate"/>
    </w:r>
    <w:r>
      <w:rPr>
        <w:lang w:val="en-US"/>
      </w:rPr>
      <w:t>P:\ESP\SG\CONSEIL\EG-ITR\EG-ITR-2\000\008S.docx</w:t>
    </w:r>
    <w:r w:rsidRPr="00D378F1">
      <w:rPr>
        <w:lang w:val="en-US"/>
      </w:rPr>
      <w:fldChar w:fldCharType="end"/>
    </w:r>
    <w:r w:rsidRPr="00D378F1">
      <w:rPr>
        <w:lang w:val="en-US"/>
      </w:rPr>
      <w:t xml:space="preserve"> (</w:t>
    </w:r>
    <w:r>
      <w:rPr>
        <w:lang w:val="en-US"/>
      </w:rPr>
      <w:t>467163</w:t>
    </w:r>
    <w:r w:rsidRPr="00D378F1">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41771" w14:textId="77777777" w:rsidR="007A0147" w:rsidRDefault="007A0147">
      <w:r>
        <w:t>____________________</w:t>
      </w:r>
    </w:p>
  </w:footnote>
  <w:footnote w:type="continuationSeparator" w:id="0">
    <w:p w14:paraId="7BE59CAE" w14:textId="77777777" w:rsidR="007A0147" w:rsidRDefault="007A0147">
      <w:r>
        <w:continuationSeparator/>
      </w:r>
    </w:p>
  </w:footnote>
  <w:footnote w:id="1">
    <w:p w14:paraId="340E8FAD" w14:textId="77777777" w:rsidR="007A0147" w:rsidRPr="00BE5776" w:rsidRDefault="007A0147" w:rsidP="00E41212">
      <w:pPr>
        <w:pStyle w:val="FootnoteText"/>
        <w:rPr>
          <w:lang w:val="es-ES"/>
        </w:rPr>
      </w:pPr>
      <w:r>
        <w:rPr>
          <w:rStyle w:val="FootnoteReference"/>
        </w:rPr>
        <w:footnoteRef/>
      </w:r>
      <w:r>
        <w:rPr>
          <w:lang w:val="es-ES"/>
        </w:rPr>
        <w:tab/>
      </w:r>
      <w:hyperlink r:id="rId1" w:history="1">
        <w:r w:rsidRPr="00BE5776">
          <w:rPr>
            <w:rStyle w:val="Hyperlink"/>
            <w:lang w:val="es-ES"/>
          </w:rPr>
          <w:t>https://www.itu.int/en/about/Pages/default.aspx</w:t>
        </w:r>
      </w:hyperlink>
      <w:r w:rsidRPr="00BE5776">
        <w:rPr>
          <w:lang w:val="es-ES"/>
        </w:rPr>
        <w:t xml:space="preserve"> </w:t>
      </w:r>
    </w:p>
  </w:footnote>
  <w:footnote w:id="2">
    <w:p w14:paraId="35EEC6A6" w14:textId="77777777" w:rsidR="007A0147" w:rsidRPr="00AD2708" w:rsidRDefault="007A0147" w:rsidP="004649AF">
      <w:pPr>
        <w:pStyle w:val="FootnoteText"/>
        <w:rPr>
          <w:lang w:val="es-ES"/>
        </w:rPr>
      </w:pPr>
      <w:r>
        <w:rPr>
          <w:rStyle w:val="FootnoteReference"/>
        </w:rPr>
        <w:t>*</w:t>
      </w:r>
      <w:r>
        <w:t xml:space="preserve"> </w:t>
      </w:r>
      <w:r>
        <w:tab/>
      </w:r>
      <w:r w:rsidRPr="00AD2708">
        <w:rPr>
          <w:lang w:val="es-ES"/>
        </w:rPr>
        <w:t>o empresa(s) privada(s) de explotación reconocida(s)</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67168"/>
      <w:docPartObj>
        <w:docPartGallery w:val="Page Numbers (Top of Page)"/>
        <w:docPartUnique/>
      </w:docPartObj>
    </w:sdtPr>
    <w:sdtEndPr>
      <w:rPr>
        <w:noProof/>
      </w:rPr>
    </w:sdtEndPr>
    <w:sdtContent>
      <w:p w14:paraId="7D13C98B" w14:textId="42E1895C" w:rsidR="007A0147" w:rsidRDefault="007A0147">
        <w:pPr>
          <w:pStyle w:val="Header"/>
        </w:pPr>
        <w:r>
          <w:fldChar w:fldCharType="begin"/>
        </w:r>
        <w:r>
          <w:instrText xml:space="preserve"> PAGE   \* MERGEFORMAT </w:instrText>
        </w:r>
        <w:r>
          <w:fldChar w:fldCharType="separate"/>
        </w:r>
        <w:r>
          <w:rPr>
            <w:noProof/>
          </w:rPr>
          <w:t>2</w:t>
        </w:r>
        <w:r>
          <w:rPr>
            <w:noProof/>
          </w:rPr>
          <w:fldChar w:fldCharType="end"/>
        </w:r>
      </w:p>
    </w:sdtContent>
  </w:sdt>
  <w:p w14:paraId="3771B9FD" w14:textId="068019FE" w:rsidR="007A0147" w:rsidRDefault="007A0147">
    <w:pPr>
      <w:pStyle w:val="Header"/>
    </w:pPr>
    <w:r>
      <w:rPr>
        <w:noProof/>
      </w:rPr>
      <w:t>EG-ITRs-2\8-S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028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614856A9"/>
    <w:multiLevelType w:val="hybridMultilevel"/>
    <w:tmpl w:val="CD76B076"/>
    <w:lvl w:ilvl="0" w:tplc="308CE3E6">
      <w:start w:val="1"/>
      <w:numFmt w:val="bullet"/>
      <w:lvlText w:val=""/>
      <w:lvlJc w:val="left"/>
      <w:pPr>
        <w:ind w:left="720" w:hanging="360"/>
      </w:pPr>
      <w:rPr>
        <w:rFonts w:ascii="Symbol" w:hAnsi="Symbol" w:hint="default"/>
      </w:rPr>
    </w:lvl>
    <w:lvl w:ilvl="1" w:tplc="8E980874" w:tentative="1">
      <w:start w:val="1"/>
      <w:numFmt w:val="bullet"/>
      <w:lvlText w:val="o"/>
      <w:lvlJc w:val="left"/>
      <w:pPr>
        <w:ind w:left="1440" w:hanging="360"/>
      </w:pPr>
      <w:rPr>
        <w:rFonts w:ascii="Courier New" w:hAnsi="Courier New" w:cs="Courier New" w:hint="default"/>
      </w:rPr>
    </w:lvl>
    <w:lvl w:ilvl="2" w:tplc="920408C0" w:tentative="1">
      <w:start w:val="1"/>
      <w:numFmt w:val="bullet"/>
      <w:lvlText w:val=""/>
      <w:lvlJc w:val="left"/>
      <w:pPr>
        <w:ind w:left="2160" w:hanging="360"/>
      </w:pPr>
      <w:rPr>
        <w:rFonts w:ascii="Wingdings" w:hAnsi="Wingdings" w:hint="default"/>
      </w:rPr>
    </w:lvl>
    <w:lvl w:ilvl="3" w:tplc="20361568" w:tentative="1">
      <w:start w:val="1"/>
      <w:numFmt w:val="bullet"/>
      <w:lvlText w:val=""/>
      <w:lvlJc w:val="left"/>
      <w:pPr>
        <w:ind w:left="2880" w:hanging="360"/>
      </w:pPr>
      <w:rPr>
        <w:rFonts w:ascii="Symbol" w:hAnsi="Symbol" w:hint="default"/>
      </w:rPr>
    </w:lvl>
    <w:lvl w:ilvl="4" w:tplc="844CC98A" w:tentative="1">
      <w:start w:val="1"/>
      <w:numFmt w:val="bullet"/>
      <w:lvlText w:val="o"/>
      <w:lvlJc w:val="left"/>
      <w:pPr>
        <w:ind w:left="3600" w:hanging="360"/>
      </w:pPr>
      <w:rPr>
        <w:rFonts w:ascii="Courier New" w:hAnsi="Courier New" w:cs="Courier New" w:hint="default"/>
      </w:rPr>
    </w:lvl>
    <w:lvl w:ilvl="5" w:tplc="29367F8C" w:tentative="1">
      <w:start w:val="1"/>
      <w:numFmt w:val="bullet"/>
      <w:lvlText w:val=""/>
      <w:lvlJc w:val="left"/>
      <w:pPr>
        <w:ind w:left="4320" w:hanging="360"/>
      </w:pPr>
      <w:rPr>
        <w:rFonts w:ascii="Wingdings" w:hAnsi="Wingdings" w:hint="default"/>
      </w:rPr>
    </w:lvl>
    <w:lvl w:ilvl="6" w:tplc="93EE9330" w:tentative="1">
      <w:start w:val="1"/>
      <w:numFmt w:val="bullet"/>
      <w:lvlText w:val=""/>
      <w:lvlJc w:val="left"/>
      <w:pPr>
        <w:ind w:left="5040" w:hanging="360"/>
      </w:pPr>
      <w:rPr>
        <w:rFonts w:ascii="Symbol" w:hAnsi="Symbol" w:hint="default"/>
      </w:rPr>
    </w:lvl>
    <w:lvl w:ilvl="7" w:tplc="351A9004" w:tentative="1">
      <w:start w:val="1"/>
      <w:numFmt w:val="bullet"/>
      <w:lvlText w:val="o"/>
      <w:lvlJc w:val="left"/>
      <w:pPr>
        <w:ind w:left="5760" w:hanging="360"/>
      </w:pPr>
      <w:rPr>
        <w:rFonts w:ascii="Courier New" w:hAnsi="Courier New" w:cs="Courier New" w:hint="default"/>
      </w:rPr>
    </w:lvl>
    <w:lvl w:ilvl="8" w:tplc="7CA441FA" w:tentative="1">
      <w:start w:val="1"/>
      <w:numFmt w:val="bullet"/>
      <w:lvlText w:val=""/>
      <w:lvlJc w:val="left"/>
      <w:pPr>
        <w:ind w:left="6480" w:hanging="360"/>
      </w:pPr>
      <w:rPr>
        <w:rFonts w:ascii="Wingdings" w:hAnsi="Wingdings" w:hint="default"/>
      </w:rPr>
    </w:lvl>
  </w:abstractNum>
  <w:abstractNum w:abstractNumId="2" w15:restartNumberingAfterBreak="0">
    <w:nsid w:val="691B7992"/>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66"/>
    <w:rsid w:val="000022FD"/>
    <w:rsid w:val="00012E27"/>
    <w:rsid w:val="000213E4"/>
    <w:rsid w:val="00025D06"/>
    <w:rsid w:val="00026705"/>
    <w:rsid w:val="00026F40"/>
    <w:rsid w:val="00057E10"/>
    <w:rsid w:val="0006643E"/>
    <w:rsid w:val="00093EEB"/>
    <w:rsid w:val="000B0D00"/>
    <w:rsid w:val="000B7C15"/>
    <w:rsid w:val="000C449B"/>
    <w:rsid w:val="000D1D0F"/>
    <w:rsid w:val="000F5290"/>
    <w:rsid w:val="000F761E"/>
    <w:rsid w:val="0010165C"/>
    <w:rsid w:val="00110ECD"/>
    <w:rsid w:val="00121365"/>
    <w:rsid w:val="001304D3"/>
    <w:rsid w:val="00132DA1"/>
    <w:rsid w:val="00146BFB"/>
    <w:rsid w:val="00151AF4"/>
    <w:rsid w:val="00153D3D"/>
    <w:rsid w:val="001814D0"/>
    <w:rsid w:val="00181FE6"/>
    <w:rsid w:val="001943E1"/>
    <w:rsid w:val="001B446D"/>
    <w:rsid w:val="001C4C08"/>
    <w:rsid w:val="001F143F"/>
    <w:rsid w:val="001F14A2"/>
    <w:rsid w:val="001F3F6B"/>
    <w:rsid w:val="001F60AD"/>
    <w:rsid w:val="002249E4"/>
    <w:rsid w:val="00231436"/>
    <w:rsid w:val="0027089C"/>
    <w:rsid w:val="002801AA"/>
    <w:rsid w:val="00293D1B"/>
    <w:rsid w:val="002A2ED9"/>
    <w:rsid w:val="002C4676"/>
    <w:rsid w:val="002C70B0"/>
    <w:rsid w:val="002F3CC4"/>
    <w:rsid w:val="003700C5"/>
    <w:rsid w:val="003916DF"/>
    <w:rsid w:val="003C63A2"/>
    <w:rsid w:val="003E71C4"/>
    <w:rsid w:val="003F54CC"/>
    <w:rsid w:val="00457218"/>
    <w:rsid w:val="004649AF"/>
    <w:rsid w:val="004D55EF"/>
    <w:rsid w:val="0051107A"/>
    <w:rsid w:val="00513630"/>
    <w:rsid w:val="005262CD"/>
    <w:rsid w:val="00560125"/>
    <w:rsid w:val="00585553"/>
    <w:rsid w:val="00587820"/>
    <w:rsid w:val="005B34D9"/>
    <w:rsid w:val="005D0CCF"/>
    <w:rsid w:val="005D52EA"/>
    <w:rsid w:val="005F410F"/>
    <w:rsid w:val="0060149A"/>
    <w:rsid w:val="006018B0"/>
    <w:rsid w:val="00601924"/>
    <w:rsid w:val="0062570D"/>
    <w:rsid w:val="006277F4"/>
    <w:rsid w:val="006441C7"/>
    <w:rsid w:val="00644509"/>
    <w:rsid w:val="006447EA"/>
    <w:rsid w:val="0064731F"/>
    <w:rsid w:val="00654220"/>
    <w:rsid w:val="0066535D"/>
    <w:rsid w:val="006710F6"/>
    <w:rsid w:val="0067129F"/>
    <w:rsid w:val="006803BE"/>
    <w:rsid w:val="00687355"/>
    <w:rsid w:val="006C1B56"/>
    <w:rsid w:val="006C2C79"/>
    <w:rsid w:val="006D077E"/>
    <w:rsid w:val="006D4761"/>
    <w:rsid w:val="006F421F"/>
    <w:rsid w:val="00726872"/>
    <w:rsid w:val="00734EF2"/>
    <w:rsid w:val="00760F1C"/>
    <w:rsid w:val="007657F0"/>
    <w:rsid w:val="0077252D"/>
    <w:rsid w:val="00781B80"/>
    <w:rsid w:val="007964A2"/>
    <w:rsid w:val="00797D1A"/>
    <w:rsid w:val="007A0147"/>
    <w:rsid w:val="007E5DD3"/>
    <w:rsid w:val="007F350B"/>
    <w:rsid w:val="00820BE4"/>
    <w:rsid w:val="00841D46"/>
    <w:rsid w:val="008451E8"/>
    <w:rsid w:val="0085057C"/>
    <w:rsid w:val="00884546"/>
    <w:rsid w:val="008854C2"/>
    <w:rsid w:val="008D0F84"/>
    <w:rsid w:val="00913B9C"/>
    <w:rsid w:val="00927922"/>
    <w:rsid w:val="00930A2B"/>
    <w:rsid w:val="00956E77"/>
    <w:rsid w:val="009C2AA1"/>
    <w:rsid w:val="009D2B30"/>
    <w:rsid w:val="00A21A2E"/>
    <w:rsid w:val="00A43565"/>
    <w:rsid w:val="00A438A4"/>
    <w:rsid w:val="00AA390C"/>
    <w:rsid w:val="00AC27CA"/>
    <w:rsid w:val="00AD2708"/>
    <w:rsid w:val="00AE1145"/>
    <w:rsid w:val="00AE6A66"/>
    <w:rsid w:val="00AE7C68"/>
    <w:rsid w:val="00B0200A"/>
    <w:rsid w:val="00B10108"/>
    <w:rsid w:val="00B54F00"/>
    <w:rsid w:val="00B574DB"/>
    <w:rsid w:val="00B76F8E"/>
    <w:rsid w:val="00B826C2"/>
    <w:rsid w:val="00B8298E"/>
    <w:rsid w:val="00B834C2"/>
    <w:rsid w:val="00BA4764"/>
    <w:rsid w:val="00BC3FFA"/>
    <w:rsid w:val="00BD0723"/>
    <w:rsid w:val="00BD2518"/>
    <w:rsid w:val="00BE1EAA"/>
    <w:rsid w:val="00BF1D1C"/>
    <w:rsid w:val="00C20C59"/>
    <w:rsid w:val="00C3630F"/>
    <w:rsid w:val="00C42B2F"/>
    <w:rsid w:val="00C55B1F"/>
    <w:rsid w:val="00C72313"/>
    <w:rsid w:val="00C85B97"/>
    <w:rsid w:val="00CC6A3B"/>
    <w:rsid w:val="00CE0A8C"/>
    <w:rsid w:val="00CE0D79"/>
    <w:rsid w:val="00CF1A67"/>
    <w:rsid w:val="00D2750E"/>
    <w:rsid w:val="00D3074A"/>
    <w:rsid w:val="00D378F1"/>
    <w:rsid w:val="00D62446"/>
    <w:rsid w:val="00D63F75"/>
    <w:rsid w:val="00D92832"/>
    <w:rsid w:val="00DA4EA2"/>
    <w:rsid w:val="00DB74E7"/>
    <w:rsid w:val="00DC3D3E"/>
    <w:rsid w:val="00DC47DA"/>
    <w:rsid w:val="00DE2C90"/>
    <w:rsid w:val="00DE3B24"/>
    <w:rsid w:val="00E06947"/>
    <w:rsid w:val="00E3592D"/>
    <w:rsid w:val="00E41212"/>
    <w:rsid w:val="00E549B0"/>
    <w:rsid w:val="00E617CB"/>
    <w:rsid w:val="00E67211"/>
    <w:rsid w:val="00E9121E"/>
    <w:rsid w:val="00E92DE8"/>
    <w:rsid w:val="00EA3D70"/>
    <w:rsid w:val="00EB1212"/>
    <w:rsid w:val="00ED65AB"/>
    <w:rsid w:val="00EF2E1F"/>
    <w:rsid w:val="00F12850"/>
    <w:rsid w:val="00F13C7F"/>
    <w:rsid w:val="00F33BF4"/>
    <w:rsid w:val="00F3677F"/>
    <w:rsid w:val="00F45CD6"/>
    <w:rsid w:val="00F6203A"/>
    <w:rsid w:val="00F70229"/>
    <w:rsid w:val="00F7105E"/>
    <w:rsid w:val="00F75F57"/>
    <w:rsid w:val="00F82FEE"/>
    <w:rsid w:val="00FA7D0A"/>
    <w:rsid w:val="00FC4FA1"/>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4E8A012"/>
  <w15:docId w15:val="{863DF798-C55D-45CD-95B6-259559E9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0B0D00"/>
    <w:rPr>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916DF"/>
    <w:pPr>
      <w:keepNext/>
      <w:spacing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uiPriority w:val="39"/>
    <w:rsid w:val="00AE6A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AE6A66"/>
    <w:rPr>
      <w:rFonts w:ascii="Calibri" w:hAnsi="Calibri"/>
      <w:sz w:val="24"/>
      <w:lang w:val="es-ES_tradnl" w:eastAsia="en-US"/>
    </w:rPr>
  </w:style>
  <w:style w:type="character" w:customStyle="1" w:styleId="NormalaftertitleChar">
    <w:name w:val="Normal after title Char"/>
    <w:basedOn w:val="DefaultParagraphFont"/>
    <w:link w:val="Normalaftertitle"/>
    <w:rsid w:val="00BC3FFA"/>
    <w:rPr>
      <w:rFonts w:ascii="Calibri" w:hAnsi="Calibri"/>
      <w:sz w:val="24"/>
      <w:lang w:val="es-ES_tradnl" w:eastAsia="en-US"/>
    </w:rPr>
  </w:style>
  <w:style w:type="paragraph" w:styleId="ListParagraph">
    <w:name w:val="List Paragraph"/>
    <w:basedOn w:val="Normal"/>
    <w:uiPriority w:val="34"/>
    <w:qFormat/>
    <w:rsid w:val="00BC3FF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BC3FFA"/>
    <w:rPr>
      <w:rFonts w:ascii="Calibri" w:hAnsi="Calibri"/>
      <w:sz w:val="24"/>
      <w:lang w:val="es-ES_tradnl" w:eastAsia="en-US"/>
    </w:rPr>
  </w:style>
  <w:style w:type="character" w:styleId="UnresolvedMention">
    <w:name w:val="Unresolved Mention"/>
    <w:basedOn w:val="DefaultParagraphFont"/>
    <w:uiPriority w:val="99"/>
    <w:semiHidden/>
    <w:unhideWhenUsed/>
    <w:rsid w:val="000022FD"/>
    <w:rPr>
      <w:color w:val="605E5C"/>
      <w:shd w:val="clear" w:color="auto" w:fill="E1DFDD"/>
    </w:rPr>
  </w:style>
  <w:style w:type="character" w:customStyle="1" w:styleId="AnnexNoChar">
    <w:name w:val="Annex_No Char"/>
    <w:basedOn w:val="DefaultParagraphFont"/>
    <w:link w:val="AnnexNo"/>
    <w:rsid w:val="00781B80"/>
    <w:rPr>
      <w:rFonts w:ascii="Calibri" w:hAnsi="Calibri"/>
      <w:caps/>
      <w:sz w:val="28"/>
      <w:lang w:val="es-ES_tradnl" w:eastAsia="en-US"/>
    </w:rPr>
  </w:style>
  <w:style w:type="character" w:customStyle="1" w:styleId="AnnextitleChar">
    <w:name w:val="Annex_title Char"/>
    <w:basedOn w:val="DefaultParagraphFont"/>
    <w:link w:val="Annextitle"/>
    <w:rsid w:val="00781B80"/>
    <w:rPr>
      <w:rFonts w:ascii="Calibri" w:hAnsi="Calibri"/>
      <w:b/>
      <w:sz w:val="28"/>
      <w:lang w:val="es-ES_tradnl" w:eastAsia="en-US"/>
    </w:rPr>
  </w:style>
  <w:style w:type="table" w:customStyle="1" w:styleId="TableGrid1">
    <w:name w:val="Table Grid1"/>
    <w:basedOn w:val="TableNormal"/>
    <w:next w:val="TableGrid"/>
    <w:uiPriority w:val="39"/>
    <w:rsid w:val="00781B80"/>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3E4"/>
    <w:rPr>
      <w:rFonts w:ascii="Calibri" w:hAnsi="Calibri"/>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about/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95D9E-DA0C-4201-B7B3-F12F4044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60</TotalTime>
  <Pages>16</Pages>
  <Words>5971</Words>
  <Characters>34948</Characters>
  <Application>Microsoft Office Word</Application>
  <DocSecurity>0</DocSecurity>
  <Lines>291</Lines>
  <Paragraphs>81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40838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Spanish83</dc:creator>
  <cp:keywords>C2010, C10</cp:keywords>
  <dc:description>Documento C17/-S  Para: _x000d_Fecha del documento: enero de 2017_x000d_Registrado por ITU51009317 a 15:32:38 el 06/04/2017</dc:description>
  <cp:lastModifiedBy>Spanish1</cp:lastModifiedBy>
  <cp:revision>16</cp:revision>
  <cp:lastPrinted>2020-02-11T16:37:00Z</cp:lastPrinted>
  <dcterms:created xsi:type="dcterms:W3CDTF">2020-02-11T16:14:00Z</dcterms:created>
  <dcterms:modified xsi:type="dcterms:W3CDTF">2020-02-11T17:26:00Z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