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862C7" w:rsidRPr="00205911" w14:paraId="641F7708" w14:textId="77777777" w:rsidTr="00F80652">
        <w:trPr>
          <w:cantSplit/>
        </w:trPr>
        <w:tc>
          <w:tcPr>
            <w:tcW w:w="6911" w:type="dxa"/>
          </w:tcPr>
          <w:p w14:paraId="6645C34E" w14:textId="77777777" w:rsidR="009862C7" w:rsidRPr="00205911" w:rsidRDefault="009862C7" w:rsidP="00F80652">
            <w:pPr>
              <w:spacing w:before="360" w:after="48"/>
              <w:rPr>
                <w:position w:val="6"/>
                <w:lang w:eastAsia="zh-CN"/>
              </w:rPr>
            </w:pPr>
            <w:bookmarkStart w:id="0" w:name="lt_pId012"/>
            <w:r w:rsidRPr="00205911">
              <w:rPr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>
              <w:rPr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1D626DEA" w14:textId="77777777" w:rsidR="009862C7" w:rsidRPr="00205911" w:rsidRDefault="009862C7" w:rsidP="00F80652">
            <w:pPr>
              <w:spacing w:before="0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C94DCEB" wp14:editId="45EBC95C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2C7" w:rsidRPr="00205911" w14:paraId="0DADC42B" w14:textId="77777777" w:rsidTr="00F8065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26639F" w14:textId="77777777" w:rsidR="009862C7" w:rsidRPr="00205911" w:rsidRDefault="009862C7" w:rsidP="009862C7">
            <w:pPr>
              <w:spacing w:before="0"/>
              <w:rPr>
                <w:b/>
                <w:smallCaps/>
                <w:szCs w:val="24"/>
                <w:lang w:eastAsia="zh-CN"/>
              </w:rPr>
            </w:pPr>
            <w:r w:rsidRPr="00205911">
              <w:rPr>
                <w:rFonts w:hint="eastAsia"/>
                <w:b/>
                <w:smallCaps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二</w:t>
            </w:r>
            <w:r w:rsidRPr="00205911">
              <w:rPr>
                <w:rFonts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b/>
                <w:smallCaps/>
                <w:szCs w:val="24"/>
                <w:lang w:eastAsia="zh-CN"/>
              </w:rPr>
              <w:t>– 20</w:t>
            </w:r>
            <w:r>
              <w:rPr>
                <w:b/>
                <w:smallCaps/>
                <w:szCs w:val="24"/>
                <w:lang w:eastAsia="zh-CN"/>
              </w:rPr>
              <w:t>20</w:t>
            </w:r>
            <w:r w:rsidRPr="00205911">
              <w:rPr>
                <w:b/>
                <w:smallCap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2</w:t>
            </w:r>
            <w:r w:rsidRPr="00205911">
              <w:rPr>
                <w:b/>
                <w:smallCaps/>
                <w:szCs w:val="24"/>
                <w:lang w:eastAsia="zh-CN"/>
              </w:rPr>
              <w:t>月</w:t>
            </w:r>
            <w:r w:rsidRPr="00205911">
              <w:rPr>
                <w:b/>
                <w:smallCaps/>
                <w:szCs w:val="24"/>
                <w:lang w:eastAsia="zh-CN"/>
              </w:rPr>
              <w:t>1</w:t>
            </w:r>
            <w:r>
              <w:rPr>
                <w:b/>
                <w:smallCaps/>
                <w:szCs w:val="24"/>
                <w:lang w:eastAsia="zh-CN"/>
              </w:rPr>
              <w:t>2</w:t>
            </w:r>
            <w:r w:rsidRPr="00205911">
              <w:rPr>
                <w:b/>
                <w:smallCaps/>
                <w:szCs w:val="24"/>
                <w:lang w:eastAsia="zh-CN"/>
              </w:rPr>
              <w:t>-1</w:t>
            </w:r>
            <w:r>
              <w:rPr>
                <w:b/>
                <w:smallCaps/>
                <w:szCs w:val="24"/>
                <w:lang w:eastAsia="zh-CN"/>
              </w:rPr>
              <w:t>3</w:t>
            </w:r>
            <w:r w:rsidRPr="00205911">
              <w:rPr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9C88BF3" w14:textId="77777777" w:rsidR="009862C7" w:rsidRPr="00205911" w:rsidRDefault="009862C7" w:rsidP="00F80652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862C7" w:rsidRPr="00205911" w14:paraId="42E7DE06" w14:textId="77777777" w:rsidTr="00F8065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E4B65C2" w14:textId="77777777" w:rsidR="009862C7" w:rsidRPr="00205911" w:rsidRDefault="009862C7" w:rsidP="00F80652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D8BAFE7" w14:textId="77777777" w:rsidR="009862C7" w:rsidRPr="00205911" w:rsidRDefault="009862C7" w:rsidP="00F80652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862C7" w:rsidRPr="00205911" w14:paraId="320BF857" w14:textId="77777777" w:rsidTr="00F80652">
        <w:trPr>
          <w:cantSplit/>
          <w:trHeight w:val="23"/>
        </w:trPr>
        <w:tc>
          <w:tcPr>
            <w:tcW w:w="6911" w:type="dxa"/>
            <w:vMerge w:val="restart"/>
          </w:tcPr>
          <w:p w14:paraId="543D735B" w14:textId="77777777" w:rsidR="009862C7" w:rsidRPr="00205911" w:rsidRDefault="009862C7" w:rsidP="00F80652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547F4878" w14:textId="77777777" w:rsidR="009862C7" w:rsidRPr="00486526" w:rsidRDefault="009862C7" w:rsidP="00F80652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205911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55EEC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Pr="00FD687B">
              <w:rPr>
                <w:rFonts w:eastAsia="Calibri" w:cs="Calibri"/>
                <w:b/>
                <w:bCs/>
                <w:color w:val="000000"/>
                <w:szCs w:val="24"/>
                <w:lang w:val="en-US" w:eastAsia="zh-CN"/>
              </w:rPr>
              <w:t>EG-ITRs-</w:t>
            </w:r>
            <w:r>
              <w:rPr>
                <w:rFonts w:eastAsia="Calibri" w:cs="Calibri"/>
                <w:b/>
                <w:bCs/>
                <w:color w:val="000000"/>
                <w:szCs w:val="24"/>
                <w:lang w:val="en-US" w:eastAsia="zh-CN"/>
              </w:rPr>
              <w:t>2</w:t>
            </w:r>
            <w:r w:rsidRPr="00FD687B">
              <w:rPr>
                <w:rFonts w:eastAsia="Calibri" w:cs="Calibri"/>
                <w:b/>
                <w:bCs/>
                <w:color w:val="000000"/>
                <w:szCs w:val="24"/>
                <w:lang w:val="en-US" w:eastAsia="zh-CN"/>
              </w:rPr>
              <w:t>/</w:t>
            </w:r>
            <w:r>
              <w:rPr>
                <w:rFonts w:eastAsia="Calibri" w:cs="Calibri"/>
                <w:b/>
                <w:bCs/>
                <w:color w:val="000000"/>
                <w:szCs w:val="24"/>
                <w:lang w:val="en-US" w:eastAsia="zh-CN"/>
              </w:rPr>
              <w:t>7</w:t>
            </w:r>
            <w:r w:rsidRPr="00FD687B">
              <w:rPr>
                <w:rFonts w:eastAsia="Calibri" w:cs="Calibri"/>
                <w:b/>
                <w:bCs/>
                <w:color w:val="000000"/>
                <w:szCs w:val="24"/>
                <w:lang w:val="en-US" w:eastAsia="zh-CN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2"/>
      <w:tr w:rsidR="009862C7" w:rsidRPr="00205911" w14:paraId="649F98FA" w14:textId="77777777" w:rsidTr="00F80652">
        <w:trPr>
          <w:cantSplit/>
          <w:trHeight w:val="23"/>
        </w:trPr>
        <w:tc>
          <w:tcPr>
            <w:tcW w:w="6911" w:type="dxa"/>
            <w:vMerge/>
          </w:tcPr>
          <w:p w14:paraId="1042E5CB" w14:textId="77777777" w:rsidR="009862C7" w:rsidRPr="00205911" w:rsidRDefault="009862C7" w:rsidP="00F80652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1765B75" w14:textId="77777777" w:rsidR="009862C7" w:rsidRPr="00205911" w:rsidRDefault="009862C7" w:rsidP="00F80652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20591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205911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b/>
                <w:bCs/>
                <w:szCs w:val="24"/>
                <w:lang w:eastAsia="zh-CN"/>
              </w:rPr>
              <w:t>28</w:t>
            </w:r>
            <w:r w:rsidRPr="00205911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9862C7" w:rsidRPr="00205911" w14:paraId="3A10ED95" w14:textId="77777777" w:rsidTr="00F80652">
        <w:trPr>
          <w:cantSplit/>
          <w:trHeight w:val="23"/>
        </w:trPr>
        <w:tc>
          <w:tcPr>
            <w:tcW w:w="6911" w:type="dxa"/>
            <w:vMerge/>
          </w:tcPr>
          <w:p w14:paraId="59BCAA3A" w14:textId="77777777" w:rsidR="009862C7" w:rsidRPr="00205911" w:rsidRDefault="009862C7" w:rsidP="00F80652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5DB5321" w14:textId="77777777" w:rsidR="009862C7" w:rsidRPr="00205911" w:rsidRDefault="009862C7" w:rsidP="00F80652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英文</w:t>
            </w:r>
          </w:p>
        </w:tc>
      </w:tr>
      <w:tr w:rsidR="009862C7" w:rsidRPr="00697B68" w14:paraId="2DE385E8" w14:textId="77777777" w:rsidTr="00F80652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5" w:type="dxa"/>
              <w:tblLayout w:type="fixed"/>
              <w:tblLook w:val="04A0" w:firstRow="1" w:lastRow="0" w:firstColumn="1" w:lastColumn="0" w:noHBand="0" w:noVBand="1"/>
            </w:tblPr>
            <w:tblGrid>
              <w:gridCol w:w="10035"/>
            </w:tblGrid>
            <w:tr w:rsidR="009862C7" w:rsidRPr="00697B68" w14:paraId="2E62F5F3" w14:textId="77777777" w:rsidTr="00F80652">
              <w:trPr>
                <w:cantSplit/>
              </w:trPr>
              <w:tc>
                <w:tcPr>
                  <w:tcW w:w="10031" w:type="dxa"/>
                  <w:hideMark/>
                </w:tcPr>
                <w:p w14:paraId="6415AB8C" w14:textId="77777777" w:rsidR="009862C7" w:rsidRPr="00697B68" w:rsidRDefault="009862C7" w:rsidP="00F80652">
                  <w:pPr>
                    <w:pStyle w:val="Source"/>
                    <w:rPr>
                      <w:szCs w:val="22"/>
                      <w:lang w:val="ru-RU" w:eastAsia="zh-CN"/>
                    </w:rPr>
                  </w:pPr>
                  <w:bookmarkStart w:id="3" w:name="lt_pId010"/>
                  <w:r w:rsidRPr="00A02EEE">
                    <w:rPr>
                      <w:rFonts w:asciiTheme="minorHAnsi" w:hAnsiTheme="minorHAnsi" w:cstheme="minorHAnsi" w:hint="eastAsia"/>
                      <w:lang w:val="en-US" w:eastAsia="zh-CN"/>
                    </w:rPr>
                    <w:t>澳大利亚、加拿大和美国</w:t>
                  </w:r>
                  <w:bookmarkEnd w:id="3"/>
                </w:p>
              </w:tc>
            </w:tr>
            <w:tr w:rsidR="009862C7" w:rsidRPr="00831A04" w14:paraId="0D3E7424" w14:textId="77777777" w:rsidTr="00F80652">
              <w:trPr>
                <w:cantSplit/>
              </w:trPr>
              <w:tc>
                <w:tcPr>
                  <w:tcW w:w="10031" w:type="dxa"/>
                  <w:hideMark/>
                </w:tcPr>
                <w:p w14:paraId="258227D2" w14:textId="77777777" w:rsidR="009862C7" w:rsidRPr="0067202D" w:rsidRDefault="009862C7" w:rsidP="00F80652">
                  <w:pPr>
                    <w:pStyle w:val="Title1"/>
                    <w:rPr>
                      <w:bCs/>
                      <w:szCs w:val="22"/>
                      <w:lang w:val="ru-RU" w:eastAsia="zh-CN"/>
                    </w:rPr>
                  </w:pPr>
                  <w:r w:rsidRPr="00A02EEE">
                    <w:rPr>
                      <w:rFonts w:asciiTheme="minorHAnsi" w:hAnsiTheme="minorHAnsi" w:cstheme="minorHAnsi" w:hint="eastAsia"/>
                      <w:bCs/>
                      <w:lang w:val="en-US" w:eastAsia="zh-CN"/>
                    </w:rPr>
                    <w:t>有关逐条审议</w:t>
                  </w:r>
                  <w:r w:rsidRPr="00A02EEE">
                    <w:rPr>
                      <w:rFonts w:asciiTheme="minorHAnsi" w:hAnsiTheme="minorHAnsi" w:cstheme="minorHAnsi" w:hint="eastAsia"/>
                      <w:bCs/>
                      <w:lang w:val="en-US" w:eastAsia="zh-CN"/>
                    </w:rPr>
                    <w:t>2012</w:t>
                  </w:r>
                  <w:r w:rsidRPr="00A02EEE">
                    <w:rPr>
                      <w:rFonts w:asciiTheme="minorHAnsi" w:hAnsiTheme="minorHAnsi" w:cstheme="minorHAnsi" w:hint="eastAsia"/>
                      <w:bCs/>
                      <w:lang w:val="en-US" w:eastAsia="zh-CN"/>
                    </w:rPr>
                    <w:t>年《国际电信规则》的看法</w:t>
                  </w:r>
                </w:p>
              </w:tc>
            </w:tr>
          </w:tbl>
          <w:p w14:paraId="2FFA3C2E" w14:textId="77777777" w:rsidR="009862C7" w:rsidRPr="00697B68" w:rsidRDefault="009862C7" w:rsidP="00F80652">
            <w:pPr>
              <w:pStyle w:val="Title1"/>
              <w:rPr>
                <w:lang w:val="ru-RU" w:eastAsia="zh-CN"/>
              </w:rPr>
            </w:pPr>
          </w:p>
        </w:tc>
      </w:tr>
    </w:tbl>
    <w:p w14:paraId="43582EE1" w14:textId="0CBB2EF7" w:rsidR="00BA5DD5" w:rsidRPr="009862C7" w:rsidRDefault="00D055C1" w:rsidP="009862C7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ascii="Times New Roman" w:eastAsiaTheme="minorEastAsia" w:hAnsi="Times New Roman"/>
          <w:bCs/>
          <w:lang w:eastAsia="zh-CN"/>
        </w:rPr>
      </w:pPr>
      <w:r w:rsidRPr="009862C7">
        <w:rPr>
          <w:rFonts w:ascii="Times New Roman" w:eastAsiaTheme="minorEastAsia" w:hAnsi="Times New Roman" w:hint="eastAsia"/>
          <w:bCs/>
          <w:lang w:eastAsia="zh-CN"/>
        </w:rPr>
        <w:t>引言</w:t>
      </w:r>
      <w:bookmarkEnd w:id="0"/>
    </w:p>
    <w:p w14:paraId="290B3CCA" w14:textId="54052950" w:rsidR="00BA5DD5" w:rsidRPr="00C44489" w:rsidRDefault="00C06256" w:rsidP="009862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firstLineChars="200" w:firstLine="480"/>
        <w:jc w:val="both"/>
        <w:rPr>
          <w:lang w:eastAsia="zh-CN"/>
        </w:rPr>
      </w:pPr>
      <w:bookmarkStart w:id="4" w:name="lt_pId013"/>
      <w:r w:rsidRPr="00C06256">
        <w:rPr>
          <w:rFonts w:hint="eastAsia"/>
          <w:lang w:eastAsia="zh-CN"/>
        </w:rPr>
        <w:t>根据</w:t>
      </w:r>
      <w:bookmarkStart w:id="5" w:name="_Hlk31198070"/>
      <w:r>
        <w:rPr>
          <w:rFonts w:hint="eastAsia"/>
          <w:lang w:eastAsia="zh-CN"/>
        </w:rPr>
        <w:t>《</w:t>
      </w:r>
      <w:r w:rsidRPr="00C06256">
        <w:rPr>
          <w:rFonts w:hint="eastAsia"/>
          <w:lang w:eastAsia="zh-CN"/>
        </w:rPr>
        <w:t>国际电信</w:t>
      </w:r>
      <w:r>
        <w:rPr>
          <w:rFonts w:hint="eastAsia"/>
          <w:lang w:eastAsia="zh-CN"/>
        </w:rPr>
        <w:t>规则》</w:t>
      </w:r>
      <w:bookmarkEnd w:id="5"/>
      <w:r w:rsidRPr="00C06256">
        <w:rPr>
          <w:rFonts w:hint="eastAsia"/>
          <w:lang w:eastAsia="zh-CN"/>
        </w:rPr>
        <w:t>专家组</w:t>
      </w:r>
      <w:r w:rsidR="002C17BF">
        <w:rPr>
          <w:rFonts w:hint="eastAsia"/>
          <w:lang w:eastAsia="zh-CN"/>
        </w:rPr>
        <w:t>（</w:t>
      </w:r>
      <w:r w:rsidR="002C17BF" w:rsidRPr="002C17BF">
        <w:rPr>
          <w:lang w:eastAsia="zh-CN"/>
        </w:rPr>
        <w:t>EG-ITR</w:t>
      </w:r>
      <w:r w:rsidR="002C17BF">
        <w:rPr>
          <w:rFonts w:hint="eastAsia"/>
          <w:lang w:eastAsia="zh-CN"/>
        </w:rPr>
        <w:t>）</w:t>
      </w:r>
      <w:r w:rsidRPr="00C06256">
        <w:rPr>
          <w:rFonts w:hint="eastAsia"/>
          <w:lang w:eastAsia="zh-CN"/>
        </w:rPr>
        <w:t>9</w:t>
      </w:r>
      <w:r w:rsidRPr="00C06256">
        <w:rPr>
          <w:rFonts w:hint="eastAsia"/>
          <w:lang w:eastAsia="zh-CN"/>
        </w:rPr>
        <w:t>月会议商定的工作计划，澳大利亚、加拿大和美国很高兴就</w:t>
      </w:r>
      <w:r w:rsidRPr="00C06256">
        <w:rPr>
          <w:rFonts w:hint="eastAsia"/>
          <w:lang w:eastAsia="zh-CN"/>
        </w:rPr>
        <w:t>2012</w:t>
      </w:r>
      <w:r w:rsidRPr="00C06256">
        <w:rPr>
          <w:rFonts w:hint="eastAsia"/>
          <w:lang w:eastAsia="zh-CN"/>
        </w:rPr>
        <w:t>年</w:t>
      </w:r>
      <w:r w:rsidR="002C17BF" w:rsidRPr="002C17BF">
        <w:rPr>
          <w:rFonts w:hint="eastAsia"/>
          <w:lang w:eastAsia="zh-CN"/>
        </w:rPr>
        <w:t>《国际电信规则》</w:t>
      </w:r>
      <w:r w:rsidR="0091771F">
        <w:rPr>
          <w:rFonts w:hint="eastAsia"/>
          <w:lang w:eastAsia="zh-CN"/>
        </w:rPr>
        <w:t>（</w:t>
      </w:r>
      <w:r w:rsidR="0091771F">
        <w:rPr>
          <w:rFonts w:hint="eastAsia"/>
          <w:lang w:eastAsia="zh-CN"/>
        </w:rPr>
        <w:t>ITR</w:t>
      </w:r>
      <w:r w:rsidR="0091771F">
        <w:rPr>
          <w:rFonts w:hint="eastAsia"/>
          <w:lang w:eastAsia="zh-CN"/>
        </w:rPr>
        <w:t>）</w:t>
      </w:r>
      <w:r w:rsidRPr="00C06256">
        <w:rPr>
          <w:rFonts w:hint="eastAsia"/>
          <w:lang w:eastAsia="zh-CN"/>
        </w:rPr>
        <w:t>的序言和第</w:t>
      </w:r>
      <w:r w:rsidRPr="00C06256">
        <w:rPr>
          <w:rFonts w:hint="eastAsia"/>
          <w:lang w:eastAsia="zh-CN"/>
        </w:rPr>
        <w:t>1</w:t>
      </w:r>
      <w:r w:rsidRPr="00C06256">
        <w:rPr>
          <w:rFonts w:hint="eastAsia"/>
          <w:lang w:eastAsia="zh-CN"/>
        </w:rPr>
        <w:t>至第</w:t>
      </w:r>
      <w:r w:rsidRPr="00C06256">
        <w:rPr>
          <w:rFonts w:hint="eastAsia"/>
          <w:lang w:eastAsia="zh-CN"/>
        </w:rPr>
        <w:t>4</w:t>
      </w:r>
      <w:r w:rsidRPr="00C06256">
        <w:rPr>
          <w:rFonts w:hint="eastAsia"/>
          <w:lang w:eastAsia="zh-CN"/>
        </w:rPr>
        <w:t>条发表意见。我们认为，</w:t>
      </w:r>
      <w:bookmarkStart w:id="6" w:name="_Hlk31198183"/>
      <w:r w:rsidRPr="00C06256">
        <w:rPr>
          <w:rFonts w:hint="eastAsia"/>
          <w:lang w:eastAsia="zh-CN"/>
        </w:rPr>
        <w:t>2012</w:t>
      </w:r>
      <w:r w:rsidRPr="00C06256">
        <w:rPr>
          <w:rFonts w:hint="eastAsia"/>
          <w:lang w:eastAsia="zh-CN"/>
        </w:rPr>
        <w:t>年</w:t>
      </w:r>
      <w:bookmarkEnd w:id="6"/>
      <w:r w:rsidR="0091771F">
        <w:rPr>
          <w:rFonts w:hint="eastAsia"/>
          <w:lang w:eastAsia="zh-CN"/>
        </w:rPr>
        <w:t>ITR</w:t>
      </w:r>
      <w:r w:rsidRPr="00C06256">
        <w:rPr>
          <w:rFonts w:hint="eastAsia"/>
          <w:lang w:eastAsia="zh-CN"/>
        </w:rPr>
        <w:t>中的大部分详细条款</w:t>
      </w:r>
      <w:r w:rsidR="002C17BF">
        <w:rPr>
          <w:rFonts w:hint="eastAsia"/>
          <w:lang w:eastAsia="zh-CN"/>
        </w:rPr>
        <w:t>对</w:t>
      </w:r>
      <w:r w:rsidR="002C17BF" w:rsidRPr="00C06256">
        <w:rPr>
          <w:rFonts w:hint="eastAsia"/>
          <w:lang w:eastAsia="zh-CN"/>
        </w:rPr>
        <w:t>于当今的通信环境</w:t>
      </w:r>
      <w:r w:rsidRPr="00C06256">
        <w:rPr>
          <w:rFonts w:hint="eastAsia"/>
          <w:lang w:eastAsia="zh-CN"/>
        </w:rPr>
        <w:t>既不适</w:t>
      </w:r>
      <w:r w:rsidR="002C17BF">
        <w:rPr>
          <w:rFonts w:hint="eastAsia"/>
          <w:lang w:eastAsia="zh-CN"/>
        </w:rPr>
        <w:t>用</w:t>
      </w:r>
      <w:r w:rsidRPr="00C06256">
        <w:rPr>
          <w:rFonts w:hint="eastAsia"/>
          <w:lang w:eastAsia="zh-CN"/>
        </w:rPr>
        <w:t>，也不实用。任何修改</w:t>
      </w:r>
      <w:r w:rsidR="002C17BF" w:rsidRPr="002C17BF">
        <w:rPr>
          <w:rFonts w:hint="eastAsia"/>
          <w:lang w:eastAsia="zh-CN"/>
        </w:rPr>
        <w:t>2012</w:t>
      </w:r>
      <w:r w:rsidR="002C17BF" w:rsidRPr="002C17BF">
        <w:rPr>
          <w:rFonts w:hint="eastAsia"/>
          <w:lang w:eastAsia="zh-CN"/>
        </w:rPr>
        <w:t>年</w:t>
      </w:r>
      <w:r w:rsidR="0091771F">
        <w:rPr>
          <w:rFonts w:hint="eastAsia"/>
          <w:lang w:eastAsia="zh-CN"/>
        </w:rPr>
        <w:t>ITR</w:t>
      </w:r>
      <w:r w:rsidRPr="00C06256">
        <w:rPr>
          <w:rFonts w:hint="eastAsia"/>
          <w:lang w:eastAsia="zh-CN"/>
        </w:rPr>
        <w:t>以应对现有经济条件以及新兴技术和服务的尝试</w:t>
      </w:r>
      <w:r w:rsidR="002C17BF">
        <w:rPr>
          <w:rFonts w:hint="eastAsia"/>
          <w:lang w:eastAsia="zh-CN"/>
        </w:rPr>
        <w:t>，</w:t>
      </w:r>
      <w:r w:rsidRPr="00C06256">
        <w:rPr>
          <w:rFonts w:hint="eastAsia"/>
          <w:lang w:eastAsia="zh-CN"/>
        </w:rPr>
        <w:t>都将遭遇与</w:t>
      </w:r>
      <w:r w:rsidR="002C17BF">
        <w:rPr>
          <w:rFonts w:hint="eastAsia"/>
          <w:lang w:eastAsia="zh-CN"/>
        </w:rPr>
        <w:t>现有</w:t>
      </w:r>
      <w:r w:rsidRPr="00C06256">
        <w:rPr>
          <w:rFonts w:hint="eastAsia"/>
          <w:lang w:eastAsia="zh-CN"/>
        </w:rPr>
        <w:t>条款相同的命运</w:t>
      </w:r>
      <w:r w:rsidR="00CA193F">
        <w:rPr>
          <w:rFonts w:hint="eastAsia"/>
          <w:lang w:eastAsia="zh-CN"/>
        </w:rPr>
        <w:t xml:space="preserve"> </w:t>
      </w:r>
      <w:r w:rsidR="00CA193F">
        <w:rPr>
          <w:lang w:eastAsia="zh-CN"/>
        </w:rPr>
        <w:t>–</w:t>
      </w:r>
      <w:r w:rsidR="00CA193F">
        <w:rPr>
          <w:rFonts w:hint="eastAsia"/>
          <w:lang w:eastAsia="zh-CN"/>
        </w:rPr>
        <w:t xml:space="preserve"> </w:t>
      </w:r>
      <w:r w:rsidR="002C17BF">
        <w:rPr>
          <w:rFonts w:hint="eastAsia"/>
          <w:lang w:eastAsia="zh-CN"/>
        </w:rPr>
        <w:t>因为</w:t>
      </w:r>
      <w:r w:rsidRPr="00C06256">
        <w:rPr>
          <w:rFonts w:hint="eastAsia"/>
          <w:lang w:eastAsia="zh-CN"/>
        </w:rPr>
        <w:t>市场和监管环境</w:t>
      </w:r>
      <w:r w:rsidR="002C17BF">
        <w:rPr>
          <w:rFonts w:hint="eastAsia"/>
          <w:lang w:eastAsia="zh-CN"/>
        </w:rPr>
        <w:t>日新月异</w:t>
      </w:r>
      <w:r w:rsidRPr="00C06256">
        <w:rPr>
          <w:rFonts w:hint="eastAsia"/>
          <w:lang w:eastAsia="zh-CN"/>
        </w:rPr>
        <w:t>，详细的条约条款将永远</w:t>
      </w:r>
      <w:r w:rsidR="00325B2E">
        <w:rPr>
          <w:rFonts w:hint="eastAsia"/>
          <w:lang w:eastAsia="zh-CN"/>
        </w:rPr>
        <w:t>落后于发展</w:t>
      </w:r>
      <w:r w:rsidRPr="00C06256">
        <w:rPr>
          <w:rFonts w:hint="eastAsia"/>
          <w:lang w:eastAsia="zh-CN"/>
        </w:rPr>
        <w:t>。</w:t>
      </w:r>
      <w:bookmarkEnd w:id="4"/>
    </w:p>
    <w:p w14:paraId="2F27DD10" w14:textId="6068E636" w:rsidR="00BA5DD5" w:rsidRPr="009862C7" w:rsidRDefault="002C17BF" w:rsidP="009862C7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ascii="Times New Roman" w:eastAsiaTheme="minorEastAsia" w:hAnsi="Times New Roman"/>
          <w:bCs/>
          <w:lang w:eastAsia="zh-CN"/>
        </w:rPr>
      </w:pPr>
      <w:bookmarkStart w:id="7" w:name="lt_pId016"/>
      <w:r w:rsidRPr="009862C7">
        <w:rPr>
          <w:rFonts w:ascii="Times New Roman" w:eastAsiaTheme="minorEastAsia" w:hAnsi="Times New Roman" w:hint="eastAsia"/>
          <w:bCs/>
          <w:lang w:eastAsia="zh-CN"/>
        </w:rPr>
        <w:t>磋商</w:t>
      </w:r>
      <w:bookmarkEnd w:id="7"/>
    </w:p>
    <w:p w14:paraId="782C82CF" w14:textId="1F884F67" w:rsidR="00F837E5" w:rsidRDefault="00F837E5" w:rsidP="009862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firstLineChars="200" w:firstLine="480"/>
        <w:jc w:val="both"/>
        <w:rPr>
          <w:lang w:eastAsia="zh-CN"/>
        </w:rPr>
      </w:pPr>
      <w:bookmarkStart w:id="8" w:name="lt_pId017"/>
      <w:r>
        <w:rPr>
          <w:rFonts w:hint="eastAsia"/>
          <w:lang w:eastAsia="zh-CN"/>
        </w:rPr>
        <w:t>我们在此前的一份文稿中重点提出了</w:t>
      </w:r>
      <w:r w:rsidRPr="00F837E5">
        <w:rPr>
          <w:rFonts w:hint="eastAsia"/>
          <w:lang w:eastAsia="zh-CN"/>
        </w:rPr>
        <w:t>试图</w:t>
      </w:r>
      <w:r>
        <w:rPr>
          <w:rFonts w:hint="eastAsia"/>
          <w:lang w:eastAsia="zh-CN"/>
        </w:rPr>
        <w:t>利</w:t>
      </w:r>
      <w:r w:rsidRPr="00F837E5">
        <w:rPr>
          <w:rFonts w:hint="eastAsia"/>
          <w:lang w:eastAsia="zh-CN"/>
        </w:rPr>
        <w:t>用</w:t>
      </w:r>
      <w:bookmarkStart w:id="9" w:name="_Hlk31205379"/>
      <w:r w:rsidRPr="00F837E5">
        <w:rPr>
          <w:rFonts w:hint="eastAsia"/>
          <w:lang w:eastAsia="zh-CN"/>
        </w:rPr>
        <w:t>条约文书</w:t>
      </w:r>
      <w:bookmarkEnd w:id="9"/>
      <w:r>
        <w:rPr>
          <w:rFonts w:hint="eastAsia"/>
          <w:lang w:eastAsia="zh-CN"/>
        </w:rPr>
        <w:t>规范</w:t>
      </w:r>
      <w:r w:rsidRPr="00F837E5">
        <w:rPr>
          <w:rFonts w:hint="eastAsia"/>
          <w:lang w:eastAsia="zh-CN"/>
        </w:rPr>
        <w:t>竞争</w:t>
      </w:r>
      <w:r w:rsidR="00325B2E">
        <w:rPr>
          <w:rFonts w:hint="eastAsia"/>
          <w:lang w:eastAsia="zh-CN"/>
        </w:rPr>
        <w:t>性</w:t>
      </w:r>
      <w:r w:rsidRPr="00F837E5">
        <w:rPr>
          <w:rFonts w:hint="eastAsia"/>
          <w:lang w:eastAsia="zh-CN"/>
        </w:rPr>
        <w:t>动态市场带来的</w:t>
      </w:r>
      <w:r w:rsidR="00325B2E">
        <w:rPr>
          <w:rFonts w:hint="eastAsia"/>
          <w:lang w:eastAsia="zh-CN"/>
        </w:rPr>
        <w:t>根本性</w:t>
      </w:r>
      <w:r w:rsidRPr="00F837E5">
        <w:rPr>
          <w:rFonts w:hint="eastAsia"/>
          <w:lang w:eastAsia="zh-CN"/>
        </w:rPr>
        <w:t>问题。</w:t>
      </w:r>
      <w:r w:rsidR="0091771F">
        <w:rPr>
          <w:rFonts w:hint="eastAsia"/>
          <w:lang w:eastAsia="zh-CN"/>
        </w:rPr>
        <w:t>为此次审议序言和第</w:t>
      </w:r>
      <w:r w:rsidR="0091771F">
        <w:rPr>
          <w:rFonts w:hint="eastAsia"/>
          <w:lang w:eastAsia="zh-CN"/>
        </w:rPr>
        <w:t>1</w:t>
      </w:r>
      <w:r w:rsidR="0091771F">
        <w:rPr>
          <w:rFonts w:hint="eastAsia"/>
          <w:lang w:eastAsia="zh-CN"/>
        </w:rPr>
        <w:t>至第</w:t>
      </w:r>
      <w:r w:rsidR="0091771F">
        <w:rPr>
          <w:rFonts w:hint="eastAsia"/>
          <w:lang w:eastAsia="zh-CN"/>
        </w:rPr>
        <w:t>4</w:t>
      </w:r>
      <w:r w:rsidR="0091771F">
        <w:rPr>
          <w:rFonts w:hint="eastAsia"/>
          <w:lang w:eastAsia="zh-CN"/>
        </w:rPr>
        <w:t>条的目的，我们重申这一观点，并认为，第</w:t>
      </w:r>
      <w:r w:rsidR="0091771F">
        <w:rPr>
          <w:rFonts w:hint="eastAsia"/>
          <w:lang w:eastAsia="zh-CN"/>
        </w:rPr>
        <w:t>2</w:t>
      </w:r>
      <w:r w:rsidR="0091771F">
        <w:rPr>
          <w:rFonts w:hint="eastAsia"/>
          <w:lang w:eastAsia="zh-CN"/>
        </w:rPr>
        <w:t>条至第</w:t>
      </w:r>
      <w:r w:rsidR="0091771F">
        <w:rPr>
          <w:rFonts w:hint="eastAsia"/>
          <w:lang w:eastAsia="zh-CN"/>
        </w:rPr>
        <w:t>4</w:t>
      </w:r>
      <w:r w:rsidR="0091771F">
        <w:rPr>
          <w:rFonts w:hint="eastAsia"/>
          <w:lang w:eastAsia="zh-CN"/>
        </w:rPr>
        <w:t>条所载的</w:t>
      </w:r>
      <w:r w:rsidR="0091771F">
        <w:rPr>
          <w:rFonts w:hint="eastAsia"/>
          <w:lang w:eastAsia="zh-CN"/>
        </w:rPr>
        <w:t>2012</w:t>
      </w:r>
      <w:r w:rsidR="0091771F">
        <w:rPr>
          <w:rFonts w:hint="eastAsia"/>
          <w:lang w:eastAsia="zh-CN"/>
        </w:rPr>
        <w:t>年</w:t>
      </w:r>
      <w:r w:rsidR="0091771F">
        <w:rPr>
          <w:rFonts w:hint="eastAsia"/>
          <w:lang w:eastAsia="zh-CN"/>
        </w:rPr>
        <w:t>ITR</w:t>
      </w:r>
      <w:r w:rsidR="0091771F">
        <w:rPr>
          <w:rFonts w:hint="eastAsia"/>
          <w:lang w:eastAsia="zh-CN"/>
        </w:rPr>
        <w:t>条款不够灵活，不足以承受市场的不断变化，并将持续面临过时</w:t>
      </w:r>
      <w:r w:rsidR="00325B2E">
        <w:rPr>
          <w:rFonts w:hint="eastAsia"/>
          <w:lang w:eastAsia="zh-CN"/>
        </w:rPr>
        <w:t>的</w:t>
      </w:r>
      <w:r w:rsidR="0091771F">
        <w:rPr>
          <w:rFonts w:hint="eastAsia"/>
          <w:lang w:eastAsia="zh-CN"/>
        </w:rPr>
        <w:t>问题。</w:t>
      </w:r>
      <w:bookmarkStart w:id="10" w:name="lt_pId018"/>
      <w:bookmarkEnd w:id="8"/>
    </w:p>
    <w:p w14:paraId="575FD594" w14:textId="353DDEFA" w:rsidR="00F837E5" w:rsidRDefault="00F837E5" w:rsidP="009862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移动技术的进步、从公共交换电话网向基于互联网协议</w:t>
      </w:r>
      <w:r w:rsidR="0091771F">
        <w:rPr>
          <w:rFonts w:hint="eastAsia"/>
          <w:lang w:eastAsia="zh-CN"/>
        </w:rPr>
        <w:t>（</w:t>
      </w:r>
      <w:r w:rsidR="0091771F">
        <w:rPr>
          <w:rFonts w:hint="eastAsia"/>
          <w:lang w:eastAsia="zh-CN"/>
        </w:rPr>
        <w:t>IP</w:t>
      </w:r>
      <w:r w:rsidR="0091771F">
        <w:rPr>
          <w:rFonts w:hint="eastAsia"/>
          <w:lang w:eastAsia="zh-CN"/>
        </w:rPr>
        <w:t>）的</w:t>
      </w:r>
      <w:r>
        <w:rPr>
          <w:rFonts w:hint="eastAsia"/>
          <w:lang w:eastAsia="zh-CN"/>
        </w:rPr>
        <w:t>网络的过渡、竞争性市场、</w:t>
      </w:r>
      <w:r w:rsidR="0091771F">
        <w:rPr>
          <w:rFonts w:hint="eastAsia"/>
          <w:lang w:eastAsia="zh-CN"/>
        </w:rPr>
        <w:t>遵循</w:t>
      </w:r>
      <w:r>
        <w:rPr>
          <w:rFonts w:hint="eastAsia"/>
          <w:lang w:eastAsia="zh-CN"/>
        </w:rPr>
        <w:t>新</w:t>
      </w:r>
      <w:bookmarkStart w:id="11" w:name="_Hlk31200102"/>
      <w:r w:rsidR="00325B2E">
        <w:rPr>
          <w:rFonts w:hint="eastAsia"/>
          <w:lang w:eastAsia="zh-CN"/>
        </w:rPr>
        <w:t>商业</w:t>
      </w:r>
      <w:r>
        <w:rPr>
          <w:rFonts w:hint="eastAsia"/>
          <w:lang w:eastAsia="zh-CN"/>
        </w:rPr>
        <w:t>安排</w:t>
      </w:r>
      <w:bookmarkEnd w:id="11"/>
      <w:r>
        <w:rPr>
          <w:rFonts w:hint="eastAsia"/>
          <w:lang w:eastAsia="zh-CN"/>
        </w:rPr>
        <w:t>和新监管制度的运营商，</w:t>
      </w:r>
      <w:r w:rsidR="0091771F">
        <w:rPr>
          <w:rFonts w:hint="eastAsia"/>
          <w:lang w:eastAsia="zh-CN"/>
        </w:rPr>
        <w:t>彻底</w:t>
      </w:r>
      <w:r>
        <w:rPr>
          <w:rFonts w:hint="eastAsia"/>
          <w:lang w:eastAsia="zh-CN"/>
        </w:rPr>
        <w:t>改变了依赖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="0091771F">
        <w:rPr>
          <w:rFonts w:hint="eastAsia"/>
          <w:lang w:eastAsia="zh-CN"/>
        </w:rPr>
        <w:t>I</w:t>
      </w:r>
      <w:r w:rsidR="0091771F">
        <w:rPr>
          <w:lang w:eastAsia="zh-CN"/>
        </w:rPr>
        <w:t>TR</w:t>
      </w:r>
      <w:r w:rsidR="0091771F">
        <w:rPr>
          <w:rFonts w:hint="eastAsia"/>
          <w:lang w:eastAsia="zh-CN"/>
        </w:rPr>
        <w:t>条款</w:t>
      </w:r>
      <w:r>
        <w:rPr>
          <w:rFonts w:hint="eastAsia"/>
          <w:lang w:eastAsia="zh-CN"/>
        </w:rPr>
        <w:t>交换和终</w:t>
      </w:r>
      <w:proofErr w:type="gramStart"/>
      <w:r w:rsidR="0091771F">
        <w:rPr>
          <w:rFonts w:hint="eastAsia"/>
          <w:lang w:eastAsia="zh-CN"/>
        </w:rPr>
        <w:t>接</w:t>
      </w:r>
      <w:r>
        <w:rPr>
          <w:rFonts w:hint="eastAsia"/>
          <w:lang w:eastAsia="zh-CN"/>
        </w:rPr>
        <w:t>国际</w:t>
      </w:r>
      <w:proofErr w:type="gramEnd"/>
      <w:r>
        <w:rPr>
          <w:rFonts w:hint="eastAsia"/>
          <w:lang w:eastAsia="zh-CN"/>
        </w:rPr>
        <w:t>电话</w:t>
      </w:r>
      <w:r w:rsidR="00325B2E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量的</w:t>
      </w:r>
      <w:r w:rsidR="0091771F">
        <w:rPr>
          <w:rFonts w:hint="eastAsia"/>
          <w:lang w:eastAsia="zh-CN"/>
        </w:rPr>
        <w:t>必要性</w:t>
      </w:r>
      <w:r>
        <w:rPr>
          <w:rFonts w:hint="eastAsia"/>
          <w:lang w:eastAsia="zh-CN"/>
        </w:rPr>
        <w:t>。例如，完全依赖移动通信应用</w:t>
      </w:r>
      <w:r w:rsidR="00806718">
        <w:rPr>
          <w:rFonts w:hint="eastAsia"/>
          <w:lang w:eastAsia="zh-CN"/>
        </w:rPr>
        <w:t>处理</w:t>
      </w:r>
      <w:bookmarkStart w:id="12" w:name="_Hlk31200678"/>
      <w:r>
        <w:rPr>
          <w:rFonts w:hint="eastAsia"/>
          <w:lang w:eastAsia="zh-CN"/>
        </w:rPr>
        <w:t>国际呼叫</w:t>
      </w:r>
      <w:bookmarkEnd w:id="12"/>
      <w:r>
        <w:rPr>
          <w:rFonts w:hint="eastAsia"/>
          <w:lang w:eastAsia="zh-CN"/>
        </w:rPr>
        <w:t>的运营商和服务提供商</w:t>
      </w:r>
      <w:r w:rsidR="00806718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很少使用预先安排的固定</w:t>
      </w:r>
      <w:r w:rsidRPr="00806718">
        <w:rPr>
          <w:rFonts w:ascii="STKaiti" w:eastAsia="STKaiti" w:hAnsi="STKaiti" w:hint="eastAsia"/>
          <w:lang w:eastAsia="zh-CN"/>
        </w:rPr>
        <w:t>国际</w:t>
      </w:r>
      <w:r w:rsidR="00806718" w:rsidRPr="00806718">
        <w:rPr>
          <w:rFonts w:ascii="STKaiti" w:eastAsia="STKaiti" w:hAnsi="STKaiti" w:hint="eastAsia"/>
          <w:lang w:eastAsia="zh-CN"/>
        </w:rPr>
        <w:t>路由</w:t>
      </w:r>
      <w:r>
        <w:rPr>
          <w:rFonts w:hint="eastAsia"/>
          <w:lang w:eastAsia="zh-CN"/>
        </w:rPr>
        <w:t>，与国际运营商没有直接</w:t>
      </w:r>
      <w:r w:rsidRPr="00806718">
        <w:rPr>
          <w:rFonts w:ascii="STKaiti" w:eastAsia="STKaiti" w:hAnsi="STKaiti" w:hint="eastAsia"/>
          <w:lang w:eastAsia="zh-CN"/>
        </w:rPr>
        <w:t>关系</w:t>
      </w:r>
      <w:r w:rsidR="00325B2E">
        <w:rPr>
          <w:rFonts w:hint="eastAsia"/>
          <w:lang w:eastAsia="zh-CN"/>
        </w:rPr>
        <w:t>，他们</w:t>
      </w:r>
      <w:r>
        <w:rPr>
          <w:rFonts w:hint="eastAsia"/>
          <w:lang w:eastAsia="zh-CN"/>
        </w:rPr>
        <w:t>采用</w:t>
      </w:r>
      <w:r w:rsidR="00325B2E">
        <w:rPr>
          <w:rFonts w:hint="eastAsia"/>
          <w:lang w:eastAsia="zh-CN"/>
        </w:rPr>
        <w:t>的是商业</w:t>
      </w:r>
      <w:r w:rsidR="00806718" w:rsidRPr="00806718">
        <w:rPr>
          <w:rFonts w:hint="eastAsia"/>
          <w:lang w:eastAsia="zh-CN"/>
        </w:rPr>
        <w:t>安排</w:t>
      </w:r>
      <w:r w:rsidR="00806718">
        <w:rPr>
          <w:rFonts w:hint="eastAsia"/>
          <w:lang w:eastAsia="zh-CN"/>
        </w:rPr>
        <w:t>，而不是</w:t>
      </w:r>
      <w:r w:rsidR="004868C9">
        <w:rPr>
          <w:rFonts w:hint="eastAsia"/>
          <w:lang w:eastAsia="zh-CN"/>
        </w:rPr>
        <w:t>第</w:t>
      </w:r>
      <w:r w:rsidR="004868C9">
        <w:rPr>
          <w:rFonts w:hint="eastAsia"/>
          <w:lang w:eastAsia="zh-CN"/>
        </w:rPr>
        <w:t>2</w:t>
      </w:r>
      <w:r w:rsidR="004868C9">
        <w:rPr>
          <w:rFonts w:hint="eastAsia"/>
          <w:lang w:eastAsia="zh-CN"/>
        </w:rPr>
        <w:t>条定义的</w:t>
      </w:r>
      <w:r w:rsidR="004868C9" w:rsidRPr="004868C9">
        <w:rPr>
          <w:rFonts w:hint="eastAsia"/>
          <w:lang w:eastAsia="zh-CN"/>
        </w:rPr>
        <w:t>国际呼叫</w:t>
      </w:r>
      <w:r w:rsidR="004868C9">
        <w:rPr>
          <w:rFonts w:hint="eastAsia"/>
          <w:lang w:eastAsia="zh-CN"/>
        </w:rPr>
        <w:t>交换和终接</w:t>
      </w:r>
      <w:r w:rsidR="004868C9" w:rsidRPr="004868C9">
        <w:rPr>
          <w:rFonts w:ascii="STKaiti" w:eastAsia="STKaiti" w:hAnsi="STKaiti" w:hint="eastAsia"/>
          <w:iCs/>
          <w:lang w:eastAsia="zh-CN"/>
        </w:rPr>
        <w:t>结算价</w:t>
      </w:r>
      <w:r w:rsidR="004868C9">
        <w:rPr>
          <w:rFonts w:ascii="STKaiti" w:eastAsia="STKaiti" w:hAnsi="STKaiti" w:hint="eastAsia"/>
          <w:iCs/>
          <w:lang w:eastAsia="zh-CN"/>
        </w:rPr>
        <w:t>。</w:t>
      </w:r>
      <w:r w:rsidR="004868C9">
        <w:rPr>
          <w:rFonts w:hint="eastAsia"/>
          <w:lang w:eastAsia="zh-CN"/>
        </w:rPr>
        <w:t>根据一项</w:t>
      </w:r>
      <w:r>
        <w:rPr>
          <w:rFonts w:hint="eastAsia"/>
          <w:lang w:eastAsia="zh-CN"/>
        </w:rPr>
        <w:t>估计，</w:t>
      </w:r>
      <w:r w:rsidR="004868C9">
        <w:rPr>
          <w:rFonts w:hint="eastAsia"/>
          <w:lang w:eastAsia="zh-CN"/>
        </w:rPr>
        <w:t>运营商和服务提供商利用</w:t>
      </w:r>
      <w:r>
        <w:rPr>
          <w:rFonts w:hint="eastAsia"/>
          <w:lang w:eastAsia="zh-CN"/>
        </w:rPr>
        <w:t>移动应用终</w:t>
      </w:r>
      <w:r w:rsidR="004868C9">
        <w:rPr>
          <w:rFonts w:hint="eastAsia"/>
          <w:lang w:eastAsia="zh-CN"/>
        </w:rPr>
        <w:t>接</w:t>
      </w:r>
      <w:r>
        <w:rPr>
          <w:rFonts w:hint="eastAsia"/>
          <w:lang w:eastAsia="zh-CN"/>
        </w:rPr>
        <w:t>的国际语音</w:t>
      </w:r>
      <w:r w:rsidR="004868C9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量份额</w:t>
      </w:r>
      <w:r w:rsidR="004868C9">
        <w:rPr>
          <w:rFonts w:hint="eastAsia"/>
          <w:lang w:eastAsia="zh-CN"/>
        </w:rPr>
        <w:t>，可望</w:t>
      </w:r>
      <w:r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年的</w:t>
      </w:r>
      <w:r>
        <w:rPr>
          <w:rFonts w:hint="eastAsia"/>
          <w:lang w:eastAsia="zh-CN"/>
        </w:rPr>
        <w:t>28%</w:t>
      </w:r>
      <w:r>
        <w:rPr>
          <w:rFonts w:hint="eastAsia"/>
          <w:lang w:eastAsia="zh-CN"/>
        </w:rPr>
        <w:t>增至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年的</w:t>
      </w:r>
      <w:r>
        <w:rPr>
          <w:rFonts w:hint="eastAsia"/>
          <w:lang w:eastAsia="zh-CN"/>
        </w:rPr>
        <w:t>68%</w:t>
      </w:r>
      <w:r>
        <w:rPr>
          <w:rFonts w:hint="eastAsia"/>
          <w:lang w:eastAsia="zh-CN"/>
        </w:rPr>
        <w:t>。同期，国际语音</w:t>
      </w:r>
      <w:r w:rsidR="004868C9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量</w:t>
      </w:r>
      <w:r w:rsidR="00CA106E">
        <w:rPr>
          <w:rFonts w:hint="eastAsia"/>
          <w:lang w:eastAsia="zh-CN"/>
        </w:rPr>
        <w:t>也有望</w:t>
      </w:r>
      <w:r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年的</w:t>
      </w:r>
      <w:r>
        <w:rPr>
          <w:rFonts w:hint="eastAsia"/>
          <w:lang w:eastAsia="zh-CN"/>
        </w:rPr>
        <w:t>7</w:t>
      </w:r>
      <w:r w:rsidR="00CA106E"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610</w:t>
      </w:r>
      <w:r>
        <w:rPr>
          <w:rFonts w:hint="eastAsia"/>
          <w:lang w:eastAsia="zh-CN"/>
        </w:rPr>
        <w:t>亿分钟增</w:t>
      </w:r>
      <w:r w:rsidR="00CA106E"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年的</w:t>
      </w:r>
      <w:r>
        <w:rPr>
          <w:rFonts w:hint="eastAsia"/>
          <w:lang w:eastAsia="zh-CN"/>
        </w:rPr>
        <w:t>1.4</w:t>
      </w:r>
      <w:r>
        <w:rPr>
          <w:rFonts w:hint="eastAsia"/>
          <w:lang w:eastAsia="zh-CN"/>
        </w:rPr>
        <w:t>万亿分钟，表明国际连通性和电信服务的使用大幅</w:t>
      </w:r>
      <w:r w:rsidR="00C26FA5">
        <w:rPr>
          <w:rFonts w:hint="eastAsia"/>
          <w:lang w:eastAsia="zh-CN"/>
        </w:rPr>
        <w:t>提升</w:t>
      </w:r>
      <w:r>
        <w:rPr>
          <w:rFonts w:hint="eastAsia"/>
          <w:lang w:eastAsia="zh-CN"/>
        </w:rPr>
        <w:t>。</w:t>
      </w:r>
      <w:bookmarkStart w:id="13" w:name="lt_pId020"/>
      <w:r w:rsidR="00C26FA5">
        <w:rPr>
          <w:rStyle w:val="FootnoteReference"/>
        </w:rPr>
        <w:footnoteReference w:id="1"/>
      </w:r>
      <w:bookmarkEnd w:id="13"/>
    </w:p>
    <w:p w14:paraId="122B0189" w14:textId="4E7DDD3E" w:rsidR="00BC611E" w:rsidRDefault="00F837E5" w:rsidP="00C42D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我们认为，第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条中的许多</w:t>
      </w:r>
      <w:r w:rsidR="00C26FA5">
        <w:rPr>
          <w:rFonts w:hint="eastAsia"/>
          <w:lang w:eastAsia="zh-CN"/>
        </w:rPr>
        <w:t>条款</w:t>
      </w:r>
      <w:r>
        <w:rPr>
          <w:rFonts w:hint="eastAsia"/>
          <w:lang w:eastAsia="zh-CN"/>
        </w:rPr>
        <w:t>也与竞争性市场和监管环境以及持续的技术进步</w:t>
      </w:r>
      <w:r w:rsidR="00C26FA5">
        <w:rPr>
          <w:rFonts w:hint="eastAsia"/>
          <w:lang w:eastAsia="zh-CN"/>
        </w:rPr>
        <w:t>格格不入</w:t>
      </w:r>
      <w:r>
        <w:rPr>
          <w:rFonts w:hint="eastAsia"/>
          <w:lang w:eastAsia="zh-CN"/>
        </w:rPr>
        <w:t>。例如，关于足够容量的第</w:t>
      </w:r>
      <w:r>
        <w:rPr>
          <w:rFonts w:hint="eastAsia"/>
          <w:lang w:eastAsia="zh-CN"/>
        </w:rPr>
        <w:t>3.2</w:t>
      </w:r>
      <w:r>
        <w:rPr>
          <w:rFonts w:hint="eastAsia"/>
          <w:lang w:eastAsia="zh-CN"/>
        </w:rPr>
        <w:t>条似乎过时</w:t>
      </w:r>
      <w:r w:rsidR="00C26FA5">
        <w:rPr>
          <w:rFonts w:hint="eastAsia"/>
          <w:lang w:eastAsia="zh-CN"/>
        </w:rPr>
        <w:t>得</w:t>
      </w:r>
      <w:r>
        <w:rPr>
          <w:rFonts w:hint="eastAsia"/>
          <w:lang w:eastAsia="zh-CN"/>
        </w:rPr>
        <w:t>令人绝望，因为</w:t>
      </w:r>
      <w:r w:rsidR="00C26FA5">
        <w:rPr>
          <w:rFonts w:hint="eastAsia"/>
          <w:lang w:eastAsia="zh-CN"/>
        </w:rPr>
        <w:t>当时打算将</w:t>
      </w:r>
      <w:r>
        <w:rPr>
          <w:rFonts w:hint="eastAsia"/>
          <w:lang w:eastAsia="zh-CN"/>
        </w:rPr>
        <w:t>它</w:t>
      </w:r>
      <w:r w:rsidR="00C26FA5">
        <w:rPr>
          <w:rFonts w:hint="eastAsia"/>
          <w:lang w:eastAsia="zh-CN"/>
        </w:rPr>
        <w:t>用于</w:t>
      </w:r>
      <w:r w:rsidR="00C26FA5" w:rsidRPr="00C26FA5">
        <w:rPr>
          <w:lang w:eastAsia="zh-CN"/>
        </w:rPr>
        <w:t>ITU-T</w:t>
      </w:r>
      <w:r>
        <w:rPr>
          <w:rFonts w:hint="eastAsia"/>
          <w:lang w:eastAsia="zh-CN"/>
        </w:rPr>
        <w:t>“规划委员会”</w:t>
      </w:r>
      <w:r w:rsidR="004C78E6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不同路</w:t>
      </w:r>
      <w:r w:rsidR="004C78E6">
        <w:rPr>
          <w:rFonts w:hint="eastAsia"/>
          <w:lang w:eastAsia="zh-CN"/>
        </w:rPr>
        <w:t>由进行业务量</w:t>
      </w:r>
      <w:r>
        <w:rPr>
          <w:rFonts w:hint="eastAsia"/>
          <w:lang w:eastAsia="zh-CN"/>
        </w:rPr>
        <w:t>预测的时代。</w:t>
      </w:r>
      <w:r w:rsidR="00BC611E">
        <w:rPr>
          <w:rStyle w:val="FootnoteReference"/>
        </w:rPr>
        <w:footnoteReference w:id="2"/>
      </w:r>
      <w:r>
        <w:rPr>
          <w:rFonts w:hint="eastAsia"/>
          <w:lang w:eastAsia="zh-CN"/>
        </w:rPr>
        <w:t>在一个</w:t>
      </w:r>
      <w:r w:rsidR="005B7E41">
        <w:rPr>
          <w:rFonts w:hint="eastAsia"/>
          <w:lang w:eastAsia="zh-CN"/>
        </w:rPr>
        <w:t>运营</w:t>
      </w:r>
      <w:proofErr w:type="gramStart"/>
      <w:r w:rsidR="005B7E41">
        <w:rPr>
          <w:rFonts w:hint="eastAsia"/>
          <w:lang w:eastAsia="zh-CN"/>
        </w:rPr>
        <w:t>商</w:t>
      </w:r>
      <w:r w:rsidR="00293984">
        <w:rPr>
          <w:rFonts w:hint="eastAsia"/>
          <w:lang w:eastAsia="zh-CN"/>
        </w:rPr>
        <w:t>规</w:t>
      </w:r>
      <w:r w:rsidR="005B7E41">
        <w:rPr>
          <w:rFonts w:hint="eastAsia"/>
          <w:lang w:eastAsia="zh-CN"/>
        </w:rPr>
        <w:t>划</w:t>
      </w:r>
      <w:proofErr w:type="gramEnd"/>
      <w:r w:rsidR="005B7E41">
        <w:rPr>
          <w:rFonts w:hint="eastAsia"/>
          <w:lang w:eastAsia="zh-CN"/>
        </w:rPr>
        <w:t>和预测各自业务量</w:t>
      </w:r>
      <w:r>
        <w:rPr>
          <w:rFonts w:hint="eastAsia"/>
          <w:lang w:eastAsia="zh-CN"/>
        </w:rPr>
        <w:t>的</w:t>
      </w:r>
      <w:r w:rsidR="005B7E41">
        <w:rPr>
          <w:rFonts w:hint="eastAsia"/>
          <w:lang w:eastAsia="zh-CN"/>
        </w:rPr>
        <w:t>竞</w:t>
      </w:r>
      <w:r w:rsidR="005B7E41">
        <w:rPr>
          <w:rFonts w:hint="eastAsia"/>
          <w:lang w:eastAsia="zh-CN"/>
        </w:rPr>
        <w:lastRenderedPageBreak/>
        <w:t>争</w:t>
      </w:r>
      <w:r w:rsidR="00293984">
        <w:rPr>
          <w:rFonts w:hint="eastAsia"/>
          <w:lang w:eastAsia="zh-CN"/>
        </w:rPr>
        <w:t>性</w:t>
      </w:r>
      <w:r>
        <w:rPr>
          <w:rFonts w:hint="eastAsia"/>
          <w:lang w:eastAsia="zh-CN"/>
        </w:rPr>
        <w:t>市场</w:t>
      </w:r>
      <w:r w:rsidR="005B7E41"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，不</w:t>
      </w:r>
      <w:r w:rsidR="005B7E41">
        <w:rPr>
          <w:rFonts w:hint="eastAsia"/>
          <w:lang w:eastAsia="zh-CN"/>
        </w:rPr>
        <w:t>知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</w:t>
      </w:r>
      <w:r w:rsidR="005B7E41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运营商</w:t>
      </w:r>
      <w:r w:rsidR="005B7E41">
        <w:rPr>
          <w:rFonts w:hint="eastAsia"/>
          <w:lang w:eastAsia="zh-CN"/>
        </w:rPr>
        <w:t>提出的</w:t>
      </w:r>
      <w:r>
        <w:rPr>
          <w:rFonts w:hint="eastAsia"/>
          <w:lang w:eastAsia="zh-CN"/>
        </w:rPr>
        <w:t>在其服务</w:t>
      </w:r>
      <w:bookmarkStart w:id="17" w:name="_GoBack"/>
      <w:bookmarkEnd w:id="17"/>
      <w:r>
        <w:rPr>
          <w:rFonts w:hint="eastAsia"/>
          <w:lang w:eastAsia="zh-CN"/>
        </w:rPr>
        <w:t>的</w:t>
      </w:r>
      <w:r w:rsidR="005B7E41">
        <w:rPr>
          <w:rFonts w:hint="eastAsia"/>
          <w:lang w:eastAsia="zh-CN"/>
        </w:rPr>
        <w:t>各个路由</w:t>
      </w:r>
      <w:r>
        <w:rPr>
          <w:rFonts w:hint="eastAsia"/>
          <w:lang w:eastAsia="zh-CN"/>
        </w:rPr>
        <w:t>上保持足够容量</w:t>
      </w:r>
      <w:r w:rsidR="005B7E41">
        <w:rPr>
          <w:rFonts w:hint="eastAsia"/>
          <w:lang w:eastAsia="zh-CN"/>
        </w:rPr>
        <w:t>的要求还</w:t>
      </w:r>
      <w:r>
        <w:rPr>
          <w:rFonts w:hint="eastAsia"/>
          <w:lang w:eastAsia="zh-CN"/>
        </w:rPr>
        <w:t>是</w:t>
      </w:r>
      <w:r w:rsidR="005B7E41">
        <w:rPr>
          <w:rFonts w:hint="eastAsia"/>
          <w:lang w:eastAsia="zh-CN"/>
        </w:rPr>
        <w:t>否</w:t>
      </w:r>
      <w:r>
        <w:rPr>
          <w:rFonts w:hint="eastAsia"/>
          <w:lang w:eastAsia="zh-CN"/>
        </w:rPr>
        <w:t>必要</w:t>
      </w:r>
      <w:r w:rsidR="005B7E41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有益。运营商更有可能</w:t>
      </w:r>
      <w:r w:rsidR="005B7E41">
        <w:rPr>
          <w:rFonts w:hint="eastAsia"/>
          <w:lang w:eastAsia="zh-CN"/>
        </w:rPr>
        <w:t>求助于国际电话</w:t>
      </w:r>
      <w:r>
        <w:rPr>
          <w:rFonts w:hint="eastAsia"/>
          <w:lang w:eastAsia="zh-CN"/>
        </w:rPr>
        <w:t>现货市场购买</w:t>
      </w:r>
      <w:r w:rsidR="005B7E41">
        <w:rPr>
          <w:rFonts w:hint="eastAsia"/>
          <w:lang w:eastAsia="zh-CN"/>
        </w:rPr>
        <w:t>通话时间，</w:t>
      </w:r>
      <w:r>
        <w:rPr>
          <w:rFonts w:hint="eastAsia"/>
          <w:lang w:eastAsia="zh-CN"/>
        </w:rPr>
        <w:t>以满足任何</w:t>
      </w:r>
      <w:r w:rsidR="005B7E41">
        <w:rPr>
          <w:rFonts w:hint="eastAsia"/>
          <w:lang w:eastAsia="zh-CN"/>
        </w:rPr>
        <w:t>额外</w:t>
      </w:r>
      <w:r>
        <w:rPr>
          <w:rFonts w:hint="eastAsia"/>
          <w:lang w:eastAsia="zh-CN"/>
        </w:rPr>
        <w:t>需求，或在有</w:t>
      </w:r>
      <w:r w:rsidR="00BC611E">
        <w:rPr>
          <w:rFonts w:hint="eastAsia"/>
          <w:lang w:eastAsia="zh-CN"/>
        </w:rPr>
        <w:t>剩余</w:t>
      </w:r>
      <w:r>
        <w:rPr>
          <w:rFonts w:hint="eastAsia"/>
          <w:lang w:eastAsia="zh-CN"/>
        </w:rPr>
        <w:t>容量</w:t>
      </w:r>
      <w:r w:rsidR="00BC611E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分钟</w:t>
      </w:r>
      <w:r w:rsidR="00BC611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时出售</w:t>
      </w:r>
      <w:r w:rsidR="00BC611E" w:rsidRPr="00BC611E">
        <w:rPr>
          <w:rFonts w:hint="eastAsia"/>
          <w:lang w:eastAsia="zh-CN"/>
        </w:rPr>
        <w:t>通话时间</w:t>
      </w:r>
      <w:r w:rsidR="00C42D3B">
        <w:rPr>
          <w:rFonts w:hint="eastAsia"/>
          <w:lang w:eastAsia="zh-CN"/>
        </w:rPr>
        <w:t xml:space="preserve"> </w:t>
      </w:r>
      <w:r w:rsidR="00C42D3B">
        <w:rPr>
          <w:lang w:eastAsia="zh-CN"/>
        </w:rPr>
        <w:t xml:space="preserve">– </w:t>
      </w:r>
      <w:r>
        <w:rPr>
          <w:rFonts w:hint="eastAsia"/>
          <w:lang w:eastAsia="zh-CN"/>
        </w:rPr>
        <w:t>两者都</w:t>
      </w:r>
      <w:r w:rsidR="00BC611E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比</w:t>
      </w:r>
      <w:r w:rsidR="00BC611E">
        <w:rPr>
          <w:rFonts w:hint="eastAsia"/>
          <w:lang w:eastAsia="zh-CN"/>
        </w:rPr>
        <w:t>保持各个路由容量充足</w:t>
      </w:r>
      <w:r>
        <w:rPr>
          <w:rFonts w:hint="eastAsia"/>
          <w:lang w:eastAsia="zh-CN"/>
        </w:rPr>
        <w:t>更</w:t>
      </w:r>
      <w:r w:rsidR="00BC611E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有效的市场响应。</w:t>
      </w:r>
      <w:bookmarkStart w:id="18" w:name="lt_pId024"/>
      <w:r w:rsidR="00BC611E">
        <w:rPr>
          <w:rStyle w:val="FootnoteReference"/>
        </w:rPr>
        <w:footnoteReference w:id="3"/>
      </w:r>
      <w:bookmarkEnd w:id="18"/>
    </w:p>
    <w:p w14:paraId="2670467F" w14:textId="0D47FA95" w:rsidR="00BA5DD5" w:rsidRDefault="00F837E5" w:rsidP="00BE5D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有些条款虽</w:t>
      </w:r>
      <w:r w:rsidR="00BC611E">
        <w:rPr>
          <w:rFonts w:hint="eastAsia"/>
          <w:lang w:eastAsia="zh-CN"/>
        </w:rPr>
        <w:t>有</w:t>
      </w:r>
      <w:r>
        <w:rPr>
          <w:rFonts w:hint="eastAsia"/>
          <w:lang w:eastAsia="zh-CN"/>
        </w:rPr>
        <w:t>良好</w:t>
      </w:r>
      <w:r w:rsidR="00BC611E">
        <w:rPr>
          <w:rFonts w:hint="eastAsia"/>
          <w:lang w:eastAsia="zh-CN"/>
        </w:rPr>
        <w:t>的初衷</w:t>
      </w:r>
      <w:r>
        <w:rPr>
          <w:rFonts w:hint="eastAsia"/>
          <w:lang w:eastAsia="zh-CN"/>
        </w:rPr>
        <w:t>，但过于</w:t>
      </w:r>
      <w:r w:rsidR="00BC611E">
        <w:rPr>
          <w:rFonts w:hint="eastAsia"/>
          <w:lang w:eastAsia="zh-CN"/>
        </w:rPr>
        <w:t>狭隘</w:t>
      </w:r>
      <w:r>
        <w:rPr>
          <w:rFonts w:hint="eastAsia"/>
          <w:lang w:eastAsia="zh-CN"/>
        </w:rPr>
        <w:t>，无法适应不断变化的市场环境，如果严格执行，可能阻碍</w:t>
      </w:r>
      <w:r w:rsidR="00740274">
        <w:rPr>
          <w:rFonts w:hint="eastAsia"/>
          <w:lang w:eastAsia="zh-CN"/>
        </w:rPr>
        <w:t>推出</w:t>
      </w:r>
      <w:r>
        <w:rPr>
          <w:rFonts w:hint="eastAsia"/>
          <w:lang w:eastAsia="zh-CN"/>
        </w:rPr>
        <w:t>对提高</w:t>
      </w:r>
      <w:r w:rsidR="00740274">
        <w:rPr>
          <w:rFonts w:hint="eastAsia"/>
          <w:lang w:eastAsia="zh-CN"/>
        </w:rPr>
        <w:t>偿付</w:t>
      </w:r>
      <w:r>
        <w:rPr>
          <w:rFonts w:hint="eastAsia"/>
          <w:lang w:eastAsia="zh-CN"/>
        </w:rPr>
        <w:t>能力和消费者选择至关重要的新服务。例如，关于确保国际网络服务质量的第</w:t>
      </w:r>
      <w:r>
        <w:rPr>
          <w:rFonts w:hint="eastAsia"/>
          <w:lang w:eastAsia="zh-CN"/>
        </w:rPr>
        <w:t>3.1</w:t>
      </w:r>
      <w:r>
        <w:rPr>
          <w:rFonts w:hint="eastAsia"/>
          <w:lang w:eastAsia="zh-CN"/>
        </w:rPr>
        <w:t>条和第</w:t>
      </w:r>
      <w:r>
        <w:rPr>
          <w:rFonts w:hint="eastAsia"/>
          <w:lang w:eastAsia="zh-CN"/>
        </w:rPr>
        <w:t>3.4</w:t>
      </w:r>
      <w:r>
        <w:rPr>
          <w:rFonts w:hint="eastAsia"/>
          <w:lang w:eastAsia="zh-CN"/>
        </w:rPr>
        <w:t>条</w:t>
      </w:r>
      <w:r w:rsidR="0074027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规定</w:t>
      </w:r>
      <w:r w:rsidR="00740274">
        <w:rPr>
          <w:rFonts w:hint="eastAsia"/>
          <w:lang w:eastAsia="zh-CN"/>
        </w:rPr>
        <w:t>，都</w:t>
      </w:r>
      <w:r>
        <w:rPr>
          <w:rFonts w:hint="eastAsia"/>
          <w:lang w:eastAsia="zh-CN"/>
        </w:rPr>
        <w:t>与</w:t>
      </w:r>
      <w:r w:rsidR="00740274" w:rsidRPr="00740274">
        <w:rPr>
          <w:lang w:eastAsia="zh-CN"/>
        </w:rPr>
        <w:t>ITU-T</w:t>
      </w:r>
      <w:r>
        <w:rPr>
          <w:rFonts w:hint="eastAsia"/>
          <w:lang w:eastAsia="zh-CN"/>
        </w:rPr>
        <w:t>关于服务质量的建议</w:t>
      </w:r>
      <w:r w:rsidR="00740274">
        <w:rPr>
          <w:rFonts w:hint="eastAsia"/>
          <w:lang w:eastAsia="zh-CN"/>
        </w:rPr>
        <w:t>书具体</w:t>
      </w:r>
      <w:r>
        <w:rPr>
          <w:rFonts w:hint="eastAsia"/>
          <w:lang w:eastAsia="zh-CN"/>
        </w:rPr>
        <w:t>相关。</w:t>
      </w:r>
      <w:r w:rsidR="00740274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要求运营商</w:t>
      </w:r>
      <w:r w:rsidR="00740274">
        <w:rPr>
          <w:rFonts w:hint="eastAsia"/>
          <w:lang w:eastAsia="zh-CN"/>
        </w:rPr>
        <w:t>达到具体</w:t>
      </w:r>
      <w:r>
        <w:rPr>
          <w:rFonts w:hint="eastAsia"/>
          <w:lang w:eastAsia="zh-CN"/>
        </w:rPr>
        <w:t>服务质量</w:t>
      </w:r>
      <w:r w:rsidR="00740274">
        <w:rPr>
          <w:rFonts w:hint="eastAsia"/>
          <w:lang w:eastAsia="zh-CN"/>
        </w:rPr>
        <w:t>的规定</w:t>
      </w:r>
      <w:r>
        <w:rPr>
          <w:rFonts w:hint="eastAsia"/>
          <w:lang w:eastAsia="zh-CN"/>
        </w:rPr>
        <w:t>，可能会限制运营</w:t>
      </w:r>
      <w:proofErr w:type="gramStart"/>
      <w:r>
        <w:rPr>
          <w:rFonts w:hint="eastAsia"/>
          <w:lang w:eastAsia="zh-CN"/>
        </w:rPr>
        <w:t>商</w:t>
      </w:r>
      <w:r w:rsidR="00740274">
        <w:rPr>
          <w:rFonts w:hint="eastAsia"/>
          <w:lang w:eastAsia="zh-CN"/>
        </w:rPr>
        <w:t>满足</w:t>
      </w:r>
      <w:proofErr w:type="gramEnd"/>
      <w:r>
        <w:rPr>
          <w:rFonts w:hint="eastAsia"/>
          <w:lang w:eastAsia="zh-CN"/>
        </w:rPr>
        <w:t>消费者对新服务的偏好的能力，</w:t>
      </w:r>
      <w:r w:rsidR="00293984">
        <w:rPr>
          <w:rFonts w:hint="eastAsia"/>
          <w:lang w:eastAsia="zh-CN"/>
        </w:rPr>
        <w:t>因为</w:t>
      </w:r>
      <w:r>
        <w:rPr>
          <w:rFonts w:hint="eastAsia"/>
          <w:lang w:eastAsia="zh-CN"/>
        </w:rPr>
        <w:t>新服务可能会以较低</w:t>
      </w:r>
      <w:r w:rsidR="00512C9E">
        <w:rPr>
          <w:rFonts w:hint="eastAsia"/>
          <w:lang w:eastAsia="zh-CN"/>
        </w:rPr>
        <w:t>服务质量换取较低的</w:t>
      </w:r>
      <w:r>
        <w:rPr>
          <w:rFonts w:hint="eastAsia"/>
          <w:lang w:eastAsia="zh-CN"/>
        </w:rPr>
        <w:t>价格。世界各国提供</w:t>
      </w:r>
      <w:r w:rsidR="00512C9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一系列服务质量各异的国际电话计划，证明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="00512C9E">
        <w:rPr>
          <w:rFonts w:hint="eastAsia"/>
          <w:lang w:eastAsia="zh-CN"/>
        </w:rPr>
        <w:t>I</w:t>
      </w:r>
      <w:r w:rsidR="00512C9E">
        <w:rPr>
          <w:lang w:eastAsia="zh-CN"/>
        </w:rPr>
        <w:t>TR</w:t>
      </w:r>
      <w:r w:rsidR="00512C9E">
        <w:rPr>
          <w:rFonts w:hint="eastAsia"/>
          <w:lang w:eastAsia="zh-CN"/>
        </w:rPr>
        <w:t>的规定</w:t>
      </w:r>
      <w:r>
        <w:rPr>
          <w:rFonts w:hint="eastAsia"/>
          <w:lang w:eastAsia="zh-CN"/>
        </w:rPr>
        <w:t>缺乏相关性和实用性。</w:t>
      </w:r>
      <w:bookmarkEnd w:id="10"/>
    </w:p>
    <w:p w14:paraId="3C4D2F75" w14:textId="2488675A" w:rsidR="00BA5DD5" w:rsidRPr="00131426" w:rsidRDefault="00512C9E" w:rsidP="009862C7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ind w:left="794" w:hanging="794"/>
        <w:rPr>
          <w:b w:val="0"/>
          <w:bCs/>
          <w:lang w:eastAsia="zh-CN"/>
        </w:rPr>
      </w:pPr>
      <w:bookmarkStart w:id="20" w:name="lt_pId032"/>
      <w:r w:rsidRPr="009862C7">
        <w:rPr>
          <w:rFonts w:ascii="Times New Roman" w:eastAsiaTheme="minorEastAsia" w:hAnsi="Times New Roman" w:hint="eastAsia"/>
          <w:bCs/>
          <w:lang w:eastAsia="zh-CN"/>
        </w:rPr>
        <w:t>结论</w:t>
      </w:r>
      <w:bookmarkEnd w:id="20"/>
    </w:p>
    <w:p w14:paraId="0C851DEB" w14:textId="2D57886A" w:rsidR="00512C9E" w:rsidRDefault="00512C9E" w:rsidP="009862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firstLineChars="200" w:firstLine="480"/>
        <w:jc w:val="both"/>
        <w:rPr>
          <w:lang w:eastAsia="zh-CN"/>
        </w:rPr>
      </w:pPr>
      <w:bookmarkStart w:id="21" w:name="lt_pId033"/>
      <w:r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信通技术部门</w:t>
      </w:r>
      <w:r w:rsidR="007F0DDC">
        <w:rPr>
          <w:rFonts w:hint="eastAsia"/>
          <w:lang w:eastAsia="zh-CN"/>
        </w:rPr>
        <w:t>不懈地</w:t>
      </w:r>
      <w:r>
        <w:rPr>
          <w:rFonts w:hint="eastAsia"/>
          <w:lang w:eastAsia="zh-CN"/>
        </w:rPr>
        <w:t>推动全球的经济增长。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年，电信部门的收入占全球国内生产总值（</w:t>
      </w:r>
      <w:r w:rsidRPr="00512C9E">
        <w:rPr>
          <w:lang w:eastAsia="zh-CN"/>
        </w:rPr>
        <w:t>GDP</w:t>
      </w:r>
      <w:r>
        <w:rPr>
          <w:rFonts w:hint="eastAsia"/>
          <w:lang w:eastAsia="zh-CN"/>
        </w:rPr>
        <w:t>）的</w:t>
      </w:r>
      <w:r>
        <w:rPr>
          <w:rFonts w:hint="eastAsia"/>
          <w:lang w:eastAsia="zh-CN"/>
        </w:rPr>
        <w:t>2.3%</w:t>
      </w:r>
      <w:r>
        <w:rPr>
          <w:rFonts w:hint="eastAsia"/>
          <w:lang w:eastAsia="zh-CN"/>
        </w:rPr>
        <w:t>。</w:t>
      </w:r>
      <w:r w:rsidRPr="00131426">
        <w:rPr>
          <w:rStyle w:val="FootnoteReference"/>
        </w:rPr>
        <w:footnoteReference w:id="4"/>
      </w:r>
      <w:r w:rsidR="00BE5D2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I</w:t>
      </w:r>
      <w:r>
        <w:rPr>
          <w:lang w:eastAsia="zh-CN"/>
        </w:rPr>
        <w:t>TR</w:t>
      </w:r>
      <w:r>
        <w:rPr>
          <w:rFonts w:hint="eastAsia"/>
          <w:lang w:eastAsia="zh-CN"/>
        </w:rPr>
        <w:t>的硬性规定既</w:t>
      </w:r>
      <w:r w:rsidR="007E3A86">
        <w:rPr>
          <w:rFonts w:hint="eastAsia"/>
          <w:lang w:eastAsia="zh-CN"/>
        </w:rPr>
        <w:t>未</w:t>
      </w:r>
      <w:r>
        <w:rPr>
          <w:rFonts w:hint="eastAsia"/>
          <w:lang w:eastAsia="zh-CN"/>
        </w:rPr>
        <w:t>预见也未助力新的服务，尤其是推动电信部门增长的移动应用。我们认为，世界各国</w:t>
      </w:r>
      <w:r w:rsidR="000A1236">
        <w:rPr>
          <w:rFonts w:hint="eastAsia"/>
          <w:lang w:eastAsia="zh-CN"/>
        </w:rPr>
        <w:t>体验到</w:t>
      </w:r>
      <w:r>
        <w:rPr>
          <w:rFonts w:hint="eastAsia"/>
          <w:lang w:eastAsia="zh-CN"/>
        </w:rPr>
        <w:t>的电信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信通技术</w:t>
      </w:r>
      <w:r w:rsidR="000A1236">
        <w:rPr>
          <w:rFonts w:hint="eastAsia"/>
          <w:lang w:eastAsia="zh-CN"/>
        </w:rPr>
        <w:t>效益</w:t>
      </w:r>
      <w:r>
        <w:rPr>
          <w:rFonts w:hint="eastAsia"/>
          <w:lang w:eastAsia="zh-CN"/>
        </w:rPr>
        <w:t>不是因为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="000A1236">
        <w:rPr>
          <w:rFonts w:hint="eastAsia"/>
          <w:lang w:eastAsia="zh-CN"/>
        </w:rPr>
        <w:t>ITR</w:t>
      </w:r>
      <w:r w:rsidR="000A1236">
        <w:rPr>
          <w:rFonts w:hint="eastAsia"/>
          <w:lang w:eastAsia="zh-CN"/>
        </w:rPr>
        <w:t>这一</w:t>
      </w:r>
      <w:r w:rsidR="000A1236" w:rsidRPr="000A1236">
        <w:rPr>
          <w:rFonts w:hint="eastAsia"/>
          <w:lang w:eastAsia="zh-CN"/>
        </w:rPr>
        <w:t>条约文书</w:t>
      </w:r>
      <w:r w:rsidR="007A1554">
        <w:rPr>
          <w:rFonts w:hint="eastAsia"/>
          <w:lang w:eastAsia="zh-CN"/>
        </w:rPr>
        <w:t>得到了执行</w:t>
      </w:r>
      <w:r>
        <w:rPr>
          <w:rFonts w:hint="eastAsia"/>
          <w:lang w:eastAsia="zh-CN"/>
        </w:rPr>
        <w:t>，而是</w:t>
      </w:r>
      <w:r w:rsidR="000A1236">
        <w:rPr>
          <w:rFonts w:hint="eastAsia"/>
          <w:lang w:eastAsia="zh-CN"/>
        </w:rPr>
        <w:t>相反</w:t>
      </w:r>
      <w:r>
        <w:rPr>
          <w:rFonts w:hint="eastAsia"/>
          <w:lang w:eastAsia="zh-CN"/>
        </w:rPr>
        <w:t>。</w:t>
      </w:r>
    </w:p>
    <w:p w14:paraId="5CBA659D" w14:textId="11286506" w:rsidR="00BA5DD5" w:rsidRDefault="00512C9E" w:rsidP="009862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相比之下，一般性</w:t>
      </w:r>
      <w:r w:rsidR="000A123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条约条款更有可能承受不断变化的市场条件和技术创新。我们认为，国际电联</w:t>
      </w:r>
      <w:r w:rsidR="000A1236">
        <w:rPr>
          <w:rFonts w:hint="eastAsia"/>
          <w:lang w:eastAsia="zh-CN"/>
        </w:rPr>
        <w:t>《组织法》和《公约》</w:t>
      </w:r>
      <w:r>
        <w:rPr>
          <w:rFonts w:hint="eastAsia"/>
          <w:lang w:eastAsia="zh-CN"/>
        </w:rPr>
        <w:t>包含的</w:t>
      </w:r>
      <w:r w:rsidR="000A1236">
        <w:rPr>
          <w:rFonts w:hint="eastAsia"/>
          <w:lang w:eastAsia="zh-CN"/>
        </w:rPr>
        <w:t>一般性</w:t>
      </w:r>
      <w:r w:rsidR="000A1236">
        <w:rPr>
          <w:rFonts w:hint="eastAsia"/>
          <w:lang w:eastAsia="zh-CN"/>
        </w:rPr>
        <w:t>I</w:t>
      </w:r>
      <w:r w:rsidR="000A1236">
        <w:rPr>
          <w:lang w:eastAsia="zh-CN"/>
        </w:rPr>
        <w:t>TR</w:t>
      </w:r>
      <w:r>
        <w:rPr>
          <w:rFonts w:hint="eastAsia"/>
          <w:lang w:eastAsia="zh-CN"/>
        </w:rPr>
        <w:t>条款具有弹性，</w:t>
      </w:r>
      <w:r w:rsidR="000A1236">
        <w:rPr>
          <w:rFonts w:hint="eastAsia"/>
          <w:lang w:eastAsia="zh-CN"/>
        </w:rPr>
        <w:t>经得起</w:t>
      </w:r>
      <w:r>
        <w:rPr>
          <w:rFonts w:hint="eastAsia"/>
          <w:lang w:eastAsia="zh-CN"/>
        </w:rPr>
        <w:t>不断变化的市场和技术环境</w:t>
      </w:r>
      <w:r w:rsidR="000A1236">
        <w:rPr>
          <w:rFonts w:hint="eastAsia"/>
          <w:lang w:eastAsia="zh-CN"/>
        </w:rPr>
        <w:t>的考验</w:t>
      </w:r>
      <w:r>
        <w:rPr>
          <w:rFonts w:hint="eastAsia"/>
          <w:lang w:eastAsia="zh-CN"/>
        </w:rPr>
        <w:t>。</w:t>
      </w:r>
      <w:r w:rsidR="000A1236">
        <w:rPr>
          <w:rStyle w:val="FootnoteReference"/>
        </w:rPr>
        <w:footnoteReference w:id="5"/>
      </w:r>
      <w:bookmarkEnd w:id="21"/>
    </w:p>
    <w:p w14:paraId="75D9238E" w14:textId="77777777" w:rsidR="00BA5DD5" w:rsidRDefault="00F16143" w:rsidP="00462666">
      <w:pPr>
        <w:spacing w:before="360"/>
        <w:jc w:val="center"/>
      </w:pPr>
      <w:r>
        <w:t>____________________</w:t>
      </w:r>
    </w:p>
    <w:sectPr w:rsidR="00BA5DD5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59D7" w14:textId="77777777" w:rsidR="003B4CDB" w:rsidRDefault="00F16143">
      <w:pPr>
        <w:spacing w:before="0"/>
      </w:pPr>
      <w:r>
        <w:separator/>
      </w:r>
    </w:p>
  </w:endnote>
  <w:endnote w:type="continuationSeparator" w:id="0">
    <w:p w14:paraId="0E42DBFA" w14:textId="77777777" w:rsidR="003B4CDB" w:rsidRDefault="00F161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CC58" w14:textId="3874EB54" w:rsidR="00C44489" w:rsidRPr="00462666" w:rsidRDefault="00C44489" w:rsidP="009862C7">
    <w:pPr>
      <w:pStyle w:val="Footer"/>
    </w:pPr>
    <w:fldSimple w:instr=" FILENAME \p  \* MERGEFORMAT ">
      <w:r w:rsidR="009862C7">
        <w:t>P:\CHI\SG\CONSEIL\EG-ITR\EG-ITR-2\000\007C.docx</w:t>
      </w:r>
    </w:fldSimple>
    <w:r w:rsidR="009862C7">
      <w:t xml:space="preserve"> </w:t>
    </w:r>
    <w:r w:rsidR="009862C7">
      <w:rPr>
        <w:lang w:val="en-US"/>
      </w:rPr>
      <w:t>(467121)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61FCA" w14:textId="77777777" w:rsidR="00C44489" w:rsidRPr="00462666" w:rsidRDefault="00C44489">
    <w:pPr>
      <w:spacing w:after="120"/>
      <w:jc w:val="center"/>
      <w:rPr>
        <w:sz w:val="22"/>
        <w:szCs w:val="22"/>
      </w:rPr>
    </w:pPr>
    <w:r w:rsidRPr="00C44489">
      <w:rPr>
        <w:sz w:val="22"/>
        <w:szCs w:val="22"/>
      </w:rPr>
      <w:t xml:space="preserve">• </w:t>
    </w:r>
    <w:hyperlink r:id="rId1" w:history="1">
      <w:r w:rsidRPr="00C44489">
        <w:rPr>
          <w:rStyle w:val="Hyperlink"/>
          <w:sz w:val="22"/>
          <w:szCs w:val="22"/>
        </w:rPr>
        <w:t>http://www.itu.int/council</w:t>
      </w:r>
    </w:hyperlink>
    <w:r w:rsidRPr="00C44489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6596" w14:textId="77777777" w:rsidR="00D276E1" w:rsidRDefault="00F16143">
      <w:r>
        <w:t>____________________</w:t>
      </w:r>
    </w:p>
  </w:footnote>
  <w:footnote w:type="continuationSeparator" w:id="0">
    <w:p w14:paraId="36DE4DF7" w14:textId="77777777" w:rsidR="00D276E1" w:rsidRDefault="00F16143">
      <w:r>
        <w:continuationSeparator/>
      </w:r>
    </w:p>
  </w:footnote>
  <w:footnote w:id="1">
    <w:p w14:paraId="1CA3681E" w14:textId="286E59F5" w:rsidR="00C26FA5" w:rsidRPr="009862C7" w:rsidRDefault="00C26FA5" w:rsidP="00C26FA5">
      <w:pPr>
        <w:pStyle w:val="FootnoteText"/>
        <w:rPr>
          <w:szCs w:val="24"/>
        </w:rPr>
      </w:pPr>
      <w:r>
        <w:rPr>
          <w:rStyle w:val="FootnoteReference"/>
        </w:rPr>
        <w:footnoteRef/>
      </w:r>
      <w:r w:rsidRPr="009862C7">
        <w:rPr>
          <w:szCs w:val="24"/>
        </w:rPr>
        <w:tab/>
      </w:r>
      <w:bookmarkStart w:id="14" w:name="lt_pId040"/>
      <w:r w:rsidR="00947655" w:rsidRPr="00C42D3B">
        <w:rPr>
          <w:rFonts w:hint="eastAsia"/>
          <w:szCs w:val="24"/>
          <w:lang w:eastAsia="zh-CN"/>
        </w:rPr>
        <w:t>请通过</w:t>
      </w:r>
      <w:r w:rsidR="00B92957" w:rsidRPr="00C42D3B">
        <w:rPr>
          <w:szCs w:val="24"/>
        </w:rPr>
        <w:fldChar w:fldCharType="begin"/>
      </w:r>
      <w:r w:rsidR="00B92957" w:rsidRPr="00C42D3B">
        <w:rPr>
          <w:szCs w:val="24"/>
        </w:rPr>
        <w:instrText xml:space="preserve"> HYPERLINK "https://blog.telegeography.com/voice-traffics-slump-continued-in-a-big-way-last-year" </w:instrText>
      </w:r>
      <w:r w:rsidR="00B92957" w:rsidRPr="00C42D3B">
        <w:rPr>
          <w:szCs w:val="24"/>
        </w:rPr>
        <w:fldChar w:fldCharType="separate"/>
      </w:r>
      <w:r w:rsidR="00947655" w:rsidRPr="00C42D3B">
        <w:rPr>
          <w:rStyle w:val="Hyperlink"/>
          <w:szCs w:val="24"/>
        </w:rPr>
        <w:t>https://blog.telegeography.com/voice-traffics-slump-continued-in-a-big-way-last-year</w:t>
      </w:r>
      <w:r w:rsidR="00B92957" w:rsidRPr="00C42D3B">
        <w:rPr>
          <w:rStyle w:val="Hyperlink"/>
          <w:szCs w:val="24"/>
        </w:rPr>
        <w:fldChar w:fldCharType="end"/>
      </w:r>
      <w:r w:rsidR="00947655" w:rsidRPr="00C42D3B">
        <w:rPr>
          <w:rFonts w:hint="eastAsia"/>
          <w:szCs w:val="24"/>
          <w:lang w:eastAsia="zh-CN"/>
        </w:rPr>
        <w:t>网站查询</w:t>
      </w:r>
      <w:proofErr w:type="spellStart"/>
      <w:r w:rsidRPr="00C42D3B">
        <w:rPr>
          <w:szCs w:val="24"/>
        </w:rPr>
        <w:t>Telegeography</w:t>
      </w:r>
      <w:proofErr w:type="spellEnd"/>
      <w:r w:rsidR="00947655" w:rsidRPr="00C42D3B">
        <w:rPr>
          <w:rFonts w:hint="eastAsia"/>
          <w:szCs w:val="24"/>
          <w:lang w:eastAsia="zh-CN"/>
        </w:rPr>
        <w:t>（美国互联网流量监测机构</w:t>
      </w:r>
      <w:r w:rsidR="00947655" w:rsidRPr="00C42D3B">
        <w:rPr>
          <w:rFonts w:hint="eastAsia"/>
          <w:szCs w:val="24"/>
          <w:lang w:eastAsia="zh-CN"/>
        </w:rPr>
        <w:t>-</w:t>
      </w:r>
      <w:r w:rsidR="00947655" w:rsidRPr="00C42D3B">
        <w:rPr>
          <w:rFonts w:hint="eastAsia"/>
          <w:szCs w:val="24"/>
          <w:lang w:eastAsia="zh-CN"/>
        </w:rPr>
        <w:t>译注）</w:t>
      </w:r>
      <w:bookmarkEnd w:id="14"/>
      <w:r w:rsidR="009862C7" w:rsidRPr="00C42D3B">
        <w:rPr>
          <w:rFonts w:hint="eastAsia"/>
          <w:szCs w:val="24"/>
          <w:lang w:eastAsia="zh-CN"/>
        </w:rPr>
        <w:t>。</w:t>
      </w:r>
    </w:p>
  </w:footnote>
  <w:footnote w:id="2">
    <w:p w14:paraId="305B4598" w14:textId="2569D3AF" w:rsidR="00BC611E" w:rsidRPr="00C42D3B" w:rsidRDefault="00BC611E" w:rsidP="00BC611E">
      <w:pPr>
        <w:pStyle w:val="FootnoteText"/>
        <w:spacing w:before="80"/>
        <w:rPr>
          <w:szCs w:val="24"/>
        </w:rPr>
      </w:pPr>
      <w:r w:rsidRPr="00C44489">
        <w:rPr>
          <w:rStyle w:val="FootnoteReference"/>
        </w:rPr>
        <w:footnoteRef/>
      </w:r>
      <w:r w:rsidRPr="00C44489">
        <w:tab/>
      </w:r>
      <w:bookmarkStart w:id="15" w:name="lt_pId041"/>
      <w:proofErr w:type="spellStart"/>
      <w:r w:rsidR="00947655" w:rsidRPr="00C42D3B">
        <w:rPr>
          <w:rFonts w:hint="eastAsia"/>
          <w:szCs w:val="24"/>
        </w:rPr>
        <w:t>见审</w:t>
      </w:r>
      <w:proofErr w:type="spellEnd"/>
      <w:r w:rsidR="00947655" w:rsidRPr="00C42D3B">
        <w:rPr>
          <w:rFonts w:hint="eastAsia"/>
          <w:szCs w:val="24"/>
          <w:lang w:eastAsia="zh-CN"/>
        </w:rPr>
        <w:t>议</w:t>
      </w:r>
      <w:bookmarkStart w:id="16" w:name="_Hlk31206847"/>
      <w:r w:rsidR="00947655" w:rsidRPr="00C42D3B">
        <w:rPr>
          <w:rFonts w:hint="eastAsia"/>
          <w:szCs w:val="24"/>
          <w:lang w:eastAsia="zh-CN"/>
        </w:rPr>
        <w:t>《</w:t>
      </w:r>
      <w:proofErr w:type="spellStart"/>
      <w:r w:rsidR="00947655" w:rsidRPr="00C42D3B">
        <w:rPr>
          <w:rFonts w:hint="eastAsia"/>
          <w:szCs w:val="24"/>
        </w:rPr>
        <w:t>国际电信</w:t>
      </w:r>
      <w:proofErr w:type="spellEnd"/>
      <w:r w:rsidR="00947655" w:rsidRPr="00C42D3B">
        <w:rPr>
          <w:rFonts w:hint="eastAsia"/>
          <w:szCs w:val="24"/>
          <w:lang w:eastAsia="zh-CN"/>
        </w:rPr>
        <w:t>规则》</w:t>
      </w:r>
      <w:bookmarkEnd w:id="16"/>
      <w:proofErr w:type="spellStart"/>
      <w:r w:rsidR="00947655" w:rsidRPr="00C42D3B">
        <w:rPr>
          <w:rFonts w:hint="eastAsia"/>
          <w:szCs w:val="24"/>
        </w:rPr>
        <w:t>专家组</w:t>
      </w:r>
      <w:proofErr w:type="spellEnd"/>
      <w:r w:rsidR="00947655" w:rsidRPr="00C42D3B">
        <w:rPr>
          <w:rFonts w:hint="eastAsia"/>
          <w:szCs w:val="24"/>
          <w:lang w:eastAsia="zh-CN"/>
        </w:rPr>
        <w:t>（</w:t>
      </w:r>
      <w:r w:rsidR="00947655" w:rsidRPr="00C42D3B">
        <w:rPr>
          <w:rFonts w:hint="eastAsia"/>
          <w:szCs w:val="24"/>
        </w:rPr>
        <w:t>2007-2009</w:t>
      </w:r>
      <w:r w:rsidR="00947655" w:rsidRPr="00C42D3B">
        <w:rPr>
          <w:rFonts w:hint="eastAsia"/>
          <w:szCs w:val="24"/>
        </w:rPr>
        <w:t>年</w:t>
      </w:r>
      <w:r w:rsidR="00947655" w:rsidRPr="00C42D3B">
        <w:rPr>
          <w:rFonts w:hint="eastAsia"/>
          <w:szCs w:val="24"/>
          <w:lang w:eastAsia="zh-CN"/>
        </w:rPr>
        <w:t>）</w:t>
      </w:r>
      <w:proofErr w:type="spellStart"/>
      <w:r w:rsidR="00947655" w:rsidRPr="00C42D3B">
        <w:rPr>
          <w:rFonts w:hint="eastAsia"/>
          <w:szCs w:val="24"/>
        </w:rPr>
        <w:t>关于</w:t>
      </w:r>
      <w:proofErr w:type="spellEnd"/>
      <w:r w:rsidR="00947655" w:rsidRPr="00C42D3B">
        <w:rPr>
          <w:rFonts w:hint="eastAsia"/>
          <w:szCs w:val="24"/>
          <w:lang w:eastAsia="zh-CN"/>
        </w:rPr>
        <w:t>审议</w:t>
      </w:r>
      <w:r w:rsidR="00947655" w:rsidRPr="00C42D3B">
        <w:rPr>
          <w:rFonts w:hint="eastAsia"/>
          <w:szCs w:val="24"/>
        </w:rPr>
        <w:t>《</w:t>
      </w:r>
      <w:proofErr w:type="spellStart"/>
      <w:r w:rsidR="00947655" w:rsidRPr="00C42D3B">
        <w:rPr>
          <w:rFonts w:hint="eastAsia"/>
          <w:szCs w:val="24"/>
        </w:rPr>
        <w:t>国际电信规则》的</w:t>
      </w:r>
      <w:proofErr w:type="spellEnd"/>
      <w:r w:rsidR="00947655" w:rsidRPr="00C42D3B">
        <w:rPr>
          <w:rFonts w:hint="eastAsia"/>
          <w:szCs w:val="24"/>
        </w:rPr>
        <w:t>4</w:t>
      </w:r>
      <w:proofErr w:type="spellStart"/>
      <w:r w:rsidR="00947655" w:rsidRPr="00C42D3B">
        <w:rPr>
          <w:rFonts w:hint="eastAsia"/>
          <w:szCs w:val="24"/>
        </w:rPr>
        <w:t>号情况通报文件</w:t>
      </w:r>
      <w:proofErr w:type="spellEnd"/>
      <w:r w:rsidR="00B92957" w:rsidRPr="00C42D3B">
        <w:rPr>
          <w:szCs w:val="24"/>
        </w:rPr>
        <w:fldChar w:fldCharType="begin"/>
      </w:r>
      <w:r w:rsidR="00B92957" w:rsidRPr="00C42D3B">
        <w:rPr>
          <w:szCs w:val="24"/>
        </w:rPr>
        <w:instrText xml:space="preserve"> HYPERLINK "https://www.itu.int/md/T05-ITR.EG-INF-0004/en" </w:instrText>
      </w:r>
      <w:r w:rsidR="00B92957" w:rsidRPr="00C42D3B">
        <w:rPr>
          <w:szCs w:val="24"/>
        </w:rPr>
        <w:fldChar w:fldCharType="separate"/>
      </w:r>
      <w:r w:rsidRPr="00C42D3B">
        <w:rPr>
          <w:rStyle w:val="Hyperlink"/>
          <w:szCs w:val="24"/>
        </w:rPr>
        <w:t>https://www.itu.int/md/T05-ITR.EG-INF-0004/en</w:t>
      </w:r>
      <w:r w:rsidR="00B92957" w:rsidRPr="00C42D3B">
        <w:rPr>
          <w:rStyle w:val="Hyperlink"/>
          <w:szCs w:val="24"/>
        </w:rPr>
        <w:fldChar w:fldCharType="end"/>
      </w:r>
      <w:bookmarkEnd w:id="15"/>
      <w:r w:rsidR="007F0DDC" w:rsidRPr="00C42D3B">
        <w:rPr>
          <w:rFonts w:hint="eastAsia"/>
          <w:szCs w:val="24"/>
          <w:lang w:eastAsia="zh-CN"/>
        </w:rPr>
        <w:t>。</w:t>
      </w:r>
    </w:p>
  </w:footnote>
  <w:footnote w:id="3">
    <w:p w14:paraId="6647DD55" w14:textId="12191EA8" w:rsidR="00BC611E" w:rsidRPr="00C44489" w:rsidRDefault="00BC611E" w:rsidP="00BC611E">
      <w:pPr>
        <w:pStyle w:val="FootnoteText"/>
        <w:spacing w:before="80"/>
      </w:pPr>
      <w:r w:rsidRPr="00C44489">
        <w:rPr>
          <w:rStyle w:val="FootnoteReference"/>
        </w:rPr>
        <w:footnoteRef/>
      </w:r>
      <w:r w:rsidRPr="00C44489">
        <w:tab/>
      </w:r>
      <w:bookmarkStart w:id="19" w:name="lt_pId042"/>
      <w:proofErr w:type="spellStart"/>
      <w:r w:rsidR="00293984" w:rsidRPr="00BE5D24">
        <w:rPr>
          <w:rFonts w:hint="eastAsia"/>
          <w:szCs w:val="24"/>
        </w:rPr>
        <w:t>有关现货市场的描述，请见联邦通信委员会年度报告第</w:t>
      </w:r>
      <w:proofErr w:type="spellEnd"/>
      <w:r w:rsidR="00293984" w:rsidRPr="00BE5D24">
        <w:rPr>
          <w:rFonts w:hint="eastAsia"/>
          <w:szCs w:val="24"/>
        </w:rPr>
        <w:t>43.62</w:t>
      </w:r>
      <w:proofErr w:type="spellStart"/>
      <w:r w:rsidR="00293984" w:rsidRPr="00BE5D24">
        <w:rPr>
          <w:rFonts w:hint="eastAsia"/>
          <w:szCs w:val="24"/>
        </w:rPr>
        <w:t>节的备案手册</w:t>
      </w:r>
      <w:proofErr w:type="spellEnd"/>
      <w:r w:rsidR="00293984" w:rsidRPr="00BE5D24">
        <w:rPr>
          <w:rFonts w:hint="eastAsia"/>
          <w:szCs w:val="24"/>
          <w:lang w:eastAsia="zh-CN"/>
        </w:rPr>
        <w:t>（</w:t>
      </w:r>
      <w:r w:rsidR="00293984" w:rsidRPr="00BE5D24">
        <w:rPr>
          <w:rFonts w:hint="eastAsia"/>
          <w:szCs w:val="24"/>
        </w:rPr>
        <w:t>2016</w:t>
      </w:r>
      <w:r w:rsidR="00293984" w:rsidRPr="00BE5D24">
        <w:rPr>
          <w:rFonts w:hint="eastAsia"/>
          <w:szCs w:val="24"/>
        </w:rPr>
        <w:t>年</w:t>
      </w:r>
      <w:r w:rsidR="00293984" w:rsidRPr="00BE5D24">
        <w:rPr>
          <w:rFonts w:hint="eastAsia"/>
          <w:szCs w:val="24"/>
        </w:rPr>
        <w:t>2</w:t>
      </w:r>
      <w:r w:rsidR="00293984" w:rsidRPr="00BE5D24">
        <w:rPr>
          <w:rFonts w:hint="eastAsia"/>
          <w:szCs w:val="24"/>
        </w:rPr>
        <w:t>月</w:t>
      </w:r>
      <w:r w:rsidR="00293984" w:rsidRPr="00BE5D24">
        <w:rPr>
          <w:rFonts w:hint="eastAsia"/>
          <w:szCs w:val="24"/>
          <w:lang w:eastAsia="zh-CN"/>
        </w:rPr>
        <w:t>）</w:t>
      </w:r>
      <w:hyperlink r:id="rId1" w:history="1">
        <w:r w:rsidRPr="00BE5D24">
          <w:rPr>
            <w:rStyle w:val="Hyperlink"/>
            <w:szCs w:val="24"/>
          </w:rPr>
          <w:t>https://www.fcc.gov/document/filing-manual-section-4362-annual-reports-february-2016</w:t>
        </w:r>
      </w:hyperlink>
      <w:bookmarkEnd w:id="19"/>
      <w:r w:rsidR="00293984" w:rsidRPr="00BE5D24">
        <w:rPr>
          <w:rFonts w:hint="eastAsia"/>
          <w:szCs w:val="24"/>
          <w:lang w:eastAsia="zh-CN"/>
        </w:rPr>
        <w:t>。</w:t>
      </w:r>
    </w:p>
  </w:footnote>
  <w:footnote w:id="4">
    <w:p w14:paraId="305A21D9" w14:textId="76D6A91D" w:rsidR="00512C9E" w:rsidRPr="00C44489" w:rsidRDefault="00512C9E" w:rsidP="00512C9E">
      <w:pPr>
        <w:pStyle w:val="FootnoteText"/>
        <w:spacing w:before="80"/>
        <w:rPr>
          <w:lang w:eastAsia="zh-CN"/>
        </w:rPr>
      </w:pPr>
      <w:r w:rsidRPr="00C44489">
        <w:rPr>
          <w:rStyle w:val="FootnoteReference"/>
        </w:rPr>
        <w:footnoteRef/>
      </w:r>
      <w:r w:rsidRPr="00C44489">
        <w:rPr>
          <w:lang w:eastAsia="zh-CN"/>
        </w:rPr>
        <w:tab/>
      </w:r>
      <w:bookmarkStart w:id="22" w:name="lt_pId043"/>
      <w:r w:rsidR="00293984" w:rsidRPr="00BE5D24">
        <w:rPr>
          <w:rFonts w:hint="eastAsia"/>
          <w:szCs w:val="24"/>
          <w:lang w:eastAsia="zh-CN"/>
        </w:rPr>
        <w:t>国际电联《</w:t>
      </w:r>
      <w:r w:rsidR="00293984" w:rsidRPr="00BE5D24">
        <w:rPr>
          <w:rFonts w:hint="eastAsia"/>
          <w:szCs w:val="24"/>
          <w:lang w:eastAsia="zh-CN"/>
        </w:rPr>
        <w:t>2018</w:t>
      </w:r>
      <w:r w:rsidR="00293984" w:rsidRPr="00BE5D24">
        <w:rPr>
          <w:rFonts w:hint="eastAsia"/>
          <w:szCs w:val="24"/>
          <w:lang w:eastAsia="zh-CN"/>
        </w:rPr>
        <w:t>年衡量信息社会发展报告》第</w:t>
      </w:r>
      <w:r w:rsidR="00293984" w:rsidRPr="00BE5D24">
        <w:rPr>
          <w:rFonts w:hint="eastAsia"/>
          <w:szCs w:val="24"/>
          <w:lang w:eastAsia="zh-CN"/>
        </w:rPr>
        <w:t>1</w:t>
      </w:r>
      <w:r w:rsidR="00293984" w:rsidRPr="00BE5D24">
        <w:rPr>
          <w:rFonts w:hint="eastAsia"/>
          <w:szCs w:val="24"/>
          <w:lang w:eastAsia="zh-CN"/>
        </w:rPr>
        <w:t>卷第</w:t>
      </w:r>
      <w:r w:rsidR="00293984" w:rsidRPr="00BE5D24">
        <w:rPr>
          <w:rFonts w:hint="eastAsia"/>
          <w:szCs w:val="24"/>
          <w:lang w:eastAsia="zh-CN"/>
        </w:rPr>
        <w:t>57</w:t>
      </w:r>
      <w:r w:rsidR="00293984" w:rsidRPr="00BE5D24">
        <w:rPr>
          <w:rFonts w:hint="eastAsia"/>
          <w:szCs w:val="24"/>
          <w:lang w:eastAsia="zh-CN"/>
        </w:rPr>
        <w:t>页。</w:t>
      </w:r>
      <w:bookmarkEnd w:id="22"/>
    </w:p>
  </w:footnote>
  <w:footnote w:id="5">
    <w:p w14:paraId="0DBC24D0" w14:textId="06D1960C" w:rsidR="000A1236" w:rsidRPr="00BE5D24" w:rsidRDefault="000A1236" w:rsidP="000A1236">
      <w:pPr>
        <w:pStyle w:val="FootnoteText"/>
        <w:spacing w:before="80"/>
        <w:rPr>
          <w:szCs w:val="24"/>
        </w:rPr>
      </w:pPr>
      <w:r w:rsidRPr="00C44489">
        <w:rPr>
          <w:rStyle w:val="FootnoteReference"/>
        </w:rPr>
        <w:footnoteRef/>
      </w:r>
      <w:r w:rsidRPr="00C44489">
        <w:tab/>
      </w:r>
      <w:bookmarkStart w:id="23" w:name="lt_pId044"/>
      <w:proofErr w:type="gramStart"/>
      <w:r w:rsidR="007F0DDC" w:rsidRPr="00BE5D24">
        <w:rPr>
          <w:rFonts w:hint="eastAsia"/>
          <w:szCs w:val="24"/>
          <w:lang w:eastAsia="zh-CN"/>
        </w:rPr>
        <w:t>见审议</w:t>
      </w:r>
      <w:bookmarkStart w:id="24" w:name="_Hlk31207865"/>
      <w:proofErr w:type="gramEnd"/>
      <w:r w:rsidR="007F0DDC" w:rsidRPr="00BE5D24">
        <w:rPr>
          <w:rFonts w:hint="eastAsia"/>
          <w:szCs w:val="24"/>
          <w:lang w:eastAsia="zh-CN"/>
        </w:rPr>
        <w:t>《国际电信规则》</w:t>
      </w:r>
      <w:bookmarkEnd w:id="24"/>
      <w:r w:rsidR="007F0DDC" w:rsidRPr="00BE5D24">
        <w:rPr>
          <w:rFonts w:hint="eastAsia"/>
          <w:szCs w:val="24"/>
          <w:lang w:eastAsia="zh-CN"/>
        </w:rPr>
        <w:t>专家组（</w:t>
      </w:r>
      <w:r w:rsidR="007F0DDC" w:rsidRPr="00BE5D24">
        <w:rPr>
          <w:rFonts w:hint="eastAsia"/>
          <w:szCs w:val="24"/>
          <w:lang w:eastAsia="zh-CN"/>
        </w:rPr>
        <w:t>2007-2009</w:t>
      </w:r>
      <w:r w:rsidR="007F0DDC" w:rsidRPr="00BE5D24">
        <w:rPr>
          <w:rFonts w:hint="eastAsia"/>
          <w:szCs w:val="24"/>
          <w:lang w:eastAsia="zh-CN"/>
        </w:rPr>
        <w:t>年）关于《国际电信规则》与《组织法》和《公约》的关系的</w:t>
      </w:r>
      <w:r w:rsidR="007F0DDC" w:rsidRPr="00BE5D24">
        <w:rPr>
          <w:rFonts w:hint="eastAsia"/>
          <w:szCs w:val="24"/>
          <w:lang w:eastAsia="zh-CN"/>
        </w:rPr>
        <w:t>5</w:t>
      </w:r>
      <w:r w:rsidR="007F0DDC" w:rsidRPr="00BE5D24">
        <w:rPr>
          <w:rFonts w:hint="eastAsia"/>
          <w:szCs w:val="24"/>
          <w:lang w:eastAsia="zh-CN"/>
        </w:rPr>
        <w:t>号情况通报文件</w:t>
      </w:r>
      <w:hyperlink r:id="rId2" w:history="1">
        <w:r w:rsidRPr="00BE5D24">
          <w:rPr>
            <w:rStyle w:val="Hyperlink"/>
            <w:szCs w:val="24"/>
          </w:rPr>
          <w:t>https://www.itu.int/md/T05-ITR.EG-INF-0005/en</w:t>
        </w:r>
      </w:hyperlink>
      <w:bookmarkEnd w:id="23"/>
      <w:r w:rsidR="007F0DDC" w:rsidRPr="00BE5D24">
        <w:rPr>
          <w:rFonts w:hint="eastAsia"/>
          <w:szCs w:val="24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157D" w14:textId="77777777" w:rsidR="00C44489" w:rsidRDefault="00C44489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1FF302D" w14:textId="5FE14CBD" w:rsidR="00C44489" w:rsidRDefault="00C44489" w:rsidP="005243FF">
    <w:pPr>
      <w:pStyle w:val="Header"/>
    </w:pPr>
    <w:r>
      <w:rPr>
        <w:noProof/>
      </w:rPr>
      <w:t>EG-ITRs-2\7-</w:t>
    </w:r>
    <w:r w:rsidR="00B92957">
      <w:rPr>
        <w:noProof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B6A94"/>
    <w:multiLevelType w:val="hybridMultilevel"/>
    <w:tmpl w:val="DBD4D092"/>
    <w:lvl w:ilvl="0" w:tplc="C0F0366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E1"/>
    <w:rsid w:val="00010562"/>
    <w:rsid w:val="000210D4"/>
    <w:rsid w:val="00063016"/>
    <w:rsid w:val="00066795"/>
    <w:rsid w:val="00076AF6"/>
    <w:rsid w:val="00085CF2"/>
    <w:rsid w:val="000A1236"/>
    <w:rsid w:val="000B1705"/>
    <w:rsid w:val="000D75B2"/>
    <w:rsid w:val="001121F5"/>
    <w:rsid w:val="00131426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45622"/>
    <w:rsid w:val="00261B34"/>
    <w:rsid w:val="00264425"/>
    <w:rsid w:val="00265875"/>
    <w:rsid w:val="0027303B"/>
    <w:rsid w:val="0028109B"/>
    <w:rsid w:val="00293984"/>
    <w:rsid w:val="002A2188"/>
    <w:rsid w:val="002B1F58"/>
    <w:rsid w:val="002C17BF"/>
    <w:rsid w:val="002C1C7A"/>
    <w:rsid w:val="0030160F"/>
    <w:rsid w:val="00322D0D"/>
    <w:rsid w:val="00325B2E"/>
    <w:rsid w:val="003942D4"/>
    <w:rsid w:val="003958A8"/>
    <w:rsid w:val="003B4CDB"/>
    <w:rsid w:val="003C2533"/>
    <w:rsid w:val="0040435A"/>
    <w:rsid w:val="00416A24"/>
    <w:rsid w:val="00431D9E"/>
    <w:rsid w:val="00433CE8"/>
    <w:rsid w:val="00434A5C"/>
    <w:rsid w:val="004544D9"/>
    <w:rsid w:val="00462666"/>
    <w:rsid w:val="004868C9"/>
    <w:rsid w:val="00490E72"/>
    <w:rsid w:val="00491157"/>
    <w:rsid w:val="004921C8"/>
    <w:rsid w:val="004C78E6"/>
    <w:rsid w:val="004D1851"/>
    <w:rsid w:val="004D599D"/>
    <w:rsid w:val="004E2EA5"/>
    <w:rsid w:val="004E3AEB"/>
    <w:rsid w:val="0050223C"/>
    <w:rsid w:val="00512C9E"/>
    <w:rsid w:val="005243FF"/>
    <w:rsid w:val="0056382E"/>
    <w:rsid w:val="00564FBC"/>
    <w:rsid w:val="00582442"/>
    <w:rsid w:val="005B7E41"/>
    <w:rsid w:val="00634E49"/>
    <w:rsid w:val="006377E3"/>
    <w:rsid w:val="0064737F"/>
    <w:rsid w:val="006535F1"/>
    <w:rsid w:val="0065557D"/>
    <w:rsid w:val="00662984"/>
    <w:rsid w:val="006716BB"/>
    <w:rsid w:val="006B6680"/>
    <w:rsid w:val="006B6DCC"/>
    <w:rsid w:val="00702DEF"/>
    <w:rsid w:val="00703E81"/>
    <w:rsid w:val="00706861"/>
    <w:rsid w:val="00740274"/>
    <w:rsid w:val="0075051B"/>
    <w:rsid w:val="00794D34"/>
    <w:rsid w:val="007A1554"/>
    <w:rsid w:val="007D2F32"/>
    <w:rsid w:val="007D5EC3"/>
    <w:rsid w:val="007E3A86"/>
    <w:rsid w:val="007F0DDC"/>
    <w:rsid w:val="00806718"/>
    <w:rsid w:val="00813E5E"/>
    <w:rsid w:val="0083581B"/>
    <w:rsid w:val="00864AFF"/>
    <w:rsid w:val="008B4A6A"/>
    <w:rsid w:val="008C7E27"/>
    <w:rsid w:val="009173EF"/>
    <w:rsid w:val="0091771F"/>
    <w:rsid w:val="00932906"/>
    <w:rsid w:val="00947655"/>
    <w:rsid w:val="00961B0B"/>
    <w:rsid w:val="009862C7"/>
    <w:rsid w:val="009B38C3"/>
    <w:rsid w:val="009E17BD"/>
    <w:rsid w:val="009E485A"/>
    <w:rsid w:val="00A04CEC"/>
    <w:rsid w:val="00A27F92"/>
    <w:rsid w:val="00A32257"/>
    <w:rsid w:val="00A36D20"/>
    <w:rsid w:val="00A50C32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92957"/>
    <w:rsid w:val="00BA5DD5"/>
    <w:rsid w:val="00BC251A"/>
    <w:rsid w:val="00BC611E"/>
    <w:rsid w:val="00BD032B"/>
    <w:rsid w:val="00BE2640"/>
    <w:rsid w:val="00BE5D24"/>
    <w:rsid w:val="00C01189"/>
    <w:rsid w:val="00C06256"/>
    <w:rsid w:val="00C26FA5"/>
    <w:rsid w:val="00C374DE"/>
    <w:rsid w:val="00C42D3B"/>
    <w:rsid w:val="00C44489"/>
    <w:rsid w:val="00C47AD4"/>
    <w:rsid w:val="00C52D81"/>
    <w:rsid w:val="00C55198"/>
    <w:rsid w:val="00C75EB8"/>
    <w:rsid w:val="00CA106E"/>
    <w:rsid w:val="00CA193F"/>
    <w:rsid w:val="00CA6393"/>
    <w:rsid w:val="00CB18FF"/>
    <w:rsid w:val="00CC7FA7"/>
    <w:rsid w:val="00CD0C08"/>
    <w:rsid w:val="00CE03FB"/>
    <w:rsid w:val="00CE433C"/>
    <w:rsid w:val="00CF33F3"/>
    <w:rsid w:val="00D055C1"/>
    <w:rsid w:val="00D06183"/>
    <w:rsid w:val="00D21377"/>
    <w:rsid w:val="00D22C42"/>
    <w:rsid w:val="00D276E1"/>
    <w:rsid w:val="00D65041"/>
    <w:rsid w:val="00DA6C57"/>
    <w:rsid w:val="00DB384B"/>
    <w:rsid w:val="00DF4EDF"/>
    <w:rsid w:val="00E10E80"/>
    <w:rsid w:val="00E124F0"/>
    <w:rsid w:val="00E60F04"/>
    <w:rsid w:val="00E854E4"/>
    <w:rsid w:val="00EB0D6F"/>
    <w:rsid w:val="00EB2232"/>
    <w:rsid w:val="00EC5337"/>
    <w:rsid w:val="00EC7F72"/>
    <w:rsid w:val="00F16143"/>
    <w:rsid w:val="00F2150A"/>
    <w:rsid w:val="00F231D8"/>
    <w:rsid w:val="00F46C5F"/>
    <w:rsid w:val="00F837E5"/>
    <w:rsid w:val="00F94A63"/>
    <w:rsid w:val="00FA1C28"/>
    <w:rsid w:val="00FB7596"/>
    <w:rsid w:val="00FE4077"/>
    <w:rsid w:val="00FE77D2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9773EA"/>
  <w15:docId w15:val="{2808896A-0CB0-4B23-B908-5D4C2CAA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ED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rsid w:val="00C44489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C4448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44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T05-ITR.EG-INF-0005/en" TargetMode="External"/><Relationship Id="rId1" Type="http://schemas.openxmlformats.org/officeDocument/2006/relationships/hyperlink" Target="https://www.fcc.gov/document/filing-manual-section-4362-annual-reports-february-20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267E-2857-4813-8757-AE392D02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PE_EG-ITR.dotx</Template>
  <TotalTime>296</TotalTime>
  <Pages>2</Pages>
  <Words>1334</Words>
  <Characters>195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Contribution - Views on the provision by provision review of the 2012 ITRs</vt:lpstr>
    </vt:vector>
  </TitlesOfParts>
  <Manager>General Secretariat - Pool</Manager>
  <Company>International Telecommunication Union (ITU)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Contribution - Views on the provision by provision review of the 2012 ITRs</dc:title>
  <dc:subject>Expert Group on ITRs</dc:subject>
  <dc:creator>Chi, Jianping</dc:creator>
  <cp:keywords>EG-ITRs</cp:keywords>
  <cp:lastModifiedBy>LI, Ziqian</cp:lastModifiedBy>
  <cp:revision>19</cp:revision>
  <cp:lastPrinted>2000-07-18T13:30:00Z</cp:lastPrinted>
  <dcterms:created xsi:type="dcterms:W3CDTF">2020-01-29T11:11:00Z</dcterms:created>
  <dcterms:modified xsi:type="dcterms:W3CDTF">2020-01-30T08:23:00Z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/>
  </property>
  <property fmtid="{D5CDD505-2E9C-101B-9397-08002B2CF9AE}" pid="3" name="Docbluepink">
    <vt:lpwstr/>
  </property>
  <property fmtid="{D5CDD505-2E9C-101B-9397-08002B2CF9AE}" pid="4" name="Docdate">
    <vt:lpwstr/>
  </property>
  <property fmtid="{D5CDD505-2E9C-101B-9397-08002B2CF9AE}" pid="5" name="Docdest">
    <vt:lpwstr/>
  </property>
  <property fmtid="{D5CDD505-2E9C-101B-9397-08002B2CF9AE}" pid="6" name="Docnum">
    <vt:lpwstr>PE_C08.DOT</vt:lpwstr>
  </property>
  <property fmtid="{D5CDD505-2E9C-101B-9397-08002B2CF9AE}" pid="7" name="Docorlang">
    <vt:lpwstr/>
  </property>
</Properties>
</file>