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E105F" w14:paraId="29B66DB1" w14:textId="77777777">
        <w:trPr>
          <w:cantSplit/>
        </w:trPr>
        <w:tc>
          <w:tcPr>
            <w:tcW w:w="6912" w:type="dxa"/>
          </w:tcPr>
          <w:p w14:paraId="332190C7" w14:textId="77777777" w:rsidR="00093EEB" w:rsidRPr="006E105F" w:rsidRDefault="00D92832" w:rsidP="00D92832">
            <w:pPr>
              <w:spacing w:before="240"/>
              <w:rPr>
                <w:szCs w:val="24"/>
              </w:rPr>
            </w:pPr>
            <w:bookmarkStart w:id="0" w:name="dbluepink" w:colFirst="0" w:colLast="0"/>
            <w:r w:rsidRPr="006E105F">
              <w:rPr>
                <w:b/>
                <w:bCs/>
                <w:position w:val="6"/>
                <w:sz w:val="30"/>
                <w:szCs w:val="30"/>
              </w:rPr>
              <w:t xml:space="preserve">Grupo de Expertos sobre el Reglamento de las </w:t>
            </w:r>
            <w:r w:rsidRPr="006E105F">
              <w:rPr>
                <w:b/>
                <w:bCs/>
                <w:position w:val="6"/>
                <w:sz w:val="30"/>
                <w:szCs w:val="30"/>
              </w:rPr>
              <w:br/>
              <w:t>Telecomunicaciones Internacionales (GE-</w:t>
            </w:r>
            <w:proofErr w:type="spellStart"/>
            <w:r w:rsidRPr="006E105F">
              <w:rPr>
                <w:b/>
                <w:bCs/>
                <w:position w:val="6"/>
                <w:sz w:val="30"/>
                <w:szCs w:val="30"/>
              </w:rPr>
              <w:t>RTI</w:t>
            </w:r>
            <w:proofErr w:type="spellEnd"/>
            <w:r w:rsidRPr="006E105F">
              <w:rPr>
                <w:b/>
                <w:bCs/>
                <w:position w:val="6"/>
                <w:sz w:val="30"/>
                <w:szCs w:val="30"/>
              </w:rPr>
              <w:t>)</w:t>
            </w:r>
          </w:p>
        </w:tc>
        <w:tc>
          <w:tcPr>
            <w:tcW w:w="3261" w:type="dxa"/>
          </w:tcPr>
          <w:p w14:paraId="29BBEE6C" w14:textId="77777777" w:rsidR="00093EEB" w:rsidRPr="006E105F" w:rsidRDefault="00012E27" w:rsidP="00C85B97">
            <w:pPr>
              <w:spacing w:before="0"/>
              <w:rPr>
                <w:szCs w:val="24"/>
              </w:rPr>
            </w:pPr>
            <w:bookmarkStart w:id="1" w:name="ditulogo"/>
            <w:bookmarkEnd w:id="1"/>
            <w:r w:rsidRPr="006E105F">
              <w:rPr>
                <w:noProof/>
              </w:rPr>
              <w:drawing>
                <wp:inline distT="0" distB="0" distL="0" distR="0" wp14:anchorId="709E03B9" wp14:editId="7901BA27">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6E105F" w14:paraId="104C6329" w14:textId="77777777">
        <w:trPr>
          <w:cantSplit/>
          <w:trHeight w:val="20"/>
        </w:trPr>
        <w:tc>
          <w:tcPr>
            <w:tcW w:w="10173" w:type="dxa"/>
            <w:gridSpan w:val="2"/>
            <w:tcBorders>
              <w:bottom w:val="single" w:sz="12" w:space="0" w:color="auto"/>
            </w:tcBorders>
          </w:tcPr>
          <w:p w14:paraId="569AEB94" w14:textId="77777777" w:rsidR="00093EEB" w:rsidRPr="006E105F" w:rsidRDefault="00C85B97" w:rsidP="00012E27">
            <w:pPr>
              <w:spacing w:before="0"/>
              <w:rPr>
                <w:b/>
                <w:bCs/>
                <w:szCs w:val="24"/>
              </w:rPr>
            </w:pPr>
            <w:r w:rsidRPr="006E105F">
              <w:rPr>
                <w:rFonts w:eastAsia="Calibri" w:cs="Calibri"/>
                <w:b/>
                <w:color w:val="000000"/>
                <w:szCs w:val="24"/>
              </w:rPr>
              <w:t>Segunda</w:t>
            </w:r>
            <w:r w:rsidR="00012E27" w:rsidRPr="006E105F">
              <w:rPr>
                <w:rFonts w:eastAsia="Calibri" w:cs="Calibri"/>
                <w:b/>
                <w:color w:val="000000"/>
                <w:szCs w:val="24"/>
              </w:rPr>
              <w:t xml:space="preserve"> reunión </w:t>
            </w:r>
            <w:r w:rsidR="00D92832" w:rsidRPr="006E105F">
              <w:rPr>
                <w:b/>
                <w:bCs/>
              </w:rPr>
              <w:t>– Ginebra, 1</w:t>
            </w:r>
            <w:r w:rsidRPr="006E105F">
              <w:rPr>
                <w:b/>
                <w:bCs/>
              </w:rPr>
              <w:t>2</w:t>
            </w:r>
            <w:r w:rsidR="00D92832" w:rsidRPr="006E105F">
              <w:rPr>
                <w:b/>
                <w:bCs/>
              </w:rPr>
              <w:t>-1</w:t>
            </w:r>
            <w:r w:rsidRPr="006E105F">
              <w:rPr>
                <w:b/>
                <w:bCs/>
              </w:rPr>
              <w:t>3</w:t>
            </w:r>
            <w:r w:rsidR="00D92832" w:rsidRPr="006E105F">
              <w:rPr>
                <w:b/>
                <w:bCs/>
              </w:rPr>
              <w:t xml:space="preserve"> de </w:t>
            </w:r>
            <w:r w:rsidRPr="006E105F">
              <w:rPr>
                <w:b/>
                <w:bCs/>
              </w:rPr>
              <w:t>febrero</w:t>
            </w:r>
            <w:r w:rsidR="00D92832" w:rsidRPr="006E105F">
              <w:rPr>
                <w:b/>
                <w:bCs/>
              </w:rPr>
              <w:t xml:space="preserve"> de 20</w:t>
            </w:r>
            <w:r w:rsidRPr="006E105F">
              <w:rPr>
                <w:b/>
                <w:bCs/>
              </w:rPr>
              <w:t>20</w:t>
            </w:r>
          </w:p>
        </w:tc>
      </w:tr>
      <w:tr w:rsidR="00093EEB" w:rsidRPr="006E105F" w14:paraId="15DEEB4E" w14:textId="77777777">
        <w:trPr>
          <w:cantSplit/>
          <w:trHeight w:val="20"/>
        </w:trPr>
        <w:tc>
          <w:tcPr>
            <w:tcW w:w="6912" w:type="dxa"/>
            <w:tcBorders>
              <w:top w:val="single" w:sz="12" w:space="0" w:color="auto"/>
            </w:tcBorders>
          </w:tcPr>
          <w:p w14:paraId="5D84DFEE" w14:textId="77777777" w:rsidR="00093EEB" w:rsidRPr="006E105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D8F849A" w14:textId="77777777" w:rsidR="00093EEB" w:rsidRPr="006E105F" w:rsidRDefault="00093EEB">
            <w:pPr>
              <w:spacing w:before="0"/>
              <w:rPr>
                <w:b/>
                <w:bCs/>
                <w:szCs w:val="24"/>
              </w:rPr>
            </w:pPr>
          </w:p>
        </w:tc>
      </w:tr>
      <w:tr w:rsidR="00093EEB" w:rsidRPr="006E105F" w14:paraId="0B737648" w14:textId="77777777">
        <w:trPr>
          <w:cantSplit/>
          <w:trHeight w:val="20"/>
        </w:trPr>
        <w:tc>
          <w:tcPr>
            <w:tcW w:w="6912" w:type="dxa"/>
            <w:shd w:val="clear" w:color="auto" w:fill="auto"/>
          </w:tcPr>
          <w:p w14:paraId="23F5BD45" w14:textId="77777777" w:rsidR="00093EEB" w:rsidRPr="006E105F"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56AC0CE" w14:textId="60E1064C" w:rsidR="00093EEB" w:rsidRPr="006E105F" w:rsidRDefault="00093EEB" w:rsidP="001F60AD">
            <w:pPr>
              <w:spacing w:before="0"/>
              <w:rPr>
                <w:b/>
                <w:bCs/>
                <w:szCs w:val="24"/>
              </w:rPr>
            </w:pPr>
            <w:r w:rsidRPr="006E105F">
              <w:rPr>
                <w:b/>
                <w:bCs/>
                <w:szCs w:val="24"/>
              </w:rPr>
              <w:t xml:space="preserve">Documento </w:t>
            </w:r>
            <w:proofErr w:type="spellStart"/>
            <w:r w:rsidR="00D92832" w:rsidRPr="006E105F">
              <w:rPr>
                <w:rFonts w:asciiTheme="minorHAnsi" w:hAnsiTheme="minorHAnsi" w:cs="Times New Roman Bold"/>
                <w:b/>
                <w:spacing w:val="-4"/>
              </w:rPr>
              <w:t>EG</w:t>
            </w:r>
            <w:proofErr w:type="spellEnd"/>
            <w:r w:rsidR="00D92832" w:rsidRPr="006E105F">
              <w:rPr>
                <w:rFonts w:asciiTheme="minorHAnsi" w:hAnsiTheme="minorHAnsi" w:cs="Times New Roman Bold"/>
                <w:b/>
                <w:spacing w:val="-4"/>
              </w:rPr>
              <w:t>-</w:t>
            </w:r>
            <w:proofErr w:type="spellStart"/>
            <w:r w:rsidR="00D92832" w:rsidRPr="006E105F">
              <w:rPr>
                <w:rFonts w:asciiTheme="minorHAnsi" w:hAnsiTheme="minorHAnsi" w:cs="Times New Roman Bold"/>
                <w:b/>
                <w:spacing w:val="-4"/>
              </w:rPr>
              <w:t>ITRs</w:t>
            </w:r>
            <w:proofErr w:type="spellEnd"/>
            <w:r w:rsidR="00D92832" w:rsidRPr="006E105F">
              <w:rPr>
                <w:rFonts w:asciiTheme="minorHAnsi" w:hAnsiTheme="minorHAnsi" w:cs="Times New Roman Bold"/>
                <w:b/>
                <w:spacing w:val="-4"/>
              </w:rPr>
              <w:t>-</w:t>
            </w:r>
            <w:r w:rsidR="00C85B97" w:rsidRPr="006E105F">
              <w:rPr>
                <w:rFonts w:asciiTheme="minorHAnsi" w:hAnsiTheme="minorHAnsi" w:cs="Times New Roman Bold"/>
                <w:b/>
                <w:spacing w:val="-4"/>
              </w:rPr>
              <w:t>2</w:t>
            </w:r>
            <w:r w:rsidR="00D92832" w:rsidRPr="006E105F">
              <w:rPr>
                <w:rFonts w:asciiTheme="minorHAnsi" w:hAnsiTheme="minorHAnsi" w:cs="Times New Roman Bold"/>
                <w:b/>
                <w:spacing w:val="-4"/>
              </w:rPr>
              <w:t>/</w:t>
            </w:r>
            <w:r w:rsidR="00892D68" w:rsidRPr="006E105F">
              <w:rPr>
                <w:rFonts w:ascii="Times New Roman" w:hAnsi="Times New Roman"/>
                <w:b/>
                <w:bCs/>
                <w:lang w:eastAsia="zh-CN"/>
              </w:rPr>
              <w:t>4</w:t>
            </w:r>
            <w:r w:rsidR="00D92832" w:rsidRPr="006E105F">
              <w:rPr>
                <w:rFonts w:asciiTheme="minorHAnsi" w:hAnsiTheme="minorHAnsi" w:cs="Times New Roman Bold"/>
                <w:b/>
                <w:spacing w:val="-4"/>
              </w:rPr>
              <w:t>-S</w:t>
            </w:r>
          </w:p>
        </w:tc>
      </w:tr>
      <w:tr w:rsidR="00093EEB" w:rsidRPr="006E105F" w14:paraId="6EC2B87D" w14:textId="77777777">
        <w:trPr>
          <w:cantSplit/>
          <w:trHeight w:val="20"/>
        </w:trPr>
        <w:tc>
          <w:tcPr>
            <w:tcW w:w="6912" w:type="dxa"/>
            <w:shd w:val="clear" w:color="auto" w:fill="auto"/>
          </w:tcPr>
          <w:p w14:paraId="678D5AA8" w14:textId="77777777" w:rsidR="00093EEB" w:rsidRPr="006E105F" w:rsidRDefault="00093EEB">
            <w:pPr>
              <w:shd w:val="solid" w:color="FFFFFF" w:fill="FFFFFF"/>
              <w:spacing w:before="0"/>
              <w:rPr>
                <w:smallCaps/>
                <w:szCs w:val="24"/>
              </w:rPr>
            </w:pPr>
            <w:bookmarkStart w:id="4" w:name="ddate" w:colFirst="1" w:colLast="1"/>
            <w:bookmarkEnd w:id="2"/>
            <w:bookmarkEnd w:id="3"/>
          </w:p>
        </w:tc>
        <w:tc>
          <w:tcPr>
            <w:tcW w:w="3261" w:type="dxa"/>
          </w:tcPr>
          <w:p w14:paraId="34DBC935" w14:textId="5C38672B" w:rsidR="00093EEB" w:rsidRPr="006E105F" w:rsidRDefault="00892D68" w:rsidP="001F60AD">
            <w:pPr>
              <w:spacing w:before="0"/>
              <w:rPr>
                <w:b/>
                <w:bCs/>
                <w:szCs w:val="24"/>
              </w:rPr>
            </w:pPr>
            <w:r w:rsidRPr="006E105F">
              <w:rPr>
                <w:b/>
                <w:bCs/>
                <w:szCs w:val="24"/>
              </w:rPr>
              <w:t>21 de enero</w:t>
            </w:r>
            <w:r w:rsidRPr="006E105F">
              <w:rPr>
                <w:rFonts w:ascii="Times New Roman" w:hAnsi="Times New Roman"/>
                <w:b/>
                <w:bCs/>
                <w:lang w:eastAsia="zh-CN"/>
              </w:rPr>
              <w:t xml:space="preserve"> </w:t>
            </w:r>
            <w:r w:rsidR="00093EEB" w:rsidRPr="006E105F">
              <w:rPr>
                <w:b/>
                <w:bCs/>
                <w:szCs w:val="24"/>
              </w:rPr>
              <w:t>de 20</w:t>
            </w:r>
            <w:r w:rsidR="00C85B97" w:rsidRPr="006E105F">
              <w:rPr>
                <w:b/>
                <w:bCs/>
                <w:szCs w:val="24"/>
              </w:rPr>
              <w:t>20</w:t>
            </w:r>
          </w:p>
        </w:tc>
      </w:tr>
      <w:tr w:rsidR="00093EEB" w:rsidRPr="006E105F" w14:paraId="47723C11" w14:textId="77777777">
        <w:trPr>
          <w:cantSplit/>
          <w:trHeight w:val="20"/>
        </w:trPr>
        <w:tc>
          <w:tcPr>
            <w:tcW w:w="6912" w:type="dxa"/>
            <w:shd w:val="clear" w:color="auto" w:fill="auto"/>
          </w:tcPr>
          <w:p w14:paraId="3F2C8321" w14:textId="77777777" w:rsidR="00093EEB" w:rsidRPr="006E105F" w:rsidRDefault="00093EEB">
            <w:pPr>
              <w:shd w:val="solid" w:color="FFFFFF" w:fill="FFFFFF"/>
              <w:spacing w:before="0"/>
              <w:rPr>
                <w:smallCaps/>
                <w:szCs w:val="24"/>
              </w:rPr>
            </w:pPr>
            <w:bookmarkStart w:id="5" w:name="dorlang" w:colFirst="1" w:colLast="1"/>
            <w:bookmarkEnd w:id="4"/>
          </w:p>
        </w:tc>
        <w:tc>
          <w:tcPr>
            <w:tcW w:w="3261" w:type="dxa"/>
          </w:tcPr>
          <w:p w14:paraId="29AF5C3C" w14:textId="1A5C9F0A" w:rsidR="00093EEB" w:rsidRPr="006E105F" w:rsidRDefault="00093EEB" w:rsidP="00093EEB">
            <w:pPr>
              <w:spacing w:before="0"/>
              <w:rPr>
                <w:b/>
                <w:bCs/>
                <w:szCs w:val="24"/>
              </w:rPr>
            </w:pPr>
            <w:r w:rsidRPr="006E105F">
              <w:rPr>
                <w:b/>
                <w:bCs/>
                <w:szCs w:val="24"/>
              </w:rPr>
              <w:t xml:space="preserve">Original: </w:t>
            </w:r>
            <w:r w:rsidR="00892D68" w:rsidRPr="00631A0E">
              <w:rPr>
                <w:b/>
                <w:bCs/>
                <w:szCs w:val="24"/>
              </w:rPr>
              <w:t>chino</w:t>
            </w:r>
          </w:p>
        </w:tc>
      </w:tr>
      <w:tr w:rsidR="00093EEB" w:rsidRPr="006E105F" w14:paraId="6E5037E5" w14:textId="77777777">
        <w:trPr>
          <w:cantSplit/>
        </w:trPr>
        <w:tc>
          <w:tcPr>
            <w:tcW w:w="10173" w:type="dxa"/>
            <w:gridSpan w:val="2"/>
          </w:tcPr>
          <w:p w14:paraId="047742F4" w14:textId="66ED5316" w:rsidR="00093EEB" w:rsidRPr="006E105F" w:rsidRDefault="00892D68">
            <w:pPr>
              <w:pStyle w:val="Source"/>
              <w:rPr>
                <w:rFonts w:asciiTheme="minorHAnsi" w:hAnsiTheme="minorHAnsi" w:cstheme="minorHAnsi"/>
              </w:rPr>
            </w:pPr>
            <w:bookmarkStart w:id="6" w:name="dsource" w:colFirst="0" w:colLast="0"/>
            <w:bookmarkEnd w:id="0"/>
            <w:bookmarkEnd w:id="5"/>
            <w:r w:rsidRPr="006E105F">
              <w:rPr>
                <w:rFonts w:asciiTheme="minorHAnsi" w:hAnsiTheme="minorHAnsi" w:cstheme="minorHAnsi"/>
                <w:lang w:eastAsia="zh-CN"/>
              </w:rPr>
              <w:t>República Popular de China</w:t>
            </w:r>
          </w:p>
        </w:tc>
      </w:tr>
      <w:tr w:rsidR="00093EEB" w:rsidRPr="006E105F" w14:paraId="5E3F2394" w14:textId="77777777">
        <w:trPr>
          <w:cantSplit/>
        </w:trPr>
        <w:tc>
          <w:tcPr>
            <w:tcW w:w="10173" w:type="dxa"/>
            <w:gridSpan w:val="2"/>
          </w:tcPr>
          <w:p w14:paraId="167D414F" w14:textId="0E3B1C61" w:rsidR="00892D68" w:rsidRPr="006E105F" w:rsidRDefault="00892D68" w:rsidP="00892D68">
            <w:pPr>
              <w:pStyle w:val="Title1"/>
            </w:pPr>
            <w:bookmarkStart w:id="7" w:name="dtitle1" w:colFirst="0" w:colLast="0"/>
            <w:bookmarkEnd w:id="6"/>
            <w:r w:rsidRPr="006E105F">
              <w:t>Observaciones relativas al examen pormenorizado del Preámbulo al Artículo 4 del Reglamento de las Telecomunicaciones Internacionales</w:t>
            </w:r>
          </w:p>
        </w:tc>
      </w:tr>
      <w:bookmarkEnd w:id="7"/>
    </w:tbl>
    <w:p w14:paraId="59D14070" w14:textId="77777777" w:rsidR="00892D68" w:rsidRPr="006E105F" w:rsidRDefault="00892D68" w:rsidP="00FC1F4B">
      <w:pPr>
        <w:pStyle w:val="Title1"/>
        <w:rPr>
          <w:rFonts w:ascii="Times New Roman" w:hAnsi="Times New Roman"/>
          <w:szCs w:val="24"/>
          <w:lang w:eastAsia="zh-CN"/>
        </w:rPr>
      </w:pPr>
    </w:p>
    <w:p w14:paraId="4BA1F9E7" w14:textId="5846BE2D" w:rsidR="00892D68" w:rsidRPr="006E105F" w:rsidRDefault="00892D68" w:rsidP="00892D68">
      <w:pPr>
        <w:pStyle w:val="Heading1"/>
        <w:rPr>
          <w:lang w:eastAsia="zh-CN"/>
        </w:rPr>
      </w:pPr>
      <w:r w:rsidRPr="006E105F">
        <w:rPr>
          <w:lang w:eastAsia="zh-CN"/>
        </w:rPr>
        <w:t>I</w:t>
      </w:r>
      <w:r w:rsidRPr="006E105F">
        <w:rPr>
          <w:lang w:eastAsia="zh-CN"/>
        </w:rPr>
        <w:tab/>
        <w:t>Preámbulo</w:t>
      </w:r>
    </w:p>
    <w:p w14:paraId="1FFCFE5E" w14:textId="27F8995C" w:rsidR="00892D68" w:rsidRPr="006E105F" w:rsidRDefault="00892D68" w:rsidP="00892D68">
      <w:pPr>
        <w:rPr>
          <w:lang w:eastAsia="zh-CN"/>
        </w:rPr>
      </w:pPr>
      <w:r w:rsidRPr="006E105F">
        <w:rPr>
          <w:lang w:eastAsia="zh-CN"/>
        </w:rPr>
        <w:t xml:space="preserve">En la Resolución 146 (Rev. Dubái, 2018) de </w:t>
      </w:r>
      <w:r w:rsidR="0069204C">
        <w:rPr>
          <w:lang w:eastAsia="zh-CN"/>
        </w:rPr>
        <w:t xml:space="preserve">la </w:t>
      </w:r>
      <w:r w:rsidRPr="006E105F">
        <w:rPr>
          <w:lang w:eastAsia="zh-CN"/>
        </w:rPr>
        <w:t>Conferencia de Plenipotenciarios de 2018 se resuelve que, en condiciones normales, el Reglamento de las Telecomunicaciones Internacionales (</w:t>
      </w:r>
      <w:proofErr w:type="spellStart"/>
      <w:r w:rsidRPr="006E105F">
        <w:rPr>
          <w:lang w:eastAsia="zh-CN"/>
        </w:rPr>
        <w:t>RTI</w:t>
      </w:r>
      <w:proofErr w:type="spellEnd"/>
      <w:r w:rsidRPr="006E105F">
        <w:rPr>
          <w:lang w:eastAsia="zh-CN"/>
        </w:rPr>
        <w:t xml:space="preserve">) debería revisarse periódicamente, y llevar a cabo un examen exhaustivo del </w:t>
      </w:r>
      <w:proofErr w:type="spellStart"/>
      <w:r w:rsidRPr="006E105F">
        <w:rPr>
          <w:lang w:eastAsia="zh-CN"/>
        </w:rPr>
        <w:t>RTI</w:t>
      </w:r>
      <w:proofErr w:type="spellEnd"/>
      <w:r w:rsidRPr="006E105F">
        <w:rPr>
          <w:lang w:eastAsia="zh-CN"/>
        </w:rPr>
        <w:t xml:space="preserve"> a fin de lograr un consenso sobre la forma de proceder al respecto. A fin de aplicar la Resolución 146, el Consejo revisó la Resolución 1379 en su reunión de 2019, reactivó el Grupo de Expertos sobre el Reglamento de las Telecomunicaciones Internacionales (GE-</w:t>
      </w:r>
      <w:proofErr w:type="spellStart"/>
      <w:r w:rsidRPr="006E105F">
        <w:rPr>
          <w:lang w:eastAsia="zh-CN"/>
        </w:rPr>
        <w:t>RTI</w:t>
      </w:r>
      <w:proofErr w:type="spellEnd"/>
      <w:r w:rsidRPr="006E105F">
        <w:rPr>
          <w:lang w:eastAsia="zh-CN"/>
        </w:rPr>
        <w:t>) y definió su mandato.</w:t>
      </w:r>
    </w:p>
    <w:p w14:paraId="5796DF80" w14:textId="305E7DC1" w:rsidR="00892D68" w:rsidRPr="006E105F" w:rsidRDefault="00892D68" w:rsidP="00892D68">
      <w:pPr>
        <w:rPr>
          <w:lang w:eastAsia="zh-CN"/>
        </w:rPr>
      </w:pPr>
      <w:r w:rsidRPr="006E105F">
        <w:rPr>
          <w:lang w:eastAsia="zh-CN"/>
        </w:rPr>
        <w:t>En septiembre de 2019, el GE-</w:t>
      </w:r>
      <w:proofErr w:type="spellStart"/>
      <w:r w:rsidRPr="006E105F">
        <w:rPr>
          <w:lang w:eastAsia="zh-CN"/>
        </w:rPr>
        <w:t>RTI</w:t>
      </w:r>
      <w:proofErr w:type="spellEnd"/>
      <w:r w:rsidRPr="006E105F">
        <w:rPr>
          <w:lang w:eastAsia="zh-CN"/>
        </w:rPr>
        <w:t xml:space="preserve"> celebró su primera reunión en Ginebra. Todas las partes competentes acordaron los métodos y planes de trabajo examinados por el GE-</w:t>
      </w:r>
      <w:proofErr w:type="spellStart"/>
      <w:r w:rsidRPr="006E105F">
        <w:rPr>
          <w:lang w:eastAsia="zh-CN"/>
        </w:rPr>
        <w:t>RTI</w:t>
      </w:r>
      <w:proofErr w:type="spellEnd"/>
      <w:r w:rsidRPr="006E105F">
        <w:rPr>
          <w:lang w:eastAsia="zh-CN"/>
        </w:rPr>
        <w:t xml:space="preserve"> y elaboraron una plantilla (denominada </w:t>
      </w:r>
      <w:r w:rsidR="006E105F">
        <w:rPr>
          <w:lang w:eastAsia="zh-CN"/>
        </w:rPr>
        <w:t>"</w:t>
      </w:r>
      <w:r w:rsidRPr="006E105F">
        <w:rPr>
          <w:lang w:eastAsia="zh-CN"/>
        </w:rPr>
        <w:t>cuadro de examen</w:t>
      </w:r>
      <w:r w:rsidR="006E105F">
        <w:rPr>
          <w:lang w:eastAsia="zh-CN"/>
        </w:rPr>
        <w:t>"</w:t>
      </w:r>
      <w:r w:rsidRPr="006E105F">
        <w:rPr>
          <w:lang w:eastAsia="zh-CN"/>
        </w:rPr>
        <w:t>) para analizar cada una de las disposiciones del</w:t>
      </w:r>
      <w:r w:rsidR="001D1ABC">
        <w:rPr>
          <w:lang w:eastAsia="zh-CN"/>
        </w:rPr>
        <w:t> </w:t>
      </w:r>
      <w:proofErr w:type="spellStart"/>
      <w:r w:rsidRPr="006E105F">
        <w:rPr>
          <w:lang w:eastAsia="zh-CN"/>
        </w:rPr>
        <w:t>RTI</w:t>
      </w:r>
      <w:proofErr w:type="spellEnd"/>
      <w:r w:rsidRPr="006E105F">
        <w:rPr>
          <w:lang w:eastAsia="zh-CN"/>
        </w:rPr>
        <w:t>, con arreglo al mandato del GE-</w:t>
      </w:r>
      <w:proofErr w:type="spellStart"/>
      <w:r w:rsidRPr="006E105F">
        <w:rPr>
          <w:lang w:eastAsia="zh-CN"/>
        </w:rPr>
        <w:t>RTI</w:t>
      </w:r>
      <w:proofErr w:type="spellEnd"/>
      <w:r w:rsidRPr="006E105F">
        <w:rPr>
          <w:lang w:eastAsia="zh-CN"/>
        </w:rPr>
        <w:t xml:space="preserve"> y al plan de trabajo aprobado por todas las partes. De acuerdo con este plan de trabajo, el GE-</w:t>
      </w:r>
      <w:proofErr w:type="spellStart"/>
      <w:r w:rsidRPr="006E105F">
        <w:rPr>
          <w:lang w:eastAsia="zh-CN"/>
        </w:rPr>
        <w:t>RTI</w:t>
      </w:r>
      <w:proofErr w:type="spellEnd"/>
      <w:r w:rsidRPr="006E105F">
        <w:rPr>
          <w:lang w:eastAsia="zh-CN"/>
        </w:rPr>
        <w:t xml:space="preserve"> someterá a examen cada una de las disposiciones del Preámbulo al Artículo 4 del </w:t>
      </w:r>
      <w:proofErr w:type="spellStart"/>
      <w:r w:rsidRPr="006E105F">
        <w:rPr>
          <w:lang w:eastAsia="zh-CN"/>
        </w:rPr>
        <w:t>RTI</w:t>
      </w:r>
      <w:proofErr w:type="spellEnd"/>
      <w:r w:rsidRPr="006E105F">
        <w:rPr>
          <w:lang w:eastAsia="zh-CN"/>
        </w:rPr>
        <w:t xml:space="preserve"> en su segunda reunión, que se celebrará en febrero de 2020.</w:t>
      </w:r>
    </w:p>
    <w:p w14:paraId="52090B0A" w14:textId="5C2EBB04" w:rsidR="00892D68" w:rsidRPr="006E105F" w:rsidRDefault="00892D68" w:rsidP="00892D68">
      <w:pPr>
        <w:pStyle w:val="Heading1"/>
        <w:rPr>
          <w:lang w:eastAsia="zh-CN"/>
        </w:rPr>
      </w:pPr>
      <w:r w:rsidRPr="006E105F">
        <w:rPr>
          <w:lang w:eastAsia="zh-CN"/>
        </w:rPr>
        <w:t>II</w:t>
      </w:r>
      <w:r w:rsidRPr="006E105F">
        <w:rPr>
          <w:lang w:eastAsia="zh-CN"/>
        </w:rPr>
        <w:tab/>
        <w:t>Propuesta</w:t>
      </w:r>
    </w:p>
    <w:p w14:paraId="3FF95ACC" w14:textId="3355A69A" w:rsidR="00892D68" w:rsidRPr="006E105F" w:rsidRDefault="00892D68" w:rsidP="00892D68">
      <w:pPr>
        <w:rPr>
          <w:lang w:eastAsia="zh-CN"/>
        </w:rPr>
      </w:pPr>
      <w:r w:rsidRPr="006E105F">
        <w:rPr>
          <w:lang w:eastAsia="zh-CN"/>
        </w:rPr>
        <w:t>En virtud de la Resolución 1379 (modificada en 2019), el GR-</w:t>
      </w:r>
      <w:proofErr w:type="spellStart"/>
      <w:r w:rsidRPr="006E105F">
        <w:rPr>
          <w:lang w:eastAsia="zh-CN"/>
        </w:rPr>
        <w:t>RTI</w:t>
      </w:r>
      <w:proofErr w:type="spellEnd"/>
      <w:r w:rsidRPr="006E105F">
        <w:rPr>
          <w:lang w:eastAsia="zh-CN"/>
        </w:rPr>
        <w:t xml:space="preserve"> debería centrarse en el </w:t>
      </w:r>
      <w:proofErr w:type="spellStart"/>
      <w:r w:rsidRPr="006E105F">
        <w:rPr>
          <w:lang w:eastAsia="zh-CN"/>
        </w:rPr>
        <w:t>RTI</w:t>
      </w:r>
      <w:proofErr w:type="spellEnd"/>
      <w:r w:rsidRPr="006E105F">
        <w:rPr>
          <w:lang w:eastAsia="zh-CN"/>
        </w:rPr>
        <w:t xml:space="preserve"> de 2012 y tener en cuenta las nuevas tendencias en las telecomunicaciones/TIC y los nuevos problemas del entorno internacional de las telecomunicaciones/TIC. En el examen se abordarán la aplicabilidad de las disposiciones del </w:t>
      </w:r>
      <w:proofErr w:type="spellStart"/>
      <w:r w:rsidRPr="006E105F">
        <w:rPr>
          <w:lang w:eastAsia="zh-CN"/>
        </w:rPr>
        <w:t>RTI</w:t>
      </w:r>
      <w:proofErr w:type="spellEnd"/>
      <w:r w:rsidRPr="006E105F">
        <w:rPr>
          <w:lang w:eastAsia="zh-CN"/>
        </w:rPr>
        <w:t xml:space="preserve"> para fomentar la prestación y el desarrollo de servicios y redes de telecomunicaciones/TIC internacionales, y la flexibilidad o rigidez de las disposiciones del</w:t>
      </w:r>
      <w:r w:rsidR="001D1ABC">
        <w:rPr>
          <w:lang w:eastAsia="zh-CN"/>
        </w:rPr>
        <w:t> </w:t>
      </w:r>
      <w:proofErr w:type="spellStart"/>
      <w:r w:rsidRPr="006E105F">
        <w:rPr>
          <w:lang w:eastAsia="zh-CN"/>
        </w:rPr>
        <w:t>RTI</w:t>
      </w:r>
      <w:proofErr w:type="spellEnd"/>
      <w:r w:rsidRPr="006E105F">
        <w:rPr>
          <w:lang w:eastAsia="zh-CN"/>
        </w:rPr>
        <w:t xml:space="preserve"> para acomodar las nuevas tendencias en las telecomunicaciones/TIC y los nuevos problemas del entorno internacional de las telecomunicaciones/TIC. De acuerdo con el mandato del GE-</w:t>
      </w:r>
      <w:proofErr w:type="spellStart"/>
      <w:r w:rsidRPr="006E105F">
        <w:rPr>
          <w:lang w:eastAsia="zh-CN"/>
        </w:rPr>
        <w:t>RTI</w:t>
      </w:r>
      <w:proofErr w:type="spellEnd"/>
      <w:r w:rsidRPr="006E105F">
        <w:rPr>
          <w:lang w:eastAsia="zh-CN"/>
        </w:rPr>
        <w:t xml:space="preserve">, así como con el consenso alcanzado en su primera reunión, formulamos las siguientes propuestas para el examen del contenido pertinente del Preámbulo al Artículo 4 del </w:t>
      </w:r>
      <w:proofErr w:type="spellStart"/>
      <w:r w:rsidRPr="006E105F">
        <w:rPr>
          <w:lang w:eastAsia="zh-CN"/>
        </w:rPr>
        <w:t>RTI</w:t>
      </w:r>
      <w:proofErr w:type="spellEnd"/>
      <w:r w:rsidRPr="006E105F">
        <w:rPr>
          <w:lang w:eastAsia="zh-CN"/>
        </w:rPr>
        <w:t>:</w:t>
      </w:r>
    </w:p>
    <w:p w14:paraId="5C1D079E" w14:textId="36AC892C" w:rsidR="00892D68" w:rsidRPr="006E105F" w:rsidRDefault="006E105F" w:rsidP="00466380">
      <w:pPr>
        <w:pStyle w:val="Headingb"/>
        <w:rPr>
          <w:lang w:eastAsia="zh-CN"/>
        </w:rPr>
      </w:pPr>
      <w:r w:rsidRPr="006E105F">
        <w:rPr>
          <w:lang w:eastAsia="zh-CN"/>
        </w:rPr>
        <w:lastRenderedPageBreak/>
        <w:t>(</w:t>
      </w:r>
      <w:r w:rsidR="00892D68" w:rsidRPr="006E105F">
        <w:rPr>
          <w:lang w:eastAsia="zh-CN"/>
        </w:rPr>
        <w:t>I)</w:t>
      </w:r>
      <w:r w:rsidR="00892D68" w:rsidRPr="006E105F">
        <w:rPr>
          <w:lang w:eastAsia="zh-CN"/>
        </w:rPr>
        <w:tab/>
        <w:t>Artículo 1 – Finalidad y alcance</w:t>
      </w:r>
    </w:p>
    <w:p w14:paraId="60BA2B7D" w14:textId="022FD958" w:rsidR="00892D68" w:rsidRPr="006E105F" w:rsidRDefault="00892D68" w:rsidP="00466380">
      <w:pPr>
        <w:keepLines/>
        <w:rPr>
          <w:lang w:eastAsia="zh-CN"/>
        </w:rPr>
      </w:pPr>
      <w:r w:rsidRPr="006E105F">
        <w:rPr>
          <w:lang w:eastAsia="zh-CN"/>
        </w:rPr>
        <w:t xml:space="preserve">En los últimos años, el rápido desarrollo de la tecnología y la industria de las telecomunicaciones/TIC a escala mundial, en especial la aparición de nuevas aplicaciones y tecnologías como la computación en nube, los </w:t>
      </w:r>
      <w:proofErr w:type="spellStart"/>
      <w:r w:rsidRPr="006E105F">
        <w:rPr>
          <w:lang w:eastAsia="zh-CN"/>
        </w:rPr>
        <w:t>macrodatos</w:t>
      </w:r>
      <w:proofErr w:type="spellEnd"/>
      <w:r w:rsidRPr="006E105F">
        <w:rPr>
          <w:lang w:eastAsia="zh-CN"/>
        </w:rPr>
        <w:t xml:space="preserve">, la Internet de las cosas, la inteligencia artificial, etc., ha entrañado una serie de problemas en materia de seguridad, si bien la confianza y la seguridad son pilares importantes en el desarrollo de la sociedad de la información. El Plan de Acción de la Cumbre Mundial sobre la Sociedad de la Información (Declaración de Ginebra), en su Línea de Acción </w:t>
      </w:r>
      <w:proofErr w:type="spellStart"/>
      <w:r w:rsidRPr="006E105F">
        <w:rPr>
          <w:lang w:eastAsia="zh-CN"/>
        </w:rPr>
        <w:t>C5</w:t>
      </w:r>
      <w:proofErr w:type="spellEnd"/>
      <w:r w:rsidRPr="006E105F">
        <w:rPr>
          <w:lang w:eastAsia="zh-CN"/>
        </w:rPr>
        <w:t xml:space="preserve"> sobre creación de confianza y seguridad en la utilización de las TIC, aboga explícitamente por propiciar la cooperación entre los gobiernos dentro de las Naciones Unidas, y con todas las partes interesadas en otros foros apropiados, para aumentar la confianza del usuario y proteger los datos y la integridad de la red, considerar los riesgos actuales y potenciales para las</w:t>
      </w:r>
      <w:r w:rsidR="00466380">
        <w:rPr>
          <w:lang w:eastAsia="zh-CN"/>
        </w:rPr>
        <w:t> </w:t>
      </w:r>
      <w:r w:rsidRPr="006E105F">
        <w:rPr>
          <w:lang w:eastAsia="zh-CN"/>
        </w:rPr>
        <w:t>TIC, y abordar otras cuestiones de seguridad de la información y de las redes</w:t>
      </w:r>
      <w:r w:rsidRPr="006E105F">
        <w:rPr>
          <w:rStyle w:val="FootnoteReference"/>
          <w:rFonts w:ascii="Times New Roman" w:hAnsi="Times New Roman"/>
          <w:lang w:eastAsia="zh-CN"/>
        </w:rPr>
        <w:footnoteReference w:id="1"/>
      </w:r>
      <w:r w:rsidRPr="006E105F">
        <w:rPr>
          <w:lang w:eastAsia="zh-CN"/>
        </w:rPr>
        <w:t xml:space="preserve">. Mientras tanto, dado que la UIT ejerce la función de moderadora/facilitadora de la Línea de Acción </w:t>
      </w:r>
      <w:proofErr w:type="spellStart"/>
      <w:r w:rsidRPr="006E105F">
        <w:rPr>
          <w:lang w:eastAsia="zh-CN"/>
        </w:rPr>
        <w:t>C5</w:t>
      </w:r>
      <w:proofErr w:type="spellEnd"/>
      <w:r w:rsidRPr="006E105F">
        <w:rPr>
          <w:rStyle w:val="FootnoteReference"/>
          <w:rFonts w:ascii="Times New Roman" w:hAnsi="Times New Roman"/>
          <w:lang w:eastAsia="zh-CN"/>
        </w:rPr>
        <w:footnoteReference w:id="2"/>
      </w:r>
      <w:r w:rsidRPr="006E105F">
        <w:rPr>
          <w:lang w:eastAsia="zh-CN"/>
        </w:rPr>
        <w:t xml:space="preserve">, desde la perspectiva de </w:t>
      </w:r>
      <w:r w:rsidR="006E105F">
        <w:rPr>
          <w:lang w:eastAsia="zh-CN"/>
        </w:rPr>
        <w:t>"</w:t>
      </w:r>
      <w:r w:rsidRPr="006E105F">
        <w:rPr>
          <w:lang w:eastAsia="zh-CN"/>
        </w:rPr>
        <w:t>acomodar las nuevas tendencias en las telecomunicaciones/TIC y los nuevos problemas del entorno internacional de las telecomunicaciones/TIC</w:t>
      </w:r>
      <w:r w:rsidR="006E105F">
        <w:rPr>
          <w:lang w:eastAsia="zh-CN"/>
        </w:rPr>
        <w:t>"</w:t>
      </w:r>
      <w:r w:rsidRPr="006E105F">
        <w:rPr>
          <w:rStyle w:val="FootnoteReference"/>
          <w:rFonts w:ascii="Times New Roman" w:hAnsi="Times New Roman"/>
          <w:lang w:eastAsia="zh-CN"/>
        </w:rPr>
        <w:footnoteReference w:id="3"/>
      </w:r>
      <w:r w:rsidRPr="006E105F">
        <w:rPr>
          <w:lang w:eastAsia="zh-CN"/>
        </w:rPr>
        <w:t xml:space="preserve">, proponemos que se añada al Artículo 1 una referencia a la </w:t>
      </w:r>
      <w:r w:rsidR="006E105F">
        <w:rPr>
          <w:lang w:eastAsia="zh-CN"/>
        </w:rPr>
        <w:t>"</w:t>
      </w:r>
      <w:r w:rsidRPr="006E105F">
        <w:rPr>
          <w:lang w:eastAsia="zh-CN"/>
        </w:rPr>
        <w:t>creación de confianza y seguridad en la utilización de las TIC</w:t>
      </w:r>
      <w:r w:rsidR="006E105F">
        <w:rPr>
          <w:lang w:eastAsia="zh-CN"/>
        </w:rPr>
        <w:t>"</w:t>
      </w:r>
      <w:r w:rsidRPr="006E105F">
        <w:rPr>
          <w:lang w:eastAsia="zh-CN"/>
        </w:rPr>
        <w:t>.</w:t>
      </w:r>
    </w:p>
    <w:p w14:paraId="6123343F" w14:textId="6B8A69F9" w:rsidR="00892D68" w:rsidRPr="00D33BC7" w:rsidRDefault="006E105F" w:rsidP="00D33BC7">
      <w:pPr>
        <w:pStyle w:val="Headingb"/>
        <w:rPr>
          <w:lang w:eastAsia="zh-CN"/>
        </w:rPr>
      </w:pPr>
      <w:r w:rsidRPr="00D33BC7">
        <w:rPr>
          <w:lang w:eastAsia="zh-CN"/>
        </w:rPr>
        <w:t>(II)</w:t>
      </w:r>
      <w:r w:rsidRPr="00D33BC7">
        <w:rPr>
          <w:lang w:eastAsia="zh-CN"/>
        </w:rPr>
        <w:tab/>
      </w:r>
      <w:r w:rsidR="00892D68" w:rsidRPr="00D33BC7">
        <w:rPr>
          <w:lang w:eastAsia="zh-CN"/>
        </w:rPr>
        <w:t>Artículo 2 – Definiciones</w:t>
      </w:r>
    </w:p>
    <w:p w14:paraId="1E984CED" w14:textId="3D70A9C5" w:rsidR="00892D68" w:rsidRPr="006E105F" w:rsidRDefault="00892D68" w:rsidP="006E105F">
      <w:pPr>
        <w:rPr>
          <w:lang w:eastAsia="zh-CN"/>
        </w:rPr>
      </w:pPr>
      <w:r w:rsidRPr="006E105F">
        <w:rPr>
          <w:lang w:eastAsia="zh-CN"/>
        </w:rPr>
        <w:t xml:space="preserve">El </w:t>
      </w:r>
      <w:proofErr w:type="spellStart"/>
      <w:r w:rsidRPr="006E105F">
        <w:rPr>
          <w:lang w:eastAsia="zh-CN"/>
        </w:rPr>
        <w:t>RTI</w:t>
      </w:r>
      <w:proofErr w:type="spellEnd"/>
      <w:r w:rsidRPr="006E105F">
        <w:rPr>
          <w:lang w:eastAsia="zh-CN"/>
        </w:rPr>
        <w:t xml:space="preserve"> de 2012 hereda la definición de </w:t>
      </w:r>
      <w:r w:rsidR="006E105F">
        <w:rPr>
          <w:lang w:eastAsia="zh-CN"/>
        </w:rPr>
        <w:t>"</w:t>
      </w:r>
      <w:r w:rsidRPr="006E105F">
        <w:rPr>
          <w:lang w:eastAsia="zh-CN"/>
        </w:rPr>
        <w:t>telecomunicación</w:t>
      </w:r>
      <w:r w:rsidR="006E105F">
        <w:rPr>
          <w:lang w:eastAsia="zh-CN"/>
        </w:rPr>
        <w:t>"</w:t>
      </w:r>
      <w:r w:rsidRPr="006E105F">
        <w:rPr>
          <w:lang w:eastAsia="zh-CN"/>
        </w:rPr>
        <w:t xml:space="preserve"> que figura en la Constitución y el Convenio de la UIT de 1992, a saber: </w:t>
      </w:r>
      <w:r w:rsidR="006E105F">
        <w:rPr>
          <w:lang w:eastAsia="zh-CN"/>
        </w:rPr>
        <w:t>"</w:t>
      </w:r>
      <w:r w:rsidRPr="006E105F">
        <w:rPr>
          <w:lang w:eastAsia="zh-CN"/>
        </w:rPr>
        <w:t>Toda transmisión, emisión o recepción de signos, señales, escritos, imágenes, sonidos o informaciones de cualquier naturaleza por hilo, radioelectricidad, medios ópticos u otros sistemas electromagnéticos</w:t>
      </w:r>
      <w:r w:rsidR="006E105F">
        <w:rPr>
          <w:lang w:eastAsia="zh-CN"/>
        </w:rPr>
        <w:t>"</w:t>
      </w:r>
      <w:r w:rsidRPr="006E105F">
        <w:rPr>
          <w:lang w:eastAsia="zh-CN"/>
        </w:rPr>
        <w:t xml:space="preserve">. Sin embargo, ante la profunda integración actual de los servicios de telecomunicaciones/TIC con todos los aspectos de la producción y la vida social de las personas, la optimización y la mejora continuas de la infraestructura de red y el creciente número de terminales inteligentes, el alcance del concepto de </w:t>
      </w:r>
      <w:r w:rsidR="006E105F">
        <w:rPr>
          <w:lang w:eastAsia="zh-CN"/>
        </w:rPr>
        <w:t>"</w:t>
      </w:r>
      <w:r w:rsidRPr="006E105F">
        <w:rPr>
          <w:lang w:eastAsia="zh-CN"/>
        </w:rPr>
        <w:t>telecomunicación</w:t>
      </w:r>
      <w:r w:rsidR="006E105F">
        <w:rPr>
          <w:lang w:eastAsia="zh-CN"/>
        </w:rPr>
        <w:t>"</w:t>
      </w:r>
      <w:r w:rsidRPr="006E105F">
        <w:rPr>
          <w:lang w:eastAsia="zh-CN"/>
        </w:rPr>
        <w:t xml:space="preserve"> supera hoy las funciones de </w:t>
      </w:r>
      <w:r w:rsidR="006E105F">
        <w:rPr>
          <w:lang w:eastAsia="zh-CN"/>
        </w:rPr>
        <w:t>"</w:t>
      </w:r>
      <w:r w:rsidRPr="006E105F">
        <w:rPr>
          <w:lang w:eastAsia="zh-CN"/>
        </w:rPr>
        <w:t>transmisión, transmisión o recepción</w:t>
      </w:r>
      <w:r w:rsidR="006E105F">
        <w:rPr>
          <w:lang w:eastAsia="zh-CN"/>
        </w:rPr>
        <w:t>"</w:t>
      </w:r>
      <w:r w:rsidRPr="006E105F">
        <w:rPr>
          <w:lang w:eastAsia="zh-CN"/>
        </w:rPr>
        <w:t xml:space="preserve">. Además de ofrecer servicios basados en </w:t>
      </w:r>
      <w:r w:rsidR="006E105F">
        <w:rPr>
          <w:lang w:eastAsia="zh-CN"/>
        </w:rPr>
        <w:t>"</w:t>
      </w:r>
      <w:r w:rsidRPr="006E105F">
        <w:rPr>
          <w:lang w:eastAsia="zh-CN"/>
        </w:rPr>
        <w:t>signos, señales, escritos, imágenes y sonidos</w:t>
      </w:r>
      <w:r w:rsidR="006E105F">
        <w:rPr>
          <w:lang w:eastAsia="zh-CN"/>
        </w:rPr>
        <w:t>"</w:t>
      </w:r>
      <w:r w:rsidRPr="006E105F">
        <w:rPr>
          <w:lang w:eastAsia="zh-CN"/>
        </w:rPr>
        <w:t xml:space="preserve">, los operadores de telecomunicaciones han empezado a proporcionar plataformas de red, servicios de centros de datos y otros servicios propios de grandes redes de información pública, siendo el almacenamiento y el procesamiento de datos de usuarios de telecomunicaciones su principal línea de negocio. Por tanto, proponemos revisar y discutir la definición de </w:t>
      </w:r>
      <w:r w:rsidR="006E105F">
        <w:rPr>
          <w:lang w:eastAsia="zh-CN"/>
        </w:rPr>
        <w:t>"</w:t>
      </w:r>
      <w:r w:rsidRPr="006E105F">
        <w:rPr>
          <w:lang w:eastAsia="zh-CN"/>
        </w:rPr>
        <w:t>telecomunicación</w:t>
      </w:r>
      <w:r w:rsidR="006E105F">
        <w:rPr>
          <w:lang w:eastAsia="zh-CN"/>
        </w:rPr>
        <w:t>"</w:t>
      </w:r>
      <w:r w:rsidRPr="006E105F">
        <w:rPr>
          <w:lang w:eastAsia="zh-CN"/>
        </w:rPr>
        <w:t xml:space="preserve"> que figura en el Artículo 2.1, en el marco del examen de </w:t>
      </w:r>
      <w:r w:rsidR="006E105F">
        <w:rPr>
          <w:lang w:eastAsia="zh-CN"/>
        </w:rPr>
        <w:t>"</w:t>
      </w:r>
      <w:r w:rsidRPr="006E105F">
        <w:rPr>
          <w:lang w:eastAsia="zh-CN"/>
        </w:rPr>
        <w:t xml:space="preserve">la aplicabilidad de las disposiciones del </w:t>
      </w:r>
      <w:proofErr w:type="spellStart"/>
      <w:r w:rsidRPr="006E105F">
        <w:rPr>
          <w:lang w:eastAsia="zh-CN"/>
        </w:rPr>
        <w:t>RTI</w:t>
      </w:r>
      <w:proofErr w:type="spellEnd"/>
      <w:r w:rsidRPr="006E105F">
        <w:rPr>
          <w:lang w:eastAsia="zh-CN"/>
        </w:rPr>
        <w:t xml:space="preserve"> para fomentar la prestación y el desarrollo de servicios y redes de telecomunicaciones/TIC internacionales</w:t>
      </w:r>
      <w:r w:rsidR="006E105F">
        <w:rPr>
          <w:lang w:eastAsia="zh-CN"/>
        </w:rPr>
        <w:t>"</w:t>
      </w:r>
      <w:r w:rsidRPr="006E105F">
        <w:rPr>
          <w:rStyle w:val="FootnoteReference"/>
          <w:rFonts w:ascii="Times New Roman" w:hAnsi="Times New Roman"/>
          <w:lang w:eastAsia="zh-CN"/>
        </w:rPr>
        <w:footnoteReference w:id="4"/>
      </w:r>
      <w:r w:rsidRPr="006E105F">
        <w:rPr>
          <w:lang w:eastAsia="zh-CN"/>
        </w:rPr>
        <w:t>, con miras a satisfacer las necesidades de desarrollo de las telecomunicaciones de acuerdo con las nuevas tendencias.</w:t>
      </w:r>
    </w:p>
    <w:p w14:paraId="53CBD31F" w14:textId="3C43B739" w:rsidR="00892D68" w:rsidRPr="006E105F" w:rsidRDefault="006E105F" w:rsidP="00D33BC7">
      <w:pPr>
        <w:pStyle w:val="Headingb"/>
        <w:rPr>
          <w:lang w:eastAsia="zh-CN"/>
        </w:rPr>
      </w:pPr>
      <w:r w:rsidRPr="006E105F">
        <w:rPr>
          <w:lang w:eastAsia="zh-CN"/>
        </w:rPr>
        <w:lastRenderedPageBreak/>
        <w:t>(III)</w:t>
      </w:r>
      <w:r w:rsidRPr="006E105F">
        <w:rPr>
          <w:lang w:eastAsia="zh-CN"/>
        </w:rPr>
        <w:tab/>
      </w:r>
      <w:r w:rsidR="00892D68" w:rsidRPr="006E105F">
        <w:rPr>
          <w:lang w:eastAsia="zh-CN"/>
        </w:rPr>
        <w:t>Artículo 3 – Red internacional</w:t>
      </w:r>
      <w:bookmarkStart w:id="10" w:name="_GoBack"/>
      <w:bookmarkEnd w:id="10"/>
    </w:p>
    <w:p w14:paraId="4D6F40DA" w14:textId="3C323554" w:rsidR="00892D68" w:rsidRPr="006E105F" w:rsidRDefault="00892D68" w:rsidP="006E105F">
      <w:pPr>
        <w:rPr>
          <w:lang w:eastAsia="zh-CN"/>
        </w:rPr>
      </w:pPr>
      <w:r w:rsidRPr="006E105F">
        <w:rPr>
          <w:lang w:eastAsia="zh-CN"/>
        </w:rPr>
        <w:t xml:space="preserve">Ante el mayor grado de desarrollo y disponibilidad de las aplicaciones de telecomunicaciones/TIC, han surgido numerosos servicios y aplicaciones nuevos. Las demandas de los usuarios en relación con la prestación de servicios de telecomunicaciones a través de redes internacionales se están diversificando y volviendo más complejas, y no se limitan a </w:t>
      </w:r>
      <w:r w:rsidR="006E105F">
        <w:rPr>
          <w:lang w:eastAsia="zh-CN"/>
        </w:rPr>
        <w:t>"</w:t>
      </w:r>
      <w:r w:rsidRPr="006E105F">
        <w:rPr>
          <w:lang w:eastAsia="zh-CN"/>
        </w:rPr>
        <w:t>cursar tráfico</w:t>
      </w:r>
      <w:r w:rsidR="006E105F">
        <w:rPr>
          <w:lang w:eastAsia="zh-CN"/>
        </w:rPr>
        <w:t>"</w:t>
      </w:r>
      <w:r w:rsidRPr="006E105F">
        <w:rPr>
          <w:lang w:eastAsia="zh-CN"/>
        </w:rPr>
        <w:t xml:space="preserve">. En ese sentido, la parte del Artículo 3.4 en la que se estipula que </w:t>
      </w:r>
      <w:r w:rsidR="006E105F">
        <w:rPr>
          <w:lang w:eastAsia="zh-CN"/>
        </w:rPr>
        <w:t>"</w:t>
      </w:r>
      <w:r w:rsidRPr="006E105F">
        <w:rPr>
          <w:lang w:eastAsia="zh-CN"/>
        </w:rPr>
        <w:t>todo usuario que goce de acceso a la red internacional tendrá derecho a cursar tráfico</w:t>
      </w:r>
      <w:r w:rsidR="006E105F">
        <w:rPr>
          <w:lang w:eastAsia="zh-CN"/>
        </w:rPr>
        <w:t>"</w:t>
      </w:r>
      <w:r w:rsidRPr="006E105F">
        <w:rPr>
          <w:lang w:eastAsia="zh-CN"/>
        </w:rPr>
        <w:t xml:space="preserve"> no está a la altura de los requisitos de la actual tendencia de desarrollo de las telecomunicaciones/TIC internacionales, especialmente en lo que respecta a su aplicabilidad </w:t>
      </w:r>
      <w:r w:rsidR="006E105F">
        <w:rPr>
          <w:lang w:eastAsia="zh-CN"/>
        </w:rPr>
        <w:t>"</w:t>
      </w:r>
      <w:r w:rsidRPr="006E105F">
        <w:rPr>
          <w:lang w:eastAsia="zh-CN"/>
        </w:rPr>
        <w:t>para fomentar la prestación y el desarrollo de servicios y redes de telecomunicaciones/TIC internacionales</w:t>
      </w:r>
      <w:r w:rsidR="006E105F">
        <w:rPr>
          <w:lang w:eastAsia="zh-CN"/>
        </w:rPr>
        <w:t>"</w:t>
      </w:r>
      <w:r w:rsidRPr="006E105F">
        <w:rPr>
          <w:lang w:eastAsia="zh-CN"/>
        </w:rPr>
        <w:t xml:space="preserve">. Al mismo tiempo, la afirmación </w:t>
      </w:r>
      <w:r w:rsidR="006E105F">
        <w:rPr>
          <w:lang w:eastAsia="zh-CN"/>
        </w:rPr>
        <w:t>"</w:t>
      </w:r>
      <w:r w:rsidRPr="006E105F">
        <w:rPr>
          <w:lang w:eastAsia="zh-CN"/>
        </w:rPr>
        <w:t>todo usuario que goce de acceso a la red internacional tendrá derecho a cursar tráfico</w:t>
      </w:r>
      <w:r w:rsidR="006E105F">
        <w:rPr>
          <w:lang w:eastAsia="zh-CN"/>
        </w:rPr>
        <w:t>"</w:t>
      </w:r>
      <w:r w:rsidRPr="006E105F">
        <w:rPr>
          <w:lang w:eastAsia="zh-CN"/>
        </w:rPr>
        <w:t xml:space="preserve"> no se ajusta plenamente al resto del Artículo 3.4, en el que también se estipula que </w:t>
      </w:r>
      <w:r w:rsidR="006E105F">
        <w:rPr>
          <w:lang w:eastAsia="zh-CN"/>
        </w:rPr>
        <w:t>"</w:t>
      </w:r>
      <w:r w:rsidRPr="006E105F">
        <w:rPr>
          <w:lang w:eastAsia="zh-CN"/>
        </w:rPr>
        <w:t>se debe mantener en la mayor medida posible una calidad de servicio satisfactoria, correspondiente a la de las Recomendaciones UIT-T pertinentes</w:t>
      </w:r>
      <w:r w:rsidR="006E105F">
        <w:rPr>
          <w:lang w:eastAsia="zh-CN"/>
        </w:rPr>
        <w:t>"</w:t>
      </w:r>
      <w:r w:rsidRPr="006E105F">
        <w:rPr>
          <w:lang w:eastAsia="zh-CN"/>
        </w:rPr>
        <w:t>. Habida cuenta de las consideraciones que anteceden, proponemos que esta cuestión sea objeto de examen y discusión.</w:t>
      </w:r>
    </w:p>
    <w:p w14:paraId="0CD8E0AC" w14:textId="77777777" w:rsidR="006E105F" w:rsidRPr="006E105F" w:rsidRDefault="006E105F" w:rsidP="00411C49">
      <w:pPr>
        <w:pStyle w:val="Reasons"/>
      </w:pPr>
    </w:p>
    <w:p w14:paraId="772FED97" w14:textId="77777777" w:rsidR="006E105F" w:rsidRPr="006E105F" w:rsidRDefault="006E105F">
      <w:pPr>
        <w:jc w:val="center"/>
      </w:pPr>
      <w:r w:rsidRPr="006E105F">
        <w:t>______________</w:t>
      </w:r>
    </w:p>
    <w:sectPr w:rsidR="006E105F" w:rsidRPr="006E105F"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21CF" w14:textId="77777777" w:rsidR="00892D68" w:rsidRDefault="00892D68">
      <w:r>
        <w:separator/>
      </w:r>
    </w:p>
  </w:endnote>
  <w:endnote w:type="continuationSeparator" w:id="0">
    <w:p w14:paraId="08F5EE82" w14:textId="77777777" w:rsidR="00892D68" w:rsidRDefault="0089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D0C2" w14:textId="341FB82B" w:rsidR="00760F1C" w:rsidRDefault="00767998" w:rsidP="00767998">
    <w:pPr>
      <w:pStyle w:val="Footer"/>
      <w:rPr>
        <w:lang w:val="en-US"/>
      </w:rPr>
    </w:pPr>
    <w:r w:rsidRPr="00767998">
      <w:rPr>
        <w:lang w:val="en-US"/>
      </w:rPr>
      <w:fldChar w:fldCharType="begin"/>
    </w:r>
    <w:r w:rsidRPr="00767998">
      <w:rPr>
        <w:lang w:val="en-US"/>
      </w:rPr>
      <w:instrText xml:space="preserve"> FILENAME \p  \* MERGEFORMAT </w:instrText>
    </w:r>
    <w:r w:rsidRPr="00767998">
      <w:rPr>
        <w:lang w:val="en-US"/>
      </w:rPr>
      <w:fldChar w:fldCharType="separate"/>
    </w:r>
    <w:r w:rsidR="00631A0E">
      <w:rPr>
        <w:lang w:val="en-US"/>
      </w:rPr>
      <w:t>P:\ESP\SG\CONSEIL\EG-ITR\EG-ITR-2\000\004S.docx</w:t>
    </w:r>
    <w:r w:rsidRPr="00767998">
      <w:rPr>
        <w:lang w:val="en-US"/>
      </w:rPr>
      <w:fldChar w:fldCharType="end"/>
    </w:r>
    <w:r w:rsidRPr="00767998">
      <w:rPr>
        <w:lang w:val="en-US"/>
      </w:rPr>
      <w:t xml:space="preserve"> (</w:t>
    </w:r>
    <w:r>
      <w:rPr>
        <w:lang w:val="en-US"/>
      </w:rPr>
      <w:t>466877</w:t>
    </w:r>
    <w:r w:rsidRPr="0076799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9D7F" w14:textId="77777777" w:rsidR="00760F1C" w:rsidRDefault="00760F1C">
    <w:pPr>
      <w:spacing w:after="120"/>
      <w:jc w:val="center"/>
    </w:pPr>
    <w:r>
      <w:t xml:space="preserve">• </w:t>
    </w:r>
    <w:hyperlink r:id="rId1" w:history="1">
      <w:r>
        <w:rPr>
          <w:rStyle w:val="Hyperlink"/>
        </w:rPr>
        <w:t>http://</w:t>
      </w:r>
      <w:proofErr w:type="spellStart"/>
      <w:r>
        <w:rPr>
          <w:rStyle w:val="Hyperlink"/>
        </w:rPr>
        <w:t>www.itu.int</w:t>
      </w:r>
      <w:proofErr w:type="spellEnd"/>
      <w:r>
        <w:rPr>
          <w:rStyle w:val="Hyperlink"/>
        </w:rPr>
        <w:t>/</w:t>
      </w:r>
      <w:proofErr w:type="spellStart"/>
      <w:r>
        <w:rPr>
          <w:rStyle w:val="Hyperlink"/>
        </w:rPr>
        <w:t>council</w:t>
      </w:r>
      <w:proofErr w:type="spellEnd"/>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9A9B" w14:textId="77777777" w:rsidR="00892D68" w:rsidRDefault="00892D68">
      <w:r>
        <w:t>____________________</w:t>
      </w:r>
    </w:p>
  </w:footnote>
  <w:footnote w:type="continuationSeparator" w:id="0">
    <w:p w14:paraId="038EE121" w14:textId="77777777" w:rsidR="00892D68" w:rsidRDefault="00892D68">
      <w:r>
        <w:continuationSeparator/>
      </w:r>
    </w:p>
  </w:footnote>
  <w:footnote w:id="1">
    <w:p w14:paraId="0EF336A9" w14:textId="69C0EEAD" w:rsidR="00892D68" w:rsidRPr="006E105F" w:rsidRDefault="00892D68" w:rsidP="00053EFE">
      <w:pPr>
        <w:pStyle w:val="FootnoteText"/>
        <w:rPr>
          <w:rFonts w:asciiTheme="minorHAnsi" w:hAnsiTheme="minorHAnsi" w:cstheme="minorHAnsi"/>
          <w:lang w:eastAsia="zh-CN"/>
        </w:rPr>
      </w:pPr>
      <w:r w:rsidRPr="006E105F">
        <w:rPr>
          <w:rStyle w:val="FootnoteReference"/>
          <w:rFonts w:asciiTheme="minorHAnsi" w:hAnsiTheme="minorHAnsi" w:cstheme="minorHAnsi"/>
        </w:rPr>
        <w:footnoteRef/>
      </w:r>
      <w:r w:rsidR="006E105F" w:rsidRPr="006E105F">
        <w:rPr>
          <w:rFonts w:asciiTheme="minorHAnsi" w:hAnsiTheme="minorHAnsi" w:cstheme="minorHAnsi"/>
          <w:lang w:eastAsia="zh-CN"/>
        </w:rPr>
        <w:tab/>
      </w:r>
      <w:r w:rsidRPr="006E105F">
        <w:rPr>
          <w:rFonts w:asciiTheme="minorHAnsi" w:hAnsiTheme="minorHAnsi" w:cstheme="minorHAnsi"/>
          <w:lang w:eastAsia="zh-CN"/>
        </w:rPr>
        <w:t>Plan de Acción elaborado por la Cumbre Mundial sobre la Sociedad de la Información en su fase de Ginebra (</w:t>
      </w:r>
      <w:proofErr w:type="spellStart"/>
      <w:r w:rsidRPr="006E105F">
        <w:rPr>
          <w:rFonts w:asciiTheme="minorHAnsi" w:hAnsiTheme="minorHAnsi" w:cstheme="minorHAnsi"/>
          <w:lang w:eastAsia="zh-CN"/>
        </w:rPr>
        <w:t>WSIS</w:t>
      </w:r>
      <w:proofErr w:type="spellEnd"/>
      <w:r w:rsidRPr="006E105F">
        <w:rPr>
          <w:rFonts w:asciiTheme="minorHAnsi" w:hAnsiTheme="minorHAnsi" w:cstheme="minorHAnsi"/>
          <w:lang w:eastAsia="zh-CN"/>
        </w:rPr>
        <w:t>-03/GENEVA/</w:t>
      </w:r>
      <w:proofErr w:type="spellStart"/>
      <w:r w:rsidRPr="006E105F">
        <w:rPr>
          <w:rFonts w:asciiTheme="minorHAnsi" w:hAnsiTheme="minorHAnsi" w:cstheme="minorHAnsi"/>
          <w:lang w:eastAsia="zh-CN"/>
        </w:rPr>
        <w:t>DOC</w:t>
      </w:r>
      <w:proofErr w:type="spellEnd"/>
      <w:r w:rsidRPr="006E105F">
        <w:rPr>
          <w:rFonts w:asciiTheme="minorHAnsi" w:hAnsiTheme="minorHAnsi" w:cstheme="minorHAnsi"/>
          <w:lang w:eastAsia="zh-CN"/>
        </w:rPr>
        <w:t>/5-S).</w:t>
      </w:r>
    </w:p>
  </w:footnote>
  <w:footnote w:id="2">
    <w:p w14:paraId="2384A0AD" w14:textId="11E4C9E7" w:rsidR="00892D68" w:rsidRPr="006E105F" w:rsidRDefault="00892D68" w:rsidP="00C5699A">
      <w:pPr>
        <w:pStyle w:val="FootnoteText"/>
        <w:rPr>
          <w:rFonts w:asciiTheme="minorHAnsi" w:hAnsiTheme="minorHAnsi" w:cstheme="minorHAnsi"/>
          <w:lang w:eastAsia="zh-CN"/>
        </w:rPr>
      </w:pPr>
      <w:r w:rsidRPr="006E105F">
        <w:rPr>
          <w:rStyle w:val="FootnoteReference"/>
          <w:rFonts w:asciiTheme="minorHAnsi" w:hAnsiTheme="minorHAnsi" w:cstheme="minorHAnsi"/>
        </w:rPr>
        <w:footnoteRef/>
      </w:r>
      <w:r w:rsidR="006E105F" w:rsidRPr="006E105F">
        <w:rPr>
          <w:rFonts w:asciiTheme="minorHAnsi" w:hAnsiTheme="minorHAnsi" w:cstheme="minorHAnsi"/>
          <w:lang w:eastAsia="zh-CN"/>
        </w:rPr>
        <w:tab/>
      </w:r>
      <w:r w:rsidRPr="006E105F">
        <w:rPr>
          <w:rFonts w:asciiTheme="minorHAnsi" w:hAnsiTheme="minorHAnsi" w:cstheme="minorHAnsi"/>
          <w:lang w:eastAsia="zh-CN"/>
        </w:rPr>
        <w:t>Resolución 140 (</w:t>
      </w:r>
      <w:bookmarkStart w:id="8" w:name="_Hlk30685525"/>
      <w:r w:rsidRPr="006E105F">
        <w:rPr>
          <w:rFonts w:asciiTheme="minorHAnsi" w:hAnsiTheme="minorHAnsi" w:cstheme="minorHAnsi"/>
          <w:lang w:eastAsia="zh-CN"/>
        </w:rPr>
        <w:t>Rev. Dubái, 2018</w:t>
      </w:r>
      <w:bookmarkEnd w:id="8"/>
      <w:r w:rsidRPr="006E105F">
        <w:rPr>
          <w:rFonts w:asciiTheme="minorHAnsi" w:hAnsiTheme="minorHAnsi" w:cstheme="minorHAnsi"/>
          <w:lang w:eastAsia="zh-CN"/>
        </w:rPr>
        <w:t>).</w:t>
      </w:r>
    </w:p>
  </w:footnote>
  <w:footnote w:id="3">
    <w:p w14:paraId="3214D7ED" w14:textId="19229602" w:rsidR="00892D68" w:rsidRPr="006E105F" w:rsidRDefault="00892D68" w:rsidP="00C5699A">
      <w:pPr>
        <w:pStyle w:val="FootnoteText"/>
        <w:rPr>
          <w:rFonts w:asciiTheme="minorHAnsi" w:hAnsiTheme="minorHAnsi" w:cstheme="minorHAnsi"/>
          <w:lang w:val="es-ES" w:eastAsia="zh-CN"/>
        </w:rPr>
      </w:pPr>
      <w:r w:rsidRPr="006E105F">
        <w:rPr>
          <w:rStyle w:val="FootnoteReference"/>
          <w:rFonts w:asciiTheme="minorHAnsi" w:hAnsiTheme="minorHAnsi" w:cstheme="minorHAnsi"/>
        </w:rPr>
        <w:footnoteRef/>
      </w:r>
      <w:bookmarkStart w:id="9" w:name="_Hlk30684992"/>
      <w:r w:rsidR="006E105F" w:rsidRPr="006E105F">
        <w:rPr>
          <w:rFonts w:asciiTheme="minorHAnsi" w:hAnsiTheme="minorHAnsi" w:cstheme="minorHAnsi"/>
          <w:lang w:eastAsia="zh-CN"/>
        </w:rPr>
        <w:tab/>
      </w:r>
      <w:r w:rsidRPr="006E105F">
        <w:rPr>
          <w:rFonts w:asciiTheme="minorHAnsi" w:hAnsiTheme="minorHAnsi" w:cstheme="minorHAnsi"/>
          <w:lang w:eastAsia="zh-CN"/>
        </w:rPr>
        <w:t xml:space="preserve">Anexo a la Resolución 1379 (modificada en 2019), </w:t>
      </w:r>
      <w:bookmarkEnd w:id="9"/>
      <w:r w:rsidRPr="006E105F">
        <w:rPr>
          <w:rFonts w:asciiTheme="minorHAnsi" w:hAnsiTheme="minorHAnsi" w:cstheme="minorHAnsi"/>
          <w:lang w:eastAsia="zh-CN"/>
        </w:rPr>
        <w:t>Mandato del Grupo de Expertos sobre el Reglamento de las Telecomunicaciones Internacionales (GE-</w:t>
      </w:r>
      <w:proofErr w:type="spellStart"/>
      <w:r w:rsidRPr="006E105F">
        <w:rPr>
          <w:rFonts w:asciiTheme="minorHAnsi" w:hAnsiTheme="minorHAnsi" w:cstheme="minorHAnsi"/>
          <w:lang w:eastAsia="zh-CN"/>
        </w:rPr>
        <w:t>RTI</w:t>
      </w:r>
      <w:proofErr w:type="spellEnd"/>
      <w:r w:rsidRPr="006E105F">
        <w:rPr>
          <w:rFonts w:asciiTheme="minorHAnsi" w:hAnsiTheme="minorHAnsi" w:cstheme="minorHAnsi"/>
          <w:lang w:eastAsia="zh-CN"/>
        </w:rPr>
        <w:t>).</w:t>
      </w:r>
    </w:p>
  </w:footnote>
  <w:footnote w:id="4">
    <w:p w14:paraId="64AC7916" w14:textId="0E232681" w:rsidR="00892D68" w:rsidRPr="006E105F" w:rsidRDefault="00892D68" w:rsidP="005252CF">
      <w:pPr>
        <w:pStyle w:val="FootnoteText"/>
        <w:rPr>
          <w:rFonts w:asciiTheme="minorHAnsi" w:hAnsiTheme="minorHAnsi" w:cstheme="minorHAnsi"/>
          <w:lang w:val="es-ES" w:eastAsia="zh-CN"/>
        </w:rPr>
      </w:pPr>
      <w:r w:rsidRPr="006E105F">
        <w:rPr>
          <w:rStyle w:val="FootnoteReference"/>
          <w:rFonts w:asciiTheme="minorHAnsi" w:hAnsiTheme="minorHAnsi" w:cstheme="minorHAnsi"/>
        </w:rPr>
        <w:footnoteRef/>
      </w:r>
      <w:r w:rsidR="006E105F" w:rsidRPr="006E105F">
        <w:rPr>
          <w:rFonts w:asciiTheme="minorHAnsi" w:hAnsiTheme="minorHAnsi" w:cstheme="minorHAnsi"/>
          <w:lang w:val="es-ES" w:eastAsia="zh-CN"/>
        </w:rPr>
        <w:tab/>
      </w:r>
      <w:r w:rsidRPr="006E105F">
        <w:rPr>
          <w:rFonts w:asciiTheme="minorHAnsi" w:hAnsiTheme="minorHAnsi" w:cstheme="minorHAnsi"/>
          <w:lang w:eastAsia="zh-CN"/>
        </w:rPr>
        <w:t>Anexo a la Resolución 1379 (modificada en 2019), Mandato del Grupo de Expertos sobre el Reglamento de las Telecomunicaciones Internacionales (GE-</w:t>
      </w:r>
      <w:proofErr w:type="spellStart"/>
      <w:r w:rsidRPr="006E105F">
        <w:rPr>
          <w:rFonts w:asciiTheme="minorHAnsi" w:hAnsiTheme="minorHAnsi" w:cstheme="minorHAnsi"/>
          <w:lang w:eastAsia="zh-CN"/>
        </w:rPr>
        <w:t>RTI</w:t>
      </w:r>
      <w:proofErr w:type="spellEnd"/>
      <w:r w:rsidRPr="006E105F">
        <w:rPr>
          <w:rFonts w:asciiTheme="minorHAnsi" w:hAnsiTheme="minorHAnsi" w:cstheme="minorHAnsi"/>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ACD3"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766614C8" w14:textId="7BFFB792" w:rsidR="00760F1C" w:rsidRDefault="00012E27" w:rsidP="00B8298E">
    <w:pPr>
      <w:pStyle w:val="Header"/>
    </w:pPr>
    <w:r>
      <w:rPr>
        <w:noProof/>
      </w:rPr>
      <w:t>EG-ITRs-</w:t>
    </w:r>
    <w:r w:rsidR="00C85B97">
      <w:rPr>
        <w:noProof/>
      </w:rPr>
      <w:t>2</w:t>
    </w:r>
    <w:r>
      <w:rPr>
        <w:noProof/>
      </w:rPr>
      <w:t>\</w:t>
    </w:r>
    <w:r w:rsidR="00767998">
      <w:rPr>
        <w:noProof/>
      </w:rPr>
      <w:t>4</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70C82"/>
    <w:multiLevelType w:val="hybridMultilevel"/>
    <w:tmpl w:val="1B526FA8"/>
    <w:lvl w:ilvl="0" w:tplc="A91AB8CC">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5F6C72D2"/>
    <w:multiLevelType w:val="hybridMultilevel"/>
    <w:tmpl w:val="B6FC7952"/>
    <w:lvl w:ilvl="0" w:tplc="51D00EDE">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68"/>
    <w:rsid w:val="00012E27"/>
    <w:rsid w:val="00093EEB"/>
    <w:rsid w:val="000B0D00"/>
    <w:rsid w:val="000B7C15"/>
    <w:rsid w:val="000D1D0F"/>
    <w:rsid w:val="000F5290"/>
    <w:rsid w:val="0010165C"/>
    <w:rsid w:val="001304D3"/>
    <w:rsid w:val="00146BFB"/>
    <w:rsid w:val="00151A95"/>
    <w:rsid w:val="001D1ABC"/>
    <w:rsid w:val="001F14A2"/>
    <w:rsid w:val="001F60AD"/>
    <w:rsid w:val="002801AA"/>
    <w:rsid w:val="002C4676"/>
    <w:rsid w:val="002C70B0"/>
    <w:rsid w:val="002F3CC4"/>
    <w:rsid w:val="00466380"/>
    <w:rsid w:val="00513630"/>
    <w:rsid w:val="005262CD"/>
    <w:rsid w:val="00560125"/>
    <w:rsid w:val="00585553"/>
    <w:rsid w:val="005B34D9"/>
    <w:rsid w:val="005D0CCF"/>
    <w:rsid w:val="005F410F"/>
    <w:rsid w:val="0060149A"/>
    <w:rsid w:val="00601924"/>
    <w:rsid w:val="00631A0E"/>
    <w:rsid w:val="006447EA"/>
    <w:rsid w:val="0064731F"/>
    <w:rsid w:val="006710F6"/>
    <w:rsid w:val="0067129F"/>
    <w:rsid w:val="0069204C"/>
    <w:rsid w:val="006C1B56"/>
    <w:rsid w:val="006D4761"/>
    <w:rsid w:val="006E105F"/>
    <w:rsid w:val="00726872"/>
    <w:rsid w:val="00760F1C"/>
    <w:rsid w:val="007657F0"/>
    <w:rsid w:val="00767998"/>
    <w:rsid w:val="0077252D"/>
    <w:rsid w:val="007E5DD3"/>
    <w:rsid w:val="007F350B"/>
    <w:rsid w:val="00820BE4"/>
    <w:rsid w:val="008451E8"/>
    <w:rsid w:val="00892D68"/>
    <w:rsid w:val="00913B9C"/>
    <w:rsid w:val="00956E77"/>
    <w:rsid w:val="00AA390C"/>
    <w:rsid w:val="00B0200A"/>
    <w:rsid w:val="00B574DB"/>
    <w:rsid w:val="00B826C2"/>
    <w:rsid w:val="00B8298E"/>
    <w:rsid w:val="00BA4764"/>
    <w:rsid w:val="00BD0723"/>
    <w:rsid w:val="00BD2518"/>
    <w:rsid w:val="00BF1D1C"/>
    <w:rsid w:val="00C20C59"/>
    <w:rsid w:val="00C55B1F"/>
    <w:rsid w:val="00C85B97"/>
    <w:rsid w:val="00CF1A67"/>
    <w:rsid w:val="00D2750E"/>
    <w:rsid w:val="00D33BC7"/>
    <w:rsid w:val="00D62446"/>
    <w:rsid w:val="00D92832"/>
    <w:rsid w:val="00DA4EA2"/>
    <w:rsid w:val="00DC3D3E"/>
    <w:rsid w:val="00DE2C90"/>
    <w:rsid w:val="00DE3B24"/>
    <w:rsid w:val="00E06947"/>
    <w:rsid w:val="00E3592D"/>
    <w:rsid w:val="00E92DE8"/>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EDDEB"/>
  <w15:docId w15:val="{BEDB8867-4962-47A4-8709-32E63045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uiPriority w:val="9"/>
    <w:rsid w:val="00892D68"/>
    <w:rPr>
      <w:rFonts w:ascii="Calibri" w:hAnsi="Calibri"/>
      <w:b/>
      <w:sz w:val="28"/>
      <w:lang w:val="es-ES_tradnl" w:eastAsia="en-US"/>
    </w:rPr>
  </w:style>
  <w:style w:type="character" w:customStyle="1" w:styleId="Heading2Char">
    <w:name w:val="Heading 2 Char"/>
    <w:basedOn w:val="DefaultParagraphFont"/>
    <w:link w:val="Heading2"/>
    <w:uiPriority w:val="9"/>
    <w:rsid w:val="00892D68"/>
    <w:rPr>
      <w:rFonts w:ascii="Calibri" w:hAnsi="Calibri"/>
      <w:b/>
      <w:sz w:val="24"/>
      <w:lang w:val="es-ES_tradnl" w:eastAsia="en-US"/>
    </w:rPr>
  </w:style>
  <w:style w:type="character" w:customStyle="1" w:styleId="FootnoteTextChar">
    <w:name w:val="Footnote Text Char"/>
    <w:basedOn w:val="DefaultParagraphFont"/>
    <w:link w:val="FootnoteText"/>
    <w:uiPriority w:val="99"/>
    <w:rsid w:val="00892D6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6708D-50DB-4B4B-AAF9-53919F21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42</TotalTime>
  <Pages>3</Pages>
  <Words>1029</Words>
  <Characters>5698</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Spanish1</dc:creator>
  <cp:keywords>C2010, C10</cp:keywords>
  <dc:description>Documento C17/-S  Para: _x000d_Fecha del documento: enero de 2017_x000d_Registrado por ITU51009317 a 15:32:38 el 06/04/2017</dc:description>
  <cp:lastModifiedBy>Spanish1</cp:lastModifiedBy>
  <cp:revision>9</cp:revision>
  <cp:lastPrinted>2020-01-30T10:21:00Z</cp:lastPrinted>
  <dcterms:created xsi:type="dcterms:W3CDTF">2020-01-30T09:53:00Z</dcterms:created>
  <dcterms:modified xsi:type="dcterms:W3CDTF">2020-01-30T10:54:00Z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