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001D6830" w14:textId="77777777" w:rsidTr="00C332F7">
        <w:trPr>
          <w:cantSplit/>
          <w:trHeight w:val="1306"/>
        </w:trPr>
        <w:tc>
          <w:tcPr>
            <w:tcW w:w="6620" w:type="dxa"/>
          </w:tcPr>
          <w:p w14:paraId="352C4D6C"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7FA2F4E2"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29997B56"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1BD51CDD" wp14:editId="59C103E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38FF83D7" w14:textId="77777777" w:rsidTr="00F03E94">
        <w:trPr>
          <w:cantSplit/>
          <w:trHeight w:val="20"/>
        </w:trPr>
        <w:tc>
          <w:tcPr>
            <w:tcW w:w="6620" w:type="dxa"/>
            <w:tcBorders>
              <w:top w:val="single" w:sz="12" w:space="0" w:color="auto"/>
            </w:tcBorders>
          </w:tcPr>
          <w:p w14:paraId="0332BA08" w14:textId="77777777" w:rsidR="00AF6B5C" w:rsidRPr="00AF6B5C" w:rsidRDefault="00AF6B5C" w:rsidP="00AF6B5C">
            <w:pPr>
              <w:rPr>
                <w:b/>
                <w:bCs/>
                <w:rtl/>
                <w:lang w:bidi="ar-EG"/>
              </w:rPr>
            </w:pPr>
          </w:p>
        </w:tc>
        <w:tc>
          <w:tcPr>
            <w:tcW w:w="3052" w:type="dxa"/>
            <w:tcBorders>
              <w:top w:val="single" w:sz="12" w:space="0" w:color="auto"/>
            </w:tcBorders>
          </w:tcPr>
          <w:p w14:paraId="4C17680C" w14:textId="77777777" w:rsidR="00AF6B5C" w:rsidRPr="00AF6B5C" w:rsidRDefault="00AF6B5C" w:rsidP="00AF6B5C">
            <w:pPr>
              <w:rPr>
                <w:b/>
                <w:bCs/>
                <w:lang w:bidi="ar-EG"/>
              </w:rPr>
            </w:pPr>
          </w:p>
        </w:tc>
      </w:tr>
      <w:tr w:rsidR="00AF6B5C" w:rsidRPr="00AF6B5C" w14:paraId="3A3CD707" w14:textId="77777777" w:rsidTr="00F03E94">
        <w:trPr>
          <w:cantSplit/>
        </w:trPr>
        <w:tc>
          <w:tcPr>
            <w:tcW w:w="6620" w:type="dxa"/>
            <w:vMerge w:val="restart"/>
          </w:tcPr>
          <w:p w14:paraId="3D71B3CF" w14:textId="77777777" w:rsidR="00AF6B5C" w:rsidRPr="00AF6B5C" w:rsidRDefault="00AF6B5C" w:rsidP="00AF6B5C">
            <w:pPr>
              <w:spacing w:before="40" w:after="40" w:line="300" w:lineRule="exact"/>
              <w:rPr>
                <w:b/>
                <w:bCs/>
                <w:rtl/>
                <w:lang w:bidi="ar-EG"/>
              </w:rPr>
            </w:pPr>
          </w:p>
        </w:tc>
        <w:tc>
          <w:tcPr>
            <w:tcW w:w="3052" w:type="dxa"/>
            <w:vAlign w:val="center"/>
          </w:tcPr>
          <w:p w14:paraId="4E0BEAD5" w14:textId="17A780BD" w:rsidR="00AF6B5C" w:rsidRPr="00AF6B5C" w:rsidRDefault="00AF6B5C" w:rsidP="000A7BBF">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0A7BBF">
              <w:rPr>
                <w:b/>
                <w:bCs/>
                <w:lang w:bidi="ar-EG"/>
              </w:rPr>
              <w:t>4</w:t>
            </w:r>
            <w:r w:rsidRPr="00AF6B5C">
              <w:rPr>
                <w:b/>
                <w:bCs/>
                <w:lang w:bidi="ar-EG"/>
              </w:rPr>
              <w:t>-A</w:t>
            </w:r>
          </w:p>
        </w:tc>
      </w:tr>
      <w:tr w:rsidR="00AF6B5C" w:rsidRPr="00AF6B5C" w14:paraId="000EFA7B" w14:textId="77777777" w:rsidTr="00F03E94">
        <w:trPr>
          <w:cantSplit/>
        </w:trPr>
        <w:tc>
          <w:tcPr>
            <w:tcW w:w="6620" w:type="dxa"/>
            <w:vMerge/>
          </w:tcPr>
          <w:p w14:paraId="4B1205BA" w14:textId="77777777" w:rsidR="00AF6B5C" w:rsidRPr="00AF6B5C" w:rsidRDefault="00AF6B5C" w:rsidP="00AF6B5C">
            <w:pPr>
              <w:spacing w:before="40" w:after="40" w:line="300" w:lineRule="exact"/>
              <w:rPr>
                <w:b/>
                <w:bCs/>
                <w:lang w:bidi="ar-EG"/>
              </w:rPr>
            </w:pPr>
          </w:p>
        </w:tc>
        <w:tc>
          <w:tcPr>
            <w:tcW w:w="3052" w:type="dxa"/>
            <w:vAlign w:val="center"/>
          </w:tcPr>
          <w:p w14:paraId="0D7296C7" w14:textId="4D28530F" w:rsidR="00AF6B5C" w:rsidRPr="00AF6B5C" w:rsidRDefault="000A7BBF" w:rsidP="00AF6B5C">
            <w:pPr>
              <w:spacing w:before="40" w:after="40" w:line="300" w:lineRule="exact"/>
              <w:rPr>
                <w:b/>
                <w:bCs/>
                <w:lang w:bidi="ar-EG"/>
              </w:rPr>
            </w:pPr>
            <w:r>
              <w:rPr>
                <w:b/>
                <w:bCs/>
                <w:lang w:bidi="ar-EG"/>
              </w:rPr>
              <w:t>21</w:t>
            </w:r>
            <w:r w:rsidR="00AF6B5C" w:rsidRPr="00AF6B5C">
              <w:rPr>
                <w:rFonts w:hint="cs"/>
                <w:b/>
                <w:bCs/>
                <w:rtl/>
                <w:lang w:bidi="ar-EG"/>
              </w:rPr>
              <w:t xml:space="preserve"> </w:t>
            </w:r>
            <w:r w:rsidR="00811203">
              <w:rPr>
                <w:rFonts w:hint="cs"/>
                <w:b/>
                <w:bCs/>
                <w:rtl/>
                <w:lang w:bidi="ar-EG"/>
              </w:rPr>
              <w:t>ي</w:t>
            </w:r>
            <w:r>
              <w:rPr>
                <w:rFonts w:hint="cs"/>
                <w:b/>
                <w:bCs/>
                <w:rtl/>
                <w:lang w:bidi="ar-EG"/>
              </w:rPr>
              <w:t>ناير</w:t>
            </w:r>
            <w:r w:rsidR="00AF6B5C" w:rsidRPr="00AF6B5C">
              <w:rPr>
                <w:rFonts w:hint="cs"/>
                <w:b/>
                <w:bCs/>
                <w:rtl/>
                <w:lang w:bidi="ar-EG"/>
              </w:rPr>
              <w:t xml:space="preserve"> </w:t>
            </w:r>
            <w:r w:rsidR="00AF6B5C">
              <w:rPr>
                <w:b/>
                <w:bCs/>
                <w:lang w:bidi="ar-EG"/>
              </w:rPr>
              <w:t>20</w:t>
            </w:r>
            <w:r>
              <w:rPr>
                <w:b/>
                <w:bCs/>
                <w:lang w:bidi="ar-EG"/>
              </w:rPr>
              <w:t>20</w:t>
            </w:r>
          </w:p>
        </w:tc>
      </w:tr>
      <w:tr w:rsidR="00AF6B5C" w:rsidRPr="00AF6B5C" w14:paraId="4FD26AF1" w14:textId="77777777" w:rsidTr="00F03E94">
        <w:trPr>
          <w:cantSplit/>
        </w:trPr>
        <w:tc>
          <w:tcPr>
            <w:tcW w:w="6620" w:type="dxa"/>
            <w:vMerge/>
          </w:tcPr>
          <w:p w14:paraId="59ABFE46" w14:textId="77777777" w:rsidR="00AF6B5C" w:rsidRPr="00AF6B5C" w:rsidRDefault="00AF6B5C" w:rsidP="00AF6B5C">
            <w:pPr>
              <w:spacing w:before="40" w:after="40" w:line="300" w:lineRule="exact"/>
              <w:rPr>
                <w:b/>
                <w:bCs/>
                <w:lang w:bidi="ar-EG"/>
              </w:rPr>
            </w:pPr>
          </w:p>
        </w:tc>
        <w:tc>
          <w:tcPr>
            <w:tcW w:w="3052" w:type="dxa"/>
            <w:vAlign w:val="center"/>
          </w:tcPr>
          <w:p w14:paraId="3646A91C" w14:textId="0AE72F31" w:rsidR="00AF6B5C" w:rsidRPr="00AF6B5C" w:rsidRDefault="00AF6B5C" w:rsidP="00AF6B5C">
            <w:pPr>
              <w:spacing w:before="40" w:after="40" w:line="300" w:lineRule="exact"/>
              <w:rPr>
                <w:b/>
                <w:bCs/>
                <w:lang w:bidi="ar-EG"/>
              </w:rPr>
            </w:pPr>
            <w:r w:rsidRPr="00AF6B5C">
              <w:rPr>
                <w:b/>
                <w:bCs/>
                <w:rtl/>
                <w:lang w:bidi="ar-EG"/>
              </w:rPr>
              <w:t xml:space="preserve">الأصل: </w:t>
            </w:r>
            <w:r w:rsidR="000A7BBF">
              <w:rPr>
                <w:rFonts w:hint="cs"/>
                <w:b/>
                <w:bCs/>
                <w:rtl/>
                <w:lang w:bidi="ar-EG"/>
              </w:rPr>
              <w:t>بالصينية</w:t>
            </w:r>
          </w:p>
        </w:tc>
      </w:tr>
      <w:tr w:rsidR="00AF6B5C" w:rsidRPr="00AF6B5C" w14:paraId="4796A242" w14:textId="77777777" w:rsidTr="00F03E94">
        <w:trPr>
          <w:cantSplit/>
        </w:trPr>
        <w:tc>
          <w:tcPr>
            <w:tcW w:w="9672" w:type="dxa"/>
            <w:gridSpan w:val="2"/>
          </w:tcPr>
          <w:p w14:paraId="0BE7683D" w14:textId="1839013C" w:rsidR="00AF6B5C" w:rsidRPr="000A7BBF" w:rsidRDefault="000A7BBF" w:rsidP="00271C8D">
            <w:pPr>
              <w:pStyle w:val="Source"/>
              <w:rPr>
                <w:rtl/>
              </w:rPr>
            </w:pPr>
            <w:r w:rsidRPr="000A7BBF">
              <w:rPr>
                <w:rFonts w:hint="cs"/>
                <w:rtl/>
              </w:rPr>
              <w:t>جمهورية الصين الشعبية</w:t>
            </w:r>
          </w:p>
        </w:tc>
      </w:tr>
      <w:tr w:rsidR="00AF6B5C" w:rsidRPr="00AF6B5C" w14:paraId="1C30B508" w14:textId="77777777" w:rsidTr="00F03E94">
        <w:trPr>
          <w:cantSplit/>
        </w:trPr>
        <w:tc>
          <w:tcPr>
            <w:tcW w:w="9672" w:type="dxa"/>
            <w:gridSpan w:val="2"/>
          </w:tcPr>
          <w:p w14:paraId="78DB9D5B" w14:textId="78A8F79E" w:rsidR="00AF6B5C" w:rsidRPr="00FC6099" w:rsidRDefault="000A7BBF" w:rsidP="000A7BBF">
            <w:pPr>
              <w:pStyle w:val="Title1"/>
            </w:pPr>
            <w:r w:rsidRPr="00FC6099">
              <w:rPr>
                <w:rFonts w:hint="cs"/>
                <w:rtl/>
              </w:rPr>
              <w:t>تعليقات على الاستعراض الشامل للوائح الاتصالات الدولية</w:t>
            </w:r>
            <w:r w:rsidRPr="00FC6099">
              <w:rPr>
                <w:rtl/>
              </w:rPr>
              <w:br/>
            </w:r>
            <w:r w:rsidRPr="00FC6099">
              <w:rPr>
                <w:rFonts w:hint="cs"/>
                <w:rtl/>
              </w:rPr>
              <w:t xml:space="preserve">من الديباجة إلى المادة </w:t>
            </w:r>
            <w:r w:rsidRPr="00FC6099">
              <w:t>4</w:t>
            </w:r>
          </w:p>
        </w:tc>
      </w:tr>
    </w:tbl>
    <w:p w14:paraId="21A748C8" w14:textId="2555C1BA" w:rsidR="00811203" w:rsidRDefault="00811203" w:rsidP="00811203">
      <w:pPr>
        <w:rPr>
          <w:rtl/>
          <w:lang w:bidi="ar-EG"/>
        </w:rPr>
      </w:pPr>
    </w:p>
    <w:p w14:paraId="65F5CB9E" w14:textId="02155D5E" w:rsidR="000A7BBF" w:rsidRDefault="000A7BBF" w:rsidP="000A7BBF">
      <w:pPr>
        <w:pStyle w:val="Heading1"/>
        <w:rPr>
          <w:rtl/>
          <w:lang w:bidi="ar-EG"/>
        </w:rPr>
      </w:pPr>
      <w:r>
        <w:rPr>
          <w:rFonts w:hint="cs"/>
          <w:rtl/>
          <w:lang w:bidi="ar-EG"/>
        </w:rPr>
        <w:t>أولاً</w:t>
      </w:r>
      <w:r w:rsidR="00FC6099">
        <w:rPr>
          <w:rFonts w:hint="cs"/>
          <w:rtl/>
          <w:lang w:bidi="ar-EG"/>
        </w:rPr>
        <w:t xml:space="preserve"> </w:t>
      </w:r>
      <w:r>
        <w:rPr>
          <w:rtl/>
          <w:lang w:bidi="ar-EG"/>
        </w:rPr>
        <w:tab/>
      </w:r>
      <w:r>
        <w:rPr>
          <w:rFonts w:hint="cs"/>
          <w:rtl/>
          <w:lang w:bidi="ar-EG"/>
        </w:rPr>
        <w:t>الديباجة</w:t>
      </w:r>
    </w:p>
    <w:p w14:paraId="01294638" w14:textId="23148497" w:rsidR="00271C8D" w:rsidRDefault="00560946" w:rsidP="00560946">
      <w:pPr>
        <w:rPr>
          <w:rtl/>
          <w:lang w:val="en-GB" w:bidi="ar-EG"/>
        </w:rPr>
      </w:pPr>
      <w:r w:rsidRPr="00560946">
        <w:rPr>
          <w:rFonts w:hint="cs"/>
          <w:rtl/>
        </w:rPr>
        <w:t xml:space="preserve">طبقاً للقرار </w:t>
      </w:r>
      <w:r w:rsidRPr="00560946">
        <w:rPr>
          <w:lang w:val="en-GB" w:bidi="ar-EG"/>
        </w:rPr>
        <w:t>146</w:t>
      </w:r>
      <w:r w:rsidRPr="00560946">
        <w:rPr>
          <w:rFonts w:hint="cs"/>
          <w:rtl/>
        </w:rPr>
        <w:t xml:space="preserve"> </w:t>
      </w:r>
      <w:r>
        <w:rPr>
          <w:rFonts w:hint="cs"/>
          <w:rtl/>
          <w:lang w:bidi="ar-EG"/>
        </w:rPr>
        <w:t>(</w:t>
      </w:r>
      <w:r w:rsidRPr="00560946">
        <w:rPr>
          <w:rFonts w:hint="cs"/>
          <w:rtl/>
        </w:rPr>
        <w:t>المراج</w:t>
      </w:r>
      <w:r>
        <w:rPr>
          <w:rFonts w:hint="cs"/>
          <w:rtl/>
        </w:rPr>
        <w:t>َ</w:t>
      </w:r>
      <w:r w:rsidRPr="00560946">
        <w:rPr>
          <w:rFonts w:hint="cs"/>
          <w:rtl/>
        </w:rPr>
        <w:t xml:space="preserve">ع في دبي، </w:t>
      </w:r>
      <w:r w:rsidRPr="00560946">
        <w:rPr>
          <w:lang w:val="en-GB" w:bidi="ar-EG"/>
        </w:rPr>
        <w:t>2018</w:t>
      </w:r>
      <w:r w:rsidRPr="00560946">
        <w:rPr>
          <w:rFonts w:hint="cs"/>
          <w:rtl/>
        </w:rPr>
        <w:t>)</w:t>
      </w:r>
      <w:r>
        <w:rPr>
          <w:rFonts w:hint="cs"/>
          <w:rtl/>
        </w:rPr>
        <w:t xml:space="preserve"> الذي اعتمده مؤتمر المندوبين المفوضين لعام </w:t>
      </w:r>
      <w:r>
        <w:rPr>
          <w:lang w:val="en-GB"/>
        </w:rPr>
        <w:t>2018</w:t>
      </w:r>
      <w:r>
        <w:rPr>
          <w:rFonts w:hint="cs"/>
          <w:rtl/>
          <w:lang w:val="en-GB" w:bidi="ar-EG"/>
        </w:rPr>
        <w:t xml:space="preserve">، فإن "لوائح الاتصالات الدولية" ينبغي عادة أن تستعرض دورياً، وأن يجري استعراض شامل للوائح الاتصالات الدولية بغية تحقيق توافق في الآراء بشأن سبيل المضي قدماً فيما يتعلق بهذه اللوائح. وتنفيذاً للقرار </w:t>
      </w:r>
      <w:r>
        <w:rPr>
          <w:lang w:val="en-GB" w:bidi="ar-EG"/>
        </w:rPr>
        <w:t>146</w:t>
      </w:r>
      <w:r>
        <w:rPr>
          <w:rFonts w:hint="cs"/>
          <w:rtl/>
          <w:lang w:val="en-GB" w:bidi="ar-EG"/>
        </w:rPr>
        <w:t xml:space="preserve">، راجع المجلس في دورته لعام </w:t>
      </w:r>
      <w:r>
        <w:rPr>
          <w:lang w:val="en-GB" w:bidi="ar-EG"/>
        </w:rPr>
        <w:t>2019</w:t>
      </w:r>
      <w:r>
        <w:rPr>
          <w:rFonts w:hint="cs"/>
          <w:rtl/>
          <w:lang w:val="en-GB" w:bidi="ar-EG"/>
        </w:rPr>
        <w:t xml:space="preserve"> القرار </w:t>
      </w:r>
      <w:r>
        <w:rPr>
          <w:lang w:val="en-GB" w:bidi="ar-EG"/>
        </w:rPr>
        <w:t>1379</w:t>
      </w:r>
      <w:r>
        <w:rPr>
          <w:rFonts w:hint="cs"/>
          <w:rtl/>
          <w:lang w:val="en-GB" w:bidi="ar-EG"/>
        </w:rPr>
        <w:t xml:space="preserve"> وأعاد تشكيل فريق </w:t>
      </w:r>
      <w:r w:rsidRPr="00560946">
        <w:rPr>
          <w:rFonts w:hint="cs"/>
          <w:rtl/>
        </w:rPr>
        <w:t xml:space="preserve">الخبراء الجديد المعني بلوائح الاتصالات الدولية </w:t>
      </w:r>
      <w:r w:rsidRPr="00560946">
        <w:rPr>
          <w:lang w:val="en-GB" w:bidi="ar-EG"/>
        </w:rPr>
        <w:t>(EG-ITR)</w:t>
      </w:r>
      <w:r>
        <w:rPr>
          <w:rFonts w:hint="cs"/>
          <w:rtl/>
          <w:lang w:val="en-GB" w:bidi="ar-EG"/>
        </w:rPr>
        <w:t xml:space="preserve"> وحدد اختصاصاته.</w:t>
      </w:r>
    </w:p>
    <w:p w14:paraId="72EAD5F6" w14:textId="677D3F8E" w:rsidR="00560946" w:rsidRDefault="00560946" w:rsidP="00560946">
      <w:pPr>
        <w:rPr>
          <w:rtl/>
          <w:lang w:val="en-GB" w:bidi="ar-EG"/>
        </w:rPr>
      </w:pPr>
      <w:r w:rsidRPr="00560946">
        <w:rPr>
          <w:rFonts w:hint="cs"/>
          <w:rtl/>
        </w:rPr>
        <w:t xml:space="preserve">وفي سبتمبر </w:t>
      </w:r>
      <w:r w:rsidRPr="00560946">
        <w:t>2019</w:t>
      </w:r>
      <w:r w:rsidRPr="00560946">
        <w:rPr>
          <w:rFonts w:hint="cs"/>
          <w:rtl/>
        </w:rPr>
        <w:t xml:space="preserve">، عقد الفريق </w:t>
      </w:r>
      <w:r w:rsidRPr="00560946">
        <w:rPr>
          <w:lang w:val="en-GB" w:bidi="ar-EG"/>
        </w:rPr>
        <w:t>(EG-ITR)</w:t>
      </w:r>
      <w:r w:rsidRPr="00560946">
        <w:rPr>
          <w:rFonts w:hint="cs"/>
          <w:rtl/>
        </w:rPr>
        <w:t xml:space="preserve"> </w:t>
      </w:r>
      <w:r>
        <w:rPr>
          <w:rFonts w:hint="cs"/>
          <w:rtl/>
        </w:rPr>
        <w:t xml:space="preserve">أول اجتماعاته في جنيف. واتفقت جميع الأطراف على </w:t>
      </w:r>
      <w:r w:rsidR="00751F0B">
        <w:rPr>
          <w:rFonts w:hint="cs"/>
          <w:rtl/>
        </w:rPr>
        <w:t>أ</w:t>
      </w:r>
      <w:r>
        <w:rPr>
          <w:rFonts w:hint="cs"/>
          <w:rtl/>
        </w:rPr>
        <w:t xml:space="preserve">ساليب وخطط العمل التي استعرضها الفريق ووضعت نموذجاً (يطلق عليه "جدول التفحص") من أجل استعراض لوائح الاتصالات الدولية حكماً </w:t>
      </w:r>
      <w:proofErr w:type="spellStart"/>
      <w:r>
        <w:rPr>
          <w:rFonts w:hint="cs"/>
          <w:rtl/>
        </w:rPr>
        <w:t>حكماً</w:t>
      </w:r>
      <w:proofErr w:type="spellEnd"/>
      <w:r>
        <w:rPr>
          <w:rFonts w:hint="cs"/>
          <w:rtl/>
        </w:rPr>
        <w:t xml:space="preserve"> طبقاً لاختصاصات الفريق </w:t>
      </w:r>
      <w:r w:rsidRPr="00560946">
        <w:rPr>
          <w:lang w:val="en-GB"/>
        </w:rPr>
        <w:t>(EG-ITR)</w:t>
      </w:r>
      <w:r>
        <w:rPr>
          <w:rFonts w:hint="cs"/>
          <w:rtl/>
          <w:lang w:val="en-GB" w:bidi="ar-EG"/>
        </w:rPr>
        <w:t xml:space="preserve"> و"خطة العمل" التي أقرتها الطراف كافة. ووفقاً لخطة العمل، سيقوم الفريق </w:t>
      </w:r>
      <w:r w:rsidRPr="00560946">
        <w:rPr>
          <w:lang w:val="en-GB" w:bidi="ar-EG"/>
        </w:rPr>
        <w:t>(EG-ITR)</w:t>
      </w:r>
      <w:r>
        <w:rPr>
          <w:rFonts w:hint="cs"/>
          <w:rtl/>
          <w:lang w:val="en-GB" w:bidi="ar-EG"/>
        </w:rPr>
        <w:t xml:space="preserve"> بإجراء استعراض لمحتوى كل حكم من الأحكام بدءاً من الديباجة حتى المادة </w:t>
      </w:r>
      <w:r>
        <w:rPr>
          <w:lang w:val="en-GB" w:bidi="ar-EG"/>
        </w:rPr>
        <w:t>4</w:t>
      </w:r>
      <w:r>
        <w:rPr>
          <w:rFonts w:hint="cs"/>
          <w:rtl/>
          <w:lang w:val="en-GB" w:bidi="ar-EG"/>
        </w:rPr>
        <w:t xml:space="preserve"> من اللوائح، وذلك في اجتماعه الثاني في فبراير</w:t>
      </w:r>
      <w:r>
        <w:rPr>
          <w:rFonts w:hint="eastAsia"/>
          <w:rtl/>
          <w:lang w:val="en-GB" w:bidi="ar-EG"/>
        </w:rPr>
        <w:t> </w:t>
      </w:r>
      <w:r>
        <w:rPr>
          <w:lang w:val="en-GB" w:bidi="ar-EG"/>
        </w:rPr>
        <w:t>2020</w:t>
      </w:r>
      <w:r>
        <w:rPr>
          <w:rFonts w:hint="cs"/>
          <w:rtl/>
          <w:lang w:val="en-GB" w:bidi="ar-EG"/>
        </w:rPr>
        <w:t>.</w:t>
      </w:r>
    </w:p>
    <w:p w14:paraId="739467C8" w14:textId="42423248" w:rsidR="00560946" w:rsidRDefault="00560946" w:rsidP="00560946">
      <w:pPr>
        <w:pStyle w:val="Heading1"/>
        <w:rPr>
          <w:rtl/>
          <w:lang w:bidi="ar-EG"/>
        </w:rPr>
      </w:pPr>
      <w:r w:rsidRPr="00560946">
        <w:rPr>
          <w:rFonts w:hint="cs"/>
          <w:rtl/>
          <w:lang w:bidi="ar-EG"/>
        </w:rPr>
        <w:t>ثانياً</w:t>
      </w:r>
      <w:r w:rsidRPr="00560946">
        <w:rPr>
          <w:rtl/>
          <w:lang w:bidi="ar-EG"/>
        </w:rPr>
        <w:tab/>
      </w:r>
      <w:r w:rsidR="00751F0B">
        <w:rPr>
          <w:rFonts w:hint="cs"/>
          <w:rtl/>
          <w:lang w:bidi="ar-EG"/>
        </w:rPr>
        <w:t>مقترحات بشأن أعمال المؤتمر</w:t>
      </w:r>
    </w:p>
    <w:p w14:paraId="45E87C99" w14:textId="7E2FEEC8" w:rsidR="00560946" w:rsidRDefault="00560946" w:rsidP="00560946">
      <w:pPr>
        <w:rPr>
          <w:rtl/>
          <w:lang w:val="en-GB" w:bidi="ar-EG"/>
        </w:rPr>
      </w:pPr>
      <w:r>
        <w:rPr>
          <w:rFonts w:hint="cs"/>
          <w:rtl/>
        </w:rPr>
        <w:t>بناء</w:t>
      </w:r>
      <w:r w:rsidR="00751F0B">
        <w:rPr>
          <w:rFonts w:hint="cs"/>
          <w:rtl/>
        </w:rPr>
        <w:t>ً</w:t>
      </w:r>
      <w:r>
        <w:rPr>
          <w:rFonts w:hint="cs"/>
          <w:rtl/>
        </w:rPr>
        <w:t xml:space="preserve"> على ا</w:t>
      </w:r>
      <w:r w:rsidRPr="00560946">
        <w:rPr>
          <w:rFonts w:hint="cs"/>
          <w:rtl/>
        </w:rPr>
        <w:t xml:space="preserve">لقرار </w:t>
      </w:r>
      <w:r w:rsidRPr="00560946">
        <w:rPr>
          <w:lang w:val="en-GB" w:bidi="ar-EG"/>
        </w:rPr>
        <w:t>1</w:t>
      </w:r>
      <w:r>
        <w:rPr>
          <w:lang w:val="en-GB" w:bidi="ar-EG"/>
        </w:rPr>
        <w:t>379</w:t>
      </w:r>
      <w:r w:rsidRPr="00560946">
        <w:rPr>
          <w:rFonts w:hint="cs"/>
          <w:rtl/>
        </w:rPr>
        <w:t xml:space="preserve"> </w:t>
      </w:r>
      <w:r>
        <w:rPr>
          <w:rFonts w:hint="cs"/>
          <w:rtl/>
          <w:lang w:bidi="ar-EG"/>
        </w:rPr>
        <w:t>(</w:t>
      </w:r>
      <w:r w:rsidRPr="00560946">
        <w:rPr>
          <w:rFonts w:hint="cs"/>
          <w:rtl/>
        </w:rPr>
        <w:t>الم</w:t>
      </w:r>
      <w:r>
        <w:rPr>
          <w:rFonts w:hint="cs"/>
          <w:rtl/>
        </w:rPr>
        <w:t xml:space="preserve">عدل في </w:t>
      </w:r>
      <w:r w:rsidRPr="00560946">
        <w:rPr>
          <w:lang w:val="en-GB" w:bidi="ar-EG"/>
        </w:rPr>
        <w:t>201</w:t>
      </w:r>
      <w:r>
        <w:rPr>
          <w:lang w:val="en-GB" w:bidi="ar-EG"/>
        </w:rPr>
        <w:t>9</w:t>
      </w:r>
      <w:r w:rsidRPr="00560946">
        <w:rPr>
          <w:rFonts w:hint="cs"/>
          <w:rtl/>
        </w:rPr>
        <w:t>)</w:t>
      </w:r>
      <w:r>
        <w:rPr>
          <w:rFonts w:hint="cs"/>
          <w:rtl/>
        </w:rPr>
        <w:t xml:space="preserve">، ينبغي للفريق أن يركز على لوائح الاتصالات الدولية لعام </w:t>
      </w:r>
      <w:r>
        <w:rPr>
          <w:lang w:val="en-GB"/>
        </w:rPr>
        <w:t>2012</w:t>
      </w:r>
      <w:r>
        <w:rPr>
          <w:rFonts w:hint="cs"/>
          <w:rtl/>
          <w:lang w:val="en-GB" w:bidi="ar-EG"/>
        </w:rPr>
        <w:t xml:space="preserve">، مع مراعاة الاتجاهات الجديدة في مجال الاتصالات/تكنولوجيا المعلومات والاتصالات والقضايا الناشئة في بيئة الاتصالات/تكنولوجيا المعلومات والاتصالات الدولية. تشجيعاً لتوفير خدمات وشبكات الاتصالات/تكنولوجيا المعلومات والاتصالات الدولية وتنميتها، ومدى مرونة أحكام لوائح الاتصالات الدولية أو قصورها في مواكبة الاتجاهات الجديدة في مجال الاتصالات/تكنولوجيا المعلومات والاتصالات والقضايا الناشئة في بيئة الاتصالات/تكنولوجيا المعلومات والاتصالات الدولية. وطبقاً لاختصاصات </w:t>
      </w:r>
      <w:r w:rsidRPr="00560946">
        <w:rPr>
          <w:rFonts w:hint="cs"/>
          <w:rtl/>
        </w:rPr>
        <w:t xml:space="preserve">الفريق </w:t>
      </w:r>
      <w:r w:rsidRPr="00560946">
        <w:rPr>
          <w:lang w:val="en-GB" w:bidi="ar-EG"/>
        </w:rPr>
        <w:t>(EG-ITR)</w:t>
      </w:r>
      <w:r w:rsidRPr="00560946">
        <w:rPr>
          <w:rFonts w:hint="cs"/>
          <w:rtl/>
        </w:rPr>
        <w:t xml:space="preserve"> </w:t>
      </w:r>
      <w:r>
        <w:rPr>
          <w:rFonts w:hint="cs"/>
          <w:rtl/>
          <w:lang w:val="en-GB"/>
        </w:rPr>
        <w:t xml:space="preserve">وما تم تحقيقه من توافق في الآراء في اجتماعه الأول، نقترح ما يلي فيما يتعلق باستعراض المحتوى ذي الصلة، بدءاً من الديباجة حتى المادة </w:t>
      </w:r>
      <w:r>
        <w:rPr>
          <w:lang w:val="en-GB"/>
        </w:rPr>
        <w:t>4</w:t>
      </w:r>
      <w:r>
        <w:rPr>
          <w:rFonts w:hint="cs"/>
          <w:rtl/>
          <w:lang w:val="en-GB" w:bidi="ar-EG"/>
        </w:rPr>
        <w:t xml:space="preserve"> من اللوائح:</w:t>
      </w:r>
    </w:p>
    <w:p w14:paraId="632F7762" w14:textId="0A08FDF2" w:rsidR="009049B0" w:rsidRDefault="00751F0B" w:rsidP="009049B0">
      <w:pPr>
        <w:pStyle w:val="Headingb"/>
        <w:rPr>
          <w:rtl/>
          <w:lang w:bidi="ar-EG"/>
        </w:rPr>
      </w:pPr>
      <w:r>
        <w:rPr>
          <w:rFonts w:hint="cs"/>
          <w:rtl/>
          <w:lang w:bidi="ar-EG"/>
        </w:rPr>
        <w:t xml:space="preserve"> </w:t>
      </w:r>
      <w:proofErr w:type="gramStart"/>
      <w:r>
        <w:rPr>
          <w:rFonts w:hint="cs"/>
          <w:rtl/>
          <w:lang w:bidi="ar-EG"/>
        </w:rPr>
        <w:t>أ )</w:t>
      </w:r>
      <w:proofErr w:type="gramEnd"/>
      <w:r w:rsidR="009049B0" w:rsidRPr="009049B0">
        <w:rPr>
          <w:rtl/>
          <w:lang w:bidi="ar-EG"/>
        </w:rPr>
        <w:tab/>
      </w:r>
      <w:r w:rsidR="009049B0" w:rsidRPr="009049B0">
        <w:rPr>
          <w:rFonts w:hint="cs"/>
          <w:rtl/>
          <w:lang w:bidi="ar-EG"/>
        </w:rPr>
        <w:t xml:space="preserve">المادة </w:t>
      </w:r>
      <w:r w:rsidR="009049B0" w:rsidRPr="009049B0">
        <w:rPr>
          <w:lang w:bidi="ar-EG"/>
        </w:rPr>
        <w:t>1</w:t>
      </w:r>
      <w:r>
        <w:rPr>
          <w:rFonts w:hint="cs"/>
          <w:rtl/>
          <w:lang w:bidi="ar-EG"/>
        </w:rPr>
        <w:t xml:space="preserve"> - </w:t>
      </w:r>
      <w:r w:rsidR="009049B0" w:rsidRPr="009049B0">
        <w:rPr>
          <w:rFonts w:hint="cs"/>
          <w:rtl/>
          <w:lang w:bidi="ar-EG"/>
        </w:rPr>
        <w:t>الغرض والنطاق</w:t>
      </w:r>
    </w:p>
    <w:p w14:paraId="104E377F" w14:textId="4CF9718B" w:rsidR="009049B0" w:rsidRDefault="009049B0" w:rsidP="009049B0">
      <w:pPr>
        <w:rPr>
          <w:rtl/>
          <w:lang w:val="en-GB" w:bidi="ar-EG"/>
        </w:rPr>
      </w:pPr>
      <w:r w:rsidRPr="009049B0">
        <w:rPr>
          <w:rFonts w:hint="cs"/>
          <w:rtl/>
        </w:rPr>
        <w:t>أفرز التطور</w:t>
      </w:r>
      <w:r>
        <w:rPr>
          <w:rFonts w:hint="cs"/>
          <w:rtl/>
        </w:rPr>
        <w:t xml:space="preserve"> السريع لتكنولوجيا </w:t>
      </w:r>
      <w:r>
        <w:rPr>
          <w:rFonts w:hint="cs"/>
          <w:rtl/>
          <w:lang w:val="en-GB" w:bidi="ar-EG"/>
        </w:rPr>
        <w:t xml:space="preserve">الاتصالات/تكنولوجيا المعلومات والاتصالات والصناعة في السنوات الأخيرة في شتى أنحاء العالم، خاصة ظهور تطبيقات وتكنولوجيات جديدة مثل الحوسبة السحابية والبيانات الضخمة وإنترنت الأشياء والذكاء الاصطناعي وغيرها، الكثير من المشكلات الأمنية، حيث تعتبر الثقة والأمن من الدعائم الهامة لتنمية مجتمع المعلومات. وتنص خطة عمل القمة العالمية لمجتمع المعلومات (إعلان جنيف) صراحة في خط العمل جيم </w:t>
      </w:r>
      <w:r>
        <w:rPr>
          <w:lang w:val="en-GB" w:bidi="ar-EG"/>
        </w:rPr>
        <w:t>5</w:t>
      </w:r>
      <w:r>
        <w:rPr>
          <w:rFonts w:hint="cs"/>
          <w:rtl/>
          <w:lang w:val="en-GB" w:bidi="ar-EG"/>
        </w:rPr>
        <w:t xml:space="preserve">: بناء الثقة والأمن في استعمال تكنولوجيا </w:t>
      </w:r>
      <w:r>
        <w:rPr>
          <w:rFonts w:hint="cs"/>
          <w:rtl/>
          <w:lang w:val="en-GB" w:bidi="ar-EG"/>
        </w:rPr>
        <w:lastRenderedPageBreak/>
        <w:t>المعلومات والاتصالات؛ على زيادة التعاون بين الحكومات في الأمم المتحدة ومع كل أصحاب المصلحة في المنتديات المناسبة الأخرى لزيادة ثقة المستعمل وتحقيق الأمان وحماية سلامة كل من البيانات والشبكة؛ دراسة التهديدات الحالية والمحتملة لتكنولوجيا المعلومات والاتصالات؛ ومعالجة القضايا الأخر</w:t>
      </w:r>
      <w:bookmarkStart w:id="1" w:name="_GoBack"/>
      <w:bookmarkEnd w:id="1"/>
      <w:r>
        <w:rPr>
          <w:rFonts w:hint="cs"/>
          <w:rtl/>
          <w:lang w:val="en-GB" w:bidi="ar-EG"/>
        </w:rPr>
        <w:t>ى المتعلقة بأمن المعلومات وأمن الشبكات</w:t>
      </w:r>
      <w:r>
        <w:rPr>
          <w:rStyle w:val="FootnoteReference"/>
          <w:rtl/>
          <w:lang w:val="en-GB" w:bidi="ar-EG"/>
        </w:rPr>
        <w:footnoteReference w:id="1"/>
      </w:r>
      <w:r>
        <w:rPr>
          <w:rFonts w:hint="cs"/>
          <w:rtl/>
          <w:lang w:val="en-GB" w:bidi="ar-EG"/>
        </w:rPr>
        <w:t>.</w:t>
      </w:r>
      <w:r w:rsidR="00B25F4E">
        <w:rPr>
          <w:rFonts w:hint="cs"/>
          <w:rtl/>
          <w:lang w:bidi="ar-EG"/>
        </w:rPr>
        <w:t xml:space="preserve"> وفي نفس الوقت ونظراً إلى أن الاتحاد هو المنسق/المسهل لخط العمل جيم </w:t>
      </w:r>
      <w:r w:rsidR="00B25F4E">
        <w:rPr>
          <w:lang w:val="en-GB" w:bidi="ar-EG"/>
        </w:rPr>
        <w:t>5</w:t>
      </w:r>
      <w:r w:rsidR="00B25F4E">
        <w:rPr>
          <w:rStyle w:val="FootnoteReference"/>
          <w:rtl/>
          <w:lang w:val="en-GB" w:bidi="ar-EG"/>
        </w:rPr>
        <w:footnoteReference w:id="2"/>
      </w:r>
      <w:r w:rsidR="00B25F4E">
        <w:rPr>
          <w:rFonts w:hint="cs"/>
          <w:rtl/>
        </w:rPr>
        <w:t xml:space="preserve"> من حيث "مواكبة الاتجاهات الجديدة في</w:t>
      </w:r>
      <w:r w:rsidR="00B25F4E">
        <w:rPr>
          <w:rFonts w:hint="cs"/>
          <w:rtl/>
          <w:lang w:val="en-GB" w:bidi="ar-EG"/>
        </w:rPr>
        <w:t xml:space="preserve"> مجال الاتصالات/تكنولوجيا المعلومات والاتصالات والقضايا الناشئة في بيئة الاتصالات/تكنولوجيا المعلومات والاتصالات الدولية</w:t>
      </w:r>
      <w:r w:rsidR="00B25F4E">
        <w:rPr>
          <w:rStyle w:val="FootnoteReference"/>
          <w:rtl/>
          <w:lang w:val="en-GB" w:bidi="ar-EG"/>
        </w:rPr>
        <w:footnoteReference w:id="3"/>
      </w:r>
      <w:r w:rsidR="00B25F4E">
        <w:rPr>
          <w:rFonts w:hint="cs"/>
          <w:rtl/>
          <w:lang w:val="en-GB" w:bidi="ar-EG"/>
        </w:rPr>
        <w:t xml:space="preserve">، نقترح إضافة عبارة في المادة </w:t>
      </w:r>
      <w:r w:rsidR="00B25F4E">
        <w:rPr>
          <w:lang w:val="en-GB" w:bidi="ar-EG"/>
        </w:rPr>
        <w:t>1</w:t>
      </w:r>
      <w:r w:rsidR="00B25F4E">
        <w:rPr>
          <w:rFonts w:hint="cs"/>
          <w:rtl/>
          <w:lang w:val="en-GB" w:bidi="ar-EG"/>
        </w:rPr>
        <w:t xml:space="preserve"> بشأن "بناء الثقة والأمن في استعمال تكنولوجيا المعلومات والاتصالات".</w:t>
      </w:r>
    </w:p>
    <w:p w14:paraId="32EFC7A9" w14:textId="0E018BAA" w:rsidR="00B25F4E" w:rsidRDefault="00751F0B" w:rsidP="00B25F4E">
      <w:pPr>
        <w:pStyle w:val="Headingb"/>
        <w:rPr>
          <w:rtl/>
          <w:lang w:bidi="ar-EG"/>
        </w:rPr>
      </w:pPr>
      <w:r>
        <w:rPr>
          <w:rFonts w:hint="cs"/>
          <w:rtl/>
          <w:lang w:bidi="ar-EG"/>
        </w:rPr>
        <w:t>ب)</w:t>
      </w:r>
      <w:r w:rsidR="00B25F4E" w:rsidRPr="009049B0">
        <w:rPr>
          <w:rtl/>
          <w:lang w:bidi="ar-EG"/>
        </w:rPr>
        <w:tab/>
      </w:r>
      <w:r w:rsidR="00B25F4E" w:rsidRPr="009049B0">
        <w:rPr>
          <w:rFonts w:hint="cs"/>
          <w:rtl/>
          <w:lang w:bidi="ar-EG"/>
        </w:rPr>
        <w:t xml:space="preserve">المادة </w:t>
      </w:r>
      <w:r w:rsidR="00B25F4E">
        <w:rPr>
          <w:lang w:bidi="ar-EG"/>
        </w:rPr>
        <w:t>2</w:t>
      </w:r>
      <w:r>
        <w:rPr>
          <w:rFonts w:hint="cs"/>
          <w:rtl/>
          <w:lang w:bidi="ar-EG"/>
        </w:rPr>
        <w:t xml:space="preserve"> - </w:t>
      </w:r>
      <w:r w:rsidR="00B25F4E">
        <w:rPr>
          <w:rFonts w:hint="cs"/>
          <w:rtl/>
          <w:lang w:bidi="ar-EG"/>
        </w:rPr>
        <w:t>التعاريف</w:t>
      </w:r>
      <w:r w:rsidR="00B25F4E" w:rsidRPr="009049B0">
        <w:rPr>
          <w:rFonts w:hint="cs"/>
          <w:rtl/>
          <w:lang w:bidi="ar-EG"/>
        </w:rPr>
        <w:t xml:space="preserve"> </w:t>
      </w:r>
    </w:p>
    <w:p w14:paraId="1885BA10" w14:textId="13674BF2" w:rsidR="00B25F4E" w:rsidRDefault="00B25F4E" w:rsidP="00B25F4E">
      <w:pPr>
        <w:rPr>
          <w:rtl/>
          <w:lang w:val="en-GB" w:bidi="ar-EG"/>
        </w:rPr>
      </w:pPr>
      <w:r>
        <w:rPr>
          <w:rFonts w:hint="cs"/>
          <w:rtl/>
        </w:rPr>
        <w:t xml:space="preserve">ترث لوائح الاتصالات الدولية لعام </w:t>
      </w:r>
      <w:r>
        <w:rPr>
          <w:lang w:val="en-GB"/>
        </w:rPr>
        <w:t>2012</w:t>
      </w:r>
      <w:r>
        <w:rPr>
          <w:rFonts w:hint="cs"/>
          <w:rtl/>
          <w:lang w:val="en-GB" w:bidi="ar-EG"/>
        </w:rPr>
        <w:t xml:space="preserve"> تعريف الاتصالات الوارد في دستور الاتحاد واتفاقيته لعام </w:t>
      </w:r>
      <w:r>
        <w:rPr>
          <w:lang w:val="en-GB" w:bidi="ar-EG"/>
        </w:rPr>
        <w:t>1992</w:t>
      </w:r>
      <w:r>
        <w:rPr>
          <w:rFonts w:hint="cs"/>
          <w:rtl/>
          <w:lang w:val="en-GB" w:bidi="ar-EG"/>
        </w:rPr>
        <w:t xml:space="preserve"> وتحديداً "كل إرسال أو بث أو استقبال للعلامات أو الإشارات أو المكتوبات أو الصور أو الأصوات أو المعلومات، أياً كانت طبيعتها، بواسطة الأنظمة السلكية أو الراديوية أو البصرية أو سواها من الأنظمة </w:t>
      </w:r>
      <w:proofErr w:type="spellStart"/>
      <w:r>
        <w:rPr>
          <w:rFonts w:hint="cs"/>
          <w:rtl/>
          <w:lang w:val="en-GB" w:bidi="ar-EG"/>
        </w:rPr>
        <w:t>الكهرمغنطيسية</w:t>
      </w:r>
      <w:proofErr w:type="spellEnd"/>
      <w:r>
        <w:rPr>
          <w:rFonts w:hint="cs"/>
          <w:rtl/>
          <w:lang w:val="en-GB" w:bidi="ar-EG"/>
        </w:rPr>
        <w:t xml:space="preserve">". بيد أنه من الاندماج المتعمق المستمر لخدمات الاتصالات/تكنولوجيا المعلومات والاتصالات في جميع جوانب الحياة الاجتماعية والاقتصادية للإنسان، ومع الاستمثال </w:t>
      </w:r>
      <w:r>
        <w:rPr>
          <w:rFonts w:hint="cs"/>
          <w:rtl/>
          <w:lang w:bidi="ar-EG"/>
        </w:rPr>
        <w:t xml:space="preserve">المستمر والتحديث الدائم للبنى التحتية للشبكات والعدد المتزايد غير المسبوق من </w:t>
      </w:r>
      <w:proofErr w:type="spellStart"/>
      <w:r>
        <w:rPr>
          <w:rFonts w:hint="cs"/>
          <w:rtl/>
          <w:lang w:bidi="ar-EG"/>
        </w:rPr>
        <w:t>المطاريف</w:t>
      </w:r>
      <w:proofErr w:type="spellEnd"/>
      <w:r>
        <w:rPr>
          <w:rFonts w:hint="cs"/>
          <w:rtl/>
          <w:lang w:bidi="ar-EG"/>
        </w:rPr>
        <w:t xml:space="preserve"> الذكية، تجاوز نطاق "الاتصالات" في الوقت الراهن</w:t>
      </w:r>
      <w:r w:rsidR="00CA4FC9">
        <w:rPr>
          <w:rFonts w:hint="cs"/>
          <w:rtl/>
          <w:lang w:bidi="ar-EG"/>
        </w:rPr>
        <w:t xml:space="preserve"> وظائف "الإرسال أو البث أو الاستقبال". وإلى جانب الخدمات القائمة على العلامات والإشارات والمكتوبات والصور والأصوات"، بدأ مشغلو الاتصالات أيضاً توفير منصات شبكية وخدمات مراكز البيانات وغيرها من خدمات شبكات المعلومات العامة الكبيرة، مع تخزين بيانات مستعلمي الاتصالات ومعالجتها كأحد خطوط الأعمال الرئيسية لهم. وبالتالي، نقترح مراجعة ومناقشة تعريف الاتصالات الوارد في المادة </w:t>
      </w:r>
      <w:r w:rsidR="00CA4FC9">
        <w:rPr>
          <w:lang w:val="en-GB" w:bidi="ar-EG"/>
        </w:rPr>
        <w:t>1.2</w:t>
      </w:r>
      <w:r w:rsidR="00CA4FC9">
        <w:rPr>
          <w:rFonts w:hint="cs"/>
          <w:rtl/>
          <w:lang w:val="en-GB" w:bidi="ar-EG"/>
        </w:rPr>
        <w:t xml:space="preserve"> في إطار "مدى إمكانية تطبيق أحكام لوائح الاتصالات الدولية فيما يتعلق بتعزيز إتاحة خدمات وشبكات الاتصالات/تكنولوجيا المعلومات والاتصالات الدولية وتنميتها"</w:t>
      </w:r>
      <w:r w:rsidR="00CA4FC9">
        <w:rPr>
          <w:rStyle w:val="FootnoteReference"/>
          <w:rtl/>
          <w:lang w:val="en-GB" w:bidi="ar-EG"/>
        </w:rPr>
        <w:footnoteReference w:id="4"/>
      </w:r>
      <w:r w:rsidR="00CA4FC9">
        <w:rPr>
          <w:rFonts w:hint="cs"/>
          <w:rtl/>
          <w:lang w:val="en-GB" w:bidi="ar-EG"/>
        </w:rPr>
        <w:t>، وذلك لتلبية احتياجات تنمية "الاتصالات" في إطار الاتجاهات الجديدة.</w:t>
      </w:r>
    </w:p>
    <w:p w14:paraId="3707E979" w14:textId="25995712" w:rsidR="00CA4FC9" w:rsidRDefault="00751F0B" w:rsidP="00CA4FC9">
      <w:pPr>
        <w:pStyle w:val="Headingb"/>
        <w:rPr>
          <w:rtl/>
          <w:lang w:bidi="ar-EG"/>
        </w:rPr>
      </w:pPr>
      <w:r>
        <w:rPr>
          <w:rFonts w:hint="cs"/>
          <w:rtl/>
          <w:lang w:bidi="ar-EG"/>
        </w:rPr>
        <w:t>ج)</w:t>
      </w:r>
      <w:r w:rsidR="00CA4FC9" w:rsidRPr="009049B0">
        <w:rPr>
          <w:rtl/>
          <w:lang w:bidi="ar-EG"/>
        </w:rPr>
        <w:tab/>
      </w:r>
      <w:r w:rsidR="00CA4FC9" w:rsidRPr="009049B0">
        <w:rPr>
          <w:rFonts w:hint="cs"/>
          <w:rtl/>
          <w:lang w:bidi="ar-EG"/>
        </w:rPr>
        <w:t xml:space="preserve">المادة </w:t>
      </w:r>
      <w:r w:rsidR="00CA4FC9">
        <w:rPr>
          <w:lang w:bidi="ar-EG"/>
        </w:rPr>
        <w:t>3</w:t>
      </w:r>
      <w:r>
        <w:rPr>
          <w:rFonts w:hint="cs"/>
          <w:rtl/>
          <w:lang w:bidi="ar-EG"/>
        </w:rPr>
        <w:t xml:space="preserve"> - </w:t>
      </w:r>
      <w:r w:rsidR="00CA4FC9">
        <w:rPr>
          <w:rFonts w:hint="cs"/>
          <w:rtl/>
          <w:lang w:bidi="ar-EG"/>
        </w:rPr>
        <w:t>الشبكة الدولية</w:t>
      </w:r>
      <w:r w:rsidR="00CA4FC9" w:rsidRPr="009049B0">
        <w:rPr>
          <w:rFonts w:hint="cs"/>
          <w:rtl/>
          <w:lang w:bidi="ar-EG"/>
        </w:rPr>
        <w:t xml:space="preserve"> </w:t>
      </w:r>
    </w:p>
    <w:p w14:paraId="27073CCC" w14:textId="28207B81" w:rsidR="00CA4FC9" w:rsidRDefault="00CA4FC9" w:rsidP="004A5EC0">
      <w:pPr>
        <w:rPr>
          <w:rtl/>
          <w:lang w:bidi="ar-EG"/>
        </w:rPr>
      </w:pPr>
      <w:r>
        <w:rPr>
          <w:rFonts w:hint="cs"/>
          <w:rtl/>
        </w:rPr>
        <w:t xml:space="preserve">مع زيادة تطور تطبيقات تكنولوجيا </w:t>
      </w:r>
      <w:r>
        <w:rPr>
          <w:rFonts w:hint="cs"/>
          <w:rtl/>
          <w:lang w:val="en-GB" w:bidi="ar-EG"/>
        </w:rPr>
        <w:t xml:space="preserve">الاتصالات/تكنولوجيا المعلومات والاتصالات وتيسرها بسهولة، ظهر عدد ضخم من الخدمات والتطبيقات الجديدة. وزاد تنوع وتعقيد طلب المستعملين على تنفيذ خدمات الاتصالات عبر الشبكات الدولية، حيث لم يقتصر على "إرسال الحركة" فحسب. بيد أن الاشتراط الوارد في الفقرة </w:t>
      </w:r>
      <w:r>
        <w:rPr>
          <w:lang w:val="en-GB" w:bidi="ar-EG"/>
        </w:rPr>
        <w:t>4.3</w:t>
      </w:r>
      <w:r>
        <w:rPr>
          <w:rFonts w:hint="cs"/>
          <w:rtl/>
          <w:lang w:val="en-GB" w:bidi="ar-EG"/>
        </w:rPr>
        <w:t xml:space="preserve"> من هذه المادة وهو "يحق لكل مستعمل له نفاذ إلى الشبكة الدولية أن يرسل حركة"، أخفق في الوفاء بمتطلبات اتجاه التنمية الحالي للاتصالات/تكنولوجيا المعلومات والاتصالات الدولية، خاصة فيما يتعلق "بمدى إمكانية تطبيق أحكام لوائح الاتصالات الدولية فيما يتعلق بتعزيز وإتاحة خدمات وشبكات الاتصالات/تكنولوجيا المعلومات والاتصالات</w:t>
      </w:r>
      <w:r w:rsidR="004A5EC0">
        <w:rPr>
          <w:rFonts w:hint="cs"/>
          <w:rtl/>
          <w:lang w:val="en-GB" w:bidi="ar-EG"/>
        </w:rPr>
        <w:t xml:space="preserve"> الدولية وتنميتها". وفي نفس الوقت، فإن التعبير "يحق لكل مستعمل له نفاذ إلى الشبكة الدولية أن يرسل حركة" لا يتفق بشكل تام مع المادة </w:t>
      </w:r>
      <w:r w:rsidR="004A5EC0">
        <w:rPr>
          <w:lang w:val="en-GB" w:bidi="ar-EG"/>
        </w:rPr>
        <w:t>4.3</w:t>
      </w:r>
      <w:r w:rsidR="004A5EC0">
        <w:rPr>
          <w:rFonts w:hint="cs"/>
          <w:rtl/>
          <w:lang w:val="en-GB" w:bidi="ar-EG"/>
        </w:rPr>
        <w:t xml:space="preserve"> التي تشترط "تأمين جودة خدمة مرضية إلى أبعد حد ممكن، وفقاً للتوصيات ذات الصلة الصادرة عن قطاع تقييس الاتصالات للاتحاد الدولي للاتصالات". </w:t>
      </w:r>
      <w:r w:rsidR="004A5EC0">
        <w:rPr>
          <w:rFonts w:hint="cs"/>
          <w:rtl/>
        </w:rPr>
        <w:t>وفي ضوء ما سبق، نقترح مراجعة هذه المسألة ومناقشتها.</w:t>
      </w:r>
    </w:p>
    <w:p w14:paraId="2194E354" w14:textId="77777777" w:rsidR="004A5EC0" w:rsidRDefault="004A5EC0" w:rsidP="004A5EC0">
      <w:pPr>
        <w:pStyle w:val="Reasons"/>
      </w:pPr>
    </w:p>
    <w:p w14:paraId="67E1CB7B" w14:textId="77777777" w:rsidR="004A5EC0" w:rsidRPr="004A5EC0" w:rsidRDefault="004A5EC0" w:rsidP="004A5EC0">
      <w:pPr>
        <w:jc w:val="center"/>
        <w:rPr>
          <w:rFonts w:ascii="Traditional Arabic" w:hAnsi="Traditional Arabic" w:cs="Traditional Arabic"/>
        </w:rPr>
      </w:pPr>
      <w:r w:rsidRPr="004A5EC0">
        <w:rPr>
          <w:rFonts w:ascii="Traditional Arabic" w:hAnsi="Traditional Arabic" w:cs="Traditional Arabic"/>
        </w:rPr>
        <w:t>______________</w:t>
      </w:r>
    </w:p>
    <w:p w14:paraId="012ECF3F" w14:textId="77777777" w:rsidR="004A5EC0" w:rsidRPr="004A5EC0" w:rsidRDefault="004A5EC0" w:rsidP="004A5EC0">
      <w:pPr>
        <w:rPr>
          <w:rtl/>
          <w:lang w:val="en-GB" w:bidi="ar-EG"/>
        </w:rPr>
      </w:pPr>
    </w:p>
    <w:sectPr w:rsidR="004A5EC0" w:rsidRPr="004A5EC0"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84DC" w14:textId="77777777" w:rsidR="00BC57DB" w:rsidRDefault="00BC57DB" w:rsidP="006C3242">
      <w:pPr>
        <w:spacing w:before="0" w:line="240" w:lineRule="auto"/>
      </w:pPr>
      <w:r>
        <w:separator/>
      </w:r>
    </w:p>
  </w:endnote>
  <w:endnote w:type="continuationSeparator" w:id="0">
    <w:p w14:paraId="6C998F18" w14:textId="77777777" w:rsidR="00BC57DB" w:rsidRDefault="00BC57D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BF72" w14:textId="6988BAE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71C8D">
      <w:rPr>
        <w:noProof/>
        <w:sz w:val="16"/>
        <w:szCs w:val="16"/>
        <w:lang w:val="fr-FR"/>
      </w:rPr>
      <w:t>P:\ARA\SG\CONSEIL\EG-ITR\EG-ITR-2\000\004A.DOCX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71C8D">
      <w:rPr>
        <w:sz w:val="16"/>
        <w:szCs w:val="16"/>
        <w:lang w:val="fr-FR"/>
      </w:rPr>
      <w:t>466</w:t>
    </w:r>
    <w:r w:rsidR="00271C8D">
      <w:rPr>
        <w:sz w:val="16"/>
        <w:szCs w:val="16"/>
      </w:rPr>
      <w:t>877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2343" w14:textId="77777777" w:rsidR="00AF6B5C" w:rsidRPr="00751F0B"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Calibri" w:eastAsia="Times New Roman" w:hAnsi="Calibri" w:cs="Calibri"/>
        <w:sz w:val="20"/>
        <w:szCs w:val="20"/>
        <w:lang w:val="en-GB" w:eastAsia="en-US"/>
      </w:rPr>
    </w:pPr>
    <w:r w:rsidRPr="00751F0B">
      <w:rPr>
        <w:rFonts w:ascii="Calibri" w:eastAsia="Times New Roman" w:hAnsi="Calibri" w:cs="Calibri"/>
        <w:sz w:val="20"/>
        <w:szCs w:val="20"/>
        <w:lang w:val="en-GB" w:eastAsia="en-US"/>
      </w:rPr>
      <w:t xml:space="preserve">• </w:t>
    </w:r>
    <w:hyperlink r:id="rId1" w:history="1">
      <w:r w:rsidRPr="00751F0B">
        <w:rPr>
          <w:rFonts w:ascii="Calibri" w:eastAsia="Times New Roman" w:hAnsi="Calibri" w:cs="Calibri"/>
          <w:color w:val="0000FF"/>
          <w:sz w:val="20"/>
          <w:szCs w:val="20"/>
          <w:u w:val="single"/>
          <w:lang w:val="en-GB" w:eastAsia="en-US"/>
        </w:rPr>
        <w:t>http://www.itu.int/council</w:t>
      </w:r>
    </w:hyperlink>
    <w:r w:rsidRPr="00751F0B">
      <w:rPr>
        <w:rFonts w:ascii="Calibri" w:eastAsia="Times New Roman" w:hAnsi="Calibri" w:cs="Calibri"/>
        <w:sz w:val="20"/>
        <w:szCs w:val="20"/>
        <w:lang w:val="en-GB" w:eastAsia="en-US"/>
      </w:rPr>
      <w:t xml:space="preserve"> •</w:t>
    </w:r>
  </w:p>
  <w:p w14:paraId="023F8574" w14:textId="6B6C28D3" w:rsidR="0006468A" w:rsidRPr="0026373E" w:rsidRDefault="0006468A"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A7BBF">
      <w:rPr>
        <w:noProof/>
        <w:sz w:val="16"/>
        <w:szCs w:val="16"/>
        <w:lang w:val="fr-FR"/>
      </w:rPr>
      <w:t>P:\ARA\SG\CONSEIL\EG-ITR\EG-ITR-2\000\004A.DOCX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11203">
      <w:rPr>
        <w:sz w:val="16"/>
        <w:szCs w:val="16"/>
        <w:lang w:val="fr-FR"/>
      </w:rPr>
      <w:t>466</w:t>
    </w:r>
    <w:r w:rsidR="000A7BBF">
      <w:rPr>
        <w:sz w:val="16"/>
        <w:szCs w:val="16"/>
      </w:rPr>
      <w:t>877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FA8E8" w14:textId="77777777" w:rsidR="00BC57DB" w:rsidRDefault="00BC57DB" w:rsidP="006C3242">
      <w:pPr>
        <w:spacing w:before="0" w:line="240" w:lineRule="auto"/>
      </w:pPr>
      <w:r>
        <w:separator/>
      </w:r>
    </w:p>
  </w:footnote>
  <w:footnote w:type="continuationSeparator" w:id="0">
    <w:p w14:paraId="375D3909" w14:textId="77777777" w:rsidR="00BC57DB" w:rsidRDefault="00BC57DB" w:rsidP="006C3242">
      <w:pPr>
        <w:spacing w:before="0" w:line="240" w:lineRule="auto"/>
      </w:pPr>
      <w:r>
        <w:continuationSeparator/>
      </w:r>
    </w:p>
  </w:footnote>
  <w:footnote w:id="1">
    <w:p w14:paraId="1234DBB2" w14:textId="7B204499" w:rsidR="009049B0" w:rsidRPr="009049B0" w:rsidRDefault="009049B0" w:rsidP="00B90856">
      <w:pPr>
        <w:pStyle w:val="FootnoteText"/>
        <w:rPr>
          <w:rtl/>
          <w:lang w:val="en-GB" w:bidi="ar-EG"/>
        </w:rPr>
      </w:pPr>
      <w:r>
        <w:rPr>
          <w:rStyle w:val="FootnoteReference"/>
        </w:rPr>
        <w:footnoteRef/>
      </w:r>
      <w:r w:rsidR="00B90856">
        <w:tab/>
      </w:r>
      <w:r w:rsidRPr="009049B0">
        <w:rPr>
          <w:rFonts w:hint="cs"/>
          <w:rtl/>
        </w:rPr>
        <w:t xml:space="preserve">خطة عمل مرحلة جنيف في القمة العالمية لمجتمع المعلومات </w:t>
      </w:r>
      <w:r>
        <w:rPr>
          <w:lang w:val="en-GB" w:bidi="ar-EG"/>
        </w:rPr>
        <w:t>(</w:t>
      </w:r>
      <w:r w:rsidRPr="009049B0">
        <w:rPr>
          <w:lang w:val="en-GB" w:bidi="ar-EG"/>
        </w:rPr>
        <w:t>WSIS-03/GENEVA/DOC/5-</w:t>
      </w:r>
      <w:r w:rsidRPr="009049B0">
        <w:t>A</w:t>
      </w:r>
      <w:r>
        <w:t>)</w:t>
      </w:r>
      <w:r>
        <w:rPr>
          <w:rFonts w:hint="cs"/>
          <w:rtl/>
          <w:lang w:bidi="ar-EG"/>
        </w:rPr>
        <w:t>.</w:t>
      </w:r>
    </w:p>
  </w:footnote>
  <w:footnote w:id="2">
    <w:p w14:paraId="3F682DB0" w14:textId="63D5C381" w:rsidR="00B25F4E" w:rsidRPr="009049B0" w:rsidRDefault="00B25F4E" w:rsidP="00B25F4E">
      <w:pPr>
        <w:pStyle w:val="FootnoteText"/>
        <w:rPr>
          <w:rtl/>
          <w:lang w:val="en-GB" w:bidi="ar-EG"/>
        </w:rPr>
      </w:pPr>
      <w:r>
        <w:rPr>
          <w:rStyle w:val="FootnoteReference"/>
        </w:rPr>
        <w:footnoteRef/>
      </w:r>
      <w:r>
        <w:tab/>
      </w:r>
      <w:r w:rsidRPr="00B25F4E">
        <w:rPr>
          <w:rFonts w:hint="cs"/>
          <w:rtl/>
          <w:lang w:val="en-GB"/>
        </w:rPr>
        <w:t xml:space="preserve">للقرار </w:t>
      </w:r>
      <w:r w:rsidRPr="00B25F4E">
        <w:rPr>
          <w:lang w:val="en-GB" w:bidi="ar-EG"/>
        </w:rPr>
        <w:t>146</w:t>
      </w:r>
      <w:r w:rsidRPr="00B25F4E">
        <w:rPr>
          <w:rFonts w:hint="cs"/>
          <w:rtl/>
          <w:lang w:val="en-GB"/>
        </w:rPr>
        <w:t xml:space="preserve"> </w:t>
      </w:r>
      <w:r w:rsidRPr="00B25F4E">
        <w:rPr>
          <w:rFonts w:hint="cs"/>
          <w:rtl/>
          <w:lang w:val="en-GB" w:bidi="ar-EG"/>
        </w:rPr>
        <w:t>(</w:t>
      </w:r>
      <w:r w:rsidRPr="00B25F4E">
        <w:rPr>
          <w:rFonts w:hint="cs"/>
          <w:rtl/>
          <w:lang w:val="en-GB"/>
        </w:rPr>
        <w:t xml:space="preserve">المراجَع في دبي، </w:t>
      </w:r>
      <w:r w:rsidRPr="00B25F4E">
        <w:rPr>
          <w:lang w:val="en-GB" w:bidi="ar-EG"/>
        </w:rPr>
        <w:t>2018</w:t>
      </w:r>
      <w:r w:rsidRPr="00B25F4E">
        <w:rPr>
          <w:rFonts w:hint="cs"/>
          <w:rtl/>
          <w:lang w:val="en-GB"/>
        </w:rPr>
        <w:t>)</w:t>
      </w:r>
      <w:r>
        <w:rPr>
          <w:rFonts w:hint="cs"/>
          <w:rtl/>
          <w:lang w:val="en-GB" w:bidi="ar-EG"/>
        </w:rPr>
        <w:t>.</w:t>
      </w:r>
    </w:p>
  </w:footnote>
  <w:footnote w:id="3">
    <w:p w14:paraId="588B75F1" w14:textId="0393FD8F" w:rsidR="00B25F4E" w:rsidRPr="00B25F4E" w:rsidRDefault="00B25F4E" w:rsidP="00B25F4E">
      <w:pPr>
        <w:pStyle w:val="FootnoteText"/>
        <w:rPr>
          <w:rtl/>
          <w:lang w:bidi="ar-EG"/>
        </w:rPr>
      </w:pPr>
      <w:r>
        <w:rPr>
          <w:rStyle w:val="FootnoteReference"/>
        </w:rPr>
        <w:footnoteRef/>
      </w:r>
      <w:r>
        <w:tab/>
      </w:r>
      <w:r w:rsidRPr="00B25F4E">
        <w:rPr>
          <w:rFonts w:hint="cs"/>
          <w:rtl/>
        </w:rPr>
        <w:t xml:space="preserve">القرار </w:t>
      </w:r>
      <w:r w:rsidRPr="00B25F4E">
        <w:rPr>
          <w:lang w:val="en-GB"/>
        </w:rPr>
        <w:t>1379</w:t>
      </w:r>
      <w:r w:rsidRPr="00B25F4E">
        <w:rPr>
          <w:rFonts w:hint="cs"/>
          <w:rtl/>
        </w:rPr>
        <w:t xml:space="preserve"> </w:t>
      </w:r>
      <w:r w:rsidRPr="00B25F4E">
        <w:rPr>
          <w:rFonts w:hint="cs"/>
          <w:rtl/>
          <w:lang w:bidi="ar-EG"/>
        </w:rPr>
        <w:t>(</w:t>
      </w:r>
      <w:r w:rsidRPr="00B25F4E">
        <w:rPr>
          <w:rFonts w:hint="cs"/>
          <w:rtl/>
        </w:rPr>
        <w:t xml:space="preserve">المعدل في </w:t>
      </w:r>
      <w:r w:rsidRPr="00B25F4E">
        <w:rPr>
          <w:lang w:val="en-GB"/>
        </w:rPr>
        <w:t>2019</w:t>
      </w:r>
      <w:r w:rsidRPr="00B25F4E">
        <w:rPr>
          <w:rFonts w:hint="cs"/>
          <w:rtl/>
        </w:rPr>
        <w:t>)،</w:t>
      </w:r>
      <w:r>
        <w:rPr>
          <w:rFonts w:hint="cs"/>
          <w:rtl/>
        </w:rPr>
        <w:t xml:space="preserve"> الملحق: اختصاصات فريق الخبراء المعني بلوائح الاتصالات الدولية </w:t>
      </w:r>
      <w:r w:rsidRPr="00B25F4E">
        <w:rPr>
          <w:lang w:val="fr-CH"/>
        </w:rPr>
        <w:t>(EG-</w:t>
      </w:r>
      <w:r w:rsidR="008B7657">
        <w:rPr>
          <w:lang w:val="fr-CH"/>
        </w:rPr>
        <w:t>ITR</w:t>
      </w:r>
      <w:r w:rsidRPr="00B25F4E">
        <w:rPr>
          <w:lang w:val="fr-CH"/>
        </w:rPr>
        <w:t>)</w:t>
      </w:r>
      <w:r>
        <w:rPr>
          <w:rFonts w:hint="cs"/>
          <w:rtl/>
          <w:lang w:val="fr-CH" w:bidi="ar-EG"/>
        </w:rPr>
        <w:t>.</w:t>
      </w:r>
    </w:p>
  </w:footnote>
  <w:footnote w:id="4">
    <w:p w14:paraId="276DA1EF" w14:textId="2DA64E04" w:rsidR="00CA4FC9" w:rsidRDefault="00CA4FC9">
      <w:pPr>
        <w:pStyle w:val="FootnoteText"/>
        <w:rPr>
          <w:lang w:bidi="ar-EG"/>
        </w:rPr>
      </w:pPr>
      <w:r>
        <w:rPr>
          <w:rStyle w:val="FootnoteReference"/>
        </w:rPr>
        <w:footnoteRef/>
      </w:r>
      <w:r>
        <w:tab/>
      </w:r>
      <w:r w:rsidRPr="00B25F4E">
        <w:rPr>
          <w:rFonts w:hint="cs"/>
          <w:rtl/>
        </w:rPr>
        <w:t xml:space="preserve">القرار </w:t>
      </w:r>
      <w:r w:rsidRPr="00B25F4E">
        <w:rPr>
          <w:lang w:val="en-GB"/>
        </w:rPr>
        <w:t>1379</w:t>
      </w:r>
      <w:r w:rsidRPr="00B25F4E">
        <w:rPr>
          <w:rFonts w:hint="cs"/>
          <w:rtl/>
        </w:rPr>
        <w:t xml:space="preserve"> </w:t>
      </w:r>
      <w:r w:rsidRPr="00B25F4E">
        <w:rPr>
          <w:rFonts w:hint="cs"/>
          <w:rtl/>
          <w:lang w:bidi="ar-EG"/>
        </w:rPr>
        <w:t>(</w:t>
      </w:r>
      <w:r w:rsidRPr="00B25F4E">
        <w:rPr>
          <w:rFonts w:hint="cs"/>
          <w:rtl/>
        </w:rPr>
        <w:t xml:space="preserve">المعدل في </w:t>
      </w:r>
      <w:r w:rsidRPr="00B25F4E">
        <w:rPr>
          <w:lang w:val="en-GB"/>
        </w:rPr>
        <w:t>2019</w:t>
      </w:r>
      <w:r w:rsidRPr="00B25F4E">
        <w:rPr>
          <w:rFonts w:hint="cs"/>
          <w:rtl/>
        </w:rPr>
        <w:t>)،</w:t>
      </w:r>
      <w:r>
        <w:rPr>
          <w:rFonts w:hint="cs"/>
          <w:rtl/>
        </w:rPr>
        <w:t xml:space="preserve"> الملحق: اختصاصات فريق الخبراء المعني بلوائح الاتصالات الدولية </w:t>
      </w:r>
      <w:r w:rsidRPr="00B25F4E">
        <w:rPr>
          <w:lang w:val="fr-CH"/>
        </w:rPr>
        <w:t>(EG-</w:t>
      </w:r>
      <w:r w:rsidR="008B7657">
        <w:rPr>
          <w:lang w:val="fr-CH"/>
        </w:rPr>
        <w:t>ITR</w:t>
      </w:r>
      <w:r w:rsidRPr="00B25F4E">
        <w:rPr>
          <w:lang w:val="fr-CH"/>
        </w:rPr>
        <w:t>)</w:t>
      </w:r>
      <w:r>
        <w:rPr>
          <w:rFonts w:hint="cs"/>
          <w:rtl/>
          <w:lang w:val="fr-CH"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83F3" w14:textId="7345BC26" w:rsidR="00447F32" w:rsidRPr="00447F32" w:rsidRDefault="008B7657"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EG-ITR-2/</w:t>
        </w:r>
        <w:r w:rsidR="00271C8D">
          <w:rPr>
            <w:rFonts w:cs="Calibri"/>
            <w:noProof/>
            <w:sz w:val="20"/>
            <w:szCs w:val="20"/>
          </w:rPr>
          <w:t>4</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DB"/>
    <w:rsid w:val="00016241"/>
    <w:rsid w:val="0006468A"/>
    <w:rsid w:val="00090574"/>
    <w:rsid w:val="000A00F8"/>
    <w:rsid w:val="000A7BBF"/>
    <w:rsid w:val="000C1C0E"/>
    <w:rsid w:val="000C548A"/>
    <w:rsid w:val="001147C4"/>
    <w:rsid w:val="001C0169"/>
    <w:rsid w:val="001D1D50"/>
    <w:rsid w:val="001D6745"/>
    <w:rsid w:val="001E446E"/>
    <w:rsid w:val="002154EE"/>
    <w:rsid w:val="002276D2"/>
    <w:rsid w:val="0023283D"/>
    <w:rsid w:val="0026373E"/>
    <w:rsid w:val="00271C43"/>
    <w:rsid w:val="00271C8D"/>
    <w:rsid w:val="00290728"/>
    <w:rsid w:val="002978F4"/>
    <w:rsid w:val="002B028D"/>
    <w:rsid w:val="002E196B"/>
    <w:rsid w:val="002E6541"/>
    <w:rsid w:val="00334924"/>
    <w:rsid w:val="003409BC"/>
    <w:rsid w:val="00357185"/>
    <w:rsid w:val="00383829"/>
    <w:rsid w:val="003F4B29"/>
    <w:rsid w:val="0042686F"/>
    <w:rsid w:val="004317D8"/>
    <w:rsid w:val="00434183"/>
    <w:rsid w:val="00443869"/>
    <w:rsid w:val="00447F32"/>
    <w:rsid w:val="004A5EC0"/>
    <w:rsid w:val="004E11DC"/>
    <w:rsid w:val="00525DDD"/>
    <w:rsid w:val="005409AC"/>
    <w:rsid w:val="0055516A"/>
    <w:rsid w:val="00560946"/>
    <w:rsid w:val="0058491B"/>
    <w:rsid w:val="00592EA5"/>
    <w:rsid w:val="005A0F49"/>
    <w:rsid w:val="005A3170"/>
    <w:rsid w:val="00677396"/>
    <w:rsid w:val="00691063"/>
    <w:rsid w:val="0069200F"/>
    <w:rsid w:val="006A65CB"/>
    <w:rsid w:val="006C3242"/>
    <w:rsid w:val="006C7CC0"/>
    <w:rsid w:val="006F63F7"/>
    <w:rsid w:val="007025C7"/>
    <w:rsid w:val="00706D7A"/>
    <w:rsid w:val="00722F0D"/>
    <w:rsid w:val="0074420E"/>
    <w:rsid w:val="00751F0B"/>
    <w:rsid w:val="00783E26"/>
    <w:rsid w:val="00785AFA"/>
    <w:rsid w:val="007C3BC7"/>
    <w:rsid w:val="007C3BCD"/>
    <w:rsid w:val="007D4ACF"/>
    <w:rsid w:val="007F0787"/>
    <w:rsid w:val="00810B7B"/>
    <w:rsid w:val="00811203"/>
    <w:rsid w:val="0082358A"/>
    <w:rsid w:val="008235CD"/>
    <w:rsid w:val="008247DE"/>
    <w:rsid w:val="00840B10"/>
    <w:rsid w:val="008513CB"/>
    <w:rsid w:val="008A7F84"/>
    <w:rsid w:val="008B7657"/>
    <w:rsid w:val="009049B0"/>
    <w:rsid w:val="0091702E"/>
    <w:rsid w:val="00923B0C"/>
    <w:rsid w:val="0094021C"/>
    <w:rsid w:val="00952F86"/>
    <w:rsid w:val="00982B28"/>
    <w:rsid w:val="009D313F"/>
    <w:rsid w:val="009E5279"/>
    <w:rsid w:val="00A47A5A"/>
    <w:rsid w:val="00A6683B"/>
    <w:rsid w:val="00A97F94"/>
    <w:rsid w:val="00AA7EA2"/>
    <w:rsid w:val="00AF6B5C"/>
    <w:rsid w:val="00B03099"/>
    <w:rsid w:val="00B05BC8"/>
    <w:rsid w:val="00B25F4E"/>
    <w:rsid w:val="00B64B47"/>
    <w:rsid w:val="00B90856"/>
    <w:rsid w:val="00BC57DB"/>
    <w:rsid w:val="00C002DE"/>
    <w:rsid w:val="00C53BF8"/>
    <w:rsid w:val="00C66157"/>
    <w:rsid w:val="00C674FE"/>
    <w:rsid w:val="00C67501"/>
    <w:rsid w:val="00C75633"/>
    <w:rsid w:val="00CA4FC9"/>
    <w:rsid w:val="00CE2EE1"/>
    <w:rsid w:val="00CE3349"/>
    <w:rsid w:val="00CE36E5"/>
    <w:rsid w:val="00CF27F5"/>
    <w:rsid w:val="00CF3FFD"/>
    <w:rsid w:val="00D10CCF"/>
    <w:rsid w:val="00D77D0F"/>
    <w:rsid w:val="00DA1CF0"/>
    <w:rsid w:val="00DC1E02"/>
    <w:rsid w:val="00DC24B4"/>
    <w:rsid w:val="00DC5FB0"/>
    <w:rsid w:val="00DF16DC"/>
    <w:rsid w:val="00E25540"/>
    <w:rsid w:val="00E45211"/>
    <w:rsid w:val="00E473C5"/>
    <w:rsid w:val="00E92863"/>
    <w:rsid w:val="00EB796D"/>
    <w:rsid w:val="00F058DC"/>
    <w:rsid w:val="00F24FC4"/>
    <w:rsid w:val="00F2676C"/>
    <w:rsid w:val="00F84366"/>
    <w:rsid w:val="00F85089"/>
    <w:rsid w:val="00F974C5"/>
    <w:rsid w:val="00FA6F46"/>
    <w:rsid w:val="00FC609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B0008A"/>
  <w15:chartTrackingRefBased/>
  <w15:docId w15:val="{A3C1C991-FF35-460D-8158-ACEE7D2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B90856"/>
    <w:pPr>
      <w:tabs>
        <w:tab w:val="clear" w:pos="794"/>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B90856"/>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ED52-020C-4A05-B55A-73AD8AC6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8</cp:revision>
  <dcterms:created xsi:type="dcterms:W3CDTF">2020-01-29T16:34:00Z</dcterms:created>
  <dcterms:modified xsi:type="dcterms:W3CDTF">2020-01-30T10:38:00Z</dcterms:modified>
</cp:coreProperties>
</file>