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tblLayout w:type="fixed"/>
        <w:tblLook w:val="04A0" w:firstRow="1" w:lastRow="0" w:firstColumn="1" w:lastColumn="0" w:noHBand="0" w:noVBand="1"/>
      </w:tblPr>
      <w:tblGrid>
        <w:gridCol w:w="1526"/>
        <w:gridCol w:w="3543"/>
        <w:gridCol w:w="284"/>
        <w:gridCol w:w="4536"/>
      </w:tblGrid>
      <w:tr w:rsidR="00A86A44" w:rsidRPr="003E114B" w14:paraId="7E8119A3" w14:textId="77777777" w:rsidTr="004B0A40">
        <w:tc>
          <w:tcPr>
            <w:tcW w:w="9889" w:type="dxa"/>
            <w:gridSpan w:val="4"/>
            <w:shd w:val="clear" w:color="auto" w:fill="auto"/>
          </w:tcPr>
          <w:p w14:paraId="2FCDA008" w14:textId="77777777" w:rsidR="00A86A44" w:rsidRPr="003E114B" w:rsidRDefault="001965B0" w:rsidP="007E48E3">
            <w:pPr>
              <w:spacing w:line="240" w:lineRule="auto"/>
              <w:jc w:val="left"/>
              <w:rPr>
                <w:rFonts w:cs="Times New Roman Bold"/>
                <w:b/>
                <w:bCs/>
                <w:color w:val="808080"/>
                <w:sz w:val="28"/>
                <w:szCs w:val="28"/>
              </w:rPr>
            </w:pPr>
            <w:r w:rsidRPr="003E114B">
              <w:rPr>
                <w:rFonts w:cs="Times New Roman Bold"/>
                <w:b/>
                <w:bCs/>
                <w:color w:val="808080"/>
                <w:sz w:val="28"/>
                <w:szCs w:val="20"/>
              </w:rPr>
              <w:t>Secretaría General (SG)</w:t>
            </w:r>
          </w:p>
        </w:tc>
      </w:tr>
      <w:tr w:rsidR="00A86A44" w:rsidRPr="003E114B" w14:paraId="4CA737CB" w14:textId="77777777" w:rsidTr="004B0A40">
        <w:tc>
          <w:tcPr>
            <w:tcW w:w="9889" w:type="dxa"/>
            <w:gridSpan w:val="4"/>
            <w:shd w:val="clear" w:color="auto" w:fill="auto"/>
          </w:tcPr>
          <w:p w14:paraId="39C16E0A" w14:textId="77777777" w:rsidR="00A86A44" w:rsidRPr="003E114B" w:rsidRDefault="00A86A44" w:rsidP="007E48E3">
            <w:pPr>
              <w:spacing w:line="240" w:lineRule="auto"/>
              <w:jc w:val="left"/>
            </w:pPr>
          </w:p>
        </w:tc>
      </w:tr>
      <w:tr w:rsidR="00A86A44" w:rsidRPr="003E114B" w14:paraId="5AFC06E1" w14:textId="77777777" w:rsidTr="004B0A40">
        <w:tc>
          <w:tcPr>
            <w:tcW w:w="5353" w:type="dxa"/>
            <w:gridSpan w:val="3"/>
            <w:shd w:val="clear" w:color="auto" w:fill="auto"/>
          </w:tcPr>
          <w:p w14:paraId="46144F7F" w14:textId="77777777" w:rsidR="00A86A44" w:rsidRPr="003E114B" w:rsidRDefault="00A86A44" w:rsidP="007E48E3">
            <w:pPr>
              <w:spacing w:line="240" w:lineRule="auto"/>
              <w:jc w:val="left"/>
            </w:pPr>
          </w:p>
          <w:p w14:paraId="143A926E" w14:textId="77777777" w:rsidR="00A86A44" w:rsidRPr="003E114B" w:rsidRDefault="00A86A44" w:rsidP="007E48E3">
            <w:pPr>
              <w:spacing w:line="240" w:lineRule="auto"/>
              <w:jc w:val="left"/>
            </w:pPr>
          </w:p>
        </w:tc>
        <w:tc>
          <w:tcPr>
            <w:tcW w:w="4536" w:type="dxa"/>
            <w:shd w:val="clear" w:color="auto" w:fill="auto"/>
          </w:tcPr>
          <w:p w14:paraId="261050E4" w14:textId="7C0393D5" w:rsidR="00A86A44" w:rsidRPr="003E114B" w:rsidRDefault="00A86A44" w:rsidP="005B5B74">
            <w:pPr>
              <w:spacing w:line="240" w:lineRule="auto"/>
              <w:ind w:right="57"/>
              <w:jc w:val="left"/>
            </w:pPr>
            <w:r w:rsidRPr="003E114B">
              <w:t xml:space="preserve">Ginebra, </w:t>
            </w:r>
            <w:sdt>
              <w:sdtPr>
                <w:alias w:val="Date"/>
                <w:tag w:val="Date"/>
                <w:id w:val="20922293"/>
                <w:placeholder>
                  <w:docPart w:val="6B99120E4134447193C00D318885222B"/>
                </w:placeholder>
                <w:date>
                  <w:dateFormat w:val="d MMMM yyyy"/>
                  <w:lid w:val="en-US"/>
                  <w:storeMappedDataAs w:val="date"/>
                  <w:calendar w:val="gregorian"/>
                </w:date>
              </w:sdtPr>
              <w:sdtEndPr/>
              <w:sdtContent>
                <w:r w:rsidR="00F2320D" w:rsidRPr="003E114B">
                  <w:t xml:space="preserve">14 de </w:t>
                </w:r>
                <w:r w:rsidR="00B74372">
                  <w:t>septiembre</w:t>
                </w:r>
                <w:r w:rsidR="00F2320D" w:rsidRPr="003E114B">
                  <w:t xml:space="preserve"> de 2020</w:t>
                </w:r>
              </w:sdtContent>
            </w:sdt>
            <w:r w:rsidR="00F2320D" w:rsidRPr="003E114B">
              <w:t xml:space="preserve"> </w:t>
            </w:r>
          </w:p>
        </w:tc>
      </w:tr>
      <w:tr w:rsidR="001965B0" w:rsidRPr="003E114B" w14:paraId="03B72F69" w14:textId="77777777" w:rsidTr="00196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11A0CD98" w14:textId="77777777" w:rsidR="001965B0" w:rsidRPr="003E114B" w:rsidRDefault="001965B0" w:rsidP="007E48E3">
            <w:pPr>
              <w:spacing w:line="240" w:lineRule="auto"/>
              <w:jc w:val="left"/>
            </w:pPr>
            <w:r w:rsidRPr="003E114B">
              <w:t>Ref.:</w:t>
            </w:r>
          </w:p>
        </w:tc>
        <w:tc>
          <w:tcPr>
            <w:tcW w:w="3827" w:type="dxa"/>
            <w:gridSpan w:val="2"/>
            <w:tcBorders>
              <w:top w:val="nil"/>
              <w:left w:val="nil"/>
              <w:bottom w:val="nil"/>
              <w:right w:val="nil"/>
            </w:tcBorders>
            <w:shd w:val="clear" w:color="auto" w:fill="auto"/>
          </w:tcPr>
          <w:p w14:paraId="60FBEA40" w14:textId="4AF675F8" w:rsidR="001965B0" w:rsidRPr="003E114B" w:rsidRDefault="005D2CD8" w:rsidP="007E48E3">
            <w:pPr>
              <w:spacing w:line="240" w:lineRule="auto"/>
              <w:jc w:val="left"/>
              <w:rPr>
                <w:b/>
                <w:bCs/>
              </w:rPr>
            </w:pPr>
            <w:r w:rsidRPr="003E114B">
              <w:rPr>
                <w:b/>
                <w:bCs/>
              </w:rPr>
              <w:t>DM-20/10</w:t>
            </w:r>
            <w:r w:rsidR="00B74372">
              <w:rPr>
                <w:b/>
                <w:bCs/>
              </w:rPr>
              <w:t>13</w:t>
            </w:r>
          </w:p>
        </w:tc>
        <w:tc>
          <w:tcPr>
            <w:tcW w:w="4536" w:type="dxa"/>
            <w:vMerge w:val="restart"/>
            <w:tcBorders>
              <w:top w:val="nil"/>
              <w:left w:val="nil"/>
              <w:right w:val="nil"/>
            </w:tcBorders>
            <w:shd w:val="clear" w:color="auto" w:fill="auto"/>
            <w:vAlign w:val="center"/>
          </w:tcPr>
          <w:p w14:paraId="3B5695A2" w14:textId="77777777" w:rsidR="001965B0" w:rsidRPr="003E114B" w:rsidRDefault="00A335BC" w:rsidP="007E48E3">
            <w:pPr>
              <w:spacing w:before="0" w:line="240" w:lineRule="auto"/>
              <w:jc w:val="left"/>
            </w:pPr>
            <w:r w:rsidRPr="003E114B">
              <w:t xml:space="preserve">A los </w:t>
            </w:r>
            <w:r w:rsidR="001965B0" w:rsidRPr="003E114B">
              <w:t>Estados Miembros</w:t>
            </w:r>
            <w:r w:rsidR="005D2CD8" w:rsidRPr="003E114B">
              <w:t xml:space="preserve"> del Consejo</w:t>
            </w:r>
            <w:r w:rsidR="001965B0" w:rsidRPr="003E114B">
              <w:t xml:space="preserve"> de la UIT</w:t>
            </w:r>
          </w:p>
        </w:tc>
      </w:tr>
      <w:tr w:rsidR="001965B0" w:rsidRPr="003E114B" w14:paraId="7817FCB1" w14:textId="77777777" w:rsidTr="004B0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25A29488" w14:textId="77777777" w:rsidR="001965B0" w:rsidRPr="003E114B" w:rsidRDefault="001965B0" w:rsidP="007E48E3">
            <w:pPr>
              <w:spacing w:before="0" w:line="240" w:lineRule="auto"/>
              <w:jc w:val="left"/>
              <w:rPr>
                <w:iCs/>
              </w:rPr>
            </w:pPr>
            <w:r w:rsidRPr="003E114B">
              <w:rPr>
                <w:rFonts w:cs="Arial"/>
                <w:iCs/>
              </w:rPr>
              <w:t>Contacto</w:t>
            </w:r>
            <w:r w:rsidRPr="003E114B">
              <w:rPr>
                <w:iCs/>
              </w:rPr>
              <w:t>:</w:t>
            </w:r>
          </w:p>
        </w:tc>
        <w:tc>
          <w:tcPr>
            <w:tcW w:w="3543" w:type="dxa"/>
            <w:tcBorders>
              <w:top w:val="nil"/>
              <w:left w:val="nil"/>
              <w:bottom w:val="nil"/>
              <w:right w:val="nil"/>
            </w:tcBorders>
            <w:shd w:val="clear" w:color="auto" w:fill="auto"/>
          </w:tcPr>
          <w:p w14:paraId="6928E086" w14:textId="77777777" w:rsidR="001965B0" w:rsidRPr="003E114B" w:rsidRDefault="005D2CD8" w:rsidP="007E48E3">
            <w:pPr>
              <w:spacing w:before="0" w:line="240" w:lineRule="auto"/>
              <w:jc w:val="left"/>
            </w:pPr>
            <w:r w:rsidRPr="003E114B">
              <w:t>Sra. Béatrice Pluchon</w:t>
            </w:r>
          </w:p>
        </w:tc>
        <w:tc>
          <w:tcPr>
            <w:tcW w:w="284" w:type="dxa"/>
            <w:tcBorders>
              <w:top w:val="nil"/>
              <w:left w:val="nil"/>
              <w:bottom w:val="nil"/>
              <w:right w:val="nil"/>
            </w:tcBorders>
            <w:shd w:val="clear" w:color="auto" w:fill="auto"/>
          </w:tcPr>
          <w:p w14:paraId="603A5A95" w14:textId="77777777" w:rsidR="001965B0" w:rsidRPr="003E114B" w:rsidRDefault="001965B0" w:rsidP="007E48E3">
            <w:pPr>
              <w:spacing w:before="0" w:line="240" w:lineRule="auto"/>
            </w:pPr>
          </w:p>
        </w:tc>
        <w:tc>
          <w:tcPr>
            <w:tcW w:w="4536" w:type="dxa"/>
            <w:vMerge/>
            <w:tcBorders>
              <w:left w:val="nil"/>
              <w:right w:val="nil"/>
            </w:tcBorders>
            <w:shd w:val="clear" w:color="auto" w:fill="auto"/>
            <w:vAlign w:val="center"/>
          </w:tcPr>
          <w:p w14:paraId="39B1E12B" w14:textId="77777777" w:rsidR="001965B0" w:rsidRPr="003E114B" w:rsidRDefault="001965B0" w:rsidP="007E48E3">
            <w:pPr>
              <w:spacing w:before="0" w:line="240" w:lineRule="auto"/>
              <w:jc w:val="center"/>
            </w:pPr>
          </w:p>
        </w:tc>
      </w:tr>
      <w:tr w:rsidR="004C4F80" w:rsidRPr="003E114B" w14:paraId="049BBA38" w14:textId="77777777" w:rsidTr="004B0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4B461CD8" w14:textId="77777777" w:rsidR="004C4F80" w:rsidRPr="003E114B" w:rsidRDefault="004C4F80" w:rsidP="007E48E3">
            <w:pPr>
              <w:spacing w:before="0" w:line="240" w:lineRule="auto"/>
              <w:jc w:val="left"/>
              <w:rPr>
                <w:rFonts w:cs="Arial"/>
                <w:iCs/>
              </w:rPr>
            </w:pPr>
            <w:r w:rsidRPr="003E114B">
              <w:rPr>
                <w:rFonts w:cs="Arial"/>
                <w:iCs/>
              </w:rPr>
              <w:t>Teléfono</w:t>
            </w:r>
          </w:p>
        </w:tc>
        <w:tc>
          <w:tcPr>
            <w:tcW w:w="3543" w:type="dxa"/>
            <w:tcBorders>
              <w:top w:val="nil"/>
              <w:left w:val="nil"/>
              <w:bottom w:val="nil"/>
              <w:right w:val="nil"/>
            </w:tcBorders>
            <w:shd w:val="clear" w:color="auto" w:fill="auto"/>
          </w:tcPr>
          <w:p w14:paraId="5BCD5EC3" w14:textId="77777777" w:rsidR="004C4F80" w:rsidRPr="003E114B" w:rsidRDefault="005D2CD8" w:rsidP="007E48E3">
            <w:pPr>
              <w:spacing w:before="0" w:line="240" w:lineRule="auto"/>
              <w:jc w:val="left"/>
            </w:pPr>
            <w:r w:rsidRPr="003E114B">
              <w:t>+41 22 730 6266</w:t>
            </w:r>
          </w:p>
        </w:tc>
        <w:tc>
          <w:tcPr>
            <w:tcW w:w="284" w:type="dxa"/>
            <w:tcBorders>
              <w:top w:val="nil"/>
              <w:left w:val="nil"/>
              <w:bottom w:val="nil"/>
              <w:right w:val="nil"/>
            </w:tcBorders>
            <w:shd w:val="clear" w:color="auto" w:fill="auto"/>
          </w:tcPr>
          <w:p w14:paraId="70B945F0" w14:textId="77777777" w:rsidR="004C4F80" w:rsidRPr="003E114B" w:rsidRDefault="004C4F80" w:rsidP="007E48E3">
            <w:pPr>
              <w:spacing w:before="0" w:line="240" w:lineRule="auto"/>
            </w:pPr>
          </w:p>
        </w:tc>
        <w:tc>
          <w:tcPr>
            <w:tcW w:w="4536" w:type="dxa"/>
            <w:vMerge/>
            <w:tcBorders>
              <w:left w:val="nil"/>
              <w:right w:val="nil"/>
            </w:tcBorders>
            <w:shd w:val="clear" w:color="auto" w:fill="auto"/>
            <w:vAlign w:val="center"/>
          </w:tcPr>
          <w:p w14:paraId="0EBD05FF" w14:textId="77777777" w:rsidR="004C4F80" w:rsidRPr="003E114B" w:rsidRDefault="004C4F80" w:rsidP="007E48E3">
            <w:pPr>
              <w:spacing w:before="0" w:line="240" w:lineRule="auto"/>
              <w:jc w:val="center"/>
            </w:pPr>
          </w:p>
        </w:tc>
      </w:tr>
      <w:tr w:rsidR="00AD3E5D" w:rsidRPr="003E114B" w14:paraId="24DC57FA" w14:textId="77777777" w:rsidTr="004B0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65439AC2" w14:textId="77777777" w:rsidR="00AD3E5D" w:rsidRPr="003E114B" w:rsidRDefault="00AD3E5D" w:rsidP="007E48E3">
            <w:pPr>
              <w:spacing w:before="0" w:line="240" w:lineRule="auto"/>
              <w:jc w:val="left"/>
              <w:rPr>
                <w:iCs/>
              </w:rPr>
            </w:pPr>
            <w:r w:rsidRPr="003E114B">
              <w:rPr>
                <w:rFonts w:cs="Arial"/>
                <w:iCs/>
              </w:rPr>
              <w:t>Correo-e</w:t>
            </w:r>
            <w:r w:rsidRPr="003E114B">
              <w:rPr>
                <w:iCs/>
              </w:rPr>
              <w:t>:</w:t>
            </w:r>
          </w:p>
        </w:tc>
        <w:tc>
          <w:tcPr>
            <w:tcW w:w="3543" w:type="dxa"/>
            <w:tcBorders>
              <w:top w:val="nil"/>
              <w:left w:val="nil"/>
              <w:bottom w:val="nil"/>
              <w:right w:val="nil"/>
            </w:tcBorders>
            <w:shd w:val="clear" w:color="auto" w:fill="auto"/>
          </w:tcPr>
          <w:p w14:paraId="6D94E8F4" w14:textId="77777777" w:rsidR="00AD3E5D" w:rsidRPr="003E114B" w:rsidRDefault="00A25543" w:rsidP="007E48E3">
            <w:pPr>
              <w:spacing w:before="0" w:line="240" w:lineRule="auto"/>
              <w:jc w:val="left"/>
            </w:pPr>
            <w:hyperlink r:id="rId8" w:history="1">
              <w:r w:rsidR="00AD3E5D" w:rsidRPr="003E114B">
                <w:rPr>
                  <w:rStyle w:val="Hyperlink"/>
                </w:rPr>
                <w:t>gbs@itu.int</w:t>
              </w:r>
            </w:hyperlink>
          </w:p>
        </w:tc>
        <w:tc>
          <w:tcPr>
            <w:tcW w:w="284" w:type="dxa"/>
            <w:tcBorders>
              <w:top w:val="nil"/>
              <w:left w:val="nil"/>
              <w:bottom w:val="nil"/>
              <w:right w:val="nil"/>
            </w:tcBorders>
            <w:shd w:val="clear" w:color="auto" w:fill="auto"/>
          </w:tcPr>
          <w:p w14:paraId="04B9C8BD" w14:textId="77777777" w:rsidR="00AD3E5D" w:rsidRPr="003E114B" w:rsidRDefault="00AD3E5D" w:rsidP="007E48E3">
            <w:pPr>
              <w:spacing w:before="0" w:line="240" w:lineRule="auto"/>
            </w:pPr>
          </w:p>
        </w:tc>
        <w:tc>
          <w:tcPr>
            <w:tcW w:w="4536" w:type="dxa"/>
            <w:vMerge/>
            <w:tcBorders>
              <w:left w:val="nil"/>
              <w:right w:val="nil"/>
            </w:tcBorders>
            <w:shd w:val="clear" w:color="auto" w:fill="auto"/>
            <w:vAlign w:val="center"/>
          </w:tcPr>
          <w:p w14:paraId="6656A3F2" w14:textId="77777777" w:rsidR="00AD3E5D" w:rsidRPr="003E114B" w:rsidRDefault="00AD3E5D" w:rsidP="007E48E3">
            <w:pPr>
              <w:spacing w:before="0" w:line="240" w:lineRule="auto"/>
              <w:jc w:val="center"/>
            </w:pPr>
          </w:p>
        </w:tc>
      </w:tr>
      <w:tr w:rsidR="00AD3E5D" w:rsidRPr="003E114B" w14:paraId="10F24488" w14:textId="77777777" w:rsidTr="004B0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3427DC3A" w14:textId="77777777" w:rsidR="00AD3E5D" w:rsidRPr="003E114B" w:rsidRDefault="00AD3E5D" w:rsidP="007E48E3">
            <w:pPr>
              <w:spacing w:before="0" w:line="240" w:lineRule="auto"/>
              <w:jc w:val="left"/>
              <w:rPr>
                <w:iCs/>
              </w:rPr>
            </w:pPr>
          </w:p>
        </w:tc>
        <w:tc>
          <w:tcPr>
            <w:tcW w:w="3543" w:type="dxa"/>
            <w:tcBorders>
              <w:top w:val="nil"/>
              <w:left w:val="nil"/>
              <w:bottom w:val="nil"/>
              <w:right w:val="nil"/>
            </w:tcBorders>
            <w:shd w:val="clear" w:color="auto" w:fill="auto"/>
          </w:tcPr>
          <w:p w14:paraId="78385EB4" w14:textId="77777777" w:rsidR="00AD3E5D" w:rsidRPr="003E114B" w:rsidRDefault="00AD3E5D" w:rsidP="007E48E3">
            <w:pPr>
              <w:spacing w:before="0" w:line="240" w:lineRule="auto"/>
              <w:jc w:val="left"/>
            </w:pPr>
          </w:p>
        </w:tc>
        <w:tc>
          <w:tcPr>
            <w:tcW w:w="284" w:type="dxa"/>
            <w:tcBorders>
              <w:top w:val="nil"/>
              <w:left w:val="nil"/>
              <w:bottom w:val="nil"/>
              <w:right w:val="nil"/>
            </w:tcBorders>
            <w:shd w:val="clear" w:color="auto" w:fill="auto"/>
          </w:tcPr>
          <w:p w14:paraId="25962417" w14:textId="77777777" w:rsidR="00AD3E5D" w:rsidRPr="003E114B" w:rsidRDefault="00AD3E5D" w:rsidP="007E48E3">
            <w:pPr>
              <w:spacing w:before="0" w:line="240" w:lineRule="auto"/>
            </w:pPr>
          </w:p>
        </w:tc>
        <w:tc>
          <w:tcPr>
            <w:tcW w:w="4536" w:type="dxa"/>
            <w:vMerge/>
            <w:tcBorders>
              <w:left w:val="nil"/>
              <w:bottom w:val="nil"/>
              <w:right w:val="nil"/>
            </w:tcBorders>
            <w:shd w:val="clear" w:color="auto" w:fill="auto"/>
          </w:tcPr>
          <w:p w14:paraId="0BF35436" w14:textId="77777777" w:rsidR="00AD3E5D" w:rsidRPr="003E114B" w:rsidRDefault="00AD3E5D" w:rsidP="007E48E3">
            <w:pPr>
              <w:spacing w:before="0" w:line="240" w:lineRule="auto"/>
            </w:pPr>
          </w:p>
        </w:tc>
      </w:tr>
      <w:tr w:rsidR="00AD3E5D" w:rsidRPr="003E114B" w14:paraId="78735A7A" w14:textId="77777777" w:rsidTr="00FD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393BCFA0" w14:textId="77777777" w:rsidR="00AD3E5D" w:rsidRPr="003E114B" w:rsidRDefault="00AD3E5D" w:rsidP="00711BA0">
            <w:pPr>
              <w:spacing w:before="120" w:line="240" w:lineRule="auto"/>
              <w:jc w:val="left"/>
              <w:rPr>
                <w:iCs/>
              </w:rPr>
            </w:pPr>
            <w:r w:rsidRPr="003E114B">
              <w:rPr>
                <w:iCs/>
              </w:rPr>
              <w:t>Asunto:</w:t>
            </w:r>
          </w:p>
        </w:tc>
        <w:tc>
          <w:tcPr>
            <w:tcW w:w="8363" w:type="dxa"/>
            <w:gridSpan w:val="3"/>
            <w:tcBorders>
              <w:top w:val="nil"/>
              <w:left w:val="nil"/>
              <w:bottom w:val="nil"/>
              <w:right w:val="nil"/>
            </w:tcBorders>
            <w:shd w:val="clear" w:color="auto" w:fill="auto"/>
          </w:tcPr>
          <w:p w14:paraId="46990C22" w14:textId="67612F13" w:rsidR="00AD3E5D" w:rsidRPr="003E114B" w:rsidRDefault="005E1AE3" w:rsidP="00711BA0">
            <w:pPr>
              <w:spacing w:before="120" w:line="240" w:lineRule="auto"/>
              <w:jc w:val="left"/>
              <w:rPr>
                <w:b/>
                <w:bCs/>
              </w:rPr>
            </w:pPr>
            <w:bookmarkStart w:id="0" w:name="lt_pId026"/>
            <w:r w:rsidRPr="003E114B">
              <w:rPr>
                <w:b/>
                <w:bCs/>
              </w:rPr>
              <w:t>Organización</w:t>
            </w:r>
            <w:r w:rsidR="00F2320D" w:rsidRPr="003E114B">
              <w:rPr>
                <w:b/>
                <w:bCs/>
              </w:rPr>
              <w:t xml:space="preserve"> </w:t>
            </w:r>
            <w:r w:rsidRPr="003E114B">
              <w:rPr>
                <w:b/>
                <w:bCs/>
              </w:rPr>
              <w:t xml:space="preserve">de una </w:t>
            </w:r>
            <w:r w:rsidR="00B74372">
              <w:rPr>
                <w:b/>
                <w:bCs/>
              </w:rPr>
              <w:t xml:space="preserve">segunda </w:t>
            </w:r>
            <w:r w:rsidRPr="003E114B">
              <w:rPr>
                <w:b/>
                <w:bCs/>
              </w:rPr>
              <w:t xml:space="preserve">consulta virtual de los </w:t>
            </w:r>
            <w:r w:rsidR="001A788C" w:rsidRPr="003E114B">
              <w:rPr>
                <w:b/>
                <w:bCs/>
              </w:rPr>
              <w:t xml:space="preserve">consejeros </w:t>
            </w:r>
            <w:bookmarkEnd w:id="0"/>
            <w:r w:rsidR="00B74372">
              <w:rPr>
                <w:b/>
                <w:bCs/>
              </w:rPr>
              <w:t>(16-20 de noviembre de 2020)</w:t>
            </w:r>
          </w:p>
        </w:tc>
      </w:tr>
    </w:tbl>
    <w:p w14:paraId="7C62EA43" w14:textId="6ACC820C" w:rsidR="005D2CD8" w:rsidRPr="003E114B" w:rsidRDefault="005D2CD8" w:rsidP="007E48E3">
      <w:pPr>
        <w:pStyle w:val="Normalaftertitle"/>
        <w:spacing w:line="240" w:lineRule="auto"/>
      </w:pPr>
      <w:r w:rsidRPr="003E114B">
        <w:t xml:space="preserve">Estimado(a) </w:t>
      </w:r>
      <w:r w:rsidR="00AD3E5D" w:rsidRPr="003E114B">
        <w:t>consejero</w:t>
      </w:r>
      <w:r w:rsidRPr="003E114B">
        <w:t>(a):</w:t>
      </w:r>
    </w:p>
    <w:p w14:paraId="16098673" w14:textId="23CD0B9D" w:rsidR="00B74372" w:rsidRDefault="005E1AE3" w:rsidP="001C0ACF">
      <w:pPr>
        <w:spacing w:before="120"/>
        <w:jc w:val="left"/>
      </w:pPr>
      <w:r w:rsidRPr="003E114B">
        <w:t xml:space="preserve">Por medio de la </w:t>
      </w:r>
      <w:hyperlink r:id="rId9" w:history="1">
        <w:r w:rsidRPr="00B74372">
          <w:rPr>
            <w:rStyle w:val="Hyperlink"/>
          </w:rPr>
          <w:t xml:space="preserve">Carta </w:t>
        </w:r>
        <w:bookmarkStart w:id="1" w:name="lt_pId028"/>
        <w:r w:rsidR="00F2320D" w:rsidRPr="00B74372">
          <w:rPr>
            <w:rStyle w:val="Hyperlink"/>
          </w:rPr>
          <w:t>DM-20/10</w:t>
        </w:r>
        <w:r w:rsidR="00B74372" w:rsidRPr="00B74372">
          <w:rPr>
            <w:rStyle w:val="Hyperlink"/>
          </w:rPr>
          <w:t>11</w:t>
        </w:r>
      </w:hyperlink>
      <w:r w:rsidR="00F2320D" w:rsidRPr="003E114B">
        <w:t xml:space="preserve">, </w:t>
      </w:r>
      <w:bookmarkEnd w:id="1"/>
      <w:r w:rsidR="00B74372">
        <w:t xml:space="preserve">tuve el placer de informarle acerca de los resultados de la consulta relativa a los resultados de los debates de la primera consulta virtual de los consejeros (CVC), que tuvo lugar del 9 al 12 de junio de 2020. </w:t>
      </w:r>
    </w:p>
    <w:p w14:paraId="72426C8D" w14:textId="77777777" w:rsidR="00B74372" w:rsidRDefault="00B74372" w:rsidP="001C0ACF">
      <w:pPr>
        <w:spacing w:before="120"/>
        <w:jc w:val="left"/>
      </w:pPr>
      <w:r>
        <w:t xml:space="preserve">Tras celebrar consultas informales con los Grupos Regionales, el </w:t>
      </w:r>
      <w:proofErr w:type="gramStart"/>
      <w:r>
        <w:t>Vicepresidente</w:t>
      </w:r>
      <w:proofErr w:type="gramEnd"/>
      <w:r>
        <w:t xml:space="preserve"> del Consejo y el Secretario General, y habida cuenta de que la pandemia del COVID-19 sigue dando lugar a restricciones de trabajo y de viajes, parece que sigue siendo imposible celebrar una reunión presencial del Consejo, al menos hasta finales de 2020.</w:t>
      </w:r>
    </w:p>
    <w:p w14:paraId="05324040" w14:textId="3EE23727" w:rsidR="00B74372" w:rsidRDefault="00B74372" w:rsidP="001C0ACF">
      <w:pPr>
        <w:spacing w:before="120"/>
        <w:jc w:val="left"/>
      </w:pPr>
      <w:r w:rsidRPr="00B74372">
        <w:t xml:space="preserve">Por consiguiente, a fin de abordar los restantes </w:t>
      </w:r>
      <w:r>
        <w:t xml:space="preserve">puntos del orden del día </w:t>
      </w:r>
      <w:r w:rsidRPr="00B74372">
        <w:t xml:space="preserve">considerados urgentes, propongo que se celebre una segunda consulta virtual de </w:t>
      </w:r>
      <w:r w:rsidR="00563AFF">
        <w:t xml:space="preserve">los </w:t>
      </w:r>
      <w:r w:rsidRPr="00B74372">
        <w:t>consejeros (</w:t>
      </w:r>
      <w:r>
        <w:t>CVC</w:t>
      </w:r>
      <w:r w:rsidRPr="00B74372">
        <w:t xml:space="preserve">-2) del 16 al 20 de noviembre de 2020, de </w:t>
      </w:r>
      <w:r>
        <w:t xml:space="preserve">una </w:t>
      </w:r>
      <w:r w:rsidRPr="00B74372">
        <w:t xml:space="preserve">manera organizada de conformidad con </w:t>
      </w:r>
      <w:r>
        <w:t>arreglo a lo dispuesto en el</w:t>
      </w:r>
      <w:r w:rsidRPr="00B74372">
        <w:t xml:space="preserve"> </w:t>
      </w:r>
      <w:r>
        <w:t>A</w:t>
      </w:r>
      <w:r w:rsidRPr="00B74372">
        <w:t>rtículo 3.1 del Reglamento del Consejo. Por consiguiente, esta segunda consulta virtual seguirá el mismo formato que la primera C</w:t>
      </w:r>
      <w:r>
        <w:t>VC</w:t>
      </w:r>
      <w:r w:rsidRPr="00B74372">
        <w:t xml:space="preserve">, </w:t>
      </w:r>
      <w:r>
        <w:t>según</w:t>
      </w:r>
      <w:r w:rsidRPr="00B74372">
        <w:t xml:space="preserve"> se indica en el </w:t>
      </w:r>
      <w:hyperlink w:anchor="Anexo1" w:history="1">
        <w:r w:rsidRPr="00CB39E1">
          <w:rPr>
            <w:rStyle w:val="Hyperlink"/>
          </w:rPr>
          <w:t>Anexo 1</w:t>
        </w:r>
      </w:hyperlink>
      <w:r w:rsidRPr="00B74372">
        <w:t xml:space="preserve">. </w:t>
      </w:r>
    </w:p>
    <w:p w14:paraId="63F0BC3D" w14:textId="192FE300" w:rsidR="00F2320D" w:rsidRPr="003E114B" w:rsidRDefault="00220E11" w:rsidP="001C0ACF">
      <w:pPr>
        <w:spacing w:before="120"/>
        <w:jc w:val="left"/>
      </w:pPr>
      <w:r w:rsidRPr="00220E11">
        <w:t xml:space="preserve">Sobre la base de las consultas oficiosas celebradas con los Estados Miembros acerca de la agrupación de documentos, la secretaría ha preparado un proyecto de programa que figura en el </w:t>
      </w:r>
      <w:hyperlink w:anchor="Annex2" w:history="1">
        <w:r w:rsidRPr="00603BD2">
          <w:rPr>
            <w:rStyle w:val="Hyperlink"/>
          </w:rPr>
          <w:t>Anexo 2</w:t>
        </w:r>
      </w:hyperlink>
      <w:r w:rsidRPr="00220E11">
        <w:t xml:space="preserve">. El programa incluye todos los </w:t>
      </w:r>
      <w:r>
        <w:t>puntos</w:t>
      </w:r>
      <w:r w:rsidRPr="00220E11">
        <w:t xml:space="preserve"> restantes </w:t>
      </w:r>
      <w:r>
        <w:t>presentados</w:t>
      </w:r>
      <w:r w:rsidRPr="00220E11">
        <w:t xml:space="preserve"> en tres grupos: el grupo 1 (temas urgentes sobre los que es necesario adoptar una decisión antes de finales de 2020), el grupo 2 (temas que podrían examinarse en </w:t>
      </w:r>
      <w:r>
        <w:t>la</w:t>
      </w:r>
      <w:r w:rsidRPr="00220E11">
        <w:t xml:space="preserve"> </w:t>
      </w:r>
      <w:r>
        <w:t>CVC</w:t>
      </w:r>
      <w:r w:rsidR="00563AFF">
        <w:t>-</w:t>
      </w:r>
      <w:r>
        <w:t>2</w:t>
      </w:r>
      <w:r w:rsidRPr="00220E11">
        <w:t xml:space="preserve">); y el grupo 3 (proporcionado a título informativo únicamente) se examinará en </w:t>
      </w:r>
      <w:r>
        <w:t>la reunión</w:t>
      </w:r>
      <w:r w:rsidRPr="00220E11">
        <w:t xml:space="preserve"> del Consejo de 2021</w:t>
      </w:r>
      <w:r w:rsidR="005E1AE3" w:rsidRPr="003E114B">
        <w:t>.</w:t>
      </w:r>
    </w:p>
    <w:p w14:paraId="2F2BDB7B" w14:textId="72D20B62" w:rsidR="00220E11" w:rsidRDefault="00220E11" w:rsidP="001C0ACF">
      <w:pPr>
        <w:spacing w:before="120"/>
        <w:jc w:val="left"/>
      </w:pPr>
      <w:bookmarkStart w:id="2" w:name="lt_pId029"/>
      <w:r>
        <w:t>El orden del día definitivo se confirmará en la sesión de apertura de la CVC</w:t>
      </w:r>
      <w:r w:rsidR="00061947">
        <w:t>-</w:t>
      </w:r>
      <w:r>
        <w:t>2 el 16 de noviembre de 2020. El plan de gestión del tiempo estará disponible en el sitio web del Consejo en las próximas semanas.</w:t>
      </w:r>
    </w:p>
    <w:p w14:paraId="2572620E" w14:textId="3E087DA8" w:rsidR="00F2320D" w:rsidRPr="003E114B" w:rsidRDefault="00220E11" w:rsidP="001C0ACF">
      <w:pPr>
        <w:spacing w:before="120"/>
        <w:jc w:val="left"/>
      </w:pPr>
      <w:r w:rsidRPr="00220E11">
        <w:t xml:space="preserve">Se invita a los Estados Miembros a que envíen sus contribuciones a la reunión utilizando la plantilla adjunta que figura en el </w:t>
      </w:r>
      <w:hyperlink w:anchor="Annex3" w:history="1">
        <w:r w:rsidRPr="00603BD2">
          <w:rPr>
            <w:rStyle w:val="Hyperlink"/>
          </w:rPr>
          <w:t>Anexo 3</w:t>
        </w:r>
      </w:hyperlink>
      <w:r w:rsidRPr="00220E11">
        <w:t>. Obsérvese a este respecto que las contribuciones sólo deben referirse a los documentos de los grupos 1 y 2. La fecha límite para el envío de las contribuciones es el 2 de noviembre de 2020.</w:t>
      </w:r>
      <w:bookmarkEnd w:id="2"/>
    </w:p>
    <w:p w14:paraId="6C04B98E" w14:textId="77777777" w:rsidR="00220E11" w:rsidRDefault="00220E11" w:rsidP="001C0ACF">
      <w:pPr>
        <w:spacing w:before="120"/>
        <w:jc w:val="left"/>
      </w:pPr>
      <w:bookmarkStart w:id="3" w:name="lt_pId030"/>
      <w:r>
        <w:t>La inscripción se abrirá a partir del 15 de octubre de 2020.</w:t>
      </w:r>
    </w:p>
    <w:p w14:paraId="197D6DC8" w14:textId="51D0C84A" w:rsidR="00F2320D" w:rsidRPr="003E114B" w:rsidRDefault="00220E11" w:rsidP="001C0ACF">
      <w:pPr>
        <w:spacing w:before="120"/>
        <w:jc w:val="left"/>
      </w:pPr>
      <w:r>
        <w:t>Como ocurriera con la primera CVC del mes</w:t>
      </w:r>
      <w:r w:rsidRPr="00220E11">
        <w:t xml:space="preserve"> de junio, tenga en cuenta que la plataforma tiene capacidad para unos 300 participantes activos (</w:t>
      </w:r>
      <w:r w:rsidR="00E7780F">
        <w:t>"</w:t>
      </w:r>
      <w:r w:rsidRPr="00220E11">
        <w:t>oradores</w:t>
      </w:r>
      <w:r w:rsidR="00E7780F">
        <w:t>"</w:t>
      </w:r>
      <w:r w:rsidRPr="00220E11">
        <w:t>) y 2</w:t>
      </w:r>
      <w:r w:rsidR="00E7780F">
        <w:t xml:space="preserve"> </w:t>
      </w:r>
      <w:r w:rsidRPr="00220E11">
        <w:t>000 participantes pasivos (</w:t>
      </w:r>
      <w:r w:rsidR="00E7780F">
        <w:t>"</w:t>
      </w:r>
      <w:r w:rsidRPr="00220E11">
        <w:t>espectadores</w:t>
      </w:r>
      <w:r w:rsidR="00E7780F">
        <w:t>"</w:t>
      </w:r>
      <w:r w:rsidRPr="00220E11">
        <w:t xml:space="preserve">). Las sesiones tendrán enlaces separados para los participantes activos y pasivos. Entre los participantes inscritos </w:t>
      </w:r>
      <w:r w:rsidRPr="00220E11">
        <w:lastRenderedPageBreak/>
        <w:t xml:space="preserve">de una delegación, se identificarán de 1 a 3 </w:t>
      </w:r>
      <w:r w:rsidR="00E7780F">
        <w:t>"</w:t>
      </w:r>
      <w:r w:rsidRPr="00220E11">
        <w:t>oradores</w:t>
      </w:r>
      <w:r w:rsidR="00E7780F">
        <w:t>"</w:t>
      </w:r>
      <w:r w:rsidRPr="00220E11">
        <w:t xml:space="preserve"> </w:t>
      </w:r>
      <w:r>
        <w:t>para</w:t>
      </w:r>
      <w:r w:rsidRPr="00220E11">
        <w:t xml:space="preserve"> toda la duración de la consulta, mientras que los demás miembros inscritos de la delegación se considerarán </w:t>
      </w:r>
      <w:r w:rsidR="00E7780F">
        <w:t>"</w:t>
      </w:r>
      <w:r w:rsidRPr="00220E11">
        <w:t>espectadores</w:t>
      </w:r>
      <w:r w:rsidR="00E7780F">
        <w:t>"</w:t>
      </w:r>
      <w:r w:rsidR="00C548FF" w:rsidRPr="003E114B">
        <w:t xml:space="preserve">. </w:t>
      </w:r>
      <w:bookmarkStart w:id="4" w:name="lt_pId033"/>
      <w:bookmarkEnd w:id="3"/>
      <w:r w:rsidRPr="00220E11">
        <w:t xml:space="preserve">Los nombres de los </w:t>
      </w:r>
      <w:r w:rsidR="00E7780F">
        <w:t>"</w:t>
      </w:r>
      <w:r w:rsidRPr="00220E11">
        <w:t>oradores</w:t>
      </w:r>
      <w:r w:rsidR="00E7780F">
        <w:t>"</w:t>
      </w:r>
      <w:r w:rsidRPr="00220E11">
        <w:t xml:space="preserve"> deben enviarse a </w:t>
      </w:r>
      <w:hyperlink r:id="rId10" w:history="1">
        <w:r w:rsidRPr="0055037D">
          <w:rPr>
            <w:rStyle w:val="Hyperlink"/>
          </w:rPr>
          <w:t>sg-registration@itu.int</w:t>
        </w:r>
      </w:hyperlink>
      <w:r>
        <w:t xml:space="preserve">, </w:t>
      </w:r>
      <w:r w:rsidRPr="00220E11">
        <w:t xml:space="preserve">con copia a </w:t>
      </w:r>
      <w:hyperlink r:id="rId11" w:history="1">
        <w:r w:rsidRPr="0055037D">
          <w:rPr>
            <w:rStyle w:val="Hyperlink"/>
          </w:rPr>
          <w:t>remote.participation@itu.int</w:t>
        </w:r>
      </w:hyperlink>
      <w:r>
        <w:t xml:space="preserve">. </w:t>
      </w:r>
      <w:r w:rsidRPr="00220E11">
        <w:t xml:space="preserve">En caso de que una delegación necesite un </w:t>
      </w:r>
      <w:r w:rsidR="00E7780F">
        <w:t>"</w:t>
      </w:r>
      <w:r w:rsidRPr="00220E11">
        <w:t>orador</w:t>
      </w:r>
      <w:r w:rsidR="00E7780F">
        <w:t>"</w:t>
      </w:r>
      <w:r w:rsidRPr="00220E11">
        <w:t xml:space="preserve"> adicional para determinad</w:t>
      </w:r>
      <w:r>
        <w:t>a</w:t>
      </w:r>
      <w:r w:rsidRPr="00220E11">
        <w:t xml:space="preserve">s sesiones o </w:t>
      </w:r>
      <w:r>
        <w:t>puntos del orden del día,</w:t>
      </w:r>
      <w:r w:rsidRPr="00220E11">
        <w:t xml:space="preserve"> sírvase ponerse en contacto con la secretaría en las direcciones indicadas más arriba. </w:t>
      </w:r>
      <w:r>
        <w:t>En función de</w:t>
      </w:r>
      <w:r w:rsidRPr="00220E11">
        <w:t xml:space="preserve"> la capacidad técnica, la secretaría </w:t>
      </w:r>
      <w:r>
        <w:t xml:space="preserve">tal vez </w:t>
      </w:r>
      <w:r w:rsidRPr="00220E11">
        <w:t>pued</w:t>
      </w:r>
      <w:r>
        <w:t>a</w:t>
      </w:r>
      <w:r w:rsidRPr="00220E11">
        <w:t xml:space="preserve"> estar en condiciones de asignar un puesto de </w:t>
      </w:r>
      <w:r w:rsidR="00E7780F">
        <w:t>"</w:t>
      </w:r>
      <w:r w:rsidRPr="00220E11">
        <w:t>orador</w:t>
      </w:r>
      <w:r w:rsidR="00E7780F">
        <w:t>"</w:t>
      </w:r>
      <w:r w:rsidRPr="00220E11">
        <w:t xml:space="preserve"> adicional.</w:t>
      </w:r>
      <w:r w:rsidR="00C548FF" w:rsidRPr="003E114B">
        <w:t xml:space="preserve"> </w:t>
      </w:r>
      <w:bookmarkEnd w:id="4"/>
    </w:p>
    <w:p w14:paraId="631C186B" w14:textId="77777777" w:rsidR="00220E11" w:rsidRDefault="00220E11" w:rsidP="001C0ACF">
      <w:pPr>
        <w:spacing w:before="120" w:line="240" w:lineRule="auto"/>
        <w:jc w:val="left"/>
      </w:pPr>
      <w:bookmarkStart w:id="5" w:name="lt_pId035"/>
      <w:r>
        <w:t>Se celebrará un ensayo el día 10 de noviembre de 2020. Los detalles y los enlaces correspondientes se enviarán a su debido tiempo.</w:t>
      </w:r>
    </w:p>
    <w:p w14:paraId="677CD521" w14:textId="341DC27C" w:rsidR="00C548FF" w:rsidRDefault="00220E11" w:rsidP="001C0ACF">
      <w:pPr>
        <w:spacing w:before="120" w:line="240" w:lineRule="auto"/>
        <w:jc w:val="left"/>
      </w:pPr>
      <w:r>
        <w:t xml:space="preserve">Contamos con su participación y buena voluntad para garantizar que la segunda consulta virtual de </w:t>
      </w:r>
      <w:r w:rsidR="00563AFF">
        <w:t xml:space="preserve">los </w:t>
      </w:r>
      <w:r>
        <w:t>consejeros sea tan constructiva y exitosa como la primera.</w:t>
      </w:r>
    </w:p>
    <w:p w14:paraId="74BAEBA8" w14:textId="1A691585" w:rsidR="00061947" w:rsidRPr="00061947" w:rsidRDefault="00061947" w:rsidP="001C0ACF">
      <w:pPr>
        <w:spacing w:before="120" w:line="240" w:lineRule="auto"/>
        <w:jc w:val="left"/>
      </w:pPr>
      <w:bookmarkStart w:id="6" w:name="lt_pId047"/>
      <w:r>
        <w:rPr>
          <w:lang w:val="es-ES"/>
        </w:rPr>
        <w:t>Espero verle virtualmente el día 10 y a partir del 16 de noviembre</w:t>
      </w:r>
      <w:r w:rsidRPr="00061947">
        <w:t>.</w:t>
      </w:r>
      <w:bookmarkEnd w:id="6"/>
    </w:p>
    <w:bookmarkEnd w:id="5"/>
    <w:p w14:paraId="7005523F" w14:textId="73EA00F4" w:rsidR="00220E11" w:rsidRPr="00B257A9" w:rsidRDefault="00220E11" w:rsidP="00220E11">
      <w:pPr>
        <w:spacing w:before="480"/>
        <w:jc w:val="left"/>
        <w:rPr>
          <w:i/>
          <w:iCs/>
        </w:rPr>
      </w:pPr>
      <w:r w:rsidRPr="00365F57">
        <w:rPr>
          <w:i/>
          <w:iCs/>
        </w:rPr>
        <w:t>(</w:t>
      </w:r>
      <w:r>
        <w:rPr>
          <w:i/>
          <w:iCs/>
        </w:rPr>
        <w:t>Firmado</w:t>
      </w:r>
      <w:r w:rsidRPr="00365F57">
        <w:rPr>
          <w:i/>
          <w:iCs/>
        </w:rPr>
        <w:t>)</w:t>
      </w:r>
    </w:p>
    <w:p w14:paraId="1731280F" w14:textId="4BE88C39" w:rsidR="00220E11" w:rsidRDefault="00220E11" w:rsidP="00220E11">
      <w:pPr>
        <w:spacing w:before="480"/>
        <w:jc w:val="left"/>
      </w:pPr>
      <w:r w:rsidRPr="009D60E4">
        <w:t>Dr</w:t>
      </w:r>
      <w:r>
        <w:t>.</w:t>
      </w:r>
      <w:r w:rsidRPr="009D60E4">
        <w:t xml:space="preserve"> Elsayed Azzouz</w:t>
      </w:r>
      <w:r w:rsidRPr="009D60E4">
        <w:br/>
      </w:r>
      <w:proofErr w:type="gramStart"/>
      <w:r>
        <w:t>Presidente</w:t>
      </w:r>
      <w:proofErr w:type="gramEnd"/>
      <w:r>
        <w:t xml:space="preserve"> del Consejo</w:t>
      </w:r>
    </w:p>
    <w:p w14:paraId="5DB39561" w14:textId="0358F0AD" w:rsidR="00563AFF" w:rsidRPr="00563AFF" w:rsidRDefault="00563AFF" w:rsidP="00563AFF">
      <w:pPr>
        <w:spacing w:before="840"/>
        <w:rPr>
          <w:rFonts w:eastAsia="MS Mincho"/>
          <w:b/>
          <w:bCs/>
          <w:lang w:val="es-ES"/>
        </w:rPr>
      </w:pPr>
      <w:r w:rsidRPr="00563AFF">
        <w:rPr>
          <w:rFonts w:eastAsia="MS Mincho"/>
          <w:b/>
          <w:bCs/>
          <w:lang w:val="es-ES"/>
        </w:rPr>
        <w:t>Anexos: 3</w:t>
      </w:r>
    </w:p>
    <w:p w14:paraId="4D76A139" w14:textId="21E270D4" w:rsidR="00563AFF" w:rsidRPr="00563AFF" w:rsidRDefault="00A25543" w:rsidP="00563AFF">
      <w:pPr>
        <w:overflowPunct/>
        <w:autoSpaceDE/>
        <w:autoSpaceDN/>
        <w:adjustRightInd/>
        <w:spacing w:before="0" w:after="160"/>
        <w:contextualSpacing/>
        <w:textAlignment w:val="auto"/>
        <w:rPr>
          <w:rFonts w:eastAsia="MS Mincho"/>
          <w:lang w:val="es-ES"/>
        </w:rPr>
      </w:pPr>
      <w:hyperlink w:anchor="Anexo1" w:history="1">
        <w:r w:rsidR="00563AFF" w:rsidRPr="00563AFF">
          <w:rPr>
            <w:rFonts w:eastAsia="MS Mincho"/>
            <w:color w:val="0000FF"/>
            <w:u w:val="single"/>
            <w:lang w:val="es-ES"/>
          </w:rPr>
          <w:t>Anexo 1</w:t>
        </w:r>
      </w:hyperlink>
      <w:r w:rsidR="00563AFF" w:rsidRPr="00563AFF">
        <w:rPr>
          <w:rFonts w:eastAsia="MS Mincho"/>
          <w:lang w:val="es-ES"/>
        </w:rPr>
        <w:t xml:space="preserve"> - </w:t>
      </w:r>
      <w:r w:rsidR="00563AFF">
        <w:rPr>
          <w:rFonts w:eastAsia="MS Mincho"/>
          <w:lang w:val="es-ES"/>
        </w:rPr>
        <w:t xml:space="preserve">Organización propuesta para la segunda consulta virtual de los consejeros </w:t>
      </w:r>
    </w:p>
    <w:p w14:paraId="5B13F2A1" w14:textId="10DEFF3F" w:rsidR="00563AFF" w:rsidRPr="00563AFF" w:rsidRDefault="00A25543" w:rsidP="00563AFF">
      <w:pPr>
        <w:overflowPunct/>
        <w:autoSpaceDE/>
        <w:autoSpaceDN/>
        <w:adjustRightInd/>
        <w:spacing w:before="0" w:after="160"/>
        <w:contextualSpacing/>
        <w:textAlignment w:val="auto"/>
        <w:rPr>
          <w:rFonts w:eastAsia="MS Mincho"/>
          <w:lang w:val="es-ES"/>
        </w:rPr>
      </w:pPr>
      <w:hyperlink w:anchor="annex2" w:history="1">
        <w:r w:rsidR="00563AFF" w:rsidRPr="00563AFF">
          <w:rPr>
            <w:rFonts w:eastAsia="MS Mincho"/>
            <w:color w:val="0000FF"/>
            <w:u w:val="single"/>
            <w:lang w:val="es-ES"/>
          </w:rPr>
          <w:t>Anexo 2</w:t>
        </w:r>
      </w:hyperlink>
      <w:r w:rsidR="00563AFF" w:rsidRPr="00563AFF">
        <w:rPr>
          <w:rFonts w:eastAsia="MS Mincho"/>
          <w:lang w:val="es-ES"/>
        </w:rPr>
        <w:t xml:space="preserve"> - Proyecto de orden del día de la segunda consulta virtual a los consejeros</w:t>
      </w:r>
    </w:p>
    <w:p w14:paraId="274FEC0C" w14:textId="7949008A" w:rsidR="00563AFF" w:rsidRPr="00563AFF" w:rsidRDefault="00A25543" w:rsidP="00563AFF">
      <w:pPr>
        <w:overflowPunct/>
        <w:autoSpaceDE/>
        <w:autoSpaceDN/>
        <w:adjustRightInd/>
        <w:spacing w:before="0" w:after="160"/>
        <w:contextualSpacing/>
        <w:textAlignment w:val="auto"/>
        <w:rPr>
          <w:rFonts w:eastAsia="MS Mincho"/>
          <w:lang w:val="es-ES"/>
        </w:rPr>
      </w:pPr>
      <w:hyperlink w:anchor="Annex3" w:history="1">
        <w:r w:rsidR="00563AFF" w:rsidRPr="00603BD2">
          <w:rPr>
            <w:rStyle w:val="Hyperlink"/>
            <w:rFonts w:eastAsia="MS Mincho"/>
            <w:lang w:val="es-ES"/>
          </w:rPr>
          <w:t>Anexo 3</w:t>
        </w:r>
      </w:hyperlink>
      <w:r w:rsidR="00563AFF" w:rsidRPr="00563AFF">
        <w:rPr>
          <w:rFonts w:eastAsia="MS Mincho"/>
          <w:lang w:val="es-ES"/>
        </w:rPr>
        <w:t xml:space="preserve"> - Plantilla para las contribuciones de los Estados Miembros</w:t>
      </w:r>
    </w:p>
    <w:p w14:paraId="4A649542" w14:textId="37DA95DC" w:rsidR="005D2CD8" w:rsidRPr="003E114B" w:rsidRDefault="00563AFF" w:rsidP="00563AFF">
      <w:pPr>
        <w:tabs>
          <w:tab w:val="clear" w:pos="794"/>
          <w:tab w:val="clear" w:pos="1191"/>
          <w:tab w:val="clear" w:pos="1588"/>
          <w:tab w:val="clear" w:pos="1985"/>
        </w:tabs>
        <w:overflowPunct/>
        <w:autoSpaceDE/>
        <w:autoSpaceDN/>
        <w:adjustRightInd/>
        <w:spacing w:before="0" w:line="240" w:lineRule="auto"/>
        <w:jc w:val="left"/>
        <w:textAlignment w:val="auto"/>
      </w:pPr>
      <w:r w:rsidRPr="00573BC9">
        <w:rPr>
          <w:rFonts w:eastAsia="MS Mincho"/>
          <w:lang w:val="es-ES"/>
        </w:rPr>
        <w:br w:type="page"/>
      </w:r>
    </w:p>
    <w:p w14:paraId="5248B0D6" w14:textId="4DE55BC7" w:rsidR="00F2320D" w:rsidRPr="003E114B" w:rsidRDefault="00F2320D" w:rsidP="00CD166D">
      <w:pPr>
        <w:pStyle w:val="AnnexNoTitle"/>
      </w:pPr>
      <w:bookmarkStart w:id="7" w:name="Anexo1"/>
      <w:bookmarkStart w:id="8" w:name="Anexo3"/>
      <w:bookmarkStart w:id="9" w:name="lt_pId098"/>
      <w:bookmarkEnd w:id="7"/>
      <w:bookmarkEnd w:id="8"/>
      <w:r w:rsidRPr="003E114B">
        <w:lastRenderedPageBreak/>
        <w:t>ANEX</w:t>
      </w:r>
      <w:r w:rsidR="00624597" w:rsidRPr="003E114B">
        <w:t>O</w:t>
      </w:r>
      <w:r w:rsidRPr="003E114B">
        <w:t xml:space="preserve"> </w:t>
      </w:r>
      <w:bookmarkEnd w:id="9"/>
      <w:r w:rsidR="00563AFF">
        <w:t>1</w:t>
      </w:r>
    </w:p>
    <w:p w14:paraId="49B4F3A2" w14:textId="2F7A1399" w:rsidR="00F2320D" w:rsidRPr="003E114B" w:rsidRDefault="008D3DA2" w:rsidP="00CD166D">
      <w:pPr>
        <w:pStyle w:val="AnnexNoTitle"/>
        <w:spacing w:before="360"/>
      </w:pPr>
      <w:r w:rsidRPr="003E114B">
        <w:t>O</w:t>
      </w:r>
      <w:r w:rsidR="00624597" w:rsidRPr="003E114B">
        <w:t xml:space="preserve">rganización </w:t>
      </w:r>
      <w:r w:rsidRPr="003E114B">
        <w:t>propuesta para</w:t>
      </w:r>
      <w:r w:rsidR="00624597" w:rsidRPr="003E114B">
        <w:t xml:space="preserve"> la </w:t>
      </w:r>
      <w:r w:rsidR="00563AFF">
        <w:t xml:space="preserve">segunda </w:t>
      </w:r>
      <w:r w:rsidR="00624597" w:rsidRPr="003E114B">
        <w:t xml:space="preserve">consulta virtual de los </w:t>
      </w:r>
      <w:r w:rsidR="00A00FA5" w:rsidRPr="003E114B">
        <w:t>consejeros</w:t>
      </w:r>
      <w:r w:rsidR="00563AFF">
        <w:t xml:space="preserve"> (CVC-2)</w:t>
      </w:r>
    </w:p>
    <w:p w14:paraId="12B490DB" w14:textId="46858CD0" w:rsidR="00624597" w:rsidRPr="003E114B" w:rsidRDefault="00624597" w:rsidP="00A13427">
      <w:pPr>
        <w:spacing w:before="360"/>
        <w:jc w:val="left"/>
      </w:pPr>
      <w:bookmarkStart w:id="10" w:name="lt_pId100"/>
      <w:r w:rsidRPr="003E114B">
        <w:t xml:space="preserve">Esta consulta virtual se lleva a cabo de manera organizada de acuerdo con el Artículo 3.1 del Reglamento Interno del Consejo. </w:t>
      </w:r>
    </w:p>
    <w:p w14:paraId="3E67BCC4" w14:textId="6C7D9DC8" w:rsidR="00F2320D" w:rsidRPr="00CB39E1" w:rsidRDefault="00711BA0" w:rsidP="00A13427">
      <w:pPr>
        <w:pStyle w:val="Headingi"/>
        <w:rPr>
          <w:i w:val="0"/>
        </w:rPr>
      </w:pPr>
      <w:bookmarkStart w:id="11" w:name="lt_pId101"/>
      <w:bookmarkEnd w:id="10"/>
      <w:r w:rsidRPr="00CB39E1">
        <w:rPr>
          <w:i w:val="0"/>
        </w:rPr>
        <w:t>3.1</w:t>
      </w:r>
      <w:r w:rsidRPr="00CB39E1">
        <w:rPr>
          <w:i w:val="0"/>
        </w:rPr>
        <w:tab/>
      </w:r>
      <w:r w:rsidR="00F2320D" w:rsidRPr="00CB39E1">
        <w:rPr>
          <w:i w:val="0"/>
        </w:rPr>
        <w:t>Fuera de las reuniones, los consejeros podrán consultarse por correspondencia:</w:t>
      </w:r>
      <w:bookmarkEnd w:id="11"/>
      <w:r w:rsidR="00F2320D" w:rsidRPr="00CB39E1">
        <w:rPr>
          <w:i w:val="0"/>
        </w:rPr>
        <w:t xml:space="preserve"> </w:t>
      </w:r>
    </w:p>
    <w:p w14:paraId="7B4C928E" w14:textId="18A28DCB" w:rsidR="00F2320D" w:rsidRPr="00CB39E1" w:rsidRDefault="00711BA0" w:rsidP="00A13427">
      <w:pPr>
        <w:pStyle w:val="enumlev1"/>
        <w:jc w:val="left"/>
      </w:pPr>
      <w:bookmarkStart w:id="12" w:name="lt_pId103"/>
      <w:r w:rsidRPr="00CB39E1">
        <w:t>–</w:t>
      </w:r>
      <w:r w:rsidRPr="00CB39E1">
        <w:tab/>
      </w:r>
      <w:r w:rsidR="00F2320D" w:rsidRPr="00CB39E1">
        <w:t>bien sea con carácter informal,</w:t>
      </w:r>
    </w:p>
    <w:p w14:paraId="162293CB" w14:textId="429310DE" w:rsidR="00F2320D" w:rsidRPr="00CB39E1" w:rsidRDefault="005C7FD2" w:rsidP="00A13427">
      <w:pPr>
        <w:pStyle w:val="enumlev1"/>
        <w:jc w:val="left"/>
      </w:pPr>
      <w:r w:rsidRPr="00CB39E1">
        <w:t>–</w:t>
      </w:r>
      <w:r w:rsidRPr="00CB39E1">
        <w:tab/>
      </w:r>
      <w:r w:rsidR="00F2320D" w:rsidRPr="00CB39E1">
        <w:t xml:space="preserve">bien sea de forma organizada, a través del </w:t>
      </w:r>
      <w:proofErr w:type="gramStart"/>
      <w:r w:rsidR="00F2320D" w:rsidRPr="00CB39E1">
        <w:t>Presidente</w:t>
      </w:r>
      <w:proofErr w:type="gramEnd"/>
      <w:r w:rsidR="00F2320D" w:rsidRPr="00CB39E1">
        <w:t xml:space="preserve"> o, si éste no estuviese disponible, del Vicepresidente del Consejo, con la ayuda del Secretario General</w:t>
      </w:r>
      <w:bookmarkEnd w:id="12"/>
      <w:r w:rsidR="00624597" w:rsidRPr="00CB39E1">
        <w:t>.</w:t>
      </w:r>
      <w:r w:rsidR="00F2320D" w:rsidRPr="00CB39E1">
        <w:t xml:space="preserve"> </w:t>
      </w:r>
    </w:p>
    <w:p w14:paraId="478C8EEA" w14:textId="61249C85" w:rsidR="00F2320D" w:rsidRPr="003E114B" w:rsidRDefault="00624597" w:rsidP="00A13427">
      <w:pPr>
        <w:spacing w:before="120" w:line="240" w:lineRule="auto"/>
        <w:jc w:val="left"/>
        <w:rPr>
          <w:u w:val="single"/>
        </w:rPr>
      </w:pPr>
      <w:r w:rsidRPr="003E114B">
        <w:rPr>
          <w:u w:val="single"/>
        </w:rPr>
        <w:t xml:space="preserve">Proyecto de orden del día </w:t>
      </w:r>
    </w:p>
    <w:p w14:paraId="76537B60" w14:textId="55C26EAE" w:rsidR="00F2320D" w:rsidRPr="003E114B" w:rsidRDefault="00624597" w:rsidP="00A13427">
      <w:pPr>
        <w:spacing w:before="120" w:line="240" w:lineRule="auto"/>
        <w:jc w:val="left"/>
      </w:pPr>
      <w:bookmarkStart w:id="13" w:name="lt_pId105"/>
      <w:r w:rsidRPr="003E114B">
        <w:t>En la consulta virtual se abordarán los temas del programa que se consideran urgentes</w:t>
      </w:r>
      <w:r w:rsidR="00F2320D" w:rsidRPr="003E114B">
        <w:t>.</w:t>
      </w:r>
      <w:bookmarkEnd w:id="13"/>
      <w:r w:rsidR="00F2320D" w:rsidRPr="003E114B">
        <w:t xml:space="preserve"> </w:t>
      </w:r>
    </w:p>
    <w:p w14:paraId="72646CA7" w14:textId="554CD0FE" w:rsidR="00563AFF" w:rsidRDefault="00624597" w:rsidP="00A13427">
      <w:pPr>
        <w:spacing w:before="120" w:line="240" w:lineRule="auto"/>
        <w:jc w:val="left"/>
      </w:pPr>
      <w:bookmarkStart w:id="14" w:name="lt_pId106"/>
      <w:r w:rsidRPr="003E114B">
        <w:t xml:space="preserve">En el </w:t>
      </w:r>
      <w:hyperlink w:anchor="Annex2" w:history="1">
        <w:r w:rsidRPr="00603BD2">
          <w:rPr>
            <w:rStyle w:val="Hyperlink"/>
          </w:rPr>
          <w:t xml:space="preserve">Anexo </w:t>
        </w:r>
        <w:r w:rsidR="00563AFF" w:rsidRPr="00603BD2">
          <w:rPr>
            <w:rStyle w:val="Hyperlink"/>
          </w:rPr>
          <w:t>2</w:t>
        </w:r>
      </w:hyperlink>
      <w:r w:rsidRPr="003E114B">
        <w:t xml:space="preserve"> encontrará los puntos que la secretaría considera urgentes </w:t>
      </w:r>
      <w:r w:rsidR="00563AFF">
        <w:t xml:space="preserve">(Grupo 1) </w:t>
      </w:r>
      <w:r w:rsidRPr="003E114B">
        <w:t xml:space="preserve">y que se propone debatir en la </w:t>
      </w:r>
      <w:r w:rsidR="00563AFF">
        <w:t xml:space="preserve">CVC-2. También se incluye </w:t>
      </w:r>
      <w:r w:rsidRPr="003E114B">
        <w:t xml:space="preserve">la lista de </w:t>
      </w:r>
      <w:r w:rsidR="00563AFF">
        <w:t>puntos</w:t>
      </w:r>
      <w:r w:rsidRPr="003E114B">
        <w:t xml:space="preserve"> que </w:t>
      </w:r>
      <w:r w:rsidR="00563AFF">
        <w:t xml:space="preserve">podrían discutirse en la CVC-2 (Grupo 2) si hubiera tiempo para ello. En el Grupo 3 se incluye, únicamente para información, la lista de puntos que </w:t>
      </w:r>
      <w:r w:rsidRPr="003E114B">
        <w:t xml:space="preserve">la secretaría propone que se aborden en </w:t>
      </w:r>
      <w:r w:rsidR="00DB30B5" w:rsidRPr="003E114B">
        <w:t>la próxima reunión presencial</w:t>
      </w:r>
      <w:r w:rsidRPr="003E114B">
        <w:t xml:space="preserve">. </w:t>
      </w:r>
    </w:p>
    <w:p w14:paraId="798295EC" w14:textId="77777777" w:rsidR="00563AFF" w:rsidRDefault="00563AFF" w:rsidP="00A13427">
      <w:pPr>
        <w:spacing w:before="120" w:line="240" w:lineRule="auto"/>
        <w:jc w:val="left"/>
      </w:pPr>
      <w:r>
        <w:t xml:space="preserve">El plan de gestión del tiempo estará disponible en las próximas semanas en el sitio web del Consejo. </w:t>
      </w:r>
    </w:p>
    <w:bookmarkEnd w:id="14"/>
    <w:p w14:paraId="509348FB" w14:textId="6B7B552D" w:rsidR="00F2320D" w:rsidRPr="003E114B" w:rsidRDefault="00DB30B5" w:rsidP="00A13427">
      <w:pPr>
        <w:spacing w:before="120" w:line="240" w:lineRule="auto"/>
        <w:jc w:val="left"/>
        <w:rPr>
          <w:u w:val="single"/>
        </w:rPr>
      </w:pPr>
      <w:r w:rsidRPr="003E114B">
        <w:rPr>
          <w:u w:val="single"/>
        </w:rPr>
        <w:t>Presidencia</w:t>
      </w:r>
    </w:p>
    <w:p w14:paraId="3D63AEAF" w14:textId="700D2B07" w:rsidR="00F2320D" w:rsidRPr="003E114B" w:rsidRDefault="00563AFF" w:rsidP="00A13427">
      <w:pPr>
        <w:spacing w:before="120" w:line="240" w:lineRule="auto"/>
        <w:jc w:val="left"/>
      </w:pPr>
      <w:bookmarkStart w:id="15" w:name="lt_pId110"/>
      <w:r>
        <w:t>S</w:t>
      </w:r>
      <w:r w:rsidR="00DB30B5" w:rsidRPr="003E114B">
        <w:t xml:space="preserve">e propone que el </w:t>
      </w:r>
      <w:proofErr w:type="gramStart"/>
      <w:r w:rsidR="00DB30B5" w:rsidRPr="003E114B">
        <w:t>Vicepresidente</w:t>
      </w:r>
      <w:proofErr w:type="gramEnd"/>
      <w:r w:rsidR="00DB30B5" w:rsidRPr="003E114B">
        <w:t xml:space="preserve"> del Consejo, Sr. Saif Bin Ghelaita, </w:t>
      </w:r>
      <w:r>
        <w:t xml:space="preserve">siga </w:t>
      </w:r>
      <w:r w:rsidR="00DB30B5" w:rsidRPr="003E114B">
        <w:t>diri</w:t>
      </w:r>
      <w:r>
        <w:t>giendo</w:t>
      </w:r>
      <w:r w:rsidR="00DB30B5" w:rsidRPr="003E114B">
        <w:t xml:space="preserve"> los debates</w:t>
      </w:r>
      <w:r>
        <w:t>, tal y como hizo con éxito durante la primera CVC.</w:t>
      </w:r>
      <w:bookmarkEnd w:id="15"/>
      <w:r w:rsidR="00F2320D" w:rsidRPr="003E114B">
        <w:t xml:space="preserve"> </w:t>
      </w:r>
    </w:p>
    <w:p w14:paraId="34313FD3" w14:textId="7E08EE6D" w:rsidR="00F2320D" w:rsidRPr="003E114B" w:rsidRDefault="00DB30B5" w:rsidP="00A13427">
      <w:pPr>
        <w:spacing w:before="120" w:line="240" w:lineRule="auto"/>
        <w:jc w:val="left"/>
      </w:pPr>
      <w:r w:rsidRPr="003E114B">
        <w:rPr>
          <w:u w:val="single"/>
        </w:rPr>
        <w:t>Participación</w:t>
      </w:r>
      <w:r w:rsidR="00F2320D" w:rsidRPr="003E114B">
        <w:t xml:space="preserve"> </w:t>
      </w:r>
    </w:p>
    <w:p w14:paraId="606A49BB" w14:textId="180C0B3C" w:rsidR="00F2320D" w:rsidRPr="003E114B" w:rsidRDefault="00DB30B5" w:rsidP="00A13427">
      <w:pPr>
        <w:spacing w:before="120" w:line="240" w:lineRule="auto"/>
        <w:jc w:val="left"/>
      </w:pPr>
      <w:bookmarkStart w:id="16" w:name="lt_pId112"/>
      <w:r w:rsidRPr="003E114B">
        <w:t xml:space="preserve">La consulta virtual estará abierta a todos los miembros de las delegaciones de los Estados Miembros del Consejo, los Estados Miembros con calidad de Observador, el Observador del Estado de Palestina y los </w:t>
      </w:r>
      <w:r w:rsidR="00A13427">
        <w:t xml:space="preserve">mueve </w:t>
      </w:r>
      <w:r w:rsidRPr="003E114B">
        <w:t xml:space="preserve">Miembros de Sector </w:t>
      </w:r>
      <w:r w:rsidR="00563AFF">
        <w:t xml:space="preserve">que fueron nombrados para el Consejo 2020 </w:t>
      </w:r>
      <w:r w:rsidRPr="003E114B">
        <w:t xml:space="preserve">(3 por Sector). </w:t>
      </w:r>
      <w:bookmarkEnd w:id="16"/>
    </w:p>
    <w:p w14:paraId="689B8118" w14:textId="4E279CBD" w:rsidR="00F2320D" w:rsidRPr="003E114B" w:rsidRDefault="00F2320D" w:rsidP="00A13427">
      <w:pPr>
        <w:spacing w:before="120" w:line="240" w:lineRule="auto"/>
        <w:jc w:val="left"/>
        <w:rPr>
          <w:u w:val="single"/>
        </w:rPr>
      </w:pPr>
      <w:bookmarkStart w:id="17" w:name="lt_pId113"/>
      <w:r w:rsidRPr="003E114B">
        <w:rPr>
          <w:u w:val="single"/>
        </w:rPr>
        <w:t>Conduc</w:t>
      </w:r>
      <w:r w:rsidR="00DB30B5" w:rsidRPr="003E114B">
        <w:rPr>
          <w:u w:val="single"/>
        </w:rPr>
        <w:t>ción del debate</w:t>
      </w:r>
      <w:bookmarkEnd w:id="17"/>
    </w:p>
    <w:p w14:paraId="30B460B8" w14:textId="75C1315D" w:rsidR="00F2320D" w:rsidRPr="003E114B" w:rsidRDefault="005C7FD2" w:rsidP="00A13427">
      <w:pPr>
        <w:pStyle w:val="enumlev1"/>
        <w:jc w:val="left"/>
      </w:pPr>
      <w:bookmarkStart w:id="18" w:name="lt_pId114"/>
      <w:r w:rsidRPr="003E114B">
        <w:t>•</w:t>
      </w:r>
      <w:r w:rsidRPr="003E114B">
        <w:tab/>
      </w:r>
      <w:r w:rsidR="00DB30B5" w:rsidRPr="003E114B">
        <w:t xml:space="preserve">La consulta virtual tendrá un carácter estrictamente consultivo y no decisorio. </w:t>
      </w:r>
      <w:bookmarkEnd w:id="18"/>
    </w:p>
    <w:p w14:paraId="12EF3502" w14:textId="0BE3EE28" w:rsidR="00F2320D" w:rsidRPr="003E114B" w:rsidRDefault="005C7FD2" w:rsidP="00A13427">
      <w:pPr>
        <w:pStyle w:val="enumlev1"/>
        <w:jc w:val="left"/>
      </w:pPr>
      <w:bookmarkStart w:id="19" w:name="lt_pId115"/>
      <w:r w:rsidRPr="003E114B">
        <w:t>•</w:t>
      </w:r>
      <w:r w:rsidRPr="003E114B">
        <w:tab/>
      </w:r>
      <w:r w:rsidR="00DB30B5" w:rsidRPr="003E114B">
        <w:t xml:space="preserve">Durante el debate, se dará la palabra prioritariamente a los Estados Miembros del Consejo. </w:t>
      </w:r>
      <w:bookmarkEnd w:id="19"/>
    </w:p>
    <w:p w14:paraId="7DD1501C" w14:textId="454EE0D0" w:rsidR="00F2320D" w:rsidRPr="003E114B" w:rsidRDefault="005C7FD2" w:rsidP="00A13427">
      <w:pPr>
        <w:pStyle w:val="enumlev1"/>
        <w:jc w:val="left"/>
      </w:pPr>
      <w:bookmarkStart w:id="20" w:name="lt_pId116"/>
      <w:r w:rsidRPr="003E114B">
        <w:t>•</w:t>
      </w:r>
      <w:r w:rsidRPr="003E114B">
        <w:tab/>
      </w:r>
      <w:r w:rsidR="00F2320D" w:rsidRPr="003E114B">
        <w:t xml:space="preserve">Si </w:t>
      </w:r>
      <w:r w:rsidR="00DB30B5" w:rsidRPr="003E114B">
        <w:t xml:space="preserve">no se logra el consenso y </w:t>
      </w:r>
      <w:r w:rsidR="00F2320D" w:rsidRPr="003E114B">
        <w:t xml:space="preserve">algún Estado Miembro del Consejo quiere que se aplace un documento o una conclusión, se aplazará hasta la </w:t>
      </w:r>
      <w:r w:rsidR="00DB30B5" w:rsidRPr="003E114B">
        <w:t>posterior</w:t>
      </w:r>
      <w:r w:rsidR="00F2320D" w:rsidRPr="003E114B">
        <w:t xml:space="preserve"> reunión presencial del Consejo</w:t>
      </w:r>
      <w:r w:rsidR="00DB30B5" w:rsidRPr="003E114B">
        <w:t xml:space="preserve"> de 202</w:t>
      </w:r>
      <w:r w:rsidR="002D2003">
        <w:t>1</w:t>
      </w:r>
      <w:r w:rsidR="00F2320D" w:rsidRPr="003E114B">
        <w:t>.</w:t>
      </w:r>
      <w:bookmarkEnd w:id="20"/>
      <w:r w:rsidR="00F2320D" w:rsidRPr="003E114B">
        <w:rPr>
          <w:b/>
          <w:color w:val="800000"/>
        </w:rPr>
        <w:t xml:space="preserve"> </w:t>
      </w:r>
    </w:p>
    <w:p w14:paraId="61FB3FD3" w14:textId="4925F217" w:rsidR="00F2320D" w:rsidRPr="003E114B" w:rsidRDefault="005C7FD2" w:rsidP="00A13427">
      <w:pPr>
        <w:pStyle w:val="enumlev1"/>
        <w:jc w:val="left"/>
      </w:pPr>
      <w:r w:rsidRPr="003E114B">
        <w:t>•</w:t>
      </w:r>
      <w:r w:rsidRPr="003E114B">
        <w:tab/>
      </w:r>
      <w:r w:rsidR="00F2320D" w:rsidRPr="003E114B">
        <w:t xml:space="preserve">Si, durante el debate de un documento que figura en el orden del día de la reunión virtual, </w:t>
      </w:r>
      <w:r w:rsidR="00DB30B5" w:rsidRPr="003E114B">
        <w:t xml:space="preserve">no se logra el consenso y </w:t>
      </w:r>
      <w:r w:rsidR="00F2320D" w:rsidRPr="003E114B">
        <w:t xml:space="preserve">un Estado Miembro del Consejo propone suspender el debate o se opone a la conclusión propuesta sobre el documento, este se remitirá a la </w:t>
      </w:r>
      <w:r w:rsidR="00DB30B5" w:rsidRPr="003E114B">
        <w:t>posterior</w:t>
      </w:r>
      <w:r w:rsidR="00F2320D" w:rsidRPr="003E114B">
        <w:t xml:space="preserve"> reunión presencial del Consejo</w:t>
      </w:r>
      <w:r w:rsidR="00DB30B5" w:rsidRPr="003E114B">
        <w:t xml:space="preserve"> de 202</w:t>
      </w:r>
      <w:r w:rsidR="002D2003">
        <w:t>1</w:t>
      </w:r>
      <w:r w:rsidR="00F2320D" w:rsidRPr="003E114B">
        <w:t>.</w:t>
      </w:r>
      <w:r w:rsidR="00F2320D" w:rsidRPr="003E114B">
        <w:rPr>
          <w:b/>
        </w:rPr>
        <w:t xml:space="preserve"> </w:t>
      </w:r>
    </w:p>
    <w:p w14:paraId="7ECC7304" w14:textId="6F00F677" w:rsidR="00F2320D" w:rsidRPr="003E114B" w:rsidRDefault="005C7FD2" w:rsidP="00A13427">
      <w:pPr>
        <w:pStyle w:val="enumlev1"/>
        <w:jc w:val="left"/>
      </w:pPr>
      <w:bookmarkStart w:id="21" w:name="lt_pId118"/>
      <w:r w:rsidRPr="003E114B">
        <w:t>•</w:t>
      </w:r>
      <w:r w:rsidRPr="003E114B">
        <w:tab/>
      </w:r>
      <w:r w:rsidR="00DB30B5" w:rsidRPr="003E114B">
        <w:t xml:space="preserve">Para facilitar y estructurar los debates, los Estados Miembros pueden enviar sus contribuciones </w:t>
      </w:r>
      <w:r w:rsidR="002D2003">
        <w:t xml:space="preserve">sobre los puntos incluidos en los Grupos 1 y 2 (véase el Anexo 2) a más tardar catorce días antes de la CVC, esto es, hasta el </w:t>
      </w:r>
      <w:r w:rsidR="002D2003" w:rsidRPr="002D2003">
        <w:rPr>
          <w:b/>
          <w:bCs/>
        </w:rPr>
        <w:t>2 de noviembre</w:t>
      </w:r>
      <w:r w:rsidR="002D2003">
        <w:t xml:space="preserve">, </w:t>
      </w:r>
      <w:r w:rsidR="00DB30B5" w:rsidRPr="003E114B">
        <w:t xml:space="preserve">a </w:t>
      </w:r>
      <w:hyperlink r:id="rId12" w:history="1">
        <w:r w:rsidR="00563AFF" w:rsidRPr="0055037D">
          <w:rPr>
            <w:rStyle w:val="Hyperlink"/>
          </w:rPr>
          <w:t>contributions@itu.int</w:t>
        </w:r>
      </w:hyperlink>
      <w:r w:rsidR="00DB30B5" w:rsidRPr="003E114B">
        <w:t xml:space="preserve">, utilizando la plantilla que figura en el </w:t>
      </w:r>
      <w:hyperlink w:anchor="Annex3" w:history="1">
        <w:r w:rsidR="00A00FA5" w:rsidRPr="00603BD2">
          <w:rPr>
            <w:rStyle w:val="Hyperlink"/>
          </w:rPr>
          <w:t xml:space="preserve">Anexo </w:t>
        </w:r>
        <w:r w:rsidR="002D2003" w:rsidRPr="00603BD2">
          <w:rPr>
            <w:rStyle w:val="Hyperlink"/>
          </w:rPr>
          <w:t>3</w:t>
        </w:r>
      </w:hyperlink>
      <w:r w:rsidR="00DB30B5" w:rsidRPr="003E114B">
        <w:t xml:space="preserve">. Las contribuciones deberán ser breves (2 páginas como máximo). </w:t>
      </w:r>
      <w:bookmarkEnd w:id="21"/>
    </w:p>
    <w:p w14:paraId="046559D7" w14:textId="57D41628" w:rsidR="00F2320D" w:rsidRPr="003E114B" w:rsidRDefault="005C7FD2" w:rsidP="00A13427">
      <w:pPr>
        <w:pStyle w:val="enumlev1"/>
        <w:jc w:val="left"/>
      </w:pPr>
      <w:bookmarkStart w:id="22" w:name="lt_pId120"/>
      <w:r w:rsidRPr="003E114B">
        <w:t>•</w:t>
      </w:r>
      <w:r w:rsidRPr="003E114B">
        <w:tab/>
      </w:r>
      <w:r w:rsidR="001B0284" w:rsidRPr="003E114B">
        <w:t>Los Estados Miembros seguirán pudiendo hacer uso de la palabra para i</w:t>
      </w:r>
      <w:r w:rsidR="00CD166D" w:rsidRPr="003E114B">
        <w:t xml:space="preserve">ntervenir durante los debates, </w:t>
      </w:r>
      <w:r w:rsidR="001B0284" w:rsidRPr="003E114B">
        <w:t>aunque no hayan enviado una contribución</w:t>
      </w:r>
      <w:r w:rsidR="00F2320D" w:rsidRPr="003E114B">
        <w:t>.</w:t>
      </w:r>
      <w:bookmarkEnd w:id="22"/>
    </w:p>
    <w:p w14:paraId="7E02DC6D" w14:textId="0244778E" w:rsidR="00F2320D" w:rsidRPr="003E114B" w:rsidRDefault="001B0284" w:rsidP="00A13427">
      <w:pPr>
        <w:keepNext/>
        <w:spacing w:before="120" w:line="240" w:lineRule="auto"/>
        <w:jc w:val="left"/>
      </w:pPr>
      <w:r w:rsidRPr="003E114B">
        <w:rPr>
          <w:u w:val="single"/>
        </w:rPr>
        <w:t>Resultado</w:t>
      </w:r>
    </w:p>
    <w:p w14:paraId="265516E7" w14:textId="5E3DAAEF" w:rsidR="001B0284" w:rsidRPr="003E114B" w:rsidRDefault="005C7FD2" w:rsidP="00A13427">
      <w:pPr>
        <w:pStyle w:val="enumlev1"/>
        <w:jc w:val="left"/>
      </w:pPr>
      <w:bookmarkStart w:id="23" w:name="lt_pId122"/>
      <w:r w:rsidRPr="003E114B">
        <w:t>•</w:t>
      </w:r>
      <w:r w:rsidRPr="003E114B">
        <w:tab/>
      </w:r>
      <w:r w:rsidR="001B0284" w:rsidRPr="003E114B">
        <w:t xml:space="preserve">La consulta virtual será de naturaleza estrictamente consultiva y no tomará ninguna decisión. Sólo elaborará conclusiones propuestas, a la espera de decisiones formales en </w:t>
      </w:r>
      <w:bookmarkStart w:id="24" w:name="_Hlk40370269"/>
      <w:r w:rsidR="001B0284" w:rsidRPr="003E114B">
        <w:t>la siguiente reunión presencial del Consejo de 202</w:t>
      </w:r>
      <w:bookmarkEnd w:id="24"/>
      <w:r w:rsidR="002D2003">
        <w:t>1</w:t>
      </w:r>
      <w:r w:rsidR="001B0284" w:rsidRPr="003E114B">
        <w:t xml:space="preserve">. Las conclusiones propuestas se compilarán en un informe que </w:t>
      </w:r>
      <w:r w:rsidR="001B0284" w:rsidRPr="003E114B">
        <w:lastRenderedPageBreak/>
        <w:t>presentará el Secretario General como contribución para su examen en la siguiente reunión presencial del Consejo de 202</w:t>
      </w:r>
      <w:r w:rsidR="002D2003">
        <w:t>1</w:t>
      </w:r>
      <w:r w:rsidR="001B0284" w:rsidRPr="003E114B">
        <w:t>.</w:t>
      </w:r>
    </w:p>
    <w:p w14:paraId="524BA942" w14:textId="05AE0857" w:rsidR="002D2003" w:rsidRPr="003E114B" w:rsidRDefault="005C7FD2" w:rsidP="00A13427">
      <w:pPr>
        <w:pStyle w:val="enumlev1"/>
        <w:jc w:val="left"/>
      </w:pPr>
      <w:bookmarkStart w:id="25" w:name="lt_pId125"/>
      <w:bookmarkEnd w:id="23"/>
      <w:r w:rsidRPr="003E114B">
        <w:t>•</w:t>
      </w:r>
      <w:r w:rsidRPr="003E114B">
        <w:tab/>
      </w:r>
      <w:bookmarkStart w:id="26" w:name="_Hlk40285046"/>
      <w:bookmarkStart w:id="27" w:name="lt_pId128"/>
      <w:r w:rsidR="002D2003" w:rsidRPr="003E114B">
        <w:rPr>
          <w:szCs w:val="18"/>
        </w:rPr>
        <w:t xml:space="preserve">Queda entendido que ninguna de las conclusiones propuestas será definitiva, y que el debate sobre cualquier conclusión podría reabrirse con ocasión de la posterior reunión presencial </w:t>
      </w:r>
      <w:r w:rsidR="002D2003">
        <w:rPr>
          <w:szCs w:val="18"/>
        </w:rPr>
        <w:t>de </w:t>
      </w:r>
      <w:r w:rsidR="002D2003" w:rsidRPr="003E114B">
        <w:rPr>
          <w:szCs w:val="18"/>
        </w:rPr>
        <w:t>202</w:t>
      </w:r>
      <w:r w:rsidR="002D2003">
        <w:rPr>
          <w:szCs w:val="18"/>
        </w:rPr>
        <w:t>1</w:t>
      </w:r>
      <w:r w:rsidR="002D2003" w:rsidRPr="003E114B">
        <w:rPr>
          <w:szCs w:val="18"/>
        </w:rPr>
        <w:t xml:space="preserve">. </w:t>
      </w:r>
    </w:p>
    <w:bookmarkEnd w:id="26"/>
    <w:bookmarkEnd w:id="27"/>
    <w:p w14:paraId="5E1D3D05" w14:textId="6D6FD71D" w:rsidR="001B0284" w:rsidRPr="003E114B" w:rsidRDefault="002D2003" w:rsidP="00A13427">
      <w:pPr>
        <w:pStyle w:val="enumlev1"/>
        <w:jc w:val="left"/>
      </w:pPr>
      <w:r w:rsidRPr="003E114B">
        <w:t>•</w:t>
      </w:r>
      <w:r w:rsidRPr="003E114B">
        <w:tab/>
      </w:r>
      <w:r w:rsidR="001B0284" w:rsidRPr="003E114B">
        <w:t xml:space="preserve">En cuanto a las conclusiones propuestas sobre los temas que requerirían una decisión urgente del Consejo y que no pueden esperar a una reunión presencial, la consulta virtual podría dar orientaciones al </w:t>
      </w:r>
      <w:proofErr w:type="gramStart"/>
      <w:r w:rsidR="001B0284" w:rsidRPr="003E114B">
        <w:t>Presidente</w:t>
      </w:r>
      <w:proofErr w:type="gramEnd"/>
      <w:r w:rsidR="001B0284" w:rsidRPr="003E114B">
        <w:t xml:space="preserve"> del Consejo y al Secretario General acerca de la oportunidad de activar el procedimiento de adopción de decisiones por correspondencia previsto en el Artículo 3.2 del Reglamento Interno del Consejo. De ser necesario, se aplicaría el procedimiento habitual de decisión por correspondencia. Se aplicaría una mayoría simple de los Estados Miembros del Consejo con derecho de voto.</w:t>
      </w:r>
    </w:p>
    <w:p w14:paraId="0C827B31" w14:textId="72B5411C" w:rsidR="00F2320D" w:rsidRPr="003E114B" w:rsidRDefault="001B0284" w:rsidP="00A13427">
      <w:pPr>
        <w:spacing w:before="120" w:line="240" w:lineRule="auto"/>
        <w:jc w:val="left"/>
        <w:rPr>
          <w:u w:val="single"/>
        </w:rPr>
      </w:pPr>
      <w:bookmarkStart w:id="28" w:name="lt_pId129"/>
      <w:bookmarkEnd w:id="25"/>
      <w:r w:rsidRPr="003E114B">
        <w:rPr>
          <w:u w:val="single"/>
        </w:rPr>
        <w:t>Fecha y duración</w:t>
      </w:r>
      <w:bookmarkEnd w:id="28"/>
    </w:p>
    <w:p w14:paraId="04BCAC1E" w14:textId="60A12C87" w:rsidR="00F2320D" w:rsidRPr="003E114B" w:rsidRDefault="005C7FD2" w:rsidP="00A13427">
      <w:pPr>
        <w:pStyle w:val="enumlev1"/>
        <w:jc w:val="left"/>
      </w:pPr>
      <w:bookmarkStart w:id="29" w:name="lt_pId130"/>
      <w:r w:rsidRPr="003E114B">
        <w:t>•</w:t>
      </w:r>
      <w:r w:rsidRPr="003E114B">
        <w:tab/>
      </w:r>
      <w:r w:rsidR="001B0284" w:rsidRPr="003E114B">
        <w:t xml:space="preserve">La consulta virtual comenzará el </w:t>
      </w:r>
      <w:r w:rsidR="002D2003">
        <w:t>16</w:t>
      </w:r>
      <w:r w:rsidR="001B0284" w:rsidRPr="003E114B">
        <w:t xml:space="preserve"> de </w:t>
      </w:r>
      <w:r w:rsidR="002D2003">
        <w:t>noviembre</w:t>
      </w:r>
      <w:r w:rsidR="001B0284" w:rsidRPr="003E114B">
        <w:t xml:space="preserve">, de las </w:t>
      </w:r>
      <w:r w:rsidR="00F2320D" w:rsidRPr="003E114B">
        <w:t>12</w:t>
      </w:r>
      <w:r w:rsidR="00A00FA5">
        <w:t>.</w:t>
      </w:r>
      <w:r w:rsidR="00F2320D" w:rsidRPr="003E114B">
        <w:t>00</w:t>
      </w:r>
      <w:r w:rsidR="001B0284" w:rsidRPr="003E114B">
        <w:t xml:space="preserve"> a las </w:t>
      </w:r>
      <w:r w:rsidR="00F2320D" w:rsidRPr="003E114B">
        <w:t>15</w:t>
      </w:r>
      <w:r w:rsidR="00A00FA5">
        <w:t>.</w:t>
      </w:r>
      <w:r w:rsidR="00F2320D" w:rsidRPr="003E114B">
        <w:t xml:space="preserve">00 </w:t>
      </w:r>
      <w:r w:rsidR="001B0284" w:rsidRPr="003E114B">
        <w:t xml:space="preserve">horas, hora de Ginebra. </w:t>
      </w:r>
      <w:bookmarkEnd w:id="29"/>
    </w:p>
    <w:p w14:paraId="5523BFE8" w14:textId="223625B7" w:rsidR="00F2320D" w:rsidRPr="003E114B" w:rsidRDefault="005C7FD2" w:rsidP="00A13427">
      <w:pPr>
        <w:pStyle w:val="enumlev1"/>
        <w:jc w:val="left"/>
        <w:rPr>
          <w:u w:val="single"/>
        </w:rPr>
      </w:pPr>
      <w:bookmarkStart w:id="30" w:name="lt_pId131"/>
      <w:r w:rsidRPr="003E114B">
        <w:t>•</w:t>
      </w:r>
      <w:r w:rsidRPr="003E114B">
        <w:tab/>
      </w:r>
      <w:r w:rsidR="001B0284" w:rsidRPr="003E114B">
        <w:t>Se propondrá la duración efectiva sobre la base de las respuestas de</w:t>
      </w:r>
      <w:r w:rsidR="00A00FA5">
        <w:t xml:space="preserve"> </w:t>
      </w:r>
      <w:r w:rsidR="001B0284" w:rsidRPr="003E114B">
        <w:t>los Estados Miembros en rel</w:t>
      </w:r>
      <w:r w:rsidR="00D371A9" w:rsidRPr="003E114B">
        <w:t>a</w:t>
      </w:r>
      <w:r w:rsidR="001B0284" w:rsidRPr="003E114B">
        <w:t>ción con los puntos del orden del día</w:t>
      </w:r>
      <w:r w:rsidR="002D2003">
        <w:t>,</w:t>
      </w:r>
      <w:r w:rsidR="001B0284" w:rsidRPr="003E114B">
        <w:t xml:space="preserve"> pero no excederá de cinco días. </w:t>
      </w:r>
      <w:bookmarkEnd w:id="30"/>
    </w:p>
    <w:p w14:paraId="57860C49" w14:textId="65B3AB49" w:rsidR="00F2320D" w:rsidRPr="003E114B" w:rsidRDefault="00D371A9" w:rsidP="00A13427">
      <w:pPr>
        <w:spacing w:before="120" w:line="240" w:lineRule="auto"/>
        <w:jc w:val="left"/>
        <w:rPr>
          <w:u w:val="single"/>
        </w:rPr>
      </w:pPr>
      <w:bookmarkStart w:id="31" w:name="lt_pId132"/>
      <w:r w:rsidRPr="003E114B">
        <w:rPr>
          <w:u w:val="single"/>
        </w:rPr>
        <w:t xml:space="preserve">Prestación de apoyo de TI </w:t>
      </w:r>
      <w:bookmarkEnd w:id="31"/>
    </w:p>
    <w:p w14:paraId="4C9220AA" w14:textId="0243F6E8" w:rsidR="00F2320D" w:rsidRPr="003E114B" w:rsidRDefault="005C7FD2" w:rsidP="00A13427">
      <w:pPr>
        <w:pStyle w:val="enumlev1"/>
        <w:jc w:val="left"/>
        <w:rPr>
          <w:szCs w:val="18"/>
        </w:rPr>
      </w:pPr>
      <w:bookmarkStart w:id="32" w:name="lt_pId133"/>
      <w:r w:rsidRPr="003E114B">
        <w:t>•</w:t>
      </w:r>
      <w:r w:rsidRPr="003E114B">
        <w:tab/>
      </w:r>
      <w:r w:rsidR="00D371A9" w:rsidRPr="003E114B">
        <w:t>Plataforma</w:t>
      </w:r>
      <w:r w:rsidR="00D371A9" w:rsidRPr="003E114B">
        <w:rPr>
          <w:szCs w:val="18"/>
        </w:rPr>
        <w:t xml:space="preserve"> </w:t>
      </w:r>
      <w:proofErr w:type="spellStart"/>
      <w:r w:rsidR="00F2320D" w:rsidRPr="003E114B">
        <w:rPr>
          <w:szCs w:val="18"/>
        </w:rPr>
        <w:t>Interprefy</w:t>
      </w:r>
      <w:proofErr w:type="spellEnd"/>
      <w:r w:rsidR="00F2320D" w:rsidRPr="003E114B">
        <w:rPr>
          <w:szCs w:val="18"/>
        </w:rPr>
        <w:t xml:space="preserve">, </w:t>
      </w:r>
      <w:r w:rsidR="00D371A9" w:rsidRPr="003E114B">
        <w:rPr>
          <w:szCs w:val="18"/>
        </w:rPr>
        <w:t xml:space="preserve">subtitulado y transmisión por la web. </w:t>
      </w:r>
      <w:bookmarkEnd w:id="32"/>
    </w:p>
    <w:p w14:paraId="1CFBF2ED" w14:textId="0029974F" w:rsidR="00F2320D" w:rsidRPr="003E114B" w:rsidRDefault="005C7FD2" w:rsidP="00A13427">
      <w:pPr>
        <w:pStyle w:val="enumlev1"/>
        <w:jc w:val="left"/>
      </w:pPr>
      <w:bookmarkStart w:id="33" w:name="lt_pId134"/>
      <w:r w:rsidRPr="003E114B">
        <w:t>•</w:t>
      </w:r>
      <w:r w:rsidRPr="003E114B">
        <w:tab/>
      </w:r>
      <w:r w:rsidR="00D371A9" w:rsidRPr="003E114B">
        <w:t xml:space="preserve">Habrá interpretación completa en 6 idiomas usando </w:t>
      </w:r>
      <w:proofErr w:type="spellStart"/>
      <w:r w:rsidR="00D371A9" w:rsidRPr="003E114B">
        <w:t>Interprefy</w:t>
      </w:r>
      <w:proofErr w:type="spellEnd"/>
      <w:r w:rsidR="00F2320D" w:rsidRPr="003E114B">
        <w:t>.</w:t>
      </w:r>
      <w:bookmarkEnd w:id="33"/>
      <w:r w:rsidR="00F2320D" w:rsidRPr="003E114B">
        <w:t xml:space="preserve"> </w:t>
      </w:r>
    </w:p>
    <w:p w14:paraId="08A3276C" w14:textId="68AC20B0" w:rsidR="00F2320D" w:rsidRPr="003E114B" w:rsidRDefault="005C7FD2" w:rsidP="00A13427">
      <w:pPr>
        <w:pStyle w:val="enumlev1"/>
        <w:jc w:val="left"/>
      </w:pPr>
      <w:bookmarkStart w:id="34" w:name="lt_pId135"/>
      <w:r w:rsidRPr="003E114B">
        <w:t>•</w:t>
      </w:r>
      <w:r w:rsidRPr="003E114B">
        <w:tab/>
      </w:r>
      <w:r w:rsidR="00D371A9" w:rsidRPr="003E114B">
        <w:t xml:space="preserve">Apoyo de TI individual por correo-e, chat y teléfono. </w:t>
      </w:r>
      <w:bookmarkEnd w:id="34"/>
    </w:p>
    <w:p w14:paraId="05012B5E" w14:textId="722C1FA8" w:rsidR="00F2320D" w:rsidRPr="003E114B" w:rsidRDefault="00D371A9" w:rsidP="00A13427">
      <w:pPr>
        <w:spacing w:before="120" w:line="240" w:lineRule="auto"/>
        <w:jc w:val="left"/>
        <w:rPr>
          <w:u w:val="single"/>
        </w:rPr>
      </w:pPr>
      <w:bookmarkStart w:id="35" w:name="lt_pId139"/>
      <w:r w:rsidRPr="003E114B">
        <w:rPr>
          <w:u w:val="single"/>
        </w:rPr>
        <w:t>Inscripció</w:t>
      </w:r>
      <w:r w:rsidR="00F2320D" w:rsidRPr="003E114B">
        <w:rPr>
          <w:u w:val="single"/>
        </w:rPr>
        <w:t>n</w:t>
      </w:r>
      <w:bookmarkEnd w:id="35"/>
    </w:p>
    <w:p w14:paraId="18E95B5D" w14:textId="2103FA20" w:rsidR="00F2320D" w:rsidRPr="003E114B" w:rsidRDefault="00F2320D" w:rsidP="00A13427">
      <w:pPr>
        <w:spacing w:before="120" w:line="240" w:lineRule="auto"/>
        <w:jc w:val="left"/>
      </w:pPr>
      <w:bookmarkStart w:id="36" w:name="lt_pId142"/>
      <w:r w:rsidRPr="003E114B">
        <w:t>La inscripción es obligatoria para poder participar en línea. La inscripción se abri</w:t>
      </w:r>
      <w:r w:rsidR="002D2003">
        <w:t>rá</w:t>
      </w:r>
      <w:r w:rsidRPr="003E114B">
        <w:t xml:space="preserve"> el 1</w:t>
      </w:r>
      <w:r w:rsidR="002D2003">
        <w:t>5</w:t>
      </w:r>
      <w:r w:rsidRPr="003E114B">
        <w:t xml:space="preserve"> de </w:t>
      </w:r>
      <w:r w:rsidR="002D2003">
        <w:t xml:space="preserve">octubre en la dirección </w:t>
      </w:r>
      <w:hyperlink r:id="rId13" w:history="1">
        <w:r w:rsidR="002D2003" w:rsidRPr="0055037D">
          <w:rPr>
            <w:rStyle w:val="Hyperlink"/>
          </w:rPr>
          <w:t>https://www.itu.int/en/council/2020/Pages/default.aspx</w:t>
        </w:r>
      </w:hyperlink>
      <w:r w:rsidR="002D2003">
        <w:t xml:space="preserve">. </w:t>
      </w:r>
      <w:bookmarkEnd w:id="36"/>
    </w:p>
    <w:p w14:paraId="4B62CAB0" w14:textId="309F5F43" w:rsidR="00F2320D" w:rsidRDefault="00F2320D" w:rsidP="00A13427">
      <w:pPr>
        <w:spacing w:before="120" w:line="240" w:lineRule="auto"/>
        <w:jc w:val="left"/>
      </w:pPr>
      <w:bookmarkStart w:id="37" w:name="lt_pId143"/>
      <w:r w:rsidRPr="003E114B">
        <w:t>En su momento, los participantes inscritos recibirán directrices y enlaces para incorporarse a la</w:t>
      </w:r>
      <w:r w:rsidR="00D371A9" w:rsidRPr="003E114B">
        <w:t xml:space="preserve"> consulta virtual. </w:t>
      </w:r>
      <w:bookmarkEnd w:id="37"/>
    </w:p>
    <w:p w14:paraId="6D166BAC" w14:textId="0D2AD359" w:rsidR="002D2003" w:rsidRPr="003E114B" w:rsidRDefault="002D2003" w:rsidP="00A13427">
      <w:pPr>
        <w:spacing w:before="120" w:line="240" w:lineRule="auto"/>
        <w:jc w:val="left"/>
      </w:pPr>
      <w:r>
        <w:t xml:space="preserve">Los nombre de los </w:t>
      </w:r>
      <w:r w:rsidR="00A13427">
        <w:t>"</w:t>
      </w:r>
      <w:r>
        <w:t>oradores</w:t>
      </w:r>
      <w:r w:rsidR="00A13427">
        <w:t>"</w:t>
      </w:r>
      <w:r>
        <w:t xml:space="preserve"> deben enviarse a la dirección </w:t>
      </w:r>
      <w:hyperlink r:id="rId14" w:history="1">
        <w:r w:rsidRPr="0055037D">
          <w:rPr>
            <w:rStyle w:val="Hyperlink"/>
          </w:rPr>
          <w:t>sg-registration@itu.int</w:t>
        </w:r>
      </w:hyperlink>
      <w:r>
        <w:t xml:space="preserve">, con copia a </w:t>
      </w:r>
      <w:hyperlink r:id="rId15" w:history="1">
        <w:r w:rsidRPr="0055037D">
          <w:rPr>
            <w:rStyle w:val="Hyperlink"/>
          </w:rPr>
          <w:t>remote.participation@itu.int</w:t>
        </w:r>
      </w:hyperlink>
      <w:r>
        <w:t>.</w:t>
      </w:r>
    </w:p>
    <w:p w14:paraId="28069BDA" w14:textId="77777777" w:rsidR="00F2320D" w:rsidRPr="003E114B" w:rsidRDefault="00F2320D" w:rsidP="00F2320D">
      <w:pPr>
        <w:rPr>
          <w:sz w:val="20"/>
          <w:szCs w:val="20"/>
        </w:rPr>
      </w:pPr>
    </w:p>
    <w:p w14:paraId="2095D2D6" w14:textId="77777777" w:rsidR="00F2320D" w:rsidRPr="003E114B" w:rsidRDefault="00F2320D" w:rsidP="00F2320D">
      <w:pPr>
        <w:tabs>
          <w:tab w:val="clear" w:pos="794"/>
          <w:tab w:val="clear" w:pos="1191"/>
          <w:tab w:val="clear" w:pos="1588"/>
          <w:tab w:val="clear" w:pos="1985"/>
        </w:tabs>
        <w:overflowPunct/>
        <w:autoSpaceDE/>
        <w:autoSpaceDN/>
        <w:adjustRightInd/>
        <w:spacing w:before="0" w:line="240" w:lineRule="auto"/>
        <w:jc w:val="center"/>
        <w:textAlignment w:val="auto"/>
        <w:rPr>
          <w:b/>
          <w:bCs/>
          <w:sz w:val="28"/>
          <w:szCs w:val="28"/>
        </w:rPr>
      </w:pPr>
    </w:p>
    <w:p w14:paraId="2EC63103" w14:textId="4963CE1F" w:rsidR="00F2320D" w:rsidRPr="003E114B" w:rsidRDefault="00F2320D" w:rsidP="00632889">
      <w:pPr>
        <w:pStyle w:val="AnnexNoTitle"/>
        <w:spacing w:line="240" w:lineRule="auto"/>
      </w:pPr>
      <w:r w:rsidRPr="003E114B">
        <w:rPr>
          <w:sz w:val="28"/>
          <w:szCs w:val="28"/>
        </w:rPr>
        <w:br w:type="page"/>
      </w:r>
      <w:bookmarkStart w:id="38" w:name="annex4"/>
      <w:bookmarkStart w:id="39" w:name="Anexo4"/>
      <w:bookmarkStart w:id="40" w:name="lt_pId144"/>
      <w:bookmarkStart w:id="41" w:name="Annex2"/>
      <w:bookmarkEnd w:id="38"/>
      <w:bookmarkEnd w:id="39"/>
      <w:r w:rsidRPr="003E114B">
        <w:lastRenderedPageBreak/>
        <w:t>ANEX</w:t>
      </w:r>
      <w:r w:rsidR="00624597" w:rsidRPr="003E114B">
        <w:t>O</w:t>
      </w:r>
      <w:r w:rsidRPr="003E114B">
        <w:t xml:space="preserve"> </w:t>
      </w:r>
      <w:bookmarkEnd w:id="40"/>
      <w:r w:rsidR="002D2003">
        <w:t>2</w:t>
      </w:r>
      <w:bookmarkEnd w:id="41"/>
      <w:r w:rsidRPr="003E114B">
        <w:t xml:space="preserve"> </w:t>
      </w:r>
    </w:p>
    <w:p w14:paraId="3FE2805D" w14:textId="572475C1" w:rsidR="00632889" w:rsidRPr="003E114B" w:rsidRDefault="00632889" w:rsidP="00632889">
      <w:pPr>
        <w:pStyle w:val="AnnexNoTitle"/>
        <w:spacing w:before="360" w:line="240" w:lineRule="auto"/>
      </w:pPr>
      <w:r>
        <w:t>P</w:t>
      </w:r>
      <w:r w:rsidRPr="003E114B">
        <w:t>royecto de orden del día</w:t>
      </w:r>
      <w:r w:rsidRPr="003E114B">
        <w:br/>
        <w:t>de la</w:t>
      </w:r>
      <w:r>
        <w:t xml:space="preserve"> segunda</w:t>
      </w:r>
      <w:r w:rsidRPr="003E114B">
        <w:t xml:space="preserve"> consulta virtual a los consejeros</w:t>
      </w:r>
    </w:p>
    <w:p w14:paraId="3B56FF2D" w14:textId="4E543923" w:rsidR="00632889" w:rsidRDefault="00632889" w:rsidP="00A13427">
      <w:bookmarkStart w:id="42" w:name="lt_pId149"/>
      <w:r>
        <w:t xml:space="preserve">Los documentos se han repartido en los siguientes grupos: </w:t>
      </w:r>
    </w:p>
    <w:p w14:paraId="13882C34" w14:textId="39C8C8C6" w:rsidR="00632889" w:rsidRDefault="00632889" w:rsidP="00A13427">
      <w:pPr>
        <w:pStyle w:val="enumlev1"/>
      </w:pPr>
      <w:r>
        <w:t>1)</w:t>
      </w:r>
      <w:r>
        <w:tab/>
        <w:t>P</w:t>
      </w:r>
      <w:r w:rsidRPr="00632889">
        <w:t xml:space="preserve">untos urgentes para los que se requiere </w:t>
      </w:r>
      <w:r w:rsidR="007E7C17" w:rsidRPr="00632889">
        <w:t>una decisión</w:t>
      </w:r>
      <w:r w:rsidRPr="00632889">
        <w:t xml:space="preserve"> antes del final de 2020 y que </w:t>
      </w:r>
      <w:r>
        <w:t>se incluyen</w:t>
      </w:r>
      <w:r w:rsidRPr="00632889">
        <w:t xml:space="preserve"> en el orden del día de la CVC-2</w:t>
      </w:r>
      <w:r w:rsidR="00A13427">
        <w:t>.</w:t>
      </w:r>
    </w:p>
    <w:p w14:paraId="314ABB6E" w14:textId="33CDBF90" w:rsidR="00632889" w:rsidRDefault="00632889" w:rsidP="00A13427">
      <w:pPr>
        <w:pStyle w:val="enumlev1"/>
      </w:pPr>
      <w:r>
        <w:t>2)</w:t>
      </w:r>
      <w:r>
        <w:tab/>
        <w:t>Documentos que podrían debatirse en la CVC-2 si se dispone de tiempo</w:t>
      </w:r>
      <w:r w:rsidR="00A13427">
        <w:t>.</w:t>
      </w:r>
    </w:p>
    <w:p w14:paraId="1B053AFD" w14:textId="59B2537B" w:rsidR="00632889" w:rsidRDefault="00632889" w:rsidP="00061947">
      <w:r>
        <w:t xml:space="preserve">Se invita a los Estados Miembros a enviar sus contribuciones a la CVC-2 para estos dos grupos utilizando la plantilla que se adjunta en el </w:t>
      </w:r>
      <w:hyperlink w:anchor="Annex3" w:history="1">
        <w:r w:rsidRPr="00603BD2">
          <w:rPr>
            <w:rStyle w:val="Hyperlink"/>
          </w:rPr>
          <w:t>Anexo 3</w:t>
        </w:r>
      </w:hyperlink>
      <w:r>
        <w:t xml:space="preserve">. El plazo para el envío de las contribuciones finaliza el 2 de noviembre de 2020. </w:t>
      </w:r>
    </w:p>
    <w:p w14:paraId="22D5D08E" w14:textId="1B12BCB4" w:rsidR="00632889" w:rsidRPr="003E114B" w:rsidRDefault="00632889" w:rsidP="00632889">
      <w:pPr>
        <w:pStyle w:val="Heading1"/>
        <w:spacing w:after="240" w:line="240" w:lineRule="auto"/>
      </w:pPr>
      <w:r w:rsidRPr="00924B26">
        <w:t>1</w:t>
      </w:r>
      <w:r w:rsidRPr="00924B26">
        <w:tab/>
      </w:r>
      <w:r>
        <w:t xml:space="preserve">PUNTOS URGENTES para los que se requiere </w:t>
      </w:r>
      <w:r w:rsidR="007E7C17">
        <w:t>una decisión</w:t>
      </w:r>
      <w:r>
        <w:t xml:space="preserve"> antes del final de 2020 y que se proponen para inclusión en el orden del día de la CVC-2 </w:t>
      </w:r>
    </w:p>
    <w:bookmarkEnd w:id="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6886"/>
        <w:gridCol w:w="1695"/>
      </w:tblGrid>
      <w:tr w:rsidR="00632889" w:rsidRPr="003E114B" w14:paraId="21001AF4" w14:textId="77777777" w:rsidTr="00632889">
        <w:trPr>
          <w:cantSplit/>
          <w:trHeight w:val="709"/>
          <w:tblHeader/>
          <w:jc w:val="center"/>
        </w:trPr>
        <w:tc>
          <w:tcPr>
            <w:tcW w:w="1052" w:type="dxa"/>
            <w:vMerge w:val="restart"/>
            <w:tcBorders>
              <w:top w:val="nil"/>
              <w:left w:val="nil"/>
            </w:tcBorders>
            <w:shd w:val="clear" w:color="auto" w:fill="auto"/>
          </w:tcPr>
          <w:p w14:paraId="7FAE9FD0" w14:textId="77777777" w:rsidR="00632889" w:rsidRPr="003E114B" w:rsidRDefault="00632889" w:rsidP="00632889">
            <w:pPr>
              <w:spacing w:before="60" w:after="60" w:line="240" w:lineRule="auto"/>
              <w:jc w:val="center"/>
              <w:rPr>
                <w:rFonts w:cstheme="minorHAnsi"/>
                <w:b/>
                <w:bCs/>
                <w:color w:val="000000"/>
                <w:sz w:val="20"/>
                <w:szCs w:val="20"/>
                <w:lang w:eastAsia="en-GB"/>
              </w:rPr>
            </w:pPr>
          </w:p>
        </w:tc>
        <w:tc>
          <w:tcPr>
            <w:tcW w:w="6886" w:type="dxa"/>
            <w:vMerge w:val="restart"/>
            <w:shd w:val="pct15" w:color="auto" w:fill="auto"/>
            <w:vAlign w:val="center"/>
            <w:hideMark/>
          </w:tcPr>
          <w:p w14:paraId="6935F2A9" w14:textId="77777777" w:rsidR="00632889" w:rsidRPr="003E114B" w:rsidRDefault="00632889" w:rsidP="00632889">
            <w:pPr>
              <w:pStyle w:val="Tablehead"/>
              <w:rPr>
                <w:lang w:eastAsia="en-GB"/>
              </w:rPr>
            </w:pPr>
            <w:r w:rsidRPr="003E114B">
              <w:rPr>
                <w:lang w:eastAsia="en-GB"/>
              </w:rPr>
              <w:t>Asunto</w:t>
            </w:r>
          </w:p>
        </w:tc>
        <w:tc>
          <w:tcPr>
            <w:tcW w:w="1695" w:type="dxa"/>
            <w:vMerge w:val="restart"/>
            <w:shd w:val="pct15" w:color="auto" w:fill="auto"/>
            <w:noWrap/>
            <w:vAlign w:val="center"/>
            <w:hideMark/>
          </w:tcPr>
          <w:p w14:paraId="55AB2039" w14:textId="77777777" w:rsidR="00632889" w:rsidRPr="003E114B" w:rsidRDefault="00632889" w:rsidP="00632889">
            <w:pPr>
              <w:pStyle w:val="Tablehead"/>
              <w:rPr>
                <w:lang w:eastAsia="en-GB"/>
              </w:rPr>
            </w:pPr>
            <w:bookmarkStart w:id="43" w:name="lt_pId152"/>
            <w:r w:rsidRPr="003E114B">
              <w:rPr>
                <w:lang w:eastAsia="en-GB"/>
              </w:rPr>
              <w:t>C20/#</w:t>
            </w:r>
            <w:bookmarkEnd w:id="43"/>
            <w:r>
              <w:rPr>
                <w:lang w:eastAsia="en-GB"/>
              </w:rPr>
              <w:br/>
              <w:t>VC/#</w:t>
            </w:r>
          </w:p>
        </w:tc>
      </w:tr>
      <w:tr w:rsidR="00632889" w:rsidRPr="003E114B" w14:paraId="4887E453" w14:textId="77777777" w:rsidTr="00632889">
        <w:trPr>
          <w:cantSplit/>
          <w:trHeight w:val="709"/>
          <w:tblHeader/>
          <w:jc w:val="center"/>
        </w:trPr>
        <w:tc>
          <w:tcPr>
            <w:tcW w:w="1052" w:type="dxa"/>
            <w:vMerge/>
            <w:tcBorders>
              <w:left w:val="nil"/>
            </w:tcBorders>
            <w:shd w:val="clear" w:color="auto" w:fill="auto"/>
          </w:tcPr>
          <w:p w14:paraId="1C16B9DE" w14:textId="77777777" w:rsidR="00632889" w:rsidRPr="003E114B" w:rsidRDefault="00632889" w:rsidP="00632889">
            <w:pPr>
              <w:spacing w:before="60" w:after="60" w:line="240" w:lineRule="auto"/>
              <w:jc w:val="center"/>
              <w:rPr>
                <w:rFonts w:cstheme="minorHAnsi"/>
                <w:b/>
                <w:bCs/>
                <w:color w:val="000000"/>
                <w:sz w:val="20"/>
                <w:szCs w:val="20"/>
                <w:lang w:eastAsia="en-GB"/>
              </w:rPr>
            </w:pPr>
          </w:p>
        </w:tc>
        <w:tc>
          <w:tcPr>
            <w:tcW w:w="6886" w:type="dxa"/>
            <w:vMerge/>
            <w:shd w:val="pct15" w:color="auto" w:fill="auto"/>
            <w:vAlign w:val="center"/>
          </w:tcPr>
          <w:p w14:paraId="2EE5281B" w14:textId="77777777" w:rsidR="00632889" w:rsidRPr="003E114B" w:rsidRDefault="00632889" w:rsidP="00632889">
            <w:pPr>
              <w:pStyle w:val="Tablehead"/>
              <w:rPr>
                <w:lang w:eastAsia="en-GB"/>
              </w:rPr>
            </w:pPr>
          </w:p>
        </w:tc>
        <w:tc>
          <w:tcPr>
            <w:tcW w:w="1695" w:type="dxa"/>
            <w:vMerge/>
            <w:shd w:val="pct15" w:color="auto" w:fill="auto"/>
            <w:noWrap/>
            <w:vAlign w:val="center"/>
          </w:tcPr>
          <w:p w14:paraId="28405EF7" w14:textId="77777777" w:rsidR="00632889" w:rsidRPr="003E114B" w:rsidRDefault="00632889" w:rsidP="00632889">
            <w:pPr>
              <w:pStyle w:val="Tablehead"/>
              <w:rPr>
                <w:lang w:eastAsia="en-GB"/>
              </w:rPr>
            </w:pPr>
          </w:p>
        </w:tc>
      </w:tr>
      <w:tr w:rsidR="00632889" w:rsidRPr="003E114B" w14:paraId="30102606" w14:textId="77777777" w:rsidTr="00632889">
        <w:trPr>
          <w:cantSplit/>
          <w:jc w:val="center"/>
        </w:trPr>
        <w:tc>
          <w:tcPr>
            <w:tcW w:w="1052" w:type="dxa"/>
            <w:vAlign w:val="center"/>
          </w:tcPr>
          <w:p w14:paraId="204F1FA4" w14:textId="77777777" w:rsidR="00632889" w:rsidRPr="003E114B" w:rsidRDefault="00632889" w:rsidP="00632889">
            <w:pPr>
              <w:pStyle w:val="Tabletext"/>
              <w:jc w:val="center"/>
              <w:rPr>
                <w:b/>
                <w:lang w:eastAsia="en-GB"/>
              </w:rPr>
            </w:pPr>
            <w:bookmarkStart w:id="44" w:name="_Hlk40353401"/>
            <w:r w:rsidRPr="003E114B">
              <w:rPr>
                <w:b/>
                <w:lang w:eastAsia="en-GB"/>
              </w:rPr>
              <w:t>1</w:t>
            </w:r>
          </w:p>
        </w:tc>
        <w:tc>
          <w:tcPr>
            <w:tcW w:w="6886" w:type="dxa"/>
            <w:shd w:val="clear" w:color="auto" w:fill="auto"/>
            <w:vAlign w:val="center"/>
            <w:hideMark/>
          </w:tcPr>
          <w:p w14:paraId="167DA81A" w14:textId="77777777" w:rsidR="00632889" w:rsidRPr="003E114B" w:rsidRDefault="00632889" w:rsidP="00632889">
            <w:pPr>
              <w:pStyle w:val="Tabletext"/>
              <w:rPr>
                <w:lang w:eastAsia="en-GB"/>
              </w:rPr>
            </w:pPr>
            <w:bookmarkStart w:id="45" w:name="lt_pId163"/>
            <w:r w:rsidRPr="003E114B">
              <w:rPr>
                <w:lang w:eastAsia="en-GB"/>
              </w:rPr>
              <w:t xml:space="preserve">Lista de candidaturas para las presidencias y vicepresidencias de los GTC, GE, </w:t>
            </w:r>
            <w:bookmarkEnd w:id="45"/>
            <w:r w:rsidRPr="003E114B">
              <w:rPr>
                <w:lang w:eastAsia="en-GB"/>
              </w:rPr>
              <w:t>GIE</w:t>
            </w:r>
            <w:r w:rsidRPr="00573BC9">
              <w:rPr>
                <w:lang w:val="es-ES" w:eastAsia="en-GB"/>
              </w:rPr>
              <w:t xml:space="preserve"> </w:t>
            </w:r>
            <w:r w:rsidRPr="00573BC9">
              <w:rPr>
                <w:i/>
                <w:iCs/>
                <w:lang w:val="es-ES" w:eastAsia="en-GB"/>
              </w:rPr>
              <w:t>(PL 1.8)</w:t>
            </w:r>
          </w:p>
        </w:tc>
        <w:tc>
          <w:tcPr>
            <w:tcW w:w="1695" w:type="dxa"/>
            <w:shd w:val="clear" w:color="auto" w:fill="auto"/>
            <w:noWrap/>
            <w:vAlign w:val="center"/>
            <w:hideMark/>
          </w:tcPr>
          <w:p w14:paraId="6DA6B8E5" w14:textId="25A88118" w:rsidR="00632889" w:rsidRPr="00603BD2" w:rsidRDefault="00A25543" w:rsidP="00632889">
            <w:pPr>
              <w:pStyle w:val="Tabletext"/>
              <w:jc w:val="center"/>
              <w:rPr>
                <w:rStyle w:val="Hyperlink"/>
              </w:rPr>
            </w:pPr>
            <w:hyperlink r:id="rId16" w:history="1">
              <w:r w:rsidR="00632889" w:rsidRPr="00603BD2">
                <w:rPr>
                  <w:rStyle w:val="Hyperlink"/>
                </w:rPr>
                <w:t>21R3</w:t>
              </w:r>
            </w:hyperlink>
          </w:p>
        </w:tc>
      </w:tr>
      <w:tr w:rsidR="00632889" w:rsidRPr="003E114B" w14:paraId="5F87EC44" w14:textId="77777777" w:rsidTr="00632889">
        <w:trPr>
          <w:cantSplit/>
          <w:jc w:val="center"/>
        </w:trPr>
        <w:tc>
          <w:tcPr>
            <w:tcW w:w="1052" w:type="dxa"/>
            <w:vAlign w:val="center"/>
          </w:tcPr>
          <w:p w14:paraId="768F7F54" w14:textId="77777777" w:rsidR="00632889" w:rsidRPr="003E114B" w:rsidRDefault="00632889" w:rsidP="00632889">
            <w:pPr>
              <w:pStyle w:val="Tabletext"/>
              <w:jc w:val="center"/>
              <w:rPr>
                <w:b/>
                <w:lang w:eastAsia="en-GB"/>
              </w:rPr>
            </w:pPr>
            <w:r w:rsidRPr="003E114B">
              <w:rPr>
                <w:b/>
                <w:lang w:eastAsia="en-GB"/>
              </w:rPr>
              <w:t>2</w:t>
            </w:r>
          </w:p>
        </w:tc>
        <w:tc>
          <w:tcPr>
            <w:tcW w:w="6886" w:type="dxa"/>
            <w:shd w:val="clear" w:color="auto" w:fill="auto"/>
            <w:vAlign w:val="center"/>
            <w:hideMark/>
          </w:tcPr>
          <w:p w14:paraId="7A14C0D5" w14:textId="77777777" w:rsidR="00632889" w:rsidRPr="00E82DE8" w:rsidRDefault="00632889" w:rsidP="00632889">
            <w:pPr>
              <w:spacing w:before="60" w:after="60" w:line="240" w:lineRule="auto"/>
              <w:rPr>
                <w:rFonts w:cstheme="minorHAnsi"/>
                <w:color w:val="000000"/>
                <w:sz w:val="20"/>
                <w:szCs w:val="20"/>
                <w:lang w:eastAsia="en-GB"/>
              </w:rPr>
            </w:pPr>
            <w:r w:rsidRPr="003E114B">
              <w:rPr>
                <w:lang w:eastAsia="en-GB"/>
              </w:rPr>
              <w:t>Día</w:t>
            </w:r>
            <w:r w:rsidRPr="003E114B">
              <w:rPr>
                <w:rFonts w:cstheme="minorHAnsi"/>
                <w:bCs/>
                <w:color w:val="000000"/>
                <w:szCs w:val="20"/>
                <w:lang w:eastAsia="en-GB"/>
              </w:rPr>
              <w:t xml:space="preserve"> Mundial de las Telecomunicaciones y la Sociedad de la Información </w:t>
            </w:r>
            <w:r w:rsidRPr="003E114B">
              <w:rPr>
                <w:rFonts w:cstheme="minorHAnsi"/>
                <w:bCs/>
                <w:i/>
                <w:iCs/>
                <w:color w:val="000000"/>
                <w:szCs w:val="20"/>
                <w:lang w:eastAsia="en-GB"/>
              </w:rPr>
              <w:t>(Res. 68</w:t>
            </w:r>
            <w:r w:rsidRPr="003E114B">
              <w:rPr>
                <w:rFonts w:cstheme="minorHAnsi"/>
                <w:i/>
                <w:color w:val="000000"/>
                <w:szCs w:val="20"/>
                <w:lang w:eastAsia="en-GB"/>
              </w:rPr>
              <w:t>)</w:t>
            </w:r>
            <w:r w:rsidRPr="00E82DE8">
              <w:rPr>
                <w:i/>
                <w:iCs/>
                <w:color w:val="000000"/>
                <w:sz w:val="20"/>
                <w:szCs w:val="20"/>
                <w:lang w:eastAsia="en-GB"/>
              </w:rPr>
              <w:t xml:space="preserve"> (PL</w:t>
            </w:r>
            <w:r>
              <w:rPr>
                <w:i/>
                <w:iCs/>
                <w:color w:val="000000"/>
                <w:sz w:val="20"/>
                <w:szCs w:val="20"/>
                <w:lang w:eastAsia="en-GB"/>
              </w:rPr>
              <w:t> </w:t>
            </w:r>
            <w:r w:rsidRPr="00E82DE8">
              <w:rPr>
                <w:i/>
                <w:iCs/>
                <w:color w:val="000000"/>
                <w:sz w:val="20"/>
                <w:szCs w:val="20"/>
                <w:lang w:eastAsia="en-GB"/>
              </w:rPr>
              <w:t>2.2)</w:t>
            </w:r>
          </w:p>
          <w:p w14:paraId="0936AD62" w14:textId="2E9B7419" w:rsidR="00632889" w:rsidRPr="003E114B" w:rsidRDefault="00632889" w:rsidP="00632889">
            <w:pPr>
              <w:pStyle w:val="Tabletext"/>
              <w:rPr>
                <w:rFonts w:cstheme="minorHAnsi"/>
                <w:color w:val="000000"/>
                <w:szCs w:val="20"/>
                <w:lang w:eastAsia="en-GB"/>
              </w:rPr>
            </w:pPr>
            <w:r w:rsidRPr="00924B26">
              <w:rPr>
                <w:rFonts w:cstheme="minorHAnsi"/>
                <w:color w:val="000000"/>
                <w:lang w:eastAsia="en-GB"/>
              </w:rPr>
              <w:t>–</w:t>
            </w:r>
            <w:r>
              <w:rPr>
                <w:rFonts w:cstheme="minorHAnsi"/>
                <w:color w:val="000000"/>
                <w:lang w:eastAsia="en-GB"/>
              </w:rPr>
              <w:tab/>
            </w:r>
            <w:r w:rsidRPr="00E82DE8">
              <w:rPr>
                <w:rFonts w:cstheme="minorHAnsi"/>
                <w:color w:val="000000"/>
                <w:lang w:eastAsia="en-GB"/>
              </w:rPr>
              <w:t xml:space="preserve">Contribución </w:t>
            </w:r>
            <w:r>
              <w:rPr>
                <w:rFonts w:cstheme="minorHAnsi"/>
                <w:color w:val="000000"/>
                <w:lang w:eastAsia="en-GB"/>
              </w:rPr>
              <w:t>de la Federación de Rusia</w:t>
            </w:r>
          </w:p>
        </w:tc>
        <w:tc>
          <w:tcPr>
            <w:tcW w:w="1695" w:type="dxa"/>
            <w:shd w:val="clear" w:color="auto" w:fill="auto"/>
            <w:noWrap/>
            <w:vAlign w:val="center"/>
            <w:hideMark/>
          </w:tcPr>
          <w:p w14:paraId="11A641C6" w14:textId="4C6D34CF" w:rsidR="00632889" w:rsidRPr="00924B26" w:rsidRDefault="00A25543" w:rsidP="00632889">
            <w:pPr>
              <w:pStyle w:val="Tabletext"/>
              <w:jc w:val="center"/>
              <w:rPr>
                <w:lang w:eastAsia="en-GB"/>
              </w:rPr>
            </w:pPr>
            <w:hyperlink r:id="rId17" w:history="1">
              <w:r w:rsidR="00632889" w:rsidRPr="00603BD2">
                <w:rPr>
                  <w:rStyle w:val="Hyperlink"/>
                </w:rPr>
                <w:t>17</w:t>
              </w:r>
            </w:hyperlink>
          </w:p>
          <w:p w14:paraId="3236131C" w14:textId="77777777" w:rsidR="00632889" w:rsidRPr="003E114B" w:rsidRDefault="00A25543" w:rsidP="00632889">
            <w:pPr>
              <w:pStyle w:val="Tabletext"/>
              <w:jc w:val="center"/>
              <w:rPr>
                <w:lang w:eastAsia="en-GB"/>
              </w:rPr>
            </w:pPr>
            <w:hyperlink r:id="rId18" w:history="1">
              <w:r w:rsidR="00632889" w:rsidRPr="00603BD2">
                <w:rPr>
                  <w:rStyle w:val="Hyperlink"/>
                </w:rPr>
                <w:t>68</w:t>
              </w:r>
            </w:hyperlink>
          </w:p>
        </w:tc>
      </w:tr>
      <w:tr w:rsidR="00632889" w:rsidRPr="003E114B" w14:paraId="266F11CF" w14:textId="77777777" w:rsidTr="00632889">
        <w:trPr>
          <w:cantSplit/>
          <w:jc w:val="center"/>
        </w:trPr>
        <w:tc>
          <w:tcPr>
            <w:tcW w:w="1052" w:type="dxa"/>
            <w:vAlign w:val="center"/>
          </w:tcPr>
          <w:p w14:paraId="7C7FD766" w14:textId="77777777" w:rsidR="00632889" w:rsidRPr="003E114B" w:rsidRDefault="00632889" w:rsidP="00632889">
            <w:pPr>
              <w:pStyle w:val="Tabletext"/>
              <w:jc w:val="center"/>
              <w:rPr>
                <w:b/>
                <w:lang w:eastAsia="en-GB"/>
              </w:rPr>
            </w:pPr>
            <w:r w:rsidRPr="003E114B">
              <w:rPr>
                <w:b/>
                <w:lang w:eastAsia="en-GB"/>
              </w:rPr>
              <w:t>3</w:t>
            </w:r>
          </w:p>
        </w:tc>
        <w:tc>
          <w:tcPr>
            <w:tcW w:w="6886" w:type="dxa"/>
            <w:shd w:val="clear" w:color="auto" w:fill="auto"/>
            <w:vAlign w:val="center"/>
            <w:hideMark/>
          </w:tcPr>
          <w:p w14:paraId="4F775712" w14:textId="67E8A901" w:rsidR="00632889" w:rsidRPr="005B5B74" w:rsidRDefault="00632889" w:rsidP="00632889">
            <w:pPr>
              <w:pStyle w:val="Tabletext"/>
              <w:rPr>
                <w:rFonts w:cstheme="minorHAnsi"/>
                <w:szCs w:val="20"/>
                <w:lang w:eastAsia="en-GB"/>
              </w:rPr>
            </w:pPr>
            <w:r w:rsidRPr="003E114B">
              <w:rPr>
                <w:lang w:eastAsia="en-GB"/>
              </w:rPr>
              <w:t>Informe</w:t>
            </w:r>
            <w:r w:rsidRPr="003E114B">
              <w:rPr>
                <w:bCs/>
                <w:color w:val="000000"/>
                <w:szCs w:val="20"/>
                <w:lang w:eastAsia="en-GB"/>
              </w:rPr>
              <w:t xml:space="preserve"> del </w:t>
            </w:r>
            <w:proofErr w:type="gramStart"/>
            <w:r w:rsidRPr="003E114B">
              <w:rPr>
                <w:bCs/>
                <w:color w:val="000000"/>
                <w:szCs w:val="20"/>
                <w:lang w:eastAsia="en-GB"/>
              </w:rPr>
              <w:t>Presidente</w:t>
            </w:r>
            <w:proofErr w:type="gramEnd"/>
            <w:r w:rsidRPr="003E114B">
              <w:rPr>
                <w:bCs/>
                <w:color w:val="000000"/>
                <w:szCs w:val="20"/>
                <w:lang w:eastAsia="en-GB"/>
              </w:rPr>
              <w:t xml:space="preserve"> del Grupo de Trabajo del Consejo sobre Recursos Humanos y Financieros (GTC</w:t>
            </w:r>
            <w:r w:rsidRPr="003E114B">
              <w:rPr>
                <w:bCs/>
                <w:color w:val="000000"/>
                <w:szCs w:val="20"/>
                <w:lang w:eastAsia="en-GB"/>
              </w:rPr>
              <w:noBreakHyphen/>
              <w:t xml:space="preserve">RHF) </w:t>
            </w:r>
            <w:r w:rsidRPr="00C802F9">
              <w:rPr>
                <w:i/>
                <w:color w:val="000000"/>
                <w:szCs w:val="20"/>
                <w:lang w:eastAsia="en-GB"/>
              </w:rPr>
              <w:t xml:space="preserve">(A 558, A 563(MOD)) </w:t>
            </w:r>
            <w:r w:rsidRPr="00C802F9">
              <w:rPr>
                <w:bCs/>
                <w:i/>
                <w:iCs/>
                <w:color w:val="000000"/>
                <w:szCs w:val="20"/>
                <w:lang w:eastAsia="en-GB"/>
              </w:rPr>
              <w:t>(Res.</w:t>
            </w:r>
            <w:r>
              <w:rPr>
                <w:bCs/>
                <w:i/>
                <w:iCs/>
                <w:color w:val="000000"/>
                <w:szCs w:val="20"/>
                <w:lang w:eastAsia="en-GB"/>
              </w:rPr>
              <w:t> </w:t>
            </w:r>
            <w:r w:rsidRPr="00C802F9">
              <w:rPr>
                <w:bCs/>
                <w:i/>
                <w:iCs/>
                <w:color w:val="000000"/>
                <w:szCs w:val="20"/>
                <w:lang w:eastAsia="en-GB"/>
              </w:rPr>
              <w:t>151, 152, 158, 169, 170, A 558, A 563(MOD))</w:t>
            </w:r>
            <w:r>
              <w:rPr>
                <w:bCs/>
                <w:i/>
                <w:iCs/>
                <w:color w:val="000000"/>
                <w:szCs w:val="20"/>
                <w:lang w:eastAsia="en-GB"/>
              </w:rPr>
              <w:t xml:space="preserve"> </w:t>
            </w:r>
            <w:r w:rsidRPr="00573BC9">
              <w:rPr>
                <w:bCs/>
                <w:i/>
                <w:iCs/>
                <w:color w:val="000000"/>
                <w:szCs w:val="20"/>
                <w:lang w:val="es-ES" w:eastAsia="en-GB"/>
              </w:rPr>
              <w:t>(ADM 4)</w:t>
            </w:r>
          </w:p>
        </w:tc>
        <w:tc>
          <w:tcPr>
            <w:tcW w:w="1695" w:type="dxa"/>
            <w:shd w:val="clear" w:color="auto" w:fill="auto"/>
            <w:noWrap/>
            <w:vAlign w:val="center"/>
            <w:hideMark/>
          </w:tcPr>
          <w:p w14:paraId="3054207C" w14:textId="63A874B6" w:rsidR="00632889" w:rsidRPr="003E114B" w:rsidRDefault="00A25543" w:rsidP="00632889">
            <w:pPr>
              <w:pStyle w:val="Tabletext"/>
              <w:jc w:val="center"/>
              <w:rPr>
                <w:lang w:eastAsia="en-GB"/>
              </w:rPr>
            </w:pPr>
            <w:hyperlink r:id="rId19" w:history="1">
              <w:r w:rsidR="00632889" w:rsidRPr="00603BD2">
                <w:rPr>
                  <w:rStyle w:val="Hyperlink"/>
                </w:rPr>
                <w:t>50</w:t>
              </w:r>
            </w:hyperlink>
          </w:p>
        </w:tc>
      </w:tr>
      <w:tr w:rsidR="00632889" w:rsidRPr="003E114B" w14:paraId="507D344A" w14:textId="77777777" w:rsidTr="00632889">
        <w:trPr>
          <w:cantSplit/>
          <w:jc w:val="center"/>
        </w:trPr>
        <w:tc>
          <w:tcPr>
            <w:tcW w:w="1052" w:type="dxa"/>
            <w:vAlign w:val="center"/>
          </w:tcPr>
          <w:p w14:paraId="32AC880F" w14:textId="509252CB" w:rsidR="00632889" w:rsidRPr="003E114B" w:rsidRDefault="00632889" w:rsidP="00632889">
            <w:pPr>
              <w:pStyle w:val="Tabletext"/>
              <w:jc w:val="center"/>
              <w:rPr>
                <w:b/>
                <w:lang w:eastAsia="en-GB"/>
              </w:rPr>
            </w:pPr>
            <w:r>
              <w:rPr>
                <w:b/>
                <w:lang w:eastAsia="en-GB"/>
              </w:rPr>
              <w:t>4</w:t>
            </w:r>
          </w:p>
        </w:tc>
        <w:tc>
          <w:tcPr>
            <w:tcW w:w="6886" w:type="dxa"/>
            <w:shd w:val="clear" w:color="auto" w:fill="auto"/>
            <w:vAlign w:val="center"/>
            <w:hideMark/>
          </w:tcPr>
          <w:p w14:paraId="1FEC8530" w14:textId="5C18AF96" w:rsidR="00632889" w:rsidRPr="003E114B" w:rsidRDefault="00632889" w:rsidP="00632889">
            <w:pPr>
              <w:pStyle w:val="Tabletext"/>
              <w:rPr>
                <w:rFonts w:cstheme="minorHAnsi"/>
                <w:i/>
                <w:iCs/>
                <w:szCs w:val="20"/>
                <w:lang w:eastAsia="en-GB"/>
              </w:rPr>
            </w:pPr>
            <w:r w:rsidRPr="003E114B">
              <w:rPr>
                <w:lang w:eastAsia="en-GB"/>
              </w:rPr>
              <w:t>Informe</w:t>
            </w:r>
            <w:r w:rsidRPr="003E114B">
              <w:rPr>
                <w:rFonts w:cstheme="minorHAnsi"/>
                <w:bCs/>
                <w:color w:val="000000"/>
                <w:szCs w:val="20"/>
                <w:lang w:eastAsia="en-GB"/>
              </w:rPr>
              <w:t xml:space="preserve"> del Comité Asesor Independiente sobre la Gestión (CAIG) </w:t>
            </w:r>
            <w:r w:rsidRPr="003E114B">
              <w:rPr>
                <w:rFonts w:cstheme="minorHAnsi"/>
                <w:bCs/>
                <w:i/>
                <w:iCs/>
                <w:color w:val="000000"/>
                <w:szCs w:val="20"/>
                <w:lang w:eastAsia="en-GB"/>
              </w:rPr>
              <w:t>(Res.</w:t>
            </w:r>
            <w:r>
              <w:rPr>
                <w:rFonts w:cstheme="minorHAnsi"/>
                <w:bCs/>
                <w:i/>
                <w:iCs/>
                <w:color w:val="000000"/>
                <w:szCs w:val="20"/>
                <w:lang w:eastAsia="en-GB"/>
              </w:rPr>
              <w:t> </w:t>
            </w:r>
            <w:r w:rsidRPr="003E114B">
              <w:rPr>
                <w:rFonts w:cstheme="minorHAnsi"/>
                <w:bCs/>
                <w:i/>
                <w:iCs/>
                <w:color w:val="000000"/>
                <w:szCs w:val="20"/>
                <w:lang w:eastAsia="en-GB"/>
              </w:rPr>
              <w:t>162, A 565)</w:t>
            </w:r>
          </w:p>
        </w:tc>
        <w:tc>
          <w:tcPr>
            <w:tcW w:w="1695" w:type="dxa"/>
            <w:shd w:val="clear" w:color="auto" w:fill="auto"/>
            <w:vAlign w:val="center"/>
            <w:hideMark/>
          </w:tcPr>
          <w:p w14:paraId="4FBE3ED4" w14:textId="3A14FF89" w:rsidR="00632889" w:rsidRPr="003E114B" w:rsidRDefault="00A25543" w:rsidP="00632889">
            <w:pPr>
              <w:pStyle w:val="Tabletext"/>
              <w:jc w:val="center"/>
              <w:rPr>
                <w:lang w:eastAsia="en-GB"/>
              </w:rPr>
            </w:pPr>
            <w:hyperlink r:id="rId20" w:history="1">
              <w:r w:rsidR="00632889" w:rsidRPr="00603BD2">
                <w:rPr>
                  <w:rStyle w:val="Hyperlink"/>
                </w:rPr>
                <w:t>22</w:t>
              </w:r>
            </w:hyperlink>
          </w:p>
        </w:tc>
      </w:tr>
      <w:tr w:rsidR="00632889" w:rsidRPr="003E114B" w14:paraId="16A3B074" w14:textId="77777777" w:rsidTr="00632889">
        <w:trPr>
          <w:cantSplit/>
          <w:jc w:val="center"/>
        </w:trPr>
        <w:tc>
          <w:tcPr>
            <w:tcW w:w="1052" w:type="dxa"/>
            <w:vAlign w:val="center"/>
          </w:tcPr>
          <w:p w14:paraId="6E4BDC96" w14:textId="529BEFC7" w:rsidR="00632889" w:rsidRPr="003E114B" w:rsidRDefault="00632889" w:rsidP="00632889">
            <w:pPr>
              <w:pStyle w:val="Tabletext"/>
              <w:jc w:val="center"/>
              <w:rPr>
                <w:b/>
                <w:lang w:eastAsia="en-GB"/>
              </w:rPr>
            </w:pPr>
            <w:r>
              <w:rPr>
                <w:b/>
                <w:lang w:eastAsia="en-GB"/>
              </w:rPr>
              <w:t>5</w:t>
            </w:r>
          </w:p>
        </w:tc>
        <w:tc>
          <w:tcPr>
            <w:tcW w:w="6886" w:type="dxa"/>
            <w:shd w:val="clear" w:color="auto" w:fill="auto"/>
            <w:vAlign w:val="center"/>
            <w:hideMark/>
          </w:tcPr>
          <w:p w14:paraId="6F5A614C" w14:textId="1DA859C2" w:rsidR="00632889" w:rsidRPr="003E114B" w:rsidRDefault="00632889" w:rsidP="00632889">
            <w:pPr>
              <w:pStyle w:val="Tabletext"/>
              <w:rPr>
                <w:rFonts w:cstheme="minorHAnsi"/>
                <w:color w:val="000000"/>
                <w:szCs w:val="20"/>
                <w:lang w:eastAsia="en-GB"/>
              </w:rPr>
            </w:pPr>
            <w:r w:rsidRPr="003E114B">
              <w:rPr>
                <w:lang w:eastAsia="en-GB"/>
              </w:rPr>
              <w:t>Nombramiento</w:t>
            </w:r>
            <w:r w:rsidRPr="003E114B">
              <w:rPr>
                <w:bCs/>
                <w:szCs w:val="20"/>
                <w:lang w:eastAsia="en-GB"/>
              </w:rPr>
              <w:t xml:space="preserve"> de un nuevo Auditor Externo </w:t>
            </w:r>
            <w:r w:rsidRPr="003E114B">
              <w:rPr>
                <w:bCs/>
                <w:i/>
                <w:iCs/>
                <w:szCs w:val="20"/>
                <w:lang w:eastAsia="en-GB"/>
              </w:rPr>
              <w:t>(Res. 94, A 614)</w:t>
            </w:r>
            <w:r>
              <w:rPr>
                <w:bCs/>
                <w:i/>
                <w:iCs/>
                <w:szCs w:val="20"/>
                <w:lang w:eastAsia="en-GB"/>
              </w:rPr>
              <w:t xml:space="preserve"> </w:t>
            </w:r>
            <w:r w:rsidRPr="00573BC9">
              <w:rPr>
                <w:bCs/>
                <w:i/>
                <w:iCs/>
                <w:szCs w:val="20"/>
                <w:lang w:val="es-ES" w:eastAsia="en-GB"/>
              </w:rPr>
              <w:t>(ADM 14)</w:t>
            </w:r>
          </w:p>
        </w:tc>
        <w:tc>
          <w:tcPr>
            <w:tcW w:w="1695" w:type="dxa"/>
            <w:shd w:val="clear" w:color="auto" w:fill="auto"/>
            <w:vAlign w:val="center"/>
            <w:hideMark/>
          </w:tcPr>
          <w:p w14:paraId="795395B8" w14:textId="5E881A47" w:rsidR="00632889" w:rsidRPr="00D30E43" w:rsidRDefault="00A25543" w:rsidP="00632889">
            <w:pPr>
              <w:pStyle w:val="Tabletext"/>
              <w:jc w:val="center"/>
              <w:rPr>
                <w:rStyle w:val="Hyperlink"/>
              </w:rPr>
            </w:pPr>
            <w:hyperlink r:id="rId21" w:history="1">
              <w:r w:rsidR="00632889" w:rsidRPr="00D30E43">
                <w:rPr>
                  <w:rStyle w:val="Hyperlink"/>
                </w:rPr>
                <w:t>49</w:t>
              </w:r>
            </w:hyperlink>
          </w:p>
        </w:tc>
      </w:tr>
      <w:tr w:rsidR="00632889" w:rsidRPr="003E114B" w14:paraId="660F0EFC" w14:textId="77777777" w:rsidTr="00632889">
        <w:trPr>
          <w:cantSplit/>
          <w:jc w:val="center"/>
        </w:trPr>
        <w:tc>
          <w:tcPr>
            <w:tcW w:w="1052" w:type="dxa"/>
            <w:vAlign w:val="center"/>
          </w:tcPr>
          <w:p w14:paraId="20B50851" w14:textId="2664F57A" w:rsidR="00632889" w:rsidRPr="003E114B" w:rsidRDefault="00632889" w:rsidP="00632889">
            <w:pPr>
              <w:pStyle w:val="Tabletext"/>
              <w:jc w:val="center"/>
              <w:rPr>
                <w:b/>
                <w:lang w:eastAsia="en-GB"/>
              </w:rPr>
            </w:pPr>
            <w:r>
              <w:rPr>
                <w:b/>
                <w:lang w:eastAsia="en-GB"/>
              </w:rPr>
              <w:t>6</w:t>
            </w:r>
          </w:p>
        </w:tc>
        <w:tc>
          <w:tcPr>
            <w:tcW w:w="6886" w:type="dxa"/>
            <w:shd w:val="clear" w:color="auto" w:fill="auto"/>
            <w:vAlign w:val="center"/>
            <w:hideMark/>
          </w:tcPr>
          <w:p w14:paraId="5C0CCB6A" w14:textId="77777777" w:rsidR="00632889" w:rsidRPr="003E114B" w:rsidRDefault="00632889" w:rsidP="00632889">
            <w:pPr>
              <w:pStyle w:val="Tabletext"/>
              <w:rPr>
                <w:rFonts w:cstheme="minorHAnsi"/>
                <w:color w:val="000000"/>
                <w:szCs w:val="20"/>
                <w:lang w:eastAsia="en-GB"/>
              </w:rPr>
            </w:pPr>
            <w:r w:rsidRPr="003E114B">
              <w:rPr>
                <w:rFonts w:cstheme="minorHAnsi"/>
                <w:color w:val="000000"/>
                <w:szCs w:val="20"/>
                <w:lang w:eastAsia="en-GB"/>
              </w:rPr>
              <w:t>Cuentas verificadas: Informe de gestión financiera verificado para 2019</w:t>
            </w:r>
            <w:r w:rsidRPr="003E114B">
              <w:rPr>
                <w:rFonts w:cstheme="minorHAnsi"/>
                <w:b/>
                <w:color w:val="000000"/>
                <w:szCs w:val="20"/>
                <w:lang w:eastAsia="en-GB"/>
              </w:rPr>
              <w:t xml:space="preserve"> </w:t>
            </w:r>
            <w:r w:rsidRPr="00573BC9">
              <w:rPr>
                <w:rFonts w:cstheme="minorHAnsi"/>
                <w:bCs/>
                <w:i/>
                <w:iCs/>
                <w:color w:val="000000"/>
                <w:szCs w:val="20"/>
                <w:lang w:val="es-ES" w:eastAsia="en-GB"/>
              </w:rPr>
              <w:t>(ADM 15)</w:t>
            </w:r>
          </w:p>
        </w:tc>
        <w:tc>
          <w:tcPr>
            <w:tcW w:w="1695" w:type="dxa"/>
            <w:shd w:val="clear" w:color="auto" w:fill="auto"/>
            <w:noWrap/>
            <w:vAlign w:val="center"/>
            <w:hideMark/>
          </w:tcPr>
          <w:p w14:paraId="71E47FFD" w14:textId="0A2A2171" w:rsidR="00632889" w:rsidRPr="00D30E43" w:rsidRDefault="00A25543" w:rsidP="00632889">
            <w:pPr>
              <w:pStyle w:val="Tabletext"/>
              <w:jc w:val="center"/>
              <w:rPr>
                <w:rStyle w:val="Hyperlink"/>
              </w:rPr>
            </w:pPr>
            <w:hyperlink r:id="rId22" w:history="1">
              <w:r w:rsidR="00632889" w:rsidRPr="00D30E43">
                <w:rPr>
                  <w:rStyle w:val="Hyperlink"/>
                </w:rPr>
                <w:t>42</w:t>
              </w:r>
            </w:hyperlink>
          </w:p>
        </w:tc>
      </w:tr>
      <w:tr w:rsidR="00632889" w:rsidRPr="003E114B" w14:paraId="10B9B69A" w14:textId="77777777" w:rsidTr="00632889">
        <w:trPr>
          <w:cantSplit/>
          <w:jc w:val="center"/>
        </w:trPr>
        <w:tc>
          <w:tcPr>
            <w:tcW w:w="1052" w:type="dxa"/>
            <w:vAlign w:val="center"/>
          </w:tcPr>
          <w:p w14:paraId="6ABEBFF9" w14:textId="0D51908B" w:rsidR="00632889" w:rsidRPr="003E114B" w:rsidRDefault="00632889" w:rsidP="00632889">
            <w:pPr>
              <w:pStyle w:val="Tabletext"/>
              <w:jc w:val="center"/>
              <w:rPr>
                <w:b/>
                <w:lang w:eastAsia="en-GB"/>
              </w:rPr>
            </w:pPr>
            <w:r>
              <w:rPr>
                <w:b/>
                <w:lang w:eastAsia="en-GB"/>
              </w:rPr>
              <w:t>7</w:t>
            </w:r>
          </w:p>
        </w:tc>
        <w:tc>
          <w:tcPr>
            <w:tcW w:w="6886" w:type="dxa"/>
            <w:shd w:val="clear" w:color="auto" w:fill="auto"/>
            <w:vAlign w:val="center"/>
            <w:hideMark/>
          </w:tcPr>
          <w:p w14:paraId="32D798E9" w14:textId="77777777" w:rsidR="00632889" w:rsidRPr="003E114B" w:rsidRDefault="00632889" w:rsidP="00632889">
            <w:pPr>
              <w:pStyle w:val="Tabletext"/>
              <w:rPr>
                <w:rFonts w:cstheme="minorHAnsi"/>
                <w:szCs w:val="20"/>
                <w:lang w:eastAsia="en-GB"/>
              </w:rPr>
            </w:pPr>
            <w:r w:rsidRPr="003E114B">
              <w:rPr>
                <w:rFonts w:cstheme="minorHAnsi"/>
                <w:szCs w:val="20"/>
                <w:lang w:eastAsia="en-GB"/>
              </w:rPr>
              <w:t>Informe del Auditor Externo: Cuentas de la Unión de 2019</w:t>
            </w:r>
            <w:r w:rsidRPr="00573BC9">
              <w:rPr>
                <w:rFonts w:cstheme="minorHAnsi"/>
                <w:szCs w:val="20"/>
                <w:lang w:val="es-ES" w:eastAsia="en-GB"/>
              </w:rPr>
              <w:t xml:space="preserve"> </w:t>
            </w:r>
            <w:r w:rsidRPr="00573BC9">
              <w:rPr>
                <w:rFonts w:cstheme="minorHAnsi"/>
                <w:i/>
                <w:iCs/>
                <w:szCs w:val="20"/>
                <w:lang w:val="es-ES" w:eastAsia="en-GB"/>
              </w:rPr>
              <w:t>(ADM 16)</w:t>
            </w:r>
          </w:p>
        </w:tc>
        <w:tc>
          <w:tcPr>
            <w:tcW w:w="1695" w:type="dxa"/>
            <w:shd w:val="clear" w:color="auto" w:fill="auto"/>
            <w:noWrap/>
            <w:vAlign w:val="center"/>
            <w:hideMark/>
          </w:tcPr>
          <w:p w14:paraId="1411FA3D" w14:textId="77777777" w:rsidR="00632889" w:rsidRPr="003E114B" w:rsidRDefault="00632889" w:rsidP="00632889">
            <w:pPr>
              <w:pStyle w:val="Tabletext"/>
              <w:jc w:val="center"/>
              <w:rPr>
                <w:lang w:eastAsia="en-GB"/>
              </w:rPr>
            </w:pPr>
            <w:r w:rsidRPr="00AD7777">
              <w:rPr>
                <w:lang w:eastAsia="en-GB"/>
              </w:rPr>
              <w:t>[40]</w:t>
            </w:r>
          </w:p>
        </w:tc>
      </w:tr>
      <w:tr w:rsidR="00632889" w:rsidRPr="003E114B" w14:paraId="476246F6" w14:textId="77777777" w:rsidTr="00632889">
        <w:trPr>
          <w:cantSplit/>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4EB6EBB8" w14:textId="0D22E995" w:rsidR="00632889" w:rsidRPr="003E114B" w:rsidRDefault="00632889" w:rsidP="00632889">
            <w:pPr>
              <w:pStyle w:val="Tabletext"/>
              <w:jc w:val="center"/>
              <w:rPr>
                <w:b/>
                <w:lang w:eastAsia="en-GB"/>
              </w:rPr>
            </w:pPr>
            <w:r>
              <w:rPr>
                <w:b/>
                <w:lang w:eastAsia="en-GB"/>
              </w:rPr>
              <w:t>8</w:t>
            </w:r>
          </w:p>
        </w:tc>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5A7DE3E2" w14:textId="77777777" w:rsidR="00632889" w:rsidRPr="003E114B" w:rsidRDefault="00632889" w:rsidP="00632889">
            <w:pPr>
              <w:pStyle w:val="Tabletext"/>
              <w:rPr>
                <w:rFonts w:cstheme="minorHAnsi"/>
                <w:color w:val="000000"/>
                <w:szCs w:val="20"/>
                <w:lang w:eastAsia="en-GB"/>
              </w:rPr>
            </w:pPr>
            <w:r w:rsidRPr="003E114B">
              <w:rPr>
                <w:lang w:eastAsia="en-GB"/>
              </w:rPr>
              <w:t>Informe</w:t>
            </w:r>
            <w:r w:rsidRPr="003E114B">
              <w:rPr>
                <w:rFonts w:cstheme="minorHAnsi"/>
                <w:bCs/>
                <w:color w:val="000000"/>
                <w:szCs w:val="20"/>
                <w:lang w:eastAsia="en-GB"/>
              </w:rPr>
              <w:t xml:space="preserve"> sobre los avances registrados en el proyecto de Sede de la Unión </w:t>
            </w:r>
            <w:r w:rsidRPr="003E114B">
              <w:rPr>
                <w:rFonts w:cstheme="minorHAnsi"/>
                <w:bCs/>
                <w:i/>
                <w:iCs/>
                <w:color w:val="000000"/>
                <w:szCs w:val="20"/>
                <w:lang w:eastAsia="en-GB"/>
              </w:rPr>
              <w:t>(Res. 212, A 619)</w:t>
            </w:r>
            <w:r w:rsidRPr="00573BC9">
              <w:rPr>
                <w:rFonts w:cstheme="minorHAnsi"/>
                <w:bCs/>
                <w:i/>
                <w:iCs/>
                <w:color w:val="000000"/>
                <w:szCs w:val="20"/>
                <w:lang w:val="es-ES" w:eastAsia="en-GB"/>
              </w:rPr>
              <w:t xml:space="preserve"> (ADM 20)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A9C407A" w14:textId="0F67BEBE" w:rsidR="00632889" w:rsidRPr="00D30E43" w:rsidRDefault="00A25543" w:rsidP="00632889">
            <w:pPr>
              <w:pStyle w:val="Tabletext"/>
              <w:jc w:val="center"/>
              <w:rPr>
                <w:rStyle w:val="Hyperlink"/>
              </w:rPr>
            </w:pPr>
            <w:hyperlink r:id="rId23" w:history="1">
              <w:r w:rsidR="00632889" w:rsidRPr="00D30E43">
                <w:rPr>
                  <w:rStyle w:val="Hyperlink"/>
                </w:rPr>
                <w:t>7</w:t>
              </w:r>
            </w:hyperlink>
          </w:p>
        </w:tc>
      </w:tr>
      <w:tr w:rsidR="00632889" w:rsidRPr="003E114B" w14:paraId="48B38E3A" w14:textId="77777777" w:rsidTr="00632889">
        <w:trPr>
          <w:cantSplit/>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20491F84" w14:textId="77777777" w:rsidR="00632889" w:rsidRPr="003E114B" w:rsidDel="00AD7777" w:rsidRDefault="00632889" w:rsidP="00632889">
            <w:pPr>
              <w:pStyle w:val="Tabletext"/>
              <w:jc w:val="center"/>
              <w:rPr>
                <w:b/>
                <w:lang w:eastAsia="en-GB"/>
              </w:rPr>
            </w:pPr>
            <w:r>
              <w:rPr>
                <w:b/>
                <w:lang w:eastAsia="en-GB"/>
              </w:rPr>
              <w:t>9</w:t>
            </w:r>
          </w:p>
        </w:tc>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04ABDC1" w14:textId="77777777" w:rsidR="00632889" w:rsidRPr="003E114B" w:rsidRDefault="00632889" w:rsidP="00632889">
            <w:pPr>
              <w:pStyle w:val="Tabletext"/>
              <w:rPr>
                <w:lang w:eastAsia="en-GB"/>
              </w:rPr>
            </w:pPr>
            <w:r w:rsidRPr="003E114B">
              <w:rPr>
                <w:lang w:eastAsia="en-GB"/>
              </w:rPr>
              <w:t>Estrategia</w:t>
            </w:r>
            <w:r w:rsidRPr="003E114B">
              <w:rPr>
                <w:bCs/>
                <w:szCs w:val="20"/>
                <w:lang w:eastAsia="en-GB"/>
              </w:rPr>
              <w:t xml:space="preserve"> sobre las condiciones de trabajo del personal y plan de ejecución </w:t>
            </w:r>
            <w:r w:rsidRPr="003E114B">
              <w:rPr>
                <w:bCs/>
                <w:i/>
                <w:iCs/>
                <w:szCs w:val="20"/>
                <w:lang w:eastAsia="en-GB"/>
              </w:rPr>
              <w:t>(A 619)</w:t>
            </w:r>
            <w:r>
              <w:rPr>
                <w:bCs/>
                <w:i/>
                <w:iCs/>
                <w:szCs w:val="20"/>
                <w:lang w:eastAsia="en-GB"/>
              </w:rPr>
              <w:t xml:space="preserve"> </w:t>
            </w:r>
            <w:r w:rsidRPr="00573BC9">
              <w:rPr>
                <w:bCs/>
                <w:i/>
                <w:iCs/>
                <w:szCs w:val="20"/>
                <w:lang w:val="es-ES" w:eastAsia="en-GB"/>
              </w:rPr>
              <w:t>(ADM 20)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5E74CC" w14:textId="77777777" w:rsidR="00632889" w:rsidRPr="00D30E43" w:rsidRDefault="00A25543" w:rsidP="00632889">
            <w:pPr>
              <w:pStyle w:val="Tabletext"/>
              <w:jc w:val="center"/>
              <w:rPr>
                <w:rStyle w:val="Hyperlink"/>
              </w:rPr>
            </w:pPr>
            <w:hyperlink r:id="rId24" w:history="1">
              <w:r w:rsidR="00632889" w:rsidRPr="00D30E43">
                <w:rPr>
                  <w:rStyle w:val="Hyperlink"/>
                </w:rPr>
                <w:t>29</w:t>
              </w:r>
            </w:hyperlink>
          </w:p>
        </w:tc>
      </w:tr>
      <w:tr w:rsidR="00632889" w:rsidRPr="003E114B" w14:paraId="61443F99" w14:textId="77777777" w:rsidTr="00632889">
        <w:trPr>
          <w:cantSplit/>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2B6411ED" w14:textId="1A0D28B0" w:rsidR="00632889" w:rsidRPr="003E114B" w:rsidRDefault="00632889" w:rsidP="00632889">
            <w:pPr>
              <w:pStyle w:val="Tabletext"/>
              <w:jc w:val="center"/>
              <w:rPr>
                <w:b/>
                <w:lang w:eastAsia="en-GB"/>
              </w:rPr>
            </w:pPr>
            <w:r>
              <w:rPr>
                <w:b/>
                <w:lang w:eastAsia="en-GB"/>
              </w:rPr>
              <w:t>10</w:t>
            </w:r>
          </w:p>
        </w:tc>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910762F" w14:textId="77777777" w:rsidR="00632889" w:rsidRPr="003E114B" w:rsidRDefault="00632889" w:rsidP="00632889">
            <w:pPr>
              <w:pStyle w:val="Tabletext"/>
              <w:rPr>
                <w:rFonts w:cstheme="minorHAnsi"/>
                <w:color w:val="000000"/>
                <w:szCs w:val="20"/>
                <w:lang w:eastAsia="en-GB"/>
              </w:rPr>
            </w:pPr>
            <w:bookmarkStart w:id="46" w:name="lt_pId207"/>
            <w:r w:rsidRPr="003E114B">
              <w:rPr>
                <w:lang w:eastAsia="en-GB"/>
              </w:rPr>
              <w:t>Informe</w:t>
            </w:r>
            <w:r w:rsidRPr="003E114B">
              <w:rPr>
                <w:bCs/>
                <w:color w:val="000000"/>
                <w:szCs w:val="20"/>
                <w:lang w:eastAsia="en-GB"/>
              </w:rPr>
              <w:t xml:space="preserve"> resumido de la labor del Grupo Asesor de los Estados Miembros sobre el proyecto de Sede de la Unión </w:t>
            </w:r>
            <w:r w:rsidRPr="003E114B">
              <w:rPr>
                <w:bCs/>
                <w:i/>
                <w:iCs/>
                <w:color w:val="000000"/>
                <w:szCs w:val="20"/>
                <w:lang w:eastAsia="en-GB"/>
              </w:rPr>
              <w:t>(Res. 212)</w:t>
            </w:r>
            <w:r w:rsidRPr="003E114B">
              <w:rPr>
                <w:i/>
                <w:iCs/>
                <w:szCs w:val="20"/>
                <w:lang w:eastAsia="en-GB"/>
              </w:rPr>
              <w:t>)</w:t>
            </w:r>
            <w:bookmarkEnd w:id="46"/>
            <w:r w:rsidRPr="00573BC9">
              <w:rPr>
                <w:i/>
                <w:iCs/>
                <w:szCs w:val="20"/>
                <w:lang w:val="es-ES" w:eastAsia="en-GB"/>
              </w:rPr>
              <w:t xml:space="preserve"> (ADM 20)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92AEAF" w14:textId="05DE9B1E" w:rsidR="00632889" w:rsidRPr="00D30E43" w:rsidRDefault="00A25543" w:rsidP="00632889">
            <w:pPr>
              <w:pStyle w:val="Tabletext"/>
              <w:jc w:val="center"/>
              <w:rPr>
                <w:rStyle w:val="Hyperlink"/>
              </w:rPr>
            </w:pPr>
            <w:hyperlink r:id="rId25" w:history="1">
              <w:r w:rsidR="00632889" w:rsidRPr="00D30E43">
                <w:rPr>
                  <w:rStyle w:val="Hyperlink"/>
                </w:rPr>
                <w:t>48</w:t>
              </w:r>
            </w:hyperlink>
          </w:p>
        </w:tc>
      </w:tr>
      <w:tr w:rsidR="00632889" w:rsidRPr="003E114B" w14:paraId="679F50E0" w14:textId="77777777" w:rsidTr="00632889">
        <w:trPr>
          <w:cantSplit/>
          <w:jc w:val="center"/>
        </w:trPr>
        <w:tc>
          <w:tcPr>
            <w:tcW w:w="1052" w:type="dxa"/>
            <w:vAlign w:val="center"/>
          </w:tcPr>
          <w:p w14:paraId="53358765" w14:textId="47F183B2" w:rsidR="00632889" w:rsidRPr="003E114B" w:rsidRDefault="00632889" w:rsidP="00632889">
            <w:pPr>
              <w:pStyle w:val="Tabletext"/>
              <w:jc w:val="center"/>
              <w:rPr>
                <w:b/>
                <w:lang w:eastAsia="en-GB"/>
              </w:rPr>
            </w:pPr>
            <w:r>
              <w:rPr>
                <w:b/>
                <w:lang w:eastAsia="en-GB"/>
              </w:rPr>
              <w:t>11</w:t>
            </w:r>
          </w:p>
        </w:tc>
        <w:tc>
          <w:tcPr>
            <w:tcW w:w="6886" w:type="dxa"/>
            <w:shd w:val="clear" w:color="auto" w:fill="auto"/>
            <w:vAlign w:val="center"/>
            <w:hideMark/>
          </w:tcPr>
          <w:p w14:paraId="4797FF70" w14:textId="77777777" w:rsidR="00632889" w:rsidRPr="00E82DE8" w:rsidRDefault="00632889" w:rsidP="00632889">
            <w:pPr>
              <w:spacing w:before="60" w:after="60" w:line="240" w:lineRule="auto"/>
              <w:rPr>
                <w:rFonts w:cstheme="minorHAnsi"/>
                <w:sz w:val="20"/>
                <w:szCs w:val="20"/>
                <w:lang w:eastAsia="en-GB"/>
              </w:rPr>
            </w:pPr>
            <w:r w:rsidRPr="003E114B">
              <w:rPr>
                <w:lang w:eastAsia="en-GB"/>
              </w:rPr>
              <w:t>Nueva</w:t>
            </w:r>
            <w:r w:rsidRPr="003E114B">
              <w:rPr>
                <w:rFonts w:cstheme="minorHAnsi"/>
                <w:bCs/>
                <w:szCs w:val="20"/>
                <w:lang w:eastAsia="en-GB"/>
              </w:rPr>
              <w:t xml:space="preserve"> función de investigación y procedimiento conexo</w:t>
            </w:r>
            <w:r w:rsidRPr="00E82DE8">
              <w:rPr>
                <w:rFonts w:cstheme="minorHAnsi"/>
                <w:sz w:val="20"/>
                <w:szCs w:val="20"/>
                <w:lang w:eastAsia="en-GB"/>
              </w:rPr>
              <w:t xml:space="preserve"> </w:t>
            </w:r>
            <w:r w:rsidRPr="00E82DE8">
              <w:rPr>
                <w:i/>
                <w:iCs/>
                <w:color w:val="000000"/>
                <w:sz w:val="20"/>
                <w:szCs w:val="20"/>
                <w:lang w:eastAsia="en-GB"/>
              </w:rPr>
              <w:t>(ADM 27)</w:t>
            </w:r>
          </w:p>
          <w:p w14:paraId="2D2F4C0C" w14:textId="5E540A6C" w:rsidR="00632889" w:rsidRPr="003E114B" w:rsidRDefault="00632889" w:rsidP="00632889">
            <w:pPr>
              <w:pStyle w:val="Tabletext"/>
              <w:rPr>
                <w:rFonts w:cstheme="minorHAnsi"/>
                <w:szCs w:val="20"/>
                <w:lang w:eastAsia="en-GB"/>
              </w:rPr>
            </w:pPr>
            <w:r w:rsidRPr="00924B26">
              <w:rPr>
                <w:rFonts w:cstheme="minorHAnsi"/>
                <w:color w:val="000000"/>
                <w:lang w:eastAsia="en-GB"/>
              </w:rPr>
              <w:t>–</w:t>
            </w:r>
            <w:r>
              <w:rPr>
                <w:rFonts w:cstheme="minorHAnsi"/>
                <w:color w:val="000000"/>
                <w:lang w:eastAsia="en-GB"/>
              </w:rPr>
              <w:tab/>
            </w:r>
            <w:r w:rsidRPr="00E82DE8">
              <w:rPr>
                <w:rFonts w:cstheme="minorHAnsi"/>
                <w:lang w:eastAsia="en-GB"/>
              </w:rPr>
              <w:t xml:space="preserve">Contribución </w:t>
            </w:r>
            <w:r>
              <w:rPr>
                <w:rFonts w:cstheme="minorHAnsi"/>
                <w:lang w:eastAsia="en-GB"/>
              </w:rPr>
              <w:t>de los Estados Unidos de América</w:t>
            </w:r>
          </w:p>
        </w:tc>
        <w:tc>
          <w:tcPr>
            <w:tcW w:w="1695" w:type="dxa"/>
            <w:shd w:val="clear" w:color="auto" w:fill="auto"/>
            <w:vAlign w:val="center"/>
            <w:hideMark/>
          </w:tcPr>
          <w:p w14:paraId="0A853278" w14:textId="17562D8A" w:rsidR="00632889" w:rsidRPr="00D30E43" w:rsidRDefault="00A25543" w:rsidP="00632889">
            <w:pPr>
              <w:pStyle w:val="Tabletext"/>
              <w:jc w:val="center"/>
              <w:rPr>
                <w:rStyle w:val="Hyperlink"/>
              </w:rPr>
            </w:pPr>
            <w:hyperlink r:id="rId26" w:history="1">
              <w:r w:rsidR="00632889" w:rsidRPr="00D30E43">
                <w:rPr>
                  <w:rStyle w:val="Hyperlink"/>
                </w:rPr>
                <w:t>60</w:t>
              </w:r>
            </w:hyperlink>
          </w:p>
          <w:p w14:paraId="32EDCB5C" w14:textId="77777777" w:rsidR="00632889" w:rsidRPr="00D30E43" w:rsidRDefault="00A25543" w:rsidP="00632889">
            <w:pPr>
              <w:pStyle w:val="Tabletext"/>
              <w:jc w:val="center"/>
              <w:rPr>
                <w:rStyle w:val="Hyperlink"/>
              </w:rPr>
            </w:pPr>
            <w:hyperlink r:id="rId27" w:history="1">
              <w:r w:rsidR="00632889" w:rsidRPr="00D30E43">
                <w:rPr>
                  <w:rStyle w:val="Hyperlink"/>
                </w:rPr>
                <w:t>VC/8</w:t>
              </w:r>
            </w:hyperlink>
          </w:p>
        </w:tc>
      </w:tr>
      <w:tr w:rsidR="00632889" w:rsidRPr="003E114B" w14:paraId="0A194ECB" w14:textId="77777777" w:rsidTr="00632889">
        <w:trPr>
          <w:cantSplit/>
          <w:jc w:val="center"/>
        </w:trPr>
        <w:tc>
          <w:tcPr>
            <w:tcW w:w="1052" w:type="dxa"/>
            <w:vAlign w:val="center"/>
          </w:tcPr>
          <w:p w14:paraId="65EE9403" w14:textId="77777777" w:rsidR="00632889" w:rsidRPr="003E114B" w:rsidDel="00AD7777" w:rsidRDefault="00632889" w:rsidP="00632889">
            <w:pPr>
              <w:pStyle w:val="Tabletext"/>
              <w:jc w:val="center"/>
              <w:rPr>
                <w:b/>
                <w:lang w:eastAsia="en-GB"/>
              </w:rPr>
            </w:pPr>
            <w:r w:rsidRPr="00632889">
              <w:rPr>
                <w:b/>
                <w:lang w:eastAsia="en-GB"/>
              </w:rPr>
              <w:t>12</w:t>
            </w:r>
          </w:p>
        </w:tc>
        <w:tc>
          <w:tcPr>
            <w:tcW w:w="6886" w:type="dxa"/>
            <w:shd w:val="clear" w:color="auto" w:fill="auto"/>
            <w:vAlign w:val="center"/>
          </w:tcPr>
          <w:p w14:paraId="0CB133D9" w14:textId="77777777" w:rsidR="00632889" w:rsidRPr="00D252C0" w:rsidRDefault="00632889" w:rsidP="00632889">
            <w:pPr>
              <w:pStyle w:val="Tabletext"/>
              <w:rPr>
                <w:bCs/>
                <w:szCs w:val="20"/>
                <w:lang w:eastAsia="en-GB"/>
              </w:rPr>
            </w:pPr>
            <w:r w:rsidRPr="00D252C0">
              <w:rPr>
                <w:bCs/>
                <w:szCs w:val="20"/>
                <w:lang w:eastAsia="en-GB"/>
              </w:rPr>
              <w:t xml:space="preserve">Decisiones de la Asamblea General de las Naciones Unidas sobre las condiciones de servicio con arreglo al sistema común de las Naciones Unidas </w:t>
            </w:r>
            <w:r w:rsidRPr="00D252C0">
              <w:rPr>
                <w:bCs/>
                <w:i/>
                <w:iCs/>
                <w:szCs w:val="20"/>
                <w:lang w:eastAsia="en-GB"/>
              </w:rPr>
              <w:t>(ADM 28)</w:t>
            </w:r>
          </w:p>
        </w:tc>
        <w:tc>
          <w:tcPr>
            <w:tcW w:w="1695" w:type="dxa"/>
            <w:shd w:val="clear" w:color="auto" w:fill="auto"/>
            <w:vAlign w:val="center"/>
          </w:tcPr>
          <w:p w14:paraId="051ECFDF" w14:textId="77777777" w:rsidR="00632889" w:rsidRPr="00D30E43" w:rsidRDefault="00A25543" w:rsidP="00632889">
            <w:pPr>
              <w:pStyle w:val="Tabletext"/>
              <w:jc w:val="center"/>
              <w:rPr>
                <w:rStyle w:val="Hyperlink"/>
              </w:rPr>
            </w:pPr>
            <w:hyperlink r:id="rId28" w:history="1">
              <w:r w:rsidR="00632889" w:rsidRPr="00D30E43">
                <w:rPr>
                  <w:rStyle w:val="Hyperlink"/>
                </w:rPr>
                <w:t>23</w:t>
              </w:r>
            </w:hyperlink>
          </w:p>
        </w:tc>
      </w:tr>
      <w:tr w:rsidR="00632889" w:rsidRPr="003E114B" w14:paraId="464AD777" w14:textId="77777777" w:rsidTr="00632889">
        <w:trPr>
          <w:cantSplit/>
          <w:jc w:val="center"/>
        </w:trPr>
        <w:tc>
          <w:tcPr>
            <w:tcW w:w="1052" w:type="dxa"/>
            <w:vAlign w:val="center"/>
          </w:tcPr>
          <w:p w14:paraId="07F07EBE" w14:textId="77777777" w:rsidR="00632889" w:rsidRPr="003E114B" w:rsidDel="00AD7777" w:rsidRDefault="00632889" w:rsidP="00632889">
            <w:pPr>
              <w:pStyle w:val="Tabletext"/>
              <w:jc w:val="center"/>
              <w:rPr>
                <w:b/>
                <w:lang w:eastAsia="en-GB"/>
              </w:rPr>
            </w:pPr>
            <w:r w:rsidRPr="00632889">
              <w:rPr>
                <w:b/>
                <w:lang w:eastAsia="en-GB"/>
              </w:rPr>
              <w:t>13</w:t>
            </w:r>
          </w:p>
        </w:tc>
        <w:tc>
          <w:tcPr>
            <w:tcW w:w="6886" w:type="dxa"/>
            <w:shd w:val="clear" w:color="auto" w:fill="auto"/>
            <w:vAlign w:val="center"/>
          </w:tcPr>
          <w:p w14:paraId="303AECF5" w14:textId="77777777" w:rsidR="00632889" w:rsidRPr="00D252C0" w:rsidRDefault="00632889" w:rsidP="00632889">
            <w:pPr>
              <w:pStyle w:val="Tabletext"/>
              <w:rPr>
                <w:bCs/>
                <w:szCs w:val="20"/>
                <w:lang w:eastAsia="en-GB"/>
              </w:rPr>
            </w:pPr>
            <w:r w:rsidRPr="00D252C0">
              <w:rPr>
                <w:bCs/>
                <w:szCs w:val="20"/>
                <w:lang w:eastAsia="en-GB"/>
              </w:rPr>
              <w:t xml:space="preserve">Calendario de futuras conferencias, asambleas y reuniones de la Unión: 2020-2023 </w:t>
            </w:r>
            <w:r w:rsidRPr="00D252C0">
              <w:rPr>
                <w:bCs/>
                <w:i/>
                <w:iCs/>
                <w:szCs w:val="20"/>
                <w:lang w:eastAsia="en-GB"/>
              </w:rPr>
              <w:t>(Res. 77, 111) (PL 2.7)</w:t>
            </w:r>
          </w:p>
        </w:tc>
        <w:tc>
          <w:tcPr>
            <w:tcW w:w="1695" w:type="dxa"/>
            <w:shd w:val="clear" w:color="auto" w:fill="auto"/>
            <w:vAlign w:val="center"/>
          </w:tcPr>
          <w:p w14:paraId="5FA133BE" w14:textId="77777777" w:rsidR="00632889" w:rsidRPr="00D30E43" w:rsidRDefault="00A25543" w:rsidP="00632889">
            <w:pPr>
              <w:pStyle w:val="Tabletext"/>
              <w:jc w:val="center"/>
              <w:rPr>
                <w:rStyle w:val="Hyperlink"/>
              </w:rPr>
            </w:pPr>
            <w:hyperlink r:id="rId29" w:history="1">
              <w:r w:rsidR="00632889" w:rsidRPr="00D30E43">
                <w:rPr>
                  <w:rStyle w:val="Hyperlink"/>
                </w:rPr>
                <w:t>37</w:t>
              </w:r>
            </w:hyperlink>
          </w:p>
        </w:tc>
      </w:tr>
      <w:tr w:rsidR="00632889" w:rsidRPr="003E114B" w14:paraId="435ED9E3" w14:textId="77777777" w:rsidTr="00632889">
        <w:trPr>
          <w:cantSplit/>
          <w:jc w:val="center"/>
        </w:trPr>
        <w:tc>
          <w:tcPr>
            <w:tcW w:w="1052" w:type="dxa"/>
            <w:vAlign w:val="center"/>
          </w:tcPr>
          <w:p w14:paraId="4038C919" w14:textId="77777777" w:rsidR="00632889" w:rsidRPr="003E114B" w:rsidDel="00AD7777" w:rsidRDefault="00632889" w:rsidP="00632889">
            <w:pPr>
              <w:pStyle w:val="Tabletext"/>
              <w:jc w:val="center"/>
              <w:rPr>
                <w:b/>
                <w:lang w:eastAsia="en-GB"/>
              </w:rPr>
            </w:pPr>
            <w:r w:rsidRPr="00632889">
              <w:rPr>
                <w:b/>
                <w:lang w:eastAsia="en-GB"/>
              </w:rPr>
              <w:lastRenderedPageBreak/>
              <w:t>14</w:t>
            </w:r>
          </w:p>
        </w:tc>
        <w:tc>
          <w:tcPr>
            <w:tcW w:w="6886" w:type="dxa"/>
            <w:shd w:val="clear" w:color="auto" w:fill="auto"/>
            <w:vAlign w:val="center"/>
          </w:tcPr>
          <w:p w14:paraId="5D8787E4" w14:textId="77777777" w:rsidR="00632889" w:rsidRPr="00D252C0" w:rsidRDefault="00632889" w:rsidP="00632889">
            <w:pPr>
              <w:pStyle w:val="Tabletext"/>
              <w:rPr>
                <w:bCs/>
                <w:szCs w:val="20"/>
                <w:lang w:eastAsia="en-GB"/>
              </w:rPr>
            </w:pPr>
            <w:r w:rsidRPr="00D252C0">
              <w:rPr>
                <w:bCs/>
                <w:szCs w:val="20"/>
                <w:lang w:eastAsia="en-GB"/>
              </w:rPr>
              <w:t xml:space="preserve">Preparativos para la AMNT-21 </w:t>
            </w:r>
            <w:r w:rsidRPr="00D252C0">
              <w:rPr>
                <w:bCs/>
                <w:i/>
                <w:iCs/>
                <w:szCs w:val="20"/>
                <w:lang w:eastAsia="en-GB"/>
              </w:rPr>
              <w:t>(PL 2.8)</w:t>
            </w:r>
          </w:p>
          <w:p w14:paraId="33751E6E" w14:textId="717F1036" w:rsidR="00632889" w:rsidRPr="00D252C0" w:rsidRDefault="00632889" w:rsidP="00632889">
            <w:pPr>
              <w:pStyle w:val="Tabletext"/>
              <w:rPr>
                <w:bCs/>
                <w:szCs w:val="20"/>
                <w:lang w:eastAsia="en-GB"/>
              </w:rPr>
            </w:pPr>
            <w:r>
              <w:rPr>
                <w:bCs/>
                <w:szCs w:val="20"/>
                <w:lang w:eastAsia="en-GB"/>
              </w:rPr>
              <w:t>Acuerdo</w:t>
            </w:r>
            <w:r w:rsidRPr="00D252C0">
              <w:rPr>
                <w:bCs/>
                <w:szCs w:val="20"/>
                <w:lang w:eastAsia="en-GB"/>
              </w:rPr>
              <w:t xml:space="preserve"> 608 </w:t>
            </w:r>
            <w:r>
              <w:rPr>
                <w:bCs/>
                <w:szCs w:val="20"/>
                <w:lang w:eastAsia="en-GB"/>
              </w:rPr>
              <w:t xml:space="preserve">modificado </w:t>
            </w:r>
            <w:r w:rsidRPr="00D252C0">
              <w:rPr>
                <w:bCs/>
                <w:szCs w:val="20"/>
                <w:lang w:eastAsia="en-GB"/>
              </w:rPr>
              <w:t>(</w:t>
            </w:r>
            <w:r>
              <w:rPr>
                <w:bCs/>
                <w:szCs w:val="20"/>
                <w:lang w:eastAsia="en-GB"/>
              </w:rPr>
              <w:t>tras la consulta</w:t>
            </w:r>
            <w:r w:rsidRPr="00D252C0">
              <w:rPr>
                <w:bCs/>
                <w:szCs w:val="20"/>
                <w:lang w:eastAsia="en-GB"/>
              </w:rPr>
              <w:t>)</w:t>
            </w:r>
          </w:p>
        </w:tc>
        <w:tc>
          <w:tcPr>
            <w:tcW w:w="1695" w:type="dxa"/>
            <w:shd w:val="clear" w:color="auto" w:fill="auto"/>
            <w:vAlign w:val="center"/>
          </w:tcPr>
          <w:p w14:paraId="2F1D2B51" w14:textId="77777777" w:rsidR="00632889" w:rsidRPr="00D30E43" w:rsidRDefault="00A25543" w:rsidP="00632889">
            <w:pPr>
              <w:pStyle w:val="Tabletext"/>
              <w:jc w:val="center"/>
              <w:rPr>
                <w:rStyle w:val="Hyperlink"/>
              </w:rPr>
            </w:pPr>
            <w:hyperlink r:id="rId30" w:history="1">
              <w:r w:rsidR="00632889" w:rsidRPr="00D30E43">
                <w:rPr>
                  <w:rStyle w:val="Hyperlink"/>
                </w:rPr>
                <w:t>24</w:t>
              </w:r>
            </w:hyperlink>
          </w:p>
          <w:p w14:paraId="0D13959A" w14:textId="77777777" w:rsidR="00632889" w:rsidRPr="00D30E43" w:rsidRDefault="00A25543" w:rsidP="00632889">
            <w:pPr>
              <w:pStyle w:val="Tabletext"/>
              <w:jc w:val="center"/>
              <w:rPr>
                <w:rStyle w:val="Hyperlink"/>
              </w:rPr>
            </w:pPr>
            <w:hyperlink r:id="rId31" w:history="1">
              <w:r w:rsidR="00632889" w:rsidRPr="00D30E43">
                <w:rPr>
                  <w:rStyle w:val="Hyperlink"/>
                </w:rPr>
                <w:t>72</w:t>
              </w:r>
            </w:hyperlink>
          </w:p>
        </w:tc>
      </w:tr>
      <w:tr w:rsidR="00632889" w:rsidRPr="003E114B" w14:paraId="2DF04D49" w14:textId="77777777" w:rsidTr="00632889">
        <w:trPr>
          <w:cantSplit/>
          <w:jc w:val="center"/>
        </w:trPr>
        <w:tc>
          <w:tcPr>
            <w:tcW w:w="1052" w:type="dxa"/>
            <w:vAlign w:val="center"/>
          </w:tcPr>
          <w:p w14:paraId="28D9A1FF" w14:textId="77777777" w:rsidR="00632889" w:rsidRPr="003E114B" w:rsidDel="00AD7777" w:rsidRDefault="00632889" w:rsidP="00632889">
            <w:pPr>
              <w:pStyle w:val="Tabletext"/>
              <w:jc w:val="center"/>
              <w:rPr>
                <w:b/>
                <w:lang w:eastAsia="en-GB"/>
              </w:rPr>
            </w:pPr>
            <w:r w:rsidRPr="00632889">
              <w:rPr>
                <w:b/>
                <w:lang w:eastAsia="en-GB"/>
              </w:rPr>
              <w:t>15</w:t>
            </w:r>
          </w:p>
        </w:tc>
        <w:tc>
          <w:tcPr>
            <w:tcW w:w="6886" w:type="dxa"/>
            <w:shd w:val="clear" w:color="auto" w:fill="auto"/>
            <w:vAlign w:val="center"/>
          </w:tcPr>
          <w:p w14:paraId="402886E2" w14:textId="77777777" w:rsidR="00632889" w:rsidRPr="00D252C0" w:rsidRDefault="00632889" w:rsidP="00632889">
            <w:pPr>
              <w:pStyle w:val="Tabletext"/>
              <w:rPr>
                <w:bCs/>
                <w:szCs w:val="20"/>
                <w:lang w:eastAsia="en-GB"/>
              </w:rPr>
            </w:pPr>
            <w:r w:rsidRPr="00D252C0">
              <w:rPr>
                <w:bCs/>
                <w:szCs w:val="20"/>
                <w:lang w:eastAsia="en-GB"/>
              </w:rPr>
              <w:t xml:space="preserve">Preparativos para el FMPT-21 </w:t>
            </w:r>
            <w:r w:rsidRPr="00D252C0">
              <w:rPr>
                <w:bCs/>
                <w:i/>
                <w:iCs/>
                <w:szCs w:val="20"/>
                <w:lang w:eastAsia="en-GB"/>
              </w:rPr>
              <w:t>(Res. 2, A 611) (PL 2.9)</w:t>
            </w:r>
          </w:p>
        </w:tc>
        <w:tc>
          <w:tcPr>
            <w:tcW w:w="1695" w:type="dxa"/>
            <w:shd w:val="clear" w:color="auto" w:fill="auto"/>
            <w:vAlign w:val="center"/>
          </w:tcPr>
          <w:p w14:paraId="6DCB5E5F" w14:textId="77777777" w:rsidR="00632889" w:rsidRPr="00D30E43" w:rsidRDefault="00A25543" w:rsidP="00632889">
            <w:pPr>
              <w:pStyle w:val="Tabletext"/>
              <w:jc w:val="center"/>
              <w:rPr>
                <w:rStyle w:val="Hyperlink"/>
              </w:rPr>
            </w:pPr>
            <w:hyperlink r:id="rId32" w:history="1">
              <w:r w:rsidR="00632889" w:rsidRPr="00D30E43">
                <w:rPr>
                  <w:rStyle w:val="Hyperlink"/>
                </w:rPr>
                <w:t>5</w:t>
              </w:r>
            </w:hyperlink>
          </w:p>
        </w:tc>
      </w:tr>
      <w:tr w:rsidR="00632889" w:rsidRPr="003E114B" w14:paraId="4F483BC5" w14:textId="77777777" w:rsidTr="00632889">
        <w:trPr>
          <w:cantSplit/>
          <w:jc w:val="center"/>
        </w:trPr>
        <w:tc>
          <w:tcPr>
            <w:tcW w:w="1052" w:type="dxa"/>
            <w:vAlign w:val="center"/>
          </w:tcPr>
          <w:p w14:paraId="76D1BD36" w14:textId="77777777" w:rsidR="00632889" w:rsidRPr="003E114B" w:rsidDel="00AD7777" w:rsidRDefault="00632889" w:rsidP="00632889">
            <w:pPr>
              <w:pStyle w:val="Tabletext"/>
              <w:jc w:val="center"/>
              <w:rPr>
                <w:b/>
                <w:lang w:eastAsia="en-GB"/>
              </w:rPr>
            </w:pPr>
            <w:r w:rsidRPr="00632889">
              <w:rPr>
                <w:b/>
                <w:lang w:eastAsia="en-GB"/>
              </w:rPr>
              <w:t>16</w:t>
            </w:r>
          </w:p>
        </w:tc>
        <w:tc>
          <w:tcPr>
            <w:tcW w:w="6886" w:type="dxa"/>
            <w:shd w:val="clear" w:color="auto" w:fill="auto"/>
            <w:vAlign w:val="center"/>
          </w:tcPr>
          <w:p w14:paraId="6754BCB2" w14:textId="4948DC58" w:rsidR="00632889" w:rsidRPr="00D252C0" w:rsidRDefault="00632889" w:rsidP="00632889">
            <w:pPr>
              <w:pStyle w:val="Tabletext"/>
              <w:rPr>
                <w:bCs/>
                <w:szCs w:val="20"/>
                <w:lang w:eastAsia="en-GB"/>
              </w:rPr>
            </w:pPr>
            <w:r w:rsidRPr="00D252C0">
              <w:rPr>
                <w:bCs/>
                <w:szCs w:val="20"/>
                <w:lang w:eastAsia="en-GB"/>
              </w:rPr>
              <w:t>Preparativos</w:t>
            </w:r>
            <w:r w:rsidRPr="003E114B">
              <w:rPr>
                <w:bCs/>
                <w:szCs w:val="20"/>
                <w:lang w:eastAsia="en-GB"/>
              </w:rPr>
              <w:t xml:space="preserve"> para la CMDT-21</w:t>
            </w:r>
            <w:r w:rsidR="00A13427">
              <w:rPr>
                <w:bCs/>
                <w:szCs w:val="20"/>
                <w:lang w:eastAsia="en-GB"/>
              </w:rPr>
              <w:t xml:space="preserve"> (</w:t>
            </w:r>
            <w:r w:rsidR="00A13427" w:rsidRPr="00A13427">
              <w:rPr>
                <w:bCs/>
                <w:i/>
                <w:iCs/>
                <w:szCs w:val="20"/>
                <w:lang w:eastAsia="en-GB"/>
              </w:rPr>
              <w:t>PL 2.10</w:t>
            </w:r>
            <w:r w:rsidR="00A13427">
              <w:rPr>
                <w:bCs/>
                <w:szCs w:val="20"/>
                <w:lang w:eastAsia="en-GB"/>
              </w:rPr>
              <w:t>)</w:t>
            </w:r>
          </w:p>
        </w:tc>
        <w:tc>
          <w:tcPr>
            <w:tcW w:w="1695" w:type="dxa"/>
            <w:shd w:val="clear" w:color="auto" w:fill="auto"/>
            <w:vAlign w:val="center"/>
          </w:tcPr>
          <w:p w14:paraId="38D7F113" w14:textId="77777777" w:rsidR="00632889" w:rsidRPr="00D30E43" w:rsidRDefault="00A25543" w:rsidP="00632889">
            <w:pPr>
              <w:pStyle w:val="Tabletext"/>
              <w:jc w:val="center"/>
              <w:rPr>
                <w:rStyle w:val="Hyperlink"/>
              </w:rPr>
            </w:pPr>
            <w:hyperlink r:id="rId33" w:history="1">
              <w:r w:rsidR="00632889" w:rsidRPr="00D30E43">
                <w:rPr>
                  <w:rStyle w:val="Hyperlink"/>
                </w:rPr>
                <w:t>30</w:t>
              </w:r>
            </w:hyperlink>
          </w:p>
        </w:tc>
      </w:tr>
      <w:tr w:rsidR="00632889" w:rsidRPr="003E114B" w14:paraId="33693442" w14:textId="77777777" w:rsidTr="00632889">
        <w:trPr>
          <w:cantSplit/>
          <w:jc w:val="center"/>
        </w:trPr>
        <w:tc>
          <w:tcPr>
            <w:tcW w:w="1052" w:type="dxa"/>
            <w:vAlign w:val="center"/>
          </w:tcPr>
          <w:p w14:paraId="2129D48D" w14:textId="77777777" w:rsidR="00632889" w:rsidRPr="003E114B" w:rsidDel="00AD7777" w:rsidRDefault="00632889" w:rsidP="00632889">
            <w:pPr>
              <w:pStyle w:val="Tabletext"/>
              <w:jc w:val="center"/>
              <w:rPr>
                <w:b/>
                <w:lang w:eastAsia="en-GB"/>
              </w:rPr>
            </w:pPr>
            <w:r w:rsidRPr="00632889">
              <w:rPr>
                <w:b/>
                <w:lang w:eastAsia="en-GB"/>
              </w:rPr>
              <w:t>17</w:t>
            </w:r>
          </w:p>
        </w:tc>
        <w:tc>
          <w:tcPr>
            <w:tcW w:w="6886" w:type="dxa"/>
            <w:shd w:val="clear" w:color="auto" w:fill="auto"/>
            <w:vAlign w:val="center"/>
          </w:tcPr>
          <w:p w14:paraId="5CCBF2D9" w14:textId="77777777" w:rsidR="00632889" w:rsidRPr="00D252C0" w:rsidRDefault="00632889" w:rsidP="00632889">
            <w:pPr>
              <w:pStyle w:val="Tabletext"/>
              <w:rPr>
                <w:bCs/>
                <w:szCs w:val="20"/>
                <w:lang w:eastAsia="en-GB"/>
              </w:rPr>
            </w:pPr>
            <w:r w:rsidRPr="00D252C0">
              <w:rPr>
                <w:bCs/>
                <w:szCs w:val="20"/>
                <w:lang w:eastAsia="en-GB"/>
              </w:rPr>
              <w:t xml:space="preserve">Informe del Auditor Interno sobre actividades de auditoría interna </w:t>
            </w:r>
            <w:r w:rsidRPr="00D252C0">
              <w:rPr>
                <w:bCs/>
                <w:i/>
                <w:iCs/>
                <w:szCs w:val="20"/>
                <w:lang w:eastAsia="en-GB"/>
              </w:rPr>
              <w:t>(ADM 18)</w:t>
            </w:r>
          </w:p>
        </w:tc>
        <w:tc>
          <w:tcPr>
            <w:tcW w:w="1695" w:type="dxa"/>
            <w:shd w:val="clear" w:color="auto" w:fill="auto"/>
            <w:vAlign w:val="center"/>
          </w:tcPr>
          <w:p w14:paraId="17304F91" w14:textId="77777777" w:rsidR="00632889" w:rsidRPr="00D30E43" w:rsidRDefault="00A25543" w:rsidP="00632889">
            <w:pPr>
              <w:pStyle w:val="Tabletext"/>
              <w:jc w:val="center"/>
              <w:rPr>
                <w:rStyle w:val="Hyperlink"/>
              </w:rPr>
            </w:pPr>
            <w:hyperlink r:id="rId34" w:history="1">
              <w:r w:rsidR="00632889" w:rsidRPr="00D30E43">
                <w:rPr>
                  <w:rStyle w:val="Hyperlink"/>
                </w:rPr>
                <w:t>44</w:t>
              </w:r>
            </w:hyperlink>
          </w:p>
        </w:tc>
      </w:tr>
    </w:tbl>
    <w:p w14:paraId="694A3D11" w14:textId="4AFF27B4" w:rsidR="00632889" w:rsidRPr="00AD7777" w:rsidRDefault="00632889" w:rsidP="00632889">
      <w:pPr>
        <w:pStyle w:val="Heading1"/>
        <w:spacing w:after="240"/>
      </w:pPr>
      <w:bookmarkStart w:id="47" w:name="lt_pId219"/>
      <w:bookmarkEnd w:id="44"/>
      <w:r w:rsidRPr="00AD7777">
        <w:t>2</w:t>
      </w:r>
      <w:r w:rsidRPr="00AD7777">
        <w:tab/>
      </w:r>
      <w:proofErr w:type="gramStart"/>
      <w:r w:rsidRPr="00AD7777">
        <w:t>Document</w:t>
      </w:r>
      <w:r>
        <w:t>o</w:t>
      </w:r>
      <w:r w:rsidRPr="00AD7777">
        <w:t>s</w:t>
      </w:r>
      <w:proofErr w:type="gramEnd"/>
      <w:r w:rsidRPr="00AD7777">
        <w:t xml:space="preserve"> </w:t>
      </w:r>
      <w:r>
        <w:t>que podrían debatirse en la CVC-2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7211"/>
        <w:gridCol w:w="1695"/>
      </w:tblGrid>
      <w:tr w:rsidR="00632889" w:rsidRPr="003E114B" w14:paraId="19E82E00" w14:textId="77777777" w:rsidTr="00632889">
        <w:trPr>
          <w:trHeight w:val="720"/>
          <w:tblHeader/>
          <w:jc w:val="center"/>
        </w:trPr>
        <w:tc>
          <w:tcPr>
            <w:tcW w:w="727" w:type="dxa"/>
            <w:vMerge w:val="restart"/>
            <w:tcBorders>
              <w:top w:val="nil"/>
              <w:left w:val="nil"/>
            </w:tcBorders>
            <w:shd w:val="clear" w:color="auto" w:fill="auto"/>
            <w:vAlign w:val="center"/>
          </w:tcPr>
          <w:p w14:paraId="601597A1" w14:textId="77777777" w:rsidR="00632889" w:rsidRPr="003E114B" w:rsidRDefault="00632889" w:rsidP="00632889">
            <w:pPr>
              <w:spacing w:before="20" w:after="20" w:line="240" w:lineRule="auto"/>
              <w:jc w:val="center"/>
              <w:rPr>
                <w:b/>
                <w:bCs/>
                <w:color w:val="000000"/>
                <w:sz w:val="20"/>
                <w:szCs w:val="20"/>
                <w:lang w:eastAsia="en-GB"/>
              </w:rPr>
            </w:pPr>
            <w:bookmarkStart w:id="48" w:name="_Hlk40351989"/>
            <w:bookmarkEnd w:id="47"/>
          </w:p>
        </w:tc>
        <w:tc>
          <w:tcPr>
            <w:tcW w:w="7211" w:type="dxa"/>
            <w:vMerge w:val="restart"/>
            <w:shd w:val="pct15" w:color="auto" w:fill="auto"/>
            <w:vAlign w:val="center"/>
            <w:hideMark/>
          </w:tcPr>
          <w:p w14:paraId="3766EF41" w14:textId="77777777" w:rsidR="00632889" w:rsidRPr="003E114B" w:rsidRDefault="00632889" w:rsidP="00632889">
            <w:pPr>
              <w:pStyle w:val="Tablehead"/>
              <w:rPr>
                <w:lang w:eastAsia="en-GB"/>
              </w:rPr>
            </w:pPr>
            <w:r w:rsidRPr="003E114B">
              <w:rPr>
                <w:lang w:eastAsia="en-GB"/>
              </w:rPr>
              <w:t>Asunto</w:t>
            </w:r>
          </w:p>
        </w:tc>
        <w:tc>
          <w:tcPr>
            <w:tcW w:w="1695" w:type="dxa"/>
            <w:vMerge w:val="restart"/>
            <w:shd w:val="pct15" w:color="auto" w:fill="auto"/>
            <w:noWrap/>
            <w:vAlign w:val="center"/>
            <w:hideMark/>
          </w:tcPr>
          <w:p w14:paraId="02F55C72" w14:textId="77777777" w:rsidR="00632889" w:rsidRPr="003E114B" w:rsidRDefault="00632889" w:rsidP="00632889">
            <w:pPr>
              <w:pStyle w:val="Tablehead"/>
              <w:rPr>
                <w:lang w:eastAsia="en-GB"/>
              </w:rPr>
            </w:pPr>
            <w:r w:rsidRPr="003E114B">
              <w:rPr>
                <w:lang w:eastAsia="en-GB"/>
              </w:rPr>
              <w:t>C20/#</w:t>
            </w:r>
            <w:r>
              <w:rPr>
                <w:lang w:eastAsia="en-GB"/>
              </w:rPr>
              <w:br/>
              <w:t>VC/#</w:t>
            </w:r>
          </w:p>
        </w:tc>
      </w:tr>
      <w:tr w:rsidR="00632889" w:rsidRPr="003E114B" w14:paraId="7F52CF52" w14:textId="77777777" w:rsidTr="00632889">
        <w:trPr>
          <w:trHeight w:val="720"/>
          <w:tblHeader/>
          <w:jc w:val="center"/>
        </w:trPr>
        <w:tc>
          <w:tcPr>
            <w:tcW w:w="727" w:type="dxa"/>
            <w:vMerge/>
            <w:tcBorders>
              <w:left w:val="nil"/>
            </w:tcBorders>
            <w:shd w:val="clear" w:color="auto" w:fill="auto"/>
            <w:vAlign w:val="center"/>
          </w:tcPr>
          <w:p w14:paraId="7B396C66" w14:textId="77777777" w:rsidR="00632889" w:rsidRPr="003E114B" w:rsidRDefault="00632889" w:rsidP="00632889">
            <w:pPr>
              <w:spacing w:before="20" w:after="20" w:line="240" w:lineRule="auto"/>
              <w:jc w:val="center"/>
              <w:rPr>
                <w:b/>
                <w:bCs/>
                <w:color w:val="000000"/>
                <w:sz w:val="20"/>
                <w:szCs w:val="20"/>
                <w:lang w:eastAsia="en-GB"/>
              </w:rPr>
            </w:pPr>
          </w:p>
        </w:tc>
        <w:tc>
          <w:tcPr>
            <w:tcW w:w="7211" w:type="dxa"/>
            <w:vMerge/>
            <w:shd w:val="pct15" w:color="auto" w:fill="auto"/>
            <w:vAlign w:val="center"/>
          </w:tcPr>
          <w:p w14:paraId="650070F3" w14:textId="77777777" w:rsidR="00632889" w:rsidRPr="003E114B" w:rsidRDefault="00632889" w:rsidP="00632889">
            <w:pPr>
              <w:pStyle w:val="Tablehead"/>
              <w:rPr>
                <w:lang w:eastAsia="en-GB"/>
              </w:rPr>
            </w:pPr>
          </w:p>
        </w:tc>
        <w:tc>
          <w:tcPr>
            <w:tcW w:w="1695" w:type="dxa"/>
            <w:vMerge/>
            <w:shd w:val="pct15" w:color="auto" w:fill="auto"/>
            <w:noWrap/>
            <w:vAlign w:val="center"/>
          </w:tcPr>
          <w:p w14:paraId="5CFA09B2" w14:textId="77777777" w:rsidR="00632889" w:rsidRPr="003E114B" w:rsidRDefault="00632889" w:rsidP="00632889">
            <w:pPr>
              <w:pStyle w:val="Tablehead"/>
              <w:rPr>
                <w:lang w:eastAsia="en-GB"/>
              </w:rPr>
            </w:pPr>
          </w:p>
        </w:tc>
      </w:tr>
      <w:tr w:rsidR="00632889" w:rsidRPr="003E114B" w14:paraId="6BBEABB9" w14:textId="77777777" w:rsidTr="00632889">
        <w:trPr>
          <w:jc w:val="center"/>
        </w:trPr>
        <w:tc>
          <w:tcPr>
            <w:tcW w:w="727" w:type="dxa"/>
            <w:shd w:val="clear" w:color="auto" w:fill="auto"/>
            <w:vAlign w:val="center"/>
          </w:tcPr>
          <w:p w14:paraId="26E87EF1" w14:textId="77777777" w:rsidR="00632889" w:rsidRPr="003E114B" w:rsidRDefault="00632889" w:rsidP="00632889">
            <w:pPr>
              <w:pStyle w:val="Tabletext"/>
              <w:jc w:val="center"/>
              <w:rPr>
                <w:b/>
                <w:lang w:eastAsia="en-GB"/>
              </w:rPr>
            </w:pPr>
            <w:r w:rsidRPr="003E114B">
              <w:rPr>
                <w:b/>
                <w:lang w:eastAsia="en-GB"/>
              </w:rPr>
              <w:t>1</w:t>
            </w:r>
          </w:p>
        </w:tc>
        <w:tc>
          <w:tcPr>
            <w:tcW w:w="7211" w:type="dxa"/>
            <w:shd w:val="clear" w:color="auto" w:fill="auto"/>
            <w:vAlign w:val="center"/>
          </w:tcPr>
          <w:p w14:paraId="405AAAA8" w14:textId="77777777" w:rsidR="00632889" w:rsidRPr="003E114B" w:rsidRDefault="00632889" w:rsidP="00632889">
            <w:pPr>
              <w:pStyle w:val="Tabletext"/>
              <w:rPr>
                <w:lang w:eastAsia="en-GB"/>
              </w:rPr>
            </w:pPr>
            <w:r w:rsidRPr="003E114B">
              <w:rPr>
                <w:rFonts w:cstheme="minorHAnsi"/>
                <w:color w:val="000000"/>
                <w:szCs w:val="20"/>
                <w:lang w:eastAsia="en-GB"/>
              </w:rPr>
              <w:t>Apoyo a la TSB</w:t>
            </w:r>
            <w:r w:rsidRPr="00573BC9">
              <w:rPr>
                <w:rFonts w:cstheme="minorHAnsi"/>
                <w:color w:val="000000"/>
                <w:szCs w:val="20"/>
                <w:lang w:val="es-ES" w:eastAsia="en-GB"/>
              </w:rPr>
              <w:t xml:space="preserve"> </w:t>
            </w:r>
            <w:r w:rsidRPr="00573BC9">
              <w:rPr>
                <w:rFonts w:cstheme="minorHAnsi"/>
                <w:i/>
                <w:iCs/>
                <w:color w:val="000000"/>
                <w:szCs w:val="20"/>
                <w:lang w:val="es-ES" w:eastAsia="en-GB"/>
              </w:rPr>
              <w:t>(ADM 4)</w:t>
            </w:r>
          </w:p>
        </w:tc>
        <w:tc>
          <w:tcPr>
            <w:tcW w:w="1695" w:type="dxa"/>
            <w:shd w:val="clear" w:color="auto" w:fill="auto"/>
            <w:noWrap/>
            <w:vAlign w:val="center"/>
          </w:tcPr>
          <w:p w14:paraId="7151D754" w14:textId="77777777" w:rsidR="00632889" w:rsidRPr="00D30E43" w:rsidRDefault="00A25543" w:rsidP="00632889">
            <w:pPr>
              <w:pStyle w:val="Tabletext"/>
              <w:jc w:val="center"/>
              <w:rPr>
                <w:rStyle w:val="Hyperlink"/>
              </w:rPr>
            </w:pPr>
            <w:hyperlink r:id="rId35" w:history="1">
              <w:r w:rsidR="00632889" w:rsidRPr="00D30E43">
                <w:rPr>
                  <w:rStyle w:val="Hyperlink"/>
                </w:rPr>
                <w:t>14</w:t>
              </w:r>
            </w:hyperlink>
          </w:p>
        </w:tc>
      </w:tr>
      <w:tr w:rsidR="00632889" w:rsidRPr="003E114B" w14:paraId="4B8AA4CA" w14:textId="77777777" w:rsidTr="00632889">
        <w:trPr>
          <w:jc w:val="center"/>
        </w:trPr>
        <w:tc>
          <w:tcPr>
            <w:tcW w:w="727" w:type="dxa"/>
            <w:shd w:val="clear" w:color="auto" w:fill="auto"/>
            <w:vAlign w:val="center"/>
          </w:tcPr>
          <w:p w14:paraId="0CCEBBF1" w14:textId="77777777" w:rsidR="00632889" w:rsidRPr="003E114B" w:rsidRDefault="00632889" w:rsidP="00632889">
            <w:pPr>
              <w:pStyle w:val="Tabletext"/>
              <w:jc w:val="center"/>
              <w:rPr>
                <w:b/>
                <w:lang w:eastAsia="en-GB"/>
              </w:rPr>
            </w:pPr>
            <w:r w:rsidRPr="003E114B">
              <w:rPr>
                <w:b/>
                <w:lang w:eastAsia="en-GB"/>
              </w:rPr>
              <w:t>2</w:t>
            </w:r>
          </w:p>
        </w:tc>
        <w:tc>
          <w:tcPr>
            <w:tcW w:w="7211" w:type="dxa"/>
            <w:shd w:val="clear" w:color="auto" w:fill="auto"/>
            <w:vAlign w:val="center"/>
          </w:tcPr>
          <w:p w14:paraId="720CB708" w14:textId="31C47EF8" w:rsidR="00632889" w:rsidRPr="00036C5A" w:rsidRDefault="00C063EB" w:rsidP="00632889">
            <w:pPr>
              <w:keepNext/>
              <w:keepLines/>
              <w:spacing w:before="60" w:after="60" w:line="240" w:lineRule="auto"/>
              <w:rPr>
                <w:bCs/>
                <w:iCs/>
                <w:sz w:val="20"/>
                <w:szCs w:val="20"/>
              </w:rPr>
            </w:pPr>
            <w:r>
              <w:rPr>
                <w:bCs/>
                <w:iCs/>
                <w:sz w:val="20"/>
                <w:szCs w:val="20"/>
              </w:rPr>
              <w:t>R</w:t>
            </w:r>
            <w:r w:rsidR="00632889" w:rsidRPr="00632889">
              <w:rPr>
                <w:bCs/>
                <w:iCs/>
                <w:sz w:val="20"/>
                <w:szCs w:val="20"/>
              </w:rPr>
              <w:t xml:space="preserve">epercusiones de la pandemia del </w:t>
            </w:r>
            <w:r>
              <w:rPr>
                <w:bCs/>
                <w:iCs/>
                <w:sz w:val="20"/>
                <w:szCs w:val="20"/>
              </w:rPr>
              <w:t>C</w:t>
            </w:r>
            <w:r w:rsidR="00632889" w:rsidRPr="00632889">
              <w:rPr>
                <w:bCs/>
                <w:iCs/>
                <w:sz w:val="20"/>
                <w:szCs w:val="20"/>
              </w:rPr>
              <w:t xml:space="preserve">ovid-19 sobre el funcionamiento y las actividades de la UIT </w:t>
            </w:r>
          </w:p>
          <w:p w14:paraId="6CD6ADBB" w14:textId="615D238C" w:rsidR="00632889" w:rsidRPr="00036C5A" w:rsidRDefault="00632889" w:rsidP="00632889">
            <w:pPr>
              <w:pStyle w:val="Tabletext"/>
              <w:rPr>
                <w:bCs/>
                <w:iCs/>
              </w:rPr>
            </w:pPr>
            <w:r w:rsidRPr="00924B26">
              <w:rPr>
                <w:rFonts w:cstheme="minorHAnsi"/>
                <w:color w:val="000000"/>
                <w:lang w:eastAsia="en-GB"/>
              </w:rPr>
              <w:t>–</w:t>
            </w:r>
            <w:r>
              <w:rPr>
                <w:rFonts w:cstheme="minorHAnsi"/>
                <w:color w:val="000000"/>
                <w:lang w:eastAsia="en-GB"/>
              </w:rPr>
              <w:tab/>
            </w:r>
            <w:r w:rsidR="00C063EB" w:rsidRPr="00036C5A">
              <w:rPr>
                <w:bCs/>
                <w:iCs/>
              </w:rPr>
              <w:t>Contribuciones</w:t>
            </w:r>
            <w:r w:rsidRPr="00036C5A">
              <w:rPr>
                <w:bCs/>
                <w:iCs/>
              </w:rPr>
              <w:t xml:space="preserve"> </w:t>
            </w:r>
            <w:r w:rsidR="00C063EB">
              <w:rPr>
                <w:bCs/>
                <w:iCs/>
              </w:rPr>
              <w:t>de la Federación de Rusia</w:t>
            </w:r>
          </w:p>
          <w:p w14:paraId="02D3DAA5" w14:textId="33B25A56" w:rsidR="00632889" w:rsidRPr="003E114B" w:rsidRDefault="00632889" w:rsidP="00632889">
            <w:pPr>
              <w:pStyle w:val="Tabletext"/>
              <w:rPr>
                <w:lang w:eastAsia="en-GB"/>
              </w:rPr>
            </w:pPr>
            <w:r w:rsidRPr="00924B26">
              <w:rPr>
                <w:rFonts w:cstheme="minorHAnsi"/>
                <w:color w:val="000000"/>
                <w:lang w:eastAsia="en-GB"/>
              </w:rPr>
              <w:t>–</w:t>
            </w:r>
            <w:r>
              <w:rPr>
                <w:rFonts w:cstheme="minorHAnsi"/>
                <w:color w:val="000000"/>
                <w:lang w:eastAsia="en-GB"/>
              </w:rPr>
              <w:tab/>
            </w:r>
            <w:r w:rsidR="00C063EB" w:rsidRPr="00036C5A">
              <w:rPr>
                <w:bCs/>
                <w:iCs/>
              </w:rPr>
              <w:t>Contribución</w:t>
            </w:r>
            <w:r w:rsidRPr="00036C5A">
              <w:rPr>
                <w:bCs/>
                <w:iCs/>
              </w:rPr>
              <w:t xml:space="preserve"> </w:t>
            </w:r>
            <w:r w:rsidR="00C063EB">
              <w:rPr>
                <w:bCs/>
                <w:iCs/>
              </w:rPr>
              <w:t>de</w:t>
            </w:r>
            <w:r w:rsidRPr="00036C5A">
              <w:rPr>
                <w:bCs/>
                <w:iCs/>
              </w:rPr>
              <w:t xml:space="preserve"> China</w:t>
            </w:r>
          </w:p>
        </w:tc>
        <w:tc>
          <w:tcPr>
            <w:tcW w:w="1695" w:type="dxa"/>
            <w:shd w:val="clear" w:color="auto" w:fill="auto"/>
            <w:noWrap/>
            <w:vAlign w:val="center"/>
          </w:tcPr>
          <w:p w14:paraId="14779B39" w14:textId="77777777" w:rsidR="00632889" w:rsidRPr="00D30E43" w:rsidRDefault="00A25543" w:rsidP="00632889">
            <w:pPr>
              <w:pStyle w:val="Tabletext"/>
              <w:jc w:val="center"/>
              <w:rPr>
                <w:rStyle w:val="Hyperlink"/>
              </w:rPr>
            </w:pPr>
            <w:hyperlink r:id="rId36" w:history="1">
              <w:r w:rsidR="00632889" w:rsidRPr="00D30E43">
                <w:rPr>
                  <w:rStyle w:val="Hyperlink"/>
                </w:rPr>
                <w:t>VC/13</w:t>
              </w:r>
            </w:hyperlink>
            <w:r w:rsidR="00632889" w:rsidRPr="00D30E43">
              <w:rPr>
                <w:rStyle w:val="Hyperlink"/>
              </w:rPr>
              <w:br/>
            </w:r>
            <w:r w:rsidR="00632889" w:rsidRPr="00D30E43">
              <w:rPr>
                <w:rStyle w:val="Hyperlink"/>
              </w:rPr>
              <w:br/>
            </w:r>
            <w:hyperlink r:id="rId37" w:history="1">
              <w:r w:rsidR="00632889" w:rsidRPr="00D30E43">
                <w:rPr>
                  <w:rStyle w:val="Hyperlink"/>
                </w:rPr>
                <w:t>VC/2</w:t>
              </w:r>
            </w:hyperlink>
            <w:r w:rsidR="00632889" w:rsidRPr="00D30E43">
              <w:rPr>
                <w:rStyle w:val="Hyperlink"/>
              </w:rPr>
              <w:br/>
            </w:r>
            <w:hyperlink r:id="rId38" w:history="1">
              <w:r w:rsidR="00632889" w:rsidRPr="00D30E43">
                <w:rPr>
                  <w:rStyle w:val="Hyperlink"/>
                </w:rPr>
                <w:t>VC/10</w:t>
              </w:r>
            </w:hyperlink>
          </w:p>
        </w:tc>
      </w:tr>
      <w:tr w:rsidR="00632889" w:rsidRPr="003E114B" w14:paraId="4D0CAA8D" w14:textId="77777777" w:rsidTr="00632889">
        <w:trPr>
          <w:jc w:val="center"/>
        </w:trPr>
        <w:tc>
          <w:tcPr>
            <w:tcW w:w="727" w:type="dxa"/>
            <w:shd w:val="clear" w:color="auto" w:fill="auto"/>
            <w:vAlign w:val="center"/>
          </w:tcPr>
          <w:p w14:paraId="20E0A403" w14:textId="5ED2DF55" w:rsidR="00632889" w:rsidRPr="003E114B" w:rsidRDefault="00632889" w:rsidP="00632889">
            <w:pPr>
              <w:pStyle w:val="Tabletext"/>
              <w:jc w:val="center"/>
              <w:rPr>
                <w:b/>
                <w:lang w:eastAsia="en-GB"/>
              </w:rPr>
            </w:pPr>
            <w:r>
              <w:rPr>
                <w:b/>
                <w:lang w:eastAsia="en-GB"/>
              </w:rPr>
              <w:t>3</w:t>
            </w:r>
          </w:p>
        </w:tc>
        <w:tc>
          <w:tcPr>
            <w:tcW w:w="7211" w:type="dxa"/>
            <w:shd w:val="clear" w:color="auto" w:fill="auto"/>
            <w:vAlign w:val="center"/>
            <w:hideMark/>
          </w:tcPr>
          <w:p w14:paraId="6500DDA1" w14:textId="77777777" w:rsidR="00632889" w:rsidRPr="003E114B" w:rsidRDefault="00632889" w:rsidP="00632889">
            <w:pPr>
              <w:pStyle w:val="Tabletext"/>
              <w:rPr>
                <w:color w:val="000000"/>
                <w:szCs w:val="20"/>
                <w:lang w:eastAsia="en-GB"/>
              </w:rPr>
            </w:pPr>
            <w:r w:rsidRPr="003E114B">
              <w:rPr>
                <w:lang w:eastAsia="en-GB"/>
              </w:rPr>
              <w:t>Informe</w:t>
            </w:r>
            <w:r w:rsidRPr="003E114B">
              <w:rPr>
                <w:bCs/>
                <w:color w:val="000000"/>
                <w:szCs w:val="20"/>
                <w:lang w:eastAsia="en-GB"/>
              </w:rPr>
              <w:t xml:space="preserve"> sobre los resultados de las actividades del GTC-CMSI+ODS </w:t>
            </w:r>
            <w:r w:rsidRPr="003E114B">
              <w:rPr>
                <w:bCs/>
                <w:i/>
                <w:iCs/>
                <w:color w:val="000000"/>
                <w:szCs w:val="20"/>
                <w:lang w:eastAsia="en-GB"/>
              </w:rPr>
              <w:t>(Res. 140, R 1281, R 1332(MOD), R 1334(MOD))</w:t>
            </w:r>
            <w:r w:rsidRPr="00573BC9">
              <w:rPr>
                <w:bCs/>
                <w:i/>
                <w:iCs/>
                <w:color w:val="000000"/>
                <w:szCs w:val="20"/>
                <w:lang w:val="es-ES" w:eastAsia="en-GB"/>
              </w:rPr>
              <w:t xml:space="preserve"> (PL 1.1)</w:t>
            </w:r>
          </w:p>
        </w:tc>
        <w:tc>
          <w:tcPr>
            <w:tcW w:w="1695" w:type="dxa"/>
            <w:shd w:val="clear" w:color="auto" w:fill="auto"/>
            <w:noWrap/>
            <w:vAlign w:val="center"/>
            <w:hideMark/>
          </w:tcPr>
          <w:p w14:paraId="6D4361D2" w14:textId="5ACEB836" w:rsidR="00632889" w:rsidRPr="00D30E43" w:rsidRDefault="00A25543" w:rsidP="00632889">
            <w:pPr>
              <w:pStyle w:val="Tabletext"/>
              <w:jc w:val="center"/>
              <w:rPr>
                <w:rStyle w:val="Hyperlink"/>
              </w:rPr>
            </w:pPr>
            <w:hyperlink r:id="rId39" w:history="1">
              <w:r w:rsidR="00632889" w:rsidRPr="00D30E43">
                <w:rPr>
                  <w:rStyle w:val="Hyperlink"/>
                </w:rPr>
                <w:t>8</w:t>
              </w:r>
            </w:hyperlink>
          </w:p>
        </w:tc>
      </w:tr>
      <w:tr w:rsidR="00632889" w:rsidRPr="003E114B" w14:paraId="1F0BA8E6" w14:textId="77777777" w:rsidTr="00632889">
        <w:trPr>
          <w:jc w:val="center"/>
        </w:trPr>
        <w:tc>
          <w:tcPr>
            <w:tcW w:w="727" w:type="dxa"/>
            <w:shd w:val="clear" w:color="auto" w:fill="auto"/>
            <w:vAlign w:val="center"/>
          </w:tcPr>
          <w:p w14:paraId="79F7C766" w14:textId="477DE4E1" w:rsidR="00632889" w:rsidRPr="003E114B" w:rsidRDefault="00632889" w:rsidP="00632889">
            <w:pPr>
              <w:pStyle w:val="Tabletext"/>
              <w:jc w:val="center"/>
              <w:rPr>
                <w:b/>
                <w:lang w:eastAsia="en-GB"/>
              </w:rPr>
            </w:pPr>
            <w:r>
              <w:rPr>
                <w:b/>
                <w:lang w:eastAsia="en-GB"/>
              </w:rPr>
              <w:t>4</w:t>
            </w:r>
          </w:p>
        </w:tc>
        <w:tc>
          <w:tcPr>
            <w:tcW w:w="7211" w:type="dxa"/>
            <w:shd w:val="clear" w:color="auto" w:fill="auto"/>
            <w:vAlign w:val="center"/>
            <w:hideMark/>
          </w:tcPr>
          <w:p w14:paraId="31A98EA3" w14:textId="77777777" w:rsidR="00632889" w:rsidRPr="003E114B" w:rsidRDefault="00632889" w:rsidP="00632889">
            <w:pPr>
              <w:pStyle w:val="Tabletext"/>
              <w:rPr>
                <w:szCs w:val="20"/>
                <w:lang w:eastAsia="en-GB"/>
              </w:rPr>
            </w:pPr>
            <w:r w:rsidRPr="003E114B">
              <w:rPr>
                <w:lang w:eastAsia="en-GB"/>
              </w:rPr>
              <w:t>Informe</w:t>
            </w:r>
            <w:r w:rsidRPr="003E114B">
              <w:rPr>
                <w:bCs/>
                <w:szCs w:val="20"/>
                <w:lang w:eastAsia="en-GB"/>
              </w:rPr>
              <w:t xml:space="preserve"> del </w:t>
            </w:r>
            <w:proofErr w:type="gramStart"/>
            <w:r w:rsidRPr="003E114B">
              <w:rPr>
                <w:bCs/>
                <w:szCs w:val="20"/>
                <w:lang w:eastAsia="en-GB"/>
              </w:rPr>
              <w:t>Presidente</w:t>
            </w:r>
            <w:proofErr w:type="gramEnd"/>
            <w:r w:rsidRPr="003E114B">
              <w:rPr>
                <w:bCs/>
                <w:szCs w:val="20"/>
                <w:lang w:eastAsia="en-GB"/>
              </w:rPr>
              <w:t xml:space="preserve"> del Grupo de Trabajo del Consejo sobre cuestiones de política pública internacional relacionadas con Internet (GTC-Internet) </w:t>
            </w:r>
            <w:r>
              <w:rPr>
                <w:bCs/>
                <w:i/>
                <w:iCs/>
                <w:szCs w:val="20"/>
                <w:lang w:eastAsia="en-GB"/>
              </w:rPr>
              <w:t>(R 1305, R 1336(MOD)</w:t>
            </w:r>
            <w:r w:rsidRPr="00573BC9">
              <w:rPr>
                <w:bCs/>
                <w:i/>
                <w:iCs/>
                <w:szCs w:val="20"/>
                <w:lang w:val="es-ES" w:eastAsia="en-GB"/>
              </w:rPr>
              <w:t xml:space="preserve"> (PL 1.2)</w:t>
            </w:r>
          </w:p>
        </w:tc>
        <w:tc>
          <w:tcPr>
            <w:tcW w:w="1695" w:type="dxa"/>
            <w:shd w:val="clear" w:color="auto" w:fill="auto"/>
            <w:noWrap/>
            <w:vAlign w:val="center"/>
            <w:hideMark/>
          </w:tcPr>
          <w:p w14:paraId="50D1E359" w14:textId="43C26FD8" w:rsidR="00632889" w:rsidRPr="00D30E43" w:rsidRDefault="00A25543" w:rsidP="00632889">
            <w:pPr>
              <w:pStyle w:val="Tabletext"/>
              <w:jc w:val="center"/>
              <w:rPr>
                <w:rStyle w:val="Hyperlink"/>
              </w:rPr>
            </w:pPr>
            <w:hyperlink r:id="rId40" w:history="1">
              <w:r w:rsidR="00632889" w:rsidRPr="00D30E43">
                <w:rPr>
                  <w:rStyle w:val="Hyperlink"/>
                </w:rPr>
                <w:t>51</w:t>
              </w:r>
            </w:hyperlink>
          </w:p>
        </w:tc>
      </w:tr>
      <w:tr w:rsidR="00632889" w:rsidRPr="003E114B" w14:paraId="13566B31" w14:textId="77777777" w:rsidTr="00632889">
        <w:trPr>
          <w:jc w:val="center"/>
        </w:trPr>
        <w:tc>
          <w:tcPr>
            <w:tcW w:w="727" w:type="dxa"/>
            <w:shd w:val="clear" w:color="auto" w:fill="auto"/>
            <w:vAlign w:val="center"/>
          </w:tcPr>
          <w:p w14:paraId="5E7BA95E" w14:textId="15497EB9" w:rsidR="00632889" w:rsidRPr="003E114B" w:rsidRDefault="00632889" w:rsidP="00632889">
            <w:pPr>
              <w:pStyle w:val="Tabletext"/>
              <w:jc w:val="center"/>
              <w:rPr>
                <w:b/>
                <w:lang w:eastAsia="en-GB"/>
              </w:rPr>
            </w:pPr>
            <w:r>
              <w:rPr>
                <w:b/>
                <w:lang w:eastAsia="en-GB"/>
              </w:rPr>
              <w:t>5</w:t>
            </w:r>
          </w:p>
        </w:tc>
        <w:tc>
          <w:tcPr>
            <w:tcW w:w="7211" w:type="dxa"/>
            <w:shd w:val="clear" w:color="auto" w:fill="auto"/>
            <w:vAlign w:val="center"/>
            <w:hideMark/>
          </w:tcPr>
          <w:p w14:paraId="491D714F" w14:textId="77777777" w:rsidR="00632889" w:rsidRPr="003E114B" w:rsidRDefault="00632889" w:rsidP="00632889">
            <w:pPr>
              <w:pStyle w:val="Tabletext"/>
              <w:rPr>
                <w:color w:val="000000"/>
                <w:szCs w:val="20"/>
                <w:lang w:eastAsia="en-GB"/>
              </w:rPr>
            </w:pPr>
            <w:r w:rsidRPr="003E114B">
              <w:rPr>
                <w:lang w:eastAsia="en-GB"/>
              </w:rPr>
              <w:t>Informe</w:t>
            </w:r>
            <w:r w:rsidRPr="003E114B">
              <w:rPr>
                <w:bCs/>
                <w:color w:val="000000"/>
                <w:szCs w:val="20"/>
                <w:lang w:eastAsia="en-GB"/>
              </w:rPr>
              <w:t xml:space="preserve"> del Grupo de Trabajo del Consejo sobre la protección de la infancia en línea </w:t>
            </w:r>
            <w:r w:rsidRPr="003E114B">
              <w:rPr>
                <w:bCs/>
                <w:i/>
                <w:iCs/>
                <w:color w:val="000000"/>
                <w:szCs w:val="20"/>
                <w:lang w:eastAsia="en-GB"/>
              </w:rPr>
              <w:t>(Res. 179, R 1306 (MOD))</w:t>
            </w:r>
            <w:r w:rsidRPr="00573BC9">
              <w:rPr>
                <w:bCs/>
                <w:i/>
                <w:iCs/>
                <w:color w:val="000000"/>
                <w:szCs w:val="20"/>
                <w:lang w:val="es-ES" w:eastAsia="en-GB"/>
              </w:rPr>
              <w:t xml:space="preserve"> (PL 1.5)</w:t>
            </w:r>
          </w:p>
        </w:tc>
        <w:tc>
          <w:tcPr>
            <w:tcW w:w="1695" w:type="dxa"/>
            <w:shd w:val="clear" w:color="auto" w:fill="auto"/>
            <w:noWrap/>
            <w:hideMark/>
          </w:tcPr>
          <w:p w14:paraId="0990CEB3" w14:textId="3F8F3D19" w:rsidR="00632889" w:rsidRPr="00D30E43" w:rsidRDefault="00A25543" w:rsidP="00632889">
            <w:pPr>
              <w:pStyle w:val="Tabletext"/>
              <w:jc w:val="center"/>
              <w:rPr>
                <w:rStyle w:val="Hyperlink"/>
              </w:rPr>
            </w:pPr>
            <w:hyperlink r:id="rId41" w:history="1">
              <w:r w:rsidR="00632889" w:rsidRPr="00D30E43">
                <w:rPr>
                  <w:rStyle w:val="Hyperlink"/>
                </w:rPr>
                <w:t>57</w:t>
              </w:r>
            </w:hyperlink>
          </w:p>
        </w:tc>
      </w:tr>
      <w:tr w:rsidR="00632889" w:rsidRPr="003E114B" w14:paraId="2D7DF7FC" w14:textId="77777777" w:rsidTr="00632889">
        <w:trPr>
          <w:jc w:val="center"/>
        </w:trPr>
        <w:tc>
          <w:tcPr>
            <w:tcW w:w="727" w:type="dxa"/>
            <w:shd w:val="clear" w:color="auto" w:fill="auto"/>
            <w:vAlign w:val="center"/>
          </w:tcPr>
          <w:p w14:paraId="755AF92F" w14:textId="7527C344" w:rsidR="00632889" w:rsidRPr="003E114B" w:rsidRDefault="00632889" w:rsidP="00632889">
            <w:pPr>
              <w:pStyle w:val="Tabletext"/>
              <w:jc w:val="center"/>
              <w:rPr>
                <w:b/>
                <w:lang w:eastAsia="en-GB"/>
              </w:rPr>
            </w:pPr>
            <w:r>
              <w:rPr>
                <w:b/>
                <w:lang w:eastAsia="en-GB"/>
              </w:rPr>
              <w:t>6</w:t>
            </w:r>
          </w:p>
        </w:tc>
        <w:tc>
          <w:tcPr>
            <w:tcW w:w="7211" w:type="dxa"/>
            <w:shd w:val="clear" w:color="auto" w:fill="auto"/>
            <w:vAlign w:val="center"/>
            <w:hideMark/>
          </w:tcPr>
          <w:p w14:paraId="3E167DBB" w14:textId="77777777" w:rsidR="00632889" w:rsidRPr="003E114B" w:rsidRDefault="00632889" w:rsidP="00632889">
            <w:pPr>
              <w:pStyle w:val="Tabletext"/>
              <w:rPr>
                <w:color w:val="000000"/>
                <w:szCs w:val="20"/>
                <w:lang w:eastAsia="en-GB"/>
              </w:rPr>
            </w:pPr>
            <w:r w:rsidRPr="003E114B">
              <w:rPr>
                <w:lang w:eastAsia="en-GB"/>
              </w:rPr>
              <w:t>Informe</w:t>
            </w:r>
            <w:r w:rsidRPr="003E114B">
              <w:rPr>
                <w:bCs/>
                <w:color w:val="000000"/>
                <w:szCs w:val="20"/>
                <w:lang w:eastAsia="en-GB"/>
              </w:rPr>
              <w:t xml:space="preserve"> del Grupo de Trabajo del Consejo sobre los idiomas </w:t>
            </w:r>
            <w:r w:rsidRPr="003E114B">
              <w:rPr>
                <w:bCs/>
                <w:i/>
                <w:iCs/>
                <w:color w:val="000000"/>
                <w:szCs w:val="20"/>
                <w:lang w:eastAsia="en-GB"/>
              </w:rPr>
              <w:t>(Res. 154, R</w:t>
            </w:r>
            <w:r>
              <w:rPr>
                <w:bCs/>
                <w:i/>
                <w:iCs/>
                <w:color w:val="000000"/>
                <w:szCs w:val="20"/>
                <w:lang w:eastAsia="en-GB"/>
              </w:rPr>
              <w:t> </w:t>
            </w:r>
            <w:r w:rsidRPr="003E114B">
              <w:rPr>
                <w:bCs/>
                <w:i/>
                <w:iCs/>
                <w:color w:val="000000"/>
                <w:szCs w:val="20"/>
                <w:lang w:eastAsia="en-GB"/>
              </w:rPr>
              <w:t>1372 (MOD))</w:t>
            </w:r>
            <w:r w:rsidRPr="00573BC9">
              <w:rPr>
                <w:bCs/>
                <w:i/>
                <w:iCs/>
                <w:color w:val="000000"/>
                <w:szCs w:val="20"/>
                <w:lang w:val="es-ES" w:eastAsia="en-GB"/>
              </w:rPr>
              <w:t xml:space="preserve"> (PL 1.6)</w:t>
            </w:r>
          </w:p>
        </w:tc>
        <w:tc>
          <w:tcPr>
            <w:tcW w:w="1695" w:type="dxa"/>
            <w:shd w:val="clear" w:color="auto" w:fill="auto"/>
            <w:noWrap/>
            <w:hideMark/>
          </w:tcPr>
          <w:p w14:paraId="7FE239EF" w14:textId="117B0A15" w:rsidR="00632889" w:rsidRPr="00D30E43" w:rsidRDefault="00A25543" w:rsidP="00632889">
            <w:pPr>
              <w:pStyle w:val="Tabletext"/>
              <w:jc w:val="center"/>
              <w:rPr>
                <w:rStyle w:val="Hyperlink"/>
              </w:rPr>
            </w:pPr>
            <w:hyperlink r:id="rId42" w:history="1">
              <w:r w:rsidR="00632889" w:rsidRPr="00D30E43">
                <w:rPr>
                  <w:rStyle w:val="Hyperlink"/>
                </w:rPr>
                <w:t>12</w:t>
              </w:r>
            </w:hyperlink>
          </w:p>
          <w:p w14:paraId="24D57F36" w14:textId="77777777" w:rsidR="00632889" w:rsidRPr="00D30E43" w:rsidRDefault="00A25543" w:rsidP="00632889">
            <w:pPr>
              <w:pStyle w:val="Tabletext"/>
              <w:jc w:val="center"/>
              <w:rPr>
                <w:rStyle w:val="Hyperlink"/>
              </w:rPr>
            </w:pPr>
            <w:hyperlink r:id="rId43" w:history="1">
              <w:r w:rsidR="00632889" w:rsidRPr="00D30E43">
                <w:rPr>
                  <w:rStyle w:val="Hyperlink"/>
                </w:rPr>
                <w:t>67</w:t>
              </w:r>
            </w:hyperlink>
          </w:p>
        </w:tc>
      </w:tr>
      <w:tr w:rsidR="00632889" w:rsidRPr="003E114B" w14:paraId="48CF5FBF" w14:textId="77777777" w:rsidTr="00632889">
        <w:trPr>
          <w:jc w:val="center"/>
        </w:trPr>
        <w:tc>
          <w:tcPr>
            <w:tcW w:w="727" w:type="dxa"/>
            <w:shd w:val="clear" w:color="auto" w:fill="auto"/>
            <w:vAlign w:val="center"/>
          </w:tcPr>
          <w:p w14:paraId="517B9D05" w14:textId="383E7D34" w:rsidR="00632889" w:rsidRPr="003E114B" w:rsidRDefault="00632889" w:rsidP="00632889">
            <w:pPr>
              <w:pStyle w:val="Tabletext"/>
              <w:jc w:val="center"/>
              <w:rPr>
                <w:b/>
                <w:lang w:eastAsia="en-GB"/>
              </w:rPr>
            </w:pPr>
            <w:r>
              <w:rPr>
                <w:b/>
                <w:lang w:eastAsia="en-GB"/>
              </w:rPr>
              <w:t>7</w:t>
            </w:r>
          </w:p>
        </w:tc>
        <w:tc>
          <w:tcPr>
            <w:tcW w:w="7211" w:type="dxa"/>
            <w:shd w:val="clear" w:color="auto" w:fill="auto"/>
            <w:vAlign w:val="center"/>
            <w:hideMark/>
          </w:tcPr>
          <w:p w14:paraId="0E439C84" w14:textId="77777777" w:rsidR="00632889" w:rsidRPr="00ED272C" w:rsidRDefault="00632889" w:rsidP="00632889">
            <w:pPr>
              <w:pStyle w:val="Tabletext"/>
              <w:rPr>
                <w:color w:val="000000"/>
                <w:spacing w:val="-2"/>
                <w:szCs w:val="20"/>
                <w:lang w:eastAsia="en-GB"/>
              </w:rPr>
            </w:pPr>
            <w:r w:rsidRPr="00ED272C">
              <w:rPr>
                <w:spacing w:val="-2"/>
                <w:lang w:eastAsia="en-GB"/>
              </w:rPr>
              <w:t>Informe</w:t>
            </w:r>
            <w:r w:rsidRPr="00ED272C">
              <w:rPr>
                <w:bCs/>
                <w:color w:val="000000"/>
                <w:spacing w:val="-2"/>
                <w:szCs w:val="20"/>
                <w:lang w:eastAsia="en-GB"/>
              </w:rPr>
              <w:t xml:space="preserve"> sobre la contratación de un consultor en gestión externo independiente, incluidas recomendaciones y estrategias diversas </w:t>
            </w:r>
            <w:r w:rsidRPr="00ED272C">
              <w:rPr>
                <w:bCs/>
                <w:i/>
                <w:iCs/>
                <w:color w:val="000000"/>
                <w:spacing w:val="-2"/>
                <w:szCs w:val="20"/>
                <w:lang w:eastAsia="en-GB"/>
              </w:rPr>
              <w:t>(Res. 11)</w:t>
            </w:r>
            <w:r w:rsidRPr="00573BC9">
              <w:rPr>
                <w:bCs/>
                <w:i/>
                <w:iCs/>
                <w:color w:val="000000"/>
                <w:spacing w:val="-2"/>
                <w:szCs w:val="20"/>
                <w:lang w:val="es-ES" w:eastAsia="en-GB"/>
              </w:rPr>
              <w:t xml:space="preserve"> (PL 2.1)</w:t>
            </w:r>
          </w:p>
        </w:tc>
        <w:tc>
          <w:tcPr>
            <w:tcW w:w="1695" w:type="dxa"/>
            <w:shd w:val="clear" w:color="auto" w:fill="auto"/>
            <w:noWrap/>
            <w:vAlign w:val="center"/>
            <w:hideMark/>
          </w:tcPr>
          <w:p w14:paraId="52D8234F" w14:textId="505608DC" w:rsidR="00632889" w:rsidRPr="00D30E43" w:rsidRDefault="00A25543" w:rsidP="00632889">
            <w:pPr>
              <w:pStyle w:val="Tabletext"/>
              <w:jc w:val="center"/>
              <w:rPr>
                <w:rStyle w:val="Hyperlink"/>
              </w:rPr>
            </w:pPr>
            <w:hyperlink r:id="rId44" w:history="1">
              <w:r w:rsidR="00632889" w:rsidRPr="00D30E43">
                <w:rPr>
                  <w:rStyle w:val="Hyperlink"/>
                </w:rPr>
                <w:t>10</w:t>
              </w:r>
            </w:hyperlink>
          </w:p>
        </w:tc>
      </w:tr>
      <w:tr w:rsidR="00632889" w:rsidRPr="003E114B" w14:paraId="43DE5454" w14:textId="77777777" w:rsidTr="00632889">
        <w:trPr>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8BC5D4E" w14:textId="0F9EB904" w:rsidR="00632889" w:rsidRPr="003E114B" w:rsidRDefault="00632889" w:rsidP="00632889">
            <w:pPr>
              <w:pStyle w:val="Tabletext"/>
              <w:jc w:val="center"/>
              <w:rPr>
                <w:b/>
                <w:lang w:eastAsia="en-GB"/>
              </w:rPr>
            </w:pPr>
            <w:r>
              <w:rPr>
                <w:b/>
                <w:lang w:eastAsia="en-GB"/>
              </w:rPr>
              <w:t>8</w:t>
            </w:r>
          </w:p>
        </w:tc>
        <w:tc>
          <w:tcPr>
            <w:tcW w:w="7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2E17" w14:textId="40C11ABF" w:rsidR="00632889" w:rsidRPr="003E114B" w:rsidRDefault="00632889" w:rsidP="00632889">
            <w:pPr>
              <w:pStyle w:val="Tabletext"/>
              <w:rPr>
                <w:color w:val="000000"/>
                <w:szCs w:val="20"/>
                <w:lang w:eastAsia="en-GB"/>
              </w:rPr>
            </w:pPr>
            <w:r w:rsidRPr="003E114B">
              <w:rPr>
                <w:lang w:eastAsia="en-GB"/>
              </w:rPr>
              <w:t>Informe</w:t>
            </w:r>
            <w:r w:rsidRPr="003E114B">
              <w:rPr>
                <w:bCs/>
                <w:color w:val="000000"/>
                <w:szCs w:val="20"/>
                <w:lang w:eastAsia="en-GB"/>
              </w:rPr>
              <w:t xml:space="preserve"> sobre los eventos ITU Telecom </w:t>
            </w:r>
            <w:proofErr w:type="spellStart"/>
            <w:r w:rsidRPr="003E114B">
              <w:rPr>
                <w:bCs/>
                <w:color w:val="000000"/>
                <w:szCs w:val="20"/>
                <w:lang w:eastAsia="en-GB"/>
              </w:rPr>
              <w:t>World</w:t>
            </w:r>
            <w:proofErr w:type="spellEnd"/>
            <w:r w:rsidRPr="003E114B">
              <w:rPr>
                <w:bCs/>
                <w:color w:val="000000"/>
                <w:szCs w:val="20"/>
                <w:lang w:eastAsia="en-GB"/>
              </w:rPr>
              <w:t xml:space="preserve"> </w:t>
            </w:r>
            <w:r w:rsidRPr="003E114B">
              <w:rPr>
                <w:bCs/>
                <w:i/>
                <w:iCs/>
                <w:color w:val="000000"/>
                <w:szCs w:val="20"/>
                <w:lang w:eastAsia="en-GB"/>
              </w:rPr>
              <w:t>(Res. 11, R 1292)</w:t>
            </w:r>
            <w:r>
              <w:rPr>
                <w:bCs/>
                <w:i/>
                <w:iCs/>
                <w:color w:val="000000"/>
                <w:szCs w:val="20"/>
                <w:lang w:eastAsia="en-GB"/>
              </w:rPr>
              <w:t xml:space="preserve"> </w:t>
            </w:r>
            <w:r w:rsidRPr="00573BC9">
              <w:rPr>
                <w:bCs/>
                <w:i/>
                <w:iCs/>
                <w:color w:val="000000"/>
                <w:szCs w:val="20"/>
                <w:lang w:val="es-ES" w:eastAsia="en-GB"/>
              </w:rPr>
              <w:t>(PL 2.1)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8D708" w14:textId="4B2BD62C" w:rsidR="00632889" w:rsidRPr="00D30E43" w:rsidRDefault="00A25543" w:rsidP="00632889">
            <w:pPr>
              <w:pStyle w:val="Tabletext"/>
              <w:jc w:val="center"/>
              <w:rPr>
                <w:rStyle w:val="Hyperlink"/>
              </w:rPr>
            </w:pPr>
            <w:hyperlink r:id="rId45" w:history="1">
              <w:r w:rsidR="00632889" w:rsidRPr="00D30E43">
                <w:rPr>
                  <w:rStyle w:val="Hyperlink"/>
                </w:rPr>
                <w:t>19</w:t>
              </w:r>
            </w:hyperlink>
          </w:p>
        </w:tc>
      </w:tr>
      <w:tr w:rsidR="00632889" w:rsidRPr="003E114B" w14:paraId="187DCB98" w14:textId="77777777" w:rsidTr="00632889">
        <w:trPr>
          <w:jc w:val="center"/>
        </w:trPr>
        <w:tc>
          <w:tcPr>
            <w:tcW w:w="727" w:type="dxa"/>
            <w:shd w:val="clear" w:color="auto" w:fill="auto"/>
            <w:vAlign w:val="center"/>
          </w:tcPr>
          <w:p w14:paraId="4355EF42" w14:textId="6BC42615" w:rsidR="00632889" w:rsidRPr="003E114B" w:rsidRDefault="00632889" w:rsidP="00632889">
            <w:pPr>
              <w:pStyle w:val="Tabletext"/>
              <w:jc w:val="center"/>
              <w:rPr>
                <w:b/>
                <w:lang w:eastAsia="en-GB"/>
              </w:rPr>
            </w:pPr>
            <w:r>
              <w:rPr>
                <w:b/>
                <w:lang w:eastAsia="en-GB"/>
              </w:rPr>
              <w:t>9</w:t>
            </w:r>
          </w:p>
        </w:tc>
        <w:tc>
          <w:tcPr>
            <w:tcW w:w="7211" w:type="dxa"/>
            <w:shd w:val="clear" w:color="auto" w:fill="auto"/>
            <w:vAlign w:val="center"/>
            <w:hideMark/>
          </w:tcPr>
          <w:p w14:paraId="52C8A186" w14:textId="77777777" w:rsidR="00632889" w:rsidRPr="006B22D6" w:rsidRDefault="00632889" w:rsidP="00632889">
            <w:pPr>
              <w:pStyle w:val="Tabletext"/>
              <w:rPr>
                <w:color w:val="000000"/>
                <w:spacing w:val="-4"/>
                <w:szCs w:val="20"/>
                <w:lang w:eastAsia="en-GB"/>
              </w:rPr>
            </w:pPr>
            <w:bookmarkStart w:id="49" w:name="lt_pId338"/>
            <w:r w:rsidRPr="006B22D6">
              <w:rPr>
                <w:spacing w:val="-4"/>
                <w:lang w:eastAsia="en-GB"/>
              </w:rPr>
              <w:t>Informe</w:t>
            </w:r>
            <w:r w:rsidRPr="006B22D6">
              <w:rPr>
                <w:color w:val="000000"/>
                <w:spacing w:val="-4"/>
                <w:szCs w:val="20"/>
                <w:lang w:eastAsia="en-GB"/>
              </w:rPr>
              <w:t xml:space="preserve"> del grupo de trabajo de la UIT encargado de los controles internos</w:t>
            </w:r>
            <w:bookmarkEnd w:id="49"/>
            <w:r w:rsidRPr="00573BC9">
              <w:rPr>
                <w:bCs/>
                <w:color w:val="000000"/>
                <w:spacing w:val="-4"/>
                <w:szCs w:val="20"/>
                <w:lang w:val="es-ES" w:eastAsia="en-GB"/>
              </w:rPr>
              <w:t xml:space="preserve"> </w:t>
            </w:r>
            <w:r w:rsidRPr="00573BC9">
              <w:rPr>
                <w:bCs/>
                <w:i/>
                <w:iCs/>
                <w:color w:val="000000"/>
                <w:spacing w:val="-4"/>
                <w:szCs w:val="20"/>
                <w:lang w:val="es-ES" w:eastAsia="en-GB"/>
              </w:rPr>
              <w:t>(ADM 4)</w:t>
            </w:r>
          </w:p>
        </w:tc>
        <w:tc>
          <w:tcPr>
            <w:tcW w:w="1695" w:type="dxa"/>
            <w:shd w:val="clear" w:color="auto" w:fill="auto"/>
            <w:vAlign w:val="center"/>
          </w:tcPr>
          <w:p w14:paraId="75E976C1" w14:textId="5EF5D423" w:rsidR="00632889" w:rsidRPr="00D30E43" w:rsidRDefault="00A25543" w:rsidP="00632889">
            <w:pPr>
              <w:pStyle w:val="Tabletext"/>
              <w:jc w:val="center"/>
              <w:rPr>
                <w:rStyle w:val="Hyperlink"/>
              </w:rPr>
            </w:pPr>
            <w:hyperlink r:id="rId46" w:history="1">
              <w:r w:rsidR="00632889" w:rsidRPr="00D30E43">
                <w:rPr>
                  <w:rStyle w:val="Hyperlink"/>
                </w:rPr>
                <w:t>63</w:t>
              </w:r>
            </w:hyperlink>
          </w:p>
        </w:tc>
      </w:tr>
      <w:tr w:rsidR="00632889" w:rsidRPr="003E114B" w14:paraId="1293DD8D" w14:textId="77777777" w:rsidTr="00632889">
        <w:trPr>
          <w:jc w:val="center"/>
        </w:trPr>
        <w:tc>
          <w:tcPr>
            <w:tcW w:w="727" w:type="dxa"/>
            <w:shd w:val="clear" w:color="auto" w:fill="auto"/>
            <w:vAlign w:val="center"/>
          </w:tcPr>
          <w:p w14:paraId="54F9D500" w14:textId="17D81AC2" w:rsidR="00632889" w:rsidRPr="003E114B" w:rsidRDefault="00632889" w:rsidP="00632889">
            <w:pPr>
              <w:pStyle w:val="Tabletext"/>
              <w:jc w:val="center"/>
              <w:rPr>
                <w:b/>
                <w:lang w:eastAsia="en-GB"/>
              </w:rPr>
            </w:pPr>
            <w:r>
              <w:rPr>
                <w:b/>
                <w:lang w:eastAsia="en-GB"/>
              </w:rPr>
              <w:t>10</w:t>
            </w:r>
          </w:p>
        </w:tc>
        <w:tc>
          <w:tcPr>
            <w:tcW w:w="7211" w:type="dxa"/>
            <w:shd w:val="clear" w:color="auto" w:fill="auto"/>
            <w:vAlign w:val="center"/>
          </w:tcPr>
          <w:p w14:paraId="0F6D47F4" w14:textId="77777777" w:rsidR="00632889" w:rsidRPr="003E114B" w:rsidRDefault="00632889" w:rsidP="00632889">
            <w:pPr>
              <w:pStyle w:val="Tabletext"/>
              <w:rPr>
                <w:color w:val="000000"/>
                <w:szCs w:val="20"/>
                <w:lang w:eastAsia="en-GB"/>
              </w:rPr>
            </w:pPr>
            <w:r w:rsidRPr="003E114B">
              <w:rPr>
                <w:lang w:eastAsia="en-GB"/>
              </w:rPr>
              <w:t>Atrasos</w:t>
            </w:r>
            <w:r w:rsidRPr="003E114B">
              <w:rPr>
                <w:rFonts w:cstheme="minorHAnsi"/>
                <w:bCs/>
                <w:szCs w:val="20"/>
                <w:lang w:eastAsia="en-GB"/>
              </w:rPr>
              <w:t xml:space="preserve"> y cuentas especiales de atraso </w:t>
            </w:r>
            <w:r w:rsidRPr="003E114B">
              <w:rPr>
                <w:rFonts w:cstheme="minorHAnsi"/>
                <w:bCs/>
                <w:i/>
                <w:iCs/>
                <w:szCs w:val="20"/>
                <w:lang w:eastAsia="en-GB"/>
              </w:rPr>
              <w:t>(Res. 41)</w:t>
            </w:r>
            <w:r w:rsidRPr="00573BC9">
              <w:rPr>
                <w:rFonts w:cstheme="minorHAnsi"/>
                <w:bCs/>
                <w:i/>
                <w:iCs/>
                <w:szCs w:val="20"/>
                <w:lang w:val="es-ES" w:eastAsia="en-GB"/>
              </w:rPr>
              <w:t xml:space="preserve"> (ADM 10)</w:t>
            </w:r>
          </w:p>
        </w:tc>
        <w:tc>
          <w:tcPr>
            <w:tcW w:w="1695" w:type="dxa"/>
            <w:shd w:val="clear" w:color="auto" w:fill="auto"/>
            <w:vAlign w:val="center"/>
          </w:tcPr>
          <w:p w14:paraId="6E6E2525" w14:textId="5887485C" w:rsidR="00632889" w:rsidRPr="00D30E43" w:rsidRDefault="00A25543" w:rsidP="00632889">
            <w:pPr>
              <w:pStyle w:val="Tabletext"/>
              <w:jc w:val="center"/>
              <w:rPr>
                <w:rStyle w:val="Hyperlink"/>
              </w:rPr>
            </w:pPr>
            <w:hyperlink r:id="rId47" w:history="1">
              <w:r w:rsidR="00632889" w:rsidRPr="00D30E43">
                <w:rPr>
                  <w:rStyle w:val="Hyperlink"/>
                </w:rPr>
                <w:t>11</w:t>
              </w:r>
            </w:hyperlink>
          </w:p>
        </w:tc>
      </w:tr>
      <w:tr w:rsidR="00632889" w:rsidRPr="003E114B" w14:paraId="762ED245" w14:textId="77777777" w:rsidTr="00632889">
        <w:trPr>
          <w:jc w:val="center"/>
        </w:trPr>
        <w:tc>
          <w:tcPr>
            <w:tcW w:w="727" w:type="dxa"/>
            <w:shd w:val="clear" w:color="auto" w:fill="auto"/>
            <w:vAlign w:val="center"/>
          </w:tcPr>
          <w:p w14:paraId="4DA72D48" w14:textId="58EFE0FD" w:rsidR="00632889" w:rsidRPr="003E114B" w:rsidRDefault="00632889" w:rsidP="00632889">
            <w:pPr>
              <w:pStyle w:val="Tabletext"/>
              <w:jc w:val="center"/>
              <w:rPr>
                <w:b/>
                <w:lang w:eastAsia="en-GB"/>
              </w:rPr>
            </w:pPr>
            <w:r>
              <w:rPr>
                <w:b/>
                <w:lang w:eastAsia="en-GB"/>
              </w:rPr>
              <w:t>11</w:t>
            </w:r>
          </w:p>
        </w:tc>
        <w:tc>
          <w:tcPr>
            <w:tcW w:w="7211" w:type="dxa"/>
            <w:shd w:val="clear" w:color="auto" w:fill="auto"/>
            <w:vAlign w:val="center"/>
          </w:tcPr>
          <w:p w14:paraId="218112CD" w14:textId="77777777" w:rsidR="00632889" w:rsidRPr="003E114B" w:rsidRDefault="00632889" w:rsidP="00632889">
            <w:pPr>
              <w:pStyle w:val="Tabletext"/>
              <w:rPr>
                <w:color w:val="000000"/>
                <w:szCs w:val="20"/>
                <w:lang w:eastAsia="en-GB"/>
              </w:rPr>
            </w:pPr>
            <w:r w:rsidRPr="003E114B">
              <w:rPr>
                <w:lang w:eastAsia="en-GB"/>
              </w:rPr>
              <w:t>Solicitudes</w:t>
            </w:r>
            <w:r w:rsidRPr="003E114B">
              <w:rPr>
                <w:rFonts w:cstheme="minorHAnsi"/>
                <w:bCs/>
                <w:color w:val="000000"/>
                <w:szCs w:val="20"/>
                <w:lang w:eastAsia="en-GB"/>
              </w:rPr>
              <w:t xml:space="preserve"> de exención</w:t>
            </w:r>
            <w:r w:rsidRPr="005721F1">
              <w:rPr>
                <w:rFonts w:cstheme="minorHAnsi"/>
                <w:bCs/>
                <w:color w:val="000000"/>
                <w:szCs w:val="20"/>
                <w:lang w:val="en-US" w:eastAsia="en-GB"/>
              </w:rPr>
              <w:t xml:space="preserve"> </w:t>
            </w:r>
            <w:r w:rsidRPr="00D252C0">
              <w:rPr>
                <w:rFonts w:cstheme="minorHAnsi"/>
                <w:bCs/>
                <w:i/>
                <w:iCs/>
                <w:color w:val="000000"/>
                <w:szCs w:val="20"/>
                <w:lang w:val="en-US" w:eastAsia="en-GB"/>
              </w:rPr>
              <w:t>(ADM 11)</w:t>
            </w:r>
          </w:p>
        </w:tc>
        <w:tc>
          <w:tcPr>
            <w:tcW w:w="1695" w:type="dxa"/>
            <w:shd w:val="clear" w:color="auto" w:fill="auto"/>
          </w:tcPr>
          <w:p w14:paraId="6FBB0EAC" w14:textId="05973583" w:rsidR="00632889" w:rsidRPr="00D30E43" w:rsidRDefault="00A25543" w:rsidP="00632889">
            <w:pPr>
              <w:pStyle w:val="Tabletext"/>
              <w:jc w:val="center"/>
              <w:rPr>
                <w:rStyle w:val="Hyperlink"/>
              </w:rPr>
            </w:pPr>
            <w:hyperlink r:id="rId48" w:history="1">
              <w:r w:rsidR="00632889" w:rsidRPr="00D30E43">
                <w:rPr>
                  <w:rStyle w:val="Hyperlink"/>
                </w:rPr>
                <w:t>39</w:t>
              </w:r>
            </w:hyperlink>
          </w:p>
        </w:tc>
      </w:tr>
      <w:tr w:rsidR="00632889" w:rsidRPr="003E114B" w14:paraId="03F3E95B" w14:textId="77777777" w:rsidTr="00632889">
        <w:trPr>
          <w:jc w:val="center"/>
        </w:trPr>
        <w:tc>
          <w:tcPr>
            <w:tcW w:w="727" w:type="dxa"/>
            <w:shd w:val="clear" w:color="auto" w:fill="auto"/>
            <w:vAlign w:val="center"/>
          </w:tcPr>
          <w:p w14:paraId="32BBE383" w14:textId="14EC8FC6" w:rsidR="00632889" w:rsidRPr="003E114B" w:rsidRDefault="00632889" w:rsidP="00632889">
            <w:pPr>
              <w:pStyle w:val="Tabletext"/>
              <w:jc w:val="center"/>
              <w:rPr>
                <w:b/>
                <w:lang w:eastAsia="en-GB"/>
              </w:rPr>
            </w:pPr>
            <w:r>
              <w:rPr>
                <w:b/>
                <w:lang w:eastAsia="en-GB"/>
              </w:rPr>
              <w:t>12</w:t>
            </w:r>
          </w:p>
        </w:tc>
        <w:tc>
          <w:tcPr>
            <w:tcW w:w="7211" w:type="dxa"/>
            <w:shd w:val="clear" w:color="auto" w:fill="auto"/>
            <w:vAlign w:val="center"/>
            <w:hideMark/>
          </w:tcPr>
          <w:p w14:paraId="6D13DC79" w14:textId="77777777" w:rsidR="00632889" w:rsidRPr="003E114B" w:rsidRDefault="00632889" w:rsidP="00632889">
            <w:pPr>
              <w:pStyle w:val="Tabletext"/>
              <w:rPr>
                <w:szCs w:val="20"/>
                <w:lang w:eastAsia="en-GB"/>
              </w:rPr>
            </w:pPr>
            <w:r w:rsidRPr="003E114B">
              <w:rPr>
                <w:lang w:eastAsia="en-GB"/>
              </w:rPr>
              <w:t>Fortalecimiento</w:t>
            </w:r>
            <w:r w:rsidRPr="003E114B">
              <w:rPr>
                <w:bCs/>
                <w:szCs w:val="20"/>
                <w:lang w:eastAsia="en-GB"/>
              </w:rPr>
              <w:t xml:space="preserve"> de la presencia regional </w:t>
            </w:r>
            <w:r w:rsidRPr="003E114B">
              <w:rPr>
                <w:bCs/>
                <w:i/>
                <w:iCs/>
                <w:szCs w:val="20"/>
                <w:lang w:eastAsia="en-GB"/>
              </w:rPr>
              <w:t>(Res. 25)</w:t>
            </w:r>
            <w:r w:rsidRPr="00573BC9">
              <w:rPr>
                <w:bCs/>
                <w:i/>
                <w:iCs/>
                <w:color w:val="000000"/>
                <w:szCs w:val="20"/>
                <w:lang w:val="es-ES" w:eastAsia="en-GB"/>
              </w:rPr>
              <w:t xml:space="preserve"> </w:t>
            </w:r>
            <w:r w:rsidRPr="00573BC9">
              <w:rPr>
                <w:bCs/>
                <w:i/>
                <w:iCs/>
                <w:szCs w:val="20"/>
                <w:lang w:val="es-ES" w:eastAsia="en-GB"/>
              </w:rPr>
              <w:t>(ADM 23)</w:t>
            </w:r>
          </w:p>
        </w:tc>
        <w:tc>
          <w:tcPr>
            <w:tcW w:w="1695" w:type="dxa"/>
            <w:shd w:val="clear" w:color="auto" w:fill="auto"/>
            <w:vAlign w:val="center"/>
            <w:hideMark/>
          </w:tcPr>
          <w:p w14:paraId="2DFDFD87" w14:textId="525466B6" w:rsidR="00632889" w:rsidRPr="00D30E43" w:rsidRDefault="00A25543" w:rsidP="00632889">
            <w:pPr>
              <w:pStyle w:val="Tabletext"/>
              <w:jc w:val="center"/>
              <w:rPr>
                <w:rStyle w:val="Hyperlink"/>
              </w:rPr>
            </w:pPr>
            <w:hyperlink r:id="rId49" w:history="1">
              <w:r w:rsidR="00632889" w:rsidRPr="00D30E43">
                <w:rPr>
                  <w:rStyle w:val="Hyperlink"/>
                </w:rPr>
                <w:t>25</w:t>
              </w:r>
            </w:hyperlink>
          </w:p>
        </w:tc>
      </w:tr>
      <w:tr w:rsidR="00632889" w:rsidRPr="003E114B" w14:paraId="4AC5FF1A" w14:textId="77777777" w:rsidTr="00632889">
        <w:trPr>
          <w:jc w:val="center"/>
        </w:trPr>
        <w:tc>
          <w:tcPr>
            <w:tcW w:w="727" w:type="dxa"/>
            <w:shd w:val="clear" w:color="auto" w:fill="auto"/>
            <w:vAlign w:val="center"/>
          </w:tcPr>
          <w:p w14:paraId="3F4BFC36" w14:textId="0AF52E69" w:rsidR="00632889" w:rsidRPr="003E114B" w:rsidRDefault="00632889" w:rsidP="00632889">
            <w:pPr>
              <w:pStyle w:val="Tabletext"/>
              <w:jc w:val="center"/>
              <w:rPr>
                <w:b/>
                <w:lang w:eastAsia="en-GB"/>
              </w:rPr>
            </w:pPr>
            <w:r>
              <w:rPr>
                <w:b/>
                <w:lang w:eastAsia="en-GB"/>
              </w:rPr>
              <w:t>13</w:t>
            </w:r>
          </w:p>
        </w:tc>
        <w:tc>
          <w:tcPr>
            <w:tcW w:w="7211" w:type="dxa"/>
            <w:shd w:val="clear" w:color="auto" w:fill="auto"/>
            <w:vAlign w:val="center"/>
            <w:hideMark/>
          </w:tcPr>
          <w:p w14:paraId="61176747" w14:textId="7B0220E6" w:rsidR="00632889" w:rsidRPr="003E114B" w:rsidRDefault="00632889" w:rsidP="00632889">
            <w:pPr>
              <w:pStyle w:val="Tabletext"/>
              <w:rPr>
                <w:szCs w:val="20"/>
                <w:lang w:eastAsia="en-GB"/>
              </w:rPr>
            </w:pPr>
            <w:r w:rsidRPr="003E114B">
              <w:rPr>
                <w:lang w:eastAsia="en-GB"/>
              </w:rPr>
              <w:t>Informe</w:t>
            </w:r>
            <w:r w:rsidRPr="003E114B">
              <w:rPr>
                <w:bCs/>
                <w:color w:val="000000"/>
                <w:szCs w:val="20"/>
                <w:lang w:eastAsia="en-GB"/>
              </w:rPr>
              <w:t xml:space="preserve"> sobre el examen general, incluidas las medidas convenientes sugeridas para garantizar la eficacia y eficiencia continuas de la presencia regional de la UIT, incluidas las recomendaciones del estudio del consultor externo </w:t>
            </w:r>
            <w:r w:rsidRPr="003E114B">
              <w:rPr>
                <w:bCs/>
                <w:i/>
                <w:iCs/>
                <w:color w:val="000000"/>
                <w:szCs w:val="20"/>
                <w:lang w:eastAsia="en-GB"/>
              </w:rPr>
              <w:t>(Res. 25, A 616)</w:t>
            </w:r>
            <w:r w:rsidRPr="00573BC9">
              <w:rPr>
                <w:bCs/>
                <w:i/>
                <w:iCs/>
                <w:color w:val="000000"/>
                <w:szCs w:val="20"/>
                <w:lang w:val="es-ES" w:eastAsia="en-GB"/>
              </w:rPr>
              <w:t xml:space="preserve"> (ADM 24)</w:t>
            </w:r>
          </w:p>
        </w:tc>
        <w:tc>
          <w:tcPr>
            <w:tcW w:w="1695" w:type="dxa"/>
            <w:shd w:val="clear" w:color="auto" w:fill="auto"/>
            <w:vAlign w:val="center"/>
          </w:tcPr>
          <w:p w14:paraId="59E1E974" w14:textId="77777777" w:rsidR="00632889" w:rsidRPr="00D30E43" w:rsidRDefault="00632889" w:rsidP="00632889">
            <w:pPr>
              <w:pStyle w:val="Tabletext"/>
              <w:jc w:val="center"/>
              <w:rPr>
                <w:rStyle w:val="Hyperlink"/>
              </w:rPr>
            </w:pPr>
            <w:r w:rsidRPr="00D30E43">
              <w:rPr>
                <w:rStyle w:val="Hyperlink"/>
              </w:rPr>
              <w:t>[</w:t>
            </w:r>
            <w:hyperlink r:id="rId50" w:history="1">
              <w:r w:rsidRPr="00D30E43">
                <w:rPr>
                  <w:rStyle w:val="Hyperlink"/>
                </w:rPr>
                <w:t>64</w:t>
              </w:r>
            </w:hyperlink>
            <w:r w:rsidRPr="00D30E43">
              <w:rPr>
                <w:rStyle w:val="Hyperlink"/>
              </w:rPr>
              <w:t>]</w:t>
            </w:r>
          </w:p>
        </w:tc>
      </w:tr>
      <w:tr w:rsidR="00632889" w:rsidRPr="003E114B" w14:paraId="3E96E907" w14:textId="77777777" w:rsidTr="00632889">
        <w:trPr>
          <w:jc w:val="center"/>
        </w:trPr>
        <w:tc>
          <w:tcPr>
            <w:tcW w:w="727" w:type="dxa"/>
            <w:shd w:val="clear" w:color="auto" w:fill="auto"/>
            <w:vAlign w:val="center"/>
          </w:tcPr>
          <w:p w14:paraId="2FD4A0D0" w14:textId="1BB4FE95" w:rsidR="00632889" w:rsidRPr="003E114B" w:rsidRDefault="00632889" w:rsidP="00632889">
            <w:pPr>
              <w:pStyle w:val="Tabletext"/>
              <w:jc w:val="center"/>
              <w:rPr>
                <w:b/>
                <w:lang w:eastAsia="en-GB"/>
              </w:rPr>
            </w:pPr>
            <w:r>
              <w:rPr>
                <w:b/>
                <w:lang w:eastAsia="en-GB"/>
              </w:rPr>
              <w:t>14</w:t>
            </w:r>
          </w:p>
        </w:tc>
        <w:tc>
          <w:tcPr>
            <w:tcW w:w="7211" w:type="dxa"/>
            <w:shd w:val="clear" w:color="auto" w:fill="auto"/>
            <w:vAlign w:val="center"/>
            <w:hideMark/>
          </w:tcPr>
          <w:p w14:paraId="0B2A0BDB" w14:textId="77777777" w:rsidR="00632889" w:rsidRPr="003E114B" w:rsidRDefault="00632889" w:rsidP="00632889">
            <w:pPr>
              <w:pStyle w:val="Tabletext"/>
              <w:rPr>
                <w:color w:val="000000"/>
                <w:szCs w:val="20"/>
                <w:lang w:eastAsia="en-GB"/>
              </w:rPr>
            </w:pPr>
            <w:r w:rsidRPr="003E114B">
              <w:rPr>
                <w:lang w:eastAsia="en-GB"/>
              </w:rPr>
              <w:t>Informe</w:t>
            </w:r>
            <w:r w:rsidRPr="003E114B">
              <w:rPr>
                <w:bCs/>
                <w:color w:val="000000"/>
                <w:szCs w:val="20"/>
                <w:lang w:eastAsia="en-GB"/>
              </w:rPr>
              <w:t xml:space="preserve"> de la Oficina de Ética</w:t>
            </w:r>
            <w:r w:rsidRPr="00573BC9">
              <w:rPr>
                <w:bCs/>
                <w:color w:val="000000"/>
                <w:szCs w:val="20"/>
                <w:lang w:val="es-ES" w:eastAsia="en-GB"/>
              </w:rPr>
              <w:t xml:space="preserve"> </w:t>
            </w:r>
            <w:r w:rsidRPr="00573BC9">
              <w:rPr>
                <w:bCs/>
                <w:i/>
                <w:iCs/>
                <w:color w:val="000000"/>
                <w:szCs w:val="20"/>
                <w:lang w:val="es-ES" w:eastAsia="en-GB"/>
              </w:rPr>
              <w:t>(ADM 31)</w:t>
            </w:r>
          </w:p>
        </w:tc>
        <w:tc>
          <w:tcPr>
            <w:tcW w:w="1695" w:type="dxa"/>
            <w:shd w:val="clear" w:color="auto" w:fill="auto"/>
            <w:noWrap/>
            <w:vAlign w:val="center"/>
            <w:hideMark/>
          </w:tcPr>
          <w:p w14:paraId="67157E30" w14:textId="09976AAE" w:rsidR="00632889" w:rsidRPr="00D30E43" w:rsidRDefault="00A25543" w:rsidP="00632889">
            <w:pPr>
              <w:pStyle w:val="Tabletext"/>
              <w:jc w:val="center"/>
              <w:rPr>
                <w:rStyle w:val="Hyperlink"/>
              </w:rPr>
            </w:pPr>
            <w:hyperlink r:id="rId51" w:history="1">
              <w:r w:rsidR="00632889" w:rsidRPr="00D30E43">
                <w:rPr>
                  <w:rStyle w:val="Hyperlink"/>
                </w:rPr>
                <w:t>59</w:t>
              </w:r>
            </w:hyperlink>
          </w:p>
        </w:tc>
      </w:tr>
      <w:tr w:rsidR="00632889" w:rsidRPr="003E114B" w14:paraId="11336AA3" w14:textId="77777777" w:rsidTr="00632889">
        <w:trPr>
          <w:jc w:val="center"/>
        </w:trPr>
        <w:tc>
          <w:tcPr>
            <w:tcW w:w="727" w:type="dxa"/>
            <w:shd w:val="clear" w:color="auto" w:fill="auto"/>
            <w:vAlign w:val="center"/>
          </w:tcPr>
          <w:p w14:paraId="3E769978" w14:textId="10E452CE" w:rsidR="00632889" w:rsidRPr="003E114B" w:rsidRDefault="00632889" w:rsidP="00632889">
            <w:pPr>
              <w:pStyle w:val="Tabletext"/>
              <w:jc w:val="center"/>
              <w:rPr>
                <w:b/>
                <w:lang w:eastAsia="en-GB"/>
              </w:rPr>
            </w:pPr>
            <w:r>
              <w:rPr>
                <w:b/>
                <w:lang w:eastAsia="en-GB"/>
              </w:rPr>
              <w:t>15</w:t>
            </w:r>
          </w:p>
        </w:tc>
        <w:tc>
          <w:tcPr>
            <w:tcW w:w="7211" w:type="dxa"/>
            <w:shd w:val="clear" w:color="auto" w:fill="auto"/>
            <w:vAlign w:val="center"/>
            <w:hideMark/>
          </w:tcPr>
          <w:p w14:paraId="66EA67F5" w14:textId="77777777" w:rsidR="00632889" w:rsidRPr="003E114B" w:rsidRDefault="00632889" w:rsidP="00632889">
            <w:pPr>
              <w:pStyle w:val="Tabletext"/>
              <w:rPr>
                <w:szCs w:val="20"/>
                <w:lang w:eastAsia="en-GB"/>
              </w:rPr>
            </w:pPr>
            <w:r w:rsidRPr="003E114B">
              <w:rPr>
                <w:lang w:eastAsia="en-GB"/>
              </w:rPr>
              <w:t>Informe</w:t>
            </w:r>
            <w:r w:rsidRPr="003E114B">
              <w:rPr>
                <w:bCs/>
                <w:szCs w:val="20"/>
                <w:lang w:eastAsia="en-GB"/>
              </w:rPr>
              <w:t xml:space="preserve"> sobre la implementación de un plan de acción de gestión de riesgos</w:t>
            </w:r>
            <w:r w:rsidRPr="00573BC9">
              <w:rPr>
                <w:bCs/>
                <w:szCs w:val="20"/>
                <w:lang w:val="es-ES" w:eastAsia="en-GB"/>
              </w:rPr>
              <w:t xml:space="preserve"> </w:t>
            </w:r>
            <w:r w:rsidRPr="00573BC9">
              <w:rPr>
                <w:bCs/>
                <w:i/>
                <w:iCs/>
                <w:szCs w:val="20"/>
                <w:lang w:val="es-ES" w:eastAsia="en-GB"/>
              </w:rPr>
              <w:t>(ADM 32)</w:t>
            </w:r>
          </w:p>
        </w:tc>
        <w:tc>
          <w:tcPr>
            <w:tcW w:w="1695" w:type="dxa"/>
            <w:shd w:val="clear" w:color="auto" w:fill="auto"/>
            <w:hideMark/>
          </w:tcPr>
          <w:p w14:paraId="49A31A43" w14:textId="22496827" w:rsidR="00632889" w:rsidRPr="00D30E43" w:rsidRDefault="00A25543" w:rsidP="00632889">
            <w:pPr>
              <w:pStyle w:val="Tabletext"/>
              <w:jc w:val="center"/>
              <w:rPr>
                <w:rStyle w:val="Hyperlink"/>
              </w:rPr>
            </w:pPr>
            <w:hyperlink r:id="rId52" w:history="1">
              <w:r w:rsidR="00632889" w:rsidRPr="00D30E43">
                <w:rPr>
                  <w:rStyle w:val="Hyperlink"/>
                </w:rPr>
                <w:t>61</w:t>
              </w:r>
            </w:hyperlink>
          </w:p>
        </w:tc>
      </w:tr>
      <w:tr w:rsidR="00632889" w:rsidRPr="003E114B" w14:paraId="113597BC" w14:textId="77777777" w:rsidTr="00632889">
        <w:trPr>
          <w:jc w:val="center"/>
        </w:trPr>
        <w:tc>
          <w:tcPr>
            <w:tcW w:w="727" w:type="dxa"/>
            <w:shd w:val="clear" w:color="auto" w:fill="auto"/>
            <w:vAlign w:val="center"/>
          </w:tcPr>
          <w:p w14:paraId="7C8EB113" w14:textId="752D664C" w:rsidR="00632889" w:rsidRPr="003E114B" w:rsidRDefault="00632889" w:rsidP="00632889">
            <w:pPr>
              <w:pStyle w:val="Tabletext"/>
              <w:jc w:val="center"/>
              <w:rPr>
                <w:b/>
                <w:lang w:eastAsia="en-GB"/>
              </w:rPr>
            </w:pPr>
            <w:r>
              <w:rPr>
                <w:b/>
                <w:lang w:eastAsia="en-GB"/>
              </w:rPr>
              <w:t>16</w:t>
            </w:r>
          </w:p>
        </w:tc>
        <w:tc>
          <w:tcPr>
            <w:tcW w:w="7211" w:type="dxa"/>
            <w:shd w:val="clear" w:color="auto" w:fill="auto"/>
            <w:vAlign w:val="center"/>
            <w:hideMark/>
          </w:tcPr>
          <w:p w14:paraId="092C1925" w14:textId="77777777" w:rsidR="00632889" w:rsidRPr="003E114B" w:rsidRDefault="00632889" w:rsidP="00632889">
            <w:pPr>
              <w:pStyle w:val="Tabletext"/>
              <w:rPr>
                <w:szCs w:val="20"/>
                <w:lang w:eastAsia="en-GB"/>
              </w:rPr>
            </w:pPr>
            <w:r w:rsidRPr="003E114B">
              <w:rPr>
                <w:lang w:eastAsia="en-GB"/>
              </w:rPr>
              <w:t>Continuidad</w:t>
            </w:r>
            <w:r w:rsidRPr="003E114B">
              <w:rPr>
                <w:bCs/>
                <w:szCs w:val="20"/>
                <w:lang w:eastAsia="en-GB"/>
              </w:rPr>
              <w:t xml:space="preserve"> operacional: modelo para la gestión de la información</w:t>
            </w:r>
            <w:r w:rsidRPr="00573BC9">
              <w:rPr>
                <w:bCs/>
                <w:szCs w:val="20"/>
                <w:lang w:val="es-ES" w:eastAsia="en-GB"/>
              </w:rPr>
              <w:t xml:space="preserve"> (ADM 33)</w:t>
            </w:r>
          </w:p>
        </w:tc>
        <w:tc>
          <w:tcPr>
            <w:tcW w:w="1695" w:type="dxa"/>
            <w:shd w:val="clear" w:color="auto" w:fill="auto"/>
            <w:noWrap/>
            <w:hideMark/>
          </w:tcPr>
          <w:p w14:paraId="7BCD6200" w14:textId="69BA7269" w:rsidR="00632889" w:rsidRPr="00D30E43" w:rsidRDefault="00A25543" w:rsidP="00632889">
            <w:pPr>
              <w:pStyle w:val="Tabletext"/>
              <w:jc w:val="center"/>
              <w:rPr>
                <w:rStyle w:val="Hyperlink"/>
              </w:rPr>
            </w:pPr>
            <w:hyperlink r:id="rId53" w:history="1">
              <w:r w:rsidR="00632889" w:rsidRPr="00D30E43">
                <w:rPr>
                  <w:rStyle w:val="Hyperlink"/>
                </w:rPr>
                <w:t>53</w:t>
              </w:r>
            </w:hyperlink>
          </w:p>
        </w:tc>
      </w:tr>
      <w:tr w:rsidR="00632889" w:rsidRPr="003E114B" w14:paraId="2A7EFC62" w14:textId="77777777" w:rsidTr="00632889">
        <w:trPr>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00AB2FB" w14:textId="30C40947" w:rsidR="00632889" w:rsidRPr="003E114B" w:rsidRDefault="00632889" w:rsidP="00632889">
            <w:pPr>
              <w:pStyle w:val="Tabletext"/>
              <w:jc w:val="center"/>
              <w:rPr>
                <w:b/>
                <w:lang w:eastAsia="en-GB"/>
              </w:rPr>
            </w:pPr>
            <w:r>
              <w:rPr>
                <w:b/>
                <w:lang w:eastAsia="en-GB"/>
              </w:rPr>
              <w:t>17</w:t>
            </w:r>
          </w:p>
        </w:tc>
        <w:tc>
          <w:tcPr>
            <w:tcW w:w="7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11D0D" w14:textId="3A98E998" w:rsidR="00632889" w:rsidRPr="00C063EB" w:rsidRDefault="00C063EB" w:rsidP="00632889">
            <w:pPr>
              <w:pStyle w:val="Tabletext"/>
              <w:rPr>
                <w:szCs w:val="20"/>
                <w:lang w:val="es-ES" w:eastAsia="en-GB"/>
              </w:rPr>
            </w:pPr>
            <w:r>
              <w:rPr>
                <w:szCs w:val="20"/>
                <w:lang w:val="es-ES" w:eastAsia="en-GB"/>
              </w:rPr>
              <w:t xml:space="preserve">Contribución </w:t>
            </w:r>
            <w:r w:rsidRPr="00C063EB">
              <w:rPr>
                <w:szCs w:val="20"/>
                <w:lang w:val="es-ES" w:eastAsia="en-GB"/>
              </w:rPr>
              <w:t>de la República Islámica de Pakistán a los gastos de la Unión</w:t>
            </w:r>
            <w:r w:rsidR="00632889" w:rsidRPr="00C063EB">
              <w:rPr>
                <w:szCs w:val="20"/>
                <w:lang w:val="es-ES" w:eastAsia="en-GB"/>
              </w:rPr>
              <w:t xml:space="preserve"> (</w:t>
            </w:r>
            <w:r>
              <w:rPr>
                <w:szCs w:val="20"/>
                <w:lang w:val="es-ES" w:eastAsia="en-GB"/>
              </w:rPr>
              <w:t>nuevo</w:t>
            </w:r>
            <w:r w:rsidR="00632889" w:rsidRPr="00C063EB">
              <w:rPr>
                <w:szCs w:val="20"/>
                <w:lang w:val="es-ES" w:eastAsia="en-GB"/>
              </w:rPr>
              <w:t>)</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45BB6" w14:textId="6BE3D397" w:rsidR="00632889" w:rsidRPr="003E114B" w:rsidRDefault="00632889" w:rsidP="00632889">
            <w:pPr>
              <w:pStyle w:val="Tabletext"/>
              <w:jc w:val="center"/>
              <w:rPr>
                <w:rFonts w:cstheme="minorHAnsi"/>
                <w:color w:val="000000"/>
                <w:szCs w:val="20"/>
                <w:lang w:eastAsia="en-GB"/>
              </w:rPr>
            </w:pPr>
            <w:r w:rsidRPr="005721F1">
              <w:rPr>
                <w:rFonts w:cstheme="minorHAnsi"/>
                <w:color w:val="000000"/>
                <w:szCs w:val="20"/>
                <w:lang w:eastAsia="en-GB"/>
              </w:rPr>
              <w:t>[73]</w:t>
            </w:r>
          </w:p>
        </w:tc>
      </w:tr>
    </w:tbl>
    <w:p w14:paraId="277D180B" w14:textId="33A90B44" w:rsidR="00632889" w:rsidRPr="000A53E5" w:rsidRDefault="00C063EB" w:rsidP="00E05DB2">
      <w:pPr>
        <w:jc w:val="left"/>
      </w:pPr>
      <w:bookmarkStart w:id="50" w:name="_Hlk40353436"/>
      <w:bookmarkEnd w:id="48"/>
      <w:r>
        <w:lastRenderedPageBreak/>
        <w:t xml:space="preserve">Los puntos siguientes se aplazan hasta la reunión presencial del Consejo de 2021 y se presentan a continuación a efectos únicamente informativos. </w:t>
      </w:r>
    </w:p>
    <w:p w14:paraId="05101586" w14:textId="39F39009" w:rsidR="00632889" w:rsidRDefault="00632889" w:rsidP="00632889">
      <w:pPr>
        <w:pStyle w:val="Heading1"/>
        <w:spacing w:after="240"/>
      </w:pPr>
      <w:r>
        <w:t>3</w:t>
      </w:r>
      <w:r>
        <w:tab/>
      </w:r>
      <w:proofErr w:type="gramStart"/>
      <w:r w:rsidRPr="009871AB">
        <w:t>Document</w:t>
      </w:r>
      <w:r w:rsidR="00C063EB">
        <w:t>o</w:t>
      </w:r>
      <w:r w:rsidRPr="009871AB">
        <w:t>s</w:t>
      </w:r>
      <w:proofErr w:type="gramEnd"/>
      <w:r w:rsidRPr="009871AB">
        <w:t xml:space="preserve"> </w:t>
      </w:r>
      <w:r w:rsidR="00C063EB">
        <w:t>aplazados hasta la reunión presencial del</w:t>
      </w:r>
      <w:r w:rsidRPr="009871AB">
        <w:t xml:space="preserve"> C21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29"/>
        <w:gridCol w:w="1695"/>
      </w:tblGrid>
      <w:tr w:rsidR="00632889" w:rsidRPr="00EE6791" w14:paraId="6307AF68" w14:textId="77777777" w:rsidTr="00632889">
        <w:trPr>
          <w:cantSplit/>
          <w:trHeight w:val="1104"/>
          <w:tblHeader/>
          <w:jc w:val="center"/>
        </w:trPr>
        <w:tc>
          <w:tcPr>
            <w:tcW w:w="709" w:type="dxa"/>
            <w:tcBorders>
              <w:top w:val="nil"/>
              <w:left w:val="nil"/>
              <w:bottom w:val="single" w:sz="4" w:space="0" w:color="auto"/>
            </w:tcBorders>
            <w:shd w:val="clear" w:color="auto" w:fill="DDD9C3" w:themeFill="background2" w:themeFillShade="E6"/>
          </w:tcPr>
          <w:p w14:paraId="551659A5" w14:textId="77777777" w:rsidR="00632889" w:rsidRPr="00EE6791" w:rsidRDefault="00632889" w:rsidP="00632889">
            <w:pPr>
              <w:spacing w:before="20" w:after="20" w:line="240" w:lineRule="auto"/>
              <w:jc w:val="center"/>
              <w:rPr>
                <w:b/>
                <w:bCs/>
                <w:color w:val="000000"/>
                <w:sz w:val="20"/>
                <w:szCs w:val="20"/>
                <w:lang w:eastAsia="en-GB"/>
              </w:rPr>
            </w:pPr>
            <w:bookmarkStart w:id="51" w:name="_Hlk50986948"/>
          </w:p>
        </w:tc>
        <w:tc>
          <w:tcPr>
            <w:tcW w:w="7229" w:type="dxa"/>
            <w:tcBorders>
              <w:bottom w:val="single" w:sz="4" w:space="0" w:color="auto"/>
            </w:tcBorders>
            <w:shd w:val="clear" w:color="auto" w:fill="DDD9C3" w:themeFill="background2" w:themeFillShade="E6"/>
            <w:vAlign w:val="center"/>
          </w:tcPr>
          <w:p w14:paraId="5579EFF9" w14:textId="77777777" w:rsidR="00632889" w:rsidRPr="00EE6791" w:rsidRDefault="00632889" w:rsidP="00632889">
            <w:pPr>
              <w:spacing w:before="20" w:after="20" w:line="240" w:lineRule="auto"/>
              <w:jc w:val="center"/>
              <w:rPr>
                <w:b/>
                <w:bCs/>
                <w:color w:val="000000"/>
                <w:sz w:val="20"/>
                <w:szCs w:val="20"/>
                <w:lang w:eastAsia="en-GB"/>
              </w:rPr>
            </w:pPr>
            <w:r w:rsidRPr="00EE6791">
              <w:rPr>
                <w:b/>
                <w:bCs/>
                <w:color w:val="000000"/>
                <w:sz w:val="20"/>
                <w:szCs w:val="20"/>
                <w:lang w:eastAsia="en-GB"/>
              </w:rPr>
              <w:t>Asunto</w:t>
            </w:r>
          </w:p>
        </w:tc>
        <w:tc>
          <w:tcPr>
            <w:tcW w:w="1695" w:type="dxa"/>
            <w:tcBorders>
              <w:bottom w:val="single" w:sz="4" w:space="0" w:color="auto"/>
            </w:tcBorders>
            <w:shd w:val="clear" w:color="auto" w:fill="DDD9C3" w:themeFill="background2" w:themeFillShade="E6"/>
            <w:noWrap/>
            <w:vAlign w:val="center"/>
          </w:tcPr>
          <w:p w14:paraId="41F805EA" w14:textId="77777777" w:rsidR="00632889" w:rsidRPr="00EE6791" w:rsidRDefault="00632889" w:rsidP="00632889">
            <w:pPr>
              <w:spacing w:before="20" w:after="20" w:line="240" w:lineRule="auto"/>
              <w:jc w:val="center"/>
              <w:rPr>
                <w:b/>
                <w:bCs/>
                <w:color w:val="000000"/>
                <w:sz w:val="20"/>
                <w:szCs w:val="20"/>
                <w:lang w:eastAsia="en-GB"/>
              </w:rPr>
            </w:pPr>
            <w:r w:rsidRPr="00EE6791">
              <w:rPr>
                <w:b/>
                <w:bCs/>
                <w:color w:val="000000"/>
                <w:sz w:val="20"/>
                <w:szCs w:val="20"/>
                <w:lang w:eastAsia="en-GB"/>
              </w:rPr>
              <w:t>C20/#</w:t>
            </w:r>
            <w:r w:rsidRPr="00EE6791">
              <w:rPr>
                <w:b/>
                <w:bCs/>
                <w:color w:val="000000"/>
                <w:sz w:val="20"/>
                <w:szCs w:val="20"/>
                <w:lang w:eastAsia="en-GB"/>
              </w:rPr>
              <w:br/>
              <w:t>VC/#</w:t>
            </w:r>
          </w:p>
        </w:tc>
      </w:tr>
      <w:tr w:rsidR="00632889" w:rsidRPr="00E70FC7" w14:paraId="098D529C"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E11AF9" w14:textId="77777777" w:rsidR="00632889" w:rsidRPr="003103DA" w:rsidRDefault="00632889" w:rsidP="00632889">
            <w:pPr>
              <w:pStyle w:val="Tabletext"/>
              <w:jc w:val="center"/>
              <w:rPr>
                <w:b/>
                <w:lang w:eastAsia="en-GB"/>
              </w:rPr>
            </w:pPr>
            <w:r w:rsidRPr="003103DA">
              <w:rPr>
                <w:b/>
                <w:lang w:eastAsia="en-GB"/>
              </w:rPr>
              <w:t>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49567" w14:textId="498BF1F3" w:rsidR="00632889" w:rsidRPr="008A4559" w:rsidRDefault="00632889" w:rsidP="00632889">
            <w:pPr>
              <w:pStyle w:val="Tabletext"/>
              <w:rPr>
                <w:bCs/>
                <w:szCs w:val="20"/>
                <w:lang w:eastAsia="en-GB"/>
              </w:rPr>
            </w:pPr>
            <w:r w:rsidRPr="008A4559">
              <w:rPr>
                <w:bCs/>
                <w:szCs w:val="20"/>
                <w:lang w:eastAsia="en-GB"/>
              </w:rPr>
              <w:t xml:space="preserve">Actividades de la UIT relacionadas con Internet: Resoluciones 101, 102, 133 y 180 </w:t>
            </w:r>
            <w:r w:rsidRPr="003103DA">
              <w:rPr>
                <w:bCs/>
                <w:i/>
                <w:iCs/>
                <w:szCs w:val="20"/>
                <w:lang w:eastAsia="en-GB"/>
              </w:rPr>
              <w:t>(PL</w:t>
            </w:r>
            <w:r w:rsidR="002517F3">
              <w:rPr>
                <w:bCs/>
                <w:i/>
                <w:iCs/>
                <w:szCs w:val="20"/>
                <w:lang w:eastAsia="en-GB"/>
              </w:rPr>
              <w:t> </w:t>
            </w:r>
            <w:r w:rsidRPr="003103DA">
              <w:rPr>
                <w:bCs/>
                <w:i/>
                <w:iCs/>
                <w:szCs w:val="20"/>
                <w:lang w:eastAsia="en-GB"/>
              </w:rPr>
              <w:t>1.3)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6D2E" w14:textId="77777777" w:rsidR="00632889" w:rsidRPr="00D30E43" w:rsidRDefault="00A25543" w:rsidP="00632889">
            <w:pPr>
              <w:pStyle w:val="Tabletext"/>
              <w:jc w:val="center"/>
              <w:rPr>
                <w:rStyle w:val="Hyperlink"/>
              </w:rPr>
            </w:pPr>
            <w:hyperlink r:id="rId54" w:history="1">
              <w:r w:rsidR="00632889" w:rsidRPr="00D30E43">
                <w:rPr>
                  <w:rStyle w:val="Hyperlink"/>
                </w:rPr>
                <w:t>33</w:t>
              </w:r>
            </w:hyperlink>
          </w:p>
        </w:tc>
      </w:tr>
      <w:tr w:rsidR="00632889" w:rsidRPr="00E70FC7" w14:paraId="25FA4EB7" w14:textId="77777777" w:rsidTr="00632889">
        <w:trPr>
          <w:cantSplit/>
          <w:jc w:val="center"/>
        </w:trPr>
        <w:tc>
          <w:tcPr>
            <w:tcW w:w="709" w:type="dxa"/>
            <w:shd w:val="clear" w:color="auto" w:fill="auto"/>
            <w:vAlign w:val="center"/>
          </w:tcPr>
          <w:p w14:paraId="0DA6D66F" w14:textId="77777777" w:rsidR="00632889" w:rsidRPr="003103DA" w:rsidRDefault="00632889" w:rsidP="00632889">
            <w:pPr>
              <w:pStyle w:val="Tabletext"/>
              <w:jc w:val="center"/>
              <w:rPr>
                <w:b/>
                <w:lang w:eastAsia="en-GB"/>
              </w:rPr>
            </w:pPr>
            <w:r w:rsidRPr="003103DA">
              <w:rPr>
                <w:b/>
                <w:lang w:eastAsia="en-GB"/>
              </w:rPr>
              <w:t>2</w:t>
            </w:r>
          </w:p>
        </w:tc>
        <w:tc>
          <w:tcPr>
            <w:tcW w:w="7229" w:type="dxa"/>
            <w:shd w:val="clear" w:color="auto" w:fill="auto"/>
            <w:vAlign w:val="center"/>
          </w:tcPr>
          <w:p w14:paraId="547D16CC" w14:textId="77777777" w:rsidR="00632889" w:rsidRPr="008A4559" w:rsidRDefault="00632889" w:rsidP="00632889">
            <w:pPr>
              <w:pStyle w:val="Tabletext"/>
              <w:rPr>
                <w:bCs/>
                <w:szCs w:val="20"/>
                <w:lang w:eastAsia="en-GB"/>
              </w:rPr>
            </w:pPr>
            <w:r w:rsidRPr="008A4559">
              <w:rPr>
                <w:bCs/>
                <w:szCs w:val="20"/>
                <w:lang w:eastAsia="en-GB"/>
              </w:rPr>
              <w:t xml:space="preserve">Directrices para la utilización de la GCA por la UIT </w:t>
            </w:r>
            <w:r w:rsidRPr="003103DA">
              <w:rPr>
                <w:bCs/>
                <w:i/>
                <w:iCs/>
                <w:szCs w:val="20"/>
                <w:lang w:eastAsia="en-GB"/>
              </w:rPr>
              <w:t>(PL 1.4)</w:t>
            </w:r>
          </w:p>
        </w:tc>
        <w:tc>
          <w:tcPr>
            <w:tcW w:w="1695" w:type="dxa"/>
            <w:shd w:val="clear" w:color="auto" w:fill="auto"/>
            <w:noWrap/>
            <w:vAlign w:val="center"/>
          </w:tcPr>
          <w:p w14:paraId="5DE06BF8" w14:textId="77777777" w:rsidR="00632889" w:rsidRPr="00D30E43" w:rsidRDefault="00A25543" w:rsidP="00632889">
            <w:pPr>
              <w:pStyle w:val="Tabletext"/>
              <w:jc w:val="center"/>
              <w:rPr>
                <w:rStyle w:val="Hyperlink"/>
              </w:rPr>
            </w:pPr>
            <w:hyperlink r:id="rId55" w:history="1">
              <w:r w:rsidR="00632889" w:rsidRPr="00D30E43">
                <w:rPr>
                  <w:rStyle w:val="Hyperlink"/>
                </w:rPr>
                <w:t>65</w:t>
              </w:r>
            </w:hyperlink>
          </w:p>
          <w:p w14:paraId="059AFD76" w14:textId="77777777" w:rsidR="00632889" w:rsidRPr="00D30E43" w:rsidRDefault="00A25543" w:rsidP="00632889">
            <w:pPr>
              <w:pStyle w:val="Tabletext"/>
              <w:jc w:val="center"/>
              <w:rPr>
                <w:rStyle w:val="Hyperlink"/>
              </w:rPr>
            </w:pPr>
            <w:hyperlink r:id="rId56" w:history="1">
              <w:r w:rsidR="00632889" w:rsidRPr="00D30E43">
                <w:rPr>
                  <w:rStyle w:val="Hyperlink"/>
                </w:rPr>
                <w:t>VC/12</w:t>
              </w:r>
            </w:hyperlink>
          </w:p>
        </w:tc>
      </w:tr>
      <w:tr w:rsidR="00632889" w:rsidRPr="00E70FC7" w14:paraId="57421525"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AA9AD3" w14:textId="77777777" w:rsidR="00632889" w:rsidRPr="003103DA" w:rsidRDefault="00632889" w:rsidP="00632889">
            <w:pPr>
              <w:pStyle w:val="Tabletext"/>
              <w:jc w:val="center"/>
              <w:rPr>
                <w:b/>
                <w:lang w:eastAsia="en-GB"/>
              </w:rPr>
            </w:pPr>
            <w:r w:rsidRPr="003103DA">
              <w:rPr>
                <w:b/>
                <w:lang w:eastAsia="en-GB"/>
              </w:rPr>
              <w:t>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2024A0C" w14:textId="77777777" w:rsidR="00632889" w:rsidRPr="008A4559" w:rsidRDefault="00632889" w:rsidP="00632889">
            <w:pPr>
              <w:pStyle w:val="Tabletext"/>
              <w:rPr>
                <w:bCs/>
                <w:szCs w:val="20"/>
                <w:lang w:eastAsia="en-GB"/>
              </w:rPr>
            </w:pPr>
            <w:r w:rsidRPr="008A4559">
              <w:rPr>
                <w:bCs/>
                <w:szCs w:val="20"/>
                <w:lang w:eastAsia="en-GB"/>
              </w:rPr>
              <w:t xml:space="preserve">Actividades de la UIT sobre el fortalecimiento del papel de la UIT en la creación de confianza y seguridad en la utilización de las TIC </w:t>
            </w:r>
            <w:r w:rsidRPr="003103DA">
              <w:rPr>
                <w:bCs/>
                <w:i/>
                <w:iCs/>
                <w:szCs w:val="20"/>
                <w:lang w:eastAsia="en-GB"/>
              </w:rPr>
              <w:t>(Res. 130, 174) (PL 1.4)</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F8D71" w14:textId="77777777" w:rsidR="00632889" w:rsidRPr="00D30E43" w:rsidRDefault="00A25543" w:rsidP="00632889">
            <w:pPr>
              <w:pStyle w:val="Tabletext"/>
              <w:jc w:val="center"/>
              <w:rPr>
                <w:rStyle w:val="Hyperlink"/>
              </w:rPr>
            </w:pPr>
            <w:hyperlink r:id="rId57" w:history="1">
              <w:r w:rsidR="00632889" w:rsidRPr="00D30E43">
                <w:rPr>
                  <w:rStyle w:val="Hyperlink"/>
                </w:rPr>
                <w:t>18</w:t>
              </w:r>
            </w:hyperlink>
          </w:p>
        </w:tc>
      </w:tr>
      <w:tr w:rsidR="00632889" w:rsidRPr="00E70FC7" w14:paraId="21F2CBAC"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321844" w14:textId="77777777" w:rsidR="00632889" w:rsidRPr="003103DA" w:rsidRDefault="00632889" w:rsidP="00632889">
            <w:pPr>
              <w:pStyle w:val="Tabletext"/>
              <w:jc w:val="center"/>
              <w:rPr>
                <w:b/>
                <w:lang w:eastAsia="en-GB"/>
              </w:rPr>
            </w:pPr>
            <w:r w:rsidRPr="003103DA">
              <w:rPr>
                <w:b/>
                <w:lang w:eastAsia="en-GB"/>
              </w:rPr>
              <w:t>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5D9AACB" w14:textId="1092E1D5" w:rsidR="00632889" w:rsidRPr="008A4559" w:rsidRDefault="00C063EB" w:rsidP="00632889">
            <w:pPr>
              <w:pStyle w:val="Tabletext"/>
              <w:rPr>
                <w:bCs/>
                <w:szCs w:val="20"/>
                <w:lang w:eastAsia="en-GB"/>
              </w:rPr>
            </w:pPr>
            <w:r>
              <w:rPr>
                <w:bCs/>
                <w:szCs w:val="20"/>
                <w:lang w:eastAsia="en-GB"/>
              </w:rPr>
              <w:t>Actualizado</w:t>
            </w:r>
            <w:r w:rsidR="00632889" w:rsidRPr="008A4559">
              <w:rPr>
                <w:bCs/>
                <w:szCs w:val="20"/>
                <w:lang w:eastAsia="en-GB"/>
              </w:rPr>
              <w:t xml:space="preserve">: Informe sobre la forma en que la UIT utiliza actualmente el marco de la GCA </w:t>
            </w:r>
            <w:r w:rsidR="00632889" w:rsidRPr="003103DA">
              <w:rPr>
                <w:bCs/>
                <w:i/>
                <w:iCs/>
                <w:szCs w:val="20"/>
                <w:lang w:eastAsia="en-GB"/>
              </w:rPr>
              <w:t>(PL 1.4)</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9E92A" w14:textId="77777777" w:rsidR="00632889" w:rsidRPr="00D30E43" w:rsidRDefault="00A25543" w:rsidP="00632889">
            <w:pPr>
              <w:pStyle w:val="Tabletext"/>
              <w:jc w:val="center"/>
              <w:rPr>
                <w:rStyle w:val="Hyperlink"/>
              </w:rPr>
            </w:pPr>
            <w:hyperlink r:id="rId58" w:history="1">
              <w:r w:rsidR="00632889" w:rsidRPr="00D30E43">
                <w:rPr>
                  <w:rStyle w:val="Hyperlink"/>
                </w:rPr>
                <w:t>36</w:t>
              </w:r>
            </w:hyperlink>
          </w:p>
        </w:tc>
      </w:tr>
      <w:tr w:rsidR="00632889" w:rsidRPr="00E70FC7" w14:paraId="1A79BAF8"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7C5009" w14:textId="77777777" w:rsidR="00632889" w:rsidRPr="003103DA" w:rsidRDefault="00632889" w:rsidP="00632889">
            <w:pPr>
              <w:pStyle w:val="Tabletext"/>
              <w:jc w:val="center"/>
              <w:rPr>
                <w:b/>
                <w:lang w:eastAsia="en-GB"/>
              </w:rPr>
            </w:pPr>
            <w:r w:rsidRPr="003103DA">
              <w:rPr>
                <w:b/>
                <w:lang w:eastAsia="en-GB"/>
              </w:rPr>
              <w:t>5</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E175F36" w14:textId="77777777" w:rsidR="00632889" w:rsidRPr="008A4559" w:rsidRDefault="00632889" w:rsidP="00632889">
            <w:pPr>
              <w:pStyle w:val="Tabletext"/>
              <w:rPr>
                <w:bCs/>
                <w:szCs w:val="20"/>
                <w:lang w:eastAsia="en-GB"/>
              </w:rPr>
            </w:pPr>
            <w:r w:rsidRPr="008A4559">
              <w:rPr>
                <w:bCs/>
                <w:szCs w:val="20"/>
                <w:lang w:eastAsia="en-GB"/>
              </w:rPr>
              <w:t xml:space="preserve">Informe del GE-RTI </w:t>
            </w:r>
            <w:r w:rsidRPr="003103DA">
              <w:rPr>
                <w:bCs/>
                <w:i/>
                <w:iCs/>
                <w:szCs w:val="20"/>
                <w:lang w:eastAsia="en-GB"/>
              </w:rPr>
              <w:t>(Res. 146, R 1379 (MOD)) (PL 1.7)</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C4A7F" w14:textId="77777777" w:rsidR="00632889" w:rsidRPr="00D30E43" w:rsidRDefault="00A25543" w:rsidP="00632889">
            <w:pPr>
              <w:pStyle w:val="Tabletext"/>
              <w:jc w:val="center"/>
              <w:rPr>
                <w:rStyle w:val="Hyperlink"/>
              </w:rPr>
            </w:pPr>
            <w:hyperlink r:id="rId59" w:history="1">
              <w:r w:rsidR="00632889" w:rsidRPr="00D30E43">
                <w:rPr>
                  <w:rStyle w:val="Hyperlink"/>
                </w:rPr>
                <w:t>26</w:t>
              </w:r>
            </w:hyperlink>
          </w:p>
          <w:p w14:paraId="39B2C699" w14:textId="77777777" w:rsidR="00632889" w:rsidRPr="00D30E43" w:rsidRDefault="00A25543" w:rsidP="00632889">
            <w:pPr>
              <w:pStyle w:val="Tabletext"/>
              <w:jc w:val="center"/>
              <w:rPr>
                <w:rStyle w:val="Hyperlink"/>
              </w:rPr>
            </w:pPr>
            <w:hyperlink r:id="rId60" w:history="1">
              <w:r w:rsidR="00632889" w:rsidRPr="00D30E43">
                <w:rPr>
                  <w:rStyle w:val="Hyperlink"/>
                </w:rPr>
                <w:t>VC/4</w:t>
              </w:r>
            </w:hyperlink>
          </w:p>
        </w:tc>
      </w:tr>
      <w:tr w:rsidR="00632889" w:rsidRPr="00E70FC7" w14:paraId="23AE212D"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067856" w14:textId="77777777" w:rsidR="00632889" w:rsidRPr="003103DA" w:rsidRDefault="00632889" w:rsidP="00632889">
            <w:pPr>
              <w:pStyle w:val="Tabletext"/>
              <w:jc w:val="center"/>
              <w:rPr>
                <w:b/>
                <w:lang w:eastAsia="en-GB"/>
              </w:rPr>
            </w:pPr>
            <w:r w:rsidRPr="003103DA">
              <w:rPr>
                <w:b/>
                <w:lang w:eastAsia="en-GB"/>
              </w:rPr>
              <w:t>6</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2435694" w14:textId="77777777" w:rsidR="00632889" w:rsidRPr="003103DA" w:rsidRDefault="00632889" w:rsidP="00632889">
            <w:pPr>
              <w:pStyle w:val="Tabletext"/>
              <w:rPr>
                <w:bCs/>
                <w:szCs w:val="20"/>
                <w:lang w:eastAsia="en-GB"/>
              </w:rPr>
            </w:pPr>
            <w:r w:rsidRPr="003103DA">
              <w:rPr>
                <w:bCs/>
                <w:szCs w:val="20"/>
                <w:lang w:eastAsia="en-GB"/>
              </w:rPr>
              <w:t xml:space="preserve">Actividades de la UIT relacionadas con la Resolución 70 (Rev. Dubái, 2018) </w:t>
            </w:r>
            <w:r w:rsidRPr="003103DA">
              <w:rPr>
                <w:bCs/>
                <w:i/>
                <w:iCs/>
                <w:szCs w:val="20"/>
                <w:lang w:eastAsia="en-GB"/>
              </w:rPr>
              <w:t>(PL 1.9)</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55B6" w14:textId="77777777" w:rsidR="00632889" w:rsidRPr="00D30E43" w:rsidRDefault="00A25543" w:rsidP="00632889">
            <w:pPr>
              <w:pStyle w:val="Tabletext"/>
              <w:jc w:val="center"/>
              <w:rPr>
                <w:rStyle w:val="Hyperlink"/>
              </w:rPr>
            </w:pPr>
            <w:hyperlink r:id="rId61" w:history="1">
              <w:r w:rsidR="00632889" w:rsidRPr="00D30E43">
                <w:rPr>
                  <w:rStyle w:val="Hyperlink"/>
                </w:rPr>
                <w:t>6</w:t>
              </w:r>
            </w:hyperlink>
            <w:r w:rsidR="00632889" w:rsidRPr="00D30E43">
              <w:rPr>
                <w:rStyle w:val="Hyperlink"/>
              </w:rPr>
              <w:t xml:space="preserve"> +</w:t>
            </w:r>
            <w:r w:rsidR="00632889" w:rsidRPr="00D30E43">
              <w:rPr>
                <w:rStyle w:val="Hyperlink"/>
              </w:rPr>
              <w:br/>
            </w:r>
            <w:hyperlink r:id="rId62" w:history="1">
              <w:r w:rsidR="00632889" w:rsidRPr="00D30E43">
                <w:rPr>
                  <w:rStyle w:val="Hyperlink"/>
                </w:rPr>
                <w:t>INF2</w:t>
              </w:r>
            </w:hyperlink>
          </w:p>
        </w:tc>
      </w:tr>
      <w:tr w:rsidR="00632889" w:rsidRPr="00E70FC7" w14:paraId="7A5BBA96" w14:textId="77777777" w:rsidTr="00632889">
        <w:trPr>
          <w:cantSplit/>
          <w:jc w:val="center"/>
        </w:trPr>
        <w:tc>
          <w:tcPr>
            <w:tcW w:w="709" w:type="dxa"/>
            <w:shd w:val="clear" w:color="auto" w:fill="auto"/>
            <w:vAlign w:val="center"/>
          </w:tcPr>
          <w:p w14:paraId="6A3B9123" w14:textId="77777777" w:rsidR="00632889" w:rsidRPr="003103DA" w:rsidRDefault="00632889" w:rsidP="00632889">
            <w:pPr>
              <w:pStyle w:val="Tabletext"/>
              <w:jc w:val="center"/>
              <w:rPr>
                <w:b/>
                <w:lang w:eastAsia="en-GB"/>
              </w:rPr>
            </w:pPr>
            <w:r w:rsidRPr="003103DA">
              <w:rPr>
                <w:b/>
                <w:lang w:eastAsia="en-GB"/>
              </w:rPr>
              <w:t>7</w:t>
            </w:r>
          </w:p>
        </w:tc>
        <w:tc>
          <w:tcPr>
            <w:tcW w:w="7229" w:type="dxa"/>
            <w:shd w:val="clear" w:color="auto" w:fill="auto"/>
            <w:vAlign w:val="center"/>
            <w:hideMark/>
          </w:tcPr>
          <w:p w14:paraId="0A3BEB19" w14:textId="2D6BA016" w:rsidR="00632889" w:rsidRPr="003103DA" w:rsidRDefault="00632889" w:rsidP="00632889">
            <w:pPr>
              <w:pStyle w:val="Tabletext"/>
              <w:rPr>
                <w:bCs/>
                <w:szCs w:val="20"/>
                <w:lang w:eastAsia="en-GB"/>
              </w:rPr>
            </w:pPr>
            <w:r w:rsidRPr="003103DA">
              <w:rPr>
                <w:bCs/>
                <w:szCs w:val="20"/>
                <w:lang w:eastAsia="en-GB"/>
              </w:rPr>
              <w:t xml:space="preserve">Proyecto de Plan Operacional cuatrienal de la Secretaría General para 2021-2024 </w:t>
            </w:r>
            <w:r w:rsidRPr="003103DA">
              <w:rPr>
                <w:bCs/>
                <w:i/>
                <w:iCs/>
                <w:szCs w:val="20"/>
                <w:lang w:eastAsia="en-GB"/>
              </w:rPr>
              <w:t>(CV</w:t>
            </w:r>
            <w:r w:rsidR="002517F3">
              <w:rPr>
                <w:bCs/>
                <w:i/>
                <w:iCs/>
                <w:szCs w:val="20"/>
                <w:lang w:eastAsia="en-GB"/>
              </w:rPr>
              <w:t> </w:t>
            </w:r>
            <w:r w:rsidRPr="003103DA">
              <w:rPr>
                <w:bCs/>
                <w:i/>
                <w:iCs/>
                <w:szCs w:val="20"/>
                <w:lang w:eastAsia="en-GB"/>
              </w:rPr>
              <w:t>87A, 181A, 205A, 223A) (PL 1.10)</w:t>
            </w:r>
          </w:p>
        </w:tc>
        <w:tc>
          <w:tcPr>
            <w:tcW w:w="1695" w:type="dxa"/>
            <w:shd w:val="clear" w:color="auto" w:fill="auto"/>
            <w:vAlign w:val="center"/>
            <w:hideMark/>
          </w:tcPr>
          <w:p w14:paraId="37B6C977" w14:textId="77777777" w:rsidR="00632889" w:rsidRPr="00D30E43" w:rsidRDefault="00A25543" w:rsidP="00632889">
            <w:pPr>
              <w:pStyle w:val="Tabletext"/>
              <w:jc w:val="center"/>
              <w:rPr>
                <w:rStyle w:val="Hyperlink"/>
              </w:rPr>
            </w:pPr>
            <w:hyperlink r:id="rId63" w:history="1">
              <w:r w:rsidR="00632889" w:rsidRPr="00D30E43">
                <w:rPr>
                  <w:rStyle w:val="Hyperlink"/>
                </w:rPr>
                <w:t>28</w:t>
              </w:r>
            </w:hyperlink>
          </w:p>
        </w:tc>
      </w:tr>
      <w:tr w:rsidR="00632889" w:rsidRPr="00E70FC7" w14:paraId="54D52A63" w14:textId="77777777" w:rsidTr="00632889">
        <w:trPr>
          <w:cantSplit/>
          <w:jc w:val="center"/>
        </w:trPr>
        <w:tc>
          <w:tcPr>
            <w:tcW w:w="709" w:type="dxa"/>
            <w:shd w:val="clear" w:color="auto" w:fill="auto"/>
            <w:vAlign w:val="center"/>
          </w:tcPr>
          <w:p w14:paraId="2C11FCF6" w14:textId="77777777" w:rsidR="00632889" w:rsidRPr="003103DA" w:rsidRDefault="00632889" w:rsidP="00632889">
            <w:pPr>
              <w:pStyle w:val="Tabletext"/>
              <w:jc w:val="center"/>
              <w:rPr>
                <w:b/>
                <w:lang w:eastAsia="en-GB"/>
              </w:rPr>
            </w:pPr>
            <w:r w:rsidRPr="003103DA">
              <w:rPr>
                <w:b/>
                <w:lang w:eastAsia="en-GB"/>
              </w:rPr>
              <w:t>8</w:t>
            </w:r>
          </w:p>
        </w:tc>
        <w:tc>
          <w:tcPr>
            <w:tcW w:w="7229" w:type="dxa"/>
            <w:shd w:val="clear" w:color="auto" w:fill="auto"/>
            <w:noWrap/>
            <w:vAlign w:val="center"/>
            <w:hideMark/>
          </w:tcPr>
          <w:p w14:paraId="49223592" w14:textId="77777777" w:rsidR="00632889" w:rsidRPr="003103DA" w:rsidRDefault="00632889" w:rsidP="00632889">
            <w:pPr>
              <w:pStyle w:val="Tabletext"/>
              <w:rPr>
                <w:bCs/>
                <w:szCs w:val="20"/>
                <w:lang w:eastAsia="en-GB"/>
              </w:rPr>
            </w:pPr>
            <w:r w:rsidRPr="008A4559">
              <w:rPr>
                <w:bCs/>
                <w:szCs w:val="20"/>
                <w:lang w:eastAsia="en-GB"/>
              </w:rPr>
              <w:t xml:space="preserve">Propuestas de mejora de las Conferencias de Plenipotenciarios </w:t>
            </w:r>
            <w:r w:rsidRPr="003103DA">
              <w:rPr>
                <w:bCs/>
                <w:i/>
                <w:iCs/>
                <w:szCs w:val="20"/>
                <w:lang w:eastAsia="en-GB"/>
              </w:rPr>
              <w:t>(PL 2.3)</w:t>
            </w:r>
          </w:p>
        </w:tc>
        <w:tc>
          <w:tcPr>
            <w:tcW w:w="1695" w:type="dxa"/>
            <w:shd w:val="clear" w:color="auto" w:fill="auto"/>
            <w:noWrap/>
            <w:vAlign w:val="center"/>
            <w:hideMark/>
          </w:tcPr>
          <w:p w14:paraId="406DF177" w14:textId="77777777" w:rsidR="00632889" w:rsidRPr="00D30E43" w:rsidRDefault="00A25543" w:rsidP="00632889">
            <w:pPr>
              <w:pStyle w:val="Tabletext"/>
              <w:jc w:val="center"/>
              <w:rPr>
                <w:rStyle w:val="Hyperlink"/>
              </w:rPr>
            </w:pPr>
            <w:hyperlink r:id="rId64" w:history="1">
              <w:r w:rsidR="00632889" w:rsidRPr="00D30E43">
                <w:rPr>
                  <w:rStyle w:val="Hyperlink"/>
                </w:rPr>
                <w:t>13</w:t>
              </w:r>
            </w:hyperlink>
          </w:p>
        </w:tc>
      </w:tr>
      <w:tr w:rsidR="00632889" w:rsidRPr="00E70FC7" w14:paraId="4C8F0C4F" w14:textId="77777777" w:rsidTr="00632889">
        <w:trPr>
          <w:cantSplit/>
          <w:jc w:val="center"/>
        </w:trPr>
        <w:tc>
          <w:tcPr>
            <w:tcW w:w="709" w:type="dxa"/>
            <w:shd w:val="clear" w:color="auto" w:fill="auto"/>
            <w:vAlign w:val="center"/>
          </w:tcPr>
          <w:p w14:paraId="10C7EEBC" w14:textId="77777777" w:rsidR="00632889" w:rsidRPr="003103DA" w:rsidRDefault="00632889" w:rsidP="00632889">
            <w:pPr>
              <w:pStyle w:val="Tabletext"/>
              <w:jc w:val="center"/>
              <w:rPr>
                <w:b/>
                <w:lang w:eastAsia="en-GB"/>
              </w:rPr>
            </w:pPr>
            <w:r w:rsidRPr="003103DA">
              <w:rPr>
                <w:b/>
                <w:lang w:eastAsia="en-GB"/>
              </w:rPr>
              <w:t>9</w:t>
            </w:r>
          </w:p>
        </w:tc>
        <w:tc>
          <w:tcPr>
            <w:tcW w:w="7229" w:type="dxa"/>
            <w:shd w:val="clear" w:color="auto" w:fill="auto"/>
            <w:vAlign w:val="center"/>
            <w:hideMark/>
          </w:tcPr>
          <w:p w14:paraId="611E62CF" w14:textId="77777777" w:rsidR="00632889" w:rsidRPr="003103DA" w:rsidRDefault="00632889" w:rsidP="00632889">
            <w:pPr>
              <w:pStyle w:val="Tabletext"/>
              <w:rPr>
                <w:bCs/>
                <w:szCs w:val="20"/>
                <w:lang w:eastAsia="en-GB"/>
              </w:rPr>
            </w:pPr>
            <w:r w:rsidRPr="008A4559">
              <w:rPr>
                <w:bCs/>
                <w:szCs w:val="20"/>
                <w:lang w:eastAsia="en-GB"/>
              </w:rPr>
              <w:t xml:space="preserve">Aplicación de las Recomendaciones 6 y 7 de la Comisión 5 de la PP 18 (proceso electoral) </w:t>
            </w:r>
            <w:r w:rsidRPr="003103DA">
              <w:rPr>
                <w:bCs/>
                <w:i/>
                <w:iCs/>
                <w:szCs w:val="20"/>
                <w:lang w:eastAsia="en-GB"/>
              </w:rPr>
              <w:t>(PL 2.4)</w:t>
            </w:r>
          </w:p>
        </w:tc>
        <w:tc>
          <w:tcPr>
            <w:tcW w:w="1695" w:type="dxa"/>
            <w:shd w:val="clear" w:color="auto" w:fill="auto"/>
            <w:noWrap/>
            <w:vAlign w:val="center"/>
            <w:hideMark/>
          </w:tcPr>
          <w:p w14:paraId="65C18819" w14:textId="77777777" w:rsidR="00632889" w:rsidRPr="00D30E43" w:rsidRDefault="00A25543" w:rsidP="00632889">
            <w:pPr>
              <w:pStyle w:val="Tabletext"/>
              <w:jc w:val="center"/>
              <w:rPr>
                <w:rStyle w:val="Hyperlink"/>
              </w:rPr>
            </w:pPr>
            <w:hyperlink r:id="rId65" w:history="1">
              <w:r w:rsidR="00632889" w:rsidRPr="00D30E43">
                <w:rPr>
                  <w:rStyle w:val="Hyperlink"/>
                </w:rPr>
                <w:t>4</w:t>
              </w:r>
            </w:hyperlink>
          </w:p>
        </w:tc>
      </w:tr>
      <w:tr w:rsidR="00632889" w:rsidRPr="00F73BA3" w14:paraId="4D72E375"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D81BC0" w14:textId="77777777" w:rsidR="00632889" w:rsidRPr="003103DA" w:rsidRDefault="00632889" w:rsidP="00632889">
            <w:pPr>
              <w:pStyle w:val="Tabletext"/>
              <w:jc w:val="center"/>
              <w:rPr>
                <w:b/>
                <w:lang w:eastAsia="en-GB"/>
              </w:rPr>
            </w:pPr>
            <w:r w:rsidRPr="003103DA">
              <w:rPr>
                <w:b/>
                <w:lang w:eastAsia="en-GB"/>
              </w:rPr>
              <w:t>10</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D618D" w14:textId="78D386C1" w:rsidR="00632889" w:rsidRPr="003103DA" w:rsidRDefault="00C063EB" w:rsidP="00632889">
            <w:pPr>
              <w:pStyle w:val="Tabletext"/>
              <w:rPr>
                <w:bCs/>
                <w:szCs w:val="20"/>
                <w:lang w:eastAsia="en-GB"/>
              </w:rPr>
            </w:pPr>
            <w:r>
              <w:rPr>
                <w:bCs/>
                <w:szCs w:val="20"/>
                <w:lang w:eastAsia="en-GB"/>
              </w:rPr>
              <w:t>Fechas y lugar de celebración de la CMR</w:t>
            </w:r>
            <w:r w:rsidR="00632889" w:rsidRPr="003103DA">
              <w:rPr>
                <w:bCs/>
                <w:szCs w:val="20"/>
                <w:lang w:eastAsia="en-GB"/>
              </w:rPr>
              <w:t xml:space="preserve">-23 </w:t>
            </w:r>
            <w:r w:rsidR="00632889" w:rsidRPr="003103DA">
              <w:rPr>
                <w:bCs/>
                <w:i/>
                <w:iCs/>
                <w:szCs w:val="20"/>
                <w:lang w:eastAsia="en-GB"/>
              </w:rPr>
              <w:t>(PL 2.11)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43F07" w14:textId="77777777" w:rsidR="00632889" w:rsidRPr="003103DA" w:rsidRDefault="00632889" w:rsidP="00632889">
            <w:pPr>
              <w:pStyle w:val="Tabletext"/>
              <w:jc w:val="center"/>
              <w:rPr>
                <w:rFonts w:cstheme="minorHAnsi"/>
                <w:color w:val="000000"/>
                <w:szCs w:val="20"/>
                <w:lang w:eastAsia="en-GB"/>
              </w:rPr>
            </w:pPr>
          </w:p>
        </w:tc>
      </w:tr>
      <w:tr w:rsidR="00632889" w:rsidRPr="00E70FC7" w14:paraId="19F5EA1E"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8CD945" w14:textId="77777777" w:rsidR="00632889" w:rsidRPr="003103DA" w:rsidRDefault="00632889" w:rsidP="00632889">
            <w:pPr>
              <w:pStyle w:val="Tabletext"/>
              <w:jc w:val="center"/>
              <w:rPr>
                <w:b/>
                <w:lang w:eastAsia="en-GB"/>
              </w:rPr>
            </w:pPr>
            <w:r w:rsidRPr="003103DA">
              <w:rPr>
                <w:b/>
                <w:lang w:eastAsia="en-GB"/>
              </w:rPr>
              <w:t>11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7F6C4" w14:textId="77777777" w:rsidR="00632889" w:rsidRPr="003103DA" w:rsidRDefault="00632889" w:rsidP="00632889">
            <w:pPr>
              <w:pStyle w:val="Tabletext"/>
              <w:rPr>
                <w:bCs/>
                <w:szCs w:val="20"/>
                <w:lang w:eastAsia="en-GB"/>
              </w:rPr>
            </w:pPr>
            <w:r w:rsidRPr="003103DA">
              <w:rPr>
                <w:bCs/>
                <w:szCs w:val="20"/>
                <w:lang w:eastAsia="en-GB"/>
              </w:rPr>
              <w:t xml:space="preserve">Informe sobre la implementación del Plan Estratégico y las actividades de la Unión para 2019-2020 </w:t>
            </w:r>
            <w:r w:rsidRPr="003103DA">
              <w:rPr>
                <w:bCs/>
                <w:i/>
                <w:iCs/>
                <w:szCs w:val="20"/>
                <w:lang w:eastAsia="en-GB"/>
              </w:rPr>
              <w:t>(CV 61, CV 82, CV 102) (PL 3.1)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C114" w14:textId="77777777" w:rsidR="00632889" w:rsidRPr="00D30E43" w:rsidRDefault="00A25543" w:rsidP="00632889">
            <w:pPr>
              <w:pStyle w:val="Tabletext"/>
              <w:jc w:val="center"/>
              <w:rPr>
                <w:rStyle w:val="Hyperlink"/>
              </w:rPr>
            </w:pPr>
            <w:hyperlink r:id="rId66" w:history="1">
              <w:r w:rsidR="00632889" w:rsidRPr="00D30E43">
                <w:rPr>
                  <w:rStyle w:val="Hyperlink"/>
                </w:rPr>
                <w:t>35</w:t>
              </w:r>
            </w:hyperlink>
          </w:p>
        </w:tc>
      </w:tr>
      <w:tr w:rsidR="00632889" w:rsidRPr="00E70FC7" w14:paraId="404187AF"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3502D" w14:textId="77777777" w:rsidR="00632889" w:rsidRPr="003103DA" w:rsidRDefault="00632889" w:rsidP="00632889">
            <w:pPr>
              <w:pStyle w:val="Tabletext"/>
              <w:jc w:val="center"/>
              <w:rPr>
                <w:b/>
                <w:lang w:eastAsia="en-GB"/>
              </w:rPr>
            </w:pPr>
            <w:r w:rsidRPr="003103DA">
              <w:rPr>
                <w:b/>
                <w:lang w:eastAsia="en-GB"/>
              </w:rPr>
              <w:t>12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8892" w14:textId="77777777" w:rsidR="00632889" w:rsidRPr="00036C5A" w:rsidRDefault="00632889" w:rsidP="00632889">
            <w:pPr>
              <w:spacing w:before="20" w:after="20" w:line="240" w:lineRule="auto"/>
              <w:rPr>
                <w:color w:val="000000"/>
                <w:sz w:val="20"/>
                <w:szCs w:val="20"/>
                <w:lang w:eastAsia="en-GB"/>
              </w:rPr>
            </w:pPr>
            <w:r w:rsidRPr="008A4559">
              <w:rPr>
                <w:color w:val="000000"/>
                <w:sz w:val="20"/>
                <w:szCs w:val="20"/>
                <w:lang w:eastAsia="en-GB"/>
              </w:rPr>
              <w:t xml:space="preserve">Nuevo Índice de la UIT </w:t>
            </w:r>
            <w:r w:rsidRPr="00036C5A">
              <w:rPr>
                <w:i/>
                <w:iCs/>
                <w:color w:val="000000"/>
                <w:sz w:val="20"/>
                <w:szCs w:val="20"/>
                <w:lang w:eastAsia="en-GB"/>
              </w:rPr>
              <w:t>(PL 3.1)</w:t>
            </w:r>
          </w:p>
          <w:p w14:paraId="0CCF01B0" w14:textId="5E2D9878" w:rsidR="00632889" w:rsidRPr="00C063EB" w:rsidRDefault="00C063EB" w:rsidP="00632889">
            <w:pPr>
              <w:pStyle w:val="ListParagraph"/>
              <w:keepNext/>
              <w:numPr>
                <w:ilvl w:val="0"/>
                <w:numId w:val="29"/>
              </w:numPr>
              <w:tabs>
                <w:tab w:val="clear" w:pos="567"/>
                <w:tab w:val="clear" w:pos="1134"/>
                <w:tab w:val="clear" w:pos="1701"/>
                <w:tab w:val="clear" w:pos="2268"/>
                <w:tab w:val="clear" w:pos="2835"/>
                <w:tab w:val="left" w:pos="794"/>
                <w:tab w:val="left" w:pos="1191"/>
                <w:tab w:val="left" w:pos="1588"/>
                <w:tab w:val="left" w:pos="1985"/>
              </w:tabs>
              <w:spacing w:before="60" w:after="60"/>
              <w:contextualSpacing/>
              <w:rPr>
                <w:rFonts w:cs="Calibri"/>
                <w:color w:val="000000"/>
                <w:sz w:val="20"/>
                <w:lang w:val="es-ES" w:eastAsia="en-GB"/>
              </w:rPr>
            </w:pPr>
            <w:r w:rsidRPr="00C063EB">
              <w:rPr>
                <w:rFonts w:cs="Calibri"/>
                <w:color w:val="000000"/>
                <w:sz w:val="20"/>
                <w:lang w:val="es-ES" w:eastAsia="en-GB"/>
              </w:rPr>
              <w:t>Contribución</w:t>
            </w:r>
            <w:r w:rsidR="00632889" w:rsidRPr="00C063EB">
              <w:rPr>
                <w:rFonts w:cs="Calibri"/>
                <w:color w:val="000000"/>
                <w:sz w:val="20"/>
                <w:lang w:val="es-ES" w:eastAsia="en-GB"/>
              </w:rPr>
              <w:t xml:space="preserve"> </w:t>
            </w:r>
            <w:r>
              <w:rPr>
                <w:rFonts w:cs="Calibri"/>
                <w:color w:val="000000"/>
                <w:sz w:val="20"/>
                <w:lang w:val="es-ES" w:eastAsia="en-GB"/>
              </w:rPr>
              <w:t>de los Emiratos Árabes Unidos</w:t>
            </w:r>
          </w:p>
          <w:p w14:paraId="7C807CB3" w14:textId="18B2CC38" w:rsidR="00632889" w:rsidRPr="00573BC9" w:rsidRDefault="00C063EB" w:rsidP="00632889">
            <w:pPr>
              <w:pStyle w:val="ListParagraph"/>
              <w:numPr>
                <w:ilvl w:val="0"/>
                <w:numId w:val="29"/>
              </w:numPr>
              <w:tabs>
                <w:tab w:val="clear" w:pos="567"/>
                <w:tab w:val="clear" w:pos="1134"/>
                <w:tab w:val="clear" w:pos="1701"/>
                <w:tab w:val="clear" w:pos="2268"/>
                <w:tab w:val="clear" w:pos="2835"/>
              </w:tabs>
              <w:overflowPunct/>
              <w:autoSpaceDE/>
              <w:autoSpaceDN/>
              <w:adjustRightInd/>
              <w:spacing w:before="20" w:after="20"/>
              <w:contextualSpacing/>
              <w:textAlignment w:val="auto"/>
              <w:rPr>
                <w:rFonts w:cs="Calibri"/>
                <w:color w:val="000000"/>
                <w:sz w:val="20"/>
                <w:lang w:val="es-ES" w:eastAsia="en-GB"/>
              </w:rPr>
            </w:pPr>
            <w:r w:rsidRPr="00C063EB">
              <w:rPr>
                <w:rFonts w:cs="Calibri"/>
                <w:color w:val="000000"/>
                <w:sz w:val="20"/>
                <w:lang w:val="es-ES" w:eastAsia="en-GB"/>
              </w:rPr>
              <w:t>Contribución</w:t>
            </w:r>
            <w:r w:rsidR="00632889" w:rsidRPr="00C063EB">
              <w:rPr>
                <w:rFonts w:cs="Calibri"/>
                <w:color w:val="000000"/>
                <w:sz w:val="20"/>
                <w:lang w:val="es-ES" w:eastAsia="en-GB"/>
              </w:rPr>
              <w:t xml:space="preserve"> </w:t>
            </w:r>
            <w:r>
              <w:rPr>
                <w:rFonts w:cs="Calibri"/>
                <w:color w:val="000000"/>
                <w:sz w:val="20"/>
                <w:lang w:val="es-ES" w:eastAsia="en-GB"/>
              </w:rPr>
              <w:t>del Reino de</w:t>
            </w:r>
            <w:r w:rsidR="00632889" w:rsidRPr="00C063EB">
              <w:rPr>
                <w:rFonts w:cs="Calibri"/>
                <w:color w:val="000000"/>
                <w:sz w:val="20"/>
                <w:lang w:val="es-ES" w:eastAsia="en-GB"/>
              </w:rPr>
              <w:t xml:space="preserve"> </w:t>
            </w:r>
            <w:r w:rsidRPr="00C063EB">
              <w:rPr>
                <w:rFonts w:cs="Calibri"/>
                <w:color w:val="000000"/>
                <w:sz w:val="20"/>
                <w:lang w:val="es-ES" w:eastAsia="en-GB"/>
              </w:rPr>
              <w:t xml:space="preserve">Arabia </w:t>
            </w:r>
            <w:r w:rsidR="00632889" w:rsidRPr="00C063EB">
              <w:rPr>
                <w:rFonts w:cs="Calibri"/>
                <w:color w:val="000000"/>
                <w:sz w:val="20"/>
                <w:lang w:val="es-ES" w:eastAsia="en-GB"/>
              </w:rPr>
              <w:t>Saudi</w:t>
            </w:r>
            <w:r>
              <w:rPr>
                <w:rFonts w:cs="Calibri"/>
                <w:color w:val="000000"/>
                <w:sz w:val="20"/>
                <w:lang w:val="es-ES" w:eastAsia="en-GB"/>
              </w:rPr>
              <w:t>ta</w:t>
            </w:r>
            <w:r w:rsidR="00632889" w:rsidRPr="00C063EB">
              <w:rPr>
                <w:rFonts w:cs="Calibri"/>
                <w:color w:val="000000"/>
                <w:sz w:val="20"/>
                <w:lang w:val="es-ES" w:eastAsia="en-GB"/>
              </w:rPr>
              <w:t xml:space="preserve"> </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CCEF8" w14:textId="77777777" w:rsidR="00632889" w:rsidRPr="00D30E43" w:rsidRDefault="00A25543" w:rsidP="00632889">
            <w:pPr>
              <w:pStyle w:val="Tabletext"/>
              <w:jc w:val="center"/>
              <w:rPr>
                <w:rStyle w:val="Hyperlink"/>
              </w:rPr>
            </w:pPr>
            <w:hyperlink r:id="rId67" w:history="1">
              <w:r w:rsidR="00632889" w:rsidRPr="00D30E43">
                <w:rPr>
                  <w:rStyle w:val="Hyperlink"/>
                </w:rPr>
                <w:t>62</w:t>
              </w:r>
            </w:hyperlink>
          </w:p>
          <w:p w14:paraId="7FDCE851" w14:textId="77777777" w:rsidR="00632889" w:rsidRPr="00D30E43" w:rsidRDefault="00A25543" w:rsidP="00632889">
            <w:pPr>
              <w:pStyle w:val="Tabletext"/>
              <w:jc w:val="center"/>
              <w:rPr>
                <w:rStyle w:val="Hyperlink"/>
              </w:rPr>
            </w:pPr>
            <w:hyperlink r:id="rId68" w:history="1">
              <w:r w:rsidR="00632889" w:rsidRPr="00D30E43">
                <w:rPr>
                  <w:rStyle w:val="Hyperlink"/>
                </w:rPr>
                <w:t>VC/3</w:t>
              </w:r>
            </w:hyperlink>
          </w:p>
          <w:p w14:paraId="58C95EAA" w14:textId="77777777" w:rsidR="00632889" w:rsidRPr="00D30E43" w:rsidRDefault="00A25543" w:rsidP="00632889">
            <w:pPr>
              <w:pStyle w:val="Tabletext"/>
              <w:jc w:val="center"/>
              <w:rPr>
                <w:rStyle w:val="Hyperlink"/>
              </w:rPr>
            </w:pPr>
            <w:hyperlink r:id="rId69" w:history="1">
              <w:r w:rsidR="00632889" w:rsidRPr="00D30E43">
                <w:rPr>
                  <w:rStyle w:val="Hyperlink"/>
                </w:rPr>
                <w:t>VC/14</w:t>
              </w:r>
            </w:hyperlink>
          </w:p>
        </w:tc>
      </w:tr>
      <w:tr w:rsidR="00632889" w:rsidRPr="00E70FC7" w14:paraId="23734CFB"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F1BF1" w14:textId="77777777" w:rsidR="00632889" w:rsidRPr="003103DA" w:rsidRDefault="00632889" w:rsidP="00632889">
            <w:pPr>
              <w:pStyle w:val="Tabletext"/>
              <w:jc w:val="center"/>
              <w:rPr>
                <w:b/>
                <w:lang w:eastAsia="en-GB"/>
              </w:rPr>
            </w:pPr>
            <w:r w:rsidRPr="003103DA">
              <w:rPr>
                <w:b/>
                <w:lang w:eastAsia="en-GB"/>
              </w:rPr>
              <w:t>13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BE72" w14:textId="77777777" w:rsidR="00632889" w:rsidRPr="003103DA" w:rsidRDefault="00632889" w:rsidP="00632889">
            <w:pPr>
              <w:pStyle w:val="Tabletext"/>
              <w:rPr>
                <w:bCs/>
                <w:szCs w:val="20"/>
                <w:lang w:eastAsia="en-GB"/>
              </w:rPr>
            </w:pPr>
            <w:r w:rsidRPr="003103DA">
              <w:rPr>
                <w:bCs/>
                <w:szCs w:val="20"/>
                <w:lang w:eastAsia="en-GB"/>
              </w:rPr>
              <w:t xml:space="preserve">Informe sobre la Comisión Permanente sobre Administración y Gestión </w:t>
            </w:r>
            <w:r w:rsidRPr="003103DA">
              <w:rPr>
                <w:bCs/>
                <w:i/>
                <w:iCs/>
                <w:szCs w:val="20"/>
                <w:lang w:eastAsia="en-GB"/>
              </w:rPr>
              <w:t>(PL 3.2)</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A09B6" w14:textId="77777777" w:rsidR="00632889" w:rsidRPr="003103DA" w:rsidRDefault="00632889" w:rsidP="00632889">
            <w:pPr>
              <w:pStyle w:val="Tabletext"/>
              <w:jc w:val="center"/>
              <w:rPr>
                <w:rFonts w:cstheme="minorHAnsi"/>
                <w:color w:val="000000"/>
                <w:szCs w:val="20"/>
                <w:lang w:eastAsia="en-GB"/>
              </w:rPr>
            </w:pPr>
            <w:r w:rsidRPr="003103DA">
              <w:rPr>
                <w:rFonts w:cstheme="minorHAnsi"/>
                <w:color w:val="000000"/>
                <w:szCs w:val="20"/>
                <w:lang w:eastAsia="en-GB"/>
              </w:rPr>
              <w:t>-</w:t>
            </w:r>
          </w:p>
        </w:tc>
      </w:tr>
      <w:tr w:rsidR="00632889" w:rsidRPr="00E70FC7" w14:paraId="473B17A3"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D0610" w14:textId="77777777" w:rsidR="00632889" w:rsidRPr="003103DA" w:rsidRDefault="00632889" w:rsidP="00632889">
            <w:pPr>
              <w:pStyle w:val="Tabletext"/>
              <w:jc w:val="center"/>
              <w:rPr>
                <w:b/>
                <w:lang w:eastAsia="en-GB"/>
              </w:rPr>
            </w:pPr>
            <w:r w:rsidRPr="003103DA">
              <w:rPr>
                <w:b/>
                <w:lang w:eastAsia="en-GB"/>
              </w:rPr>
              <w:t>14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553A" w14:textId="77777777" w:rsidR="00632889" w:rsidRPr="003103DA" w:rsidRDefault="00632889" w:rsidP="00632889">
            <w:pPr>
              <w:pStyle w:val="Tabletext"/>
              <w:rPr>
                <w:bCs/>
                <w:szCs w:val="20"/>
                <w:lang w:eastAsia="en-GB"/>
              </w:rPr>
            </w:pPr>
            <w:r w:rsidRPr="003103DA">
              <w:rPr>
                <w:bCs/>
                <w:szCs w:val="20"/>
                <w:lang w:eastAsia="en-GB"/>
              </w:rPr>
              <w:t xml:space="preserve">Resoluciones y Acuerdos obsoletos del Consejo </w:t>
            </w:r>
            <w:r w:rsidRPr="003103DA">
              <w:rPr>
                <w:bCs/>
                <w:i/>
                <w:iCs/>
                <w:szCs w:val="20"/>
                <w:lang w:eastAsia="en-GB"/>
              </w:rPr>
              <w:t>(PL 4.1)</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85B80" w14:textId="77777777" w:rsidR="00632889" w:rsidRPr="00D30E43" w:rsidRDefault="00A25543" w:rsidP="00632889">
            <w:pPr>
              <w:pStyle w:val="Tabletext"/>
              <w:jc w:val="center"/>
              <w:rPr>
                <w:rStyle w:val="Hyperlink"/>
              </w:rPr>
            </w:pPr>
            <w:hyperlink r:id="rId70" w:history="1">
              <w:r w:rsidR="00632889" w:rsidRPr="00D30E43">
                <w:rPr>
                  <w:rStyle w:val="Hyperlink"/>
                </w:rPr>
                <w:t>3</w:t>
              </w:r>
            </w:hyperlink>
          </w:p>
        </w:tc>
      </w:tr>
      <w:tr w:rsidR="00632889" w:rsidRPr="00E70FC7" w14:paraId="66D9BB33"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06B5C3" w14:textId="77777777" w:rsidR="00632889" w:rsidRPr="003103DA" w:rsidRDefault="00632889" w:rsidP="00632889">
            <w:pPr>
              <w:pStyle w:val="Tabletext"/>
              <w:jc w:val="center"/>
              <w:rPr>
                <w:b/>
                <w:lang w:eastAsia="en-GB"/>
              </w:rPr>
            </w:pPr>
            <w:r w:rsidRPr="003103DA">
              <w:rPr>
                <w:b/>
                <w:lang w:eastAsia="en-GB"/>
              </w:rPr>
              <w:t>15</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977C2BF" w14:textId="77777777" w:rsidR="00632889" w:rsidRPr="003103DA" w:rsidRDefault="00632889" w:rsidP="00632889">
            <w:pPr>
              <w:pStyle w:val="Tabletext"/>
              <w:rPr>
                <w:bCs/>
                <w:szCs w:val="20"/>
                <w:lang w:eastAsia="en-GB"/>
              </w:rPr>
            </w:pPr>
            <w:r w:rsidRPr="003103DA">
              <w:rPr>
                <w:bCs/>
                <w:szCs w:val="20"/>
                <w:lang w:eastAsia="en-GB"/>
              </w:rPr>
              <w:t>Ingresos y gastos (</w:t>
            </w:r>
            <w:proofErr w:type="spellStart"/>
            <w:r w:rsidRPr="003103DA">
              <w:rPr>
                <w:bCs/>
                <w:szCs w:val="20"/>
                <w:lang w:eastAsia="en-GB"/>
              </w:rPr>
              <w:t>Dec</w:t>
            </w:r>
            <w:proofErr w:type="spellEnd"/>
            <w:r w:rsidRPr="003103DA">
              <w:rPr>
                <w:bCs/>
                <w:szCs w:val="20"/>
                <w:lang w:eastAsia="en-GB"/>
              </w:rPr>
              <w:t>. 5): Examen anual de ingresos y gastos (</w:t>
            </w:r>
            <w:proofErr w:type="spellStart"/>
            <w:r w:rsidRPr="003103DA">
              <w:rPr>
                <w:bCs/>
                <w:szCs w:val="20"/>
                <w:lang w:eastAsia="en-GB"/>
              </w:rPr>
              <w:t>Dec</w:t>
            </w:r>
            <w:proofErr w:type="spellEnd"/>
            <w:r w:rsidRPr="003103DA">
              <w:rPr>
                <w:bCs/>
                <w:szCs w:val="20"/>
                <w:lang w:eastAsia="en-GB"/>
              </w:rPr>
              <w:t xml:space="preserve">. 5) y medidas de eficiencia </w:t>
            </w:r>
            <w:r w:rsidRPr="003103DA">
              <w:rPr>
                <w:bCs/>
                <w:i/>
                <w:iCs/>
                <w:szCs w:val="20"/>
                <w:lang w:eastAsia="en-GB"/>
              </w:rPr>
              <w:t>(ADM 1)</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E91C" w14:textId="77777777" w:rsidR="00632889" w:rsidRPr="00D30E43" w:rsidRDefault="00A25543" w:rsidP="00632889">
            <w:pPr>
              <w:pStyle w:val="Tabletext"/>
              <w:jc w:val="center"/>
              <w:rPr>
                <w:rStyle w:val="Hyperlink"/>
              </w:rPr>
            </w:pPr>
            <w:hyperlink r:id="rId71" w:history="1">
              <w:r w:rsidR="00632889" w:rsidRPr="00D30E43">
                <w:rPr>
                  <w:rStyle w:val="Hyperlink"/>
                </w:rPr>
                <w:t>9</w:t>
              </w:r>
            </w:hyperlink>
          </w:p>
        </w:tc>
      </w:tr>
      <w:tr w:rsidR="00632889" w:rsidRPr="00E70FC7" w14:paraId="1D987155" w14:textId="77777777" w:rsidTr="00632889">
        <w:trPr>
          <w:cantSplit/>
          <w:jc w:val="center"/>
        </w:trPr>
        <w:tc>
          <w:tcPr>
            <w:tcW w:w="709" w:type="dxa"/>
            <w:shd w:val="clear" w:color="auto" w:fill="auto"/>
            <w:vAlign w:val="center"/>
          </w:tcPr>
          <w:p w14:paraId="49EF802C" w14:textId="77777777" w:rsidR="00632889" w:rsidRPr="003103DA" w:rsidRDefault="00632889" w:rsidP="00632889">
            <w:pPr>
              <w:pStyle w:val="Tabletext"/>
              <w:jc w:val="center"/>
              <w:rPr>
                <w:b/>
                <w:lang w:eastAsia="en-GB"/>
              </w:rPr>
            </w:pPr>
            <w:r w:rsidRPr="003103DA">
              <w:rPr>
                <w:b/>
                <w:lang w:eastAsia="en-GB"/>
              </w:rPr>
              <w:t>16</w:t>
            </w:r>
          </w:p>
        </w:tc>
        <w:tc>
          <w:tcPr>
            <w:tcW w:w="7229" w:type="dxa"/>
            <w:shd w:val="clear" w:color="auto" w:fill="auto"/>
            <w:vAlign w:val="center"/>
            <w:hideMark/>
          </w:tcPr>
          <w:p w14:paraId="0415005D" w14:textId="77777777" w:rsidR="00632889" w:rsidRPr="003103DA" w:rsidRDefault="00632889" w:rsidP="00632889">
            <w:pPr>
              <w:pStyle w:val="Tabletext"/>
              <w:rPr>
                <w:bCs/>
                <w:szCs w:val="20"/>
                <w:lang w:eastAsia="en-GB"/>
              </w:rPr>
            </w:pPr>
            <w:r w:rsidRPr="003103DA">
              <w:rPr>
                <w:bCs/>
                <w:szCs w:val="20"/>
                <w:lang w:eastAsia="en-GB"/>
              </w:rPr>
              <w:t xml:space="preserve">Participación provisional en las actividades de la UIT de las entidades que se ocupan de cuestiones de telecomunicaciones </w:t>
            </w:r>
            <w:r w:rsidRPr="003103DA">
              <w:rPr>
                <w:bCs/>
                <w:i/>
                <w:iCs/>
                <w:szCs w:val="20"/>
                <w:lang w:eastAsia="en-GB"/>
              </w:rPr>
              <w:t>(ADM 3)</w:t>
            </w:r>
          </w:p>
        </w:tc>
        <w:tc>
          <w:tcPr>
            <w:tcW w:w="1695" w:type="dxa"/>
            <w:shd w:val="clear" w:color="auto" w:fill="auto"/>
            <w:vAlign w:val="center"/>
            <w:hideMark/>
          </w:tcPr>
          <w:p w14:paraId="34BBA43C" w14:textId="77777777" w:rsidR="00632889" w:rsidRPr="00D30E43" w:rsidRDefault="00A25543" w:rsidP="00632889">
            <w:pPr>
              <w:pStyle w:val="Tabletext"/>
              <w:jc w:val="center"/>
              <w:rPr>
                <w:rStyle w:val="Hyperlink"/>
              </w:rPr>
            </w:pPr>
            <w:hyperlink r:id="rId72" w:history="1">
              <w:r w:rsidR="00632889" w:rsidRPr="00D30E43">
                <w:rPr>
                  <w:rStyle w:val="Hyperlink"/>
                </w:rPr>
                <w:t>20</w:t>
              </w:r>
            </w:hyperlink>
          </w:p>
        </w:tc>
      </w:tr>
      <w:tr w:rsidR="00632889" w:rsidRPr="00E70FC7" w14:paraId="22B593B0" w14:textId="77777777" w:rsidTr="00632889">
        <w:tblPrEx>
          <w:tblCellMar>
            <w:left w:w="113" w:type="dxa"/>
            <w:right w:w="57" w:type="dxa"/>
          </w:tblCellMar>
        </w:tblPrEx>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40940E" w14:textId="77777777" w:rsidR="00632889" w:rsidRPr="003103DA" w:rsidRDefault="00632889" w:rsidP="00632889">
            <w:pPr>
              <w:pStyle w:val="Tabletext"/>
              <w:jc w:val="center"/>
              <w:rPr>
                <w:b/>
                <w:lang w:eastAsia="en-GB"/>
              </w:rPr>
            </w:pPr>
            <w:r w:rsidRPr="003103DA">
              <w:rPr>
                <w:b/>
                <w:lang w:eastAsia="en-GB"/>
              </w:rPr>
              <w:t>17</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547CD68B" w14:textId="77777777" w:rsidR="00632889" w:rsidRPr="003103DA" w:rsidRDefault="00632889" w:rsidP="00632889">
            <w:pPr>
              <w:pStyle w:val="Tabletext"/>
              <w:rPr>
                <w:bCs/>
                <w:szCs w:val="20"/>
                <w:lang w:eastAsia="en-GB"/>
              </w:rPr>
            </w:pPr>
            <w:r w:rsidRPr="003103DA">
              <w:rPr>
                <w:bCs/>
                <w:szCs w:val="20"/>
                <w:lang w:eastAsia="en-GB"/>
              </w:rPr>
              <w:t xml:space="preserve">Informe de situación de la implementación de los Acuerdos 600 y 601 del Consejo (UIFN, IIN) </w:t>
            </w:r>
            <w:r w:rsidRPr="003103DA">
              <w:rPr>
                <w:bCs/>
                <w:i/>
                <w:iCs/>
                <w:szCs w:val="20"/>
                <w:lang w:eastAsia="en-GB"/>
              </w:rPr>
              <w:t>(ADM 5)</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F7D45" w14:textId="77777777" w:rsidR="00632889" w:rsidRPr="00D30E43" w:rsidRDefault="00A25543" w:rsidP="00632889">
            <w:pPr>
              <w:pStyle w:val="Tabletext"/>
              <w:jc w:val="center"/>
              <w:rPr>
                <w:rStyle w:val="Hyperlink"/>
              </w:rPr>
            </w:pPr>
            <w:hyperlink r:id="rId73" w:history="1">
              <w:r w:rsidR="00632889" w:rsidRPr="00D30E43">
                <w:rPr>
                  <w:rStyle w:val="Hyperlink"/>
                </w:rPr>
                <w:t>47</w:t>
              </w:r>
            </w:hyperlink>
          </w:p>
        </w:tc>
      </w:tr>
      <w:tr w:rsidR="00632889" w:rsidRPr="00E70FC7" w14:paraId="525D797A" w14:textId="77777777" w:rsidTr="00632889">
        <w:tblPrEx>
          <w:tblCellMar>
            <w:left w:w="113" w:type="dxa"/>
            <w:right w:w="57" w:type="dxa"/>
          </w:tblCellMar>
        </w:tblPrEx>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AEF95B0" w14:textId="77777777" w:rsidR="00632889" w:rsidRPr="003103DA" w:rsidRDefault="00632889" w:rsidP="00632889">
            <w:pPr>
              <w:pStyle w:val="Tabletext"/>
              <w:jc w:val="center"/>
              <w:rPr>
                <w:b/>
                <w:lang w:eastAsia="en-GB"/>
              </w:rPr>
            </w:pPr>
            <w:r w:rsidRPr="003103DA">
              <w:rPr>
                <w:b/>
                <w:lang w:eastAsia="en-GB"/>
              </w:rPr>
              <w:t>18</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44E571B" w14:textId="77777777" w:rsidR="00632889" w:rsidRPr="003103DA" w:rsidRDefault="00632889" w:rsidP="00632889">
            <w:pPr>
              <w:pStyle w:val="Tabletext"/>
              <w:rPr>
                <w:bCs/>
                <w:szCs w:val="20"/>
                <w:lang w:eastAsia="en-GB"/>
              </w:rPr>
            </w:pPr>
            <w:r w:rsidRPr="003103DA">
              <w:rPr>
                <w:bCs/>
                <w:szCs w:val="20"/>
                <w:lang w:eastAsia="en-GB"/>
              </w:rPr>
              <w:t>Sistema de Gestión de la Resiliencia Institucional (ORMS)</w:t>
            </w:r>
            <w:r w:rsidRPr="003103DA">
              <w:rPr>
                <w:bCs/>
                <w:i/>
                <w:iCs/>
                <w:szCs w:val="20"/>
                <w:lang w:eastAsia="en-GB"/>
              </w:rPr>
              <w:t xml:space="preserve"> (ADM 6)</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C707C4E" w14:textId="77777777" w:rsidR="00632889" w:rsidRPr="00D30E43" w:rsidRDefault="00A25543" w:rsidP="00632889">
            <w:pPr>
              <w:pStyle w:val="Tabletext"/>
              <w:jc w:val="center"/>
              <w:rPr>
                <w:rStyle w:val="Hyperlink"/>
              </w:rPr>
            </w:pPr>
            <w:hyperlink r:id="rId74" w:history="1">
              <w:r w:rsidR="00632889" w:rsidRPr="00D30E43">
                <w:rPr>
                  <w:rStyle w:val="Hyperlink"/>
                </w:rPr>
                <w:t>15</w:t>
              </w:r>
            </w:hyperlink>
          </w:p>
        </w:tc>
      </w:tr>
      <w:tr w:rsidR="00632889" w:rsidRPr="00E70FC7" w14:paraId="2FA5CE1D"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A1F8D" w14:textId="77777777" w:rsidR="00632889" w:rsidRPr="003103DA" w:rsidRDefault="00632889" w:rsidP="00632889">
            <w:pPr>
              <w:pStyle w:val="Tabletext"/>
              <w:jc w:val="center"/>
              <w:rPr>
                <w:b/>
                <w:lang w:eastAsia="en-GB"/>
              </w:rPr>
            </w:pPr>
            <w:r w:rsidRPr="003103DA">
              <w:rPr>
                <w:b/>
                <w:lang w:eastAsia="en-GB"/>
              </w:rPr>
              <w:t>19</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A694316" w14:textId="77777777" w:rsidR="00632889" w:rsidRPr="003103DA" w:rsidRDefault="00632889" w:rsidP="00632889">
            <w:pPr>
              <w:pStyle w:val="Tabletext"/>
              <w:rPr>
                <w:bCs/>
                <w:szCs w:val="20"/>
                <w:lang w:eastAsia="en-GB"/>
              </w:rPr>
            </w:pPr>
            <w:r w:rsidRPr="003103DA">
              <w:rPr>
                <w:bCs/>
                <w:szCs w:val="20"/>
                <w:lang w:eastAsia="en-GB"/>
              </w:rPr>
              <w:t xml:space="preserve">Participación de la UIT en Memorandos de Entendimiento con repercusiones financieras y/o estratégicas </w:t>
            </w:r>
            <w:r w:rsidRPr="003103DA">
              <w:rPr>
                <w:bCs/>
                <w:i/>
                <w:iCs/>
                <w:szCs w:val="20"/>
                <w:lang w:eastAsia="en-GB"/>
              </w:rPr>
              <w:t>(ADM 7)</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F54D3" w14:textId="77777777" w:rsidR="00632889" w:rsidRPr="00D30E43" w:rsidRDefault="00A25543" w:rsidP="00632889">
            <w:pPr>
              <w:pStyle w:val="Tabletext"/>
              <w:jc w:val="center"/>
              <w:rPr>
                <w:rStyle w:val="Hyperlink"/>
              </w:rPr>
            </w:pPr>
            <w:hyperlink r:id="rId75" w:history="1">
              <w:r w:rsidR="00632889" w:rsidRPr="00D30E43">
                <w:rPr>
                  <w:rStyle w:val="Hyperlink"/>
                </w:rPr>
                <w:t>45</w:t>
              </w:r>
            </w:hyperlink>
          </w:p>
        </w:tc>
      </w:tr>
      <w:tr w:rsidR="00632889" w:rsidRPr="00E70FC7" w14:paraId="25B65E98"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E0EF81" w14:textId="77777777" w:rsidR="00632889" w:rsidRPr="003103DA" w:rsidRDefault="00632889" w:rsidP="00632889">
            <w:pPr>
              <w:pStyle w:val="Tabletext"/>
              <w:jc w:val="center"/>
              <w:rPr>
                <w:b/>
                <w:lang w:eastAsia="en-GB"/>
              </w:rPr>
            </w:pPr>
            <w:r w:rsidRPr="003103DA">
              <w:rPr>
                <w:b/>
                <w:lang w:eastAsia="en-GB"/>
              </w:rPr>
              <w:t>20</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E50DE7C" w14:textId="77777777" w:rsidR="00632889" w:rsidRPr="003103DA" w:rsidRDefault="00632889" w:rsidP="00632889">
            <w:pPr>
              <w:pStyle w:val="Tabletext"/>
              <w:rPr>
                <w:bCs/>
                <w:szCs w:val="20"/>
                <w:lang w:eastAsia="en-GB"/>
              </w:rPr>
            </w:pPr>
            <w:r w:rsidRPr="003103DA">
              <w:rPr>
                <w:bCs/>
                <w:szCs w:val="20"/>
                <w:lang w:eastAsia="en-GB"/>
              </w:rPr>
              <w:t xml:space="preserve">Recopilación de las decisiones adoptadas por la PP-18 que figuran en el resumen de los debates de sus sesiones plenarias, especialmente las decisiones basadas en las recomendaciones de las Comisiones y el Grupo de Trabajo de la Plenaria </w:t>
            </w:r>
            <w:r w:rsidRPr="003103DA">
              <w:rPr>
                <w:bCs/>
                <w:i/>
                <w:iCs/>
                <w:szCs w:val="20"/>
                <w:lang w:eastAsia="en-GB"/>
              </w:rPr>
              <w:t>(ADM 8)</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424D8" w14:textId="77777777" w:rsidR="00632889" w:rsidRPr="00D30E43" w:rsidRDefault="00A25543" w:rsidP="00632889">
            <w:pPr>
              <w:pStyle w:val="Tabletext"/>
              <w:jc w:val="center"/>
              <w:rPr>
                <w:rStyle w:val="Hyperlink"/>
              </w:rPr>
            </w:pPr>
            <w:hyperlink r:id="rId76" w:history="1">
              <w:r w:rsidR="00632889" w:rsidRPr="00D30E43">
                <w:rPr>
                  <w:rStyle w:val="Hyperlink"/>
                </w:rPr>
                <w:t>58</w:t>
              </w:r>
            </w:hyperlink>
          </w:p>
        </w:tc>
      </w:tr>
      <w:tr w:rsidR="00632889" w:rsidRPr="00E70FC7" w14:paraId="30D5FA6F"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57A4E4" w14:textId="77777777" w:rsidR="00632889" w:rsidRPr="003103DA" w:rsidRDefault="00632889" w:rsidP="00632889">
            <w:pPr>
              <w:pStyle w:val="Tabletext"/>
              <w:jc w:val="center"/>
              <w:rPr>
                <w:b/>
                <w:lang w:eastAsia="en-GB"/>
              </w:rPr>
            </w:pPr>
            <w:r w:rsidRPr="003103DA">
              <w:rPr>
                <w:b/>
                <w:lang w:eastAsia="en-GB"/>
              </w:rPr>
              <w:t>21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D5D9719" w14:textId="77777777" w:rsidR="00632889" w:rsidRPr="003103DA" w:rsidRDefault="00632889" w:rsidP="00632889">
            <w:pPr>
              <w:pStyle w:val="Tabletext"/>
              <w:rPr>
                <w:bCs/>
                <w:szCs w:val="20"/>
                <w:lang w:eastAsia="en-GB"/>
              </w:rPr>
            </w:pPr>
            <w:r w:rsidRPr="003103DA">
              <w:rPr>
                <w:bCs/>
                <w:szCs w:val="20"/>
                <w:lang w:eastAsia="en-GB"/>
              </w:rPr>
              <w:t xml:space="preserve">Mejora de la gestión y el seguimiento de la contribución de los Miembros de Sector, los Asociados y las Instituciones Académicas a los gastos de la UIT </w:t>
            </w:r>
            <w:r w:rsidRPr="003103DA">
              <w:rPr>
                <w:bCs/>
                <w:i/>
                <w:iCs/>
                <w:szCs w:val="20"/>
                <w:lang w:eastAsia="en-GB"/>
              </w:rPr>
              <w:t>(ADM 9)</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A4C83" w14:textId="77777777" w:rsidR="00632889" w:rsidRPr="00D30E43" w:rsidRDefault="00A25543" w:rsidP="00632889">
            <w:pPr>
              <w:pStyle w:val="Tabletext"/>
              <w:jc w:val="center"/>
              <w:rPr>
                <w:rStyle w:val="Hyperlink"/>
              </w:rPr>
            </w:pPr>
            <w:hyperlink r:id="rId77" w:history="1">
              <w:r w:rsidR="00632889" w:rsidRPr="00D30E43">
                <w:rPr>
                  <w:rStyle w:val="Hyperlink"/>
                </w:rPr>
                <w:t>52</w:t>
              </w:r>
            </w:hyperlink>
          </w:p>
        </w:tc>
      </w:tr>
      <w:tr w:rsidR="00632889" w:rsidRPr="00E70FC7" w14:paraId="12251DB4"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F53AAF" w14:textId="77777777" w:rsidR="00632889" w:rsidRPr="003103DA" w:rsidRDefault="00632889" w:rsidP="00632889">
            <w:pPr>
              <w:pStyle w:val="Tabletext"/>
              <w:jc w:val="center"/>
              <w:rPr>
                <w:b/>
                <w:lang w:eastAsia="en-GB"/>
              </w:rPr>
            </w:pPr>
            <w:r w:rsidRPr="003103DA">
              <w:rPr>
                <w:b/>
                <w:lang w:eastAsia="en-GB"/>
              </w:rPr>
              <w:lastRenderedPageBreak/>
              <w:t>22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9D9148E" w14:textId="77777777" w:rsidR="00632889" w:rsidRPr="00E10F37" w:rsidRDefault="00632889" w:rsidP="00632889">
            <w:pPr>
              <w:pStyle w:val="Tabletext"/>
              <w:rPr>
                <w:bCs/>
                <w:szCs w:val="20"/>
                <w:lang w:eastAsia="en-GB"/>
              </w:rPr>
            </w:pPr>
            <w:r w:rsidRPr="00E10F37">
              <w:rPr>
                <w:bCs/>
                <w:szCs w:val="20"/>
                <w:lang w:eastAsia="en-GB"/>
              </w:rPr>
              <w:t>Fondo para el Desarrollo de las Tecnologías de la Información y la Comunicación (FD-TIC) (</w:t>
            </w:r>
            <w:proofErr w:type="spellStart"/>
            <w:r w:rsidRPr="00E10F37">
              <w:rPr>
                <w:bCs/>
                <w:szCs w:val="20"/>
                <w:lang w:eastAsia="en-GB"/>
              </w:rPr>
              <w:t>Dec</w:t>
            </w:r>
            <w:proofErr w:type="spellEnd"/>
            <w:r w:rsidRPr="00E10F37">
              <w:rPr>
                <w:bCs/>
                <w:szCs w:val="20"/>
                <w:lang w:eastAsia="en-GB"/>
              </w:rPr>
              <w:t xml:space="preserve">. 11) </w:t>
            </w:r>
            <w:r w:rsidRPr="00E10F37">
              <w:rPr>
                <w:bCs/>
                <w:i/>
                <w:iCs/>
                <w:szCs w:val="20"/>
                <w:lang w:eastAsia="en-GB"/>
              </w:rPr>
              <w:t>(ADM 12)</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66248" w14:textId="77777777" w:rsidR="00632889" w:rsidRPr="00D30E43" w:rsidRDefault="00A25543" w:rsidP="00632889">
            <w:pPr>
              <w:pStyle w:val="Tabletext"/>
              <w:jc w:val="center"/>
              <w:rPr>
                <w:rStyle w:val="Hyperlink"/>
              </w:rPr>
            </w:pPr>
            <w:hyperlink r:id="rId78" w:history="1">
              <w:r w:rsidR="00632889" w:rsidRPr="00D30E43">
                <w:rPr>
                  <w:rStyle w:val="Hyperlink"/>
                </w:rPr>
                <w:t>34</w:t>
              </w:r>
            </w:hyperlink>
          </w:p>
        </w:tc>
      </w:tr>
      <w:tr w:rsidR="00632889" w:rsidRPr="00E70FC7" w14:paraId="6B42ECD8"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1490D" w14:textId="77777777" w:rsidR="00632889" w:rsidRPr="003103DA" w:rsidRDefault="00632889" w:rsidP="00632889">
            <w:pPr>
              <w:pStyle w:val="Tabletext"/>
              <w:jc w:val="center"/>
              <w:rPr>
                <w:b/>
                <w:lang w:eastAsia="en-GB"/>
              </w:rPr>
            </w:pPr>
            <w:r w:rsidRPr="003103DA">
              <w:rPr>
                <w:b/>
                <w:lang w:eastAsia="en-GB"/>
              </w:rPr>
              <w:t>23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78C3637" w14:textId="77777777" w:rsidR="00632889" w:rsidRPr="00036C5A" w:rsidRDefault="00632889" w:rsidP="00632889">
            <w:pPr>
              <w:pStyle w:val="Tabletext"/>
              <w:rPr>
                <w:bCs/>
                <w:szCs w:val="20"/>
                <w:lang w:eastAsia="en-GB"/>
              </w:rPr>
            </w:pPr>
            <w:r w:rsidRPr="003103DA">
              <w:rPr>
                <w:bCs/>
                <w:szCs w:val="20"/>
                <w:lang w:eastAsia="en-GB"/>
              </w:rPr>
              <w:t xml:space="preserve">Pasivo del Seguro médico después del servicio (ASHI) </w:t>
            </w:r>
            <w:r w:rsidRPr="00E10F37">
              <w:rPr>
                <w:bCs/>
                <w:i/>
                <w:iCs/>
                <w:szCs w:val="20"/>
                <w:lang w:eastAsia="en-GB"/>
              </w:rPr>
              <w:t>(ADM 17)</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8A230" w14:textId="77777777" w:rsidR="00632889" w:rsidRPr="00D30E43" w:rsidRDefault="00A25543" w:rsidP="00632889">
            <w:pPr>
              <w:pStyle w:val="Tabletext"/>
              <w:jc w:val="center"/>
              <w:rPr>
                <w:rStyle w:val="Hyperlink"/>
              </w:rPr>
            </w:pPr>
            <w:hyperlink r:id="rId79" w:history="1">
              <w:r w:rsidR="00632889" w:rsidRPr="00D30E43">
                <w:rPr>
                  <w:rStyle w:val="Hyperlink"/>
                </w:rPr>
                <w:t>46</w:t>
              </w:r>
            </w:hyperlink>
          </w:p>
        </w:tc>
      </w:tr>
      <w:tr w:rsidR="00632889" w:rsidRPr="00E70FC7" w14:paraId="1C4C7C4A"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4F968" w14:textId="77777777" w:rsidR="00632889" w:rsidRPr="003103DA" w:rsidRDefault="00632889" w:rsidP="00632889">
            <w:pPr>
              <w:pStyle w:val="Tabletext"/>
              <w:jc w:val="center"/>
              <w:rPr>
                <w:b/>
                <w:lang w:eastAsia="en-GB"/>
              </w:rPr>
            </w:pPr>
            <w:r w:rsidRPr="003103DA">
              <w:rPr>
                <w:b/>
                <w:lang w:eastAsia="en-GB"/>
              </w:rPr>
              <w:t>24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560C3A6" w14:textId="77777777" w:rsidR="00632889" w:rsidRPr="00E10F37" w:rsidRDefault="00632889" w:rsidP="00632889">
            <w:pPr>
              <w:pStyle w:val="Tabletext"/>
              <w:rPr>
                <w:bCs/>
                <w:szCs w:val="20"/>
                <w:lang w:eastAsia="en-GB"/>
              </w:rPr>
            </w:pPr>
            <w:r w:rsidRPr="00E10F37">
              <w:rPr>
                <w:bCs/>
                <w:szCs w:val="20"/>
                <w:lang w:eastAsia="en-GB"/>
              </w:rPr>
              <w:t xml:space="preserve">Estrategia de coordinación de los trabajos de los tres Sectores de la Unión </w:t>
            </w:r>
            <w:r w:rsidRPr="00E10F37">
              <w:rPr>
                <w:bCs/>
                <w:i/>
                <w:iCs/>
                <w:szCs w:val="20"/>
                <w:lang w:eastAsia="en-GB"/>
              </w:rPr>
              <w:t>(Res. 191) (ADM 19)</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B256" w14:textId="77777777" w:rsidR="00632889" w:rsidRPr="00D30E43" w:rsidRDefault="00A25543" w:rsidP="00632889">
            <w:pPr>
              <w:pStyle w:val="Tabletext"/>
              <w:jc w:val="center"/>
              <w:rPr>
                <w:rStyle w:val="Hyperlink"/>
              </w:rPr>
            </w:pPr>
            <w:hyperlink r:id="rId80" w:history="1">
              <w:r w:rsidR="00632889" w:rsidRPr="00D30E43">
                <w:rPr>
                  <w:rStyle w:val="Hyperlink"/>
                </w:rPr>
                <w:t>38</w:t>
              </w:r>
            </w:hyperlink>
          </w:p>
        </w:tc>
      </w:tr>
      <w:tr w:rsidR="00632889" w:rsidRPr="00E70FC7" w14:paraId="311BFF45"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8DDB4" w14:textId="77777777" w:rsidR="00632889" w:rsidRPr="003103DA" w:rsidRDefault="00632889" w:rsidP="00632889">
            <w:pPr>
              <w:pStyle w:val="Tabletext"/>
              <w:jc w:val="center"/>
              <w:rPr>
                <w:b/>
                <w:lang w:eastAsia="en-GB"/>
              </w:rPr>
            </w:pPr>
            <w:r w:rsidRPr="003103DA">
              <w:rPr>
                <w:b/>
                <w:lang w:eastAsia="en-GB"/>
              </w:rPr>
              <w:t>25</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F6E0C6C" w14:textId="77777777" w:rsidR="00632889" w:rsidRPr="00BB2AE1" w:rsidRDefault="00632889" w:rsidP="00632889">
            <w:pPr>
              <w:pStyle w:val="Tabletext"/>
              <w:rPr>
                <w:bCs/>
                <w:szCs w:val="20"/>
                <w:lang w:eastAsia="en-GB"/>
              </w:rPr>
            </w:pPr>
            <w:r w:rsidRPr="003103DA">
              <w:rPr>
                <w:bCs/>
                <w:szCs w:val="20"/>
                <w:lang w:eastAsia="en-GB"/>
              </w:rPr>
              <w:t xml:space="preserve">Informe sobre el análisis y el examen de las actividades actuales de formación y capacitación emprendidas por el Grupo sobre Iniciativas de Capacitación, la Academia de la UIT y los Centros de Excelencia, y la posible creación de un instituto de capacitación en la UIT </w:t>
            </w:r>
            <w:r w:rsidRPr="00E10F37">
              <w:rPr>
                <w:bCs/>
                <w:i/>
                <w:iCs/>
                <w:szCs w:val="20"/>
                <w:lang w:eastAsia="en-GB"/>
              </w:rPr>
              <w:t>(ADM 21)</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F5065" w14:textId="77777777" w:rsidR="00632889" w:rsidRPr="00D30E43" w:rsidRDefault="00A25543" w:rsidP="00632889">
            <w:pPr>
              <w:pStyle w:val="Tabletext"/>
              <w:jc w:val="center"/>
              <w:rPr>
                <w:rStyle w:val="Hyperlink"/>
              </w:rPr>
            </w:pPr>
            <w:hyperlink r:id="rId81" w:history="1">
              <w:r w:rsidR="00632889" w:rsidRPr="00D30E43">
                <w:rPr>
                  <w:rStyle w:val="Hyperlink"/>
                </w:rPr>
                <w:t>32</w:t>
              </w:r>
            </w:hyperlink>
          </w:p>
        </w:tc>
      </w:tr>
      <w:tr w:rsidR="00632889" w:rsidRPr="00E70FC7" w14:paraId="0110596C"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1CC5F9" w14:textId="77777777" w:rsidR="00632889" w:rsidRPr="003103DA" w:rsidRDefault="00632889" w:rsidP="00632889">
            <w:pPr>
              <w:pStyle w:val="Tabletext"/>
              <w:jc w:val="center"/>
              <w:rPr>
                <w:b/>
                <w:lang w:eastAsia="en-GB"/>
              </w:rPr>
            </w:pPr>
            <w:r w:rsidRPr="003103DA">
              <w:rPr>
                <w:b/>
                <w:lang w:eastAsia="en-GB"/>
              </w:rPr>
              <w:t>26</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39502" w14:textId="77777777" w:rsidR="00632889" w:rsidRPr="00E10F37" w:rsidRDefault="00632889" w:rsidP="00632889">
            <w:pPr>
              <w:pStyle w:val="Tabletext"/>
              <w:rPr>
                <w:bCs/>
                <w:szCs w:val="20"/>
                <w:lang w:eastAsia="en-GB"/>
              </w:rPr>
            </w:pPr>
            <w:r w:rsidRPr="00E10F37">
              <w:rPr>
                <w:bCs/>
                <w:szCs w:val="20"/>
                <w:lang w:eastAsia="en-GB"/>
              </w:rPr>
              <w:t xml:space="preserve">Marco de rendición de cuentas de la UIT </w:t>
            </w:r>
            <w:r w:rsidRPr="00E10F37">
              <w:rPr>
                <w:bCs/>
                <w:i/>
                <w:iCs/>
                <w:szCs w:val="20"/>
                <w:lang w:eastAsia="en-GB"/>
              </w:rPr>
              <w:t>(ADM 22)</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465E" w14:textId="77777777" w:rsidR="00632889" w:rsidRPr="00D30E43" w:rsidRDefault="00A25543" w:rsidP="00632889">
            <w:pPr>
              <w:pStyle w:val="Tabletext"/>
              <w:jc w:val="center"/>
              <w:rPr>
                <w:rStyle w:val="Hyperlink"/>
              </w:rPr>
            </w:pPr>
            <w:hyperlink r:id="rId82" w:history="1">
              <w:r w:rsidR="00632889" w:rsidRPr="00D30E43">
                <w:rPr>
                  <w:rStyle w:val="Hyperlink"/>
                </w:rPr>
                <w:t>43</w:t>
              </w:r>
            </w:hyperlink>
          </w:p>
        </w:tc>
      </w:tr>
      <w:tr w:rsidR="00632889" w:rsidRPr="00E70FC7" w14:paraId="78092FD2"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432C78" w14:textId="77777777" w:rsidR="00632889" w:rsidRPr="003103DA" w:rsidRDefault="00632889" w:rsidP="00632889">
            <w:pPr>
              <w:pStyle w:val="Tabletext"/>
              <w:jc w:val="center"/>
              <w:rPr>
                <w:b/>
                <w:lang w:eastAsia="en-GB"/>
              </w:rPr>
            </w:pPr>
            <w:r w:rsidRPr="003103DA">
              <w:rPr>
                <w:b/>
                <w:lang w:eastAsia="en-GB"/>
              </w:rPr>
              <w:t>27</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E631" w14:textId="77777777" w:rsidR="00632889" w:rsidRPr="00E10F37" w:rsidRDefault="00632889" w:rsidP="00632889">
            <w:pPr>
              <w:pStyle w:val="Tabletext"/>
              <w:rPr>
                <w:bCs/>
                <w:szCs w:val="20"/>
                <w:lang w:eastAsia="en-GB"/>
              </w:rPr>
            </w:pPr>
            <w:r w:rsidRPr="00E10F37">
              <w:rPr>
                <w:bCs/>
                <w:szCs w:val="20"/>
                <w:lang w:eastAsia="en-GB"/>
              </w:rPr>
              <w:t xml:space="preserve">Informe provisional, en su caso, de la empresa externa sobre la auditoría forense </w:t>
            </w:r>
            <w:r w:rsidRPr="00E10F37">
              <w:rPr>
                <w:bCs/>
                <w:i/>
                <w:iCs/>
                <w:szCs w:val="20"/>
                <w:lang w:eastAsia="en-GB"/>
              </w:rPr>
              <w:t>(ADM 25)</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4A8B7" w14:textId="77777777" w:rsidR="00632889" w:rsidRPr="003103DA" w:rsidRDefault="00632889" w:rsidP="00632889">
            <w:pPr>
              <w:pStyle w:val="Tabletext"/>
              <w:jc w:val="center"/>
              <w:rPr>
                <w:rFonts w:cstheme="minorHAnsi"/>
                <w:color w:val="000000"/>
                <w:szCs w:val="20"/>
                <w:lang w:eastAsia="en-GB"/>
              </w:rPr>
            </w:pPr>
          </w:p>
        </w:tc>
      </w:tr>
      <w:tr w:rsidR="00632889" w:rsidRPr="00E70FC7" w14:paraId="6640405A"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C8619" w14:textId="77777777" w:rsidR="00632889" w:rsidRPr="003103DA" w:rsidRDefault="00632889" w:rsidP="00632889">
            <w:pPr>
              <w:pStyle w:val="Tabletext"/>
              <w:jc w:val="center"/>
              <w:rPr>
                <w:b/>
                <w:lang w:eastAsia="en-GB"/>
              </w:rPr>
            </w:pPr>
            <w:r w:rsidRPr="003103DA">
              <w:rPr>
                <w:b/>
                <w:lang w:eastAsia="en-GB"/>
              </w:rPr>
              <w:t>28</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B313BD5" w14:textId="77777777" w:rsidR="00632889" w:rsidRPr="00E10F37" w:rsidRDefault="00632889" w:rsidP="00632889">
            <w:pPr>
              <w:pStyle w:val="Tabletext"/>
              <w:rPr>
                <w:bCs/>
                <w:szCs w:val="20"/>
                <w:lang w:eastAsia="en-GB"/>
              </w:rPr>
            </w:pPr>
            <w:r w:rsidRPr="00E10F37">
              <w:rPr>
                <w:bCs/>
                <w:szCs w:val="20"/>
                <w:lang w:eastAsia="en-GB"/>
              </w:rPr>
              <w:t xml:space="preserve">Resultados de la CMR-19 con repercusiones financieras </w:t>
            </w:r>
            <w:r w:rsidRPr="00E10F37">
              <w:rPr>
                <w:bCs/>
                <w:i/>
                <w:iCs/>
                <w:szCs w:val="20"/>
                <w:lang w:eastAsia="en-GB"/>
              </w:rPr>
              <w:t>(ADM 26)</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1308D" w14:textId="77777777" w:rsidR="00632889" w:rsidRPr="00D30E43" w:rsidRDefault="00A25543" w:rsidP="00632889">
            <w:pPr>
              <w:pStyle w:val="Tabletext"/>
              <w:jc w:val="center"/>
              <w:rPr>
                <w:rStyle w:val="Hyperlink"/>
              </w:rPr>
            </w:pPr>
            <w:hyperlink r:id="rId83" w:history="1">
              <w:r w:rsidR="00632889" w:rsidRPr="00D30E43">
                <w:rPr>
                  <w:rStyle w:val="Hyperlink"/>
                </w:rPr>
                <w:t>56</w:t>
              </w:r>
            </w:hyperlink>
          </w:p>
        </w:tc>
      </w:tr>
      <w:tr w:rsidR="00632889" w:rsidRPr="00E70FC7" w14:paraId="2DDF9E6F"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F1A033" w14:textId="77777777" w:rsidR="00632889" w:rsidRPr="003103DA" w:rsidRDefault="00632889" w:rsidP="00632889">
            <w:pPr>
              <w:pStyle w:val="Tabletext"/>
              <w:jc w:val="center"/>
              <w:rPr>
                <w:b/>
                <w:lang w:eastAsia="en-GB"/>
              </w:rPr>
            </w:pPr>
            <w:r w:rsidRPr="003103DA">
              <w:rPr>
                <w:b/>
                <w:lang w:eastAsia="en-GB"/>
              </w:rPr>
              <w:t>29</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59BA6C2" w14:textId="77777777" w:rsidR="00632889" w:rsidRPr="00E10F37" w:rsidRDefault="00632889" w:rsidP="00632889">
            <w:pPr>
              <w:pStyle w:val="Tabletext"/>
              <w:rPr>
                <w:bCs/>
                <w:szCs w:val="20"/>
                <w:lang w:eastAsia="en-GB"/>
              </w:rPr>
            </w:pPr>
            <w:r w:rsidRPr="00E10F37">
              <w:rPr>
                <w:bCs/>
                <w:szCs w:val="20"/>
                <w:lang w:eastAsia="en-GB"/>
              </w:rPr>
              <w:t xml:space="preserve">Informe sobre los avances en la aplicación del Plan Estratégico de Recursos Humanos y de la Resolución 48 (Rev. Dubái, 2018) </w:t>
            </w:r>
            <w:r w:rsidRPr="00E10F37">
              <w:rPr>
                <w:bCs/>
                <w:i/>
                <w:iCs/>
                <w:szCs w:val="20"/>
                <w:lang w:eastAsia="en-GB"/>
              </w:rPr>
              <w:t>(ADM 29)</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93F56" w14:textId="77777777" w:rsidR="00632889" w:rsidRPr="00D30E43" w:rsidRDefault="00A25543" w:rsidP="00632889">
            <w:pPr>
              <w:pStyle w:val="Tabletext"/>
              <w:jc w:val="center"/>
              <w:rPr>
                <w:rStyle w:val="Hyperlink"/>
              </w:rPr>
            </w:pPr>
            <w:hyperlink r:id="rId84" w:history="1">
              <w:r w:rsidR="00632889" w:rsidRPr="00D30E43">
                <w:rPr>
                  <w:rStyle w:val="Hyperlink"/>
                </w:rPr>
                <w:t>54</w:t>
              </w:r>
            </w:hyperlink>
          </w:p>
        </w:tc>
      </w:tr>
      <w:tr w:rsidR="00632889" w:rsidRPr="00F73BA3" w14:paraId="009ED099" w14:textId="77777777" w:rsidTr="00632889">
        <w:trPr>
          <w:cantSplit/>
          <w:jc w:val="center"/>
        </w:trPr>
        <w:tc>
          <w:tcPr>
            <w:tcW w:w="709" w:type="dxa"/>
            <w:vAlign w:val="center"/>
          </w:tcPr>
          <w:p w14:paraId="76CDDA25" w14:textId="77777777" w:rsidR="00632889" w:rsidRPr="003103DA" w:rsidRDefault="00632889" w:rsidP="00632889">
            <w:pPr>
              <w:pStyle w:val="Tabletext"/>
              <w:jc w:val="center"/>
              <w:rPr>
                <w:b/>
                <w:lang w:eastAsia="en-GB"/>
              </w:rPr>
            </w:pPr>
            <w:r w:rsidRPr="003103DA">
              <w:rPr>
                <w:b/>
                <w:lang w:eastAsia="en-GB"/>
              </w:rPr>
              <w:t>30</w:t>
            </w:r>
          </w:p>
        </w:tc>
        <w:tc>
          <w:tcPr>
            <w:tcW w:w="7229" w:type="dxa"/>
            <w:shd w:val="clear" w:color="auto" w:fill="auto"/>
            <w:vAlign w:val="center"/>
            <w:hideMark/>
          </w:tcPr>
          <w:p w14:paraId="5236A4C4" w14:textId="77777777" w:rsidR="00632889" w:rsidRPr="00E10F37" w:rsidRDefault="00632889" w:rsidP="00632889">
            <w:pPr>
              <w:pStyle w:val="Tabletext"/>
              <w:rPr>
                <w:bCs/>
                <w:szCs w:val="20"/>
                <w:lang w:eastAsia="en-GB"/>
              </w:rPr>
            </w:pPr>
            <w:r w:rsidRPr="00E10F37">
              <w:rPr>
                <w:bCs/>
                <w:szCs w:val="20"/>
                <w:lang w:eastAsia="en-GB"/>
              </w:rPr>
              <w:t xml:space="preserve">Composición del Comité de Pensiones del Personal de la UIT </w:t>
            </w:r>
            <w:r w:rsidRPr="00E10F37">
              <w:rPr>
                <w:bCs/>
                <w:i/>
                <w:iCs/>
                <w:szCs w:val="20"/>
                <w:lang w:eastAsia="en-GB"/>
              </w:rPr>
              <w:t>(ADM 30)</w:t>
            </w:r>
          </w:p>
        </w:tc>
        <w:tc>
          <w:tcPr>
            <w:tcW w:w="1695" w:type="dxa"/>
            <w:shd w:val="clear" w:color="auto" w:fill="auto"/>
            <w:noWrap/>
            <w:vAlign w:val="center"/>
            <w:hideMark/>
          </w:tcPr>
          <w:p w14:paraId="155BDFA1" w14:textId="77777777" w:rsidR="00632889" w:rsidRPr="007B0CD0" w:rsidRDefault="00632889" w:rsidP="00632889">
            <w:pPr>
              <w:pStyle w:val="Tabletext"/>
              <w:jc w:val="center"/>
              <w:rPr>
                <w:rFonts w:cstheme="minorHAnsi"/>
                <w:color w:val="000000"/>
                <w:szCs w:val="20"/>
                <w:lang w:eastAsia="en-GB"/>
              </w:rPr>
            </w:pPr>
            <w:r w:rsidRPr="007B0CD0">
              <w:rPr>
                <w:rFonts w:cstheme="minorHAnsi"/>
                <w:color w:val="000000"/>
                <w:szCs w:val="20"/>
                <w:lang w:eastAsia="en-GB"/>
              </w:rPr>
              <w:t>_</w:t>
            </w:r>
          </w:p>
        </w:tc>
      </w:tr>
      <w:tr w:rsidR="00632889" w:rsidRPr="00F73BA3" w14:paraId="5B2F7933" w14:textId="77777777" w:rsidTr="00632889">
        <w:trPr>
          <w:cantSplit/>
          <w:jc w:val="center"/>
        </w:trPr>
        <w:tc>
          <w:tcPr>
            <w:tcW w:w="709" w:type="dxa"/>
            <w:vAlign w:val="center"/>
          </w:tcPr>
          <w:p w14:paraId="67B53E65" w14:textId="77777777" w:rsidR="00632889" w:rsidRPr="003103DA" w:rsidRDefault="00632889" w:rsidP="00632889">
            <w:pPr>
              <w:pStyle w:val="Tabletext"/>
              <w:jc w:val="center"/>
              <w:rPr>
                <w:b/>
                <w:lang w:eastAsia="en-GB"/>
              </w:rPr>
            </w:pPr>
            <w:r w:rsidRPr="003103DA">
              <w:rPr>
                <w:b/>
                <w:lang w:eastAsia="en-GB"/>
              </w:rPr>
              <w:t>31</w:t>
            </w:r>
          </w:p>
        </w:tc>
        <w:tc>
          <w:tcPr>
            <w:tcW w:w="7229" w:type="dxa"/>
            <w:shd w:val="clear" w:color="auto" w:fill="auto"/>
            <w:vAlign w:val="center"/>
          </w:tcPr>
          <w:p w14:paraId="2F27871B" w14:textId="77777777" w:rsidR="00632889" w:rsidRPr="00E10F37" w:rsidRDefault="00632889" w:rsidP="00632889">
            <w:pPr>
              <w:pStyle w:val="Tabletext"/>
              <w:rPr>
                <w:bCs/>
                <w:szCs w:val="20"/>
                <w:lang w:eastAsia="en-GB"/>
              </w:rPr>
            </w:pPr>
            <w:r w:rsidRPr="00E10F37">
              <w:rPr>
                <w:bCs/>
                <w:szCs w:val="20"/>
                <w:lang w:eastAsia="en-GB"/>
              </w:rPr>
              <w:t xml:space="preserve">Medidas adoptadas por la UIT respecto de las condiciones para la prestación de asistencia médica de emergencia in situ en las conferencias y reuniones de la UIT celebradas fuera de Ginebra </w:t>
            </w:r>
            <w:r w:rsidRPr="00E10F37">
              <w:rPr>
                <w:bCs/>
                <w:i/>
                <w:iCs/>
                <w:szCs w:val="20"/>
                <w:lang w:eastAsia="en-GB"/>
              </w:rPr>
              <w:t>(ADM 34)</w:t>
            </w:r>
          </w:p>
        </w:tc>
        <w:tc>
          <w:tcPr>
            <w:tcW w:w="1695" w:type="dxa"/>
            <w:shd w:val="clear" w:color="auto" w:fill="auto"/>
            <w:noWrap/>
            <w:vAlign w:val="center"/>
          </w:tcPr>
          <w:p w14:paraId="1A76D0A8" w14:textId="77777777" w:rsidR="00632889" w:rsidRPr="00D30E43" w:rsidRDefault="00A25543" w:rsidP="00632889">
            <w:pPr>
              <w:pStyle w:val="Tabletext"/>
              <w:jc w:val="center"/>
              <w:rPr>
                <w:rStyle w:val="Hyperlink"/>
              </w:rPr>
            </w:pPr>
            <w:hyperlink r:id="rId85" w:history="1">
              <w:r w:rsidR="00632889" w:rsidRPr="00D30E43">
                <w:rPr>
                  <w:rStyle w:val="Hyperlink"/>
                </w:rPr>
                <w:t>31</w:t>
              </w:r>
            </w:hyperlink>
          </w:p>
        </w:tc>
      </w:tr>
      <w:tr w:rsidR="00632889" w:rsidRPr="00F73BA3" w14:paraId="2A750DA3" w14:textId="77777777" w:rsidTr="00632889">
        <w:trPr>
          <w:cantSplit/>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496DE5" w14:textId="77777777" w:rsidR="00632889" w:rsidRPr="003103DA" w:rsidRDefault="00632889" w:rsidP="00632889">
            <w:pPr>
              <w:pStyle w:val="Tabletext"/>
              <w:jc w:val="center"/>
              <w:rPr>
                <w:b/>
                <w:lang w:eastAsia="en-GB"/>
              </w:rPr>
            </w:pPr>
            <w:r w:rsidRPr="003103DA">
              <w:rPr>
                <w:b/>
                <w:lang w:eastAsia="en-GB"/>
              </w:rPr>
              <w:t>32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709D842" w14:textId="0D12B5D5" w:rsidR="00632889" w:rsidRPr="00E10F37" w:rsidRDefault="00C063EB" w:rsidP="00632889">
            <w:pPr>
              <w:pStyle w:val="Tabletext"/>
              <w:rPr>
                <w:bCs/>
                <w:szCs w:val="20"/>
                <w:lang w:eastAsia="en-GB"/>
              </w:rPr>
            </w:pPr>
            <w:r>
              <w:rPr>
                <w:bCs/>
                <w:szCs w:val="20"/>
                <w:lang w:eastAsia="en-GB"/>
              </w:rPr>
              <w:t xml:space="preserve">Repercusión financiera de las medidas medioambientales </w:t>
            </w:r>
            <w:r w:rsidR="00632889" w:rsidRPr="00E10F37">
              <w:rPr>
                <w:bCs/>
                <w:szCs w:val="20"/>
                <w:lang w:eastAsia="en-GB"/>
              </w:rPr>
              <w:t>(n</w:t>
            </w:r>
            <w:r>
              <w:rPr>
                <w:bCs/>
                <w:szCs w:val="20"/>
                <w:lang w:eastAsia="en-GB"/>
              </w:rPr>
              <w:t>uevo</w:t>
            </w:r>
            <w:r w:rsidR="00632889" w:rsidRPr="00E10F37">
              <w:rPr>
                <w:bCs/>
                <w:szCs w:val="20"/>
                <w:lang w:eastAsia="en-GB"/>
              </w:rPr>
              <w:t>)</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55A8" w14:textId="77777777" w:rsidR="00632889" w:rsidRPr="003103DA" w:rsidRDefault="00632889" w:rsidP="00632889">
            <w:pPr>
              <w:pStyle w:val="Tabletext"/>
              <w:jc w:val="center"/>
              <w:rPr>
                <w:rFonts w:cstheme="minorHAnsi"/>
                <w:color w:val="000000"/>
                <w:szCs w:val="20"/>
                <w:lang w:eastAsia="en-GB"/>
              </w:rPr>
            </w:pPr>
          </w:p>
        </w:tc>
      </w:tr>
      <w:bookmarkEnd w:id="51"/>
    </w:tbl>
    <w:p w14:paraId="6798E693" w14:textId="77777777" w:rsidR="00632889" w:rsidRPr="003E114B" w:rsidRDefault="00632889" w:rsidP="00632889">
      <w:pPr>
        <w:spacing w:line="720" w:lineRule="auto"/>
        <w:rPr>
          <w:sz w:val="20"/>
          <w:szCs w:val="20"/>
        </w:rPr>
      </w:pPr>
    </w:p>
    <w:p w14:paraId="6FD296BA" w14:textId="77777777" w:rsidR="00632889" w:rsidRPr="003E114B" w:rsidRDefault="00632889" w:rsidP="00632889">
      <w:pPr>
        <w:rPr>
          <w:sz w:val="20"/>
          <w:szCs w:val="20"/>
        </w:rPr>
        <w:sectPr w:rsidR="00632889" w:rsidRPr="003E114B" w:rsidSect="00632889">
          <w:headerReference w:type="even" r:id="rId86"/>
          <w:headerReference w:type="default" r:id="rId87"/>
          <w:footerReference w:type="even" r:id="rId88"/>
          <w:headerReference w:type="first" r:id="rId89"/>
          <w:footerReference w:type="first" r:id="rId90"/>
          <w:pgSz w:w="11906" w:h="16838" w:code="9"/>
          <w:pgMar w:top="1134" w:right="1134" w:bottom="1134" w:left="1134" w:header="567" w:footer="567" w:gutter="0"/>
          <w:paperSrc w:first="15" w:other="15"/>
          <w:cols w:space="708"/>
          <w:titlePg/>
          <w:docGrid w:linePitch="360"/>
        </w:sectPr>
      </w:pPr>
      <w:bookmarkStart w:id="52" w:name="_Hlk40206680"/>
      <w:bookmarkEnd w:id="50"/>
    </w:p>
    <w:p w14:paraId="7CED4B0A" w14:textId="1E392B36" w:rsidR="00632889" w:rsidRPr="003E114B" w:rsidRDefault="00632889" w:rsidP="00632889">
      <w:pPr>
        <w:pStyle w:val="AnnexNoTitle"/>
        <w:spacing w:before="0"/>
      </w:pPr>
      <w:bookmarkStart w:id="53" w:name="annex5"/>
      <w:bookmarkStart w:id="54" w:name="Anexo5"/>
      <w:bookmarkStart w:id="55" w:name="lt_pId444"/>
      <w:bookmarkStart w:id="56" w:name="Annex3"/>
      <w:bookmarkEnd w:id="53"/>
      <w:bookmarkEnd w:id="54"/>
      <w:r w:rsidRPr="003E114B">
        <w:lastRenderedPageBreak/>
        <w:t xml:space="preserve">ANEXO </w:t>
      </w:r>
      <w:bookmarkEnd w:id="55"/>
      <w:r>
        <w:t>3</w:t>
      </w:r>
      <w:bookmarkEnd w:id="56"/>
    </w:p>
    <w:p w14:paraId="3664A702" w14:textId="77777777" w:rsidR="00632889" w:rsidRPr="003E114B" w:rsidRDefault="00632889" w:rsidP="00632889">
      <w:pPr>
        <w:pStyle w:val="AnnexNoTitle"/>
        <w:spacing w:before="240"/>
        <w:rPr>
          <w:bCs/>
          <w:szCs w:val="24"/>
        </w:rPr>
      </w:pPr>
      <w:bookmarkStart w:id="57" w:name="lt_pId445"/>
      <w:r w:rsidRPr="003E114B">
        <w:rPr>
          <w:bCs/>
          <w:szCs w:val="24"/>
        </w:rPr>
        <w:t xml:space="preserve">Plantilla para las contribuciones de los Estados Miembros </w:t>
      </w:r>
      <w:bookmarkEnd w:id="57"/>
    </w:p>
    <w:tbl>
      <w:tblPr>
        <w:tblW w:w="10031" w:type="dxa"/>
        <w:tblLayout w:type="fixed"/>
        <w:tblLook w:val="0000" w:firstRow="0" w:lastRow="0" w:firstColumn="0" w:lastColumn="0" w:noHBand="0" w:noVBand="0"/>
      </w:tblPr>
      <w:tblGrid>
        <w:gridCol w:w="6911"/>
        <w:gridCol w:w="3120"/>
      </w:tblGrid>
      <w:tr w:rsidR="00632889" w:rsidRPr="003E114B" w14:paraId="4318EF31" w14:textId="77777777" w:rsidTr="00632889">
        <w:trPr>
          <w:cantSplit/>
          <w:trHeight w:val="1276"/>
        </w:trPr>
        <w:tc>
          <w:tcPr>
            <w:tcW w:w="6911" w:type="dxa"/>
          </w:tcPr>
          <w:p w14:paraId="4E67D29D" w14:textId="2CBC919C" w:rsidR="00632889" w:rsidRPr="003E114B" w:rsidRDefault="00632889" w:rsidP="00632889">
            <w:pPr>
              <w:spacing w:before="360" w:after="48" w:line="240" w:lineRule="auto"/>
              <w:jc w:val="left"/>
              <w:rPr>
                <w:b/>
                <w:bCs/>
                <w:position w:val="6"/>
                <w:sz w:val="26"/>
                <w:szCs w:val="26"/>
              </w:rPr>
            </w:pPr>
            <w:bookmarkStart w:id="58" w:name="lt_pId446"/>
            <w:r>
              <w:rPr>
                <w:b/>
                <w:bCs/>
                <w:position w:val="6"/>
                <w:sz w:val="26"/>
                <w:szCs w:val="26"/>
              </w:rPr>
              <w:t>Segunda c</w:t>
            </w:r>
            <w:r w:rsidRPr="003E114B">
              <w:rPr>
                <w:b/>
                <w:bCs/>
                <w:position w:val="6"/>
                <w:sz w:val="26"/>
                <w:szCs w:val="26"/>
              </w:rPr>
              <w:t xml:space="preserve">onsulta virtual de los consejeros </w:t>
            </w:r>
            <w:bookmarkEnd w:id="58"/>
            <w:r w:rsidRPr="003E114B">
              <w:rPr>
                <w:b/>
                <w:bCs/>
                <w:position w:val="6"/>
                <w:sz w:val="26"/>
                <w:szCs w:val="26"/>
              </w:rPr>
              <w:br/>
            </w:r>
            <w:bookmarkStart w:id="59" w:name="lt_pId447"/>
            <w:r w:rsidRPr="003E114B">
              <w:rPr>
                <w:b/>
                <w:bCs/>
                <w:position w:val="6"/>
                <w:sz w:val="26"/>
                <w:szCs w:val="26"/>
              </w:rPr>
              <w:t xml:space="preserve">que comienza el </w:t>
            </w:r>
            <w:r>
              <w:rPr>
                <w:b/>
                <w:bCs/>
                <w:position w:val="6"/>
                <w:sz w:val="26"/>
                <w:szCs w:val="26"/>
              </w:rPr>
              <w:t>16</w:t>
            </w:r>
            <w:r w:rsidRPr="003E114B">
              <w:rPr>
                <w:b/>
                <w:bCs/>
                <w:position w:val="6"/>
                <w:sz w:val="26"/>
                <w:szCs w:val="26"/>
              </w:rPr>
              <w:t xml:space="preserve"> de </w:t>
            </w:r>
            <w:r>
              <w:rPr>
                <w:b/>
                <w:bCs/>
                <w:position w:val="6"/>
                <w:sz w:val="26"/>
                <w:szCs w:val="26"/>
              </w:rPr>
              <w:t>noviembre</w:t>
            </w:r>
            <w:r w:rsidRPr="003E114B">
              <w:rPr>
                <w:b/>
                <w:bCs/>
                <w:position w:val="6"/>
                <w:sz w:val="26"/>
                <w:szCs w:val="26"/>
              </w:rPr>
              <w:t xml:space="preserve"> de 2020</w:t>
            </w:r>
            <w:bookmarkEnd w:id="59"/>
          </w:p>
        </w:tc>
        <w:tc>
          <w:tcPr>
            <w:tcW w:w="3120" w:type="dxa"/>
            <w:vAlign w:val="center"/>
          </w:tcPr>
          <w:p w14:paraId="0007B78B" w14:textId="77777777" w:rsidR="00632889" w:rsidRPr="003E114B" w:rsidRDefault="00632889" w:rsidP="00632889">
            <w:pPr>
              <w:spacing w:before="0" w:line="240" w:lineRule="auto"/>
            </w:pPr>
            <w:bookmarkStart w:id="60" w:name="ditulogo"/>
            <w:bookmarkEnd w:id="60"/>
            <w:r w:rsidRPr="003E114B">
              <w:rPr>
                <w:noProof/>
              </w:rPr>
              <w:drawing>
                <wp:inline distT="0" distB="0" distL="0" distR="0" wp14:anchorId="34AAA16C" wp14:editId="10FF6CE7">
                  <wp:extent cx="682402" cy="720000"/>
                  <wp:effectExtent l="0" t="0" r="3810" b="4445"/>
                  <wp:docPr id="1035909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96642" name="logo-ITU-RGB-size template.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632889" w:rsidRPr="003E114B" w14:paraId="6A904565" w14:textId="77777777" w:rsidTr="00632889">
        <w:trPr>
          <w:cantSplit/>
        </w:trPr>
        <w:tc>
          <w:tcPr>
            <w:tcW w:w="6911" w:type="dxa"/>
            <w:tcBorders>
              <w:bottom w:val="single" w:sz="12" w:space="0" w:color="auto"/>
            </w:tcBorders>
          </w:tcPr>
          <w:p w14:paraId="2E9CFE46" w14:textId="77777777" w:rsidR="00632889" w:rsidRPr="003E114B" w:rsidRDefault="00632889" w:rsidP="00632889">
            <w:pPr>
              <w:spacing w:before="0" w:after="48" w:line="240" w:lineRule="auto"/>
              <w:rPr>
                <w:b/>
                <w:smallCaps/>
                <w:szCs w:val="24"/>
              </w:rPr>
            </w:pPr>
          </w:p>
        </w:tc>
        <w:tc>
          <w:tcPr>
            <w:tcW w:w="3120" w:type="dxa"/>
            <w:tcBorders>
              <w:bottom w:val="single" w:sz="12" w:space="0" w:color="auto"/>
            </w:tcBorders>
          </w:tcPr>
          <w:p w14:paraId="57D391E1" w14:textId="77777777" w:rsidR="00632889" w:rsidRPr="003E114B" w:rsidRDefault="00632889" w:rsidP="00632889">
            <w:pPr>
              <w:spacing w:before="0" w:line="240" w:lineRule="auto"/>
              <w:rPr>
                <w:szCs w:val="24"/>
              </w:rPr>
            </w:pPr>
          </w:p>
        </w:tc>
      </w:tr>
      <w:tr w:rsidR="00632889" w:rsidRPr="003E114B" w14:paraId="4BFE96F1" w14:textId="77777777" w:rsidTr="00632889">
        <w:trPr>
          <w:cantSplit/>
        </w:trPr>
        <w:tc>
          <w:tcPr>
            <w:tcW w:w="6911" w:type="dxa"/>
            <w:tcBorders>
              <w:top w:val="single" w:sz="12" w:space="0" w:color="auto"/>
            </w:tcBorders>
          </w:tcPr>
          <w:p w14:paraId="3BC319AB" w14:textId="77777777" w:rsidR="00632889" w:rsidRPr="003E114B" w:rsidRDefault="00632889" w:rsidP="00632889">
            <w:pPr>
              <w:spacing w:before="0" w:after="48" w:line="240" w:lineRule="auto"/>
              <w:rPr>
                <w:b/>
                <w:smallCaps/>
                <w:szCs w:val="24"/>
              </w:rPr>
            </w:pPr>
          </w:p>
        </w:tc>
        <w:tc>
          <w:tcPr>
            <w:tcW w:w="3120" w:type="dxa"/>
            <w:tcBorders>
              <w:top w:val="single" w:sz="12" w:space="0" w:color="auto"/>
            </w:tcBorders>
          </w:tcPr>
          <w:p w14:paraId="46BC9721" w14:textId="77777777" w:rsidR="00632889" w:rsidRPr="003E114B" w:rsidRDefault="00632889" w:rsidP="00632889">
            <w:pPr>
              <w:spacing w:before="0" w:line="240" w:lineRule="auto"/>
              <w:rPr>
                <w:szCs w:val="24"/>
              </w:rPr>
            </w:pPr>
          </w:p>
        </w:tc>
      </w:tr>
    </w:tbl>
    <w:p w14:paraId="00F1801C" w14:textId="7ED9D164" w:rsidR="00632889" w:rsidRPr="003E114B" w:rsidRDefault="00632889" w:rsidP="00632889">
      <w:pPr>
        <w:spacing w:line="240" w:lineRule="auto"/>
        <w:jc w:val="center"/>
        <w:rPr>
          <w:b/>
          <w:bCs/>
          <w:sz w:val="28"/>
        </w:rPr>
      </w:pPr>
      <w:bookmarkStart w:id="61" w:name="lt_pId448"/>
      <w:bookmarkStart w:id="62" w:name="dorlang" w:colFirst="1" w:colLast="1"/>
      <w:r w:rsidRPr="003E114B">
        <w:rPr>
          <w:b/>
          <w:bCs/>
          <w:sz w:val="28"/>
          <w:szCs w:val="28"/>
        </w:rPr>
        <w:t>Contribución de Estado(s) Miembro(s) sobre puntos del proyecto</w:t>
      </w:r>
      <w:r w:rsidRPr="003E114B">
        <w:rPr>
          <w:b/>
          <w:bCs/>
          <w:sz w:val="28"/>
          <w:szCs w:val="28"/>
        </w:rPr>
        <w:br/>
        <w:t xml:space="preserve">de orden del día </w:t>
      </w:r>
      <w:r w:rsidR="009F185C">
        <w:rPr>
          <w:b/>
          <w:bCs/>
          <w:sz w:val="28"/>
          <w:szCs w:val="28"/>
        </w:rPr>
        <w:t xml:space="preserve">(Grupos 1 y 2) </w:t>
      </w:r>
      <w:r w:rsidRPr="003E114B">
        <w:rPr>
          <w:b/>
          <w:bCs/>
          <w:sz w:val="28"/>
          <w:szCs w:val="28"/>
        </w:rPr>
        <w:t xml:space="preserve">de la </w:t>
      </w:r>
      <w:r>
        <w:rPr>
          <w:b/>
          <w:bCs/>
          <w:sz w:val="28"/>
          <w:szCs w:val="28"/>
        </w:rPr>
        <w:t xml:space="preserve">segunda </w:t>
      </w:r>
      <w:r w:rsidRPr="003E114B">
        <w:rPr>
          <w:b/>
          <w:bCs/>
          <w:sz w:val="28"/>
          <w:szCs w:val="28"/>
        </w:rPr>
        <w:t xml:space="preserve">consulta virtual de los consejeros </w:t>
      </w:r>
      <w:bookmarkEnd w:id="61"/>
    </w:p>
    <w:p w14:paraId="4BCC5C82" w14:textId="77777777" w:rsidR="00632889" w:rsidRPr="003E114B" w:rsidRDefault="00632889" w:rsidP="00632889">
      <w:pPr>
        <w:spacing w:before="0" w:line="240" w:lineRule="auto"/>
        <w:rPr>
          <w:b/>
          <w:bCs/>
          <w:sz w:val="28"/>
        </w:rPr>
      </w:pPr>
    </w:p>
    <w:tbl>
      <w:tblPr>
        <w:tblW w:w="10093" w:type="dxa"/>
        <w:tblLayout w:type="fixed"/>
        <w:tblLook w:val="0000" w:firstRow="0" w:lastRow="0" w:firstColumn="0" w:lastColumn="0" w:noHBand="0" w:noVBand="0"/>
      </w:tblPr>
      <w:tblGrid>
        <w:gridCol w:w="2835"/>
        <w:gridCol w:w="7258"/>
      </w:tblGrid>
      <w:tr w:rsidR="00632889" w:rsidRPr="003E114B" w14:paraId="7FC07B50" w14:textId="77777777" w:rsidTr="00632889">
        <w:trPr>
          <w:cantSplit/>
        </w:trPr>
        <w:tc>
          <w:tcPr>
            <w:tcW w:w="2835" w:type="dxa"/>
            <w:tcBorders>
              <w:right w:val="single" w:sz="12" w:space="0" w:color="auto"/>
            </w:tcBorders>
            <w:vAlign w:val="center"/>
          </w:tcPr>
          <w:p w14:paraId="7A05B2C1" w14:textId="77777777" w:rsidR="00632889" w:rsidRPr="003E114B" w:rsidRDefault="00632889" w:rsidP="00632889">
            <w:pPr>
              <w:spacing w:before="0" w:line="240" w:lineRule="auto"/>
              <w:jc w:val="left"/>
              <w:rPr>
                <w:b/>
                <w:bCs/>
              </w:rPr>
            </w:pPr>
            <w:bookmarkStart w:id="63" w:name="lt_pId450"/>
            <w:bookmarkStart w:id="64" w:name="dsource" w:colFirst="0" w:colLast="0"/>
            <w:bookmarkEnd w:id="62"/>
            <w:r w:rsidRPr="003E114B">
              <w:rPr>
                <w:b/>
                <w:bCs/>
              </w:rPr>
              <w:t>Nombre del/de los Estado(s) Miembro(s) que la presenta(n):</w:t>
            </w:r>
            <w:bookmarkEnd w:id="63"/>
          </w:p>
        </w:tc>
        <w:tc>
          <w:tcPr>
            <w:tcW w:w="7258" w:type="dxa"/>
            <w:tcBorders>
              <w:top w:val="single" w:sz="12" w:space="0" w:color="auto"/>
              <w:left w:val="single" w:sz="12" w:space="0" w:color="auto"/>
              <w:bottom w:val="single" w:sz="12" w:space="0" w:color="auto"/>
              <w:right w:val="single" w:sz="12" w:space="0" w:color="auto"/>
            </w:tcBorders>
            <w:vAlign w:val="center"/>
          </w:tcPr>
          <w:p w14:paraId="47A77F03" w14:textId="77777777" w:rsidR="00632889" w:rsidRPr="003E114B" w:rsidRDefault="00632889" w:rsidP="00632889">
            <w:pPr>
              <w:spacing w:before="0" w:line="240" w:lineRule="auto"/>
            </w:pPr>
          </w:p>
        </w:tc>
      </w:tr>
      <w:tr w:rsidR="00632889" w:rsidRPr="003E114B" w14:paraId="0AE0B9D0" w14:textId="77777777" w:rsidTr="00632889">
        <w:trPr>
          <w:cantSplit/>
        </w:trPr>
        <w:tc>
          <w:tcPr>
            <w:tcW w:w="2835" w:type="dxa"/>
          </w:tcPr>
          <w:p w14:paraId="1647BB7A" w14:textId="77777777" w:rsidR="00632889" w:rsidRPr="003E114B" w:rsidRDefault="00632889" w:rsidP="00632889">
            <w:pPr>
              <w:spacing w:before="0" w:line="240" w:lineRule="auto"/>
              <w:rPr>
                <w:sz w:val="16"/>
                <w:szCs w:val="16"/>
              </w:rPr>
            </w:pPr>
          </w:p>
        </w:tc>
        <w:tc>
          <w:tcPr>
            <w:tcW w:w="7258" w:type="dxa"/>
            <w:tcBorders>
              <w:top w:val="single" w:sz="12" w:space="0" w:color="auto"/>
              <w:bottom w:val="single" w:sz="12" w:space="0" w:color="auto"/>
            </w:tcBorders>
          </w:tcPr>
          <w:p w14:paraId="58F00445" w14:textId="77777777" w:rsidR="00632889" w:rsidRPr="003E114B" w:rsidRDefault="00632889" w:rsidP="00632889">
            <w:pPr>
              <w:spacing w:before="0" w:line="240" w:lineRule="auto"/>
              <w:rPr>
                <w:sz w:val="16"/>
                <w:szCs w:val="16"/>
              </w:rPr>
            </w:pPr>
          </w:p>
        </w:tc>
      </w:tr>
      <w:tr w:rsidR="00632889" w:rsidRPr="003E114B" w14:paraId="70C91CB3" w14:textId="77777777" w:rsidTr="00632889">
        <w:trPr>
          <w:cantSplit/>
        </w:trPr>
        <w:tc>
          <w:tcPr>
            <w:tcW w:w="2835" w:type="dxa"/>
            <w:tcBorders>
              <w:right w:val="single" w:sz="12" w:space="0" w:color="auto"/>
            </w:tcBorders>
          </w:tcPr>
          <w:p w14:paraId="6A4525DE" w14:textId="77777777" w:rsidR="00632889" w:rsidRPr="003E114B" w:rsidRDefault="00632889" w:rsidP="00632889">
            <w:pPr>
              <w:spacing w:after="120" w:line="240" w:lineRule="auto"/>
              <w:rPr>
                <w:b/>
                <w:bCs/>
              </w:rPr>
            </w:pPr>
            <w:bookmarkStart w:id="65" w:name="lt_pId451"/>
            <w:r w:rsidRPr="003E114B">
              <w:rPr>
                <w:b/>
                <w:bCs/>
              </w:rPr>
              <w:t>Título del documento:</w:t>
            </w:r>
            <w:bookmarkEnd w:id="65"/>
          </w:p>
        </w:tc>
        <w:tc>
          <w:tcPr>
            <w:tcW w:w="7258" w:type="dxa"/>
            <w:tcBorders>
              <w:top w:val="single" w:sz="12" w:space="0" w:color="auto"/>
              <w:left w:val="single" w:sz="12" w:space="0" w:color="auto"/>
              <w:bottom w:val="single" w:sz="12" w:space="0" w:color="auto"/>
              <w:right w:val="single" w:sz="12" w:space="0" w:color="auto"/>
            </w:tcBorders>
          </w:tcPr>
          <w:p w14:paraId="79CAB686" w14:textId="77777777" w:rsidR="00632889" w:rsidRPr="003E114B" w:rsidRDefault="00632889" w:rsidP="00632889">
            <w:pPr>
              <w:spacing w:after="120" w:line="240" w:lineRule="auto"/>
            </w:pPr>
          </w:p>
        </w:tc>
      </w:tr>
      <w:tr w:rsidR="00632889" w:rsidRPr="003E114B" w14:paraId="602E57D4" w14:textId="77777777" w:rsidTr="00632889">
        <w:trPr>
          <w:cantSplit/>
          <w:trHeight w:val="269"/>
        </w:trPr>
        <w:tc>
          <w:tcPr>
            <w:tcW w:w="2835" w:type="dxa"/>
          </w:tcPr>
          <w:p w14:paraId="6E5F0020" w14:textId="77777777" w:rsidR="00632889" w:rsidRPr="003E114B" w:rsidRDefault="00632889" w:rsidP="00632889">
            <w:pPr>
              <w:spacing w:before="0" w:line="240" w:lineRule="auto"/>
              <w:rPr>
                <w:sz w:val="16"/>
                <w:szCs w:val="16"/>
              </w:rPr>
            </w:pPr>
          </w:p>
        </w:tc>
        <w:tc>
          <w:tcPr>
            <w:tcW w:w="7258" w:type="dxa"/>
            <w:tcBorders>
              <w:top w:val="single" w:sz="12" w:space="0" w:color="auto"/>
              <w:bottom w:val="single" w:sz="2" w:space="0" w:color="auto"/>
            </w:tcBorders>
          </w:tcPr>
          <w:p w14:paraId="4D94CAA1" w14:textId="77777777" w:rsidR="00632889" w:rsidRPr="003E114B" w:rsidRDefault="00632889" w:rsidP="00632889">
            <w:pPr>
              <w:spacing w:before="0" w:line="240" w:lineRule="auto"/>
              <w:rPr>
                <w:sz w:val="16"/>
                <w:szCs w:val="16"/>
              </w:rPr>
            </w:pPr>
          </w:p>
        </w:tc>
      </w:tr>
      <w:tr w:rsidR="00632889" w:rsidRPr="003E114B" w14:paraId="328FDD27" w14:textId="77777777" w:rsidTr="00632889">
        <w:trPr>
          <w:cantSplit/>
          <w:trHeight w:val="668"/>
        </w:trPr>
        <w:tc>
          <w:tcPr>
            <w:tcW w:w="2835" w:type="dxa"/>
            <w:tcBorders>
              <w:right w:val="single" w:sz="2" w:space="0" w:color="auto"/>
            </w:tcBorders>
            <w:vAlign w:val="center"/>
          </w:tcPr>
          <w:p w14:paraId="6CEC5BF2" w14:textId="77777777" w:rsidR="00632889" w:rsidRPr="003E114B" w:rsidRDefault="00632889" w:rsidP="00632889">
            <w:pPr>
              <w:spacing w:before="0" w:line="240" w:lineRule="auto"/>
              <w:jc w:val="left"/>
              <w:rPr>
                <w:b/>
                <w:bCs/>
              </w:rPr>
            </w:pPr>
            <w:bookmarkStart w:id="66" w:name="lt_pId452"/>
            <w:r w:rsidRPr="003E114B">
              <w:rPr>
                <w:b/>
                <w:bCs/>
              </w:rPr>
              <w:t>Ref</w:t>
            </w:r>
            <w:r>
              <w:rPr>
                <w:b/>
                <w:bCs/>
              </w:rPr>
              <w:t>erencia</w:t>
            </w:r>
            <w:r w:rsidRPr="003E114B">
              <w:rPr>
                <w:b/>
                <w:bCs/>
              </w:rPr>
              <w:t xml:space="preserve"> al proyecto de orden del día de la consulta virtual:</w:t>
            </w:r>
            <w:bookmarkEnd w:id="66"/>
          </w:p>
        </w:tc>
        <w:tc>
          <w:tcPr>
            <w:tcW w:w="7258" w:type="dxa"/>
            <w:tcBorders>
              <w:top w:val="single" w:sz="2" w:space="0" w:color="auto"/>
              <w:left w:val="single" w:sz="2" w:space="0" w:color="auto"/>
              <w:bottom w:val="single" w:sz="2" w:space="0" w:color="auto"/>
              <w:right w:val="single" w:sz="2" w:space="0" w:color="auto"/>
            </w:tcBorders>
            <w:vAlign w:val="center"/>
          </w:tcPr>
          <w:p w14:paraId="42903D63" w14:textId="77777777" w:rsidR="00632889" w:rsidRPr="003E114B" w:rsidRDefault="00632889" w:rsidP="00632889">
            <w:pPr>
              <w:spacing w:before="240" w:after="120" w:line="240" w:lineRule="auto"/>
              <w:rPr>
                <w:b/>
                <w:bCs/>
              </w:rPr>
            </w:pPr>
            <w:bookmarkStart w:id="67" w:name="lt_pId453"/>
            <w:r w:rsidRPr="003E114B">
              <w:rPr>
                <w:b/>
                <w:bCs/>
              </w:rPr>
              <w:t>Documento C20/</w:t>
            </w:r>
            <w:r w:rsidRPr="003E114B">
              <w:rPr>
                <w:b/>
                <w:bCs/>
                <w:highlight w:val="yellow"/>
              </w:rPr>
              <w:t>##</w:t>
            </w:r>
            <w:bookmarkEnd w:id="67"/>
          </w:p>
        </w:tc>
      </w:tr>
      <w:tr w:rsidR="00632889" w:rsidRPr="003E114B" w14:paraId="4D719362" w14:textId="77777777" w:rsidTr="00632889">
        <w:trPr>
          <w:cantSplit/>
          <w:trHeight w:val="156"/>
        </w:trPr>
        <w:tc>
          <w:tcPr>
            <w:tcW w:w="2835" w:type="dxa"/>
          </w:tcPr>
          <w:p w14:paraId="5423E102" w14:textId="77777777" w:rsidR="00632889" w:rsidRPr="003E114B" w:rsidRDefault="00632889" w:rsidP="00632889">
            <w:pPr>
              <w:spacing w:before="0" w:line="240" w:lineRule="auto"/>
              <w:rPr>
                <w:sz w:val="16"/>
                <w:szCs w:val="16"/>
              </w:rPr>
            </w:pPr>
          </w:p>
        </w:tc>
        <w:tc>
          <w:tcPr>
            <w:tcW w:w="7258" w:type="dxa"/>
            <w:tcBorders>
              <w:top w:val="single" w:sz="12" w:space="0" w:color="auto"/>
              <w:bottom w:val="single" w:sz="2" w:space="0" w:color="auto"/>
            </w:tcBorders>
          </w:tcPr>
          <w:p w14:paraId="7F7BDA45" w14:textId="77777777" w:rsidR="00632889" w:rsidRPr="003E114B" w:rsidRDefault="00632889" w:rsidP="00632889">
            <w:pPr>
              <w:spacing w:before="0" w:line="240" w:lineRule="auto"/>
              <w:rPr>
                <w:sz w:val="16"/>
                <w:szCs w:val="16"/>
              </w:rPr>
            </w:pPr>
          </w:p>
        </w:tc>
      </w:tr>
    </w:tbl>
    <w:p w14:paraId="192FFC6F" w14:textId="77777777" w:rsidR="00632889" w:rsidRPr="003E114B" w:rsidRDefault="00632889" w:rsidP="00632889">
      <w:pPr>
        <w:spacing w:line="240" w:lineRule="auto"/>
        <w:rPr>
          <w:sz w:val="4"/>
          <w:szCs w:val="4"/>
        </w:rPr>
      </w:pPr>
    </w:p>
    <w:tbl>
      <w:tblPr>
        <w:tblW w:w="10093" w:type="dxa"/>
        <w:tblInd w:w="-15" w:type="dxa"/>
        <w:tblLayout w:type="fixed"/>
        <w:tblLook w:val="0000" w:firstRow="0" w:lastRow="0" w:firstColumn="0" w:lastColumn="0" w:noHBand="0" w:noVBand="0"/>
      </w:tblPr>
      <w:tblGrid>
        <w:gridCol w:w="10093"/>
      </w:tblGrid>
      <w:tr w:rsidR="00632889" w:rsidRPr="003E114B" w14:paraId="064CF11B" w14:textId="77777777" w:rsidTr="00632889">
        <w:trPr>
          <w:cantSplit/>
        </w:trPr>
        <w:tc>
          <w:tcPr>
            <w:tcW w:w="10093" w:type="dxa"/>
            <w:tcBorders>
              <w:top w:val="single" w:sz="12" w:space="0" w:color="auto"/>
              <w:left w:val="single" w:sz="12" w:space="0" w:color="auto"/>
              <w:bottom w:val="single" w:sz="12" w:space="0" w:color="auto"/>
              <w:right w:val="single" w:sz="12" w:space="0" w:color="auto"/>
            </w:tcBorders>
          </w:tcPr>
          <w:p w14:paraId="60F3DC07" w14:textId="77777777" w:rsidR="00632889" w:rsidRPr="003E114B" w:rsidRDefault="00632889" w:rsidP="00632889">
            <w:pPr>
              <w:spacing w:before="60" w:after="60" w:line="240" w:lineRule="auto"/>
              <w:rPr>
                <w:i/>
                <w:iCs/>
              </w:rPr>
            </w:pPr>
            <w:bookmarkStart w:id="68" w:name="lt_pId454"/>
            <w:r w:rsidRPr="003E114B">
              <w:rPr>
                <w:b/>
                <w:bCs/>
              </w:rPr>
              <w:t xml:space="preserve">Contribución de Estado(s) Miembro(s): </w:t>
            </w:r>
            <w:r w:rsidRPr="003E114B">
              <w:rPr>
                <w:i/>
                <w:iCs/>
              </w:rPr>
              <w:t xml:space="preserve">Las contribuciones deben ser concisas (se recomienda </w:t>
            </w:r>
            <w:r w:rsidRPr="003E114B">
              <w:rPr>
                <w:i/>
                <w:iCs/>
                <w:u w:val="single"/>
              </w:rPr>
              <w:t>un máximo de 2</w:t>
            </w:r>
            <w:r>
              <w:rPr>
                <w:i/>
                <w:iCs/>
                <w:u w:val="single"/>
              </w:rPr>
              <w:t> </w:t>
            </w:r>
            <w:r w:rsidRPr="003E114B">
              <w:rPr>
                <w:i/>
                <w:iCs/>
                <w:u w:val="single"/>
              </w:rPr>
              <w:t>páginas</w:t>
            </w:r>
            <w:r w:rsidRPr="003E114B">
              <w:rPr>
                <w:i/>
                <w:iCs/>
              </w:rPr>
              <w:t xml:space="preserve">) y deben facilitar los debates. </w:t>
            </w:r>
            <w:bookmarkEnd w:id="68"/>
          </w:p>
        </w:tc>
      </w:tr>
      <w:tr w:rsidR="00632889" w:rsidRPr="003E114B" w14:paraId="5AC4C2E8" w14:textId="77777777" w:rsidTr="00632889">
        <w:trPr>
          <w:cantSplit/>
        </w:trPr>
        <w:tc>
          <w:tcPr>
            <w:tcW w:w="10093" w:type="dxa"/>
            <w:tcBorders>
              <w:top w:val="single" w:sz="12" w:space="0" w:color="auto"/>
              <w:left w:val="single" w:sz="12" w:space="0" w:color="auto"/>
              <w:bottom w:val="single" w:sz="12" w:space="0" w:color="auto"/>
              <w:right w:val="single" w:sz="12" w:space="0" w:color="auto"/>
            </w:tcBorders>
          </w:tcPr>
          <w:p w14:paraId="50CA5640" w14:textId="77777777" w:rsidR="00632889" w:rsidRPr="003E114B" w:rsidRDefault="00632889" w:rsidP="00632889">
            <w:pPr>
              <w:pStyle w:val="Headingb"/>
              <w:spacing w:before="120" w:after="120" w:line="240" w:lineRule="auto"/>
            </w:pPr>
            <w:bookmarkStart w:id="69" w:name="lt_pId455"/>
            <w:r w:rsidRPr="003E114B">
              <w:t>Comentarios relativos al Documento C20/</w:t>
            </w:r>
            <w:proofErr w:type="spellStart"/>
            <w:r w:rsidRPr="003E114B">
              <w:rPr>
                <w:highlight w:val="yellow"/>
              </w:rPr>
              <w:t>xx</w:t>
            </w:r>
            <w:bookmarkEnd w:id="69"/>
            <w:proofErr w:type="spellEnd"/>
          </w:p>
          <w:p w14:paraId="7D5BACFD" w14:textId="77777777" w:rsidR="00632889" w:rsidRPr="003E114B" w:rsidRDefault="00632889" w:rsidP="00632889">
            <w:pPr>
              <w:spacing w:after="120" w:line="240" w:lineRule="auto"/>
              <w:rPr>
                <w:szCs w:val="24"/>
                <w:lang w:eastAsia="zh-CN"/>
              </w:rPr>
            </w:pPr>
          </w:p>
          <w:p w14:paraId="41085AA6" w14:textId="77777777" w:rsidR="00632889" w:rsidRPr="003E114B" w:rsidRDefault="00632889" w:rsidP="00632889">
            <w:pPr>
              <w:spacing w:after="120" w:line="240" w:lineRule="auto"/>
              <w:rPr>
                <w:szCs w:val="24"/>
                <w:lang w:eastAsia="zh-CN"/>
              </w:rPr>
            </w:pPr>
          </w:p>
          <w:p w14:paraId="788A6C24" w14:textId="77777777" w:rsidR="00632889" w:rsidRPr="003E114B" w:rsidRDefault="00632889" w:rsidP="00632889">
            <w:pPr>
              <w:spacing w:after="120" w:line="240" w:lineRule="auto"/>
              <w:rPr>
                <w:szCs w:val="24"/>
                <w:lang w:eastAsia="zh-CN"/>
              </w:rPr>
            </w:pPr>
          </w:p>
          <w:p w14:paraId="7163991C" w14:textId="77777777" w:rsidR="00632889" w:rsidRPr="003E114B" w:rsidRDefault="00632889" w:rsidP="00632889">
            <w:pPr>
              <w:spacing w:after="120" w:line="240" w:lineRule="auto"/>
              <w:rPr>
                <w:sz w:val="28"/>
              </w:rPr>
            </w:pPr>
          </w:p>
          <w:p w14:paraId="14F5C714" w14:textId="77777777" w:rsidR="00632889" w:rsidRPr="003E114B" w:rsidRDefault="00632889" w:rsidP="00632889">
            <w:pPr>
              <w:pStyle w:val="Headingb"/>
              <w:spacing w:before="120" w:after="120" w:line="240" w:lineRule="auto"/>
            </w:pPr>
            <w:bookmarkStart w:id="70" w:name="lt_pId456"/>
            <w:r w:rsidRPr="003E114B">
              <w:t>Camino a seguir propuesto</w:t>
            </w:r>
            <w:bookmarkEnd w:id="70"/>
          </w:p>
          <w:p w14:paraId="33E30024" w14:textId="77777777" w:rsidR="00632889" w:rsidRPr="003E114B" w:rsidRDefault="00632889" w:rsidP="00632889">
            <w:pPr>
              <w:overflowPunct/>
              <w:spacing w:after="120" w:line="240" w:lineRule="auto"/>
              <w:textAlignment w:val="auto"/>
              <w:rPr>
                <w:szCs w:val="24"/>
                <w:lang w:eastAsia="zh-CN"/>
              </w:rPr>
            </w:pPr>
          </w:p>
          <w:p w14:paraId="26892F8F" w14:textId="77777777" w:rsidR="00632889" w:rsidRPr="003E114B" w:rsidRDefault="00632889" w:rsidP="00632889">
            <w:pPr>
              <w:overflowPunct/>
              <w:spacing w:after="120" w:line="240" w:lineRule="auto"/>
              <w:textAlignment w:val="auto"/>
              <w:rPr>
                <w:szCs w:val="24"/>
                <w:lang w:eastAsia="zh-CN"/>
              </w:rPr>
            </w:pPr>
          </w:p>
          <w:p w14:paraId="77F2498D" w14:textId="77777777" w:rsidR="00632889" w:rsidRPr="003E114B" w:rsidRDefault="00632889" w:rsidP="00632889">
            <w:pPr>
              <w:overflowPunct/>
              <w:spacing w:after="120" w:line="240" w:lineRule="auto"/>
              <w:textAlignment w:val="auto"/>
              <w:rPr>
                <w:szCs w:val="24"/>
                <w:lang w:eastAsia="zh-CN"/>
              </w:rPr>
            </w:pPr>
          </w:p>
          <w:p w14:paraId="24FCA6CD" w14:textId="77777777" w:rsidR="00632889" w:rsidRPr="003E114B" w:rsidRDefault="00632889" w:rsidP="00632889">
            <w:pPr>
              <w:overflowPunct/>
              <w:spacing w:after="120" w:line="240" w:lineRule="auto"/>
              <w:textAlignment w:val="auto"/>
              <w:rPr>
                <w:szCs w:val="24"/>
                <w:lang w:eastAsia="zh-CN"/>
              </w:rPr>
            </w:pPr>
          </w:p>
          <w:p w14:paraId="0B97D4A0" w14:textId="77777777" w:rsidR="00632889" w:rsidRPr="003E114B" w:rsidRDefault="00632889" w:rsidP="00632889">
            <w:pPr>
              <w:spacing w:before="240" w:after="240" w:line="240" w:lineRule="auto"/>
              <w:rPr>
                <w:b/>
                <w:bCs/>
              </w:rPr>
            </w:pPr>
          </w:p>
        </w:tc>
      </w:tr>
      <w:bookmarkEnd w:id="64"/>
    </w:tbl>
    <w:p w14:paraId="56D23D88" w14:textId="77777777" w:rsidR="00632889" w:rsidRPr="003E114B" w:rsidRDefault="00632889" w:rsidP="00632889">
      <w:pPr>
        <w:overflowPunct/>
        <w:autoSpaceDE/>
        <w:autoSpaceDN/>
        <w:adjustRightInd/>
        <w:spacing w:before="0" w:after="160" w:line="240" w:lineRule="auto"/>
        <w:textAlignment w:val="auto"/>
      </w:pPr>
      <w:r w:rsidRPr="003E114B">
        <w:br w:type="page"/>
      </w:r>
    </w:p>
    <w:tbl>
      <w:tblPr>
        <w:tblStyle w:val="TableGrid"/>
        <w:tblW w:w="10060" w:type="dxa"/>
        <w:tblLook w:val="04A0" w:firstRow="1" w:lastRow="0" w:firstColumn="1" w:lastColumn="0" w:noHBand="0" w:noVBand="1"/>
      </w:tblPr>
      <w:tblGrid>
        <w:gridCol w:w="10060"/>
      </w:tblGrid>
      <w:tr w:rsidR="00632889" w:rsidRPr="003E114B" w14:paraId="31064E47" w14:textId="77777777" w:rsidTr="00632889">
        <w:tc>
          <w:tcPr>
            <w:tcW w:w="10060" w:type="dxa"/>
            <w:tcBorders>
              <w:top w:val="single" w:sz="4" w:space="0" w:color="auto"/>
            </w:tcBorders>
          </w:tcPr>
          <w:p w14:paraId="5A8F6272" w14:textId="5DF7BEA6" w:rsidR="00632889" w:rsidRPr="003E114B" w:rsidRDefault="00632889" w:rsidP="00632889">
            <w:pPr>
              <w:spacing w:line="240" w:lineRule="auto"/>
              <w:jc w:val="center"/>
            </w:pPr>
            <w:bookmarkStart w:id="71" w:name="lt_pId457"/>
            <w:r w:rsidRPr="003E114B">
              <w:rPr>
                <w:b/>
                <w:bCs/>
              </w:rPr>
              <w:lastRenderedPageBreak/>
              <w:t xml:space="preserve">Las contribuciones se enviarán a </w:t>
            </w:r>
            <w:r w:rsidRPr="003E114B">
              <w:t>la Secretaría del Consejo de la UIT</w:t>
            </w:r>
            <w:r w:rsidRPr="003E114B">
              <w:rPr>
                <w:b/>
                <w:bCs/>
              </w:rPr>
              <w:br/>
              <w:t xml:space="preserve">hasta el </w:t>
            </w:r>
            <w:r>
              <w:rPr>
                <w:b/>
                <w:bCs/>
              </w:rPr>
              <w:t>2</w:t>
            </w:r>
            <w:r w:rsidRPr="003E114B">
              <w:rPr>
                <w:b/>
                <w:bCs/>
              </w:rPr>
              <w:t xml:space="preserve"> de </w:t>
            </w:r>
            <w:r>
              <w:rPr>
                <w:b/>
                <w:bCs/>
              </w:rPr>
              <w:t>noviembre</w:t>
            </w:r>
            <w:r w:rsidRPr="003E114B">
              <w:rPr>
                <w:b/>
                <w:bCs/>
              </w:rPr>
              <w:t xml:space="preserve"> de 2020 </w:t>
            </w:r>
            <w:r w:rsidRPr="003E114B">
              <w:t>a la dirección:</w:t>
            </w:r>
            <w:bookmarkEnd w:id="71"/>
          </w:p>
          <w:p w14:paraId="49C099A9" w14:textId="77777777" w:rsidR="00632889" w:rsidRPr="003E114B" w:rsidRDefault="00A25543" w:rsidP="00632889">
            <w:pPr>
              <w:spacing w:after="120" w:line="240" w:lineRule="auto"/>
              <w:jc w:val="center"/>
              <w:rPr>
                <w:rStyle w:val="Hyperlink"/>
                <w:b/>
                <w:bCs/>
              </w:rPr>
            </w:pPr>
            <w:hyperlink r:id="rId92" w:history="1">
              <w:bookmarkStart w:id="72" w:name="lt_pId458"/>
              <w:r w:rsidR="00632889" w:rsidRPr="003E114B">
                <w:rPr>
                  <w:rStyle w:val="Hyperlink"/>
                  <w:b/>
                  <w:bCs/>
                </w:rPr>
                <w:t>contributions@itu.int</w:t>
              </w:r>
              <w:bookmarkEnd w:id="72"/>
            </w:hyperlink>
          </w:p>
          <w:p w14:paraId="7CD3D7F6" w14:textId="77777777" w:rsidR="00632889" w:rsidRPr="003E114B" w:rsidRDefault="00632889" w:rsidP="00632889">
            <w:pPr>
              <w:spacing w:after="120" w:line="240" w:lineRule="auto"/>
              <w:jc w:val="center"/>
            </w:pPr>
            <w:bookmarkStart w:id="73" w:name="lt_pId459"/>
            <w:r w:rsidRPr="003E114B">
              <w:t xml:space="preserve">En caso de que esta contribución sea presentada por varios Estados Miembros, tenga la amabilidad de asegurarse de que el o </w:t>
            </w:r>
            <w:proofErr w:type="gramStart"/>
            <w:r w:rsidRPr="003E114B">
              <w:t>los coordinador</w:t>
            </w:r>
            <w:proofErr w:type="gramEnd"/>
            <w:r w:rsidRPr="003E114B">
              <w:t>(es) de cada Estado Miembro reciba(n) una copia del mensaje enviado a la Secretaría del Consejo de la UIT.</w:t>
            </w:r>
          </w:p>
          <w:p w14:paraId="6610E3F6" w14:textId="77777777" w:rsidR="00632889" w:rsidRPr="003E114B" w:rsidRDefault="00632889" w:rsidP="00632889">
            <w:pPr>
              <w:spacing w:after="120" w:line="240" w:lineRule="auto"/>
              <w:jc w:val="center"/>
            </w:pPr>
            <w:bookmarkStart w:id="74" w:name="lt_pId460"/>
            <w:bookmarkEnd w:id="73"/>
            <w:r w:rsidRPr="003E114B">
              <w:t xml:space="preserve">Para referencia, la lista de coordinadores de los Estados Miembros de la UIT puede consultarse </w:t>
            </w:r>
            <w:hyperlink r:id="rId93" w:history="1">
              <w:r w:rsidRPr="003E114B">
                <w:rPr>
                  <w:rStyle w:val="Hyperlink"/>
                  <w:b/>
                  <w:bCs/>
                </w:rPr>
                <w:t>aquí</w:t>
              </w:r>
            </w:hyperlink>
            <w:r w:rsidRPr="003E114B">
              <w:t>.</w:t>
            </w:r>
            <w:bookmarkEnd w:id="74"/>
          </w:p>
        </w:tc>
      </w:tr>
      <w:bookmarkEnd w:id="52"/>
    </w:tbl>
    <w:p w14:paraId="59F5C193" w14:textId="77777777" w:rsidR="00632889" w:rsidRPr="003E114B" w:rsidRDefault="00632889" w:rsidP="00632889">
      <w:pPr>
        <w:pStyle w:val="Reasons"/>
        <w:rPr>
          <w:lang w:val="es-ES_tradnl"/>
        </w:rPr>
      </w:pPr>
    </w:p>
    <w:p w14:paraId="440FFEB1" w14:textId="77777777" w:rsidR="00632889" w:rsidRPr="003E114B" w:rsidRDefault="00632889" w:rsidP="00632889">
      <w:pPr>
        <w:jc w:val="center"/>
      </w:pPr>
      <w:r w:rsidRPr="003E114B">
        <w:t>______________</w:t>
      </w:r>
    </w:p>
    <w:p w14:paraId="3B1654C2" w14:textId="19C14466" w:rsidR="002E14E5" w:rsidRPr="003E114B" w:rsidRDefault="002E14E5" w:rsidP="00632889">
      <w:pPr>
        <w:pStyle w:val="AnnexNoTitle"/>
        <w:spacing w:before="360"/>
      </w:pPr>
    </w:p>
    <w:sectPr w:rsidR="002E14E5" w:rsidRPr="003E114B" w:rsidSect="00632889">
      <w:headerReference w:type="even" r:id="rId94"/>
      <w:headerReference w:type="default" r:id="rId95"/>
      <w:footerReference w:type="even" r:id="rId96"/>
      <w:footerReference w:type="default" r:id="rId97"/>
      <w:headerReference w:type="first" r:id="rId98"/>
      <w:footerReference w:type="first" r:id="rId9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89BFF" w14:textId="77777777" w:rsidR="00A25543" w:rsidRDefault="00A25543">
      <w:r>
        <w:separator/>
      </w:r>
    </w:p>
  </w:endnote>
  <w:endnote w:type="continuationSeparator" w:id="0">
    <w:p w14:paraId="48D33649" w14:textId="77777777" w:rsidR="00A25543" w:rsidRDefault="00A2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33808" w14:textId="54C89840" w:rsidR="00061947" w:rsidRPr="00573BC9" w:rsidRDefault="00061947">
    <w:pPr>
      <w:pStyle w:val="Footer"/>
      <w:rPr>
        <w:lang w:val="en-US"/>
      </w:rPr>
    </w:pPr>
    <w:r>
      <w:fldChar w:fldCharType="begin"/>
    </w:r>
    <w:r w:rsidRPr="00573BC9">
      <w:rPr>
        <w:lang w:val="en-US"/>
      </w:rPr>
      <w:instrText xml:space="preserve"> FILENAME  \p  \* MERGEFORMAT </w:instrText>
    </w:r>
    <w:r>
      <w:fldChar w:fldCharType="separate"/>
    </w:r>
    <w:r w:rsidR="004173CE">
      <w:rPr>
        <w:noProof/>
        <w:lang w:val="en-US"/>
      </w:rPr>
      <w:t>P:\SPM\GBS\c20\virtual-c20-2\invitations\DM-1013-s.docx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160D8" w14:textId="77777777" w:rsidR="00061947" w:rsidRPr="007E48E3" w:rsidRDefault="00061947" w:rsidP="005C7FD2">
    <w:pPr>
      <w:pStyle w:val="FirstFooter"/>
      <w:spacing w:line="240" w:lineRule="auto"/>
      <w:ind w:left="-397" w:right="-397"/>
      <w:jc w:val="center"/>
      <w:rPr>
        <w:color w:val="3E8EDE"/>
        <w:sz w:val="18"/>
        <w:szCs w:val="18"/>
        <w:lang w:val="es-ES"/>
      </w:rPr>
    </w:pPr>
    <w:r>
      <w:rPr>
        <w:color w:val="3E8EDE"/>
        <w:sz w:val="18"/>
        <w:szCs w:val="18"/>
        <w:lang w:val="es-ES"/>
      </w:rPr>
      <w:t>Unión Internacional de Telecomunicaciones</w:t>
    </w:r>
    <w:r w:rsidRPr="007E48E3">
      <w:rPr>
        <w:color w:val="3E8EDE"/>
        <w:sz w:val="18"/>
        <w:szCs w:val="18"/>
        <w:lang w:val="es-ES"/>
      </w:rPr>
      <w:t xml:space="preserve"> • Place des </w:t>
    </w:r>
    <w:proofErr w:type="spellStart"/>
    <w:r w:rsidRPr="007E48E3">
      <w:rPr>
        <w:color w:val="3E8EDE"/>
        <w:sz w:val="18"/>
        <w:szCs w:val="18"/>
        <w:lang w:val="es-ES"/>
      </w:rPr>
      <w:t>Nations</w:t>
    </w:r>
    <w:proofErr w:type="spellEnd"/>
    <w:r w:rsidRPr="007E48E3">
      <w:rPr>
        <w:color w:val="3E8EDE"/>
        <w:sz w:val="18"/>
        <w:szCs w:val="18"/>
        <w:lang w:val="es-ES"/>
      </w:rPr>
      <w:t>, CH</w:t>
    </w:r>
    <w:r w:rsidRPr="007E48E3">
      <w:rPr>
        <w:color w:val="3E8EDE"/>
        <w:sz w:val="18"/>
        <w:szCs w:val="18"/>
        <w:lang w:val="es-ES"/>
      </w:rPr>
      <w:noBreakHyphen/>
      <w:t>1211 G</w:t>
    </w:r>
    <w:r>
      <w:rPr>
        <w:color w:val="3E8EDE"/>
        <w:sz w:val="18"/>
        <w:szCs w:val="18"/>
        <w:lang w:val="es-ES"/>
      </w:rPr>
      <w:t>inebr</w:t>
    </w:r>
    <w:r w:rsidRPr="007E48E3">
      <w:rPr>
        <w:color w:val="3E8EDE"/>
        <w:sz w:val="18"/>
        <w:szCs w:val="18"/>
        <w:lang w:val="es-ES"/>
      </w:rPr>
      <w:t xml:space="preserve">a 20, </w:t>
    </w:r>
    <w:r>
      <w:rPr>
        <w:color w:val="3E8EDE"/>
        <w:sz w:val="18"/>
        <w:szCs w:val="18"/>
        <w:lang w:val="es-ES"/>
      </w:rPr>
      <w:t>Suiza</w:t>
    </w:r>
    <w:r w:rsidRPr="007E48E3">
      <w:rPr>
        <w:color w:val="3E8EDE"/>
        <w:sz w:val="18"/>
        <w:szCs w:val="18"/>
        <w:lang w:val="es-ES"/>
      </w:rPr>
      <w:t xml:space="preserve"> </w:t>
    </w:r>
    <w:r w:rsidRPr="007E48E3">
      <w:rPr>
        <w:color w:val="3E8EDE"/>
        <w:sz w:val="18"/>
        <w:szCs w:val="18"/>
        <w:lang w:val="es-ES"/>
      </w:rPr>
      <w:br/>
      <w:t>Tel</w:t>
    </w:r>
    <w:r>
      <w:rPr>
        <w:color w:val="3E8EDE"/>
        <w:sz w:val="18"/>
        <w:szCs w:val="18"/>
        <w:lang w:val="es-ES"/>
      </w:rPr>
      <w:t>.</w:t>
    </w:r>
    <w:r w:rsidRPr="007E48E3">
      <w:rPr>
        <w:color w:val="3E8EDE"/>
        <w:sz w:val="18"/>
        <w:szCs w:val="18"/>
        <w:lang w:val="es-ES"/>
      </w:rPr>
      <w:t xml:space="preserve">: +41 22 730 5111 • Fax: +41 22 733 7256 • </w:t>
    </w:r>
    <w:r>
      <w:rPr>
        <w:color w:val="3E8EDE"/>
        <w:sz w:val="18"/>
        <w:szCs w:val="18"/>
        <w:lang w:val="es-ES"/>
      </w:rPr>
      <w:t>Correo-e</w:t>
    </w:r>
    <w:r w:rsidRPr="007E48E3">
      <w:rPr>
        <w:color w:val="3E8EDE"/>
        <w:sz w:val="18"/>
        <w:szCs w:val="18"/>
        <w:lang w:val="es-ES"/>
      </w:rPr>
      <w:t xml:space="preserve">: </w:t>
    </w:r>
    <w:hyperlink r:id="rId1" w:history="1">
      <w:r w:rsidRPr="007E48E3">
        <w:rPr>
          <w:color w:val="3E8EDE"/>
          <w:sz w:val="18"/>
          <w:szCs w:val="18"/>
          <w:lang w:val="es-ES"/>
        </w:rPr>
        <w:t>itumail@itu.int</w:t>
      </w:r>
    </w:hyperlink>
    <w:r w:rsidRPr="007E48E3">
      <w:rPr>
        <w:color w:val="3E8EDE"/>
        <w:sz w:val="18"/>
        <w:szCs w:val="18"/>
        <w:lang w:val="es-ES"/>
      </w:rPr>
      <w:t xml:space="preserve"> • </w:t>
    </w:r>
    <w:hyperlink r:id="rId2" w:history="1">
      <w:r w:rsidRPr="007E48E3">
        <w:rPr>
          <w:color w:val="3E8EDE"/>
          <w:sz w:val="18"/>
          <w:szCs w:val="18"/>
          <w:lang w:val="es-ES"/>
        </w:rPr>
        <w:t>www.itu.int</w:t>
      </w:r>
    </w:hyperlink>
    <w:r w:rsidRPr="007E48E3">
      <w:rPr>
        <w:color w:val="3E8EDE"/>
        <w:sz w:val="18"/>
        <w:szCs w:val="18"/>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68E7" w14:textId="5ADC9032" w:rsidR="00061947" w:rsidRPr="00573BC9" w:rsidRDefault="00061947" w:rsidP="000846CF">
    <w:pPr>
      <w:pStyle w:val="Footer"/>
      <w:rPr>
        <w:sz w:val="18"/>
        <w:szCs w:val="18"/>
        <w:lang w:val="en-US"/>
      </w:rPr>
    </w:pPr>
    <w:r w:rsidRPr="000846CF">
      <w:rPr>
        <w:noProof/>
        <w:sz w:val="18"/>
        <w:szCs w:val="18"/>
      </w:rPr>
      <w:fldChar w:fldCharType="begin"/>
    </w:r>
    <w:r w:rsidRPr="00573BC9">
      <w:rPr>
        <w:noProof/>
        <w:sz w:val="18"/>
        <w:szCs w:val="18"/>
        <w:lang w:val="en-US"/>
      </w:rPr>
      <w:instrText xml:space="preserve"> FILENAME \p  \* MERGEFORMAT </w:instrText>
    </w:r>
    <w:r w:rsidRPr="000846CF">
      <w:rPr>
        <w:noProof/>
        <w:sz w:val="18"/>
        <w:szCs w:val="18"/>
      </w:rPr>
      <w:fldChar w:fldCharType="separate"/>
    </w:r>
    <w:r w:rsidR="004173CE">
      <w:rPr>
        <w:noProof/>
        <w:sz w:val="18"/>
        <w:szCs w:val="18"/>
        <w:lang w:val="en-US"/>
      </w:rPr>
      <w:t>P:\SPM\GBS\c20\virtual-c20-2\invitations\DM-1013-s.docx</w:t>
    </w:r>
    <w:r w:rsidRPr="000846CF">
      <w:rPr>
        <w:noProof/>
        <w:sz w:val="18"/>
        <w:szCs w:val="18"/>
      </w:rPr>
      <w:fldChar w:fldCharType="end"/>
    </w:r>
    <w:r w:rsidRPr="00573BC9">
      <w:rPr>
        <w:noProof/>
        <w:sz w:val="18"/>
        <w:szCs w:val="18"/>
        <w:lang w:val="en-US"/>
      </w:rPr>
      <w:t xml:space="preserve"> (471123)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7A853" w14:textId="5AD9A41E" w:rsidR="00061947" w:rsidRPr="00DA6F1E" w:rsidRDefault="00061947" w:rsidP="00DA6F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B849" w14:textId="456A8AF0" w:rsidR="00061947" w:rsidRPr="002D160B" w:rsidRDefault="00061947" w:rsidP="002D1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92BA2" w14:textId="77777777" w:rsidR="00A25543" w:rsidRDefault="00A25543">
      <w:r>
        <w:t>____________________</w:t>
      </w:r>
    </w:p>
  </w:footnote>
  <w:footnote w:type="continuationSeparator" w:id="0">
    <w:p w14:paraId="244294A3" w14:textId="77777777" w:rsidR="00A25543" w:rsidRDefault="00A2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18407" w14:textId="77777777" w:rsidR="00061947" w:rsidRPr="00155CA8" w:rsidRDefault="00061947" w:rsidP="004B0A40">
    <w:pPr>
      <w:pStyle w:val="Header"/>
      <w:jc w:val="center"/>
      <w:rPr>
        <w:sz w:val="20"/>
        <w:szCs w:val="20"/>
      </w:rPr>
    </w:pPr>
    <w:r w:rsidRPr="00155CA8">
      <w:rPr>
        <w:sz w:val="20"/>
        <w:szCs w:val="20"/>
      </w:rPr>
      <w:t xml:space="preserve">– </w:t>
    </w:r>
    <w:r w:rsidRPr="00155CA8">
      <w:rPr>
        <w:rStyle w:val="PageNumber"/>
        <w:sz w:val="20"/>
        <w:szCs w:val="20"/>
      </w:rPr>
      <w:fldChar w:fldCharType="begin"/>
    </w:r>
    <w:r w:rsidRPr="00155CA8">
      <w:rPr>
        <w:rStyle w:val="PageNumber"/>
        <w:sz w:val="20"/>
        <w:szCs w:val="20"/>
      </w:rPr>
      <w:instrText xml:space="preserve"> PAGE </w:instrText>
    </w:r>
    <w:r w:rsidRPr="00155CA8">
      <w:rPr>
        <w:rStyle w:val="PageNumber"/>
        <w:sz w:val="20"/>
        <w:szCs w:val="20"/>
      </w:rPr>
      <w:fldChar w:fldCharType="separate"/>
    </w:r>
    <w:r>
      <w:rPr>
        <w:rStyle w:val="PageNumber"/>
        <w:noProof/>
        <w:sz w:val="20"/>
        <w:szCs w:val="20"/>
      </w:rPr>
      <w:t>2</w:t>
    </w:r>
    <w:r w:rsidRPr="00155CA8">
      <w:rPr>
        <w:rStyle w:val="PageNumber"/>
        <w:sz w:val="20"/>
        <w:szCs w:val="20"/>
      </w:rPr>
      <w:fldChar w:fldCharType="end"/>
    </w:r>
    <w:r w:rsidRPr="00155CA8">
      <w:rPr>
        <w:rStyle w:val="PageNumbe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96DD7" w14:textId="77777777" w:rsidR="00061947" w:rsidRPr="009F1974" w:rsidRDefault="00061947" w:rsidP="00632889">
    <w:pPr>
      <w:pStyle w:val="Header"/>
      <w:jc w:val="center"/>
      <w:rPr>
        <w:sz w:val="18"/>
        <w:szCs w:val="18"/>
      </w:rPr>
    </w:pPr>
    <w:r w:rsidRPr="00C9546F">
      <w:rPr>
        <w:sz w:val="18"/>
        <w:szCs w:val="18"/>
      </w:rPr>
      <w:t xml:space="preserve">- </w:t>
    </w:r>
    <w:sdt>
      <w:sdtPr>
        <w:rPr>
          <w:sz w:val="18"/>
          <w:szCs w:val="18"/>
        </w:rPr>
        <w:id w:val="1341893312"/>
        <w:docPartObj>
          <w:docPartGallery w:val="Page Numbers (Top of Page)"/>
          <w:docPartUnique/>
        </w:docPartObj>
      </w:sdtPr>
      <w:sdtEndPr>
        <w:rPr>
          <w:noProof/>
        </w:rPr>
      </w:sdtEndPr>
      <w:sdtContent>
        <w:r w:rsidRPr="00C9546F">
          <w:rPr>
            <w:sz w:val="18"/>
            <w:szCs w:val="18"/>
          </w:rPr>
          <w:fldChar w:fldCharType="begin"/>
        </w:r>
        <w:r w:rsidRPr="00C9546F">
          <w:rPr>
            <w:sz w:val="18"/>
            <w:szCs w:val="18"/>
          </w:rPr>
          <w:instrText xml:space="preserve"> PAGE   \* MERGEFORMAT </w:instrText>
        </w:r>
        <w:r w:rsidRPr="00C9546F">
          <w:rPr>
            <w:sz w:val="18"/>
            <w:szCs w:val="18"/>
          </w:rPr>
          <w:fldChar w:fldCharType="separate"/>
        </w:r>
        <w:r>
          <w:rPr>
            <w:sz w:val="18"/>
            <w:szCs w:val="18"/>
          </w:rPr>
          <w:t>2</w:t>
        </w:r>
        <w:r w:rsidRPr="00C9546F">
          <w:rPr>
            <w:noProof/>
            <w:sz w:val="18"/>
            <w:szCs w:val="18"/>
          </w:rPr>
          <w:fldChar w:fldCharType="end"/>
        </w:r>
        <w:r w:rsidRPr="00C9546F">
          <w:rPr>
            <w:noProof/>
            <w:sz w:val="18"/>
            <w:szCs w:val="18"/>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61947" w14:paraId="1E987F91" w14:textId="77777777" w:rsidTr="00A00FA5">
      <w:tc>
        <w:tcPr>
          <w:tcW w:w="9923" w:type="dxa"/>
        </w:tcPr>
        <w:p w14:paraId="2E12B437" w14:textId="77777777" w:rsidR="00061947" w:rsidRDefault="00061947" w:rsidP="005C7FD2">
          <w:pPr>
            <w:pStyle w:val="Header"/>
            <w:tabs>
              <w:tab w:val="clear" w:pos="794"/>
              <w:tab w:val="clear" w:pos="4820"/>
            </w:tabs>
            <w:spacing w:before="120" w:line="360" w:lineRule="auto"/>
            <w:jc w:val="center"/>
          </w:pPr>
          <w:r>
            <w:rPr>
              <w:noProof/>
              <w:lang w:val="en-US"/>
            </w:rPr>
            <w:drawing>
              <wp:inline distT="0" distB="0" distL="0" distR="0" wp14:anchorId="4A2F9F7B" wp14:editId="20061B43">
                <wp:extent cx="682388" cy="720000"/>
                <wp:effectExtent l="0" t="0" r="381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
                          <a:extLst>
                            <a:ext uri="{28A0092B-C50C-407E-A947-70E740481C1C}">
                              <a14:useLocalDpi xmlns:a14="http://schemas.microsoft.com/office/drawing/2010/main" val="0"/>
                            </a:ext>
                          </a:extLst>
                        </a:blip>
                        <a:stretch>
                          <a:fillRect/>
                        </a:stretch>
                      </pic:blipFill>
                      <pic:spPr>
                        <a:xfrm>
                          <a:off x="0" y="0"/>
                          <a:ext cx="682388" cy="720000"/>
                        </a:xfrm>
                        <a:prstGeom prst="rect">
                          <a:avLst/>
                        </a:prstGeom>
                      </pic:spPr>
                    </pic:pic>
                  </a:graphicData>
                </a:graphic>
              </wp:inline>
            </w:drawing>
          </w:r>
        </w:p>
      </w:tc>
    </w:tr>
  </w:tbl>
  <w:p w14:paraId="5B62B27E" w14:textId="77777777" w:rsidR="00061947" w:rsidRDefault="00061947" w:rsidP="005C7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2D7DD" w14:textId="77777777" w:rsidR="00061947" w:rsidRPr="00E52A9E" w:rsidRDefault="00061947" w:rsidP="00E52A9E">
    <w:pPr>
      <w:pStyle w:val="Header"/>
      <w:jc w:val="center"/>
      <w:rPr>
        <w:sz w:val="18"/>
        <w:szCs w:val="18"/>
      </w:rPr>
    </w:pPr>
    <w:r w:rsidRPr="00C9546F">
      <w:rPr>
        <w:sz w:val="18"/>
        <w:szCs w:val="18"/>
      </w:rPr>
      <w:t xml:space="preserve">- </w:t>
    </w:r>
    <w:sdt>
      <w:sdtPr>
        <w:rPr>
          <w:sz w:val="18"/>
          <w:szCs w:val="18"/>
        </w:rPr>
        <w:id w:val="1701669145"/>
        <w:docPartObj>
          <w:docPartGallery w:val="Page Numbers (Top of Page)"/>
          <w:docPartUnique/>
        </w:docPartObj>
      </w:sdtPr>
      <w:sdtEndPr>
        <w:rPr>
          <w:noProof/>
        </w:rPr>
      </w:sdtEndPr>
      <w:sdtContent>
        <w:r w:rsidRPr="00C9546F">
          <w:rPr>
            <w:sz w:val="18"/>
            <w:szCs w:val="18"/>
          </w:rPr>
          <w:fldChar w:fldCharType="begin"/>
        </w:r>
        <w:r w:rsidRPr="00C9546F">
          <w:rPr>
            <w:sz w:val="18"/>
            <w:szCs w:val="18"/>
          </w:rPr>
          <w:instrText xml:space="preserve"> PAGE   \* MERGEFORMAT </w:instrText>
        </w:r>
        <w:r w:rsidRPr="00C9546F">
          <w:rPr>
            <w:sz w:val="18"/>
            <w:szCs w:val="18"/>
          </w:rPr>
          <w:fldChar w:fldCharType="separate"/>
        </w:r>
        <w:r>
          <w:rPr>
            <w:noProof/>
            <w:sz w:val="18"/>
            <w:szCs w:val="18"/>
          </w:rPr>
          <w:t>10</w:t>
        </w:r>
        <w:r w:rsidRPr="00C9546F">
          <w:rPr>
            <w:noProof/>
            <w:sz w:val="18"/>
            <w:szCs w:val="18"/>
          </w:rPr>
          <w:fldChar w:fldCharType="end"/>
        </w:r>
        <w:r w:rsidRPr="00C9546F">
          <w:rPr>
            <w:noProof/>
            <w:sz w:val="18"/>
            <w:szCs w:val="18"/>
          </w:rP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BED6C" w14:textId="0C8F8E07" w:rsidR="00061947" w:rsidRPr="00AF3325" w:rsidRDefault="00061947" w:rsidP="00CD166D">
    <w:pPr>
      <w:pStyle w:val="Header"/>
      <w:jc w:val="center"/>
    </w:pPr>
    <w:r w:rsidRPr="00155CA8">
      <w:rPr>
        <w:rStyle w:val="PageNumber"/>
        <w:sz w:val="20"/>
        <w:szCs w:val="20"/>
      </w:rPr>
      <w:fldChar w:fldCharType="begin"/>
    </w:r>
    <w:r w:rsidRPr="00155CA8">
      <w:rPr>
        <w:rStyle w:val="PageNumber"/>
        <w:sz w:val="20"/>
        <w:szCs w:val="20"/>
      </w:rPr>
      <w:instrText xml:space="preserve"> PAGE </w:instrText>
    </w:r>
    <w:r w:rsidRPr="00155CA8">
      <w:rPr>
        <w:rStyle w:val="PageNumber"/>
        <w:sz w:val="20"/>
        <w:szCs w:val="20"/>
      </w:rPr>
      <w:fldChar w:fldCharType="separate"/>
    </w:r>
    <w:r>
      <w:rPr>
        <w:rStyle w:val="PageNumber"/>
        <w:noProof/>
        <w:sz w:val="20"/>
        <w:szCs w:val="20"/>
      </w:rPr>
      <w:t>12</w:t>
    </w:r>
    <w:r w:rsidRPr="00155CA8">
      <w:rPr>
        <w:rStyle w:val="PageNumber"/>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E03F8" w14:textId="1FCC3049" w:rsidR="00061947" w:rsidRPr="00AF3325" w:rsidRDefault="00061947" w:rsidP="00CD166D">
    <w:pPr>
      <w:pStyle w:val="Header"/>
      <w:jc w:val="center"/>
    </w:pPr>
    <w:r w:rsidRPr="00155CA8">
      <w:rPr>
        <w:rStyle w:val="PageNumber"/>
        <w:sz w:val="20"/>
        <w:szCs w:val="20"/>
      </w:rPr>
      <w:fldChar w:fldCharType="begin"/>
    </w:r>
    <w:r w:rsidRPr="00155CA8">
      <w:rPr>
        <w:rStyle w:val="PageNumber"/>
        <w:sz w:val="20"/>
        <w:szCs w:val="20"/>
      </w:rPr>
      <w:instrText xml:space="preserve"> PAGE </w:instrText>
    </w:r>
    <w:r w:rsidRPr="00155CA8">
      <w:rPr>
        <w:rStyle w:val="PageNumber"/>
        <w:sz w:val="20"/>
        <w:szCs w:val="20"/>
      </w:rPr>
      <w:fldChar w:fldCharType="separate"/>
    </w:r>
    <w:r>
      <w:rPr>
        <w:rStyle w:val="PageNumber"/>
        <w:noProof/>
        <w:sz w:val="20"/>
        <w:szCs w:val="20"/>
      </w:rPr>
      <w:t>11</w:t>
    </w:r>
    <w:r w:rsidRPr="00155CA8">
      <w:rPr>
        <w:rStyle w:val="PageNumbe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E47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67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24FA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720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286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0A8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C4A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6C57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023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723C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001498C"/>
    <w:multiLevelType w:val="hybridMultilevel"/>
    <w:tmpl w:val="85DE08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06DE1806"/>
    <w:multiLevelType w:val="hybridMultilevel"/>
    <w:tmpl w:val="82AECAE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0E602298"/>
    <w:multiLevelType w:val="hybridMultilevel"/>
    <w:tmpl w:val="A5F2C9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A5709E"/>
    <w:multiLevelType w:val="hybridMultilevel"/>
    <w:tmpl w:val="6F8CE07A"/>
    <w:lvl w:ilvl="0" w:tplc="0D7CBFBE">
      <w:start w:val="1"/>
      <w:numFmt w:val="bullet"/>
      <w:lvlText w:val=""/>
      <w:lvlJc w:val="left"/>
      <w:pPr>
        <w:ind w:left="360" w:hanging="360"/>
      </w:pPr>
      <w:rPr>
        <w:rFonts w:ascii="Symbol" w:hAnsi="Symbol" w:hint="default"/>
      </w:rPr>
    </w:lvl>
    <w:lvl w:ilvl="1" w:tplc="7FF66FFC" w:tentative="1">
      <w:start w:val="1"/>
      <w:numFmt w:val="bullet"/>
      <w:lvlText w:val="o"/>
      <w:lvlJc w:val="left"/>
      <w:pPr>
        <w:ind w:left="1080" w:hanging="360"/>
      </w:pPr>
      <w:rPr>
        <w:rFonts w:ascii="Courier New" w:hAnsi="Courier New" w:cs="Courier New" w:hint="default"/>
      </w:rPr>
    </w:lvl>
    <w:lvl w:ilvl="2" w:tplc="807EDE60" w:tentative="1">
      <w:start w:val="1"/>
      <w:numFmt w:val="bullet"/>
      <w:lvlText w:val=""/>
      <w:lvlJc w:val="left"/>
      <w:pPr>
        <w:ind w:left="1800" w:hanging="360"/>
      </w:pPr>
      <w:rPr>
        <w:rFonts w:ascii="Wingdings" w:hAnsi="Wingdings" w:hint="default"/>
      </w:rPr>
    </w:lvl>
    <w:lvl w:ilvl="3" w:tplc="9ACC13A0" w:tentative="1">
      <w:start w:val="1"/>
      <w:numFmt w:val="bullet"/>
      <w:lvlText w:val=""/>
      <w:lvlJc w:val="left"/>
      <w:pPr>
        <w:ind w:left="2520" w:hanging="360"/>
      </w:pPr>
      <w:rPr>
        <w:rFonts w:ascii="Symbol" w:hAnsi="Symbol" w:hint="default"/>
      </w:rPr>
    </w:lvl>
    <w:lvl w:ilvl="4" w:tplc="45902C46" w:tentative="1">
      <w:start w:val="1"/>
      <w:numFmt w:val="bullet"/>
      <w:lvlText w:val="o"/>
      <w:lvlJc w:val="left"/>
      <w:pPr>
        <w:ind w:left="3240" w:hanging="360"/>
      </w:pPr>
      <w:rPr>
        <w:rFonts w:ascii="Courier New" w:hAnsi="Courier New" w:cs="Courier New" w:hint="default"/>
      </w:rPr>
    </w:lvl>
    <w:lvl w:ilvl="5" w:tplc="FF5CF06C" w:tentative="1">
      <w:start w:val="1"/>
      <w:numFmt w:val="bullet"/>
      <w:lvlText w:val=""/>
      <w:lvlJc w:val="left"/>
      <w:pPr>
        <w:ind w:left="3960" w:hanging="360"/>
      </w:pPr>
      <w:rPr>
        <w:rFonts w:ascii="Wingdings" w:hAnsi="Wingdings" w:hint="default"/>
      </w:rPr>
    </w:lvl>
    <w:lvl w:ilvl="6" w:tplc="0996FD2A" w:tentative="1">
      <w:start w:val="1"/>
      <w:numFmt w:val="bullet"/>
      <w:lvlText w:val=""/>
      <w:lvlJc w:val="left"/>
      <w:pPr>
        <w:ind w:left="4680" w:hanging="360"/>
      </w:pPr>
      <w:rPr>
        <w:rFonts w:ascii="Symbol" w:hAnsi="Symbol" w:hint="default"/>
      </w:rPr>
    </w:lvl>
    <w:lvl w:ilvl="7" w:tplc="C13CAA94" w:tentative="1">
      <w:start w:val="1"/>
      <w:numFmt w:val="bullet"/>
      <w:lvlText w:val="o"/>
      <w:lvlJc w:val="left"/>
      <w:pPr>
        <w:ind w:left="5400" w:hanging="360"/>
      </w:pPr>
      <w:rPr>
        <w:rFonts w:ascii="Courier New" w:hAnsi="Courier New" w:cs="Courier New" w:hint="default"/>
      </w:rPr>
    </w:lvl>
    <w:lvl w:ilvl="8" w:tplc="7E52B308" w:tentative="1">
      <w:start w:val="1"/>
      <w:numFmt w:val="bullet"/>
      <w:lvlText w:val=""/>
      <w:lvlJc w:val="left"/>
      <w:pPr>
        <w:ind w:left="6120" w:hanging="360"/>
      </w:pPr>
      <w:rPr>
        <w:rFonts w:ascii="Wingdings" w:hAnsi="Wingdings" w:hint="default"/>
      </w:rPr>
    </w:lvl>
  </w:abstractNum>
  <w:abstractNum w:abstractNumId="18" w15:restartNumberingAfterBreak="0">
    <w:nsid w:val="1D7F504D"/>
    <w:multiLevelType w:val="hybridMultilevel"/>
    <w:tmpl w:val="D7BA95D8"/>
    <w:lvl w:ilvl="0" w:tplc="9B1ACFD2">
      <w:start w:val="1"/>
      <w:numFmt w:val="bullet"/>
      <w:lvlText w:val=""/>
      <w:lvlJc w:val="left"/>
      <w:pPr>
        <w:ind w:left="360" w:hanging="360"/>
      </w:pPr>
      <w:rPr>
        <w:rFonts w:ascii="Symbol" w:hAnsi="Symbol" w:hint="default"/>
      </w:rPr>
    </w:lvl>
    <w:lvl w:ilvl="1" w:tplc="54603F6A" w:tentative="1">
      <w:start w:val="1"/>
      <w:numFmt w:val="bullet"/>
      <w:lvlText w:val="o"/>
      <w:lvlJc w:val="left"/>
      <w:pPr>
        <w:ind w:left="1080" w:hanging="360"/>
      </w:pPr>
      <w:rPr>
        <w:rFonts w:ascii="Courier New" w:hAnsi="Courier New" w:cs="Courier New" w:hint="default"/>
      </w:rPr>
    </w:lvl>
    <w:lvl w:ilvl="2" w:tplc="363AA08C" w:tentative="1">
      <w:start w:val="1"/>
      <w:numFmt w:val="bullet"/>
      <w:lvlText w:val=""/>
      <w:lvlJc w:val="left"/>
      <w:pPr>
        <w:ind w:left="1800" w:hanging="360"/>
      </w:pPr>
      <w:rPr>
        <w:rFonts w:ascii="Wingdings" w:hAnsi="Wingdings" w:hint="default"/>
      </w:rPr>
    </w:lvl>
    <w:lvl w:ilvl="3" w:tplc="88E4397A" w:tentative="1">
      <w:start w:val="1"/>
      <w:numFmt w:val="bullet"/>
      <w:lvlText w:val=""/>
      <w:lvlJc w:val="left"/>
      <w:pPr>
        <w:ind w:left="2520" w:hanging="360"/>
      </w:pPr>
      <w:rPr>
        <w:rFonts w:ascii="Symbol" w:hAnsi="Symbol" w:hint="default"/>
      </w:rPr>
    </w:lvl>
    <w:lvl w:ilvl="4" w:tplc="4ADC6804" w:tentative="1">
      <w:start w:val="1"/>
      <w:numFmt w:val="bullet"/>
      <w:lvlText w:val="o"/>
      <w:lvlJc w:val="left"/>
      <w:pPr>
        <w:ind w:left="3240" w:hanging="360"/>
      </w:pPr>
      <w:rPr>
        <w:rFonts w:ascii="Courier New" w:hAnsi="Courier New" w:cs="Courier New" w:hint="default"/>
      </w:rPr>
    </w:lvl>
    <w:lvl w:ilvl="5" w:tplc="E5FC9AE6" w:tentative="1">
      <w:start w:val="1"/>
      <w:numFmt w:val="bullet"/>
      <w:lvlText w:val=""/>
      <w:lvlJc w:val="left"/>
      <w:pPr>
        <w:ind w:left="3960" w:hanging="360"/>
      </w:pPr>
      <w:rPr>
        <w:rFonts w:ascii="Wingdings" w:hAnsi="Wingdings" w:hint="default"/>
      </w:rPr>
    </w:lvl>
    <w:lvl w:ilvl="6" w:tplc="E8349FB6" w:tentative="1">
      <w:start w:val="1"/>
      <w:numFmt w:val="bullet"/>
      <w:lvlText w:val=""/>
      <w:lvlJc w:val="left"/>
      <w:pPr>
        <w:ind w:left="4680" w:hanging="360"/>
      </w:pPr>
      <w:rPr>
        <w:rFonts w:ascii="Symbol" w:hAnsi="Symbol" w:hint="default"/>
      </w:rPr>
    </w:lvl>
    <w:lvl w:ilvl="7" w:tplc="7E1696C4" w:tentative="1">
      <w:start w:val="1"/>
      <w:numFmt w:val="bullet"/>
      <w:lvlText w:val="o"/>
      <w:lvlJc w:val="left"/>
      <w:pPr>
        <w:ind w:left="5400" w:hanging="360"/>
      </w:pPr>
      <w:rPr>
        <w:rFonts w:ascii="Courier New" w:hAnsi="Courier New" w:cs="Courier New" w:hint="default"/>
      </w:rPr>
    </w:lvl>
    <w:lvl w:ilvl="8" w:tplc="73DE7E90" w:tentative="1">
      <w:start w:val="1"/>
      <w:numFmt w:val="bullet"/>
      <w:lvlText w:val=""/>
      <w:lvlJc w:val="left"/>
      <w:pPr>
        <w:ind w:left="6120" w:hanging="360"/>
      </w:pPr>
      <w:rPr>
        <w:rFonts w:ascii="Wingdings" w:hAnsi="Wingdings" w:hint="default"/>
      </w:rPr>
    </w:lvl>
  </w:abstractNum>
  <w:abstractNum w:abstractNumId="19" w15:restartNumberingAfterBreak="0">
    <w:nsid w:val="272318D3"/>
    <w:multiLevelType w:val="hybridMultilevel"/>
    <w:tmpl w:val="6F1ABA62"/>
    <w:lvl w:ilvl="0" w:tplc="232495E8">
      <w:numFmt w:val="bullet"/>
      <w:lvlText w:val="–"/>
      <w:lvlJc w:val="left"/>
      <w:pPr>
        <w:ind w:left="360" w:hanging="360"/>
      </w:pPr>
      <w:rPr>
        <w:rFonts w:ascii="Calibri" w:eastAsia="MS Mincho" w:hAnsi="Calibri" w:cs="Calibri" w:hint="default"/>
        <w:b w:val="0"/>
      </w:rPr>
    </w:lvl>
    <w:lvl w:ilvl="1" w:tplc="88AEF47C" w:tentative="1">
      <w:start w:val="1"/>
      <w:numFmt w:val="bullet"/>
      <w:lvlText w:val="o"/>
      <w:lvlJc w:val="left"/>
      <w:pPr>
        <w:ind w:left="1080" w:hanging="360"/>
      </w:pPr>
      <w:rPr>
        <w:rFonts w:ascii="Courier New" w:hAnsi="Courier New" w:cs="Courier New" w:hint="default"/>
      </w:rPr>
    </w:lvl>
    <w:lvl w:ilvl="2" w:tplc="0300646E" w:tentative="1">
      <w:start w:val="1"/>
      <w:numFmt w:val="bullet"/>
      <w:lvlText w:val=""/>
      <w:lvlJc w:val="left"/>
      <w:pPr>
        <w:ind w:left="1800" w:hanging="360"/>
      </w:pPr>
      <w:rPr>
        <w:rFonts w:ascii="Wingdings" w:hAnsi="Wingdings" w:hint="default"/>
      </w:rPr>
    </w:lvl>
    <w:lvl w:ilvl="3" w:tplc="4956ED28" w:tentative="1">
      <w:start w:val="1"/>
      <w:numFmt w:val="bullet"/>
      <w:lvlText w:val=""/>
      <w:lvlJc w:val="left"/>
      <w:pPr>
        <w:ind w:left="2520" w:hanging="360"/>
      </w:pPr>
      <w:rPr>
        <w:rFonts w:ascii="Symbol" w:hAnsi="Symbol" w:hint="default"/>
      </w:rPr>
    </w:lvl>
    <w:lvl w:ilvl="4" w:tplc="D1206B82" w:tentative="1">
      <w:start w:val="1"/>
      <w:numFmt w:val="bullet"/>
      <w:lvlText w:val="o"/>
      <w:lvlJc w:val="left"/>
      <w:pPr>
        <w:ind w:left="3240" w:hanging="360"/>
      </w:pPr>
      <w:rPr>
        <w:rFonts w:ascii="Courier New" w:hAnsi="Courier New" w:cs="Courier New" w:hint="default"/>
      </w:rPr>
    </w:lvl>
    <w:lvl w:ilvl="5" w:tplc="CB1C82D0" w:tentative="1">
      <w:start w:val="1"/>
      <w:numFmt w:val="bullet"/>
      <w:lvlText w:val=""/>
      <w:lvlJc w:val="left"/>
      <w:pPr>
        <w:ind w:left="3960" w:hanging="360"/>
      </w:pPr>
      <w:rPr>
        <w:rFonts w:ascii="Wingdings" w:hAnsi="Wingdings" w:hint="default"/>
      </w:rPr>
    </w:lvl>
    <w:lvl w:ilvl="6" w:tplc="FE9C34FC" w:tentative="1">
      <w:start w:val="1"/>
      <w:numFmt w:val="bullet"/>
      <w:lvlText w:val=""/>
      <w:lvlJc w:val="left"/>
      <w:pPr>
        <w:ind w:left="4680" w:hanging="360"/>
      </w:pPr>
      <w:rPr>
        <w:rFonts w:ascii="Symbol" w:hAnsi="Symbol" w:hint="default"/>
      </w:rPr>
    </w:lvl>
    <w:lvl w:ilvl="7" w:tplc="18EEEA5E" w:tentative="1">
      <w:start w:val="1"/>
      <w:numFmt w:val="bullet"/>
      <w:lvlText w:val="o"/>
      <w:lvlJc w:val="left"/>
      <w:pPr>
        <w:ind w:left="5400" w:hanging="360"/>
      </w:pPr>
      <w:rPr>
        <w:rFonts w:ascii="Courier New" w:hAnsi="Courier New" w:cs="Courier New" w:hint="default"/>
      </w:rPr>
    </w:lvl>
    <w:lvl w:ilvl="8" w:tplc="BB30C130" w:tentative="1">
      <w:start w:val="1"/>
      <w:numFmt w:val="bullet"/>
      <w:lvlText w:val=""/>
      <w:lvlJc w:val="left"/>
      <w:pPr>
        <w:ind w:left="6120" w:hanging="360"/>
      </w:pPr>
      <w:rPr>
        <w:rFonts w:ascii="Wingdings" w:hAnsi="Wingdings" w:hint="default"/>
      </w:rPr>
    </w:lvl>
  </w:abstractNum>
  <w:abstractNum w:abstractNumId="20" w15:restartNumberingAfterBreak="0">
    <w:nsid w:val="2D9C7E89"/>
    <w:multiLevelType w:val="hybridMultilevel"/>
    <w:tmpl w:val="82B01642"/>
    <w:lvl w:ilvl="0" w:tplc="C63C996E">
      <w:start w:val="1"/>
      <w:numFmt w:val="decimal"/>
      <w:lvlText w:val="%1."/>
      <w:lvlJc w:val="left"/>
      <w:pPr>
        <w:ind w:left="720" w:hanging="360"/>
      </w:pPr>
      <w:rPr>
        <w:rFonts w:hint="default"/>
      </w:rPr>
    </w:lvl>
    <w:lvl w:ilvl="1" w:tplc="7520B09E" w:tentative="1">
      <w:start w:val="1"/>
      <w:numFmt w:val="lowerLetter"/>
      <w:lvlText w:val="%2."/>
      <w:lvlJc w:val="left"/>
      <w:pPr>
        <w:ind w:left="1440" w:hanging="360"/>
      </w:pPr>
    </w:lvl>
    <w:lvl w:ilvl="2" w:tplc="4594C56C" w:tentative="1">
      <w:start w:val="1"/>
      <w:numFmt w:val="lowerRoman"/>
      <w:lvlText w:val="%3."/>
      <w:lvlJc w:val="right"/>
      <w:pPr>
        <w:ind w:left="2160" w:hanging="180"/>
      </w:pPr>
    </w:lvl>
    <w:lvl w:ilvl="3" w:tplc="3E9C4314" w:tentative="1">
      <w:start w:val="1"/>
      <w:numFmt w:val="decimal"/>
      <w:lvlText w:val="%4."/>
      <w:lvlJc w:val="left"/>
      <w:pPr>
        <w:ind w:left="2880" w:hanging="360"/>
      </w:pPr>
    </w:lvl>
    <w:lvl w:ilvl="4" w:tplc="AE627EDC" w:tentative="1">
      <w:start w:val="1"/>
      <w:numFmt w:val="lowerLetter"/>
      <w:lvlText w:val="%5."/>
      <w:lvlJc w:val="left"/>
      <w:pPr>
        <w:ind w:left="3600" w:hanging="360"/>
      </w:pPr>
    </w:lvl>
    <w:lvl w:ilvl="5" w:tplc="428E8BEA" w:tentative="1">
      <w:start w:val="1"/>
      <w:numFmt w:val="lowerRoman"/>
      <w:lvlText w:val="%6."/>
      <w:lvlJc w:val="right"/>
      <w:pPr>
        <w:ind w:left="4320" w:hanging="180"/>
      </w:pPr>
    </w:lvl>
    <w:lvl w:ilvl="6" w:tplc="05A00788" w:tentative="1">
      <w:start w:val="1"/>
      <w:numFmt w:val="decimal"/>
      <w:lvlText w:val="%7."/>
      <w:lvlJc w:val="left"/>
      <w:pPr>
        <w:ind w:left="5040" w:hanging="360"/>
      </w:pPr>
    </w:lvl>
    <w:lvl w:ilvl="7" w:tplc="3600FDFE" w:tentative="1">
      <w:start w:val="1"/>
      <w:numFmt w:val="lowerLetter"/>
      <w:lvlText w:val="%8."/>
      <w:lvlJc w:val="left"/>
      <w:pPr>
        <w:ind w:left="5760" w:hanging="360"/>
      </w:pPr>
    </w:lvl>
    <w:lvl w:ilvl="8" w:tplc="91560A76" w:tentative="1">
      <w:start w:val="1"/>
      <w:numFmt w:val="lowerRoman"/>
      <w:lvlText w:val="%9."/>
      <w:lvlJc w:val="right"/>
      <w:pPr>
        <w:ind w:left="6480" w:hanging="180"/>
      </w:pPr>
    </w:lvl>
  </w:abstractNum>
  <w:abstractNum w:abstractNumId="21" w15:restartNumberingAfterBreak="0">
    <w:nsid w:val="3CA135CB"/>
    <w:multiLevelType w:val="hybridMultilevel"/>
    <w:tmpl w:val="E482E51E"/>
    <w:lvl w:ilvl="0" w:tplc="0E8EB85A">
      <w:start w:val="4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6466B"/>
    <w:multiLevelType w:val="hybridMultilevel"/>
    <w:tmpl w:val="0BE230EC"/>
    <w:lvl w:ilvl="0" w:tplc="4B4C3BDE">
      <w:numFmt w:val="bullet"/>
      <w:lvlText w:val="-"/>
      <w:lvlJc w:val="left"/>
      <w:pPr>
        <w:ind w:left="720" w:hanging="360"/>
      </w:pPr>
      <w:rPr>
        <w:rFonts w:ascii="Calibri" w:eastAsia="MS Mincho"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B4D47"/>
    <w:multiLevelType w:val="multilevel"/>
    <w:tmpl w:val="8EF006B6"/>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A014DB0"/>
    <w:multiLevelType w:val="hybridMultilevel"/>
    <w:tmpl w:val="2918C1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5" w15:restartNumberingAfterBreak="0">
    <w:nsid w:val="4BFC4665"/>
    <w:multiLevelType w:val="hybridMultilevel"/>
    <w:tmpl w:val="D012CE44"/>
    <w:lvl w:ilvl="0" w:tplc="03DC8702">
      <w:start w:val="1"/>
      <w:numFmt w:val="lowerLetter"/>
      <w:lvlText w:val="%1)"/>
      <w:lvlJc w:val="left"/>
      <w:pPr>
        <w:ind w:left="360" w:hanging="360"/>
      </w:pPr>
      <w:rPr>
        <w:rFonts w:asciiTheme="minorHAnsi" w:eastAsiaTheme="minorHAnsi" w:hAnsiTheme="minorHAnsi" w:cstheme="minorBid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EF278C"/>
    <w:multiLevelType w:val="hybridMultilevel"/>
    <w:tmpl w:val="B9A219E0"/>
    <w:lvl w:ilvl="0" w:tplc="E88CF55A">
      <w:start w:val="1"/>
      <w:numFmt w:val="bullet"/>
      <w:lvlText w:val=""/>
      <w:lvlJc w:val="left"/>
      <w:pPr>
        <w:ind w:left="720" w:hanging="360"/>
      </w:pPr>
      <w:rPr>
        <w:rFonts w:ascii="Symbol" w:hAnsi="Symbol" w:hint="default"/>
      </w:rPr>
    </w:lvl>
    <w:lvl w:ilvl="1" w:tplc="054A3962" w:tentative="1">
      <w:start w:val="1"/>
      <w:numFmt w:val="bullet"/>
      <w:lvlText w:val="o"/>
      <w:lvlJc w:val="left"/>
      <w:pPr>
        <w:ind w:left="1440" w:hanging="360"/>
      </w:pPr>
      <w:rPr>
        <w:rFonts w:ascii="Courier New" w:hAnsi="Courier New" w:cs="Courier New" w:hint="default"/>
      </w:rPr>
    </w:lvl>
    <w:lvl w:ilvl="2" w:tplc="F2203EA0" w:tentative="1">
      <w:start w:val="1"/>
      <w:numFmt w:val="bullet"/>
      <w:lvlText w:val=""/>
      <w:lvlJc w:val="left"/>
      <w:pPr>
        <w:ind w:left="2160" w:hanging="360"/>
      </w:pPr>
      <w:rPr>
        <w:rFonts w:ascii="Wingdings" w:hAnsi="Wingdings" w:hint="default"/>
      </w:rPr>
    </w:lvl>
    <w:lvl w:ilvl="3" w:tplc="08B8B84A" w:tentative="1">
      <w:start w:val="1"/>
      <w:numFmt w:val="bullet"/>
      <w:lvlText w:val=""/>
      <w:lvlJc w:val="left"/>
      <w:pPr>
        <w:ind w:left="2880" w:hanging="360"/>
      </w:pPr>
      <w:rPr>
        <w:rFonts w:ascii="Symbol" w:hAnsi="Symbol" w:hint="default"/>
      </w:rPr>
    </w:lvl>
    <w:lvl w:ilvl="4" w:tplc="A490A5EE" w:tentative="1">
      <w:start w:val="1"/>
      <w:numFmt w:val="bullet"/>
      <w:lvlText w:val="o"/>
      <w:lvlJc w:val="left"/>
      <w:pPr>
        <w:ind w:left="3600" w:hanging="360"/>
      </w:pPr>
      <w:rPr>
        <w:rFonts w:ascii="Courier New" w:hAnsi="Courier New" w:cs="Courier New" w:hint="default"/>
      </w:rPr>
    </w:lvl>
    <w:lvl w:ilvl="5" w:tplc="317E36DC" w:tentative="1">
      <w:start w:val="1"/>
      <w:numFmt w:val="bullet"/>
      <w:lvlText w:val=""/>
      <w:lvlJc w:val="left"/>
      <w:pPr>
        <w:ind w:left="4320" w:hanging="360"/>
      </w:pPr>
      <w:rPr>
        <w:rFonts w:ascii="Wingdings" w:hAnsi="Wingdings" w:hint="default"/>
      </w:rPr>
    </w:lvl>
    <w:lvl w:ilvl="6" w:tplc="0740968A" w:tentative="1">
      <w:start w:val="1"/>
      <w:numFmt w:val="bullet"/>
      <w:lvlText w:val=""/>
      <w:lvlJc w:val="left"/>
      <w:pPr>
        <w:ind w:left="5040" w:hanging="360"/>
      </w:pPr>
      <w:rPr>
        <w:rFonts w:ascii="Symbol" w:hAnsi="Symbol" w:hint="default"/>
      </w:rPr>
    </w:lvl>
    <w:lvl w:ilvl="7" w:tplc="976CA954" w:tentative="1">
      <w:start w:val="1"/>
      <w:numFmt w:val="bullet"/>
      <w:lvlText w:val="o"/>
      <w:lvlJc w:val="left"/>
      <w:pPr>
        <w:ind w:left="5760" w:hanging="360"/>
      </w:pPr>
      <w:rPr>
        <w:rFonts w:ascii="Courier New" w:hAnsi="Courier New" w:cs="Courier New" w:hint="default"/>
      </w:rPr>
    </w:lvl>
    <w:lvl w:ilvl="8" w:tplc="656403D0" w:tentative="1">
      <w:start w:val="1"/>
      <w:numFmt w:val="bullet"/>
      <w:lvlText w:val=""/>
      <w:lvlJc w:val="left"/>
      <w:pPr>
        <w:ind w:left="6480" w:hanging="360"/>
      </w:pPr>
      <w:rPr>
        <w:rFonts w:ascii="Wingdings" w:hAnsi="Wingdings" w:hint="default"/>
      </w:rPr>
    </w:lvl>
  </w:abstractNum>
  <w:abstractNum w:abstractNumId="27" w15:restartNumberingAfterBreak="0">
    <w:nsid w:val="58F161AC"/>
    <w:multiLevelType w:val="hybridMultilevel"/>
    <w:tmpl w:val="4934CD5E"/>
    <w:lvl w:ilvl="0" w:tplc="C3FAE134">
      <w:start w:val="1"/>
      <w:numFmt w:val="bullet"/>
      <w:lvlText w:val=""/>
      <w:lvlJc w:val="left"/>
      <w:pPr>
        <w:ind w:left="1440" w:hanging="360"/>
      </w:pPr>
      <w:rPr>
        <w:rFonts w:ascii="Symbol" w:hAnsi="Symbol" w:hint="default"/>
      </w:rPr>
    </w:lvl>
    <w:lvl w:ilvl="1" w:tplc="35289FAE" w:tentative="1">
      <w:start w:val="1"/>
      <w:numFmt w:val="bullet"/>
      <w:lvlText w:val="o"/>
      <w:lvlJc w:val="left"/>
      <w:pPr>
        <w:ind w:left="2160" w:hanging="360"/>
      </w:pPr>
      <w:rPr>
        <w:rFonts w:ascii="Courier New" w:hAnsi="Courier New" w:cs="Courier New" w:hint="default"/>
      </w:rPr>
    </w:lvl>
    <w:lvl w:ilvl="2" w:tplc="40F09D04" w:tentative="1">
      <w:start w:val="1"/>
      <w:numFmt w:val="bullet"/>
      <w:lvlText w:val=""/>
      <w:lvlJc w:val="left"/>
      <w:pPr>
        <w:ind w:left="2880" w:hanging="360"/>
      </w:pPr>
      <w:rPr>
        <w:rFonts w:ascii="Wingdings" w:hAnsi="Wingdings" w:hint="default"/>
      </w:rPr>
    </w:lvl>
    <w:lvl w:ilvl="3" w:tplc="40DEDA44" w:tentative="1">
      <w:start w:val="1"/>
      <w:numFmt w:val="bullet"/>
      <w:lvlText w:val=""/>
      <w:lvlJc w:val="left"/>
      <w:pPr>
        <w:ind w:left="3600" w:hanging="360"/>
      </w:pPr>
      <w:rPr>
        <w:rFonts w:ascii="Symbol" w:hAnsi="Symbol" w:hint="default"/>
      </w:rPr>
    </w:lvl>
    <w:lvl w:ilvl="4" w:tplc="FBB62F60" w:tentative="1">
      <w:start w:val="1"/>
      <w:numFmt w:val="bullet"/>
      <w:lvlText w:val="o"/>
      <w:lvlJc w:val="left"/>
      <w:pPr>
        <w:ind w:left="4320" w:hanging="360"/>
      </w:pPr>
      <w:rPr>
        <w:rFonts w:ascii="Courier New" w:hAnsi="Courier New" w:cs="Courier New" w:hint="default"/>
      </w:rPr>
    </w:lvl>
    <w:lvl w:ilvl="5" w:tplc="0556F716" w:tentative="1">
      <w:start w:val="1"/>
      <w:numFmt w:val="bullet"/>
      <w:lvlText w:val=""/>
      <w:lvlJc w:val="left"/>
      <w:pPr>
        <w:ind w:left="5040" w:hanging="360"/>
      </w:pPr>
      <w:rPr>
        <w:rFonts w:ascii="Wingdings" w:hAnsi="Wingdings" w:hint="default"/>
      </w:rPr>
    </w:lvl>
    <w:lvl w:ilvl="6" w:tplc="A7DC119E" w:tentative="1">
      <w:start w:val="1"/>
      <w:numFmt w:val="bullet"/>
      <w:lvlText w:val=""/>
      <w:lvlJc w:val="left"/>
      <w:pPr>
        <w:ind w:left="5760" w:hanging="360"/>
      </w:pPr>
      <w:rPr>
        <w:rFonts w:ascii="Symbol" w:hAnsi="Symbol" w:hint="default"/>
      </w:rPr>
    </w:lvl>
    <w:lvl w:ilvl="7" w:tplc="4850BAD6" w:tentative="1">
      <w:start w:val="1"/>
      <w:numFmt w:val="bullet"/>
      <w:lvlText w:val="o"/>
      <w:lvlJc w:val="left"/>
      <w:pPr>
        <w:ind w:left="6480" w:hanging="360"/>
      </w:pPr>
      <w:rPr>
        <w:rFonts w:ascii="Courier New" w:hAnsi="Courier New" w:cs="Courier New" w:hint="default"/>
      </w:rPr>
    </w:lvl>
    <w:lvl w:ilvl="8" w:tplc="52AC1B70" w:tentative="1">
      <w:start w:val="1"/>
      <w:numFmt w:val="bullet"/>
      <w:lvlText w:val=""/>
      <w:lvlJc w:val="left"/>
      <w:pPr>
        <w:ind w:left="7200" w:hanging="360"/>
      </w:pPr>
      <w:rPr>
        <w:rFonts w:ascii="Wingdings" w:hAnsi="Wingdings" w:hint="default"/>
      </w:rPr>
    </w:lvl>
  </w:abstractNum>
  <w:abstractNum w:abstractNumId="28" w15:restartNumberingAfterBreak="0">
    <w:nsid w:val="607F460D"/>
    <w:multiLevelType w:val="hybridMultilevel"/>
    <w:tmpl w:val="5B0AEC12"/>
    <w:lvl w:ilvl="0" w:tplc="0EC04BD8">
      <w:start w:val="1"/>
      <w:numFmt w:val="bullet"/>
      <w:lvlText w:val=""/>
      <w:lvlJc w:val="left"/>
      <w:pPr>
        <w:ind w:left="720" w:hanging="360"/>
      </w:pPr>
      <w:rPr>
        <w:rFonts w:ascii="Symbol" w:hAnsi="Symbol" w:hint="default"/>
      </w:rPr>
    </w:lvl>
    <w:lvl w:ilvl="1" w:tplc="1BA87952" w:tentative="1">
      <w:start w:val="1"/>
      <w:numFmt w:val="bullet"/>
      <w:lvlText w:val="o"/>
      <w:lvlJc w:val="left"/>
      <w:pPr>
        <w:ind w:left="1440" w:hanging="360"/>
      </w:pPr>
      <w:rPr>
        <w:rFonts w:ascii="Courier New" w:hAnsi="Courier New" w:cs="Courier New" w:hint="default"/>
      </w:rPr>
    </w:lvl>
    <w:lvl w:ilvl="2" w:tplc="B8369EDA" w:tentative="1">
      <w:start w:val="1"/>
      <w:numFmt w:val="bullet"/>
      <w:lvlText w:val=""/>
      <w:lvlJc w:val="left"/>
      <w:pPr>
        <w:ind w:left="2160" w:hanging="360"/>
      </w:pPr>
      <w:rPr>
        <w:rFonts w:ascii="Wingdings" w:hAnsi="Wingdings" w:hint="default"/>
      </w:rPr>
    </w:lvl>
    <w:lvl w:ilvl="3" w:tplc="AFB8B87E" w:tentative="1">
      <w:start w:val="1"/>
      <w:numFmt w:val="bullet"/>
      <w:lvlText w:val=""/>
      <w:lvlJc w:val="left"/>
      <w:pPr>
        <w:ind w:left="2880" w:hanging="360"/>
      </w:pPr>
      <w:rPr>
        <w:rFonts w:ascii="Symbol" w:hAnsi="Symbol" w:hint="default"/>
      </w:rPr>
    </w:lvl>
    <w:lvl w:ilvl="4" w:tplc="3CC846E0" w:tentative="1">
      <w:start w:val="1"/>
      <w:numFmt w:val="bullet"/>
      <w:lvlText w:val="o"/>
      <w:lvlJc w:val="left"/>
      <w:pPr>
        <w:ind w:left="3600" w:hanging="360"/>
      </w:pPr>
      <w:rPr>
        <w:rFonts w:ascii="Courier New" w:hAnsi="Courier New" w:cs="Courier New" w:hint="default"/>
      </w:rPr>
    </w:lvl>
    <w:lvl w:ilvl="5" w:tplc="88246D1C" w:tentative="1">
      <w:start w:val="1"/>
      <w:numFmt w:val="bullet"/>
      <w:lvlText w:val=""/>
      <w:lvlJc w:val="left"/>
      <w:pPr>
        <w:ind w:left="4320" w:hanging="360"/>
      </w:pPr>
      <w:rPr>
        <w:rFonts w:ascii="Wingdings" w:hAnsi="Wingdings" w:hint="default"/>
      </w:rPr>
    </w:lvl>
    <w:lvl w:ilvl="6" w:tplc="558AFAAE" w:tentative="1">
      <w:start w:val="1"/>
      <w:numFmt w:val="bullet"/>
      <w:lvlText w:val=""/>
      <w:lvlJc w:val="left"/>
      <w:pPr>
        <w:ind w:left="5040" w:hanging="360"/>
      </w:pPr>
      <w:rPr>
        <w:rFonts w:ascii="Symbol" w:hAnsi="Symbol" w:hint="default"/>
      </w:rPr>
    </w:lvl>
    <w:lvl w:ilvl="7" w:tplc="7760FAEE" w:tentative="1">
      <w:start w:val="1"/>
      <w:numFmt w:val="bullet"/>
      <w:lvlText w:val="o"/>
      <w:lvlJc w:val="left"/>
      <w:pPr>
        <w:ind w:left="5760" w:hanging="360"/>
      </w:pPr>
      <w:rPr>
        <w:rFonts w:ascii="Courier New" w:hAnsi="Courier New" w:cs="Courier New" w:hint="default"/>
      </w:rPr>
    </w:lvl>
    <w:lvl w:ilvl="8" w:tplc="3788D090" w:tentative="1">
      <w:start w:val="1"/>
      <w:numFmt w:val="bullet"/>
      <w:lvlText w:val=""/>
      <w:lvlJc w:val="left"/>
      <w:pPr>
        <w:ind w:left="6480" w:hanging="360"/>
      </w:pPr>
      <w:rPr>
        <w:rFonts w:ascii="Wingdings" w:hAnsi="Wingdings" w:hint="default"/>
      </w:rPr>
    </w:lvl>
  </w:abstractNum>
  <w:abstractNum w:abstractNumId="29" w15:restartNumberingAfterBreak="0">
    <w:nsid w:val="65716E90"/>
    <w:multiLevelType w:val="hybridMultilevel"/>
    <w:tmpl w:val="D012CE44"/>
    <w:lvl w:ilvl="0" w:tplc="03DC8702">
      <w:start w:val="1"/>
      <w:numFmt w:val="lowerLetter"/>
      <w:lvlText w:val="%1)"/>
      <w:lvlJc w:val="left"/>
      <w:pPr>
        <w:ind w:left="360" w:hanging="360"/>
      </w:pPr>
      <w:rPr>
        <w:rFonts w:asciiTheme="minorHAnsi" w:eastAsiaTheme="minorHAnsi" w:hAnsiTheme="minorHAnsi" w:cstheme="minorBid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8CD4D71"/>
    <w:multiLevelType w:val="hybridMultilevel"/>
    <w:tmpl w:val="9A38D850"/>
    <w:lvl w:ilvl="0" w:tplc="624EC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91126"/>
    <w:multiLevelType w:val="hybridMultilevel"/>
    <w:tmpl w:val="2BC0F0D0"/>
    <w:lvl w:ilvl="0" w:tplc="A15CDBCA">
      <w:start w:val="1"/>
      <w:numFmt w:val="bullet"/>
      <w:lvlText w:val=""/>
      <w:lvlJc w:val="left"/>
      <w:pPr>
        <w:ind w:left="360" w:hanging="360"/>
      </w:pPr>
      <w:rPr>
        <w:rFonts w:ascii="Symbol" w:hAnsi="Symbol" w:hint="default"/>
      </w:rPr>
    </w:lvl>
    <w:lvl w:ilvl="1" w:tplc="785CE2A4" w:tentative="1">
      <w:start w:val="1"/>
      <w:numFmt w:val="bullet"/>
      <w:lvlText w:val="o"/>
      <w:lvlJc w:val="left"/>
      <w:pPr>
        <w:ind w:left="1080" w:hanging="360"/>
      </w:pPr>
      <w:rPr>
        <w:rFonts w:ascii="Courier New" w:hAnsi="Courier New" w:cs="Courier New" w:hint="default"/>
      </w:rPr>
    </w:lvl>
    <w:lvl w:ilvl="2" w:tplc="4580D2FC" w:tentative="1">
      <w:start w:val="1"/>
      <w:numFmt w:val="bullet"/>
      <w:lvlText w:val=""/>
      <w:lvlJc w:val="left"/>
      <w:pPr>
        <w:ind w:left="1800" w:hanging="360"/>
      </w:pPr>
      <w:rPr>
        <w:rFonts w:ascii="Wingdings" w:hAnsi="Wingdings" w:hint="default"/>
      </w:rPr>
    </w:lvl>
    <w:lvl w:ilvl="3" w:tplc="9FB0904C" w:tentative="1">
      <w:start w:val="1"/>
      <w:numFmt w:val="bullet"/>
      <w:lvlText w:val=""/>
      <w:lvlJc w:val="left"/>
      <w:pPr>
        <w:ind w:left="2520" w:hanging="360"/>
      </w:pPr>
      <w:rPr>
        <w:rFonts w:ascii="Symbol" w:hAnsi="Symbol" w:hint="default"/>
      </w:rPr>
    </w:lvl>
    <w:lvl w:ilvl="4" w:tplc="39CCAAF6" w:tentative="1">
      <w:start w:val="1"/>
      <w:numFmt w:val="bullet"/>
      <w:lvlText w:val="o"/>
      <w:lvlJc w:val="left"/>
      <w:pPr>
        <w:ind w:left="3240" w:hanging="360"/>
      </w:pPr>
      <w:rPr>
        <w:rFonts w:ascii="Courier New" w:hAnsi="Courier New" w:cs="Courier New" w:hint="default"/>
      </w:rPr>
    </w:lvl>
    <w:lvl w:ilvl="5" w:tplc="115C4660" w:tentative="1">
      <w:start w:val="1"/>
      <w:numFmt w:val="bullet"/>
      <w:lvlText w:val=""/>
      <w:lvlJc w:val="left"/>
      <w:pPr>
        <w:ind w:left="3960" w:hanging="360"/>
      </w:pPr>
      <w:rPr>
        <w:rFonts w:ascii="Wingdings" w:hAnsi="Wingdings" w:hint="default"/>
      </w:rPr>
    </w:lvl>
    <w:lvl w:ilvl="6" w:tplc="3ADA1040" w:tentative="1">
      <w:start w:val="1"/>
      <w:numFmt w:val="bullet"/>
      <w:lvlText w:val=""/>
      <w:lvlJc w:val="left"/>
      <w:pPr>
        <w:ind w:left="4680" w:hanging="360"/>
      </w:pPr>
      <w:rPr>
        <w:rFonts w:ascii="Symbol" w:hAnsi="Symbol" w:hint="default"/>
      </w:rPr>
    </w:lvl>
    <w:lvl w:ilvl="7" w:tplc="AECECBEE" w:tentative="1">
      <w:start w:val="1"/>
      <w:numFmt w:val="bullet"/>
      <w:lvlText w:val="o"/>
      <w:lvlJc w:val="left"/>
      <w:pPr>
        <w:ind w:left="5400" w:hanging="360"/>
      </w:pPr>
      <w:rPr>
        <w:rFonts w:ascii="Courier New" w:hAnsi="Courier New" w:cs="Courier New" w:hint="default"/>
      </w:rPr>
    </w:lvl>
    <w:lvl w:ilvl="8" w:tplc="0FC202F2" w:tentative="1">
      <w:start w:val="1"/>
      <w:numFmt w:val="bullet"/>
      <w:lvlText w:val=""/>
      <w:lvlJc w:val="left"/>
      <w:pPr>
        <w:ind w:left="6120" w:hanging="360"/>
      </w:pPr>
      <w:rPr>
        <w:rFonts w:ascii="Wingdings" w:hAnsi="Wingdings" w:hint="default"/>
      </w:rPr>
    </w:lvl>
  </w:abstractNum>
  <w:abstractNum w:abstractNumId="32" w15:restartNumberingAfterBreak="0">
    <w:nsid w:val="75BB6B92"/>
    <w:multiLevelType w:val="hybridMultilevel"/>
    <w:tmpl w:val="9DF67022"/>
    <w:lvl w:ilvl="0" w:tplc="C7025184">
      <w:start w:val="4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1"/>
  </w:num>
  <w:num w:numId="13">
    <w:abstractNumId w:val="25"/>
  </w:num>
  <w:num w:numId="14">
    <w:abstractNumId w:val="29"/>
  </w:num>
  <w:num w:numId="15">
    <w:abstractNumId w:val="16"/>
  </w:num>
  <w:num w:numId="16">
    <w:abstractNumId w:val="14"/>
  </w:num>
  <w:num w:numId="17">
    <w:abstractNumId w:val="15"/>
  </w:num>
  <w:num w:numId="18">
    <w:abstractNumId w:val="24"/>
  </w:num>
  <w:num w:numId="19">
    <w:abstractNumId w:val="17"/>
  </w:num>
  <w:num w:numId="20">
    <w:abstractNumId w:val="26"/>
  </w:num>
  <w:num w:numId="21">
    <w:abstractNumId w:val="27"/>
  </w:num>
  <w:num w:numId="22">
    <w:abstractNumId w:val="20"/>
  </w:num>
  <w:num w:numId="23">
    <w:abstractNumId w:val="28"/>
  </w:num>
  <w:num w:numId="24">
    <w:abstractNumId w:val="31"/>
  </w:num>
  <w:num w:numId="25">
    <w:abstractNumId w:val="18"/>
  </w:num>
  <w:num w:numId="26">
    <w:abstractNumId w:val="23"/>
  </w:num>
  <w:num w:numId="27">
    <w:abstractNumId w:val="19"/>
  </w:num>
  <w:num w:numId="28">
    <w:abstractNumId w:val="3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activeWritingStyle w:appName="MSWord" w:lang="es-ES_tradnl" w:vendorID="64" w:dllVersion="6" w:nlCheck="1" w:checkStyle="0"/>
  <w:activeWritingStyle w:appName="MSWord" w:lang="es-ES" w:vendorID="64" w:dllVersion="6" w:nlCheck="1" w:checkStyle="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5D2CD8"/>
    <w:rsid w:val="00010E30"/>
    <w:rsid w:val="00023857"/>
    <w:rsid w:val="00026CF8"/>
    <w:rsid w:val="00061947"/>
    <w:rsid w:val="00067158"/>
    <w:rsid w:val="00070258"/>
    <w:rsid w:val="00072B9B"/>
    <w:rsid w:val="00072E16"/>
    <w:rsid w:val="0007323C"/>
    <w:rsid w:val="000846CF"/>
    <w:rsid w:val="00086D03"/>
    <w:rsid w:val="000A7051"/>
    <w:rsid w:val="000C03C7"/>
    <w:rsid w:val="000D786F"/>
    <w:rsid w:val="000E3DEE"/>
    <w:rsid w:val="000E7BB7"/>
    <w:rsid w:val="00103C76"/>
    <w:rsid w:val="0010597D"/>
    <w:rsid w:val="0011265F"/>
    <w:rsid w:val="00112C22"/>
    <w:rsid w:val="0013340E"/>
    <w:rsid w:val="001353E4"/>
    <w:rsid w:val="0016308F"/>
    <w:rsid w:val="001965B0"/>
    <w:rsid w:val="00196710"/>
    <w:rsid w:val="00197324"/>
    <w:rsid w:val="001A788C"/>
    <w:rsid w:val="001B0284"/>
    <w:rsid w:val="001B1CE8"/>
    <w:rsid w:val="001C0ACF"/>
    <w:rsid w:val="001C2C58"/>
    <w:rsid w:val="001D7070"/>
    <w:rsid w:val="001E0DF6"/>
    <w:rsid w:val="001F5A49"/>
    <w:rsid w:val="00200936"/>
    <w:rsid w:val="00201097"/>
    <w:rsid w:val="00201B6E"/>
    <w:rsid w:val="00220E11"/>
    <w:rsid w:val="002240B2"/>
    <w:rsid w:val="00235A29"/>
    <w:rsid w:val="00243821"/>
    <w:rsid w:val="002517F3"/>
    <w:rsid w:val="002861E6"/>
    <w:rsid w:val="00294F67"/>
    <w:rsid w:val="002A2700"/>
    <w:rsid w:val="002C0265"/>
    <w:rsid w:val="002D160B"/>
    <w:rsid w:val="002D2003"/>
    <w:rsid w:val="002D26AE"/>
    <w:rsid w:val="002D5322"/>
    <w:rsid w:val="002D6688"/>
    <w:rsid w:val="002E14E5"/>
    <w:rsid w:val="002E4545"/>
    <w:rsid w:val="002E7E4D"/>
    <w:rsid w:val="002F0890"/>
    <w:rsid w:val="003370B8"/>
    <w:rsid w:val="00356073"/>
    <w:rsid w:val="003666FF"/>
    <w:rsid w:val="0037359B"/>
    <w:rsid w:val="003741EE"/>
    <w:rsid w:val="00376793"/>
    <w:rsid w:val="00382253"/>
    <w:rsid w:val="003B2BDA"/>
    <w:rsid w:val="003B55EC"/>
    <w:rsid w:val="003B6B45"/>
    <w:rsid w:val="003C4471"/>
    <w:rsid w:val="003D512B"/>
    <w:rsid w:val="003E114B"/>
    <w:rsid w:val="003E504F"/>
    <w:rsid w:val="004173CE"/>
    <w:rsid w:val="004326DB"/>
    <w:rsid w:val="0043682E"/>
    <w:rsid w:val="00460193"/>
    <w:rsid w:val="00475BEB"/>
    <w:rsid w:val="004815EB"/>
    <w:rsid w:val="00482AB8"/>
    <w:rsid w:val="00486DE0"/>
    <w:rsid w:val="00496920"/>
    <w:rsid w:val="004B0A40"/>
    <w:rsid w:val="004B18C5"/>
    <w:rsid w:val="004B1B14"/>
    <w:rsid w:val="004B7C9A"/>
    <w:rsid w:val="004C4BA6"/>
    <w:rsid w:val="004C4F80"/>
    <w:rsid w:val="004E0DC4"/>
    <w:rsid w:val="004E0FB5"/>
    <w:rsid w:val="004E43BB"/>
    <w:rsid w:val="004F178E"/>
    <w:rsid w:val="004F61B8"/>
    <w:rsid w:val="00505309"/>
    <w:rsid w:val="0050789B"/>
    <w:rsid w:val="00515771"/>
    <w:rsid w:val="005323E5"/>
    <w:rsid w:val="00542A47"/>
    <w:rsid w:val="00543DF8"/>
    <w:rsid w:val="00546101"/>
    <w:rsid w:val="00553DD7"/>
    <w:rsid w:val="00562CE3"/>
    <w:rsid w:val="00563AFF"/>
    <w:rsid w:val="00573BC9"/>
    <w:rsid w:val="0057469A"/>
    <w:rsid w:val="00580814"/>
    <w:rsid w:val="005860CC"/>
    <w:rsid w:val="005A03A3"/>
    <w:rsid w:val="005B1FC5"/>
    <w:rsid w:val="005B214C"/>
    <w:rsid w:val="005B5B74"/>
    <w:rsid w:val="005B5FF1"/>
    <w:rsid w:val="005C4551"/>
    <w:rsid w:val="005C6B83"/>
    <w:rsid w:val="005C7FD2"/>
    <w:rsid w:val="005D2CD8"/>
    <w:rsid w:val="005E1AE3"/>
    <w:rsid w:val="005E754D"/>
    <w:rsid w:val="00602D53"/>
    <w:rsid w:val="00603BD2"/>
    <w:rsid w:val="00612D2E"/>
    <w:rsid w:val="0062402E"/>
    <w:rsid w:val="00624597"/>
    <w:rsid w:val="00632889"/>
    <w:rsid w:val="00634BA6"/>
    <w:rsid w:val="00651777"/>
    <w:rsid w:val="00690C51"/>
    <w:rsid w:val="006A0A47"/>
    <w:rsid w:val="006A21FD"/>
    <w:rsid w:val="006B0590"/>
    <w:rsid w:val="006B22D6"/>
    <w:rsid w:val="006B49DA"/>
    <w:rsid w:val="006D3DA0"/>
    <w:rsid w:val="006F590F"/>
    <w:rsid w:val="00707216"/>
    <w:rsid w:val="00711BA0"/>
    <w:rsid w:val="007234B1"/>
    <w:rsid w:val="00730B9A"/>
    <w:rsid w:val="007406F8"/>
    <w:rsid w:val="007602AC"/>
    <w:rsid w:val="00775723"/>
    <w:rsid w:val="007840E2"/>
    <w:rsid w:val="007921A7"/>
    <w:rsid w:val="007A4C29"/>
    <w:rsid w:val="007A5C27"/>
    <w:rsid w:val="007B3DB1"/>
    <w:rsid w:val="007D183E"/>
    <w:rsid w:val="007E3F13"/>
    <w:rsid w:val="007E48E3"/>
    <w:rsid w:val="007E7C17"/>
    <w:rsid w:val="007F06D0"/>
    <w:rsid w:val="00800012"/>
    <w:rsid w:val="00811D34"/>
    <w:rsid w:val="0081513E"/>
    <w:rsid w:val="00816E74"/>
    <w:rsid w:val="00823210"/>
    <w:rsid w:val="008234FB"/>
    <w:rsid w:val="008416C5"/>
    <w:rsid w:val="00843445"/>
    <w:rsid w:val="00847D46"/>
    <w:rsid w:val="00854131"/>
    <w:rsid w:val="0085652D"/>
    <w:rsid w:val="00870C3C"/>
    <w:rsid w:val="0087626D"/>
    <w:rsid w:val="0087694B"/>
    <w:rsid w:val="008802FB"/>
    <w:rsid w:val="008B478B"/>
    <w:rsid w:val="008D3DA2"/>
    <w:rsid w:val="008E62A3"/>
    <w:rsid w:val="008F4DBA"/>
    <w:rsid w:val="008F4F21"/>
    <w:rsid w:val="00904D4A"/>
    <w:rsid w:val="009151BA"/>
    <w:rsid w:val="009277BC"/>
    <w:rsid w:val="00927D57"/>
    <w:rsid w:val="009378D6"/>
    <w:rsid w:val="00941D23"/>
    <w:rsid w:val="0095010C"/>
    <w:rsid w:val="00963D9D"/>
    <w:rsid w:val="00965617"/>
    <w:rsid w:val="00981B54"/>
    <w:rsid w:val="009842C3"/>
    <w:rsid w:val="009A6BB6"/>
    <w:rsid w:val="009C161F"/>
    <w:rsid w:val="009C3873"/>
    <w:rsid w:val="009E4AEC"/>
    <w:rsid w:val="009E5BD8"/>
    <w:rsid w:val="009E681E"/>
    <w:rsid w:val="009F185C"/>
    <w:rsid w:val="00A00FA5"/>
    <w:rsid w:val="00A13427"/>
    <w:rsid w:val="00A25543"/>
    <w:rsid w:val="00A335BC"/>
    <w:rsid w:val="00A34D6F"/>
    <w:rsid w:val="00A41F91"/>
    <w:rsid w:val="00A86A44"/>
    <w:rsid w:val="00A963DF"/>
    <w:rsid w:val="00AB41DB"/>
    <w:rsid w:val="00AB7507"/>
    <w:rsid w:val="00AC3896"/>
    <w:rsid w:val="00AD3E5D"/>
    <w:rsid w:val="00AE6CFA"/>
    <w:rsid w:val="00AF3325"/>
    <w:rsid w:val="00AF7EA1"/>
    <w:rsid w:val="00B34CF9"/>
    <w:rsid w:val="00B67004"/>
    <w:rsid w:val="00B74372"/>
    <w:rsid w:val="00B90C45"/>
    <w:rsid w:val="00B933BE"/>
    <w:rsid w:val="00B97500"/>
    <w:rsid w:val="00BB4069"/>
    <w:rsid w:val="00BC14D5"/>
    <w:rsid w:val="00BD26C4"/>
    <w:rsid w:val="00BD3929"/>
    <w:rsid w:val="00BD7E5E"/>
    <w:rsid w:val="00BE6574"/>
    <w:rsid w:val="00BF4AF2"/>
    <w:rsid w:val="00C063EB"/>
    <w:rsid w:val="00C2291A"/>
    <w:rsid w:val="00C548FF"/>
    <w:rsid w:val="00C54AC2"/>
    <w:rsid w:val="00C57E2C"/>
    <w:rsid w:val="00C608B7"/>
    <w:rsid w:val="00C66F24"/>
    <w:rsid w:val="00C802F9"/>
    <w:rsid w:val="00C855CF"/>
    <w:rsid w:val="00C9291E"/>
    <w:rsid w:val="00CA3F44"/>
    <w:rsid w:val="00CA4E58"/>
    <w:rsid w:val="00CB3771"/>
    <w:rsid w:val="00CB39E1"/>
    <w:rsid w:val="00CB5153"/>
    <w:rsid w:val="00CC0DA0"/>
    <w:rsid w:val="00CD166D"/>
    <w:rsid w:val="00CF6752"/>
    <w:rsid w:val="00D02AEB"/>
    <w:rsid w:val="00D05EC2"/>
    <w:rsid w:val="00D10BA0"/>
    <w:rsid w:val="00D1737D"/>
    <w:rsid w:val="00D24EB5"/>
    <w:rsid w:val="00D30E43"/>
    <w:rsid w:val="00D329F1"/>
    <w:rsid w:val="00D36BA1"/>
    <w:rsid w:val="00D371A9"/>
    <w:rsid w:val="00D41571"/>
    <w:rsid w:val="00D416A0"/>
    <w:rsid w:val="00D47672"/>
    <w:rsid w:val="00D5123C"/>
    <w:rsid w:val="00D51C9E"/>
    <w:rsid w:val="00D55560"/>
    <w:rsid w:val="00D61C5A"/>
    <w:rsid w:val="00DA4E56"/>
    <w:rsid w:val="00DA6F1E"/>
    <w:rsid w:val="00DA7521"/>
    <w:rsid w:val="00DB17C6"/>
    <w:rsid w:val="00DB30B5"/>
    <w:rsid w:val="00DD6213"/>
    <w:rsid w:val="00DE66A5"/>
    <w:rsid w:val="00DF2B50"/>
    <w:rsid w:val="00DF3B72"/>
    <w:rsid w:val="00E003F5"/>
    <w:rsid w:val="00E04C86"/>
    <w:rsid w:val="00E05DB2"/>
    <w:rsid w:val="00E10F8A"/>
    <w:rsid w:val="00E20F30"/>
    <w:rsid w:val="00E27BBA"/>
    <w:rsid w:val="00E34CD1"/>
    <w:rsid w:val="00E35E8F"/>
    <w:rsid w:val="00E438E8"/>
    <w:rsid w:val="00E520E2"/>
    <w:rsid w:val="00E52A9E"/>
    <w:rsid w:val="00E64254"/>
    <w:rsid w:val="00E7780F"/>
    <w:rsid w:val="00EA15B3"/>
    <w:rsid w:val="00EB2358"/>
    <w:rsid w:val="00EB3EB8"/>
    <w:rsid w:val="00ED232E"/>
    <w:rsid w:val="00ED272C"/>
    <w:rsid w:val="00EF43D4"/>
    <w:rsid w:val="00EF6E7A"/>
    <w:rsid w:val="00F00207"/>
    <w:rsid w:val="00F0207C"/>
    <w:rsid w:val="00F15BF5"/>
    <w:rsid w:val="00F2320D"/>
    <w:rsid w:val="00F42C8C"/>
    <w:rsid w:val="00F468C5"/>
    <w:rsid w:val="00F52F39"/>
    <w:rsid w:val="00F55EAB"/>
    <w:rsid w:val="00F6394E"/>
    <w:rsid w:val="00F65298"/>
    <w:rsid w:val="00F914DD"/>
    <w:rsid w:val="00FA2358"/>
    <w:rsid w:val="00FA64F0"/>
    <w:rsid w:val="00FB2592"/>
    <w:rsid w:val="00FB2810"/>
    <w:rsid w:val="00FC2947"/>
    <w:rsid w:val="00FD561E"/>
    <w:rsid w:val="00FE08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AA31B"/>
  <w15:docId w15:val="{22C29492-82E0-4F12-B55C-311AEBBF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rsid w:val="004326DB"/>
    <w:rPr>
      <w:position w:val="6"/>
      <w:sz w:val="18"/>
    </w:rPr>
  </w:style>
  <w:style w:type="paragraph" w:styleId="FootnoteText">
    <w:name w:val="footnote text"/>
    <w:aliases w:val="ACMA Footnote Text"/>
    <w:basedOn w:val="Note"/>
    <w:link w:val="FootnoteTextChar"/>
    <w:uiPriority w:val="99"/>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uiPriority w:val="39"/>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965B0"/>
    <w:rPr>
      <w:color w:val="800080" w:themeColor="followedHyperlink"/>
      <w:u w:val="single"/>
    </w:rPr>
  </w:style>
  <w:style w:type="paragraph" w:customStyle="1" w:styleId="Reasons">
    <w:name w:val="Reasons"/>
    <w:basedOn w:val="Normal"/>
    <w:qFormat/>
    <w:rsid w:val="00482AB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customStyle="1" w:styleId="CommentTextChar">
    <w:name w:val="Comment Text Char"/>
    <w:basedOn w:val="DefaultParagraphFont"/>
    <w:link w:val="CommentText"/>
    <w:semiHidden/>
    <w:rsid w:val="00482AB8"/>
    <w:rPr>
      <w:szCs w:val="22"/>
      <w:lang w:val="es-ES_tradnl" w:eastAsia="en-US"/>
    </w:rPr>
  </w:style>
  <w:style w:type="paragraph" w:styleId="Title">
    <w:name w:val="Title"/>
    <w:basedOn w:val="Normal"/>
    <w:link w:val="TitleChar"/>
    <w:qFormat/>
    <w:rsid w:val="004B18C5"/>
    <w:pPr>
      <w:tabs>
        <w:tab w:val="clear" w:pos="794"/>
        <w:tab w:val="clear" w:pos="1191"/>
        <w:tab w:val="clear" w:pos="1588"/>
        <w:tab w:val="clear" w:pos="1985"/>
      </w:tabs>
      <w:spacing w:before="0" w:line="240" w:lineRule="auto"/>
      <w:jc w:val="center"/>
    </w:pPr>
    <w:rPr>
      <w:rFonts w:ascii="Arial" w:hAnsi="Arial" w:cs="Times New Roman"/>
      <w:b/>
      <w:bCs/>
      <w:szCs w:val="20"/>
      <w:lang w:val="en-GB"/>
    </w:rPr>
  </w:style>
  <w:style w:type="character" w:customStyle="1" w:styleId="TitleChar">
    <w:name w:val="Title Char"/>
    <w:basedOn w:val="DefaultParagraphFont"/>
    <w:link w:val="Title"/>
    <w:rsid w:val="004B18C5"/>
    <w:rPr>
      <w:rFonts w:ascii="Arial" w:hAnsi="Arial" w:cs="Times New Roman"/>
      <w:b/>
      <w:bCs/>
      <w:sz w:val="22"/>
      <w:lang w:val="en-GB" w:eastAsia="en-US"/>
    </w:rPr>
  </w:style>
  <w:style w:type="paragraph" w:styleId="BodyText">
    <w:name w:val="Body Text"/>
    <w:basedOn w:val="Normal"/>
    <w:link w:val="BodyTextChar"/>
    <w:rsid w:val="004B18C5"/>
    <w:pPr>
      <w:tabs>
        <w:tab w:val="clear" w:pos="794"/>
        <w:tab w:val="clear" w:pos="1191"/>
        <w:tab w:val="clear" w:pos="1588"/>
        <w:tab w:val="clear" w:pos="1985"/>
      </w:tabs>
      <w:spacing w:before="240" w:after="360" w:line="240" w:lineRule="auto"/>
      <w:jc w:val="center"/>
    </w:pPr>
    <w:rPr>
      <w:rFonts w:ascii="Tahoma" w:hAnsi="Tahoma" w:cs="Tahoma"/>
      <w:b/>
      <w:bCs/>
      <w:szCs w:val="20"/>
      <w:lang w:val="en-US"/>
    </w:rPr>
  </w:style>
  <w:style w:type="character" w:customStyle="1" w:styleId="BodyTextChar">
    <w:name w:val="Body Text Char"/>
    <w:basedOn w:val="DefaultParagraphFont"/>
    <w:link w:val="BodyText"/>
    <w:rsid w:val="004B18C5"/>
    <w:rPr>
      <w:rFonts w:ascii="Tahoma" w:hAnsi="Tahoma" w:cs="Tahoma"/>
      <w:b/>
      <w:bCs/>
      <w:sz w:val="22"/>
      <w:lang w:val="en-US" w:eastAsia="en-US"/>
    </w:rPr>
  </w:style>
  <w:style w:type="character" w:customStyle="1" w:styleId="HeaderChar">
    <w:name w:val="Header Char"/>
    <w:basedOn w:val="DefaultParagraphFont"/>
    <w:link w:val="Header"/>
    <w:uiPriority w:val="99"/>
    <w:rsid w:val="00E52A9E"/>
    <w:rPr>
      <w:sz w:val="22"/>
      <w:szCs w:val="22"/>
      <w:lang w:val="es-ES_tradnl" w:eastAsia="en-US"/>
    </w:rPr>
  </w:style>
  <w:style w:type="paragraph" w:styleId="ListParagraph">
    <w:name w:val="List Paragraph"/>
    <w:basedOn w:val="Normal"/>
    <w:link w:val="ListParagraphChar"/>
    <w:uiPriority w:val="34"/>
    <w:qFormat/>
    <w:rsid w:val="00F2320D"/>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720"/>
      <w:jc w:val="left"/>
    </w:pPr>
    <w:rPr>
      <w:rFonts w:cs="Times New Roman"/>
      <w:sz w:val="24"/>
      <w:szCs w:val="20"/>
      <w:lang w:val="en-GB"/>
    </w:rPr>
  </w:style>
  <w:style w:type="paragraph" w:customStyle="1" w:styleId="AnnexNo">
    <w:name w:val="Annex_No"/>
    <w:basedOn w:val="Normal"/>
    <w:next w:val="Normal"/>
    <w:rsid w:val="00F2320D"/>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rFonts w:cs="Times New Roman"/>
      <w:caps/>
      <w:sz w:val="28"/>
      <w:szCs w:val="20"/>
      <w:lang w:val="en-GB"/>
    </w:rPr>
  </w:style>
  <w:style w:type="character" w:customStyle="1" w:styleId="FooterChar">
    <w:name w:val="Footer Char"/>
    <w:basedOn w:val="DefaultParagraphFont"/>
    <w:link w:val="Footer"/>
    <w:uiPriority w:val="99"/>
    <w:rsid w:val="00F2320D"/>
    <w:rPr>
      <w:sz w:val="22"/>
      <w:szCs w:val="22"/>
      <w:lang w:val="es-ES_tradnl" w:eastAsia="en-US"/>
    </w:rPr>
  </w:style>
  <w:style w:type="character" w:customStyle="1" w:styleId="FootnoteTextChar">
    <w:name w:val="Footnote Text Char"/>
    <w:aliases w:val="ACMA Footnote Text Char"/>
    <w:basedOn w:val="DefaultParagraphFont"/>
    <w:link w:val="FootnoteText"/>
    <w:uiPriority w:val="99"/>
    <w:locked/>
    <w:rsid w:val="00F2320D"/>
    <w:rPr>
      <w:szCs w:val="22"/>
      <w:lang w:val="es-ES_tradnl" w:eastAsia="en-US"/>
    </w:rPr>
  </w:style>
  <w:style w:type="character" w:customStyle="1" w:styleId="UnresolvedMention1">
    <w:name w:val="Unresolved Mention1"/>
    <w:basedOn w:val="DefaultParagraphFont"/>
    <w:uiPriority w:val="99"/>
    <w:semiHidden/>
    <w:unhideWhenUsed/>
    <w:rsid w:val="00DB30B5"/>
    <w:rPr>
      <w:color w:val="605E5C"/>
      <w:shd w:val="clear" w:color="auto" w:fill="E1DFDD"/>
    </w:rPr>
  </w:style>
  <w:style w:type="character" w:styleId="UnresolvedMention">
    <w:name w:val="Unresolved Mention"/>
    <w:basedOn w:val="DefaultParagraphFont"/>
    <w:uiPriority w:val="99"/>
    <w:semiHidden/>
    <w:unhideWhenUsed/>
    <w:rsid w:val="00B74372"/>
    <w:rPr>
      <w:color w:val="605E5C"/>
      <w:shd w:val="clear" w:color="auto" w:fill="E1DFDD"/>
    </w:rPr>
  </w:style>
  <w:style w:type="paragraph" w:customStyle="1" w:styleId="s17">
    <w:name w:val="s17"/>
    <w:basedOn w:val="Normal"/>
    <w:rsid w:val="00632889"/>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Theme="minorHAnsi"/>
      <w:lang w:val="en-GB"/>
    </w:rPr>
  </w:style>
  <w:style w:type="character" w:customStyle="1" w:styleId="ListParagraphChar">
    <w:name w:val="List Paragraph Char"/>
    <w:basedOn w:val="DefaultParagraphFont"/>
    <w:link w:val="ListParagraph"/>
    <w:uiPriority w:val="34"/>
    <w:locked/>
    <w:rsid w:val="00632889"/>
    <w:rPr>
      <w:rFonts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0-CL-C-0060/en" TargetMode="External"/><Relationship Id="rId21" Type="http://schemas.openxmlformats.org/officeDocument/2006/relationships/hyperlink" Target="https://www.itu.int/md/S20-CL-C-0049/en" TargetMode="External"/><Relationship Id="rId34" Type="http://schemas.openxmlformats.org/officeDocument/2006/relationships/hyperlink" Target="https://www.itu.int/md/S20-CL-C-0044/en" TargetMode="External"/><Relationship Id="rId42" Type="http://schemas.openxmlformats.org/officeDocument/2006/relationships/hyperlink" Target="https://www.itu.int/md/S20-CL-C-0012/en" TargetMode="External"/><Relationship Id="rId47" Type="http://schemas.openxmlformats.org/officeDocument/2006/relationships/hyperlink" Target="https://www.itu.int/md/S20-CL-C-0011/en" TargetMode="External"/><Relationship Id="rId50" Type="http://schemas.openxmlformats.org/officeDocument/2006/relationships/hyperlink" Target="https://www.itu.int/md/S20-CL-C-0064/en" TargetMode="External"/><Relationship Id="rId55" Type="http://schemas.openxmlformats.org/officeDocument/2006/relationships/hyperlink" Target="https://www.itu.int/md/S20-CL-C-0065/en" TargetMode="External"/><Relationship Id="rId63" Type="http://schemas.openxmlformats.org/officeDocument/2006/relationships/hyperlink" Target="https://www.itu.int/md/S20-CL-C-0028/en" TargetMode="External"/><Relationship Id="rId68" Type="http://schemas.openxmlformats.org/officeDocument/2006/relationships/hyperlink" Target="https://www.itu.int/md/S20-CLVC-C-0003/en" TargetMode="External"/><Relationship Id="rId76" Type="http://schemas.openxmlformats.org/officeDocument/2006/relationships/hyperlink" Target="https://www.itu.int/md/S20-CL-C-0058/en" TargetMode="External"/><Relationship Id="rId84" Type="http://schemas.openxmlformats.org/officeDocument/2006/relationships/hyperlink" Target="https://www.itu.int/md/S20-CL-C-0054/en" TargetMode="External"/><Relationship Id="rId89" Type="http://schemas.openxmlformats.org/officeDocument/2006/relationships/header" Target="header3.xml"/><Relationship Id="rId97"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www.itu.int/md/S20-CL-C-0009/en" TargetMode="External"/><Relationship Id="rId92" Type="http://schemas.openxmlformats.org/officeDocument/2006/relationships/hyperlink" Target="mailto:contributions@itu.int" TargetMode="External"/><Relationship Id="rId2" Type="http://schemas.openxmlformats.org/officeDocument/2006/relationships/numbering" Target="numbering.xml"/><Relationship Id="rId16" Type="http://schemas.openxmlformats.org/officeDocument/2006/relationships/hyperlink" Target="https://www.itu.int/md/S20-CL-C-0021/en" TargetMode="External"/><Relationship Id="rId29" Type="http://schemas.openxmlformats.org/officeDocument/2006/relationships/hyperlink" Target="https://www.itu.int/md/S20-CL-C-0037/en" TargetMode="External"/><Relationship Id="rId11" Type="http://schemas.openxmlformats.org/officeDocument/2006/relationships/hyperlink" Target="mailto:remote.participation@itu.int" TargetMode="External"/><Relationship Id="rId24" Type="http://schemas.openxmlformats.org/officeDocument/2006/relationships/hyperlink" Target="https://www.itu.int/md/S20-CL-C-0029/en" TargetMode="External"/><Relationship Id="rId32" Type="http://schemas.openxmlformats.org/officeDocument/2006/relationships/hyperlink" Target="https://www.itu.int/md/S20-CL-C-0005/en" TargetMode="External"/><Relationship Id="rId37" Type="http://schemas.openxmlformats.org/officeDocument/2006/relationships/hyperlink" Target="https://www.itu.int/md/S20-CLVC-C-0002/en" TargetMode="External"/><Relationship Id="rId40" Type="http://schemas.openxmlformats.org/officeDocument/2006/relationships/hyperlink" Target="https://www.itu.int/md/S20-CL-C-0051/en" TargetMode="External"/><Relationship Id="rId45" Type="http://schemas.openxmlformats.org/officeDocument/2006/relationships/hyperlink" Target="https://www.itu.int/md/S20-CL-C-0019/en" TargetMode="External"/><Relationship Id="rId53" Type="http://schemas.openxmlformats.org/officeDocument/2006/relationships/hyperlink" Target="https://www.itu.int/md/S20-CL-C-0053/en" TargetMode="External"/><Relationship Id="rId58" Type="http://schemas.openxmlformats.org/officeDocument/2006/relationships/hyperlink" Target="https://www.itu.int/md/S20-CL-C-0036/en" TargetMode="External"/><Relationship Id="rId66" Type="http://schemas.openxmlformats.org/officeDocument/2006/relationships/hyperlink" Target="https://www.itu.int/md/S20-CL-C-0035/en" TargetMode="External"/><Relationship Id="rId74" Type="http://schemas.openxmlformats.org/officeDocument/2006/relationships/hyperlink" Target="https://www.itu.int/md/S20-CL-C-0015/en" TargetMode="External"/><Relationship Id="rId79" Type="http://schemas.openxmlformats.org/officeDocument/2006/relationships/hyperlink" Target="https://www.itu.int/md/S20-CL-C-0046/en" TargetMode="External"/><Relationship Id="rId87" Type="http://schemas.openxmlformats.org/officeDocument/2006/relationships/header" Target="header2.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tu.int/md/S20-CL-C-0006/en" TargetMode="External"/><Relationship Id="rId82" Type="http://schemas.openxmlformats.org/officeDocument/2006/relationships/hyperlink" Target="https://www.itu.int/md/S20-CL-C-0043/en" TargetMode="External"/><Relationship Id="rId90" Type="http://schemas.openxmlformats.org/officeDocument/2006/relationships/footer" Target="footer2.xml"/><Relationship Id="rId95" Type="http://schemas.openxmlformats.org/officeDocument/2006/relationships/header" Target="header5.xml"/><Relationship Id="rId19" Type="http://schemas.openxmlformats.org/officeDocument/2006/relationships/hyperlink" Target="https://www.itu.int/md/S20-CL-C-0050/en" TargetMode="External"/><Relationship Id="rId14" Type="http://schemas.openxmlformats.org/officeDocument/2006/relationships/hyperlink" Target="mailto:sg-registration@itu.int" TargetMode="External"/><Relationship Id="rId22" Type="http://schemas.openxmlformats.org/officeDocument/2006/relationships/hyperlink" Target="https://www.itu.int/md/S20-CL-C-0042/en" TargetMode="External"/><Relationship Id="rId27" Type="http://schemas.openxmlformats.org/officeDocument/2006/relationships/hyperlink" Target="https://www.itu.int/md/S20-CLVC-C-0008/en" TargetMode="External"/><Relationship Id="rId30" Type="http://schemas.openxmlformats.org/officeDocument/2006/relationships/hyperlink" Target="https://www.itu.int/md/S20-CL-C-0024/en" TargetMode="External"/><Relationship Id="rId35" Type="http://schemas.openxmlformats.org/officeDocument/2006/relationships/hyperlink" Target="https://www.itu.int/md/S20-CL-C-0014/en" TargetMode="External"/><Relationship Id="rId43" Type="http://schemas.openxmlformats.org/officeDocument/2006/relationships/hyperlink" Target="https://www.itu.int/md/S20-CL-C-0067/en" TargetMode="External"/><Relationship Id="rId48" Type="http://schemas.openxmlformats.org/officeDocument/2006/relationships/hyperlink" Target="https://www.itu.int/md/S20-CL-C-0039/en" TargetMode="External"/><Relationship Id="rId56" Type="http://schemas.openxmlformats.org/officeDocument/2006/relationships/hyperlink" Target="https://www.itu.int/md/S20-CLVC-C-0012/en" TargetMode="External"/><Relationship Id="rId64" Type="http://schemas.openxmlformats.org/officeDocument/2006/relationships/hyperlink" Target="https://www.itu.int/md/S20-CL-C-0013/en" TargetMode="External"/><Relationship Id="rId69" Type="http://schemas.openxmlformats.org/officeDocument/2006/relationships/hyperlink" Target="https://www.itu.int/md/S20-CLVC-C-0014/en" TargetMode="External"/><Relationship Id="rId77" Type="http://schemas.openxmlformats.org/officeDocument/2006/relationships/hyperlink" Target="https://www.itu.int/md/S20-CL-C-0052/en" TargetMode="External"/><Relationship Id="rId100" Type="http://schemas.openxmlformats.org/officeDocument/2006/relationships/fontTable" Target="fontTable.xml"/><Relationship Id="rId8" Type="http://schemas.openxmlformats.org/officeDocument/2006/relationships/hyperlink" Target="mailto:gbs@itu.int" TargetMode="External"/><Relationship Id="rId51" Type="http://schemas.openxmlformats.org/officeDocument/2006/relationships/hyperlink" Target="https://www.itu.int/md/S20-CL-C-0059/en" TargetMode="External"/><Relationship Id="rId72" Type="http://schemas.openxmlformats.org/officeDocument/2006/relationships/hyperlink" Target="https://www.itu.int/md/S20-CL-C-0020/en" TargetMode="External"/><Relationship Id="rId80" Type="http://schemas.openxmlformats.org/officeDocument/2006/relationships/hyperlink" Target="https://www.itu.int/md/S20-CL-C-0038/en" TargetMode="External"/><Relationship Id="rId85" Type="http://schemas.openxmlformats.org/officeDocument/2006/relationships/hyperlink" Target="https://www.itu.int/md/S20-CL-C-0031/en" TargetMode="External"/><Relationship Id="rId93" Type="http://schemas.openxmlformats.org/officeDocument/2006/relationships/hyperlink" Target="https://www.itu.int/online/mm/scripts/s/gensel21?_lang=&amp;_event=C-00007451&amp;_event_type=" TargetMode="External"/><Relationship Id="rId98"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mailto:contributions@itu.int" TargetMode="External"/><Relationship Id="rId17" Type="http://schemas.openxmlformats.org/officeDocument/2006/relationships/hyperlink" Target="https://www.itu.int/md/S20-CL-C-0017/en" TargetMode="External"/><Relationship Id="rId25" Type="http://schemas.openxmlformats.org/officeDocument/2006/relationships/hyperlink" Target="https://www.itu.int/md/S20-CL-C-0048/en" TargetMode="External"/><Relationship Id="rId33" Type="http://schemas.openxmlformats.org/officeDocument/2006/relationships/hyperlink" Target="https://www.itu.int/md/S20-CL-C-0030/en" TargetMode="External"/><Relationship Id="rId38" Type="http://schemas.openxmlformats.org/officeDocument/2006/relationships/hyperlink" Target="https://www.itu.int/md/S20-CLVC-C-0010/en" TargetMode="External"/><Relationship Id="rId46" Type="http://schemas.openxmlformats.org/officeDocument/2006/relationships/hyperlink" Target="https://www.itu.int/md/S20-CL-C-0063/en" TargetMode="External"/><Relationship Id="rId59" Type="http://schemas.openxmlformats.org/officeDocument/2006/relationships/hyperlink" Target="https://www.itu.int/md/S20-CL-C-0026/en" TargetMode="External"/><Relationship Id="rId67" Type="http://schemas.openxmlformats.org/officeDocument/2006/relationships/hyperlink" Target="https://www.itu.int/md/S20-CL-C-0062/en" TargetMode="External"/><Relationship Id="rId20" Type="http://schemas.openxmlformats.org/officeDocument/2006/relationships/hyperlink" Target="https://www.itu.int/md/S20-CL-C-0022/en" TargetMode="External"/><Relationship Id="rId41" Type="http://schemas.openxmlformats.org/officeDocument/2006/relationships/hyperlink" Target="https://www.itu.int/md/S20-CL-C-0057/en" TargetMode="External"/><Relationship Id="rId54" Type="http://schemas.openxmlformats.org/officeDocument/2006/relationships/hyperlink" Target="https://www.itu.int/md/S20-CL-C-0033/en" TargetMode="External"/><Relationship Id="rId62" Type="http://schemas.openxmlformats.org/officeDocument/2006/relationships/hyperlink" Target="https://www.itu.int/md/S20-CL-INF-0002/en" TargetMode="External"/><Relationship Id="rId70" Type="http://schemas.openxmlformats.org/officeDocument/2006/relationships/hyperlink" Target="https://www.itu.int/md/S20-CL-C-0003/en" TargetMode="External"/><Relationship Id="rId75" Type="http://schemas.openxmlformats.org/officeDocument/2006/relationships/hyperlink" Target="https://www.itu.int/md/S20-CL-C-0045/en" TargetMode="External"/><Relationship Id="rId83" Type="http://schemas.openxmlformats.org/officeDocument/2006/relationships/hyperlink" Target="https://www.itu.int/md/S20-CL-C-0056/en" TargetMode="External"/><Relationship Id="rId88" Type="http://schemas.openxmlformats.org/officeDocument/2006/relationships/footer" Target="footer1.xml"/><Relationship Id="rId91" Type="http://schemas.openxmlformats.org/officeDocument/2006/relationships/image" Target="media/image2.jpeg"/><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emote.participation@itu.int" TargetMode="External"/><Relationship Id="rId23" Type="http://schemas.openxmlformats.org/officeDocument/2006/relationships/hyperlink" Target="https://www.itu.int/md/S20-CL-C-0007/en" TargetMode="External"/><Relationship Id="rId28" Type="http://schemas.openxmlformats.org/officeDocument/2006/relationships/hyperlink" Target="https://www.itu.int/md/S20-CL-C-0023/en" TargetMode="External"/><Relationship Id="rId36" Type="http://schemas.openxmlformats.org/officeDocument/2006/relationships/hyperlink" Target="https://www.itu.int/md/S20-CLVC-C-0013/en" TargetMode="External"/><Relationship Id="rId49" Type="http://schemas.openxmlformats.org/officeDocument/2006/relationships/hyperlink" Target="https://www.itu.int/md/S20-CL-C-0025/en" TargetMode="External"/><Relationship Id="rId57" Type="http://schemas.openxmlformats.org/officeDocument/2006/relationships/hyperlink" Target="https://www.itu.int/md/S20-CL-C-0018/en" TargetMode="External"/><Relationship Id="rId10" Type="http://schemas.openxmlformats.org/officeDocument/2006/relationships/hyperlink" Target="mailto:sg-registration@itu.int" TargetMode="External"/><Relationship Id="rId31" Type="http://schemas.openxmlformats.org/officeDocument/2006/relationships/hyperlink" Target="https://www.itu.int/md/S20-CL-C-0072/en" TargetMode="External"/><Relationship Id="rId44" Type="http://schemas.openxmlformats.org/officeDocument/2006/relationships/hyperlink" Target="https://www.itu.int/md/S20-CL-C-0010/en" TargetMode="External"/><Relationship Id="rId52" Type="http://schemas.openxmlformats.org/officeDocument/2006/relationships/hyperlink" Target="https://www.itu.int/md/S20-CL-C-0061/en" TargetMode="External"/><Relationship Id="rId60" Type="http://schemas.openxmlformats.org/officeDocument/2006/relationships/hyperlink" Target="https://www.itu.int/md/S20-CLVC-C-0004/en" TargetMode="External"/><Relationship Id="rId65" Type="http://schemas.openxmlformats.org/officeDocument/2006/relationships/hyperlink" Target="https://www.itu.int/md/S20-CL-C-0004/en" TargetMode="External"/><Relationship Id="rId73" Type="http://schemas.openxmlformats.org/officeDocument/2006/relationships/hyperlink" Target="https://www.itu.int/md/S20-CL-C-0047/en" TargetMode="External"/><Relationship Id="rId78" Type="http://schemas.openxmlformats.org/officeDocument/2006/relationships/hyperlink" Target="https://www.itu.int/md/S20-CL-C-0034/en" TargetMode="External"/><Relationship Id="rId81" Type="http://schemas.openxmlformats.org/officeDocument/2006/relationships/hyperlink" Target="https://www.itu.int/md/S20-CL-C-0032/en" TargetMode="External"/><Relationship Id="rId86" Type="http://schemas.openxmlformats.org/officeDocument/2006/relationships/header" Target="header1.xml"/><Relationship Id="rId94" Type="http://schemas.openxmlformats.org/officeDocument/2006/relationships/header" Target="header4.xml"/><Relationship Id="rId99" Type="http://schemas.openxmlformats.org/officeDocument/2006/relationships/footer" Target="footer5.xml"/><Relationship Id="rId10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tu.int/md/S20-DM-CIR-01011/en" TargetMode="External"/><Relationship Id="rId13" Type="http://schemas.openxmlformats.org/officeDocument/2006/relationships/hyperlink" Target="https://www.itu.int/en/council/2020/Pages/default.aspx" TargetMode="External"/><Relationship Id="rId18" Type="http://schemas.openxmlformats.org/officeDocument/2006/relationships/hyperlink" Target="https://www.itu.int/md/S20-CL-C-0068/en" TargetMode="External"/><Relationship Id="rId39" Type="http://schemas.openxmlformats.org/officeDocument/2006/relationships/hyperlink" Target="https://www.itu.int/md/S20-CL-C-0008/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20SG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99120E4134447193C00D318885222B"/>
        <w:category>
          <w:name w:val="General"/>
          <w:gallery w:val="placeholder"/>
        </w:category>
        <w:types>
          <w:type w:val="bbPlcHdr"/>
        </w:types>
        <w:behaviors>
          <w:behavior w:val="content"/>
        </w:behaviors>
        <w:guid w:val="{A3D34F60-4E5E-48D8-9FD7-EC619704A99C}"/>
      </w:docPartPr>
      <w:docPartBody>
        <w:p w:rsidR="006C3E6C" w:rsidRDefault="006C3E6C" w:rsidP="006C3E6C">
          <w:pPr>
            <w:pStyle w:val="6B99120E4134447193C00D318885222B"/>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6C"/>
    <w:rsid w:val="00051092"/>
    <w:rsid w:val="00364188"/>
    <w:rsid w:val="003B0353"/>
    <w:rsid w:val="006C3E6C"/>
    <w:rsid w:val="00C62EAF"/>
    <w:rsid w:val="00D55F00"/>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E6C"/>
    <w:rPr>
      <w:color w:val="808080"/>
    </w:rPr>
  </w:style>
  <w:style w:type="paragraph" w:customStyle="1" w:styleId="9C367325B3BB49FB9016D739F7D90915">
    <w:name w:val="9C367325B3BB49FB9016D739F7D90915"/>
    <w:rsid w:val="006C3E6C"/>
  </w:style>
  <w:style w:type="paragraph" w:customStyle="1" w:styleId="6B99120E4134447193C00D318885222B">
    <w:name w:val="6B99120E4134447193C00D318885222B"/>
    <w:rsid w:val="006C3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E803-52F2-43D0-9AEE-50917C0F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 SGletter.dotx</Template>
  <TotalTime>0</TotalTime>
  <Pages>10</Pages>
  <Words>3467</Words>
  <Characters>19765</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(Spanish)</vt:lpstr>
      <vt:lpstr>ITU-T Rec. Book 1 Resolutions ITU-T Series A Recommendations:</vt:lpstr>
    </vt:vector>
  </TitlesOfParts>
  <Company>ITU</Company>
  <LinksUpToDate>false</LinksUpToDate>
  <CharactersWithSpaces>23186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Soriano, Manuel</dc:creator>
  <cp:lastModifiedBy>Thioulouse, Guylaine</cp:lastModifiedBy>
  <cp:revision>2</cp:revision>
  <cp:lastPrinted>2020-09-15T12:37:00Z</cp:lastPrinted>
  <dcterms:created xsi:type="dcterms:W3CDTF">2020-09-16T08:20:00Z</dcterms:created>
  <dcterms:modified xsi:type="dcterms:W3CDTF">2020-09-16T08:20:00Z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