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3476DD" w:rsidRPr="00A106E4" w14:paraId="3B7422CC" w14:textId="77777777" w:rsidTr="00CC1389">
        <w:tc>
          <w:tcPr>
            <w:tcW w:w="9889" w:type="dxa"/>
            <w:gridSpan w:val="4"/>
            <w:shd w:val="clear" w:color="auto" w:fill="auto"/>
          </w:tcPr>
          <w:p w14:paraId="0FAEAECA" w14:textId="77777777" w:rsidR="003476DD" w:rsidRPr="00A106E4" w:rsidRDefault="000A249C" w:rsidP="00927C71">
            <w:pPr>
              <w:spacing w:line="240" w:lineRule="auto"/>
              <w:jc w:val="left"/>
              <w:rPr>
                <w:rFonts w:cs="Times New Roman Bold"/>
                <w:b/>
                <w:bCs/>
                <w:color w:val="808080"/>
                <w:sz w:val="28"/>
                <w:szCs w:val="28"/>
              </w:rPr>
            </w:pPr>
            <w:bookmarkStart w:id="0" w:name="Origine"/>
            <w:bookmarkEnd w:id="0"/>
            <w:r w:rsidRPr="00A106E4">
              <w:rPr>
                <w:rFonts w:cs="Times New Roman Bold"/>
                <w:b/>
                <w:bCs/>
                <w:color w:val="808080"/>
                <w:sz w:val="28"/>
                <w:szCs w:val="28"/>
              </w:rPr>
              <w:t>Secrétariat général (SG)</w:t>
            </w:r>
          </w:p>
        </w:tc>
      </w:tr>
      <w:tr w:rsidR="003476DD" w:rsidRPr="00A106E4" w14:paraId="32812B36" w14:textId="77777777" w:rsidTr="00CC1389">
        <w:tc>
          <w:tcPr>
            <w:tcW w:w="9889" w:type="dxa"/>
            <w:gridSpan w:val="4"/>
            <w:shd w:val="clear" w:color="auto" w:fill="auto"/>
          </w:tcPr>
          <w:p w14:paraId="7167B46A" w14:textId="77777777" w:rsidR="003476DD" w:rsidRPr="00A106E4" w:rsidRDefault="003476DD" w:rsidP="00927C71">
            <w:pPr>
              <w:spacing w:line="240" w:lineRule="auto"/>
              <w:jc w:val="left"/>
            </w:pPr>
          </w:p>
        </w:tc>
      </w:tr>
      <w:tr w:rsidR="003476DD" w:rsidRPr="00A106E4" w14:paraId="678CD2BD" w14:textId="77777777" w:rsidTr="00CC1389">
        <w:tc>
          <w:tcPr>
            <w:tcW w:w="5353" w:type="dxa"/>
            <w:gridSpan w:val="3"/>
            <w:shd w:val="clear" w:color="auto" w:fill="auto"/>
          </w:tcPr>
          <w:p w14:paraId="20639541" w14:textId="77777777" w:rsidR="003476DD" w:rsidRPr="00A106E4" w:rsidRDefault="003476DD" w:rsidP="00927C71">
            <w:pPr>
              <w:spacing w:line="240" w:lineRule="auto"/>
              <w:jc w:val="left"/>
            </w:pPr>
          </w:p>
        </w:tc>
        <w:tc>
          <w:tcPr>
            <w:tcW w:w="4536" w:type="dxa"/>
            <w:shd w:val="clear" w:color="auto" w:fill="auto"/>
          </w:tcPr>
          <w:p w14:paraId="2761A1E7" w14:textId="4CFB51BB" w:rsidR="003476DD" w:rsidRPr="00A106E4" w:rsidRDefault="000A249C" w:rsidP="00927C71">
            <w:pPr>
              <w:spacing w:line="240" w:lineRule="auto"/>
              <w:ind w:right="57"/>
              <w:jc w:val="left"/>
            </w:pPr>
            <w:r w:rsidRPr="00A106E4">
              <w:t xml:space="preserve">Genève, le </w:t>
            </w:r>
            <w:sdt>
              <w:sdtPr>
                <w:rPr>
                  <w:rFonts w:cs="Arial"/>
                </w:rPr>
                <w:alias w:val="Date"/>
                <w:tag w:val="Date"/>
                <w:id w:val="-1536891932"/>
                <w:placeholder>
                  <w:docPart w:val="0E91E1F4E630405D87ED20F3F7AB3E34"/>
                </w:placeholder>
                <w:date w:fullDate="2020-09-14T00:00:00Z">
                  <w:dateFormat w:val="d MMMM yyyy"/>
                  <w:lid w:val="fr-FR"/>
                  <w:storeMappedDataAs w:val="date"/>
                  <w:calendar w:val="gregorian"/>
                </w:date>
              </w:sdtPr>
              <w:sdtEndPr/>
              <w:sdtContent>
                <w:r w:rsidR="006B3F27" w:rsidRPr="00A106E4">
                  <w:rPr>
                    <w:rFonts w:cs="Arial"/>
                  </w:rPr>
                  <w:t xml:space="preserve">14 </w:t>
                </w:r>
                <w:r w:rsidR="004D7DA3" w:rsidRPr="00A106E4">
                  <w:rPr>
                    <w:rFonts w:cs="Arial"/>
                  </w:rPr>
                  <w:t>septembre</w:t>
                </w:r>
                <w:r w:rsidR="00D55CE4" w:rsidRPr="00A106E4">
                  <w:rPr>
                    <w:rFonts w:cs="Arial"/>
                  </w:rPr>
                  <w:t xml:space="preserve"> 20</w:t>
                </w:r>
                <w:r w:rsidR="006B3F27" w:rsidRPr="00A106E4">
                  <w:rPr>
                    <w:rFonts w:cs="Arial"/>
                  </w:rPr>
                  <w:t>20</w:t>
                </w:r>
              </w:sdtContent>
            </w:sdt>
          </w:p>
        </w:tc>
      </w:tr>
      <w:tr w:rsidR="006B3F27" w:rsidRPr="00A106E4" w14:paraId="48E43D8E"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07D82DD" w14:textId="77777777" w:rsidR="006B3F27" w:rsidRPr="00A106E4" w:rsidRDefault="006B3F27" w:rsidP="00927C71">
            <w:pPr>
              <w:spacing w:before="0" w:line="240" w:lineRule="auto"/>
              <w:jc w:val="left"/>
            </w:pPr>
            <w:r w:rsidRPr="00A106E4">
              <w:t>Réf.:</w:t>
            </w:r>
          </w:p>
        </w:tc>
        <w:tc>
          <w:tcPr>
            <w:tcW w:w="3827" w:type="dxa"/>
            <w:gridSpan w:val="2"/>
            <w:tcBorders>
              <w:top w:val="nil"/>
              <w:left w:val="nil"/>
              <w:bottom w:val="nil"/>
              <w:right w:val="nil"/>
            </w:tcBorders>
            <w:shd w:val="clear" w:color="auto" w:fill="auto"/>
          </w:tcPr>
          <w:p w14:paraId="0A1228D6" w14:textId="49BB7A5E" w:rsidR="006B3F27" w:rsidRPr="00A106E4" w:rsidRDefault="006B3F27" w:rsidP="00927C71">
            <w:pPr>
              <w:spacing w:before="0" w:line="240" w:lineRule="auto"/>
              <w:jc w:val="left"/>
              <w:rPr>
                <w:b/>
                <w:bCs/>
              </w:rPr>
            </w:pPr>
            <w:bookmarkStart w:id="1" w:name="lt_pId015"/>
            <w:r w:rsidRPr="00A106E4">
              <w:rPr>
                <w:b/>
                <w:bCs/>
              </w:rPr>
              <w:t>DM-20/10</w:t>
            </w:r>
            <w:bookmarkEnd w:id="1"/>
            <w:r w:rsidR="004D7DA3" w:rsidRPr="00A106E4">
              <w:rPr>
                <w:b/>
                <w:bCs/>
              </w:rPr>
              <w:t>13</w:t>
            </w:r>
          </w:p>
        </w:tc>
        <w:tc>
          <w:tcPr>
            <w:tcW w:w="4536" w:type="dxa"/>
            <w:vMerge w:val="restart"/>
            <w:tcBorders>
              <w:top w:val="nil"/>
              <w:left w:val="nil"/>
              <w:right w:val="nil"/>
            </w:tcBorders>
            <w:shd w:val="clear" w:color="auto" w:fill="auto"/>
          </w:tcPr>
          <w:p w14:paraId="75B55755" w14:textId="77777777" w:rsidR="006B3F27" w:rsidRPr="00A106E4" w:rsidRDefault="006B3F27" w:rsidP="00927C71">
            <w:pPr>
              <w:spacing w:before="480" w:line="240" w:lineRule="auto"/>
            </w:pPr>
            <w:r w:rsidRPr="00A106E4">
              <w:rPr>
                <w:color w:val="000000"/>
              </w:rPr>
              <w:t>Aux États Membres du Conseil de l'UIT</w:t>
            </w:r>
          </w:p>
        </w:tc>
      </w:tr>
      <w:tr w:rsidR="006B3F27" w:rsidRPr="00A106E4" w14:paraId="25EF3EF0"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71A5D27" w14:textId="77777777" w:rsidR="006B3F27" w:rsidRPr="00A106E4" w:rsidRDefault="006B3F27" w:rsidP="00927C71">
            <w:pPr>
              <w:spacing w:before="0" w:line="240" w:lineRule="auto"/>
              <w:jc w:val="left"/>
              <w:rPr>
                <w:iCs/>
                <w:color w:val="FFFFFF" w:themeColor="background1"/>
              </w:rPr>
            </w:pPr>
            <w:r w:rsidRPr="00A106E4">
              <w:rPr>
                <w:iCs/>
              </w:rPr>
              <w:t>Contact:</w:t>
            </w:r>
          </w:p>
        </w:tc>
        <w:tc>
          <w:tcPr>
            <w:tcW w:w="3543" w:type="dxa"/>
            <w:tcBorders>
              <w:top w:val="nil"/>
              <w:left w:val="nil"/>
              <w:bottom w:val="nil"/>
              <w:right w:val="nil"/>
            </w:tcBorders>
            <w:shd w:val="clear" w:color="auto" w:fill="auto"/>
          </w:tcPr>
          <w:p w14:paraId="4974A8F0" w14:textId="77777777" w:rsidR="006B3F27" w:rsidRPr="00A106E4" w:rsidRDefault="006B3F27" w:rsidP="00927C71">
            <w:pPr>
              <w:spacing w:before="0" w:line="240" w:lineRule="auto"/>
              <w:jc w:val="left"/>
            </w:pPr>
            <w:bookmarkStart w:id="2" w:name="lt_pId018"/>
            <w:r w:rsidRPr="00A106E4">
              <w:t>Mme Béatrice Pluchon</w:t>
            </w:r>
            <w:bookmarkEnd w:id="2"/>
          </w:p>
        </w:tc>
        <w:tc>
          <w:tcPr>
            <w:tcW w:w="284" w:type="dxa"/>
            <w:tcBorders>
              <w:top w:val="nil"/>
              <w:left w:val="nil"/>
              <w:bottom w:val="nil"/>
              <w:right w:val="nil"/>
            </w:tcBorders>
            <w:shd w:val="clear" w:color="auto" w:fill="auto"/>
          </w:tcPr>
          <w:p w14:paraId="1B81DE20" w14:textId="77777777" w:rsidR="006B3F27" w:rsidRPr="00A106E4" w:rsidRDefault="006B3F27" w:rsidP="00927C71">
            <w:pPr>
              <w:spacing w:before="0" w:line="240" w:lineRule="auto"/>
            </w:pPr>
          </w:p>
        </w:tc>
        <w:tc>
          <w:tcPr>
            <w:tcW w:w="4536" w:type="dxa"/>
            <w:vMerge/>
            <w:tcBorders>
              <w:left w:val="nil"/>
              <w:right w:val="nil"/>
            </w:tcBorders>
            <w:shd w:val="clear" w:color="auto" w:fill="auto"/>
          </w:tcPr>
          <w:p w14:paraId="60332A6B" w14:textId="77777777" w:rsidR="006B3F27" w:rsidRPr="00A106E4" w:rsidRDefault="006B3F27" w:rsidP="00927C71">
            <w:pPr>
              <w:spacing w:before="240" w:line="240" w:lineRule="auto"/>
              <w:rPr>
                <w:color w:val="000000"/>
              </w:rPr>
            </w:pPr>
          </w:p>
        </w:tc>
      </w:tr>
      <w:tr w:rsidR="006B3F27" w:rsidRPr="00A106E4" w14:paraId="403A12C0"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64E3E86" w14:textId="77777777" w:rsidR="006B3F27" w:rsidRPr="00A106E4" w:rsidRDefault="006B3F27" w:rsidP="00927C71">
            <w:pPr>
              <w:spacing w:before="0" w:line="240" w:lineRule="auto"/>
              <w:jc w:val="left"/>
              <w:rPr>
                <w:iCs/>
                <w:color w:val="FFFFFF" w:themeColor="background1"/>
              </w:rPr>
            </w:pPr>
            <w:r w:rsidRPr="00A106E4">
              <w:rPr>
                <w:iCs/>
              </w:rPr>
              <w:t>Télécopie:</w:t>
            </w:r>
          </w:p>
        </w:tc>
        <w:tc>
          <w:tcPr>
            <w:tcW w:w="3543" w:type="dxa"/>
            <w:tcBorders>
              <w:top w:val="nil"/>
              <w:left w:val="nil"/>
              <w:bottom w:val="nil"/>
              <w:right w:val="nil"/>
            </w:tcBorders>
            <w:shd w:val="clear" w:color="auto" w:fill="auto"/>
          </w:tcPr>
          <w:p w14:paraId="62C18381" w14:textId="77777777" w:rsidR="006B3F27" w:rsidRPr="00A106E4" w:rsidRDefault="006B3F27" w:rsidP="00927C71">
            <w:pPr>
              <w:spacing w:before="0" w:line="240" w:lineRule="auto"/>
              <w:jc w:val="left"/>
            </w:pPr>
            <w:r w:rsidRPr="00A106E4">
              <w:t>+41 22 730 6266</w:t>
            </w:r>
          </w:p>
        </w:tc>
        <w:tc>
          <w:tcPr>
            <w:tcW w:w="284" w:type="dxa"/>
            <w:tcBorders>
              <w:top w:val="nil"/>
              <w:left w:val="nil"/>
              <w:bottom w:val="nil"/>
              <w:right w:val="nil"/>
            </w:tcBorders>
            <w:shd w:val="clear" w:color="auto" w:fill="auto"/>
          </w:tcPr>
          <w:p w14:paraId="34DECA20" w14:textId="77777777" w:rsidR="006B3F27" w:rsidRPr="00A106E4" w:rsidRDefault="006B3F27" w:rsidP="00927C71">
            <w:pPr>
              <w:spacing w:before="0" w:line="240" w:lineRule="auto"/>
            </w:pPr>
          </w:p>
        </w:tc>
        <w:tc>
          <w:tcPr>
            <w:tcW w:w="4536" w:type="dxa"/>
            <w:vMerge/>
            <w:tcBorders>
              <w:left w:val="nil"/>
              <w:right w:val="nil"/>
            </w:tcBorders>
            <w:shd w:val="clear" w:color="auto" w:fill="auto"/>
          </w:tcPr>
          <w:p w14:paraId="61FCF46E" w14:textId="77777777" w:rsidR="006B3F27" w:rsidRPr="00A106E4" w:rsidRDefault="006B3F27" w:rsidP="00927C71">
            <w:pPr>
              <w:spacing w:before="0" w:line="240" w:lineRule="auto"/>
            </w:pPr>
          </w:p>
        </w:tc>
      </w:tr>
      <w:tr w:rsidR="006B3F27" w:rsidRPr="00A106E4" w14:paraId="69D5CBA2"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EEE3415" w14:textId="77777777" w:rsidR="006B3F27" w:rsidRPr="00A106E4" w:rsidRDefault="006B3F27" w:rsidP="00927C71">
            <w:pPr>
              <w:spacing w:before="0" w:line="240" w:lineRule="auto"/>
              <w:jc w:val="left"/>
              <w:rPr>
                <w:iCs/>
                <w:color w:val="FFFFFF" w:themeColor="background1"/>
              </w:rPr>
            </w:pPr>
            <w:r w:rsidRPr="00A106E4">
              <w:t>Courriel</w:t>
            </w:r>
            <w:r w:rsidRPr="00A106E4">
              <w:rPr>
                <w:iCs/>
              </w:rPr>
              <w:t>:</w:t>
            </w:r>
          </w:p>
        </w:tc>
        <w:tc>
          <w:tcPr>
            <w:tcW w:w="3543" w:type="dxa"/>
            <w:tcBorders>
              <w:top w:val="nil"/>
              <w:left w:val="nil"/>
              <w:bottom w:val="nil"/>
              <w:right w:val="nil"/>
            </w:tcBorders>
            <w:shd w:val="clear" w:color="auto" w:fill="auto"/>
          </w:tcPr>
          <w:p w14:paraId="6350C56B" w14:textId="77777777" w:rsidR="006B3F27" w:rsidRPr="00A106E4" w:rsidRDefault="00003BE3" w:rsidP="00927C71">
            <w:pPr>
              <w:spacing w:before="0" w:line="240" w:lineRule="auto"/>
              <w:jc w:val="left"/>
            </w:pPr>
            <w:hyperlink r:id="rId8" w:history="1">
              <w:bookmarkStart w:id="3" w:name="lt_pId022"/>
              <w:r w:rsidR="006B3F27" w:rsidRPr="00A106E4">
                <w:rPr>
                  <w:rStyle w:val="Hyperlink"/>
                </w:rPr>
                <w:t>gbs@itu.int</w:t>
              </w:r>
              <w:bookmarkEnd w:id="3"/>
            </w:hyperlink>
          </w:p>
        </w:tc>
        <w:tc>
          <w:tcPr>
            <w:tcW w:w="284" w:type="dxa"/>
            <w:tcBorders>
              <w:top w:val="nil"/>
              <w:left w:val="nil"/>
              <w:bottom w:val="nil"/>
              <w:right w:val="nil"/>
            </w:tcBorders>
            <w:shd w:val="clear" w:color="auto" w:fill="auto"/>
          </w:tcPr>
          <w:p w14:paraId="2CB29820" w14:textId="77777777" w:rsidR="006B3F27" w:rsidRPr="00A106E4" w:rsidRDefault="006B3F27" w:rsidP="00927C71">
            <w:pPr>
              <w:spacing w:before="0" w:line="240" w:lineRule="auto"/>
            </w:pPr>
          </w:p>
        </w:tc>
        <w:tc>
          <w:tcPr>
            <w:tcW w:w="4536" w:type="dxa"/>
            <w:vMerge/>
            <w:tcBorders>
              <w:left w:val="nil"/>
              <w:bottom w:val="nil"/>
              <w:right w:val="nil"/>
            </w:tcBorders>
            <w:shd w:val="clear" w:color="auto" w:fill="auto"/>
          </w:tcPr>
          <w:p w14:paraId="5A82DFEF" w14:textId="77777777" w:rsidR="006B3F27" w:rsidRPr="00A106E4" w:rsidRDefault="006B3F27" w:rsidP="00927C71">
            <w:pPr>
              <w:spacing w:before="0" w:line="240" w:lineRule="auto"/>
            </w:pPr>
          </w:p>
        </w:tc>
      </w:tr>
      <w:tr w:rsidR="003476DD" w:rsidRPr="00A106E4" w14:paraId="1961C108"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9F1F0B3" w14:textId="77777777" w:rsidR="003476DD" w:rsidRPr="00A106E4" w:rsidRDefault="003476DD" w:rsidP="00927C71">
            <w:pPr>
              <w:spacing w:before="0" w:line="240" w:lineRule="auto"/>
              <w:jc w:val="left"/>
              <w:rPr>
                <w:iCs/>
              </w:rPr>
            </w:pPr>
          </w:p>
        </w:tc>
        <w:tc>
          <w:tcPr>
            <w:tcW w:w="8363" w:type="dxa"/>
            <w:gridSpan w:val="3"/>
            <w:tcBorders>
              <w:top w:val="nil"/>
              <w:left w:val="nil"/>
              <w:bottom w:val="nil"/>
              <w:right w:val="nil"/>
            </w:tcBorders>
            <w:shd w:val="clear" w:color="auto" w:fill="auto"/>
          </w:tcPr>
          <w:p w14:paraId="61ABDD9D" w14:textId="77777777" w:rsidR="003476DD" w:rsidRPr="00A106E4" w:rsidRDefault="003476DD" w:rsidP="00927C71">
            <w:pPr>
              <w:spacing w:before="0" w:line="240" w:lineRule="auto"/>
              <w:jc w:val="left"/>
              <w:rPr>
                <w:iCs/>
              </w:rPr>
            </w:pPr>
          </w:p>
        </w:tc>
      </w:tr>
      <w:tr w:rsidR="00757B2B" w:rsidRPr="00A106E4" w14:paraId="20895BA2"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6370016" w14:textId="77777777" w:rsidR="00757B2B" w:rsidRPr="00A106E4" w:rsidRDefault="000A249C" w:rsidP="00927C71">
            <w:pPr>
              <w:spacing w:before="120" w:line="240" w:lineRule="auto"/>
              <w:jc w:val="left"/>
              <w:rPr>
                <w:color w:val="000000"/>
              </w:rPr>
            </w:pPr>
            <w:r w:rsidRPr="00A106E4">
              <w:rPr>
                <w:color w:val="000000"/>
              </w:rPr>
              <w:t>Objet:</w:t>
            </w:r>
          </w:p>
        </w:tc>
        <w:tc>
          <w:tcPr>
            <w:tcW w:w="8363" w:type="dxa"/>
            <w:gridSpan w:val="3"/>
            <w:tcBorders>
              <w:top w:val="nil"/>
              <w:left w:val="nil"/>
              <w:bottom w:val="nil"/>
              <w:right w:val="nil"/>
            </w:tcBorders>
            <w:shd w:val="clear" w:color="auto" w:fill="auto"/>
          </w:tcPr>
          <w:p w14:paraId="170B1DF7" w14:textId="5D882CEF" w:rsidR="00757B2B" w:rsidRPr="00A106E4" w:rsidRDefault="006B3F27" w:rsidP="00927C71">
            <w:pPr>
              <w:spacing w:before="120" w:line="240" w:lineRule="auto"/>
              <w:jc w:val="left"/>
              <w:rPr>
                <w:b/>
                <w:bCs/>
                <w:color w:val="000000"/>
              </w:rPr>
            </w:pPr>
            <w:r w:rsidRPr="00A106E4">
              <w:rPr>
                <w:b/>
                <w:bCs/>
                <w:color w:val="000000"/>
              </w:rPr>
              <w:t>Organi</w:t>
            </w:r>
            <w:r w:rsidR="00D05364" w:rsidRPr="00A106E4">
              <w:rPr>
                <w:b/>
                <w:bCs/>
                <w:color w:val="000000"/>
              </w:rPr>
              <w:t>s</w:t>
            </w:r>
            <w:r w:rsidRPr="00A106E4">
              <w:rPr>
                <w:b/>
                <w:bCs/>
                <w:color w:val="000000"/>
              </w:rPr>
              <w:t>ation</w:t>
            </w:r>
            <w:r w:rsidR="008A6E3D" w:rsidRPr="00A106E4">
              <w:rPr>
                <w:b/>
                <w:bCs/>
                <w:color w:val="000000"/>
              </w:rPr>
              <w:t xml:space="preserve"> </w:t>
            </w:r>
            <w:r w:rsidR="00D05364" w:rsidRPr="00A106E4">
              <w:rPr>
                <w:b/>
                <w:bCs/>
                <w:color w:val="000000"/>
              </w:rPr>
              <w:t>d</w:t>
            </w:r>
            <w:r w:rsidR="00712969" w:rsidRPr="00A106E4">
              <w:rPr>
                <w:b/>
                <w:bCs/>
                <w:color w:val="000000"/>
              </w:rPr>
              <w:t>'</w:t>
            </w:r>
            <w:r w:rsidR="00D05364" w:rsidRPr="00A106E4">
              <w:rPr>
                <w:b/>
                <w:bCs/>
                <w:color w:val="000000"/>
              </w:rPr>
              <w:t xml:space="preserve">une </w:t>
            </w:r>
            <w:r w:rsidR="004D7DA3" w:rsidRPr="00A106E4">
              <w:rPr>
                <w:b/>
                <w:bCs/>
                <w:color w:val="000000"/>
              </w:rPr>
              <w:t xml:space="preserve">seconde </w:t>
            </w:r>
            <w:r w:rsidR="00747C88" w:rsidRPr="00A106E4">
              <w:rPr>
                <w:b/>
                <w:bCs/>
                <w:color w:val="000000"/>
              </w:rPr>
              <w:t>consultation</w:t>
            </w:r>
            <w:r w:rsidR="00D05364" w:rsidRPr="00A106E4">
              <w:rPr>
                <w:b/>
                <w:bCs/>
                <w:color w:val="000000"/>
              </w:rPr>
              <w:t xml:space="preserve"> virtuelle des Conseillers</w:t>
            </w:r>
            <w:r w:rsidR="004D7DA3" w:rsidRPr="00A106E4">
              <w:rPr>
                <w:b/>
                <w:bCs/>
                <w:color w:val="000000"/>
              </w:rPr>
              <w:t xml:space="preserve"> (16-20 novembre 2020)</w:t>
            </w:r>
          </w:p>
        </w:tc>
      </w:tr>
    </w:tbl>
    <w:p w14:paraId="508D1397" w14:textId="4C30A683" w:rsidR="00AF3325" w:rsidRPr="00A106E4" w:rsidRDefault="000A249C" w:rsidP="00927C71">
      <w:pPr>
        <w:pStyle w:val="Normalaftertitle0"/>
        <w:spacing w:before="240"/>
        <w:rPr>
          <w:rFonts w:asciiTheme="minorHAnsi" w:hAnsiTheme="minorHAnsi"/>
          <w:sz w:val="22"/>
          <w:szCs w:val="22"/>
          <w:lang w:val="fr-FR"/>
        </w:rPr>
      </w:pPr>
      <w:bookmarkStart w:id="4" w:name="CurrentLocation"/>
      <w:bookmarkEnd w:id="4"/>
      <w:r w:rsidRPr="00A106E4">
        <w:rPr>
          <w:rFonts w:asciiTheme="minorHAnsi" w:hAnsiTheme="minorHAnsi"/>
          <w:sz w:val="22"/>
          <w:szCs w:val="22"/>
          <w:lang w:val="fr-FR"/>
        </w:rPr>
        <w:t>Madame, Monsieur,</w:t>
      </w:r>
    </w:p>
    <w:p w14:paraId="4BCCFDFC" w14:textId="049E5169" w:rsidR="004D7DA3" w:rsidRPr="00A106E4" w:rsidRDefault="00467C45" w:rsidP="00927C71">
      <w:pPr>
        <w:spacing w:line="240" w:lineRule="auto"/>
        <w:jc w:val="left"/>
      </w:pPr>
      <w:r w:rsidRPr="00A106E4">
        <w:t xml:space="preserve">Par la </w:t>
      </w:r>
      <w:r w:rsidR="009B6207" w:rsidRPr="00A106E4">
        <w:t>l</w:t>
      </w:r>
      <w:r w:rsidRPr="00A106E4">
        <w:t>ettre</w:t>
      </w:r>
      <w:r w:rsidR="004D7DA3" w:rsidRPr="00A106E4">
        <w:t xml:space="preserve"> </w:t>
      </w:r>
      <w:hyperlink r:id="rId9" w:history="1">
        <w:r w:rsidR="004D7DA3" w:rsidRPr="00A106E4">
          <w:rPr>
            <w:rStyle w:val="Hyperlink"/>
          </w:rPr>
          <w:t>DM-20/1011</w:t>
        </w:r>
      </w:hyperlink>
      <w:r w:rsidR="004D7DA3" w:rsidRPr="00A106E4">
        <w:t xml:space="preserve">, </w:t>
      </w:r>
      <w:r w:rsidRPr="00A106E4">
        <w:t>j</w:t>
      </w:r>
      <w:r w:rsidR="00C649E9" w:rsidRPr="00A106E4">
        <w:t>'</w:t>
      </w:r>
      <w:r w:rsidRPr="00A106E4">
        <w:t>ai eu l</w:t>
      </w:r>
      <w:r w:rsidR="00C649E9" w:rsidRPr="00A106E4">
        <w:t>'</w:t>
      </w:r>
      <w:r w:rsidRPr="00A106E4">
        <w:t xml:space="preserve">honneur de vous informer des </w:t>
      </w:r>
      <w:r w:rsidRPr="00A106E4">
        <w:rPr>
          <w:color w:val="000000"/>
        </w:rPr>
        <w:t xml:space="preserve">résultats </w:t>
      </w:r>
      <w:r w:rsidR="009B6207" w:rsidRPr="00A106E4">
        <w:rPr>
          <w:color w:val="000000"/>
        </w:rPr>
        <w:t>de la consultation relative aux</w:t>
      </w:r>
      <w:r w:rsidR="007D4C3F">
        <w:rPr>
          <w:color w:val="000000"/>
        </w:rPr>
        <w:t> </w:t>
      </w:r>
      <w:r w:rsidR="00571C82" w:rsidRPr="00A106E4">
        <w:rPr>
          <w:color w:val="000000"/>
        </w:rPr>
        <w:t xml:space="preserve">résultats </w:t>
      </w:r>
      <w:r w:rsidRPr="00A106E4">
        <w:rPr>
          <w:color w:val="000000"/>
        </w:rPr>
        <w:t>des discussions de la première consultation virtuelle des Conseillers</w:t>
      </w:r>
      <w:r w:rsidR="00C649E9" w:rsidRPr="00A106E4">
        <w:rPr>
          <w:color w:val="000000"/>
        </w:rPr>
        <w:t xml:space="preserve"> </w:t>
      </w:r>
      <w:r w:rsidR="004D7DA3" w:rsidRPr="00A106E4">
        <w:t>(VCC),</w:t>
      </w:r>
      <w:r w:rsidRPr="00A106E4">
        <w:t xml:space="preserve"> qui s</w:t>
      </w:r>
      <w:r w:rsidR="00C649E9" w:rsidRPr="00A106E4">
        <w:t>'</w:t>
      </w:r>
      <w:r w:rsidRPr="00A106E4">
        <w:t>est tenue du</w:t>
      </w:r>
      <w:r w:rsidR="007D4C3F">
        <w:t> </w:t>
      </w:r>
      <w:r w:rsidRPr="00A106E4">
        <w:t>9</w:t>
      </w:r>
      <w:r w:rsidR="007D4C3F">
        <w:t> </w:t>
      </w:r>
      <w:r w:rsidRPr="00A106E4">
        <w:t>au</w:t>
      </w:r>
      <w:r w:rsidR="007D4C3F">
        <w:t> </w:t>
      </w:r>
      <w:r w:rsidRPr="00A106E4">
        <w:t xml:space="preserve">12 juin </w:t>
      </w:r>
      <w:r w:rsidR="004D7DA3" w:rsidRPr="00A106E4">
        <w:t>2020.</w:t>
      </w:r>
    </w:p>
    <w:p w14:paraId="0170D9B1" w14:textId="06B7B762" w:rsidR="004D7DA3" w:rsidRPr="00A106E4" w:rsidRDefault="00C649E9" w:rsidP="00927C71">
      <w:pPr>
        <w:spacing w:line="240" w:lineRule="auto"/>
        <w:jc w:val="left"/>
      </w:pPr>
      <w:r w:rsidRPr="00A106E4">
        <w:rPr>
          <w:color w:val="000000"/>
        </w:rPr>
        <w:t>À</w:t>
      </w:r>
      <w:r w:rsidR="00467C45" w:rsidRPr="00A106E4">
        <w:rPr>
          <w:color w:val="000000"/>
        </w:rPr>
        <w:t xml:space="preserve"> l</w:t>
      </w:r>
      <w:r w:rsidRPr="00A106E4">
        <w:rPr>
          <w:color w:val="000000"/>
        </w:rPr>
        <w:t>'</w:t>
      </w:r>
      <w:r w:rsidR="00467C45" w:rsidRPr="00A106E4">
        <w:rPr>
          <w:color w:val="000000"/>
        </w:rPr>
        <w:t>issue de consultations informelles</w:t>
      </w:r>
      <w:r w:rsidR="00467C45" w:rsidRPr="00A106E4">
        <w:t xml:space="preserve"> avec les groupes régionaux, le Vice-Président du Conseil et le Secrétaire g</w:t>
      </w:r>
      <w:r w:rsidR="003439E1" w:rsidRPr="00A106E4">
        <w:t>é</w:t>
      </w:r>
      <w:r w:rsidR="00467C45" w:rsidRPr="00A106E4">
        <w:t>n</w:t>
      </w:r>
      <w:r w:rsidR="003439E1" w:rsidRPr="00A106E4">
        <w:t>é</w:t>
      </w:r>
      <w:r w:rsidR="00467C45" w:rsidRPr="00A106E4">
        <w:t xml:space="preserve">ral, et </w:t>
      </w:r>
      <w:r w:rsidR="003439E1" w:rsidRPr="00A106E4">
        <w:t>étant donné que</w:t>
      </w:r>
      <w:r w:rsidR="003439E1" w:rsidRPr="00A106E4">
        <w:rPr>
          <w:color w:val="000000"/>
        </w:rPr>
        <w:t xml:space="preserve"> des restrictions de travail et de voyage </w:t>
      </w:r>
      <w:r w:rsidR="009B6207" w:rsidRPr="00A106E4">
        <w:rPr>
          <w:color w:val="000000"/>
        </w:rPr>
        <w:t>sont encore en vigueur</w:t>
      </w:r>
      <w:r w:rsidR="003439E1" w:rsidRPr="00A106E4">
        <w:rPr>
          <w:color w:val="000000"/>
        </w:rPr>
        <w:t xml:space="preserve"> en raison de</w:t>
      </w:r>
      <w:r w:rsidR="00467C45" w:rsidRPr="00A106E4">
        <w:t xml:space="preserve"> la pandémie de </w:t>
      </w:r>
      <w:r w:rsidR="004D7DA3" w:rsidRPr="00A106E4">
        <w:t>COVID-19</w:t>
      </w:r>
      <w:r w:rsidR="003439E1" w:rsidRPr="00A106E4">
        <w:t>,</w:t>
      </w:r>
      <w:r w:rsidR="00467C45" w:rsidRPr="00A106E4">
        <w:rPr>
          <w:color w:val="000000"/>
        </w:rPr>
        <w:t xml:space="preserve"> il semble</w:t>
      </w:r>
      <w:r w:rsidR="003439E1" w:rsidRPr="00A106E4">
        <w:rPr>
          <w:color w:val="000000"/>
        </w:rPr>
        <w:t xml:space="preserve"> qu</w:t>
      </w:r>
      <w:r w:rsidRPr="00A106E4">
        <w:rPr>
          <w:color w:val="000000"/>
        </w:rPr>
        <w:t>'</w:t>
      </w:r>
      <w:r w:rsidR="003A6611" w:rsidRPr="00A106E4">
        <w:rPr>
          <w:color w:val="000000"/>
        </w:rPr>
        <w:t xml:space="preserve">il ne soit toujours pas possible de </w:t>
      </w:r>
      <w:r w:rsidR="009B6207" w:rsidRPr="00A106E4">
        <w:rPr>
          <w:color w:val="000000"/>
        </w:rPr>
        <w:t>tenir</w:t>
      </w:r>
      <w:r w:rsidR="003A6611" w:rsidRPr="00A106E4">
        <w:rPr>
          <w:color w:val="000000"/>
        </w:rPr>
        <w:t xml:space="preserve"> </w:t>
      </w:r>
      <w:r w:rsidR="003439E1" w:rsidRPr="00A106E4">
        <w:rPr>
          <w:color w:val="000000"/>
        </w:rPr>
        <w:t>une réunion physique du Conseil</w:t>
      </w:r>
      <w:r w:rsidR="003A6611" w:rsidRPr="00A106E4">
        <w:rPr>
          <w:color w:val="000000"/>
        </w:rPr>
        <w:t>, et ce au moins jusqu'à la fin de 2020.</w:t>
      </w:r>
    </w:p>
    <w:p w14:paraId="62CCF9D4" w14:textId="3016AB3C" w:rsidR="00F723FD" w:rsidRPr="00A106E4" w:rsidRDefault="003A6611" w:rsidP="00927C71">
      <w:pPr>
        <w:spacing w:line="240" w:lineRule="auto"/>
        <w:jc w:val="left"/>
      </w:pPr>
      <w:r w:rsidRPr="00A106E4">
        <w:t>En conséquence, afin de traiter les autres</w:t>
      </w:r>
      <w:r w:rsidR="00C649E9" w:rsidRPr="00A106E4">
        <w:t xml:space="preserve"> </w:t>
      </w:r>
      <w:r w:rsidRPr="00A106E4">
        <w:t>points encore inscrits à l</w:t>
      </w:r>
      <w:r w:rsidR="00C649E9" w:rsidRPr="00A106E4">
        <w:t>'</w:t>
      </w:r>
      <w:r w:rsidRPr="00A106E4">
        <w:t>ordre du jour qui sont considérés comme urgents,</w:t>
      </w:r>
      <w:r w:rsidR="00C649E9" w:rsidRPr="00A106E4">
        <w:t xml:space="preserve"> </w:t>
      </w:r>
      <w:r w:rsidR="008A045D" w:rsidRPr="00A106E4">
        <w:t xml:space="preserve">je propose </w:t>
      </w:r>
      <w:r w:rsidR="006B6E27" w:rsidRPr="00A106E4">
        <w:t>qu</w:t>
      </w:r>
      <w:r w:rsidR="00C649E9" w:rsidRPr="00A106E4">
        <w:t>'</w:t>
      </w:r>
      <w:r w:rsidR="001B7139" w:rsidRPr="00A106E4">
        <w:t>une</w:t>
      </w:r>
      <w:r w:rsidR="008A6E3D" w:rsidRPr="00A106E4">
        <w:t xml:space="preserve"> </w:t>
      </w:r>
      <w:r w:rsidR="004D7DA3" w:rsidRPr="00A106E4">
        <w:t xml:space="preserve">seconde </w:t>
      </w:r>
      <w:r w:rsidR="008A045D" w:rsidRPr="00A106E4">
        <w:t>consultation virtuelle des Conseillers</w:t>
      </w:r>
      <w:r w:rsidR="004D7DA3" w:rsidRPr="00A106E4">
        <w:t xml:space="preserve"> (VCC-2) </w:t>
      </w:r>
      <w:r w:rsidR="006B6E27" w:rsidRPr="00A106E4">
        <w:t>se tienne de façon organisée du</w:t>
      </w:r>
      <w:r w:rsidR="004D7DA3" w:rsidRPr="00A106E4">
        <w:t xml:space="preserve"> 16 au 20 novembre 2020,</w:t>
      </w:r>
      <w:r w:rsidR="002072AF" w:rsidRPr="00A106E4">
        <w:t xml:space="preserve"> conformément à </w:t>
      </w:r>
      <w:r w:rsidR="008A045D" w:rsidRPr="00A106E4">
        <w:t>l</w:t>
      </w:r>
      <w:r w:rsidR="00712969" w:rsidRPr="00A106E4">
        <w:t>'</w:t>
      </w:r>
      <w:r w:rsidR="00F723FD" w:rsidRPr="00A106E4">
        <w:t xml:space="preserve">Article 3.1 </w:t>
      </w:r>
      <w:r w:rsidR="002E4095" w:rsidRPr="00A106E4">
        <w:t xml:space="preserve">du Règlement intérieur du Conseil. </w:t>
      </w:r>
      <w:r w:rsidR="009B6207" w:rsidRPr="00A106E4">
        <w:t>En conséquence, c</w:t>
      </w:r>
      <w:r w:rsidR="002E4095" w:rsidRPr="00A106E4">
        <w:t xml:space="preserve">ette </w:t>
      </w:r>
      <w:r w:rsidR="004D7DA3" w:rsidRPr="00A106E4">
        <w:t xml:space="preserve">seconde </w:t>
      </w:r>
      <w:r w:rsidR="002E4095" w:rsidRPr="00A106E4">
        <w:t>consultation virtuelle</w:t>
      </w:r>
      <w:r w:rsidR="006B6E27" w:rsidRPr="00A106E4">
        <w:t xml:space="preserve"> se tiendra sous la même forme que la première</w:t>
      </w:r>
      <w:r w:rsidR="006B6E27" w:rsidRPr="00A106E4">
        <w:rPr>
          <w:color w:val="000000"/>
        </w:rPr>
        <w:t xml:space="preserve"> consultation virtuelle des Conseillers</w:t>
      </w:r>
      <w:r w:rsidR="004D7DA3" w:rsidRPr="00A106E4">
        <w:t>,</w:t>
      </w:r>
      <w:r w:rsidR="006B6E27" w:rsidRPr="00A106E4">
        <w:t xml:space="preserve"> comme indiqué dans l</w:t>
      </w:r>
      <w:r w:rsidR="00C649E9" w:rsidRPr="00A106E4">
        <w:t>'</w:t>
      </w:r>
      <w:hyperlink w:anchor="Annexe1" w:history="1">
        <w:r w:rsidR="004D7DA3" w:rsidRPr="00A106E4">
          <w:rPr>
            <w:rStyle w:val="Hyperlink"/>
          </w:rPr>
          <w:t>Annexe 1</w:t>
        </w:r>
      </w:hyperlink>
      <w:r w:rsidR="00F723FD" w:rsidRPr="00A106E4">
        <w:t>.</w:t>
      </w:r>
    </w:p>
    <w:p w14:paraId="7088180C" w14:textId="065A2F8C" w:rsidR="00BB3CC1" w:rsidRPr="00A106E4" w:rsidRDefault="006B6E27" w:rsidP="00927C71">
      <w:pPr>
        <w:spacing w:before="240" w:line="240" w:lineRule="auto"/>
        <w:jc w:val="left"/>
      </w:pPr>
      <w:r w:rsidRPr="00A106E4">
        <w:t xml:space="preserve">Compte tenu </w:t>
      </w:r>
      <w:r w:rsidRPr="00A106E4">
        <w:rPr>
          <w:color w:val="000000"/>
        </w:rPr>
        <w:t xml:space="preserve">des consultations informelles menées auprès des </w:t>
      </w:r>
      <w:r w:rsidR="00C649E9" w:rsidRPr="00A106E4">
        <w:rPr>
          <w:color w:val="000000"/>
        </w:rPr>
        <w:t>É</w:t>
      </w:r>
      <w:r w:rsidRPr="00A106E4">
        <w:rPr>
          <w:color w:val="000000"/>
        </w:rPr>
        <w:t xml:space="preserve">tats Membres au sujet du </w:t>
      </w:r>
      <w:r w:rsidR="00FD4423" w:rsidRPr="00A106E4">
        <w:rPr>
          <w:color w:val="000000"/>
        </w:rPr>
        <w:t xml:space="preserve">classement </w:t>
      </w:r>
      <w:r w:rsidRPr="00A106E4">
        <w:rPr>
          <w:color w:val="000000"/>
        </w:rPr>
        <w:t>des documents</w:t>
      </w:r>
      <w:r w:rsidR="00FD4423" w:rsidRPr="00A106E4">
        <w:rPr>
          <w:color w:val="000000"/>
        </w:rPr>
        <w:t xml:space="preserve"> par groupes</w:t>
      </w:r>
      <w:r w:rsidRPr="00A106E4">
        <w:rPr>
          <w:color w:val="000000"/>
        </w:rPr>
        <w:t>, le secrétariat a établi un projet d</w:t>
      </w:r>
      <w:r w:rsidR="00C649E9" w:rsidRPr="00A106E4">
        <w:rPr>
          <w:color w:val="000000"/>
        </w:rPr>
        <w:t>'</w:t>
      </w:r>
      <w:r w:rsidRPr="00A106E4">
        <w:rPr>
          <w:color w:val="000000"/>
        </w:rPr>
        <w:t>ordre du jour</w:t>
      </w:r>
      <w:r w:rsidR="00FD4423" w:rsidRPr="00A106E4">
        <w:rPr>
          <w:color w:val="000000"/>
        </w:rPr>
        <w:t>,</w:t>
      </w:r>
      <w:r w:rsidRPr="00A106E4">
        <w:rPr>
          <w:color w:val="000000"/>
        </w:rPr>
        <w:t xml:space="preserve"> qui figure dans l</w:t>
      </w:r>
      <w:r w:rsidR="00C649E9" w:rsidRPr="00A106E4">
        <w:rPr>
          <w:color w:val="000000"/>
        </w:rPr>
        <w:t>'</w:t>
      </w:r>
      <w:hyperlink w:anchor="Annexe2" w:history="1">
        <w:r w:rsidR="00BB3CC1" w:rsidRPr="00A106E4">
          <w:rPr>
            <w:rStyle w:val="Hyperlink"/>
          </w:rPr>
          <w:t>Annex</w:t>
        </w:r>
        <w:r w:rsidRPr="00A106E4">
          <w:rPr>
            <w:rStyle w:val="Hyperlink"/>
          </w:rPr>
          <w:t>e</w:t>
        </w:r>
        <w:r w:rsidR="00BB3CC1" w:rsidRPr="00A106E4">
          <w:rPr>
            <w:rStyle w:val="Hyperlink"/>
          </w:rPr>
          <w:t xml:space="preserve"> 2</w:t>
        </w:r>
      </w:hyperlink>
      <w:r w:rsidR="00BB3CC1" w:rsidRPr="00A106E4">
        <w:t>.</w:t>
      </w:r>
      <w:r w:rsidR="00E953BF" w:rsidRPr="00A106E4">
        <w:t xml:space="preserve"> L</w:t>
      </w:r>
      <w:r w:rsidR="00C649E9" w:rsidRPr="00A106E4">
        <w:t>'</w:t>
      </w:r>
      <w:r w:rsidR="00E953BF" w:rsidRPr="00A106E4">
        <w:t xml:space="preserve">ordre du jour comprend tous les points </w:t>
      </w:r>
      <w:r w:rsidR="003C7748" w:rsidRPr="00A106E4">
        <w:t xml:space="preserve">encore </w:t>
      </w:r>
      <w:r w:rsidR="00E953BF" w:rsidRPr="00A106E4">
        <w:t>en suspens</w:t>
      </w:r>
      <w:r w:rsidR="003C7748" w:rsidRPr="00A106E4">
        <w:t>,</w:t>
      </w:r>
      <w:r w:rsidR="00FD4423" w:rsidRPr="00A106E4">
        <w:t xml:space="preserve"> </w:t>
      </w:r>
      <w:r w:rsidR="00E953BF" w:rsidRPr="00A106E4">
        <w:t>qui ont été classés dans trois groupes</w:t>
      </w:r>
      <w:r w:rsidR="00C649E9" w:rsidRPr="00A106E4">
        <w:t>:</w:t>
      </w:r>
      <w:r w:rsidR="00E953BF" w:rsidRPr="00A106E4">
        <w:t xml:space="preserve"> </w:t>
      </w:r>
      <w:r w:rsidR="00D572BF" w:rsidRPr="00A106E4">
        <w:t>G</w:t>
      </w:r>
      <w:r w:rsidR="00E953BF" w:rsidRPr="00A106E4">
        <w:t>roupe 1</w:t>
      </w:r>
      <w:r w:rsidR="00C649E9" w:rsidRPr="00A106E4">
        <w:t xml:space="preserve"> </w:t>
      </w:r>
      <w:r w:rsidR="00BB3CC1" w:rsidRPr="00A106E4">
        <w:t>(</w:t>
      </w:r>
      <w:r w:rsidR="00E953BF" w:rsidRPr="00A106E4">
        <w:t>points urgents pour lesquels une décision doit être prise</w:t>
      </w:r>
      <w:r w:rsidR="00C649E9" w:rsidRPr="00A106E4">
        <w:t xml:space="preserve"> </w:t>
      </w:r>
      <w:r w:rsidR="00E953BF" w:rsidRPr="00A106E4">
        <w:t xml:space="preserve">avant la fin de </w:t>
      </w:r>
      <w:r w:rsidR="00BB3CC1" w:rsidRPr="00A106E4">
        <w:t xml:space="preserve">2020), </w:t>
      </w:r>
      <w:r w:rsidR="00D572BF" w:rsidRPr="00A106E4">
        <w:t>G</w:t>
      </w:r>
      <w:r w:rsidR="00BB3CC1" w:rsidRPr="00A106E4">
        <w:t>roup</w:t>
      </w:r>
      <w:r w:rsidR="00E953BF" w:rsidRPr="00A106E4">
        <w:t>e</w:t>
      </w:r>
      <w:r w:rsidR="00BB3CC1" w:rsidRPr="00A106E4">
        <w:t xml:space="preserve"> 2 (</w:t>
      </w:r>
      <w:r w:rsidR="00E953BF" w:rsidRPr="00A106E4">
        <w:t>points qui pourraient être examinés lors de la seconde</w:t>
      </w:r>
      <w:r w:rsidR="00E953BF" w:rsidRPr="00A106E4">
        <w:rPr>
          <w:color w:val="000000"/>
        </w:rPr>
        <w:t xml:space="preserve"> consultation virtuelle des Conseillers</w:t>
      </w:r>
      <w:r w:rsidR="00BB3CC1" w:rsidRPr="00A106E4">
        <w:t xml:space="preserve">); </w:t>
      </w:r>
      <w:r w:rsidR="00E953BF" w:rsidRPr="00A106E4">
        <w:t>et</w:t>
      </w:r>
      <w:r w:rsidR="00BB3CC1" w:rsidRPr="00A106E4">
        <w:t xml:space="preserve"> </w:t>
      </w:r>
      <w:r w:rsidR="00D572BF" w:rsidRPr="00A106E4">
        <w:t>G</w:t>
      </w:r>
      <w:r w:rsidR="00BB3CC1" w:rsidRPr="00A106E4">
        <w:t>roup</w:t>
      </w:r>
      <w:r w:rsidR="00E953BF" w:rsidRPr="00A106E4">
        <w:t>e</w:t>
      </w:r>
      <w:r w:rsidR="00BB3CC1" w:rsidRPr="00A106E4">
        <w:t xml:space="preserve"> 3 (</w:t>
      </w:r>
      <w:r w:rsidR="00E953BF" w:rsidRPr="00A106E4">
        <w:t xml:space="preserve">points </w:t>
      </w:r>
      <w:r w:rsidR="003C7748" w:rsidRPr="00A106E4">
        <w:t>indiqués</w:t>
      </w:r>
      <w:r w:rsidR="00E953BF" w:rsidRPr="00A106E4">
        <w:t xml:space="preserve"> à titre d</w:t>
      </w:r>
      <w:r w:rsidR="00C649E9" w:rsidRPr="00A106E4">
        <w:t>'</w:t>
      </w:r>
      <w:r w:rsidR="00E953BF" w:rsidRPr="00A106E4">
        <w:t>information seulement</w:t>
      </w:r>
      <w:r w:rsidR="00BB3CC1" w:rsidRPr="00A106E4">
        <w:t>)</w:t>
      </w:r>
      <w:r w:rsidR="00CB5137" w:rsidRPr="00A106E4">
        <w:t>; les points de l</w:t>
      </w:r>
      <w:r w:rsidR="00C649E9" w:rsidRPr="00A106E4">
        <w:t>'</w:t>
      </w:r>
      <w:r w:rsidR="00CB5137" w:rsidRPr="00A106E4">
        <w:t xml:space="preserve">ordre du jour figurant dans ce groupe seront examinés </w:t>
      </w:r>
      <w:r w:rsidR="00E953BF" w:rsidRPr="00A106E4">
        <w:t xml:space="preserve">lors de la session </w:t>
      </w:r>
      <w:r w:rsidR="00CB5137" w:rsidRPr="00A106E4">
        <w:t xml:space="preserve">de </w:t>
      </w:r>
      <w:r w:rsidR="00BB3CC1" w:rsidRPr="00A106E4">
        <w:t>2021</w:t>
      </w:r>
      <w:r w:rsidR="00587300" w:rsidRPr="00A106E4">
        <w:t xml:space="preserve"> du Conseil</w:t>
      </w:r>
      <w:r w:rsidR="00BB3CC1" w:rsidRPr="00A106E4">
        <w:t>.</w:t>
      </w:r>
    </w:p>
    <w:p w14:paraId="4A1E237A" w14:textId="074EA6D2" w:rsidR="00BB3CC1" w:rsidRPr="00A106E4" w:rsidRDefault="00E953BF" w:rsidP="00927C71">
      <w:pPr>
        <w:spacing w:line="240" w:lineRule="auto"/>
        <w:jc w:val="left"/>
      </w:pPr>
      <w:r w:rsidRPr="00A106E4">
        <w:rPr>
          <w:color w:val="000000"/>
        </w:rPr>
        <w:t>L'ordre du jour définitif</w:t>
      </w:r>
      <w:r w:rsidRPr="00A106E4">
        <w:t xml:space="preserve"> sera confirmé</w:t>
      </w:r>
      <w:r w:rsidR="00BB3CC1" w:rsidRPr="00A106E4">
        <w:t xml:space="preserve"> </w:t>
      </w:r>
      <w:r w:rsidRPr="00A106E4">
        <w:rPr>
          <w:color w:val="000000"/>
        </w:rPr>
        <w:t>lors de la séance d'ouverture</w:t>
      </w:r>
      <w:r w:rsidR="0054209A" w:rsidRPr="00A106E4">
        <w:t xml:space="preserve"> de la seconde</w:t>
      </w:r>
      <w:r w:rsidR="0054209A" w:rsidRPr="00A106E4">
        <w:rPr>
          <w:color w:val="000000"/>
        </w:rPr>
        <w:t xml:space="preserve"> consultation virtuelle des Conseillers qui se tiendra le </w:t>
      </w:r>
      <w:r w:rsidR="00BB3CC1" w:rsidRPr="00A106E4">
        <w:t xml:space="preserve">16 </w:t>
      </w:r>
      <w:r w:rsidR="0054209A" w:rsidRPr="00A106E4">
        <w:t>novembre</w:t>
      </w:r>
      <w:r w:rsidR="00BB3CC1" w:rsidRPr="00A106E4">
        <w:t xml:space="preserve"> 2020. </w:t>
      </w:r>
      <w:r w:rsidR="0054209A" w:rsidRPr="00A106E4">
        <w:t>Le</w:t>
      </w:r>
      <w:r w:rsidR="00BB3CC1" w:rsidRPr="00A106E4">
        <w:t xml:space="preserve"> </w:t>
      </w:r>
      <w:r w:rsidR="0054209A" w:rsidRPr="00A106E4">
        <w:rPr>
          <w:color w:val="000000"/>
        </w:rPr>
        <w:t>programme de gestion du temps sera publié sur le site web du Conseil</w:t>
      </w:r>
      <w:r w:rsidR="0054209A" w:rsidRPr="00A106E4">
        <w:t xml:space="preserve"> </w:t>
      </w:r>
      <w:r w:rsidR="0054209A" w:rsidRPr="00A106E4">
        <w:rPr>
          <w:color w:val="000000"/>
        </w:rPr>
        <w:t>au cours des prochaines semaines.</w:t>
      </w:r>
    </w:p>
    <w:p w14:paraId="488E30E2" w14:textId="16057070" w:rsidR="00BB3CC1" w:rsidRPr="00A106E4" w:rsidRDefault="00BB3CC1" w:rsidP="00927C71">
      <w:pPr>
        <w:spacing w:line="240" w:lineRule="auto"/>
        <w:jc w:val="left"/>
      </w:pPr>
      <w:r w:rsidRPr="00A106E4">
        <w:rPr>
          <w:color w:val="000000"/>
        </w:rPr>
        <w:t>Les États Membres sont invités à envoyer leurs contributions à la réunion en utilisant le modèle joint</w:t>
      </w:r>
      <w:r w:rsidR="00F50CB6" w:rsidRPr="00A106E4">
        <w:rPr>
          <w:color w:val="000000"/>
        </w:rPr>
        <w:t xml:space="preserve"> dans</w:t>
      </w:r>
      <w:r w:rsidR="00C649E9" w:rsidRPr="00A106E4">
        <w:rPr>
          <w:color w:val="000000"/>
        </w:rPr>
        <w:t xml:space="preserve"> </w:t>
      </w:r>
      <w:r w:rsidR="00F50CB6" w:rsidRPr="00A106E4">
        <w:rPr>
          <w:color w:val="000000"/>
        </w:rPr>
        <w:t>l</w:t>
      </w:r>
      <w:r w:rsidR="00C649E9" w:rsidRPr="00A106E4">
        <w:rPr>
          <w:color w:val="000000"/>
        </w:rPr>
        <w:t>'</w:t>
      </w:r>
      <w:hyperlink w:anchor="Annexe3" w:history="1">
        <w:r w:rsidR="00F50CB6" w:rsidRPr="00A106E4">
          <w:rPr>
            <w:rStyle w:val="Hyperlink"/>
          </w:rPr>
          <w:t>A</w:t>
        </w:r>
        <w:r w:rsidRPr="00A106E4">
          <w:rPr>
            <w:rStyle w:val="Hyperlink"/>
          </w:rPr>
          <w:t>nnexe 3</w:t>
        </w:r>
      </w:hyperlink>
      <w:r w:rsidRPr="00A106E4">
        <w:rPr>
          <w:color w:val="000000"/>
        </w:rPr>
        <w:t>. À cet égard, vous voudrez bien noter que</w:t>
      </w:r>
      <w:r w:rsidR="00F50CB6" w:rsidRPr="00A106E4">
        <w:rPr>
          <w:color w:val="000000"/>
        </w:rPr>
        <w:t xml:space="preserve"> les contributions ne devr</w:t>
      </w:r>
      <w:r w:rsidR="00FC0227" w:rsidRPr="00A106E4">
        <w:rPr>
          <w:color w:val="000000"/>
        </w:rPr>
        <w:t>o</w:t>
      </w:r>
      <w:r w:rsidR="00F50CB6" w:rsidRPr="00A106E4">
        <w:rPr>
          <w:color w:val="000000"/>
        </w:rPr>
        <w:t>nt porter que sur les documents</w:t>
      </w:r>
      <w:r w:rsidR="00CB5137" w:rsidRPr="00A106E4">
        <w:rPr>
          <w:color w:val="000000"/>
        </w:rPr>
        <w:t xml:space="preserve"> faisant partie</w:t>
      </w:r>
      <w:r w:rsidR="00F50CB6" w:rsidRPr="00A106E4">
        <w:rPr>
          <w:color w:val="000000"/>
        </w:rPr>
        <w:t xml:space="preserve"> des </w:t>
      </w:r>
      <w:r w:rsidR="00D572BF" w:rsidRPr="00A106E4">
        <w:rPr>
          <w:color w:val="000000"/>
        </w:rPr>
        <w:t>G</w:t>
      </w:r>
      <w:r w:rsidR="00F50CB6" w:rsidRPr="00A106E4">
        <w:rPr>
          <w:color w:val="000000"/>
        </w:rPr>
        <w:t>roupes 1 et 2. L</w:t>
      </w:r>
      <w:r w:rsidRPr="00A106E4">
        <w:rPr>
          <w:color w:val="000000"/>
        </w:rPr>
        <w:t>a date limite pour l'envoi des</w:t>
      </w:r>
      <w:r w:rsidRPr="00A106E4">
        <w:t xml:space="preserve"> contributions</w:t>
      </w:r>
      <w:r w:rsidRPr="00A106E4">
        <w:rPr>
          <w:color w:val="000000"/>
        </w:rPr>
        <w:t xml:space="preserve"> a été </w:t>
      </w:r>
      <w:r w:rsidR="00F50CB6" w:rsidRPr="00A106E4">
        <w:rPr>
          <w:color w:val="000000"/>
        </w:rPr>
        <w:t>fixée</w:t>
      </w:r>
      <w:r w:rsidRPr="00A106E4">
        <w:rPr>
          <w:color w:val="000000"/>
        </w:rPr>
        <w:t xml:space="preserve"> au </w:t>
      </w:r>
      <w:r w:rsidRPr="00A106E4">
        <w:t>2 novembre 2020.</w:t>
      </w:r>
    </w:p>
    <w:p w14:paraId="47EC069C" w14:textId="04EB0FAD" w:rsidR="00F723FD" w:rsidRPr="00A106E4" w:rsidRDefault="00F50CB6" w:rsidP="00927C71">
      <w:pPr>
        <w:spacing w:line="240" w:lineRule="auto"/>
        <w:jc w:val="left"/>
      </w:pPr>
      <w:bookmarkStart w:id="5" w:name="_Hlk40204564"/>
      <w:r w:rsidRPr="00A106E4">
        <w:t>L</w:t>
      </w:r>
      <w:r w:rsidR="00C649E9" w:rsidRPr="00A106E4">
        <w:t>'</w:t>
      </w:r>
      <w:r w:rsidRPr="00A106E4">
        <w:t>inscription débutera le 15 octobre</w:t>
      </w:r>
      <w:r w:rsidR="00BB3CC1" w:rsidRPr="00A106E4">
        <w:t xml:space="preserve"> 2020.</w:t>
      </w:r>
    </w:p>
    <w:p w14:paraId="4409E609" w14:textId="77777777" w:rsidR="00CA4827" w:rsidRDefault="00CA4827" w:rsidP="00927C71">
      <w:pPr>
        <w:spacing w:line="240" w:lineRule="auto"/>
        <w:jc w:val="left"/>
      </w:pPr>
      <w:bookmarkStart w:id="6" w:name="_Hlk41405207"/>
      <w:bookmarkEnd w:id="5"/>
      <w:r>
        <w:br w:type="page"/>
      </w:r>
    </w:p>
    <w:p w14:paraId="73A41890" w14:textId="7DD0884D" w:rsidR="0022549B" w:rsidRPr="00A106E4" w:rsidRDefault="00F50CB6" w:rsidP="00927C71">
      <w:pPr>
        <w:spacing w:line="240" w:lineRule="auto"/>
        <w:jc w:val="left"/>
      </w:pPr>
      <w:r w:rsidRPr="00A106E4">
        <w:lastRenderedPageBreak/>
        <w:t>Comme pour la première consultation</w:t>
      </w:r>
      <w:r w:rsidRPr="00A106E4">
        <w:rPr>
          <w:color w:val="000000"/>
        </w:rPr>
        <w:t xml:space="preserve"> virtuelle des Conseillers tenue en juin, </w:t>
      </w:r>
      <w:r w:rsidR="001609E7" w:rsidRPr="00A106E4">
        <w:rPr>
          <w:color w:val="000000"/>
        </w:rPr>
        <w:t xml:space="preserve">nous vous prions de bien vouloir </w:t>
      </w:r>
      <w:r w:rsidR="00BB3CC1" w:rsidRPr="00A106E4">
        <w:rPr>
          <w:color w:val="000000"/>
        </w:rPr>
        <w:t xml:space="preserve">noter que la plate-forme peut accueillir environ 300 </w:t>
      </w:r>
      <w:r w:rsidR="00BB3CC1" w:rsidRPr="00A106E4">
        <w:t>participants</w:t>
      </w:r>
      <w:r w:rsidR="00BB3CC1" w:rsidRPr="00A106E4">
        <w:rPr>
          <w:color w:val="000000"/>
        </w:rPr>
        <w:t xml:space="preserve"> actifs </w:t>
      </w:r>
      <w:r w:rsidR="00BB3CC1" w:rsidRPr="00A106E4">
        <w:t>("orateurs") et 2 000 participants passifs ("auditeurs"). Lors des séances, il y aura des liaisons distinctes pour les participants actifs et passifs. Il conviendra de désigner, parmi les participants inscrits d'une délégation, 1 à 3 "orateurs"</w:t>
      </w:r>
      <w:r w:rsidR="00BB3CC1" w:rsidRPr="00A106E4">
        <w:rPr>
          <w:color w:val="000000"/>
        </w:rPr>
        <w:t xml:space="preserve"> pour toute la durée de la consultation, tandis que les autres membres inscrits de la délégation devront être considérés comme des "</w:t>
      </w:r>
      <w:r w:rsidR="00BB3CC1" w:rsidRPr="00A106E4">
        <w:t>auditeurs</w:t>
      </w:r>
      <w:r w:rsidR="00BB3CC1" w:rsidRPr="00A106E4">
        <w:rPr>
          <w:color w:val="000000"/>
        </w:rPr>
        <w:t>".</w:t>
      </w:r>
      <w:r w:rsidR="00BB3CC1" w:rsidRPr="00A106E4">
        <w:t xml:space="preserve"> Les noms des "orateurs" devront être envoyés à l'adresse </w:t>
      </w:r>
      <w:hyperlink r:id="rId10" w:history="1">
        <w:r w:rsidR="00BB3CC1" w:rsidRPr="00A106E4">
          <w:rPr>
            <w:rStyle w:val="Hyperlink"/>
          </w:rPr>
          <w:t>sg-registration@itu.int</w:t>
        </w:r>
      </w:hyperlink>
      <w:r w:rsidR="00BB3CC1" w:rsidRPr="00A106E4">
        <w:t xml:space="preserve">, avec copie à l'adresse </w:t>
      </w:r>
      <w:hyperlink r:id="rId11" w:history="1">
        <w:r w:rsidR="00BB3CC1" w:rsidRPr="00A106E4">
          <w:rPr>
            <w:rStyle w:val="Hyperlink"/>
          </w:rPr>
          <w:t>remote.participation@itu.int</w:t>
        </w:r>
      </w:hyperlink>
      <w:r w:rsidR="00BB3CC1" w:rsidRPr="00A106E4">
        <w:t xml:space="preserve">. Au cas où une délégation aurait besoin d'un "orateur" additionnel pour certaines séances ou certains points de l'ordre du jour, nous vous prions </w:t>
      </w:r>
      <w:r w:rsidR="00BB3CC1" w:rsidRPr="00A106E4">
        <w:rPr>
          <w:color w:val="000000"/>
        </w:rPr>
        <w:t>de vous mettre en rapport avec</w:t>
      </w:r>
      <w:r w:rsidR="00BB3CC1" w:rsidRPr="00A106E4">
        <w:t xml:space="preserve"> le secrétariat aux adresses indiquées ci-dessus. Sous réserve des capacités techniques, le secrétariat pourra peut-être attribuer un</w:t>
      </w:r>
      <w:r w:rsidR="00BB3CC1" w:rsidRPr="00A106E4">
        <w:rPr>
          <w:color w:val="000000"/>
        </w:rPr>
        <w:t xml:space="preserve"> temps de parole supplémentaire </w:t>
      </w:r>
      <w:r w:rsidR="00BB3CC1" w:rsidRPr="00A106E4">
        <w:t>pour un "orateur".</w:t>
      </w:r>
      <w:bookmarkEnd w:id="6"/>
    </w:p>
    <w:p w14:paraId="2F2A3388" w14:textId="4B33F140" w:rsidR="00BB3CC1" w:rsidRPr="00A106E4" w:rsidRDefault="001609E7" w:rsidP="00927C71">
      <w:pPr>
        <w:spacing w:line="240" w:lineRule="auto"/>
        <w:jc w:val="left"/>
      </w:pPr>
      <w:r w:rsidRPr="00A106E4">
        <w:t xml:space="preserve">Un essai sera organisé le </w:t>
      </w:r>
      <w:r w:rsidR="00BB3CC1" w:rsidRPr="00A106E4">
        <w:t xml:space="preserve">10 </w:t>
      </w:r>
      <w:r w:rsidRPr="00A106E4">
        <w:t>novembre</w:t>
      </w:r>
      <w:r w:rsidR="00BB3CC1" w:rsidRPr="00A106E4">
        <w:t xml:space="preserve"> 2020.</w:t>
      </w:r>
      <w:r w:rsidRPr="00A106E4">
        <w:t xml:space="preserve"> Des renseignements détaillés et des liens vous seront </w:t>
      </w:r>
      <w:r w:rsidR="00540697" w:rsidRPr="00A106E4">
        <w:t>communiqués</w:t>
      </w:r>
      <w:r w:rsidRPr="00A106E4">
        <w:t xml:space="preserve"> en temps utile.</w:t>
      </w:r>
      <w:r w:rsidR="00C649E9" w:rsidRPr="00A106E4">
        <w:t xml:space="preserve"> </w:t>
      </w:r>
    </w:p>
    <w:p w14:paraId="5D4A1C89" w14:textId="55A1CC09" w:rsidR="00F723FD" w:rsidRPr="00A106E4" w:rsidRDefault="001B7139" w:rsidP="00927C71">
      <w:pPr>
        <w:spacing w:line="240" w:lineRule="auto"/>
        <w:jc w:val="left"/>
      </w:pPr>
      <w:r w:rsidRPr="00A106E4">
        <w:t>Nous</w:t>
      </w:r>
      <w:r w:rsidR="00F723FD" w:rsidRPr="00A106E4">
        <w:t xml:space="preserve"> compt</w:t>
      </w:r>
      <w:r w:rsidRPr="00A106E4">
        <w:t>ons</w:t>
      </w:r>
      <w:r w:rsidR="00F723FD" w:rsidRPr="00A106E4">
        <w:t xml:space="preserve"> sur</w:t>
      </w:r>
      <w:r w:rsidR="008A6E3D" w:rsidRPr="00A106E4">
        <w:t xml:space="preserve"> </w:t>
      </w:r>
      <w:r w:rsidR="00F723FD" w:rsidRPr="00A106E4">
        <w:t xml:space="preserve">votre </w:t>
      </w:r>
      <w:r w:rsidR="001609E7" w:rsidRPr="00A106E4">
        <w:rPr>
          <w:color w:val="000000"/>
        </w:rPr>
        <w:t>participation active</w:t>
      </w:r>
      <w:r w:rsidR="00F723FD" w:rsidRPr="00A106E4">
        <w:t xml:space="preserve"> et votre bonne volonté pour faire en sorte que la</w:t>
      </w:r>
      <w:r w:rsidR="00BB3CC1" w:rsidRPr="00A106E4">
        <w:t xml:space="preserve"> seconde</w:t>
      </w:r>
      <w:r w:rsidR="008A6E3D" w:rsidRPr="00A106E4">
        <w:t xml:space="preserve"> </w:t>
      </w:r>
      <w:r w:rsidR="00510C3D" w:rsidRPr="00A106E4">
        <w:t>consultation</w:t>
      </w:r>
      <w:r w:rsidR="008A6E3D" w:rsidRPr="00A106E4">
        <w:t xml:space="preserve"> </w:t>
      </w:r>
      <w:r w:rsidR="00F723FD" w:rsidRPr="00A106E4">
        <w:t>virtuelle</w:t>
      </w:r>
      <w:r w:rsidR="001609E7" w:rsidRPr="00A106E4">
        <w:t xml:space="preserve"> des Conseillers</w:t>
      </w:r>
      <w:r w:rsidR="00F723FD" w:rsidRPr="00A106E4">
        <w:t xml:space="preserve"> soit aussi constructive</w:t>
      </w:r>
      <w:r w:rsidR="001609E7" w:rsidRPr="00A106E4">
        <w:t xml:space="preserve"> et fructueuse que la première.</w:t>
      </w:r>
    </w:p>
    <w:p w14:paraId="1068AA4C" w14:textId="38B94054" w:rsidR="00BB3CC1" w:rsidRPr="00A106E4" w:rsidRDefault="00BB3CC1" w:rsidP="00927C71">
      <w:pPr>
        <w:spacing w:line="240" w:lineRule="auto"/>
      </w:pPr>
      <w:r w:rsidRPr="00A106E4">
        <w:rPr>
          <w:color w:val="000000"/>
        </w:rPr>
        <w:t>Je serai très heureux de vous rencontrer virtuellement du 10 au 16 novembre</w:t>
      </w:r>
      <w:r w:rsidRPr="00A106E4">
        <w:t>.</w:t>
      </w:r>
    </w:p>
    <w:p w14:paraId="7F359BB1" w14:textId="77777777" w:rsidR="00F723FD" w:rsidRPr="00A106E4" w:rsidRDefault="00F723FD" w:rsidP="00927C71">
      <w:pPr>
        <w:spacing w:before="480" w:after="480" w:line="240" w:lineRule="auto"/>
        <w:jc w:val="left"/>
        <w:rPr>
          <w:i/>
          <w:iCs/>
        </w:rPr>
      </w:pPr>
      <w:r w:rsidRPr="00A106E4">
        <w:rPr>
          <w:i/>
          <w:iCs/>
        </w:rPr>
        <w:t>(signé)</w:t>
      </w:r>
    </w:p>
    <w:p w14:paraId="46A2D308" w14:textId="6B79AF0F" w:rsidR="000A249C" w:rsidRPr="00A106E4" w:rsidRDefault="005E6F4B" w:rsidP="00927C71">
      <w:pPr>
        <w:spacing w:line="240" w:lineRule="auto"/>
        <w:jc w:val="left"/>
      </w:pPr>
      <w:r w:rsidRPr="00A106E4">
        <w:t>M.</w:t>
      </w:r>
      <w:r w:rsidR="00F723FD" w:rsidRPr="00A106E4">
        <w:t xml:space="preserve"> Elsayed Azzouz</w:t>
      </w:r>
      <w:r w:rsidR="00F723FD" w:rsidRPr="00A106E4">
        <w:br/>
      </w:r>
      <w:r w:rsidR="00A3794C" w:rsidRPr="00A106E4">
        <w:t>Président du Conseil</w:t>
      </w:r>
    </w:p>
    <w:p w14:paraId="6F86ABF3" w14:textId="316F2ABD" w:rsidR="00F723FD" w:rsidRPr="00A106E4" w:rsidRDefault="00A3794C" w:rsidP="00CA4827">
      <w:pPr>
        <w:spacing w:before="5400" w:after="120" w:line="240" w:lineRule="auto"/>
        <w:rPr>
          <w:b/>
          <w:bCs/>
        </w:rPr>
      </w:pPr>
      <w:bookmarkStart w:id="7" w:name="Signature"/>
      <w:bookmarkEnd w:id="7"/>
      <w:r w:rsidRPr="00A106E4">
        <w:rPr>
          <w:b/>
          <w:bCs/>
        </w:rPr>
        <w:t>Annexe</w:t>
      </w:r>
      <w:r w:rsidR="00F723FD" w:rsidRPr="00A106E4">
        <w:rPr>
          <w:b/>
          <w:bCs/>
        </w:rPr>
        <w:t xml:space="preserve">s: </w:t>
      </w:r>
      <w:r w:rsidR="00BB3CC1" w:rsidRPr="00A106E4">
        <w:rPr>
          <w:b/>
          <w:bCs/>
        </w:rPr>
        <w:t>3</w:t>
      </w:r>
    </w:p>
    <w:p w14:paraId="03AE20FD" w14:textId="61277E3B" w:rsidR="002072AF" w:rsidRPr="00A106E4" w:rsidRDefault="00003BE3" w:rsidP="00927C71">
      <w:pPr>
        <w:tabs>
          <w:tab w:val="clear" w:pos="794"/>
          <w:tab w:val="clear" w:pos="1191"/>
          <w:tab w:val="clear" w:pos="1588"/>
          <w:tab w:val="clear" w:pos="1985"/>
        </w:tabs>
        <w:spacing w:before="0" w:line="240" w:lineRule="auto"/>
        <w:ind w:left="1276" w:hanging="1276"/>
        <w:jc w:val="left"/>
      </w:pPr>
      <w:hyperlink w:anchor="Annexe1" w:history="1">
        <w:r w:rsidR="00A3794C" w:rsidRPr="00A106E4">
          <w:rPr>
            <w:rStyle w:val="Hyperlink"/>
          </w:rPr>
          <w:t>Annexe</w:t>
        </w:r>
        <w:r w:rsidR="008A6E3D" w:rsidRPr="00A106E4">
          <w:rPr>
            <w:rStyle w:val="Hyperlink"/>
          </w:rPr>
          <w:t xml:space="preserve"> </w:t>
        </w:r>
        <w:r w:rsidR="00F723FD" w:rsidRPr="00A106E4">
          <w:rPr>
            <w:rStyle w:val="Hyperlink"/>
          </w:rPr>
          <w:t>1</w:t>
        </w:r>
      </w:hyperlink>
      <w:r w:rsidR="00D747DB" w:rsidRPr="00A106E4">
        <w:tab/>
      </w:r>
      <w:r w:rsidR="002072AF" w:rsidRPr="00A106E4">
        <w:t xml:space="preserve">Proposition d'organisation de la </w:t>
      </w:r>
      <w:r w:rsidR="00BB3CC1" w:rsidRPr="00A106E4">
        <w:t xml:space="preserve">seconde </w:t>
      </w:r>
      <w:r w:rsidR="002072AF" w:rsidRPr="00A106E4">
        <w:t>consultation virtuelle des Conseillers</w:t>
      </w:r>
    </w:p>
    <w:p w14:paraId="4A343C09" w14:textId="6F54D62E" w:rsidR="002072AF" w:rsidRPr="00A106E4" w:rsidRDefault="00003BE3" w:rsidP="00927C71">
      <w:pPr>
        <w:tabs>
          <w:tab w:val="clear" w:pos="794"/>
          <w:tab w:val="clear" w:pos="1191"/>
          <w:tab w:val="clear" w:pos="1588"/>
          <w:tab w:val="clear" w:pos="1985"/>
          <w:tab w:val="left" w:pos="1276"/>
        </w:tabs>
        <w:spacing w:before="0" w:line="240" w:lineRule="auto"/>
        <w:jc w:val="left"/>
      </w:pPr>
      <w:hyperlink w:anchor="Annexe2" w:history="1">
        <w:r w:rsidR="002072AF" w:rsidRPr="00A106E4">
          <w:rPr>
            <w:rStyle w:val="Hyperlink"/>
          </w:rPr>
          <w:t>Annexe</w:t>
        </w:r>
        <w:r w:rsidR="008A6E3D" w:rsidRPr="00A106E4">
          <w:rPr>
            <w:rStyle w:val="Hyperlink"/>
          </w:rPr>
          <w:t xml:space="preserve"> </w:t>
        </w:r>
        <w:r w:rsidR="00BB3CC1" w:rsidRPr="00A106E4">
          <w:rPr>
            <w:rStyle w:val="Hyperlink"/>
          </w:rPr>
          <w:t>2</w:t>
        </w:r>
      </w:hyperlink>
      <w:r w:rsidR="00D747DB" w:rsidRPr="00A106E4">
        <w:tab/>
      </w:r>
      <w:r w:rsidR="00540697" w:rsidRPr="00A106E4">
        <w:rPr>
          <w:color w:val="000000"/>
        </w:rPr>
        <w:t>P</w:t>
      </w:r>
      <w:r w:rsidR="001609E7" w:rsidRPr="00A106E4">
        <w:rPr>
          <w:color w:val="000000"/>
        </w:rPr>
        <w:t xml:space="preserve">rojet d'ordre du jour </w:t>
      </w:r>
      <w:r w:rsidR="002072AF" w:rsidRPr="00A106E4">
        <w:t xml:space="preserve">de la </w:t>
      </w:r>
      <w:r w:rsidR="00BB3CC1" w:rsidRPr="00A106E4">
        <w:t xml:space="preserve">seconde </w:t>
      </w:r>
      <w:r w:rsidR="002072AF" w:rsidRPr="00A106E4">
        <w:t>consultation virtuelle des Conseillers</w:t>
      </w:r>
    </w:p>
    <w:p w14:paraId="1A6322E3" w14:textId="6A850B6E" w:rsidR="00EA15B3" w:rsidRPr="00A106E4" w:rsidRDefault="00003BE3" w:rsidP="00927C71">
      <w:pPr>
        <w:tabs>
          <w:tab w:val="clear" w:pos="794"/>
          <w:tab w:val="clear" w:pos="1191"/>
          <w:tab w:val="clear" w:pos="1588"/>
          <w:tab w:val="clear" w:pos="1985"/>
          <w:tab w:val="left" w:pos="1276"/>
        </w:tabs>
        <w:spacing w:before="0" w:line="240" w:lineRule="auto"/>
        <w:jc w:val="left"/>
      </w:pPr>
      <w:hyperlink w:anchor="Annexe3" w:history="1">
        <w:r w:rsidR="002072AF" w:rsidRPr="00A106E4">
          <w:rPr>
            <w:rStyle w:val="Hyperlink"/>
          </w:rPr>
          <w:t>Annexe</w:t>
        </w:r>
        <w:r w:rsidR="008A6E3D" w:rsidRPr="00A106E4">
          <w:rPr>
            <w:rStyle w:val="Hyperlink"/>
          </w:rPr>
          <w:t xml:space="preserve"> </w:t>
        </w:r>
        <w:r w:rsidR="00BB3CC1" w:rsidRPr="00A106E4">
          <w:rPr>
            <w:rStyle w:val="Hyperlink"/>
          </w:rPr>
          <w:t>3</w:t>
        </w:r>
      </w:hyperlink>
      <w:r w:rsidR="00D747DB" w:rsidRPr="00A106E4">
        <w:tab/>
      </w:r>
      <w:r w:rsidR="002072AF" w:rsidRPr="00A106E4">
        <w:t xml:space="preserve">Modèle pour les contributions des </w:t>
      </w:r>
      <w:r w:rsidR="00D747DB" w:rsidRPr="00A106E4">
        <w:t>États</w:t>
      </w:r>
      <w:r w:rsidR="002072AF" w:rsidRPr="00A106E4">
        <w:t xml:space="preserve"> Membres</w:t>
      </w:r>
    </w:p>
    <w:p w14:paraId="683E1CE1" w14:textId="77777777" w:rsidR="00F723FD" w:rsidRPr="00A106E4" w:rsidRDefault="00F723FD" w:rsidP="00927C71">
      <w:pPr>
        <w:spacing w:line="240" w:lineRule="auto"/>
        <w:jc w:val="left"/>
      </w:pPr>
      <w:r w:rsidRPr="00A106E4">
        <w:br w:type="page"/>
      </w:r>
    </w:p>
    <w:p w14:paraId="6CC74195" w14:textId="17C27BBB" w:rsidR="00675AD8" w:rsidRPr="00A106E4" w:rsidRDefault="00675AD8" w:rsidP="00927C71">
      <w:pPr>
        <w:pStyle w:val="AnnexNoTitle"/>
        <w:spacing w:before="0" w:line="240" w:lineRule="auto"/>
      </w:pPr>
      <w:r w:rsidRPr="00A106E4">
        <w:lastRenderedPageBreak/>
        <w:t xml:space="preserve">ANNEXE </w:t>
      </w:r>
      <w:r w:rsidR="00BB3CC1" w:rsidRPr="00A106E4">
        <w:t>1</w:t>
      </w:r>
      <w:bookmarkStart w:id="8" w:name="Annexe1"/>
      <w:bookmarkEnd w:id="8"/>
    </w:p>
    <w:p w14:paraId="332BD755" w14:textId="553E0848" w:rsidR="00675AD8" w:rsidRPr="00A106E4" w:rsidRDefault="00675AD8" w:rsidP="00927C71">
      <w:pPr>
        <w:pStyle w:val="AnnexNoTitle"/>
        <w:spacing w:before="360" w:line="240" w:lineRule="auto"/>
      </w:pPr>
      <w:r w:rsidRPr="00A106E4">
        <w:t xml:space="preserve">Proposition d'organisation de la </w:t>
      </w:r>
      <w:r w:rsidR="00270F25" w:rsidRPr="00A106E4">
        <w:t xml:space="preserve">seconde </w:t>
      </w:r>
      <w:r w:rsidRPr="00A106E4">
        <w:t>consultation virtuelle des Conseillers</w:t>
      </w:r>
      <w:r w:rsidR="00270F25" w:rsidRPr="00A106E4">
        <w:t xml:space="preserve"> (VCC-2)</w:t>
      </w:r>
    </w:p>
    <w:p w14:paraId="33F0A86E" w14:textId="70392998" w:rsidR="00675AD8" w:rsidRPr="00A106E4" w:rsidRDefault="00270F25" w:rsidP="00927C71">
      <w:pPr>
        <w:pStyle w:val="Normalaftertitle"/>
        <w:spacing w:line="240" w:lineRule="auto"/>
        <w:jc w:val="left"/>
      </w:pPr>
      <w:r w:rsidRPr="00A106E4">
        <w:t>La</w:t>
      </w:r>
      <w:r w:rsidR="00675AD8" w:rsidRPr="00A106E4">
        <w:t xml:space="preserve"> consultation virtuelle se tiendra de façon organisée, conformément à l'Article 3.1 du Règlement intérieur du Conseil.</w:t>
      </w:r>
    </w:p>
    <w:p w14:paraId="327A418E" w14:textId="77777777" w:rsidR="00675AD8" w:rsidRPr="00272C60" w:rsidRDefault="00675AD8" w:rsidP="00272C60">
      <w:pPr>
        <w:spacing w:line="240" w:lineRule="auto"/>
        <w:ind w:left="720"/>
        <w:jc w:val="left"/>
        <w:rPr>
          <w:i/>
          <w:iCs/>
        </w:rPr>
      </w:pPr>
      <w:r w:rsidRPr="00272C60">
        <w:rPr>
          <w:i/>
          <w:iCs/>
        </w:rPr>
        <w:t>3.1</w:t>
      </w:r>
      <w:r w:rsidRPr="00272C60">
        <w:rPr>
          <w:i/>
          <w:iCs/>
        </w:rPr>
        <w:tab/>
        <w:t>En dehors des sessions, les conseillers peuvent se consulter par correspondance:</w:t>
      </w:r>
    </w:p>
    <w:p w14:paraId="1731A3E7" w14:textId="77777777" w:rsidR="00675AD8" w:rsidRPr="00272C60" w:rsidRDefault="00675AD8" w:rsidP="00272C60">
      <w:pPr>
        <w:pStyle w:val="enumlev1"/>
        <w:spacing w:line="240" w:lineRule="auto"/>
        <w:ind w:left="1514"/>
        <w:jc w:val="left"/>
        <w:rPr>
          <w:i/>
          <w:iCs/>
        </w:rPr>
      </w:pPr>
      <w:r w:rsidRPr="00272C60">
        <w:rPr>
          <w:i/>
          <w:iCs/>
        </w:rPr>
        <w:t>–</w:t>
      </w:r>
      <w:r w:rsidRPr="00272C60">
        <w:rPr>
          <w:i/>
          <w:iCs/>
        </w:rPr>
        <w:tab/>
        <w:t>soit de façon informelle,</w:t>
      </w:r>
    </w:p>
    <w:p w14:paraId="66699B0D" w14:textId="77777777" w:rsidR="00675AD8" w:rsidRPr="00272C60" w:rsidRDefault="00675AD8" w:rsidP="00272C60">
      <w:pPr>
        <w:pStyle w:val="enumlev1"/>
        <w:spacing w:line="240" w:lineRule="auto"/>
        <w:ind w:left="1514"/>
        <w:jc w:val="left"/>
        <w:rPr>
          <w:i/>
          <w:iCs/>
        </w:rPr>
      </w:pPr>
      <w:r w:rsidRPr="00272C60">
        <w:rPr>
          <w:i/>
          <w:iCs/>
        </w:rPr>
        <w:t>–</w:t>
      </w:r>
      <w:r w:rsidRPr="00272C60">
        <w:rPr>
          <w:i/>
          <w:iCs/>
        </w:rPr>
        <w:tab/>
        <w:t>soit de façon organisée par l'intermédiaire du Président ou, s'il n'est pas disponible, du Vice</w:t>
      </w:r>
      <w:r w:rsidRPr="00272C60">
        <w:rPr>
          <w:i/>
          <w:iCs/>
        </w:rPr>
        <w:noBreakHyphen/>
        <w:t>Président du Conseil avec l'aide du Secrétaire général.</w:t>
      </w:r>
    </w:p>
    <w:p w14:paraId="7C6E1C28" w14:textId="77777777" w:rsidR="00675AD8" w:rsidRPr="00A106E4" w:rsidRDefault="00675AD8" w:rsidP="00927C71">
      <w:pPr>
        <w:spacing w:line="240" w:lineRule="auto"/>
        <w:jc w:val="left"/>
        <w:rPr>
          <w:u w:val="single"/>
        </w:rPr>
      </w:pPr>
      <w:r w:rsidRPr="00A106E4">
        <w:rPr>
          <w:u w:val="single"/>
        </w:rPr>
        <w:t>Projet d'ordre du jour</w:t>
      </w:r>
    </w:p>
    <w:p w14:paraId="273B33F4" w14:textId="77777777" w:rsidR="00675AD8" w:rsidRPr="00A106E4" w:rsidRDefault="00675AD8" w:rsidP="00927C71">
      <w:pPr>
        <w:spacing w:line="240" w:lineRule="auto"/>
        <w:jc w:val="left"/>
      </w:pPr>
      <w:r w:rsidRPr="00A106E4">
        <w:t xml:space="preserve">Les participants à la consultation virtuelle examineront les points de l'ordre du jour considérés comme urgents. </w:t>
      </w:r>
    </w:p>
    <w:p w14:paraId="2544D037" w14:textId="51F4FECD" w:rsidR="00675AD8" w:rsidRPr="00A106E4" w:rsidRDefault="00675AD8" w:rsidP="00927C71">
      <w:pPr>
        <w:spacing w:line="240" w:lineRule="auto"/>
        <w:jc w:val="left"/>
      </w:pPr>
      <w:r w:rsidRPr="00A106E4">
        <w:t>Veuillez trouver dans l'</w:t>
      </w:r>
      <w:hyperlink w:anchor="Annexe2" w:history="1">
        <w:r w:rsidRPr="00A106E4">
          <w:rPr>
            <w:rStyle w:val="Hyperlink"/>
          </w:rPr>
          <w:t xml:space="preserve">Annexe </w:t>
        </w:r>
        <w:r w:rsidR="00270F25" w:rsidRPr="00A106E4">
          <w:rPr>
            <w:rStyle w:val="Hyperlink"/>
          </w:rPr>
          <w:t>2</w:t>
        </w:r>
      </w:hyperlink>
      <w:r w:rsidRPr="00A106E4">
        <w:t xml:space="preserve"> les points que le secrétariat considère comme urgents</w:t>
      </w:r>
      <w:r w:rsidR="00270F25" w:rsidRPr="00A106E4">
        <w:t xml:space="preserve"> (Groupe 1)</w:t>
      </w:r>
      <w:r w:rsidRPr="00A106E4">
        <w:t xml:space="preserve"> et</w:t>
      </w:r>
      <w:r w:rsidR="00C649E9" w:rsidRPr="00A106E4">
        <w:t xml:space="preserve"> </w:t>
      </w:r>
      <w:r w:rsidRPr="00A106E4">
        <w:t xml:space="preserve">propose d'examiner lors de la </w:t>
      </w:r>
      <w:r w:rsidR="00270F25" w:rsidRPr="00A106E4">
        <w:t>VCC-2</w:t>
      </w:r>
      <w:r w:rsidR="00AD7DF7" w:rsidRPr="00A106E4">
        <w:t xml:space="preserve">. Cette Annexe comprend également </w:t>
      </w:r>
      <w:r w:rsidRPr="00A106E4">
        <w:t xml:space="preserve">la liste des points </w:t>
      </w:r>
      <w:r w:rsidR="00AD7DF7" w:rsidRPr="00A106E4">
        <w:t xml:space="preserve">qui pourraient être examinés </w:t>
      </w:r>
      <w:r w:rsidR="00571C82" w:rsidRPr="00A106E4">
        <w:t>pendant</w:t>
      </w:r>
      <w:r w:rsidR="00AD7DF7" w:rsidRPr="00A106E4">
        <w:t xml:space="preserve"> la </w:t>
      </w:r>
      <w:r w:rsidR="00270F25" w:rsidRPr="00A106E4">
        <w:t>VCC-2 (Groupe 2)</w:t>
      </w:r>
      <w:r w:rsidR="00540697" w:rsidRPr="00A106E4">
        <w:t xml:space="preserve">, </w:t>
      </w:r>
      <w:r w:rsidR="00AD7DF7" w:rsidRPr="00A106E4">
        <w:rPr>
          <w:color w:val="000000"/>
        </w:rPr>
        <w:t>si les délais le permettent</w:t>
      </w:r>
      <w:r w:rsidR="00270F25" w:rsidRPr="00A106E4">
        <w:t xml:space="preserve">. </w:t>
      </w:r>
      <w:r w:rsidR="00AD7DF7" w:rsidRPr="00A106E4">
        <w:t xml:space="preserve">La liste des points </w:t>
      </w:r>
      <w:r w:rsidRPr="00A106E4">
        <w:t>que le secrétariat propose de traiter lors de la prochaine session physique</w:t>
      </w:r>
      <w:r w:rsidR="00AD7DF7" w:rsidRPr="00A106E4">
        <w:t xml:space="preserve"> (Groupe 3) est communiquée à titre d</w:t>
      </w:r>
      <w:r w:rsidR="00C649E9" w:rsidRPr="00A106E4">
        <w:t>'</w:t>
      </w:r>
      <w:r w:rsidR="00AD7DF7" w:rsidRPr="00A106E4">
        <w:t>information seulement.</w:t>
      </w:r>
    </w:p>
    <w:p w14:paraId="5BF486C6" w14:textId="3EDFDEE8" w:rsidR="00675AD8" w:rsidRPr="00A106E4" w:rsidRDefault="00270F25" w:rsidP="00927C71">
      <w:pPr>
        <w:spacing w:line="240" w:lineRule="auto"/>
        <w:jc w:val="left"/>
      </w:pPr>
      <w:r w:rsidRPr="00A106E4">
        <w:t>L</w:t>
      </w:r>
      <w:r w:rsidR="00675AD8" w:rsidRPr="00A106E4">
        <w:t>e</w:t>
      </w:r>
      <w:r w:rsidRPr="00A106E4">
        <w:t xml:space="preserve"> </w:t>
      </w:r>
      <w:r w:rsidR="00675AD8" w:rsidRPr="00A106E4">
        <w:t>programme de gestion du temps</w:t>
      </w:r>
      <w:r w:rsidR="00AD7DF7" w:rsidRPr="00A106E4">
        <w:rPr>
          <w:color w:val="000000"/>
        </w:rPr>
        <w:t xml:space="preserve"> sera publié sur le site web du Conseil</w:t>
      </w:r>
      <w:r w:rsidR="00AD7DF7" w:rsidRPr="00A106E4">
        <w:t xml:space="preserve"> </w:t>
      </w:r>
      <w:r w:rsidR="00AD7DF7" w:rsidRPr="00A106E4">
        <w:rPr>
          <w:color w:val="000000"/>
        </w:rPr>
        <w:t>au cours des prochaines semaines.</w:t>
      </w:r>
    </w:p>
    <w:p w14:paraId="4EE34DFE" w14:textId="77777777" w:rsidR="00675AD8" w:rsidRPr="00A106E4" w:rsidRDefault="00675AD8" w:rsidP="00927C71">
      <w:pPr>
        <w:spacing w:line="240" w:lineRule="auto"/>
        <w:rPr>
          <w:u w:val="single"/>
        </w:rPr>
      </w:pPr>
      <w:r w:rsidRPr="00A106E4">
        <w:rPr>
          <w:u w:val="single"/>
        </w:rPr>
        <w:t>Présidence</w:t>
      </w:r>
    </w:p>
    <w:p w14:paraId="0133F0FA" w14:textId="2D773B5B" w:rsidR="00675AD8" w:rsidRPr="00A106E4" w:rsidRDefault="00270F25" w:rsidP="00927C71">
      <w:pPr>
        <w:spacing w:line="240" w:lineRule="auto"/>
        <w:jc w:val="left"/>
      </w:pPr>
      <w:r w:rsidRPr="00A106E4">
        <w:t>I</w:t>
      </w:r>
      <w:r w:rsidR="00675AD8" w:rsidRPr="00A106E4">
        <w:t xml:space="preserve">l est proposé que le Vice-Président du Conseil, M. Saif Bin Ghelaita, </w:t>
      </w:r>
      <w:r w:rsidR="00AD7DF7" w:rsidRPr="00A106E4">
        <w:t xml:space="preserve">continue de </w:t>
      </w:r>
      <w:r w:rsidR="00675AD8" w:rsidRPr="00A106E4">
        <w:t>dirige</w:t>
      </w:r>
      <w:r w:rsidR="00AD7DF7" w:rsidRPr="00A106E4">
        <w:t>r</w:t>
      </w:r>
      <w:r w:rsidR="00675AD8" w:rsidRPr="00A106E4">
        <w:t xml:space="preserve"> les discussions</w:t>
      </w:r>
      <w:r w:rsidRPr="00A106E4">
        <w:t xml:space="preserve">, </w:t>
      </w:r>
      <w:r w:rsidR="00AD7DF7" w:rsidRPr="00A106E4">
        <w:t xml:space="preserve">comme il l'a fait avec succès </w:t>
      </w:r>
      <w:r w:rsidR="00540697" w:rsidRPr="00A106E4">
        <w:t>durant</w:t>
      </w:r>
      <w:r w:rsidR="00AD7DF7" w:rsidRPr="00A106E4">
        <w:t xml:space="preserve"> la première consultation virtuelle des Conseillers.</w:t>
      </w:r>
    </w:p>
    <w:p w14:paraId="40B06948" w14:textId="7E855C80" w:rsidR="00675AD8" w:rsidRPr="00A106E4" w:rsidRDefault="00675AD8" w:rsidP="00927C71">
      <w:pPr>
        <w:spacing w:line="240" w:lineRule="auto"/>
      </w:pPr>
      <w:r w:rsidRPr="00A106E4">
        <w:rPr>
          <w:u w:val="single"/>
        </w:rPr>
        <w:t>Participation</w:t>
      </w:r>
    </w:p>
    <w:p w14:paraId="4AC3CD6B" w14:textId="522CDA10" w:rsidR="00675AD8" w:rsidRPr="00A106E4" w:rsidRDefault="00675AD8" w:rsidP="00927C71">
      <w:pPr>
        <w:spacing w:line="240" w:lineRule="auto"/>
        <w:jc w:val="left"/>
      </w:pPr>
      <w:r w:rsidRPr="00A106E4">
        <w:t xml:space="preserve">La consultation virtuelle sera ouverte à tous les membres des délégations des États Membres du Conseil et des États Membres ayant le statut d'observateur, à l'observateur de l'État de Palestine et aux </w:t>
      </w:r>
      <w:r w:rsidR="00AD7DF7" w:rsidRPr="00A106E4">
        <w:t xml:space="preserve">neuf </w:t>
      </w:r>
      <w:r w:rsidRPr="00A106E4">
        <w:t xml:space="preserve">Membres de Secteur </w:t>
      </w:r>
      <w:r w:rsidR="00AD7DF7" w:rsidRPr="00A106E4">
        <w:t>qui ont été désignés pour la session de 2020 du Conseil</w:t>
      </w:r>
      <w:r w:rsidR="00C649E9" w:rsidRPr="00A106E4">
        <w:t xml:space="preserve"> </w:t>
      </w:r>
      <w:r w:rsidRPr="00A106E4">
        <w:t>(3 par Secteur).</w:t>
      </w:r>
    </w:p>
    <w:p w14:paraId="54AC5424" w14:textId="77777777" w:rsidR="00675AD8" w:rsidRPr="00A106E4" w:rsidRDefault="00675AD8" w:rsidP="00927C71">
      <w:pPr>
        <w:spacing w:line="240" w:lineRule="auto"/>
        <w:jc w:val="left"/>
        <w:rPr>
          <w:u w:val="single"/>
        </w:rPr>
      </w:pPr>
      <w:r w:rsidRPr="00A106E4">
        <w:rPr>
          <w:u w:val="single"/>
        </w:rPr>
        <w:t>Conduite des débats</w:t>
      </w:r>
    </w:p>
    <w:p w14:paraId="7224D3D9" w14:textId="2AEF6C52" w:rsidR="00675AD8" w:rsidRPr="00A106E4" w:rsidRDefault="00675AD8" w:rsidP="00927C71">
      <w:pPr>
        <w:pStyle w:val="enumlev1"/>
        <w:spacing w:line="240" w:lineRule="auto"/>
        <w:jc w:val="left"/>
      </w:pPr>
      <w:r w:rsidRPr="00A106E4">
        <w:t>•</w:t>
      </w:r>
      <w:r w:rsidRPr="00A106E4">
        <w:tab/>
        <w:t>La consultation virtuelle sera de nature strictement consultative</w:t>
      </w:r>
      <w:r w:rsidR="00270F25" w:rsidRPr="00A106E4">
        <w:t>,</w:t>
      </w:r>
      <w:r w:rsidRPr="00A106E4">
        <w:t xml:space="preserve"> et n'aura aucun caractère décisionnel.</w:t>
      </w:r>
    </w:p>
    <w:p w14:paraId="09E025D2" w14:textId="77777777" w:rsidR="00675AD8" w:rsidRPr="00A106E4" w:rsidRDefault="00675AD8" w:rsidP="00927C71">
      <w:pPr>
        <w:pStyle w:val="enumlev1"/>
        <w:spacing w:line="240" w:lineRule="auto"/>
        <w:jc w:val="left"/>
      </w:pPr>
      <w:r w:rsidRPr="00A106E4">
        <w:t>•</w:t>
      </w:r>
      <w:r w:rsidRPr="00A106E4">
        <w:tab/>
        <w:t>Lors des discussions, la parole sera donnée en priorité aux États Membres du Conseil.</w:t>
      </w:r>
    </w:p>
    <w:p w14:paraId="771791AC" w14:textId="6F89AF9A" w:rsidR="00675AD8" w:rsidRPr="00A106E4" w:rsidRDefault="00675AD8" w:rsidP="00927C71">
      <w:pPr>
        <w:pStyle w:val="enumlev1"/>
        <w:spacing w:line="240" w:lineRule="auto"/>
        <w:jc w:val="left"/>
      </w:pPr>
      <w:r w:rsidRPr="00A106E4">
        <w:t>•</w:t>
      </w:r>
      <w:r w:rsidRPr="00A106E4">
        <w:tab/>
        <w:t>Si les participants ne parviennent pas à un consensus ou si un État Membre du Conseil souhaite que l'examen d'un document ou que la formulation d'une conclusion soit reporté, ce document ou cette conclusion sera reporté à la session physique ultérieure du Conseil</w:t>
      </w:r>
      <w:r w:rsidR="00270F25" w:rsidRPr="00A106E4">
        <w:t xml:space="preserve"> en 2021</w:t>
      </w:r>
      <w:r w:rsidRPr="00A106E4">
        <w:t>.</w:t>
      </w:r>
    </w:p>
    <w:p w14:paraId="5E3C7004" w14:textId="105E29B5" w:rsidR="00675AD8" w:rsidRPr="00A106E4" w:rsidRDefault="00675AD8" w:rsidP="00927C71">
      <w:pPr>
        <w:pStyle w:val="enumlev1"/>
        <w:spacing w:line="240" w:lineRule="auto"/>
        <w:jc w:val="left"/>
      </w:pPr>
      <w:r w:rsidRPr="00A106E4">
        <w:t>•</w:t>
      </w:r>
      <w:r w:rsidRPr="00A106E4">
        <w:tab/>
      </w:r>
      <w:bookmarkStart w:id="9" w:name="_Hlk38872999"/>
      <w:r w:rsidRPr="00A106E4">
        <w:t>Si, au cours de l'examen d'un document figurant à l'ordre du jour de la consultation virtuelle, les participants ne parviennent pas à un consensus ou si un État Membre du Conseil propose de suspendre les débats ou soulève une objection au sujet de la proposition de conclusion concernant le document, l'examen dudit document sera reporté à la session physique ultérieure du Conseil</w:t>
      </w:r>
      <w:bookmarkEnd w:id="9"/>
      <w:r w:rsidR="00270F25" w:rsidRPr="00A106E4">
        <w:t xml:space="preserve"> en</w:t>
      </w:r>
      <w:r w:rsidR="00272C60">
        <w:t> </w:t>
      </w:r>
      <w:r w:rsidR="00270F25" w:rsidRPr="00A106E4">
        <w:t>2021</w:t>
      </w:r>
      <w:r w:rsidRPr="00A106E4">
        <w:t>.</w:t>
      </w:r>
    </w:p>
    <w:p w14:paraId="73AE7B41" w14:textId="77777777" w:rsidR="00AA6E71" w:rsidRPr="00A106E4" w:rsidRDefault="00AA6E71" w:rsidP="00927C71">
      <w:pPr>
        <w:pStyle w:val="enumlev1"/>
        <w:spacing w:line="240" w:lineRule="auto"/>
        <w:jc w:val="left"/>
      </w:pPr>
      <w:r w:rsidRPr="00A106E4">
        <w:br w:type="page"/>
      </w:r>
    </w:p>
    <w:p w14:paraId="4FA21F18" w14:textId="51C452EF" w:rsidR="00675AD8" w:rsidRPr="00A106E4" w:rsidRDefault="00675AD8" w:rsidP="00927C71">
      <w:pPr>
        <w:pStyle w:val="enumlev1"/>
        <w:spacing w:line="240" w:lineRule="auto"/>
        <w:jc w:val="left"/>
      </w:pPr>
      <w:r w:rsidRPr="00A106E4">
        <w:lastRenderedPageBreak/>
        <w:t>•</w:t>
      </w:r>
      <w:r w:rsidRPr="00A106E4">
        <w:tab/>
        <w:t xml:space="preserve">Pour faciliter et structurer les débats, les États Membres peuvent envoyer leurs contributions </w:t>
      </w:r>
      <w:r w:rsidR="00AD7DF7" w:rsidRPr="00A106E4">
        <w:t xml:space="preserve">sur les points figurant dans les Groupes </w:t>
      </w:r>
      <w:r w:rsidR="00270F25" w:rsidRPr="00A106E4">
        <w:t>1 o</w:t>
      </w:r>
      <w:r w:rsidR="00AD7DF7" w:rsidRPr="00A106E4">
        <w:t>u</w:t>
      </w:r>
      <w:r w:rsidR="00270F25" w:rsidRPr="00A106E4">
        <w:t xml:space="preserve"> 2 (</w:t>
      </w:r>
      <w:r w:rsidR="00AD7DF7" w:rsidRPr="00A106E4">
        <w:t>voir</w:t>
      </w:r>
      <w:r w:rsidR="00540697" w:rsidRPr="00A106E4">
        <w:t xml:space="preserve"> </w:t>
      </w:r>
      <w:r w:rsidR="00AD7DF7" w:rsidRPr="00A106E4">
        <w:t>l</w:t>
      </w:r>
      <w:r w:rsidR="00C649E9" w:rsidRPr="00A106E4">
        <w:t>'</w:t>
      </w:r>
      <w:r w:rsidR="00270F25" w:rsidRPr="00A106E4">
        <w:t>Annex</w:t>
      </w:r>
      <w:r w:rsidR="00540697" w:rsidRPr="00A106E4">
        <w:t>e</w:t>
      </w:r>
      <w:r w:rsidR="00270F25" w:rsidRPr="00A106E4">
        <w:t xml:space="preserve"> 2) </w:t>
      </w:r>
      <w:r w:rsidR="00AD7DF7" w:rsidRPr="00A106E4">
        <w:rPr>
          <w:color w:val="000000"/>
        </w:rPr>
        <w:t xml:space="preserve">au plus tard quatorze jours avant l'ouverture </w:t>
      </w:r>
      <w:r w:rsidR="00ED76AA" w:rsidRPr="00A106E4">
        <w:rPr>
          <w:color w:val="000000"/>
        </w:rPr>
        <w:t xml:space="preserve">de la </w:t>
      </w:r>
      <w:r w:rsidR="00ED76AA" w:rsidRPr="00A106E4">
        <w:t>consultation virtuelle des Conseillers</w:t>
      </w:r>
      <w:r w:rsidR="00270F25" w:rsidRPr="00A106E4">
        <w:t>,</w:t>
      </w:r>
      <w:r w:rsidR="00ED76AA" w:rsidRPr="00A106E4">
        <w:t xml:space="preserve"> c</w:t>
      </w:r>
      <w:r w:rsidR="00C649E9" w:rsidRPr="00A106E4">
        <w:t>'</w:t>
      </w:r>
      <w:r w:rsidR="00ED76AA" w:rsidRPr="00A106E4">
        <w:t>est-à-dire le</w:t>
      </w:r>
      <w:r w:rsidR="00270F25" w:rsidRPr="00A106E4">
        <w:t xml:space="preserve"> </w:t>
      </w:r>
      <w:r w:rsidR="00270F25" w:rsidRPr="00A106E4">
        <w:rPr>
          <w:b/>
          <w:bCs/>
        </w:rPr>
        <w:t>2 novembre,</w:t>
      </w:r>
      <w:r w:rsidRPr="00A106E4">
        <w:t xml:space="preserve"> à l'adresse </w:t>
      </w:r>
      <w:hyperlink r:id="rId12" w:history="1">
        <w:r w:rsidRPr="00A106E4">
          <w:rPr>
            <w:rStyle w:val="Hyperlink"/>
          </w:rPr>
          <w:t>contributions@itu.int</w:t>
        </w:r>
      </w:hyperlink>
      <w:r w:rsidRPr="00A106E4">
        <w:t>,en utilisant le modèle reproduit dans l'</w:t>
      </w:r>
      <w:hyperlink w:anchor="Annexe3" w:history="1">
        <w:r w:rsidRPr="00A106E4">
          <w:rPr>
            <w:rStyle w:val="Hyperlink"/>
          </w:rPr>
          <w:t xml:space="preserve">Annexe </w:t>
        </w:r>
        <w:r w:rsidR="00270F25" w:rsidRPr="00A106E4">
          <w:rPr>
            <w:rStyle w:val="Hyperlink"/>
          </w:rPr>
          <w:t>3</w:t>
        </w:r>
      </w:hyperlink>
      <w:r w:rsidRPr="00A106E4">
        <w:t>. Les contributions devraient être succinctes (2 pages maximum).</w:t>
      </w:r>
    </w:p>
    <w:p w14:paraId="198FCD2A" w14:textId="77777777" w:rsidR="00675AD8" w:rsidRPr="00A106E4" w:rsidRDefault="00675AD8" w:rsidP="00927C71">
      <w:pPr>
        <w:pStyle w:val="enumlev1"/>
        <w:spacing w:line="240" w:lineRule="auto"/>
        <w:jc w:val="left"/>
      </w:pPr>
      <w:r w:rsidRPr="00A106E4">
        <w:t>•</w:t>
      </w:r>
      <w:r w:rsidRPr="00A106E4">
        <w:tab/>
        <w:t>Les représentants des États Membres pourront prendre la parole pour intervenir pendant les débats, même s'ils n'ont envoyé aucune contribution.</w:t>
      </w:r>
    </w:p>
    <w:p w14:paraId="3CBE77E2" w14:textId="77777777" w:rsidR="00675AD8" w:rsidRPr="00A106E4" w:rsidRDefault="00675AD8" w:rsidP="00927C71">
      <w:pPr>
        <w:spacing w:line="240" w:lineRule="auto"/>
        <w:jc w:val="left"/>
      </w:pPr>
      <w:r w:rsidRPr="00A106E4">
        <w:rPr>
          <w:u w:val="single"/>
        </w:rPr>
        <w:t>Résultats</w:t>
      </w:r>
    </w:p>
    <w:p w14:paraId="7209F8B5" w14:textId="228F3FDE" w:rsidR="00675AD8" w:rsidRPr="00A106E4" w:rsidRDefault="00675AD8" w:rsidP="00927C71">
      <w:pPr>
        <w:pStyle w:val="enumlev1"/>
        <w:spacing w:line="240" w:lineRule="auto"/>
        <w:jc w:val="left"/>
      </w:pPr>
      <w:r w:rsidRPr="00A106E4">
        <w:t>•</w:t>
      </w:r>
      <w:r w:rsidRPr="00A106E4">
        <w:tab/>
        <w:t>La consultation virtuelle sera de nature strictement consultative et n'aura aucun caractère décisionnel. Les participants ne formuleront que des propositions de conclusions en attendant que des décisions officielles soient prises à la session physique ultérieure du Conseil</w:t>
      </w:r>
      <w:r w:rsidR="00270F25" w:rsidRPr="00A106E4">
        <w:t xml:space="preserve"> en 2021</w:t>
      </w:r>
      <w:r w:rsidRPr="00A106E4">
        <w:t>. Les propositions de conclusions seront rassemblées dans un rapport que le Secrétaire général présentera en tant que contribution pour examen à la session physique ultérieure du Conseil</w:t>
      </w:r>
      <w:r w:rsidR="00270F25" w:rsidRPr="00A106E4">
        <w:t xml:space="preserve"> en</w:t>
      </w:r>
      <w:r w:rsidR="00233D45">
        <w:t> </w:t>
      </w:r>
      <w:r w:rsidR="00270F25" w:rsidRPr="00A106E4">
        <w:t>2021</w:t>
      </w:r>
      <w:r w:rsidRPr="00A106E4">
        <w:t>.</w:t>
      </w:r>
    </w:p>
    <w:p w14:paraId="245DBE9C" w14:textId="1EBEA62E" w:rsidR="00270F25" w:rsidRPr="00A106E4" w:rsidRDefault="00270F25" w:rsidP="00927C71">
      <w:pPr>
        <w:pStyle w:val="enumlev1"/>
        <w:spacing w:line="240" w:lineRule="auto"/>
        <w:jc w:val="left"/>
      </w:pPr>
      <w:r w:rsidRPr="00A106E4">
        <w:t>•</w:t>
      </w:r>
      <w:r w:rsidRPr="00A106E4">
        <w:tab/>
      </w:r>
      <w:r w:rsidRPr="00A106E4">
        <w:rPr>
          <w:szCs w:val="18"/>
        </w:rPr>
        <w:t>Il est entendu qu'aucune proposition de conclusion ne sera définitive et que les discussions concernant une conclusion pourraient reprendre à l'occasion de la session physique ultérieure de 2021.</w:t>
      </w:r>
    </w:p>
    <w:p w14:paraId="03972F45" w14:textId="77777777" w:rsidR="00675AD8" w:rsidRPr="00A106E4" w:rsidRDefault="00675AD8" w:rsidP="00927C71">
      <w:pPr>
        <w:pStyle w:val="enumlev1"/>
        <w:spacing w:line="240" w:lineRule="auto"/>
        <w:jc w:val="left"/>
      </w:pPr>
      <w:r w:rsidRPr="00A106E4">
        <w:t>•</w:t>
      </w:r>
      <w:r w:rsidRPr="00A106E4">
        <w:tab/>
        <w:t xml:space="preserve">En ce qui concerne les propositions de conclusion sur des points appelant de la part du Conseil une décision urgente pour laquelle il n'est pas possible d'attendre une réunion physique, </w:t>
      </w:r>
      <w:bookmarkStart w:id="10" w:name="_Hlk40282450"/>
      <w:r w:rsidRPr="00A106E4">
        <w:t>les participants à la consultation virtuelle pourraient fournir des orientations au Président du Conseil et au Secrétaire général sur la possibilité de mettre en œuvre la procédure à suivre pour prendre des décisions par correspondance</w:t>
      </w:r>
      <w:bookmarkEnd w:id="10"/>
      <w:r w:rsidRPr="00A106E4">
        <w:t>, conformément à l'Article 3.2 du Règlement intérieur du Conseil. Le cas échéant, la procédure habituelle relative aux décisions prises par correspondance serait appliquée. La règle de la majorité simple des États Membres du Conseil ayant le droit de vote s'appliquerait.</w:t>
      </w:r>
    </w:p>
    <w:p w14:paraId="5CC541CA" w14:textId="77777777" w:rsidR="00675AD8" w:rsidRPr="00A106E4" w:rsidRDefault="00675AD8" w:rsidP="00927C71">
      <w:pPr>
        <w:spacing w:line="240" w:lineRule="auto"/>
        <w:jc w:val="left"/>
        <w:rPr>
          <w:u w:val="single"/>
        </w:rPr>
      </w:pPr>
      <w:r w:rsidRPr="00A106E4">
        <w:rPr>
          <w:u w:val="single"/>
        </w:rPr>
        <w:t>Date et durée</w:t>
      </w:r>
    </w:p>
    <w:p w14:paraId="1679CDC2" w14:textId="71021881" w:rsidR="00675AD8" w:rsidRPr="00A106E4" w:rsidRDefault="00675AD8" w:rsidP="00927C71">
      <w:pPr>
        <w:pStyle w:val="enumlev1"/>
        <w:spacing w:line="240" w:lineRule="auto"/>
        <w:jc w:val="left"/>
      </w:pPr>
      <w:r w:rsidRPr="00A106E4">
        <w:t>•</w:t>
      </w:r>
      <w:r w:rsidRPr="00A106E4">
        <w:tab/>
        <w:t xml:space="preserve">La consultation virtuelle débutera le </w:t>
      </w:r>
      <w:r w:rsidR="00567221" w:rsidRPr="00A106E4">
        <w:t>16</w:t>
      </w:r>
      <w:r w:rsidRPr="00A106E4">
        <w:t xml:space="preserve"> </w:t>
      </w:r>
      <w:r w:rsidR="00567221" w:rsidRPr="00A106E4">
        <w:t>novembre</w:t>
      </w:r>
      <w:r w:rsidRPr="00A106E4">
        <w:t xml:space="preserve"> et se tiendra de 12 h</w:t>
      </w:r>
      <w:r w:rsidR="000F674D" w:rsidRPr="00A106E4">
        <w:t xml:space="preserve"> 00</w:t>
      </w:r>
      <w:r w:rsidRPr="00A106E4">
        <w:t xml:space="preserve"> à 15 h</w:t>
      </w:r>
      <w:r w:rsidR="000F674D" w:rsidRPr="00A106E4">
        <w:t xml:space="preserve"> 00</w:t>
      </w:r>
      <w:r w:rsidRPr="00A106E4">
        <w:t xml:space="preserve"> (heure de Genève).</w:t>
      </w:r>
    </w:p>
    <w:p w14:paraId="59D74A1E" w14:textId="77777777" w:rsidR="00675AD8" w:rsidRPr="00A106E4" w:rsidRDefault="00675AD8" w:rsidP="00927C71">
      <w:pPr>
        <w:pStyle w:val="enumlev1"/>
        <w:spacing w:line="240" w:lineRule="auto"/>
        <w:jc w:val="left"/>
        <w:rPr>
          <w:u w:val="single"/>
        </w:rPr>
      </w:pPr>
      <w:r w:rsidRPr="00A106E4">
        <w:t>•</w:t>
      </w:r>
      <w:r w:rsidRPr="00A106E4">
        <w:tab/>
        <w:t>La durée effective sera proposée en fonction des réponses des États Membres concernant les points de l'ordre du jour, mais ne dépassera pas cinq jours.</w:t>
      </w:r>
    </w:p>
    <w:p w14:paraId="3343350B" w14:textId="77777777" w:rsidR="00675AD8" w:rsidRPr="00A106E4" w:rsidRDefault="00675AD8" w:rsidP="00927C71">
      <w:pPr>
        <w:spacing w:line="240" w:lineRule="auto"/>
        <w:jc w:val="left"/>
        <w:rPr>
          <w:u w:val="single"/>
        </w:rPr>
      </w:pPr>
      <w:r w:rsidRPr="00A106E4">
        <w:rPr>
          <w:u w:val="single"/>
        </w:rPr>
        <w:t>Appui informatique fourni</w:t>
      </w:r>
    </w:p>
    <w:p w14:paraId="3456C029" w14:textId="15D761EF" w:rsidR="00675AD8" w:rsidRPr="00A106E4" w:rsidRDefault="00675AD8" w:rsidP="00927C71">
      <w:pPr>
        <w:pStyle w:val="enumlev1"/>
        <w:spacing w:line="240" w:lineRule="auto"/>
        <w:jc w:val="left"/>
      </w:pPr>
      <w:r w:rsidRPr="00A106E4">
        <w:t>•</w:t>
      </w:r>
      <w:r w:rsidRPr="00A106E4">
        <w:tab/>
      </w:r>
      <w:r w:rsidRPr="00A106E4">
        <w:rPr>
          <w:szCs w:val="18"/>
        </w:rPr>
        <w:t>Plate-forme Interprefy, sous-titrage et diffusion sur le web</w:t>
      </w:r>
      <w:r w:rsidRPr="00A106E4">
        <w:t>.</w:t>
      </w:r>
    </w:p>
    <w:p w14:paraId="7F16C493" w14:textId="02D4BAEF" w:rsidR="00675AD8" w:rsidRPr="00A106E4" w:rsidRDefault="00675AD8" w:rsidP="00927C71">
      <w:pPr>
        <w:pStyle w:val="enumlev1"/>
        <w:spacing w:line="240" w:lineRule="auto"/>
        <w:jc w:val="left"/>
      </w:pPr>
      <w:r w:rsidRPr="00A106E4">
        <w:t>•</w:t>
      </w:r>
      <w:r w:rsidRPr="00A106E4">
        <w:tab/>
        <w:t>Un service d'interprétation dans les six langues sera assuré au moyen de la plate-forme Interprefy.</w:t>
      </w:r>
    </w:p>
    <w:p w14:paraId="278039E2" w14:textId="77777777" w:rsidR="00675AD8" w:rsidRPr="00A106E4" w:rsidRDefault="00675AD8" w:rsidP="00927C71">
      <w:pPr>
        <w:pStyle w:val="enumlev1"/>
        <w:spacing w:line="240" w:lineRule="auto"/>
        <w:jc w:val="left"/>
      </w:pPr>
      <w:r w:rsidRPr="00A106E4">
        <w:t>•</w:t>
      </w:r>
      <w:r w:rsidRPr="00A106E4">
        <w:tab/>
        <w:t>Appui informatique individuel par courriel, chat et téléphone.</w:t>
      </w:r>
    </w:p>
    <w:p w14:paraId="6325491D" w14:textId="77777777" w:rsidR="00675AD8" w:rsidRPr="00A106E4" w:rsidRDefault="00675AD8" w:rsidP="00927C71">
      <w:pPr>
        <w:spacing w:line="240" w:lineRule="auto"/>
        <w:jc w:val="left"/>
        <w:rPr>
          <w:u w:val="single"/>
        </w:rPr>
      </w:pPr>
      <w:r w:rsidRPr="00A106E4">
        <w:rPr>
          <w:u w:val="single"/>
        </w:rPr>
        <w:t>Inscription</w:t>
      </w:r>
    </w:p>
    <w:p w14:paraId="2872BB7F" w14:textId="351D4EAB" w:rsidR="00675AD8" w:rsidRPr="00A106E4" w:rsidRDefault="00675AD8" w:rsidP="00927C71">
      <w:pPr>
        <w:spacing w:line="240" w:lineRule="auto"/>
        <w:jc w:val="left"/>
      </w:pPr>
      <w:r w:rsidRPr="00A106E4">
        <w:t xml:space="preserve">L'inscription est obligatoire pour pouvoir participer en ligne. Les inscriptions </w:t>
      </w:r>
      <w:r w:rsidR="00ED76AA" w:rsidRPr="00A106E4">
        <w:t>seront ouvertes le</w:t>
      </w:r>
      <w:r w:rsidR="00567221" w:rsidRPr="00A106E4">
        <w:t xml:space="preserve"> 15</w:t>
      </w:r>
      <w:r w:rsidR="00C649E9" w:rsidRPr="00A106E4">
        <w:t xml:space="preserve"> </w:t>
      </w:r>
      <w:r w:rsidR="00ED76AA" w:rsidRPr="00A106E4">
        <w:t>octobre, à l</w:t>
      </w:r>
      <w:r w:rsidR="00C649E9" w:rsidRPr="00A106E4">
        <w:t>'</w:t>
      </w:r>
      <w:r w:rsidR="00ED76AA" w:rsidRPr="00A106E4">
        <w:t>adresse</w:t>
      </w:r>
      <w:r w:rsidR="00567221" w:rsidRPr="00A106E4">
        <w:t xml:space="preserve"> </w:t>
      </w:r>
      <w:hyperlink r:id="rId13" w:history="1">
        <w:r w:rsidR="00927C71" w:rsidRPr="00A106E4">
          <w:rPr>
            <w:rStyle w:val="Hyperlink"/>
          </w:rPr>
          <w:t>https://www.itu.int/fr/council/2020/Pages/default.aspx</w:t>
        </w:r>
      </w:hyperlink>
      <w:r w:rsidR="00567221" w:rsidRPr="00A106E4">
        <w:t>.</w:t>
      </w:r>
    </w:p>
    <w:p w14:paraId="548FC86F" w14:textId="6853C4D9" w:rsidR="00675AD8" w:rsidRPr="00A106E4" w:rsidRDefault="00675AD8" w:rsidP="00927C71">
      <w:pPr>
        <w:spacing w:line="240" w:lineRule="auto"/>
        <w:jc w:val="left"/>
      </w:pPr>
      <w:r w:rsidRPr="00A106E4">
        <w:t>Les participants inscrits recevront des lignes directrices et des liens leur permettant d'accéder à la consultation virtuelle en temps utile.</w:t>
      </w:r>
    </w:p>
    <w:p w14:paraId="2B09273D" w14:textId="0CDD5D4E" w:rsidR="00675AD8" w:rsidRPr="00A106E4" w:rsidRDefault="00ED76AA" w:rsidP="00927C71">
      <w:pPr>
        <w:spacing w:line="240" w:lineRule="auto"/>
        <w:jc w:val="left"/>
      </w:pPr>
      <w:r w:rsidRPr="00A106E4">
        <w:t xml:space="preserve">Les noms des "orateurs" devront être envoyés à l'adresse </w:t>
      </w:r>
      <w:hyperlink r:id="rId14" w:history="1">
        <w:r w:rsidRPr="00A106E4">
          <w:rPr>
            <w:rStyle w:val="Hyperlink"/>
          </w:rPr>
          <w:t>sg-registration@itu.int</w:t>
        </w:r>
      </w:hyperlink>
      <w:r w:rsidRPr="00A106E4">
        <w:t xml:space="preserve">, avec copie à l'adresse </w:t>
      </w:r>
      <w:hyperlink r:id="rId15" w:history="1">
        <w:r w:rsidRPr="00A106E4">
          <w:rPr>
            <w:rStyle w:val="Hyperlink"/>
          </w:rPr>
          <w:t>remote.participation@itu.int</w:t>
        </w:r>
      </w:hyperlink>
      <w:r w:rsidRPr="00A106E4">
        <w:t>.</w:t>
      </w:r>
    </w:p>
    <w:p w14:paraId="23512FE3" w14:textId="271D41B5" w:rsidR="00C649E9" w:rsidRPr="00A106E4" w:rsidRDefault="00C649E9" w:rsidP="00927C71">
      <w:pPr>
        <w:spacing w:line="240" w:lineRule="auto"/>
      </w:pPr>
      <w:r w:rsidRPr="00A106E4">
        <w:br w:type="page"/>
      </w:r>
    </w:p>
    <w:p w14:paraId="19330BA1" w14:textId="7FD8D487" w:rsidR="00675AD8" w:rsidRPr="00A106E4" w:rsidRDefault="00675AD8" w:rsidP="00927C71">
      <w:pPr>
        <w:pStyle w:val="AnnexNoTitle"/>
        <w:spacing w:before="0" w:line="240" w:lineRule="auto"/>
      </w:pPr>
      <w:bookmarkStart w:id="11" w:name="Annexe4"/>
      <w:bookmarkEnd w:id="11"/>
      <w:r w:rsidRPr="00A106E4">
        <w:lastRenderedPageBreak/>
        <w:t xml:space="preserve">ANNEXE </w:t>
      </w:r>
      <w:r w:rsidR="00567221" w:rsidRPr="00A106E4">
        <w:t>2</w:t>
      </w:r>
      <w:bookmarkStart w:id="12" w:name="Annexe2"/>
      <w:bookmarkEnd w:id="12"/>
    </w:p>
    <w:p w14:paraId="608FB091" w14:textId="0375826C" w:rsidR="000666C1" w:rsidRPr="00A106E4" w:rsidRDefault="00567221" w:rsidP="00927C71">
      <w:pPr>
        <w:pStyle w:val="AnnexNoTitle"/>
        <w:spacing w:before="360" w:line="240" w:lineRule="auto"/>
      </w:pPr>
      <w:r w:rsidRPr="00A106E4">
        <w:t>P</w:t>
      </w:r>
      <w:r w:rsidR="00675AD8" w:rsidRPr="00A106E4">
        <w:t xml:space="preserve">rojet d'ordre du jour de la </w:t>
      </w:r>
      <w:r w:rsidRPr="00A106E4">
        <w:t xml:space="preserve">seconde </w:t>
      </w:r>
      <w:r w:rsidR="00675AD8" w:rsidRPr="00A106E4">
        <w:t xml:space="preserve">consultation </w:t>
      </w:r>
      <w:r w:rsidRPr="00A106E4">
        <w:br/>
      </w:r>
      <w:r w:rsidR="00675AD8" w:rsidRPr="00A106E4">
        <w:t>virtuelle des Conseillers</w:t>
      </w:r>
    </w:p>
    <w:p w14:paraId="0F436EA4" w14:textId="62D01480" w:rsidR="000666C1" w:rsidRPr="00A106E4" w:rsidRDefault="00ED76AA" w:rsidP="00927C71">
      <w:pPr>
        <w:spacing w:line="240" w:lineRule="auto"/>
      </w:pPr>
      <w:r w:rsidRPr="00A106E4">
        <w:t xml:space="preserve">Les </w:t>
      </w:r>
      <w:r w:rsidRPr="0036246B">
        <w:t>documents ont été répartis</w:t>
      </w:r>
      <w:r w:rsidRPr="00A106E4">
        <w:t xml:space="preserve"> en deux groupes</w:t>
      </w:r>
      <w:r w:rsidR="00C649E9" w:rsidRPr="00A106E4">
        <w:t>:</w:t>
      </w:r>
    </w:p>
    <w:p w14:paraId="28F836D6" w14:textId="0B17334D" w:rsidR="000666C1" w:rsidRPr="00A106E4" w:rsidRDefault="000666C1" w:rsidP="00927C71">
      <w:pPr>
        <w:pStyle w:val="enumlev1"/>
        <w:spacing w:line="240" w:lineRule="auto"/>
      </w:pPr>
      <w:r w:rsidRPr="00A106E4">
        <w:t>1)</w:t>
      </w:r>
      <w:r w:rsidRPr="00A106E4">
        <w:tab/>
      </w:r>
      <w:r w:rsidR="00E9783A" w:rsidRPr="00A106E4">
        <w:t>P</w:t>
      </w:r>
      <w:r w:rsidR="00ED76AA" w:rsidRPr="00A106E4">
        <w:t>oints urgents pour lesquels</w:t>
      </w:r>
      <w:r w:rsidR="00C649E9" w:rsidRPr="00A106E4">
        <w:t xml:space="preserve"> </w:t>
      </w:r>
      <w:r w:rsidR="00ED76AA" w:rsidRPr="00A106E4">
        <w:t>une décision doit être prise</w:t>
      </w:r>
      <w:r w:rsidR="00C649E9" w:rsidRPr="00A106E4">
        <w:t xml:space="preserve"> </w:t>
      </w:r>
      <w:r w:rsidR="00ED76AA" w:rsidRPr="00A106E4">
        <w:t>avant la fin de 2020 et inscrits à l</w:t>
      </w:r>
      <w:r w:rsidR="00C649E9" w:rsidRPr="00A106E4">
        <w:t>'</w:t>
      </w:r>
      <w:r w:rsidR="00ED76AA" w:rsidRPr="00A106E4">
        <w:t xml:space="preserve">ordre du jour de la </w:t>
      </w:r>
      <w:r w:rsidRPr="00A106E4">
        <w:t>VCC-2</w:t>
      </w:r>
      <w:r w:rsidR="00E9783A">
        <w:t>.</w:t>
      </w:r>
    </w:p>
    <w:p w14:paraId="555C7E7E" w14:textId="6DE10C92" w:rsidR="000666C1" w:rsidRPr="00A106E4" w:rsidRDefault="000666C1" w:rsidP="00927C71">
      <w:pPr>
        <w:pStyle w:val="enumlev1"/>
        <w:spacing w:line="240" w:lineRule="auto"/>
      </w:pPr>
      <w:r w:rsidRPr="00A106E4">
        <w:t>2)</w:t>
      </w:r>
      <w:r w:rsidRPr="00A106E4">
        <w:tab/>
      </w:r>
      <w:r w:rsidR="00E9783A">
        <w:t>D</w:t>
      </w:r>
      <w:r w:rsidRPr="00A106E4">
        <w:t xml:space="preserve">ocuments </w:t>
      </w:r>
      <w:r w:rsidR="00ED76AA" w:rsidRPr="00A106E4">
        <w:t xml:space="preserve">qui pourraient être examinés lors de la </w:t>
      </w:r>
      <w:r w:rsidRPr="00A106E4">
        <w:t>VCC-2</w:t>
      </w:r>
      <w:r w:rsidR="00ED76AA" w:rsidRPr="00A106E4">
        <w:t>, si les délais le permettent</w:t>
      </w:r>
      <w:r w:rsidR="00927C71" w:rsidRPr="00A106E4">
        <w:t>.</w:t>
      </w:r>
    </w:p>
    <w:p w14:paraId="7B855C0A" w14:textId="36EE43B5" w:rsidR="000666C1" w:rsidRPr="00A106E4" w:rsidRDefault="00ED76AA" w:rsidP="00927C71">
      <w:pPr>
        <w:spacing w:line="240" w:lineRule="auto"/>
      </w:pPr>
      <w:r w:rsidRPr="00A106E4">
        <w:t xml:space="preserve">Pour ces deux groupes, </w:t>
      </w:r>
      <w:r w:rsidRPr="00A106E4">
        <w:rPr>
          <w:color w:val="000000"/>
        </w:rPr>
        <w:t xml:space="preserve">les États Membres sont invités à envoyer leurs contributions à la </w:t>
      </w:r>
      <w:r w:rsidRPr="00A106E4">
        <w:t xml:space="preserve">VCC-2 </w:t>
      </w:r>
      <w:r w:rsidRPr="00A106E4">
        <w:rPr>
          <w:color w:val="000000"/>
        </w:rPr>
        <w:t xml:space="preserve">en utilisant le modèle joint dans </w:t>
      </w:r>
      <w:r w:rsidR="00E262E6" w:rsidRPr="00A106E4">
        <w:t>l</w:t>
      </w:r>
      <w:r w:rsidR="00C649E9" w:rsidRPr="00A106E4">
        <w:t>'</w:t>
      </w:r>
      <w:hyperlink w:anchor="Annexe3" w:history="1">
        <w:r w:rsidR="000666C1" w:rsidRPr="00A106E4">
          <w:rPr>
            <w:rStyle w:val="Hyperlink"/>
          </w:rPr>
          <w:t>Annex</w:t>
        </w:r>
        <w:r w:rsidR="00E262E6" w:rsidRPr="00A106E4">
          <w:rPr>
            <w:rStyle w:val="Hyperlink"/>
          </w:rPr>
          <w:t>e</w:t>
        </w:r>
        <w:r w:rsidR="000666C1" w:rsidRPr="00A106E4">
          <w:rPr>
            <w:rStyle w:val="Hyperlink"/>
          </w:rPr>
          <w:t xml:space="preserve"> 3</w:t>
        </w:r>
      </w:hyperlink>
      <w:r w:rsidR="000666C1" w:rsidRPr="00A106E4">
        <w:t>.</w:t>
      </w:r>
      <w:r w:rsidR="00C649E9" w:rsidRPr="00A106E4">
        <w:t xml:space="preserve"> </w:t>
      </w:r>
      <w:r w:rsidR="00E262E6" w:rsidRPr="00A106E4">
        <w:rPr>
          <w:color w:val="000000"/>
        </w:rPr>
        <w:t>La date limite pour l'envoi des</w:t>
      </w:r>
      <w:r w:rsidR="00E262E6" w:rsidRPr="00A106E4">
        <w:t xml:space="preserve"> contributions</w:t>
      </w:r>
      <w:r w:rsidR="00E262E6" w:rsidRPr="00A106E4">
        <w:rPr>
          <w:color w:val="000000"/>
        </w:rPr>
        <w:t xml:space="preserve"> a été fixée au </w:t>
      </w:r>
      <w:r w:rsidR="00E262E6" w:rsidRPr="00A106E4">
        <w:t>2 novembre 2020.</w:t>
      </w:r>
      <w:r w:rsidR="00C649E9" w:rsidRPr="00A106E4">
        <w:t xml:space="preserve"> </w:t>
      </w:r>
    </w:p>
    <w:p w14:paraId="1F7298BC" w14:textId="0333120B" w:rsidR="00675AD8" w:rsidRPr="00A106E4" w:rsidRDefault="00927C71" w:rsidP="00927C71">
      <w:pPr>
        <w:pStyle w:val="Heading1"/>
        <w:spacing w:after="240" w:line="240" w:lineRule="auto"/>
      </w:pPr>
      <w:r w:rsidRPr="00A106E4">
        <w:t>1</w:t>
      </w:r>
      <w:r w:rsidRPr="00A106E4">
        <w:tab/>
      </w:r>
      <w:r w:rsidR="00E262E6" w:rsidRPr="00A106E4">
        <w:t>POINTS URGENTS pour lesquels</w:t>
      </w:r>
      <w:r w:rsidR="00C649E9" w:rsidRPr="00A106E4">
        <w:t xml:space="preserve"> </w:t>
      </w:r>
      <w:r w:rsidR="00E262E6" w:rsidRPr="00A106E4">
        <w:t>une décision doit être prise</w:t>
      </w:r>
      <w:r w:rsidR="00C649E9" w:rsidRPr="00A106E4">
        <w:t xml:space="preserve"> </w:t>
      </w:r>
      <w:r w:rsidR="00E262E6" w:rsidRPr="00A106E4">
        <w:t>avant la fin de 2020</w:t>
      </w:r>
      <w:r w:rsidR="00C649E9" w:rsidRPr="00A106E4">
        <w:t xml:space="preserve"> </w:t>
      </w:r>
      <w:r w:rsidR="00E262E6" w:rsidRPr="00A106E4">
        <w:t>et qu</w:t>
      </w:r>
      <w:r w:rsidR="00C649E9" w:rsidRPr="00A106E4">
        <w:t>'</w:t>
      </w:r>
      <w:r w:rsidR="00E262E6" w:rsidRPr="00A106E4">
        <w:t>il est proposé d</w:t>
      </w:r>
      <w:r w:rsidR="00C649E9" w:rsidRPr="00A106E4">
        <w:t>'</w:t>
      </w:r>
      <w:r w:rsidR="00E262E6" w:rsidRPr="00A106E4">
        <w:t>inscrire à l</w:t>
      </w:r>
      <w:r w:rsidR="00C649E9" w:rsidRPr="00A106E4">
        <w:t>'</w:t>
      </w:r>
      <w:r w:rsidR="00E262E6" w:rsidRPr="00A106E4">
        <w:t>ordre du jour de la VCC-2</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852"/>
        <w:gridCol w:w="1653"/>
      </w:tblGrid>
      <w:tr w:rsidR="00567221" w:rsidRPr="00A106E4" w14:paraId="13E9D16F" w14:textId="77777777" w:rsidTr="00BA55D8">
        <w:trPr>
          <w:cantSplit/>
          <w:trHeight w:val="709"/>
          <w:tblHeader/>
          <w:jc w:val="center"/>
        </w:trPr>
        <w:tc>
          <w:tcPr>
            <w:tcW w:w="993" w:type="dxa"/>
            <w:vMerge w:val="restart"/>
            <w:tcBorders>
              <w:top w:val="nil"/>
              <w:left w:val="nil"/>
            </w:tcBorders>
            <w:shd w:val="clear" w:color="auto" w:fill="DDD9C3" w:themeFill="background2" w:themeFillShade="E6"/>
          </w:tcPr>
          <w:p w14:paraId="424DFF0D" w14:textId="77777777" w:rsidR="00567221" w:rsidRPr="00A106E4" w:rsidRDefault="00567221" w:rsidP="00927C71">
            <w:pPr>
              <w:pStyle w:val="Tablehead"/>
              <w:rPr>
                <w:lang w:eastAsia="en-GB"/>
              </w:rPr>
            </w:pPr>
          </w:p>
        </w:tc>
        <w:tc>
          <w:tcPr>
            <w:tcW w:w="6852" w:type="dxa"/>
            <w:vMerge w:val="restart"/>
            <w:shd w:val="clear" w:color="auto" w:fill="DDD9C3" w:themeFill="background2" w:themeFillShade="E6"/>
            <w:vAlign w:val="center"/>
            <w:hideMark/>
          </w:tcPr>
          <w:p w14:paraId="453E76AE" w14:textId="77777777" w:rsidR="00567221" w:rsidRPr="00A106E4" w:rsidRDefault="00567221" w:rsidP="00927C71">
            <w:pPr>
              <w:pStyle w:val="Tablehead"/>
              <w:rPr>
                <w:lang w:eastAsia="en-GB"/>
              </w:rPr>
            </w:pPr>
            <w:r w:rsidRPr="00A106E4">
              <w:rPr>
                <w:lang w:eastAsia="en-GB"/>
              </w:rPr>
              <w:t>Sujet</w:t>
            </w:r>
          </w:p>
        </w:tc>
        <w:tc>
          <w:tcPr>
            <w:tcW w:w="1653" w:type="dxa"/>
            <w:vMerge w:val="restart"/>
            <w:shd w:val="clear" w:color="auto" w:fill="DDD9C3" w:themeFill="background2" w:themeFillShade="E6"/>
            <w:noWrap/>
            <w:vAlign w:val="center"/>
            <w:hideMark/>
          </w:tcPr>
          <w:p w14:paraId="04435B1B" w14:textId="77777777" w:rsidR="00567221" w:rsidRPr="00A106E4" w:rsidRDefault="00567221" w:rsidP="00927C71">
            <w:pPr>
              <w:pStyle w:val="Tablehead"/>
              <w:rPr>
                <w:lang w:eastAsia="en-GB"/>
              </w:rPr>
            </w:pPr>
            <w:r w:rsidRPr="00A106E4">
              <w:rPr>
                <w:lang w:eastAsia="en-GB"/>
              </w:rPr>
              <w:t>C20/#</w:t>
            </w:r>
          </w:p>
          <w:p w14:paraId="085BCCB4" w14:textId="013911D4" w:rsidR="00567221" w:rsidRPr="00A106E4" w:rsidRDefault="00567221" w:rsidP="00927C71">
            <w:pPr>
              <w:pStyle w:val="Tablehead"/>
              <w:rPr>
                <w:lang w:eastAsia="en-GB"/>
              </w:rPr>
            </w:pPr>
            <w:r w:rsidRPr="00A106E4">
              <w:rPr>
                <w:lang w:eastAsia="en-GB"/>
              </w:rPr>
              <w:t>VC/#</w:t>
            </w:r>
          </w:p>
        </w:tc>
      </w:tr>
      <w:tr w:rsidR="00567221" w:rsidRPr="00A106E4" w14:paraId="5BD53D19" w14:textId="77777777" w:rsidTr="00BA55D8">
        <w:trPr>
          <w:cantSplit/>
          <w:trHeight w:val="364"/>
          <w:tblHeader/>
          <w:jc w:val="center"/>
        </w:trPr>
        <w:tc>
          <w:tcPr>
            <w:tcW w:w="993" w:type="dxa"/>
            <w:vMerge/>
            <w:tcBorders>
              <w:left w:val="nil"/>
            </w:tcBorders>
            <w:shd w:val="clear" w:color="auto" w:fill="DDD9C3" w:themeFill="background2" w:themeFillShade="E6"/>
          </w:tcPr>
          <w:p w14:paraId="0C143C0F" w14:textId="77777777" w:rsidR="00567221" w:rsidRPr="00A106E4" w:rsidRDefault="00567221" w:rsidP="00927C71">
            <w:pPr>
              <w:spacing w:before="60" w:after="60" w:line="240" w:lineRule="auto"/>
              <w:jc w:val="center"/>
              <w:rPr>
                <w:rFonts w:cstheme="minorHAnsi"/>
                <w:b/>
                <w:bCs/>
                <w:color w:val="000000"/>
                <w:sz w:val="20"/>
                <w:szCs w:val="20"/>
                <w:lang w:eastAsia="en-GB"/>
              </w:rPr>
            </w:pPr>
          </w:p>
        </w:tc>
        <w:tc>
          <w:tcPr>
            <w:tcW w:w="6852" w:type="dxa"/>
            <w:vMerge/>
            <w:shd w:val="clear" w:color="auto" w:fill="DDD9C3" w:themeFill="background2" w:themeFillShade="E6"/>
            <w:vAlign w:val="center"/>
          </w:tcPr>
          <w:p w14:paraId="7F50CFC8" w14:textId="77777777" w:rsidR="00567221" w:rsidRPr="00A106E4" w:rsidRDefault="00567221" w:rsidP="00927C71">
            <w:pPr>
              <w:pStyle w:val="Tablehead"/>
              <w:rPr>
                <w:lang w:eastAsia="en-GB"/>
              </w:rPr>
            </w:pPr>
          </w:p>
        </w:tc>
        <w:tc>
          <w:tcPr>
            <w:tcW w:w="1653" w:type="dxa"/>
            <w:vMerge/>
            <w:shd w:val="clear" w:color="auto" w:fill="DDD9C3" w:themeFill="background2" w:themeFillShade="E6"/>
            <w:noWrap/>
            <w:vAlign w:val="center"/>
          </w:tcPr>
          <w:p w14:paraId="5A401EAB" w14:textId="77777777" w:rsidR="00567221" w:rsidRPr="00A106E4" w:rsidRDefault="00567221" w:rsidP="00927C71">
            <w:pPr>
              <w:pStyle w:val="Tablehead"/>
              <w:rPr>
                <w:lang w:eastAsia="en-GB"/>
              </w:rPr>
            </w:pPr>
          </w:p>
        </w:tc>
      </w:tr>
      <w:tr w:rsidR="00567221" w:rsidRPr="00A106E4" w14:paraId="6ABF8501" w14:textId="77777777" w:rsidTr="000666C1">
        <w:trPr>
          <w:cantSplit/>
          <w:jc w:val="center"/>
        </w:trPr>
        <w:tc>
          <w:tcPr>
            <w:tcW w:w="993" w:type="dxa"/>
            <w:vAlign w:val="center"/>
          </w:tcPr>
          <w:p w14:paraId="1E95E092" w14:textId="77777777" w:rsidR="00567221" w:rsidRPr="00A106E4" w:rsidRDefault="00567221" w:rsidP="00927C71">
            <w:pPr>
              <w:pStyle w:val="Tabletext"/>
              <w:jc w:val="center"/>
              <w:rPr>
                <w:b/>
                <w:bCs/>
                <w:lang w:eastAsia="en-GB"/>
              </w:rPr>
            </w:pPr>
            <w:r w:rsidRPr="00A106E4">
              <w:rPr>
                <w:b/>
                <w:bCs/>
                <w:lang w:eastAsia="en-GB"/>
              </w:rPr>
              <w:t>1</w:t>
            </w:r>
          </w:p>
        </w:tc>
        <w:tc>
          <w:tcPr>
            <w:tcW w:w="6852" w:type="dxa"/>
            <w:shd w:val="clear" w:color="auto" w:fill="auto"/>
            <w:vAlign w:val="center"/>
            <w:hideMark/>
          </w:tcPr>
          <w:p w14:paraId="76D4F782" w14:textId="5856CABE" w:rsidR="00567221" w:rsidRPr="00A106E4" w:rsidRDefault="00567221" w:rsidP="00927C71">
            <w:pPr>
              <w:pStyle w:val="Tabletext"/>
              <w:rPr>
                <w:lang w:eastAsia="en-GB"/>
              </w:rPr>
            </w:pPr>
            <w:r w:rsidRPr="00A106E4">
              <w:rPr>
                <w:lang w:eastAsia="en-GB"/>
              </w:rPr>
              <w:t>Liste des candidats aux fonctions de Président et Vice-Président des GTC, GE et GEI</w:t>
            </w:r>
            <w:r w:rsidR="000666C1" w:rsidRPr="00A106E4">
              <w:rPr>
                <w:lang w:eastAsia="en-GB"/>
              </w:rPr>
              <w:t xml:space="preserve"> </w:t>
            </w:r>
            <w:r w:rsidR="000666C1" w:rsidRPr="00A106E4">
              <w:rPr>
                <w:i/>
                <w:iCs/>
                <w:color w:val="000000"/>
                <w:szCs w:val="20"/>
                <w:lang w:eastAsia="en-GB"/>
              </w:rPr>
              <w:t>(PL 1.8)</w:t>
            </w:r>
          </w:p>
        </w:tc>
        <w:tc>
          <w:tcPr>
            <w:tcW w:w="1653" w:type="dxa"/>
            <w:shd w:val="clear" w:color="auto" w:fill="auto"/>
            <w:noWrap/>
            <w:vAlign w:val="center"/>
          </w:tcPr>
          <w:p w14:paraId="63283873" w14:textId="5167F2FA" w:rsidR="00567221" w:rsidRPr="00A106E4" w:rsidRDefault="00003BE3" w:rsidP="00927C71">
            <w:pPr>
              <w:pStyle w:val="Tabletext"/>
              <w:jc w:val="center"/>
              <w:rPr>
                <w:lang w:eastAsia="en-GB"/>
              </w:rPr>
            </w:pPr>
            <w:hyperlink r:id="rId16" w:history="1">
              <w:r w:rsidR="000666C1" w:rsidRPr="00A106E4">
                <w:rPr>
                  <w:rStyle w:val="Hyperlink"/>
                  <w:rFonts w:cstheme="minorHAnsi"/>
                  <w:szCs w:val="20"/>
                  <w:lang w:eastAsia="en-GB"/>
                </w:rPr>
                <w:t>21R3</w:t>
              </w:r>
            </w:hyperlink>
          </w:p>
        </w:tc>
      </w:tr>
      <w:tr w:rsidR="00567221" w:rsidRPr="00A106E4" w14:paraId="1934ABD3" w14:textId="77777777" w:rsidTr="000666C1">
        <w:trPr>
          <w:cantSplit/>
          <w:jc w:val="center"/>
        </w:trPr>
        <w:tc>
          <w:tcPr>
            <w:tcW w:w="993" w:type="dxa"/>
            <w:vAlign w:val="center"/>
          </w:tcPr>
          <w:p w14:paraId="505E57DF" w14:textId="77777777" w:rsidR="00567221" w:rsidRPr="00A106E4" w:rsidRDefault="00567221" w:rsidP="00927C71">
            <w:pPr>
              <w:pStyle w:val="Tabletext"/>
              <w:jc w:val="center"/>
              <w:rPr>
                <w:b/>
                <w:bCs/>
                <w:lang w:eastAsia="en-GB"/>
              </w:rPr>
            </w:pPr>
            <w:r w:rsidRPr="00A106E4">
              <w:rPr>
                <w:b/>
                <w:bCs/>
                <w:lang w:eastAsia="en-GB"/>
              </w:rPr>
              <w:t>2</w:t>
            </w:r>
          </w:p>
        </w:tc>
        <w:tc>
          <w:tcPr>
            <w:tcW w:w="6852" w:type="dxa"/>
            <w:shd w:val="clear" w:color="auto" w:fill="auto"/>
            <w:vAlign w:val="center"/>
            <w:hideMark/>
          </w:tcPr>
          <w:p w14:paraId="25483842" w14:textId="77777777" w:rsidR="00941E75" w:rsidRPr="00A106E4" w:rsidRDefault="00567221" w:rsidP="00927C71">
            <w:pPr>
              <w:pStyle w:val="Tabletext"/>
              <w:rPr>
                <w:rFonts w:cstheme="minorHAnsi"/>
                <w:color w:val="000000"/>
                <w:szCs w:val="20"/>
                <w:lang w:eastAsia="en-GB"/>
              </w:rPr>
            </w:pPr>
            <w:r w:rsidRPr="00A106E4">
              <w:rPr>
                <w:lang w:eastAsia="en-GB"/>
              </w:rPr>
              <w:t>Journée mondiale des télécommunications et de la société de l'information (</w:t>
            </w:r>
            <w:r w:rsidRPr="00A106E4">
              <w:rPr>
                <w:i/>
                <w:iCs/>
                <w:lang w:eastAsia="en-GB"/>
              </w:rPr>
              <w:t>Résolution 68 de la PP)</w:t>
            </w:r>
            <w:r w:rsidR="00941E75" w:rsidRPr="00A106E4">
              <w:rPr>
                <w:i/>
                <w:iCs/>
                <w:lang w:eastAsia="en-GB"/>
              </w:rPr>
              <w:t xml:space="preserve"> </w:t>
            </w:r>
            <w:r w:rsidR="00941E75" w:rsidRPr="00A106E4">
              <w:rPr>
                <w:i/>
                <w:iCs/>
                <w:color w:val="000000"/>
                <w:szCs w:val="20"/>
                <w:lang w:eastAsia="en-GB"/>
              </w:rPr>
              <w:t>(PL 2.2)</w:t>
            </w:r>
          </w:p>
          <w:p w14:paraId="4E5DDE0D" w14:textId="61132D50" w:rsidR="00567221" w:rsidRPr="00A106E4" w:rsidRDefault="00941E75" w:rsidP="00927C71">
            <w:pPr>
              <w:pStyle w:val="Tabletext"/>
              <w:rPr>
                <w:lang w:eastAsia="en-GB"/>
              </w:rPr>
            </w:pPr>
            <w:r w:rsidRPr="00A106E4">
              <w:rPr>
                <w:rFonts w:cstheme="minorHAnsi"/>
                <w:color w:val="000000"/>
                <w:lang w:eastAsia="en-GB"/>
              </w:rPr>
              <w:t>–</w:t>
            </w:r>
            <w:r w:rsidRPr="00A106E4">
              <w:rPr>
                <w:rFonts w:cstheme="minorHAnsi"/>
                <w:color w:val="000000"/>
                <w:lang w:eastAsia="en-GB"/>
              </w:rPr>
              <w:tab/>
              <w:t xml:space="preserve">Contribution </w:t>
            </w:r>
            <w:r w:rsidR="00E262E6" w:rsidRPr="00A106E4">
              <w:rPr>
                <w:rFonts w:cstheme="minorHAnsi"/>
                <w:color w:val="000000"/>
                <w:lang w:eastAsia="en-GB"/>
              </w:rPr>
              <w:t>de la Fédération de Russie</w:t>
            </w:r>
          </w:p>
        </w:tc>
        <w:tc>
          <w:tcPr>
            <w:tcW w:w="1653" w:type="dxa"/>
            <w:shd w:val="clear" w:color="auto" w:fill="auto"/>
            <w:noWrap/>
            <w:vAlign w:val="center"/>
          </w:tcPr>
          <w:p w14:paraId="520BE4DE" w14:textId="77777777" w:rsidR="000666C1" w:rsidRPr="00A106E4" w:rsidRDefault="00003BE3" w:rsidP="00927C71">
            <w:pPr>
              <w:spacing w:before="60" w:after="60" w:line="240" w:lineRule="auto"/>
              <w:jc w:val="center"/>
              <w:rPr>
                <w:rFonts w:cstheme="minorHAnsi"/>
                <w:color w:val="000000"/>
                <w:sz w:val="20"/>
                <w:szCs w:val="20"/>
                <w:lang w:eastAsia="en-GB"/>
              </w:rPr>
            </w:pPr>
            <w:hyperlink r:id="rId17" w:history="1">
              <w:r w:rsidR="000666C1" w:rsidRPr="00A106E4">
                <w:rPr>
                  <w:rStyle w:val="Hyperlink"/>
                  <w:rFonts w:cstheme="minorHAnsi"/>
                  <w:sz w:val="20"/>
                  <w:szCs w:val="20"/>
                  <w:lang w:eastAsia="en-GB"/>
                </w:rPr>
                <w:t>17</w:t>
              </w:r>
            </w:hyperlink>
          </w:p>
          <w:p w14:paraId="021C82FA" w14:textId="2D57F63C" w:rsidR="00567221" w:rsidRPr="00A106E4" w:rsidRDefault="00003BE3" w:rsidP="00927C71">
            <w:pPr>
              <w:pStyle w:val="Tabletext"/>
              <w:jc w:val="center"/>
              <w:rPr>
                <w:lang w:eastAsia="en-GB"/>
              </w:rPr>
            </w:pPr>
            <w:hyperlink r:id="rId18" w:history="1">
              <w:r w:rsidR="000666C1" w:rsidRPr="00A106E4">
                <w:rPr>
                  <w:rStyle w:val="Hyperlink"/>
                  <w:rFonts w:cstheme="minorHAnsi"/>
                  <w:szCs w:val="20"/>
                  <w:lang w:eastAsia="en-GB"/>
                </w:rPr>
                <w:t>68</w:t>
              </w:r>
            </w:hyperlink>
          </w:p>
        </w:tc>
      </w:tr>
      <w:tr w:rsidR="00567221" w:rsidRPr="00A106E4" w14:paraId="49223786" w14:textId="77777777" w:rsidTr="000666C1">
        <w:trPr>
          <w:cantSplit/>
          <w:jc w:val="center"/>
        </w:trPr>
        <w:tc>
          <w:tcPr>
            <w:tcW w:w="993" w:type="dxa"/>
            <w:vAlign w:val="center"/>
          </w:tcPr>
          <w:p w14:paraId="14B07C5F" w14:textId="77777777" w:rsidR="00567221" w:rsidRPr="00A106E4" w:rsidRDefault="00567221" w:rsidP="00927C71">
            <w:pPr>
              <w:pStyle w:val="Tabletext"/>
              <w:jc w:val="center"/>
              <w:rPr>
                <w:b/>
                <w:bCs/>
                <w:lang w:eastAsia="en-GB"/>
              </w:rPr>
            </w:pPr>
            <w:r w:rsidRPr="00A106E4">
              <w:rPr>
                <w:b/>
                <w:bCs/>
                <w:lang w:eastAsia="en-GB"/>
              </w:rPr>
              <w:t>3</w:t>
            </w:r>
          </w:p>
        </w:tc>
        <w:tc>
          <w:tcPr>
            <w:tcW w:w="6852" w:type="dxa"/>
            <w:shd w:val="clear" w:color="auto" w:fill="auto"/>
            <w:vAlign w:val="center"/>
            <w:hideMark/>
          </w:tcPr>
          <w:p w14:paraId="519FFD43" w14:textId="53C4867A" w:rsidR="00567221" w:rsidRPr="00A106E4" w:rsidRDefault="00941E75" w:rsidP="00927C71">
            <w:pPr>
              <w:pStyle w:val="Tabletext"/>
              <w:rPr>
                <w:lang w:eastAsia="en-GB"/>
              </w:rPr>
            </w:pPr>
            <w:r w:rsidRPr="00A106E4">
              <w:rPr>
                <w:lang w:eastAsia="en-GB"/>
              </w:rPr>
              <w:t xml:space="preserve">Rapport du Président du Groupe de travail du Conseil sur les ressources financières et les ressources humaines (GTC-FHR) (Décisions 558 et 563(MOD)) </w:t>
            </w:r>
            <w:r w:rsidRPr="00A106E4">
              <w:rPr>
                <w:i/>
                <w:iCs/>
                <w:lang w:eastAsia="en-GB"/>
              </w:rPr>
              <w:t>(Résolutions 151, 152, 158, 169 et 170 de la PP, Décisions 558 et 563 (MOD)) (ADM 4)</w:t>
            </w:r>
          </w:p>
        </w:tc>
        <w:tc>
          <w:tcPr>
            <w:tcW w:w="1653" w:type="dxa"/>
            <w:shd w:val="clear" w:color="auto" w:fill="auto"/>
            <w:noWrap/>
            <w:vAlign w:val="center"/>
          </w:tcPr>
          <w:p w14:paraId="01C3C863" w14:textId="08BCA604" w:rsidR="00567221" w:rsidRPr="00A106E4" w:rsidRDefault="00003BE3" w:rsidP="00927C71">
            <w:pPr>
              <w:pStyle w:val="Tabletext"/>
              <w:jc w:val="center"/>
              <w:rPr>
                <w:lang w:eastAsia="en-GB"/>
              </w:rPr>
            </w:pPr>
            <w:hyperlink r:id="rId19" w:history="1">
              <w:r w:rsidR="000666C1" w:rsidRPr="00A106E4">
                <w:rPr>
                  <w:rStyle w:val="Hyperlink"/>
                  <w:rFonts w:cstheme="minorHAnsi"/>
                  <w:szCs w:val="20"/>
                  <w:lang w:eastAsia="en-GB"/>
                </w:rPr>
                <w:t>50</w:t>
              </w:r>
            </w:hyperlink>
          </w:p>
        </w:tc>
      </w:tr>
      <w:tr w:rsidR="00567221" w:rsidRPr="00A106E4" w14:paraId="2153D924" w14:textId="77777777" w:rsidTr="000666C1">
        <w:trPr>
          <w:cantSplit/>
          <w:jc w:val="center"/>
        </w:trPr>
        <w:tc>
          <w:tcPr>
            <w:tcW w:w="993" w:type="dxa"/>
            <w:vAlign w:val="center"/>
          </w:tcPr>
          <w:p w14:paraId="4EB4F6B5" w14:textId="41B0E4DE" w:rsidR="00567221" w:rsidRPr="00A106E4" w:rsidRDefault="000666C1" w:rsidP="00927C71">
            <w:pPr>
              <w:pStyle w:val="Tabletext"/>
              <w:jc w:val="center"/>
              <w:rPr>
                <w:b/>
                <w:bCs/>
                <w:lang w:eastAsia="en-GB"/>
              </w:rPr>
            </w:pPr>
            <w:r w:rsidRPr="00A106E4">
              <w:rPr>
                <w:b/>
                <w:bCs/>
                <w:lang w:eastAsia="en-GB"/>
              </w:rPr>
              <w:t>4</w:t>
            </w:r>
          </w:p>
        </w:tc>
        <w:tc>
          <w:tcPr>
            <w:tcW w:w="6852" w:type="dxa"/>
            <w:shd w:val="clear" w:color="auto" w:fill="auto"/>
            <w:vAlign w:val="center"/>
            <w:hideMark/>
          </w:tcPr>
          <w:p w14:paraId="0F6954D3" w14:textId="6D1F4C55" w:rsidR="00567221" w:rsidRPr="00A106E4" w:rsidRDefault="00941E75" w:rsidP="00927C71">
            <w:pPr>
              <w:pStyle w:val="Tabletext"/>
              <w:rPr>
                <w:i/>
                <w:iCs/>
                <w:lang w:eastAsia="en-GB"/>
              </w:rPr>
            </w:pPr>
            <w:r w:rsidRPr="00A106E4">
              <w:rPr>
                <w:rFonts w:cstheme="minorHAnsi"/>
                <w:lang w:eastAsia="en-GB"/>
              </w:rPr>
              <w:t>Rapport du Comité consultatif indépendant pour les questions de gestion (CCIG) (</w:t>
            </w:r>
            <w:r w:rsidRPr="00A106E4">
              <w:rPr>
                <w:rFonts w:cstheme="minorHAnsi"/>
                <w:i/>
                <w:iCs/>
                <w:lang w:eastAsia="en-GB"/>
              </w:rPr>
              <w:t>Résolution 162 de la PP, Décision 565 du Conseil</w:t>
            </w:r>
            <w:r w:rsidRPr="00A106E4">
              <w:rPr>
                <w:rFonts w:cstheme="minorHAnsi"/>
                <w:lang w:eastAsia="en-GB"/>
              </w:rPr>
              <w:t xml:space="preserve">) </w:t>
            </w:r>
            <w:r w:rsidRPr="00A106E4">
              <w:rPr>
                <w:rFonts w:cstheme="minorHAnsi"/>
                <w:i/>
                <w:iCs/>
                <w:lang w:eastAsia="en-GB"/>
              </w:rPr>
              <w:t>(ADM 13)</w:t>
            </w:r>
          </w:p>
        </w:tc>
        <w:tc>
          <w:tcPr>
            <w:tcW w:w="1653" w:type="dxa"/>
            <w:shd w:val="clear" w:color="auto" w:fill="auto"/>
            <w:vAlign w:val="center"/>
          </w:tcPr>
          <w:p w14:paraId="56E7D8AD" w14:textId="780E48C7" w:rsidR="00567221" w:rsidRPr="00A106E4" w:rsidRDefault="00003BE3" w:rsidP="00927C71">
            <w:pPr>
              <w:pStyle w:val="Tabletext"/>
              <w:jc w:val="center"/>
              <w:rPr>
                <w:lang w:eastAsia="en-GB"/>
              </w:rPr>
            </w:pPr>
            <w:hyperlink r:id="rId20" w:history="1">
              <w:r w:rsidR="000666C1" w:rsidRPr="00A106E4">
                <w:rPr>
                  <w:rStyle w:val="Hyperlink"/>
                </w:rPr>
                <w:t>22</w:t>
              </w:r>
            </w:hyperlink>
          </w:p>
        </w:tc>
      </w:tr>
      <w:tr w:rsidR="00567221" w:rsidRPr="00A106E4" w14:paraId="2CD1A2F4" w14:textId="77777777" w:rsidTr="000666C1">
        <w:trPr>
          <w:cantSplit/>
          <w:jc w:val="center"/>
        </w:trPr>
        <w:tc>
          <w:tcPr>
            <w:tcW w:w="993" w:type="dxa"/>
            <w:vAlign w:val="center"/>
          </w:tcPr>
          <w:p w14:paraId="28BE0130" w14:textId="1A214761" w:rsidR="00567221" w:rsidRPr="00A106E4" w:rsidRDefault="000666C1" w:rsidP="00927C71">
            <w:pPr>
              <w:pStyle w:val="Tabletext"/>
              <w:jc w:val="center"/>
              <w:rPr>
                <w:b/>
                <w:bCs/>
                <w:lang w:eastAsia="en-GB"/>
              </w:rPr>
            </w:pPr>
            <w:r w:rsidRPr="00A106E4">
              <w:rPr>
                <w:b/>
                <w:bCs/>
                <w:lang w:eastAsia="en-GB"/>
              </w:rPr>
              <w:t>5</w:t>
            </w:r>
          </w:p>
        </w:tc>
        <w:tc>
          <w:tcPr>
            <w:tcW w:w="6852" w:type="dxa"/>
            <w:shd w:val="clear" w:color="auto" w:fill="auto"/>
            <w:vAlign w:val="center"/>
            <w:hideMark/>
          </w:tcPr>
          <w:p w14:paraId="1C405060" w14:textId="281F472B" w:rsidR="00567221" w:rsidRPr="00A106E4" w:rsidRDefault="00941E75" w:rsidP="00927C71">
            <w:pPr>
              <w:pStyle w:val="Tabletext"/>
              <w:rPr>
                <w:lang w:eastAsia="en-GB"/>
              </w:rPr>
            </w:pPr>
            <w:r w:rsidRPr="00A106E4">
              <w:rPr>
                <w:lang w:eastAsia="en-GB"/>
              </w:rPr>
              <w:t>Nomination d'un nouveau Vérificateur extérieur des comptes (</w:t>
            </w:r>
            <w:r w:rsidRPr="00A106E4">
              <w:rPr>
                <w:i/>
                <w:iCs/>
                <w:lang w:eastAsia="en-GB"/>
              </w:rPr>
              <w:t>Résolution 94 de la PP, Décision 614 du Conseil</w:t>
            </w:r>
            <w:r w:rsidRPr="00A106E4">
              <w:rPr>
                <w:lang w:eastAsia="en-GB"/>
              </w:rPr>
              <w:t xml:space="preserve">) </w:t>
            </w:r>
            <w:r w:rsidRPr="00A106E4">
              <w:rPr>
                <w:i/>
                <w:iCs/>
                <w:lang w:eastAsia="en-GB"/>
              </w:rPr>
              <w:t>(ADM 14)</w:t>
            </w:r>
          </w:p>
        </w:tc>
        <w:tc>
          <w:tcPr>
            <w:tcW w:w="1653" w:type="dxa"/>
            <w:shd w:val="clear" w:color="auto" w:fill="auto"/>
            <w:vAlign w:val="center"/>
          </w:tcPr>
          <w:p w14:paraId="6A5846B8" w14:textId="008C9BCC" w:rsidR="00567221" w:rsidRPr="00A106E4" w:rsidRDefault="00003BE3" w:rsidP="00927C71">
            <w:pPr>
              <w:pStyle w:val="Tabletext"/>
              <w:jc w:val="center"/>
              <w:rPr>
                <w:lang w:eastAsia="en-GB"/>
              </w:rPr>
            </w:pPr>
            <w:hyperlink r:id="rId21" w:history="1">
              <w:r w:rsidR="000666C1" w:rsidRPr="00A106E4">
                <w:rPr>
                  <w:rStyle w:val="Hyperlink"/>
                  <w:szCs w:val="20"/>
                </w:rPr>
                <w:t>49</w:t>
              </w:r>
            </w:hyperlink>
          </w:p>
        </w:tc>
      </w:tr>
      <w:tr w:rsidR="00567221" w:rsidRPr="00A106E4" w14:paraId="076E0A38" w14:textId="77777777" w:rsidTr="000666C1">
        <w:trPr>
          <w:cantSplit/>
          <w:jc w:val="center"/>
        </w:trPr>
        <w:tc>
          <w:tcPr>
            <w:tcW w:w="993" w:type="dxa"/>
            <w:vAlign w:val="center"/>
          </w:tcPr>
          <w:p w14:paraId="01654396" w14:textId="1083267F" w:rsidR="00567221" w:rsidRPr="00A106E4" w:rsidRDefault="000666C1" w:rsidP="00927C71">
            <w:pPr>
              <w:pStyle w:val="Tabletext"/>
              <w:jc w:val="center"/>
              <w:rPr>
                <w:b/>
                <w:bCs/>
                <w:lang w:eastAsia="en-GB"/>
              </w:rPr>
            </w:pPr>
            <w:r w:rsidRPr="00A106E4">
              <w:rPr>
                <w:b/>
                <w:bCs/>
                <w:lang w:eastAsia="en-GB"/>
              </w:rPr>
              <w:t>6</w:t>
            </w:r>
          </w:p>
        </w:tc>
        <w:tc>
          <w:tcPr>
            <w:tcW w:w="6852" w:type="dxa"/>
            <w:shd w:val="clear" w:color="auto" w:fill="auto"/>
            <w:vAlign w:val="center"/>
            <w:hideMark/>
          </w:tcPr>
          <w:p w14:paraId="24DE75E9" w14:textId="01E2F474" w:rsidR="00567221" w:rsidRPr="00A106E4" w:rsidRDefault="00567221" w:rsidP="00927C71">
            <w:pPr>
              <w:pStyle w:val="Tabletext"/>
              <w:rPr>
                <w:i/>
                <w:iCs/>
                <w:lang w:eastAsia="en-GB"/>
              </w:rPr>
            </w:pPr>
            <w:r w:rsidRPr="00A106E4">
              <w:rPr>
                <w:lang w:eastAsia="en-GB"/>
              </w:rPr>
              <w:t>Comptes vérifiés: Rapport de gestion financière vérifié pour 2019</w:t>
            </w:r>
            <w:r w:rsidR="00941E75" w:rsidRPr="00A106E4">
              <w:rPr>
                <w:lang w:eastAsia="en-GB"/>
              </w:rPr>
              <w:t xml:space="preserve"> </w:t>
            </w:r>
            <w:r w:rsidR="00941E75" w:rsidRPr="00A106E4">
              <w:rPr>
                <w:i/>
                <w:iCs/>
                <w:lang w:eastAsia="en-GB"/>
              </w:rPr>
              <w:t>(ADM 15)</w:t>
            </w:r>
          </w:p>
        </w:tc>
        <w:tc>
          <w:tcPr>
            <w:tcW w:w="1653" w:type="dxa"/>
            <w:shd w:val="clear" w:color="auto" w:fill="auto"/>
            <w:noWrap/>
            <w:vAlign w:val="center"/>
          </w:tcPr>
          <w:p w14:paraId="055E29C4" w14:textId="0170ECBE" w:rsidR="00567221" w:rsidRPr="00A106E4" w:rsidRDefault="00003BE3" w:rsidP="00927C71">
            <w:pPr>
              <w:pStyle w:val="Tabletext"/>
              <w:jc w:val="center"/>
              <w:rPr>
                <w:lang w:eastAsia="en-GB"/>
              </w:rPr>
            </w:pPr>
            <w:hyperlink r:id="rId22" w:history="1">
              <w:r w:rsidR="000666C1" w:rsidRPr="00A106E4">
                <w:rPr>
                  <w:rStyle w:val="Hyperlink"/>
                  <w:rFonts w:cstheme="minorHAnsi"/>
                  <w:szCs w:val="20"/>
                  <w:lang w:eastAsia="en-GB"/>
                </w:rPr>
                <w:t>42</w:t>
              </w:r>
            </w:hyperlink>
          </w:p>
        </w:tc>
      </w:tr>
      <w:tr w:rsidR="00567221" w:rsidRPr="00A106E4" w14:paraId="43C0B45A" w14:textId="77777777" w:rsidTr="000666C1">
        <w:trPr>
          <w:cantSplit/>
          <w:jc w:val="center"/>
        </w:trPr>
        <w:tc>
          <w:tcPr>
            <w:tcW w:w="993" w:type="dxa"/>
            <w:vAlign w:val="center"/>
          </w:tcPr>
          <w:p w14:paraId="238ABD88" w14:textId="50995084" w:rsidR="00567221" w:rsidRPr="00A106E4" w:rsidRDefault="000666C1" w:rsidP="00927C71">
            <w:pPr>
              <w:pStyle w:val="Tabletext"/>
              <w:jc w:val="center"/>
              <w:rPr>
                <w:b/>
                <w:bCs/>
                <w:lang w:eastAsia="en-GB"/>
              </w:rPr>
            </w:pPr>
            <w:r w:rsidRPr="00A106E4">
              <w:rPr>
                <w:b/>
                <w:bCs/>
                <w:lang w:eastAsia="en-GB"/>
              </w:rPr>
              <w:t>7</w:t>
            </w:r>
          </w:p>
        </w:tc>
        <w:tc>
          <w:tcPr>
            <w:tcW w:w="6852" w:type="dxa"/>
            <w:shd w:val="clear" w:color="auto" w:fill="auto"/>
            <w:vAlign w:val="center"/>
            <w:hideMark/>
          </w:tcPr>
          <w:p w14:paraId="1C95C890" w14:textId="2307C7C0" w:rsidR="00567221" w:rsidRPr="00A106E4" w:rsidRDefault="00567221" w:rsidP="00927C71">
            <w:pPr>
              <w:pStyle w:val="Tabletext"/>
              <w:rPr>
                <w:i/>
                <w:iCs/>
                <w:lang w:eastAsia="en-GB"/>
              </w:rPr>
            </w:pPr>
            <w:r w:rsidRPr="00A106E4">
              <w:rPr>
                <w:bCs/>
                <w:lang w:eastAsia="en-GB"/>
              </w:rPr>
              <w:t>Rapport du Vérificateur extérieur des comptes: Comptes de l'Union pour 2019</w:t>
            </w:r>
            <w:r w:rsidR="00941E75" w:rsidRPr="00A106E4">
              <w:rPr>
                <w:bCs/>
                <w:lang w:eastAsia="en-GB"/>
              </w:rPr>
              <w:t xml:space="preserve"> </w:t>
            </w:r>
            <w:r w:rsidR="00941E75" w:rsidRPr="00A106E4">
              <w:rPr>
                <w:bCs/>
                <w:i/>
                <w:iCs/>
                <w:lang w:eastAsia="en-GB"/>
              </w:rPr>
              <w:t>(ADM 16)</w:t>
            </w:r>
          </w:p>
        </w:tc>
        <w:tc>
          <w:tcPr>
            <w:tcW w:w="1653" w:type="dxa"/>
            <w:shd w:val="clear" w:color="auto" w:fill="auto"/>
            <w:noWrap/>
            <w:vAlign w:val="center"/>
            <w:hideMark/>
          </w:tcPr>
          <w:p w14:paraId="393BF658" w14:textId="6EAF2EDA" w:rsidR="00567221" w:rsidRPr="00A106E4" w:rsidRDefault="000666C1" w:rsidP="00927C71">
            <w:pPr>
              <w:pStyle w:val="Tabletext"/>
              <w:jc w:val="center"/>
              <w:rPr>
                <w:lang w:eastAsia="en-GB"/>
              </w:rPr>
            </w:pPr>
            <w:r w:rsidRPr="00A106E4">
              <w:rPr>
                <w:lang w:eastAsia="en-GB"/>
              </w:rPr>
              <w:t>[</w:t>
            </w:r>
            <w:r w:rsidR="00567221" w:rsidRPr="00A106E4">
              <w:rPr>
                <w:lang w:eastAsia="en-GB"/>
              </w:rPr>
              <w:t>40</w:t>
            </w:r>
            <w:r w:rsidRPr="00A106E4">
              <w:rPr>
                <w:lang w:eastAsia="en-GB"/>
              </w:rPr>
              <w:t>]</w:t>
            </w:r>
          </w:p>
        </w:tc>
      </w:tr>
      <w:tr w:rsidR="00567221" w:rsidRPr="00A106E4" w14:paraId="64E63C37" w14:textId="77777777" w:rsidTr="000666C1">
        <w:trPr>
          <w:cantSplit/>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A3DBD3" w14:textId="1540A284" w:rsidR="00567221" w:rsidRPr="00A106E4" w:rsidRDefault="000666C1" w:rsidP="00927C71">
            <w:pPr>
              <w:pStyle w:val="Tabletext"/>
              <w:jc w:val="center"/>
              <w:rPr>
                <w:b/>
                <w:bCs/>
                <w:lang w:eastAsia="en-GB"/>
              </w:rPr>
            </w:pPr>
            <w:r w:rsidRPr="00A106E4">
              <w:rPr>
                <w:b/>
                <w:bCs/>
                <w:lang w:eastAsia="en-GB"/>
              </w:rPr>
              <w:t>8</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tcPr>
          <w:p w14:paraId="5B351E91" w14:textId="3578E6CD" w:rsidR="00567221" w:rsidRPr="00A106E4" w:rsidRDefault="00567221" w:rsidP="00927C71">
            <w:pPr>
              <w:pStyle w:val="Tabletext"/>
              <w:rPr>
                <w:i/>
                <w:iCs/>
                <w:lang w:eastAsia="en-GB"/>
              </w:rPr>
            </w:pPr>
            <w:r w:rsidRPr="00A106E4">
              <w:rPr>
                <w:lang w:eastAsia="en-GB"/>
              </w:rPr>
              <w:t>Rapport sur les progrès réalisés concernant le projet de locaux du siège de l'Union (</w:t>
            </w:r>
            <w:r w:rsidRPr="00A106E4">
              <w:rPr>
                <w:i/>
                <w:iCs/>
                <w:lang w:eastAsia="en-GB"/>
              </w:rPr>
              <w:t>Résolution 212 de la PP, Décision 619 du Conseil</w:t>
            </w:r>
            <w:r w:rsidRPr="00A106E4">
              <w:rPr>
                <w:lang w:eastAsia="en-GB"/>
              </w:rPr>
              <w:t>)</w:t>
            </w:r>
            <w:r w:rsidR="00941E75" w:rsidRPr="00A106E4">
              <w:rPr>
                <w:lang w:eastAsia="en-GB"/>
              </w:rPr>
              <w:t xml:space="preserve"> </w:t>
            </w:r>
            <w:r w:rsidR="00941E75" w:rsidRPr="00A106E4">
              <w:rPr>
                <w:i/>
                <w:iCs/>
                <w:lang w:eastAsia="en-GB"/>
              </w:rPr>
              <w:t>(ADM 20)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1FE2969D" w14:textId="0791F247" w:rsidR="00567221" w:rsidRPr="00A106E4" w:rsidRDefault="00003BE3" w:rsidP="00927C71">
            <w:pPr>
              <w:pStyle w:val="Tabletext"/>
              <w:jc w:val="center"/>
              <w:rPr>
                <w:lang w:eastAsia="en-GB"/>
              </w:rPr>
            </w:pPr>
            <w:hyperlink r:id="rId23" w:history="1">
              <w:r w:rsidR="000666C1" w:rsidRPr="00A106E4">
                <w:rPr>
                  <w:rStyle w:val="Hyperlink"/>
                  <w:rFonts w:cstheme="minorHAnsi"/>
                  <w:szCs w:val="20"/>
                  <w:lang w:eastAsia="en-GB"/>
                </w:rPr>
                <w:t>7</w:t>
              </w:r>
            </w:hyperlink>
          </w:p>
        </w:tc>
      </w:tr>
      <w:tr w:rsidR="000666C1" w:rsidRPr="00A106E4" w14:paraId="1ABA348F" w14:textId="77777777" w:rsidTr="000666C1">
        <w:trPr>
          <w:cantSplit/>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CAA7BE" w14:textId="747F2531" w:rsidR="000666C1" w:rsidRPr="00A106E4" w:rsidRDefault="000666C1" w:rsidP="00927C71">
            <w:pPr>
              <w:pStyle w:val="Tabletext"/>
              <w:jc w:val="center"/>
              <w:rPr>
                <w:b/>
                <w:bCs/>
                <w:lang w:eastAsia="en-GB"/>
              </w:rPr>
            </w:pPr>
            <w:r w:rsidRPr="00A106E4">
              <w:rPr>
                <w:b/>
                <w:bCs/>
                <w:lang w:eastAsia="en-GB"/>
              </w:rPr>
              <w:t>9</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tcPr>
          <w:p w14:paraId="21920E33" w14:textId="59C40ACD" w:rsidR="000666C1" w:rsidRPr="00A106E4" w:rsidRDefault="00941E75" w:rsidP="00927C71">
            <w:pPr>
              <w:pStyle w:val="Tabletext"/>
              <w:rPr>
                <w:lang w:eastAsia="en-GB"/>
              </w:rPr>
            </w:pPr>
            <w:r w:rsidRPr="00A106E4">
              <w:rPr>
                <w:lang w:eastAsia="en-GB"/>
              </w:rPr>
              <w:t>Stratégie et plan de mise en œuvre pour les conditions de travail du personnel (</w:t>
            </w:r>
            <w:r w:rsidRPr="00A106E4">
              <w:rPr>
                <w:i/>
                <w:iCs/>
                <w:lang w:eastAsia="en-GB"/>
              </w:rPr>
              <w:t>Décision 619 du Conseil</w:t>
            </w:r>
            <w:r w:rsidRPr="00A106E4">
              <w:rPr>
                <w:lang w:eastAsia="en-GB"/>
              </w:rPr>
              <w:t xml:space="preserve">) </w:t>
            </w:r>
            <w:r w:rsidRPr="00A106E4">
              <w:rPr>
                <w:i/>
                <w:iCs/>
                <w:lang w:eastAsia="en-GB"/>
              </w:rPr>
              <w:t>(ADM 20)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7B377CC3" w14:textId="35AACCED" w:rsidR="000666C1" w:rsidRPr="00A106E4" w:rsidRDefault="00003BE3" w:rsidP="00927C71">
            <w:pPr>
              <w:pStyle w:val="Tabletext"/>
              <w:jc w:val="center"/>
              <w:rPr>
                <w:lang w:eastAsia="en-GB"/>
              </w:rPr>
            </w:pPr>
            <w:hyperlink r:id="rId24" w:history="1">
              <w:r w:rsidR="000666C1" w:rsidRPr="00A106E4">
                <w:rPr>
                  <w:rStyle w:val="Hyperlink"/>
                  <w:rFonts w:cstheme="minorHAnsi"/>
                  <w:szCs w:val="20"/>
                  <w:lang w:eastAsia="en-GB"/>
                </w:rPr>
                <w:t>29</w:t>
              </w:r>
            </w:hyperlink>
          </w:p>
        </w:tc>
      </w:tr>
      <w:tr w:rsidR="00567221" w:rsidRPr="00A106E4" w14:paraId="4D635D9C" w14:textId="77777777" w:rsidTr="000666C1">
        <w:trPr>
          <w:cantSplit/>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A0EBD6" w14:textId="6683AA3F" w:rsidR="00567221" w:rsidRPr="00A106E4" w:rsidRDefault="00567221" w:rsidP="00927C71">
            <w:pPr>
              <w:pStyle w:val="Tabletext"/>
              <w:jc w:val="center"/>
              <w:rPr>
                <w:b/>
                <w:bCs/>
                <w:lang w:eastAsia="en-GB"/>
              </w:rPr>
            </w:pPr>
            <w:r w:rsidRPr="00A106E4">
              <w:rPr>
                <w:b/>
                <w:bCs/>
                <w:lang w:eastAsia="en-GB"/>
              </w:rPr>
              <w:t>1</w:t>
            </w:r>
            <w:r w:rsidR="000666C1" w:rsidRPr="00A106E4">
              <w:rPr>
                <w:b/>
                <w:bCs/>
                <w:lang w:eastAsia="en-GB"/>
              </w:rPr>
              <w:t>0</w:t>
            </w:r>
          </w:p>
        </w:tc>
        <w:tc>
          <w:tcPr>
            <w:tcW w:w="6852" w:type="dxa"/>
            <w:tcBorders>
              <w:top w:val="single" w:sz="4" w:space="0" w:color="auto"/>
              <w:left w:val="single" w:sz="4" w:space="0" w:color="auto"/>
              <w:bottom w:val="single" w:sz="4" w:space="0" w:color="auto"/>
              <w:right w:val="single" w:sz="4" w:space="0" w:color="auto"/>
            </w:tcBorders>
            <w:shd w:val="clear" w:color="auto" w:fill="auto"/>
            <w:vAlign w:val="center"/>
          </w:tcPr>
          <w:p w14:paraId="0B845320" w14:textId="09A9E9B0" w:rsidR="00567221" w:rsidRPr="00A106E4" w:rsidRDefault="00567221" w:rsidP="00927C71">
            <w:pPr>
              <w:pStyle w:val="Tabletext"/>
              <w:rPr>
                <w:lang w:eastAsia="en-GB"/>
              </w:rPr>
            </w:pPr>
            <w:r w:rsidRPr="00A106E4">
              <w:rPr>
                <w:lang w:eastAsia="en-GB"/>
              </w:rPr>
              <w:t>Compte rendu des travaux du Groupe consultatif d'États Membres concernant le projet de locaux du siège de l'Union</w:t>
            </w:r>
            <w:r w:rsidRPr="00A106E4">
              <w:rPr>
                <w:bCs/>
                <w:i/>
                <w:iCs/>
                <w:lang w:eastAsia="en-GB"/>
              </w:rPr>
              <w:t xml:space="preserve"> (Résolution 212 de la PP)</w:t>
            </w:r>
            <w:r w:rsidR="00941E75" w:rsidRPr="00A106E4">
              <w:rPr>
                <w:bCs/>
                <w:i/>
                <w:iCs/>
                <w:lang w:eastAsia="en-GB"/>
              </w:rPr>
              <w:t xml:space="preserve"> (ADM 20)</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6E75B921" w14:textId="50420942" w:rsidR="00567221" w:rsidRPr="00A106E4" w:rsidRDefault="00003BE3" w:rsidP="00927C71">
            <w:pPr>
              <w:pStyle w:val="Tabletext"/>
              <w:jc w:val="center"/>
              <w:rPr>
                <w:lang w:eastAsia="en-GB"/>
              </w:rPr>
            </w:pPr>
            <w:hyperlink r:id="rId25" w:history="1">
              <w:r w:rsidR="000666C1" w:rsidRPr="00A106E4">
                <w:rPr>
                  <w:rStyle w:val="Hyperlink"/>
                  <w:rFonts w:cstheme="minorHAnsi"/>
                  <w:szCs w:val="20"/>
                  <w:lang w:eastAsia="en-GB"/>
                </w:rPr>
                <w:t>48</w:t>
              </w:r>
            </w:hyperlink>
          </w:p>
        </w:tc>
      </w:tr>
      <w:tr w:rsidR="00567221" w:rsidRPr="00A106E4" w14:paraId="68017429" w14:textId="77777777" w:rsidTr="000666C1">
        <w:trPr>
          <w:cantSplit/>
          <w:jc w:val="center"/>
        </w:trPr>
        <w:tc>
          <w:tcPr>
            <w:tcW w:w="993" w:type="dxa"/>
            <w:vAlign w:val="center"/>
          </w:tcPr>
          <w:p w14:paraId="71F1690F" w14:textId="1C457E65" w:rsidR="00567221" w:rsidRPr="00A106E4" w:rsidRDefault="00567221" w:rsidP="00927C71">
            <w:pPr>
              <w:pStyle w:val="Tabletext"/>
              <w:jc w:val="center"/>
              <w:rPr>
                <w:b/>
                <w:bCs/>
                <w:lang w:eastAsia="en-GB"/>
              </w:rPr>
            </w:pPr>
            <w:r w:rsidRPr="00A106E4">
              <w:rPr>
                <w:b/>
                <w:bCs/>
                <w:lang w:eastAsia="en-GB"/>
              </w:rPr>
              <w:t>1</w:t>
            </w:r>
            <w:r w:rsidR="000666C1" w:rsidRPr="00A106E4">
              <w:rPr>
                <w:b/>
                <w:bCs/>
                <w:lang w:eastAsia="en-GB"/>
              </w:rPr>
              <w:t>1</w:t>
            </w:r>
          </w:p>
        </w:tc>
        <w:tc>
          <w:tcPr>
            <w:tcW w:w="6852" w:type="dxa"/>
            <w:shd w:val="clear" w:color="auto" w:fill="auto"/>
            <w:vAlign w:val="center"/>
            <w:hideMark/>
          </w:tcPr>
          <w:p w14:paraId="773B2794" w14:textId="77777777" w:rsidR="00567221" w:rsidRPr="00A106E4" w:rsidRDefault="00567221" w:rsidP="00927C71">
            <w:pPr>
              <w:pStyle w:val="Tabletext"/>
              <w:rPr>
                <w:i/>
                <w:iCs/>
                <w:lang w:eastAsia="en-GB"/>
              </w:rPr>
            </w:pPr>
            <w:r w:rsidRPr="00A106E4">
              <w:rPr>
                <w:lang w:eastAsia="en-GB"/>
              </w:rPr>
              <w:t>Nouvelle fonction et nouveau processus en matière d'enquête</w:t>
            </w:r>
            <w:r w:rsidR="00941E75" w:rsidRPr="00A106E4">
              <w:rPr>
                <w:lang w:eastAsia="en-GB"/>
              </w:rPr>
              <w:t xml:space="preserve"> </w:t>
            </w:r>
            <w:r w:rsidR="00941E75" w:rsidRPr="00A106E4">
              <w:rPr>
                <w:i/>
                <w:iCs/>
                <w:lang w:eastAsia="en-GB"/>
              </w:rPr>
              <w:t>(ADM 27)</w:t>
            </w:r>
          </w:p>
          <w:p w14:paraId="555851B2" w14:textId="5E713182" w:rsidR="00941E75" w:rsidRPr="00A106E4" w:rsidRDefault="00941E75" w:rsidP="00927C71">
            <w:pPr>
              <w:pStyle w:val="Tabletext"/>
              <w:rPr>
                <w:lang w:eastAsia="en-GB"/>
              </w:rPr>
            </w:pPr>
            <w:r w:rsidRPr="00A106E4">
              <w:rPr>
                <w:lang w:eastAsia="en-GB"/>
              </w:rPr>
              <w:t>–</w:t>
            </w:r>
            <w:r w:rsidRPr="00A106E4">
              <w:rPr>
                <w:lang w:eastAsia="en-GB"/>
              </w:rPr>
              <w:tab/>
            </w:r>
            <w:r w:rsidRPr="00A106E4">
              <w:rPr>
                <w:rFonts w:cstheme="minorHAnsi"/>
                <w:lang w:eastAsia="en-GB"/>
              </w:rPr>
              <w:t xml:space="preserve">Contribution </w:t>
            </w:r>
            <w:r w:rsidR="00E262E6" w:rsidRPr="00A106E4">
              <w:rPr>
                <w:rFonts w:cstheme="minorHAnsi"/>
                <w:lang w:eastAsia="en-GB"/>
              </w:rPr>
              <w:t>des États-Unis d</w:t>
            </w:r>
            <w:r w:rsidR="00C649E9" w:rsidRPr="00A106E4">
              <w:rPr>
                <w:rFonts w:cstheme="minorHAnsi"/>
                <w:lang w:eastAsia="en-GB"/>
              </w:rPr>
              <w:t>'</w:t>
            </w:r>
            <w:r w:rsidR="00E262E6" w:rsidRPr="00A106E4">
              <w:rPr>
                <w:rFonts w:cstheme="minorHAnsi"/>
                <w:lang w:eastAsia="en-GB"/>
              </w:rPr>
              <w:t>Amérique</w:t>
            </w:r>
          </w:p>
        </w:tc>
        <w:tc>
          <w:tcPr>
            <w:tcW w:w="1653" w:type="dxa"/>
            <w:shd w:val="clear" w:color="auto" w:fill="auto"/>
            <w:vAlign w:val="center"/>
            <w:hideMark/>
          </w:tcPr>
          <w:p w14:paraId="7C999C38" w14:textId="77777777" w:rsidR="000666C1" w:rsidRPr="00A106E4" w:rsidRDefault="00003BE3" w:rsidP="00927C71">
            <w:pPr>
              <w:spacing w:before="60" w:after="60" w:line="240" w:lineRule="auto"/>
              <w:jc w:val="center"/>
              <w:rPr>
                <w:rFonts w:cstheme="minorHAnsi"/>
                <w:color w:val="000000"/>
                <w:sz w:val="20"/>
                <w:szCs w:val="20"/>
                <w:lang w:eastAsia="en-GB"/>
              </w:rPr>
            </w:pPr>
            <w:hyperlink r:id="rId26" w:history="1">
              <w:r w:rsidR="000666C1" w:rsidRPr="00A106E4">
                <w:rPr>
                  <w:rStyle w:val="Hyperlink"/>
                  <w:rFonts w:cstheme="minorHAnsi"/>
                  <w:sz w:val="20"/>
                  <w:szCs w:val="20"/>
                  <w:lang w:eastAsia="en-GB"/>
                </w:rPr>
                <w:t>60</w:t>
              </w:r>
            </w:hyperlink>
          </w:p>
          <w:p w14:paraId="3842ED36" w14:textId="2C0B0E00" w:rsidR="00567221" w:rsidRPr="00A106E4" w:rsidRDefault="00003BE3" w:rsidP="00927C71">
            <w:pPr>
              <w:pStyle w:val="Tabletext"/>
              <w:jc w:val="center"/>
              <w:rPr>
                <w:lang w:eastAsia="en-GB"/>
              </w:rPr>
            </w:pPr>
            <w:hyperlink r:id="rId27" w:history="1">
              <w:r w:rsidR="000666C1" w:rsidRPr="00A106E4">
                <w:rPr>
                  <w:rStyle w:val="Hyperlink"/>
                  <w:szCs w:val="20"/>
                </w:rPr>
                <w:t>VC/8</w:t>
              </w:r>
            </w:hyperlink>
          </w:p>
        </w:tc>
      </w:tr>
      <w:tr w:rsidR="000666C1" w:rsidRPr="00A106E4" w14:paraId="18D38449" w14:textId="77777777" w:rsidTr="000666C1">
        <w:trPr>
          <w:cantSplit/>
          <w:jc w:val="center"/>
        </w:trPr>
        <w:tc>
          <w:tcPr>
            <w:tcW w:w="993" w:type="dxa"/>
            <w:vAlign w:val="center"/>
          </w:tcPr>
          <w:p w14:paraId="156640C8" w14:textId="1BC3524C" w:rsidR="000666C1" w:rsidRPr="00A106E4" w:rsidRDefault="000666C1" w:rsidP="00927C71">
            <w:pPr>
              <w:pStyle w:val="Tabletext"/>
              <w:jc w:val="center"/>
              <w:rPr>
                <w:b/>
                <w:bCs/>
                <w:lang w:eastAsia="en-GB"/>
              </w:rPr>
            </w:pPr>
            <w:r w:rsidRPr="00A106E4">
              <w:rPr>
                <w:b/>
                <w:bCs/>
                <w:lang w:eastAsia="en-GB"/>
              </w:rPr>
              <w:t>12</w:t>
            </w:r>
          </w:p>
        </w:tc>
        <w:tc>
          <w:tcPr>
            <w:tcW w:w="6852" w:type="dxa"/>
            <w:shd w:val="clear" w:color="auto" w:fill="auto"/>
            <w:vAlign w:val="center"/>
          </w:tcPr>
          <w:p w14:paraId="0ECFE4CB" w14:textId="74EE2CBA" w:rsidR="000666C1" w:rsidRPr="00A106E4" w:rsidRDefault="00941E75" w:rsidP="00927C71">
            <w:pPr>
              <w:pStyle w:val="Tabletext"/>
              <w:rPr>
                <w:lang w:eastAsia="en-GB"/>
              </w:rPr>
            </w:pPr>
            <w:r w:rsidRPr="00A106E4">
              <w:rPr>
                <w:lang w:eastAsia="en-GB"/>
              </w:rPr>
              <w:t xml:space="preserve">Décisions de l'Assemblée générale des Nations Unies relatives aux conditions d'emploi dans le cadre du régime commun des Nations Unies </w:t>
            </w:r>
            <w:r w:rsidRPr="00A106E4">
              <w:rPr>
                <w:i/>
                <w:iCs/>
                <w:lang w:eastAsia="en-GB"/>
              </w:rPr>
              <w:t>(ADM 28)</w:t>
            </w:r>
          </w:p>
        </w:tc>
        <w:tc>
          <w:tcPr>
            <w:tcW w:w="1653" w:type="dxa"/>
            <w:shd w:val="clear" w:color="auto" w:fill="auto"/>
            <w:vAlign w:val="center"/>
          </w:tcPr>
          <w:p w14:paraId="5888F2B2" w14:textId="618846AB" w:rsidR="000666C1" w:rsidRPr="00A106E4" w:rsidRDefault="00003BE3" w:rsidP="00927C71">
            <w:pPr>
              <w:pStyle w:val="Tabletext"/>
              <w:jc w:val="center"/>
              <w:rPr>
                <w:lang w:eastAsia="en-GB"/>
              </w:rPr>
            </w:pPr>
            <w:hyperlink r:id="rId28" w:history="1">
              <w:r w:rsidR="000666C1" w:rsidRPr="00A106E4">
                <w:rPr>
                  <w:rStyle w:val="Hyperlink"/>
                  <w:rFonts w:cstheme="minorHAnsi"/>
                  <w:szCs w:val="20"/>
                  <w:lang w:eastAsia="en-GB"/>
                </w:rPr>
                <w:t>23</w:t>
              </w:r>
            </w:hyperlink>
          </w:p>
        </w:tc>
      </w:tr>
      <w:tr w:rsidR="000666C1" w:rsidRPr="00A106E4" w14:paraId="5FEFBA1F" w14:textId="77777777" w:rsidTr="000666C1">
        <w:trPr>
          <w:cantSplit/>
          <w:jc w:val="center"/>
        </w:trPr>
        <w:tc>
          <w:tcPr>
            <w:tcW w:w="993" w:type="dxa"/>
            <w:vAlign w:val="center"/>
          </w:tcPr>
          <w:p w14:paraId="1656A077" w14:textId="35B5286E" w:rsidR="000666C1" w:rsidRPr="00A106E4" w:rsidRDefault="000666C1" w:rsidP="00927C71">
            <w:pPr>
              <w:pStyle w:val="Tabletext"/>
              <w:jc w:val="center"/>
              <w:rPr>
                <w:b/>
                <w:bCs/>
                <w:lang w:eastAsia="en-GB"/>
              </w:rPr>
            </w:pPr>
            <w:r w:rsidRPr="00A106E4">
              <w:rPr>
                <w:b/>
                <w:bCs/>
                <w:lang w:eastAsia="en-GB"/>
              </w:rPr>
              <w:t>13</w:t>
            </w:r>
          </w:p>
        </w:tc>
        <w:tc>
          <w:tcPr>
            <w:tcW w:w="6852" w:type="dxa"/>
            <w:shd w:val="clear" w:color="auto" w:fill="auto"/>
            <w:vAlign w:val="center"/>
          </w:tcPr>
          <w:p w14:paraId="1456A064" w14:textId="462021A0" w:rsidR="000666C1" w:rsidRPr="00A106E4" w:rsidRDefault="00941E75" w:rsidP="00927C71">
            <w:pPr>
              <w:pStyle w:val="Tabletext"/>
              <w:rPr>
                <w:lang w:eastAsia="en-GB"/>
              </w:rPr>
            </w:pPr>
            <w:r w:rsidRPr="00A106E4">
              <w:rPr>
                <w:lang w:eastAsia="en-GB"/>
              </w:rPr>
              <w:t>Calendrier des futures conférences, assemblées et réunions de l'Union: 2020</w:t>
            </w:r>
            <w:r w:rsidRPr="00A106E4">
              <w:rPr>
                <w:lang w:eastAsia="en-GB"/>
              </w:rPr>
              <w:noBreakHyphen/>
              <w:t>2023 (</w:t>
            </w:r>
            <w:r w:rsidRPr="00A106E4">
              <w:rPr>
                <w:i/>
                <w:iCs/>
                <w:lang w:eastAsia="en-GB"/>
              </w:rPr>
              <w:t>Résolutions 77 et 111 de la PP</w:t>
            </w:r>
            <w:r w:rsidRPr="00A106E4">
              <w:rPr>
                <w:lang w:eastAsia="en-GB"/>
              </w:rPr>
              <w:t xml:space="preserve">) </w:t>
            </w:r>
            <w:r w:rsidRPr="00A106E4">
              <w:rPr>
                <w:i/>
                <w:iCs/>
                <w:lang w:eastAsia="en-GB"/>
              </w:rPr>
              <w:t>(PL 2.7)</w:t>
            </w:r>
          </w:p>
        </w:tc>
        <w:tc>
          <w:tcPr>
            <w:tcW w:w="1653" w:type="dxa"/>
            <w:shd w:val="clear" w:color="auto" w:fill="auto"/>
            <w:vAlign w:val="center"/>
          </w:tcPr>
          <w:p w14:paraId="5A53E7C8" w14:textId="3E2845E2" w:rsidR="000666C1" w:rsidRPr="00A106E4" w:rsidRDefault="00003BE3" w:rsidP="00927C71">
            <w:pPr>
              <w:pStyle w:val="Tabletext"/>
              <w:jc w:val="center"/>
              <w:rPr>
                <w:lang w:eastAsia="en-GB"/>
              </w:rPr>
            </w:pPr>
            <w:hyperlink r:id="rId29" w:history="1">
              <w:r w:rsidR="000666C1" w:rsidRPr="00A106E4">
                <w:rPr>
                  <w:rStyle w:val="Hyperlink"/>
                </w:rPr>
                <w:t>37</w:t>
              </w:r>
            </w:hyperlink>
          </w:p>
        </w:tc>
      </w:tr>
      <w:tr w:rsidR="000666C1" w:rsidRPr="00A106E4" w14:paraId="67BED40E" w14:textId="77777777" w:rsidTr="000666C1">
        <w:trPr>
          <w:cantSplit/>
          <w:jc w:val="center"/>
        </w:trPr>
        <w:tc>
          <w:tcPr>
            <w:tcW w:w="993" w:type="dxa"/>
            <w:vAlign w:val="center"/>
          </w:tcPr>
          <w:p w14:paraId="392FA73D" w14:textId="104CFDA0" w:rsidR="000666C1" w:rsidRPr="00A106E4" w:rsidRDefault="000666C1" w:rsidP="00927C71">
            <w:pPr>
              <w:pStyle w:val="Tabletext"/>
              <w:jc w:val="center"/>
              <w:rPr>
                <w:b/>
                <w:bCs/>
                <w:lang w:eastAsia="en-GB"/>
              </w:rPr>
            </w:pPr>
            <w:r w:rsidRPr="00A106E4">
              <w:rPr>
                <w:b/>
                <w:bCs/>
                <w:lang w:eastAsia="en-GB"/>
              </w:rPr>
              <w:lastRenderedPageBreak/>
              <w:t>14</w:t>
            </w:r>
          </w:p>
        </w:tc>
        <w:tc>
          <w:tcPr>
            <w:tcW w:w="6852" w:type="dxa"/>
            <w:shd w:val="clear" w:color="auto" w:fill="auto"/>
            <w:vAlign w:val="center"/>
          </w:tcPr>
          <w:p w14:paraId="192EC308" w14:textId="77777777" w:rsidR="000666C1" w:rsidRPr="00A106E4" w:rsidRDefault="00941E75" w:rsidP="00927C71">
            <w:pPr>
              <w:pStyle w:val="Tabletext"/>
              <w:rPr>
                <w:lang w:eastAsia="en-GB"/>
              </w:rPr>
            </w:pPr>
            <w:r w:rsidRPr="00A106E4">
              <w:rPr>
                <w:lang w:eastAsia="en-GB"/>
              </w:rPr>
              <w:t xml:space="preserve">Travaux préparatoires en vue de l'AMNT-21 </w:t>
            </w:r>
            <w:r w:rsidRPr="00A106E4">
              <w:rPr>
                <w:i/>
                <w:iCs/>
                <w:lang w:eastAsia="en-GB"/>
              </w:rPr>
              <w:t>(PL 2.8)</w:t>
            </w:r>
          </w:p>
          <w:p w14:paraId="742FA8EC" w14:textId="5E7361E1" w:rsidR="00941E75" w:rsidRPr="00A106E4" w:rsidRDefault="00E262E6" w:rsidP="00927C71">
            <w:pPr>
              <w:pStyle w:val="Tabletext"/>
              <w:rPr>
                <w:lang w:eastAsia="en-GB"/>
              </w:rPr>
            </w:pPr>
            <w:r w:rsidRPr="00A106E4">
              <w:rPr>
                <w:rFonts w:cstheme="minorHAnsi"/>
                <w:szCs w:val="20"/>
                <w:lang w:eastAsia="en-GB"/>
              </w:rPr>
              <w:t xml:space="preserve">Décision modifiée </w:t>
            </w:r>
            <w:r w:rsidR="00941E75" w:rsidRPr="00A106E4">
              <w:rPr>
                <w:rFonts w:cstheme="minorHAnsi"/>
                <w:szCs w:val="20"/>
                <w:lang w:eastAsia="en-GB"/>
              </w:rPr>
              <w:t>608 (</w:t>
            </w:r>
            <w:r w:rsidRPr="00A106E4">
              <w:rPr>
                <w:rFonts w:cstheme="minorHAnsi"/>
                <w:szCs w:val="20"/>
                <w:lang w:eastAsia="en-GB"/>
              </w:rPr>
              <w:t>suite à la consultation</w:t>
            </w:r>
            <w:r w:rsidR="00941E75" w:rsidRPr="00A106E4">
              <w:rPr>
                <w:rFonts w:cstheme="minorHAnsi"/>
                <w:szCs w:val="20"/>
                <w:lang w:eastAsia="en-GB"/>
              </w:rPr>
              <w:t>)</w:t>
            </w:r>
          </w:p>
        </w:tc>
        <w:tc>
          <w:tcPr>
            <w:tcW w:w="1653" w:type="dxa"/>
            <w:shd w:val="clear" w:color="auto" w:fill="auto"/>
            <w:vAlign w:val="center"/>
          </w:tcPr>
          <w:p w14:paraId="383003DE" w14:textId="77777777" w:rsidR="000666C1" w:rsidRPr="00A106E4" w:rsidRDefault="00003BE3" w:rsidP="00927C71">
            <w:pPr>
              <w:pStyle w:val="Tabletext"/>
              <w:jc w:val="center"/>
              <w:rPr>
                <w:rStyle w:val="Hyperlink"/>
                <w:sz w:val="22"/>
              </w:rPr>
            </w:pPr>
            <w:hyperlink r:id="rId30" w:history="1">
              <w:r w:rsidR="000666C1" w:rsidRPr="00A106E4">
                <w:rPr>
                  <w:rStyle w:val="Hyperlink"/>
                </w:rPr>
                <w:t>24</w:t>
              </w:r>
            </w:hyperlink>
          </w:p>
          <w:p w14:paraId="637056CD" w14:textId="25113454" w:rsidR="000666C1" w:rsidRPr="00A106E4" w:rsidRDefault="00003BE3" w:rsidP="00927C71">
            <w:pPr>
              <w:pStyle w:val="Tabletext"/>
              <w:jc w:val="center"/>
              <w:rPr>
                <w:lang w:eastAsia="en-GB"/>
              </w:rPr>
            </w:pPr>
            <w:hyperlink r:id="rId31" w:history="1">
              <w:r w:rsidR="000666C1" w:rsidRPr="00A106E4">
                <w:rPr>
                  <w:rStyle w:val="Hyperlink"/>
                </w:rPr>
                <w:t>72</w:t>
              </w:r>
            </w:hyperlink>
          </w:p>
        </w:tc>
      </w:tr>
      <w:tr w:rsidR="000666C1" w:rsidRPr="00A106E4" w14:paraId="38FACD98" w14:textId="77777777" w:rsidTr="000666C1">
        <w:trPr>
          <w:cantSplit/>
          <w:jc w:val="center"/>
        </w:trPr>
        <w:tc>
          <w:tcPr>
            <w:tcW w:w="993" w:type="dxa"/>
            <w:vAlign w:val="center"/>
          </w:tcPr>
          <w:p w14:paraId="779D660E" w14:textId="4D976F2F" w:rsidR="000666C1" w:rsidRPr="00A106E4" w:rsidRDefault="000666C1" w:rsidP="00927C71">
            <w:pPr>
              <w:pStyle w:val="Tabletext"/>
              <w:jc w:val="center"/>
              <w:rPr>
                <w:b/>
                <w:bCs/>
                <w:lang w:eastAsia="en-GB"/>
              </w:rPr>
            </w:pPr>
            <w:r w:rsidRPr="00A106E4">
              <w:rPr>
                <w:b/>
                <w:bCs/>
                <w:lang w:eastAsia="en-GB"/>
              </w:rPr>
              <w:t>15</w:t>
            </w:r>
          </w:p>
        </w:tc>
        <w:tc>
          <w:tcPr>
            <w:tcW w:w="6852" w:type="dxa"/>
            <w:shd w:val="clear" w:color="auto" w:fill="auto"/>
            <w:vAlign w:val="center"/>
          </w:tcPr>
          <w:p w14:paraId="6C612CE8" w14:textId="6FFFDFD0" w:rsidR="000666C1" w:rsidRPr="00A106E4" w:rsidRDefault="00941E75" w:rsidP="00927C71">
            <w:pPr>
              <w:pStyle w:val="Tabletext"/>
              <w:rPr>
                <w:lang w:eastAsia="en-GB"/>
              </w:rPr>
            </w:pPr>
            <w:r w:rsidRPr="00A106E4">
              <w:rPr>
                <w:lang w:eastAsia="en-GB"/>
              </w:rPr>
              <w:t>Travaux préparatoires en vue du FMPT-21 (</w:t>
            </w:r>
            <w:r w:rsidRPr="00A106E4">
              <w:rPr>
                <w:i/>
                <w:iCs/>
                <w:lang w:eastAsia="en-GB"/>
              </w:rPr>
              <w:t>Résolution 2 de la PP, Décision 611 du Conseil</w:t>
            </w:r>
            <w:r w:rsidRPr="00A106E4">
              <w:rPr>
                <w:lang w:eastAsia="en-GB"/>
              </w:rPr>
              <w:t>)</w:t>
            </w:r>
            <w:r w:rsidRPr="00A106E4">
              <w:rPr>
                <w:i/>
                <w:iCs/>
                <w:lang w:eastAsia="en-GB"/>
              </w:rPr>
              <w:t xml:space="preserve"> </w:t>
            </w:r>
            <w:r w:rsidR="00536E2F" w:rsidRPr="00A106E4">
              <w:rPr>
                <w:i/>
                <w:iCs/>
                <w:lang w:eastAsia="en-GB"/>
              </w:rPr>
              <w:t>(PL 2.9)</w:t>
            </w:r>
          </w:p>
        </w:tc>
        <w:tc>
          <w:tcPr>
            <w:tcW w:w="1653" w:type="dxa"/>
            <w:shd w:val="clear" w:color="auto" w:fill="auto"/>
            <w:vAlign w:val="center"/>
          </w:tcPr>
          <w:p w14:paraId="6704AA01" w14:textId="7C08C3D8" w:rsidR="000666C1" w:rsidRPr="00A106E4" w:rsidRDefault="00003BE3" w:rsidP="00927C71">
            <w:pPr>
              <w:pStyle w:val="Tabletext"/>
              <w:jc w:val="center"/>
              <w:rPr>
                <w:lang w:eastAsia="en-GB"/>
              </w:rPr>
            </w:pPr>
            <w:hyperlink r:id="rId32" w:history="1">
              <w:r w:rsidR="000666C1" w:rsidRPr="00A106E4">
                <w:rPr>
                  <w:rStyle w:val="Hyperlink"/>
                </w:rPr>
                <w:t>5</w:t>
              </w:r>
            </w:hyperlink>
          </w:p>
        </w:tc>
      </w:tr>
      <w:tr w:rsidR="000666C1" w:rsidRPr="00A106E4" w14:paraId="2C0B22F5" w14:textId="77777777" w:rsidTr="000666C1">
        <w:trPr>
          <w:cantSplit/>
          <w:jc w:val="center"/>
        </w:trPr>
        <w:tc>
          <w:tcPr>
            <w:tcW w:w="993" w:type="dxa"/>
            <w:vAlign w:val="center"/>
          </w:tcPr>
          <w:p w14:paraId="77C11A71" w14:textId="6E29688A" w:rsidR="000666C1" w:rsidRPr="00A106E4" w:rsidRDefault="000666C1" w:rsidP="00927C71">
            <w:pPr>
              <w:pStyle w:val="Tabletext"/>
              <w:jc w:val="center"/>
              <w:rPr>
                <w:b/>
                <w:bCs/>
                <w:lang w:eastAsia="en-GB"/>
              </w:rPr>
            </w:pPr>
            <w:r w:rsidRPr="00A106E4">
              <w:rPr>
                <w:b/>
                <w:bCs/>
                <w:lang w:eastAsia="en-GB"/>
              </w:rPr>
              <w:t>16</w:t>
            </w:r>
          </w:p>
        </w:tc>
        <w:tc>
          <w:tcPr>
            <w:tcW w:w="6852" w:type="dxa"/>
            <w:shd w:val="clear" w:color="auto" w:fill="auto"/>
            <w:vAlign w:val="center"/>
          </w:tcPr>
          <w:p w14:paraId="462047C7" w14:textId="7A8FE7EE" w:rsidR="000666C1" w:rsidRPr="00A106E4" w:rsidRDefault="00536E2F" w:rsidP="00927C71">
            <w:pPr>
              <w:pStyle w:val="Tabletext"/>
              <w:rPr>
                <w:lang w:eastAsia="en-GB"/>
              </w:rPr>
            </w:pPr>
            <w:r w:rsidRPr="00A106E4">
              <w:rPr>
                <w:lang w:eastAsia="en-GB"/>
              </w:rPr>
              <w:t xml:space="preserve">Travaux préparatoires en vue de la CMDT-21 </w:t>
            </w:r>
            <w:r w:rsidRPr="00A106E4">
              <w:rPr>
                <w:i/>
                <w:iCs/>
                <w:lang w:eastAsia="en-GB"/>
              </w:rPr>
              <w:t>(PL 2.10)</w:t>
            </w:r>
          </w:p>
        </w:tc>
        <w:tc>
          <w:tcPr>
            <w:tcW w:w="1653" w:type="dxa"/>
            <w:shd w:val="clear" w:color="auto" w:fill="auto"/>
            <w:vAlign w:val="center"/>
          </w:tcPr>
          <w:p w14:paraId="5F6E7854" w14:textId="2EA2E5FD" w:rsidR="000666C1" w:rsidRPr="00A106E4" w:rsidRDefault="00003BE3" w:rsidP="00927C71">
            <w:pPr>
              <w:pStyle w:val="Tabletext"/>
              <w:jc w:val="center"/>
              <w:rPr>
                <w:lang w:eastAsia="en-GB"/>
              </w:rPr>
            </w:pPr>
            <w:hyperlink r:id="rId33" w:history="1">
              <w:r w:rsidR="000666C1" w:rsidRPr="00A106E4">
                <w:rPr>
                  <w:rStyle w:val="Hyperlink"/>
                </w:rPr>
                <w:t>30</w:t>
              </w:r>
            </w:hyperlink>
          </w:p>
        </w:tc>
      </w:tr>
      <w:tr w:rsidR="000666C1" w:rsidRPr="00A106E4" w14:paraId="18B8ED7B" w14:textId="77777777" w:rsidTr="000666C1">
        <w:trPr>
          <w:cantSplit/>
          <w:jc w:val="center"/>
        </w:trPr>
        <w:tc>
          <w:tcPr>
            <w:tcW w:w="993" w:type="dxa"/>
            <w:vAlign w:val="center"/>
          </w:tcPr>
          <w:p w14:paraId="06BEA20C" w14:textId="1E85D237" w:rsidR="000666C1" w:rsidRPr="00A106E4" w:rsidRDefault="000666C1" w:rsidP="00927C71">
            <w:pPr>
              <w:pStyle w:val="Tabletext"/>
              <w:jc w:val="center"/>
              <w:rPr>
                <w:b/>
                <w:bCs/>
                <w:lang w:eastAsia="en-GB"/>
              </w:rPr>
            </w:pPr>
            <w:r w:rsidRPr="00A106E4">
              <w:rPr>
                <w:b/>
                <w:bCs/>
                <w:lang w:eastAsia="en-GB"/>
              </w:rPr>
              <w:t>17</w:t>
            </w:r>
          </w:p>
        </w:tc>
        <w:tc>
          <w:tcPr>
            <w:tcW w:w="6852" w:type="dxa"/>
            <w:shd w:val="clear" w:color="auto" w:fill="auto"/>
            <w:vAlign w:val="center"/>
          </w:tcPr>
          <w:p w14:paraId="5A5B5F9A" w14:textId="3B14857B" w:rsidR="000666C1" w:rsidRPr="00A106E4" w:rsidRDefault="00536E2F" w:rsidP="00927C71">
            <w:pPr>
              <w:pStyle w:val="Tabletext"/>
              <w:rPr>
                <w:lang w:eastAsia="en-GB"/>
              </w:rPr>
            </w:pPr>
            <w:r w:rsidRPr="00A106E4">
              <w:rPr>
                <w:lang w:eastAsia="en-GB"/>
              </w:rPr>
              <w:t xml:space="preserve">Rapport de l'auditeur interne sur les activités d'audit interne </w:t>
            </w:r>
            <w:r w:rsidRPr="00A106E4">
              <w:rPr>
                <w:i/>
                <w:iCs/>
                <w:lang w:eastAsia="en-GB"/>
              </w:rPr>
              <w:t>(ADM 18)</w:t>
            </w:r>
          </w:p>
        </w:tc>
        <w:tc>
          <w:tcPr>
            <w:tcW w:w="1653" w:type="dxa"/>
            <w:shd w:val="clear" w:color="auto" w:fill="auto"/>
            <w:vAlign w:val="center"/>
          </w:tcPr>
          <w:p w14:paraId="7E6F8E74" w14:textId="6E09598D" w:rsidR="000666C1" w:rsidRPr="00A106E4" w:rsidRDefault="00003BE3" w:rsidP="00927C71">
            <w:pPr>
              <w:pStyle w:val="Tabletext"/>
              <w:jc w:val="center"/>
              <w:rPr>
                <w:lang w:eastAsia="en-GB"/>
              </w:rPr>
            </w:pPr>
            <w:hyperlink r:id="rId34" w:history="1">
              <w:r w:rsidR="00941E75" w:rsidRPr="00A106E4">
                <w:rPr>
                  <w:rStyle w:val="Hyperlink"/>
                </w:rPr>
                <w:t>44</w:t>
              </w:r>
            </w:hyperlink>
          </w:p>
        </w:tc>
      </w:tr>
    </w:tbl>
    <w:p w14:paraId="1AD236F7" w14:textId="1AB0D67A" w:rsidR="00675AD8" w:rsidRPr="00A106E4" w:rsidRDefault="00675AD8" w:rsidP="00927C71">
      <w:pPr>
        <w:pStyle w:val="Heading1"/>
        <w:spacing w:after="120" w:line="240" w:lineRule="auto"/>
      </w:pPr>
      <w:r w:rsidRPr="00A106E4">
        <w:t>2</w:t>
      </w:r>
      <w:r w:rsidRPr="00A106E4">
        <w:tab/>
      </w:r>
      <w:r w:rsidR="008778FE" w:rsidRPr="00A106E4">
        <w:rPr>
          <w:bCs/>
        </w:rPr>
        <w:t>Documents</w:t>
      </w:r>
      <w:r w:rsidR="00E262E6" w:rsidRPr="00A106E4">
        <w:rPr>
          <w:bCs/>
        </w:rPr>
        <w:t xml:space="preserve"> qui pourraient être examinés lors de la </w:t>
      </w:r>
      <w:r w:rsidR="008778FE" w:rsidRPr="00A106E4">
        <w:rPr>
          <w:bCs/>
        </w:rPr>
        <w:t>VCC-2</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701"/>
      </w:tblGrid>
      <w:tr w:rsidR="008778FE" w:rsidRPr="00A106E4" w14:paraId="33659904" w14:textId="77777777" w:rsidTr="008778FE">
        <w:trPr>
          <w:trHeight w:val="720"/>
          <w:tblHeader/>
          <w:jc w:val="center"/>
        </w:trPr>
        <w:tc>
          <w:tcPr>
            <w:tcW w:w="993" w:type="dxa"/>
            <w:vMerge w:val="restart"/>
            <w:tcBorders>
              <w:top w:val="nil"/>
              <w:left w:val="nil"/>
            </w:tcBorders>
            <w:shd w:val="clear" w:color="auto" w:fill="auto"/>
            <w:vAlign w:val="center"/>
          </w:tcPr>
          <w:p w14:paraId="6CFE4CF6" w14:textId="77777777" w:rsidR="008778FE" w:rsidRPr="00A106E4" w:rsidRDefault="008778FE" w:rsidP="00927C71">
            <w:pPr>
              <w:spacing w:before="20" w:after="20" w:line="240" w:lineRule="auto"/>
              <w:jc w:val="center"/>
              <w:rPr>
                <w:b/>
                <w:bCs/>
                <w:color w:val="000000"/>
                <w:sz w:val="20"/>
                <w:szCs w:val="20"/>
                <w:lang w:eastAsia="en-GB"/>
              </w:rPr>
            </w:pPr>
          </w:p>
        </w:tc>
        <w:tc>
          <w:tcPr>
            <w:tcW w:w="6804" w:type="dxa"/>
            <w:vMerge w:val="restart"/>
            <w:shd w:val="pct15" w:color="auto" w:fill="auto"/>
            <w:vAlign w:val="center"/>
            <w:hideMark/>
          </w:tcPr>
          <w:p w14:paraId="72DB6004" w14:textId="77777777" w:rsidR="008778FE" w:rsidRPr="00A106E4" w:rsidRDefault="008778FE" w:rsidP="00927C71">
            <w:pPr>
              <w:pStyle w:val="Tablehead"/>
              <w:rPr>
                <w:lang w:eastAsia="en-GB"/>
              </w:rPr>
            </w:pPr>
            <w:r w:rsidRPr="00A106E4">
              <w:rPr>
                <w:lang w:eastAsia="en-GB"/>
              </w:rPr>
              <w:t>Sujet</w:t>
            </w:r>
          </w:p>
        </w:tc>
        <w:tc>
          <w:tcPr>
            <w:tcW w:w="1701" w:type="dxa"/>
            <w:vMerge w:val="restart"/>
            <w:shd w:val="pct15" w:color="auto" w:fill="auto"/>
            <w:noWrap/>
            <w:vAlign w:val="center"/>
            <w:hideMark/>
          </w:tcPr>
          <w:p w14:paraId="727D8C22" w14:textId="77777777" w:rsidR="008778FE" w:rsidRPr="00A106E4" w:rsidRDefault="008778FE" w:rsidP="00927C71">
            <w:pPr>
              <w:pStyle w:val="Tablehead"/>
              <w:rPr>
                <w:lang w:eastAsia="en-GB"/>
              </w:rPr>
            </w:pPr>
            <w:r w:rsidRPr="00A106E4">
              <w:rPr>
                <w:lang w:eastAsia="en-GB"/>
              </w:rPr>
              <w:t>C20/#</w:t>
            </w:r>
          </w:p>
          <w:p w14:paraId="64FF73F5" w14:textId="5575E93D" w:rsidR="008778FE" w:rsidRPr="00A106E4" w:rsidRDefault="008778FE" w:rsidP="00927C71">
            <w:pPr>
              <w:pStyle w:val="Tablehead"/>
              <w:rPr>
                <w:lang w:eastAsia="en-GB"/>
              </w:rPr>
            </w:pPr>
            <w:r w:rsidRPr="00A106E4">
              <w:rPr>
                <w:lang w:eastAsia="en-GB"/>
              </w:rPr>
              <w:t>VC/#</w:t>
            </w:r>
          </w:p>
        </w:tc>
      </w:tr>
      <w:tr w:rsidR="008778FE" w:rsidRPr="00A106E4" w14:paraId="0C8A72A5" w14:textId="77777777" w:rsidTr="00C21099">
        <w:trPr>
          <w:trHeight w:val="284"/>
          <w:tblHeader/>
          <w:jc w:val="center"/>
        </w:trPr>
        <w:tc>
          <w:tcPr>
            <w:tcW w:w="993" w:type="dxa"/>
            <w:vMerge/>
            <w:tcBorders>
              <w:left w:val="nil"/>
            </w:tcBorders>
            <w:shd w:val="clear" w:color="auto" w:fill="auto"/>
            <w:vAlign w:val="center"/>
          </w:tcPr>
          <w:p w14:paraId="5BABF004" w14:textId="77777777" w:rsidR="008778FE" w:rsidRPr="00A106E4" w:rsidRDefault="008778FE" w:rsidP="00927C71">
            <w:pPr>
              <w:spacing w:before="20" w:after="20" w:line="240" w:lineRule="auto"/>
              <w:jc w:val="center"/>
              <w:rPr>
                <w:b/>
                <w:bCs/>
                <w:color w:val="000000"/>
                <w:sz w:val="20"/>
                <w:szCs w:val="20"/>
                <w:lang w:eastAsia="en-GB"/>
              </w:rPr>
            </w:pPr>
          </w:p>
        </w:tc>
        <w:tc>
          <w:tcPr>
            <w:tcW w:w="6804" w:type="dxa"/>
            <w:vMerge/>
            <w:shd w:val="pct15" w:color="auto" w:fill="auto"/>
            <w:vAlign w:val="center"/>
          </w:tcPr>
          <w:p w14:paraId="6E23A0D1" w14:textId="77777777" w:rsidR="008778FE" w:rsidRPr="00A106E4" w:rsidRDefault="008778FE" w:rsidP="00927C71">
            <w:pPr>
              <w:pStyle w:val="Tablehead"/>
              <w:rPr>
                <w:lang w:eastAsia="en-GB"/>
              </w:rPr>
            </w:pPr>
          </w:p>
        </w:tc>
        <w:tc>
          <w:tcPr>
            <w:tcW w:w="1701" w:type="dxa"/>
            <w:vMerge/>
            <w:shd w:val="pct15" w:color="auto" w:fill="auto"/>
            <w:noWrap/>
            <w:vAlign w:val="center"/>
          </w:tcPr>
          <w:p w14:paraId="67DD6A2F" w14:textId="77777777" w:rsidR="008778FE" w:rsidRPr="00A106E4" w:rsidRDefault="008778FE" w:rsidP="00927C71">
            <w:pPr>
              <w:pStyle w:val="Tablehead"/>
              <w:rPr>
                <w:lang w:eastAsia="en-GB"/>
              </w:rPr>
            </w:pPr>
          </w:p>
        </w:tc>
      </w:tr>
      <w:tr w:rsidR="008778FE" w:rsidRPr="00A106E4" w14:paraId="1A596F7B" w14:textId="77777777" w:rsidTr="008778FE">
        <w:trPr>
          <w:jc w:val="center"/>
        </w:trPr>
        <w:tc>
          <w:tcPr>
            <w:tcW w:w="993" w:type="dxa"/>
            <w:shd w:val="clear" w:color="auto" w:fill="auto"/>
            <w:vAlign w:val="center"/>
          </w:tcPr>
          <w:p w14:paraId="365CE5BB" w14:textId="77777777" w:rsidR="008778FE" w:rsidRPr="00A106E4" w:rsidRDefault="008778FE" w:rsidP="00927C71">
            <w:pPr>
              <w:pStyle w:val="Tabletext"/>
              <w:jc w:val="center"/>
              <w:rPr>
                <w:b/>
                <w:bCs/>
                <w:lang w:eastAsia="en-GB"/>
              </w:rPr>
            </w:pPr>
            <w:r w:rsidRPr="00A106E4">
              <w:rPr>
                <w:b/>
                <w:bCs/>
                <w:lang w:eastAsia="en-GB"/>
              </w:rPr>
              <w:t>1</w:t>
            </w:r>
          </w:p>
        </w:tc>
        <w:tc>
          <w:tcPr>
            <w:tcW w:w="6804" w:type="dxa"/>
            <w:shd w:val="clear" w:color="auto" w:fill="auto"/>
            <w:vAlign w:val="center"/>
            <w:hideMark/>
          </w:tcPr>
          <w:p w14:paraId="24E613D6" w14:textId="4FF0148D" w:rsidR="008778FE" w:rsidRPr="00A106E4" w:rsidRDefault="008778FE" w:rsidP="00927C71">
            <w:pPr>
              <w:pStyle w:val="Tabletext"/>
              <w:rPr>
                <w:lang w:eastAsia="en-GB"/>
              </w:rPr>
            </w:pPr>
            <w:r w:rsidRPr="00A106E4">
              <w:rPr>
                <w:lang w:eastAsia="en-GB"/>
              </w:rPr>
              <w:t xml:space="preserve">Appui au TSB </w:t>
            </w:r>
            <w:r w:rsidRPr="00A106E4">
              <w:rPr>
                <w:i/>
                <w:iCs/>
                <w:lang w:eastAsia="en-GB"/>
              </w:rPr>
              <w:t>(ADM 4)</w:t>
            </w:r>
          </w:p>
        </w:tc>
        <w:tc>
          <w:tcPr>
            <w:tcW w:w="1701" w:type="dxa"/>
            <w:shd w:val="clear" w:color="auto" w:fill="auto"/>
            <w:noWrap/>
            <w:vAlign w:val="center"/>
            <w:hideMark/>
          </w:tcPr>
          <w:p w14:paraId="2993CC4A" w14:textId="1C779EA1" w:rsidR="008778FE" w:rsidRPr="00A106E4" w:rsidRDefault="00003BE3" w:rsidP="00927C71">
            <w:pPr>
              <w:pStyle w:val="Tabletext"/>
              <w:jc w:val="center"/>
              <w:rPr>
                <w:lang w:eastAsia="en-GB"/>
              </w:rPr>
            </w:pPr>
            <w:hyperlink r:id="rId35" w:history="1">
              <w:r w:rsidR="008778FE" w:rsidRPr="00A106E4">
                <w:rPr>
                  <w:rStyle w:val="Hyperlink"/>
                  <w:rFonts w:cstheme="minorHAnsi"/>
                  <w:szCs w:val="20"/>
                  <w:lang w:eastAsia="en-GB"/>
                </w:rPr>
                <w:t>14</w:t>
              </w:r>
            </w:hyperlink>
          </w:p>
        </w:tc>
      </w:tr>
      <w:tr w:rsidR="008778FE" w:rsidRPr="00A106E4" w14:paraId="1E826650" w14:textId="77777777" w:rsidTr="008778FE">
        <w:trPr>
          <w:jc w:val="center"/>
        </w:trPr>
        <w:tc>
          <w:tcPr>
            <w:tcW w:w="993" w:type="dxa"/>
            <w:shd w:val="clear" w:color="auto" w:fill="auto"/>
            <w:vAlign w:val="center"/>
          </w:tcPr>
          <w:p w14:paraId="12C97685" w14:textId="0B9BD505" w:rsidR="008778FE" w:rsidRPr="00A106E4" w:rsidRDefault="008778FE" w:rsidP="00927C71">
            <w:pPr>
              <w:pStyle w:val="Tabletext"/>
              <w:jc w:val="center"/>
              <w:rPr>
                <w:b/>
                <w:bCs/>
                <w:lang w:eastAsia="en-GB"/>
              </w:rPr>
            </w:pPr>
            <w:r w:rsidRPr="00A106E4">
              <w:rPr>
                <w:b/>
                <w:bCs/>
                <w:lang w:eastAsia="en-GB"/>
              </w:rPr>
              <w:t>2</w:t>
            </w:r>
          </w:p>
        </w:tc>
        <w:tc>
          <w:tcPr>
            <w:tcW w:w="6804" w:type="dxa"/>
            <w:shd w:val="clear" w:color="auto" w:fill="auto"/>
            <w:vAlign w:val="center"/>
          </w:tcPr>
          <w:p w14:paraId="26009E0B" w14:textId="443C779D" w:rsidR="008778FE" w:rsidRPr="00A106E4" w:rsidRDefault="00E262E6" w:rsidP="00927C71">
            <w:pPr>
              <w:pStyle w:val="Tabletext"/>
              <w:rPr>
                <w:bCs/>
                <w:iCs/>
                <w:lang w:eastAsia="en-GB"/>
              </w:rPr>
            </w:pPr>
            <w:r w:rsidRPr="00A106E4">
              <w:rPr>
                <w:color w:val="000000"/>
              </w:rPr>
              <w:t>Incidences de la pandémie de COVID-19 sur le fonctionnement et les activités de l'UIT</w:t>
            </w:r>
            <w:r w:rsidR="00C649E9" w:rsidRPr="00A106E4">
              <w:rPr>
                <w:bCs/>
                <w:iCs/>
                <w:lang w:eastAsia="en-GB"/>
              </w:rPr>
              <w:t xml:space="preserve"> </w:t>
            </w:r>
          </w:p>
          <w:p w14:paraId="726EC146" w14:textId="76F5F83F" w:rsidR="008778FE" w:rsidRPr="00A106E4" w:rsidRDefault="008778FE" w:rsidP="00927C71">
            <w:pPr>
              <w:pStyle w:val="Tabletext"/>
              <w:rPr>
                <w:bCs/>
                <w:iCs/>
                <w:lang w:eastAsia="en-GB"/>
              </w:rPr>
            </w:pPr>
            <w:r w:rsidRPr="00A106E4">
              <w:rPr>
                <w:bCs/>
                <w:iCs/>
                <w:lang w:eastAsia="en-GB"/>
              </w:rPr>
              <w:t>–</w:t>
            </w:r>
            <w:r w:rsidRPr="00A106E4">
              <w:rPr>
                <w:bCs/>
                <w:iCs/>
                <w:lang w:eastAsia="en-GB"/>
              </w:rPr>
              <w:tab/>
              <w:t xml:space="preserve">Contributions </w:t>
            </w:r>
            <w:r w:rsidR="00E262E6" w:rsidRPr="00A106E4">
              <w:rPr>
                <w:bCs/>
                <w:iCs/>
                <w:lang w:eastAsia="en-GB"/>
              </w:rPr>
              <w:t>de la Fédération de Russie</w:t>
            </w:r>
          </w:p>
          <w:p w14:paraId="55D4869C" w14:textId="4E32294E" w:rsidR="008778FE" w:rsidRPr="00A106E4" w:rsidRDefault="008778FE" w:rsidP="00927C71">
            <w:pPr>
              <w:pStyle w:val="Tabletext"/>
              <w:rPr>
                <w:lang w:eastAsia="en-GB"/>
              </w:rPr>
            </w:pPr>
            <w:r w:rsidRPr="00A106E4">
              <w:rPr>
                <w:bCs/>
                <w:iCs/>
                <w:lang w:eastAsia="en-GB"/>
              </w:rPr>
              <w:t>–</w:t>
            </w:r>
            <w:r w:rsidRPr="00A106E4">
              <w:rPr>
                <w:bCs/>
                <w:iCs/>
                <w:lang w:eastAsia="en-GB"/>
              </w:rPr>
              <w:tab/>
              <w:t xml:space="preserve">Contribution </w:t>
            </w:r>
            <w:r w:rsidR="00E262E6" w:rsidRPr="00A106E4">
              <w:rPr>
                <w:bCs/>
                <w:iCs/>
                <w:lang w:eastAsia="en-GB"/>
              </w:rPr>
              <w:t>de la Chine</w:t>
            </w:r>
          </w:p>
        </w:tc>
        <w:tc>
          <w:tcPr>
            <w:tcW w:w="1701" w:type="dxa"/>
            <w:shd w:val="clear" w:color="auto" w:fill="auto"/>
            <w:noWrap/>
            <w:vAlign w:val="center"/>
          </w:tcPr>
          <w:p w14:paraId="553CF4A6" w14:textId="3CAFF787" w:rsidR="008778FE" w:rsidRPr="00A106E4" w:rsidRDefault="00003BE3" w:rsidP="00927C71">
            <w:pPr>
              <w:pStyle w:val="Tabletext"/>
              <w:jc w:val="center"/>
            </w:pPr>
            <w:hyperlink r:id="rId36" w:history="1">
              <w:r w:rsidR="008778FE" w:rsidRPr="00A106E4">
                <w:rPr>
                  <w:rStyle w:val="Hyperlink"/>
                  <w:szCs w:val="20"/>
                </w:rPr>
                <w:t>VC/13</w:t>
              </w:r>
            </w:hyperlink>
            <w:r w:rsidR="008778FE" w:rsidRPr="00A106E4">
              <w:rPr>
                <w:color w:val="0000FF"/>
                <w:szCs w:val="20"/>
                <w:u w:val="single"/>
              </w:rPr>
              <w:br/>
            </w:r>
            <w:r w:rsidR="008778FE" w:rsidRPr="00A106E4">
              <w:br/>
            </w:r>
            <w:hyperlink r:id="rId37" w:history="1">
              <w:r w:rsidR="008778FE" w:rsidRPr="00A106E4">
                <w:rPr>
                  <w:rStyle w:val="Hyperlink"/>
                  <w:szCs w:val="20"/>
                </w:rPr>
                <w:t>VC/2</w:t>
              </w:r>
            </w:hyperlink>
            <w:r w:rsidR="008778FE" w:rsidRPr="00A106E4">
              <w:rPr>
                <w:color w:val="0000FF"/>
                <w:szCs w:val="20"/>
                <w:u w:val="single"/>
              </w:rPr>
              <w:br/>
            </w:r>
            <w:hyperlink r:id="rId38" w:history="1">
              <w:r w:rsidR="008778FE" w:rsidRPr="00A106E4">
                <w:rPr>
                  <w:rStyle w:val="Hyperlink"/>
                  <w:szCs w:val="20"/>
                </w:rPr>
                <w:t>VC/10</w:t>
              </w:r>
            </w:hyperlink>
          </w:p>
        </w:tc>
      </w:tr>
      <w:tr w:rsidR="008778FE" w:rsidRPr="00A106E4" w14:paraId="6624C3BD" w14:textId="77777777" w:rsidTr="008778FE">
        <w:trPr>
          <w:jc w:val="center"/>
        </w:trPr>
        <w:tc>
          <w:tcPr>
            <w:tcW w:w="993" w:type="dxa"/>
            <w:shd w:val="clear" w:color="auto" w:fill="auto"/>
            <w:vAlign w:val="center"/>
          </w:tcPr>
          <w:p w14:paraId="1E3ACEBB" w14:textId="2B760AFE" w:rsidR="008778FE" w:rsidRPr="00A106E4" w:rsidRDefault="008778FE" w:rsidP="00927C71">
            <w:pPr>
              <w:pStyle w:val="Tabletext"/>
              <w:jc w:val="center"/>
              <w:rPr>
                <w:b/>
                <w:bCs/>
                <w:lang w:eastAsia="en-GB"/>
              </w:rPr>
            </w:pPr>
            <w:r w:rsidRPr="00A106E4">
              <w:rPr>
                <w:b/>
                <w:bCs/>
                <w:lang w:eastAsia="en-GB"/>
              </w:rPr>
              <w:t>3</w:t>
            </w:r>
          </w:p>
        </w:tc>
        <w:tc>
          <w:tcPr>
            <w:tcW w:w="6804" w:type="dxa"/>
            <w:shd w:val="clear" w:color="auto" w:fill="auto"/>
            <w:vAlign w:val="center"/>
          </w:tcPr>
          <w:p w14:paraId="5119933B" w14:textId="02E9B359" w:rsidR="008778FE" w:rsidRPr="00A106E4" w:rsidRDefault="008778FE" w:rsidP="00927C71">
            <w:pPr>
              <w:pStyle w:val="Tabletext"/>
              <w:rPr>
                <w:bCs/>
                <w:iCs/>
                <w:lang w:eastAsia="en-GB"/>
              </w:rPr>
            </w:pPr>
            <w:r w:rsidRPr="00A106E4">
              <w:rPr>
                <w:lang w:eastAsia="en-GB"/>
              </w:rPr>
              <w:t>Rapport sur les résultats des activités du GTC-SMSI/ODD (</w:t>
            </w:r>
            <w:r w:rsidRPr="00A106E4">
              <w:rPr>
                <w:i/>
                <w:iCs/>
                <w:lang w:eastAsia="en-GB"/>
              </w:rPr>
              <w:t>Résolution 140 de la PP et Résolutions 1281, 1332 (MOD) et 1334 (MOD) du Conseil</w:t>
            </w:r>
            <w:r w:rsidRPr="00A106E4">
              <w:rPr>
                <w:lang w:eastAsia="en-GB"/>
              </w:rPr>
              <w:t xml:space="preserve">) </w:t>
            </w:r>
            <w:r w:rsidRPr="00A106E4">
              <w:rPr>
                <w:i/>
                <w:iCs/>
                <w:lang w:eastAsia="en-GB"/>
              </w:rPr>
              <w:t>(PL 1.1)</w:t>
            </w:r>
          </w:p>
        </w:tc>
        <w:tc>
          <w:tcPr>
            <w:tcW w:w="1701" w:type="dxa"/>
            <w:shd w:val="clear" w:color="auto" w:fill="auto"/>
            <w:noWrap/>
            <w:vAlign w:val="center"/>
          </w:tcPr>
          <w:p w14:paraId="5D321A38" w14:textId="6E702AF4" w:rsidR="008778FE" w:rsidRPr="00A106E4" w:rsidRDefault="00003BE3" w:rsidP="00927C71">
            <w:pPr>
              <w:pStyle w:val="Tabletext"/>
              <w:jc w:val="center"/>
            </w:pPr>
            <w:hyperlink r:id="rId39" w:history="1">
              <w:r w:rsidR="008778FE" w:rsidRPr="00A106E4">
                <w:rPr>
                  <w:rStyle w:val="Hyperlink"/>
                  <w:szCs w:val="20"/>
                  <w:lang w:eastAsia="en-GB"/>
                </w:rPr>
                <w:t>8</w:t>
              </w:r>
            </w:hyperlink>
          </w:p>
        </w:tc>
      </w:tr>
      <w:tr w:rsidR="008778FE" w:rsidRPr="00A106E4" w14:paraId="2BF527E7" w14:textId="77777777" w:rsidTr="008778FE">
        <w:trPr>
          <w:jc w:val="center"/>
        </w:trPr>
        <w:tc>
          <w:tcPr>
            <w:tcW w:w="993" w:type="dxa"/>
            <w:shd w:val="clear" w:color="auto" w:fill="auto"/>
            <w:vAlign w:val="center"/>
          </w:tcPr>
          <w:p w14:paraId="74168258" w14:textId="72034ED4" w:rsidR="008778FE" w:rsidRPr="00A106E4" w:rsidRDefault="008778FE" w:rsidP="00927C71">
            <w:pPr>
              <w:pStyle w:val="Tabletext"/>
              <w:jc w:val="center"/>
              <w:rPr>
                <w:b/>
                <w:bCs/>
                <w:lang w:eastAsia="en-GB"/>
              </w:rPr>
            </w:pPr>
            <w:r w:rsidRPr="00A106E4">
              <w:rPr>
                <w:b/>
                <w:bCs/>
                <w:lang w:eastAsia="en-GB"/>
              </w:rPr>
              <w:t>4</w:t>
            </w:r>
          </w:p>
        </w:tc>
        <w:tc>
          <w:tcPr>
            <w:tcW w:w="6804" w:type="dxa"/>
            <w:shd w:val="clear" w:color="auto" w:fill="auto"/>
            <w:vAlign w:val="center"/>
            <w:hideMark/>
          </w:tcPr>
          <w:p w14:paraId="1E9360CF" w14:textId="423866F4" w:rsidR="008778FE" w:rsidRPr="00A106E4" w:rsidRDefault="008778FE" w:rsidP="00927C71">
            <w:pPr>
              <w:pStyle w:val="Tabletext"/>
              <w:rPr>
                <w:lang w:eastAsia="en-GB"/>
              </w:rPr>
            </w:pPr>
            <w:r w:rsidRPr="00A106E4">
              <w:rPr>
                <w:lang w:eastAsia="en-GB"/>
              </w:rPr>
              <w:t>Rapport du Président du Groupe de travail du Conseil sur les questions de politiques publiques internationales relatives à l'Internet (GTC-Internet) (</w:t>
            </w:r>
            <w:r w:rsidRPr="00A106E4">
              <w:rPr>
                <w:i/>
                <w:iCs/>
                <w:lang w:eastAsia="en-GB"/>
              </w:rPr>
              <w:t>Résolutions 1305 et 1336 (MOD) du Conseil) (PL 1.2)</w:t>
            </w:r>
          </w:p>
        </w:tc>
        <w:tc>
          <w:tcPr>
            <w:tcW w:w="1701" w:type="dxa"/>
            <w:shd w:val="clear" w:color="auto" w:fill="auto"/>
            <w:noWrap/>
            <w:vAlign w:val="center"/>
            <w:hideMark/>
          </w:tcPr>
          <w:p w14:paraId="16F59BFA" w14:textId="1AD0CA38" w:rsidR="008778FE" w:rsidRPr="00A106E4" w:rsidRDefault="00003BE3" w:rsidP="00927C71">
            <w:pPr>
              <w:pStyle w:val="Tabletext"/>
              <w:jc w:val="center"/>
              <w:rPr>
                <w:lang w:eastAsia="en-GB"/>
              </w:rPr>
            </w:pPr>
            <w:hyperlink r:id="rId40" w:history="1">
              <w:r w:rsidR="008778FE" w:rsidRPr="00A106E4">
                <w:rPr>
                  <w:rStyle w:val="Hyperlink"/>
                </w:rPr>
                <w:t>51</w:t>
              </w:r>
            </w:hyperlink>
          </w:p>
        </w:tc>
      </w:tr>
      <w:tr w:rsidR="008778FE" w:rsidRPr="00A106E4" w14:paraId="4D7F3F4A" w14:textId="77777777" w:rsidTr="008778FE">
        <w:trPr>
          <w:jc w:val="center"/>
        </w:trPr>
        <w:tc>
          <w:tcPr>
            <w:tcW w:w="993" w:type="dxa"/>
            <w:shd w:val="clear" w:color="auto" w:fill="auto"/>
            <w:vAlign w:val="center"/>
          </w:tcPr>
          <w:p w14:paraId="24107D06" w14:textId="622DEB19" w:rsidR="008778FE" w:rsidRPr="00A106E4" w:rsidRDefault="008778FE" w:rsidP="00927C71">
            <w:pPr>
              <w:pStyle w:val="Tabletext"/>
              <w:jc w:val="center"/>
              <w:rPr>
                <w:b/>
                <w:bCs/>
                <w:lang w:eastAsia="en-GB"/>
              </w:rPr>
            </w:pPr>
            <w:r w:rsidRPr="00A106E4">
              <w:rPr>
                <w:b/>
                <w:bCs/>
                <w:lang w:eastAsia="en-GB"/>
              </w:rPr>
              <w:t>5</w:t>
            </w:r>
          </w:p>
        </w:tc>
        <w:tc>
          <w:tcPr>
            <w:tcW w:w="6804" w:type="dxa"/>
            <w:shd w:val="clear" w:color="auto" w:fill="auto"/>
            <w:vAlign w:val="center"/>
            <w:hideMark/>
          </w:tcPr>
          <w:p w14:paraId="27990F52" w14:textId="694CD0C2" w:rsidR="008778FE" w:rsidRPr="00A106E4" w:rsidRDefault="008778FE" w:rsidP="00927C71">
            <w:pPr>
              <w:pStyle w:val="Tabletext"/>
              <w:rPr>
                <w:lang w:eastAsia="en-GB"/>
              </w:rPr>
            </w:pPr>
            <w:r w:rsidRPr="00A106E4">
              <w:rPr>
                <w:bCs/>
                <w:lang w:eastAsia="en-GB"/>
              </w:rPr>
              <w:t>Rapport du Groupe de travail du Conseil sur la protection en ligne des enfants (</w:t>
            </w:r>
            <w:r w:rsidRPr="00A106E4">
              <w:rPr>
                <w:bCs/>
                <w:i/>
                <w:iCs/>
                <w:lang w:eastAsia="en-GB"/>
              </w:rPr>
              <w:t>Résolution 179 de la PP, Résolution 1306 (MOD) du Conseil</w:t>
            </w:r>
            <w:r w:rsidRPr="00A106E4">
              <w:rPr>
                <w:bCs/>
                <w:lang w:eastAsia="en-GB"/>
              </w:rPr>
              <w:t xml:space="preserve">) </w:t>
            </w:r>
            <w:r w:rsidRPr="00A106E4">
              <w:rPr>
                <w:bCs/>
                <w:i/>
                <w:iCs/>
                <w:lang w:eastAsia="en-GB"/>
              </w:rPr>
              <w:t>(PL 1.5)</w:t>
            </w:r>
          </w:p>
        </w:tc>
        <w:tc>
          <w:tcPr>
            <w:tcW w:w="1701" w:type="dxa"/>
            <w:shd w:val="clear" w:color="auto" w:fill="auto"/>
            <w:noWrap/>
            <w:vAlign w:val="center"/>
            <w:hideMark/>
          </w:tcPr>
          <w:p w14:paraId="35ED82D9" w14:textId="7A640717" w:rsidR="008778FE" w:rsidRPr="00A106E4" w:rsidRDefault="00003BE3" w:rsidP="00927C71">
            <w:pPr>
              <w:pStyle w:val="Tabletext"/>
              <w:jc w:val="center"/>
              <w:rPr>
                <w:lang w:eastAsia="en-GB"/>
              </w:rPr>
            </w:pPr>
            <w:hyperlink r:id="rId41" w:history="1">
              <w:r w:rsidR="008778FE" w:rsidRPr="00A106E4">
                <w:rPr>
                  <w:rStyle w:val="Hyperlink"/>
                </w:rPr>
                <w:t>57</w:t>
              </w:r>
            </w:hyperlink>
          </w:p>
        </w:tc>
      </w:tr>
      <w:tr w:rsidR="008778FE" w:rsidRPr="00A106E4" w14:paraId="5FA55BEF" w14:textId="77777777" w:rsidTr="008778FE">
        <w:trPr>
          <w:jc w:val="center"/>
        </w:trPr>
        <w:tc>
          <w:tcPr>
            <w:tcW w:w="993" w:type="dxa"/>
            <w:shd w:val="clear" w:color="auto" w:fill="auto"/>
            <w:vAlign w:val="center"/>
          </w:tcPr>
          <w:p w14:paraId="25ABD599" w14:textId="38FD82C7" w:rsidR="008778FE" w:rsidRPr="00A106E4" w:rsidRDefault="008778FE" w:rsidP="00927C71">
            <w:pPr>
              <w:pStyle w:val="Tabletext"/>
              <w:jc w:val="center"/>
              <w:rPr>
                <w:b/>
                <w:bCs/>
                <w:lang w:eastAsia="en-GB"/>
              </w:rPr>
            </w:pPr>
            <w:r w:rsidRPr="00A106E4">
              <w:rPr>
                <w:b/>
                <w:bCs/>
                <w:lang w:eastAsia="en-GB"/>
              </w:rPr>
              <w:t>6</w:t>
            </w:r>
          </w:p>
        </w:tc>
        <w:tc>
          <w:tcPr>
            <w:tcW w:w="6804" w:type="dxa"/>
            <w:shd w:val="clear" w:color="auto" w:fill="auto"/>
            <w:vAlign w:val="center"/>
            <w:hideMark/>
          </w:tcPr>
          <w:p w14:paraId="4C2E0EA5" w14:textId="5D09E82A" w:rsidR="008778FE" w:rsidRPr="00A106E4" w:rsidRDefault="008778FE" w:rsidP="00927C71">
            <w:pPr>
              <w:pStyle w:val="Tabletext"/>
              <w:rPr>
                <w:lang w:eastAsia="en-GB"/>
              </w:rPr>
            </w:pPr>
            <w:r w:rsidRPr="00A106E4">
              <w:rPr>
                <w:lang w:eastAsia="en-GB"/>
              </w:rPr>
              <w:t>Rapport du Groupe de travail du Conseil sur l'utilisation des langues (</w:t>
            </w:r>
            <w:r w:rsidRPr="00A106E4">
              <w:rPr>
                <w:i/>
                <w:iCs/>
                <w:lang w:eastAsia="en-GB"/>
              </w:rPr>
              <w:t>Résolution</w:t>
            </w:r>
            <w:r w:rsidR="006744F5" w:rsidRPr="00A106E4">
              <w:rPr>
                <w:i/>
                <w:iCs/>
                <w:lang w:eastAsia="en-GB"/>
              </w:rPr>
              <w:t> </w:t>
            </w:r>
            <w:r w:rsidRPr="00A106E4">
              <w:rPr>
                <w:i/>
                <w:iCs/>
                <w:lang w:eastAsia="en-GB"/>
              </w:rPr>
              <w:t>154 de la PP, Résolution 1372 (MOD) du Conseil</w:t>
            </w:r>
            <w:r w:rsidRPr="00A106E4">
              <w:rPr>
                <w:lang w:eastAsia="en-GB"/>
              </w:rPr>
              <w:t xml:space="preserve">) </w:t>
            </w:r>
            <w:r w:rsidRPr="00A106E4">
              <w:rPr>
                <w:i/>
                <w:iCs/>
                <w:lang w:eastAsia="en-GB"/>
              </w:rPr>
              <w:t>(PL 1.6)</w:t>
            </w:r>
          </w:p>
        </w:tc>
        <w:tc>
          <w:tcPr>
            <w:tcW w:w="1701" w:type="dxa"/>
            <w:shd w:val="clear" w:color="auto" w:fill="auto"/>
            <w:noWrap/>
            <w:vAlign w:val="center"/>
            <w:hideMark/>
          </w:tcPr>
          <w:p w14:paraId="060CAE64" w14:textId="77777777" w:rsidR="008778FE" w:rsidRPr="00A106E4" w:rsidRDefault="00003BE3" w:rsidP="00927C71">
            <w:pPr>
              <w:pStyle w:val="Tabletext"/>
              <w:jc w:val="center"/>
              <w:rPr>
                <w:sz w:val="22"/>
              </w:rPr>
            </w:pPr>
            <w:hyperlink r:id="rId42" w:history="1">
              <w:r w:rsidR="008778FE" w:rsidRPr="00A106E4">
                <w:rPr>
                  <w:rStyle w:val="Hyperlink"/>
                </w:rPr>
                <w:t>12</w:t>
              </w:r>
            </w:hyperlink>
          </w:p>
          <w:p w14:paraId="1DF4B566" w14:textId="2F8AE31C" w:rsidR="008778FE" w:rsidRPr="00A106E4" w:rsidRDefault="00003BE3" w:rsidP="00927C71">
            <w:pPr>
              <w:pStyle w:val="Tabletext"/>
              <w:jc w:val="center"/>
              <w:rPr>
                <w:lang w:eastAsia="en-GB"/>
              </w:rPr>
            </w:pPr>
            <w:hyperlink r:id="rId43" w:history="1">
              <w:r w:rsidR="008778FE" w:rsidRPr="00A106E4">
                <w:rPr>
                  <w:rStyle w:val="Hyperlink"/>
                </w:rPr>
                <w:t>67</w:t>
              </w:r>
            </w:hyperlink>
          </w:p>
        </w:tc>
      </w:tr>
      <w:tr w:rsidR="008778FE" w:rsidRPr="00A106E4" w14:paraId="5D4B4814" w14:textId="77777777" w:rsidTr="008778FE">
        <w:trPr>
          <w:jc w:val="center"/>
        </w:trPr>
        <w:tc>
          <w:tcPr>
            <w:tcW w:w="993" w:type="dxa"/>
            <w:shd w:val="clear" w:color="auto" w:fill="auto"/>
            <w:vAlign w:val="center"/>
          </w:tcPr>
          <w:p w14:paraId="6F50D268" w14:textId="6AAF03EF" w:rsidR="008778FE" w:rsidRPr="00A106E4" w:rsidRDefault="008778FE" w:rsidP="00927C71">
            <w:pPr>
              <w:pStyle w:val="Tabletext"/>
              <w:jc w:val="center"/>
              <w:rPr>
                <w:b/>
                <w:bCs/>
                <w:lang w:eastAsia="en-GB"/>
              </w:rPr>
            </w:pPr>
            <w:r w:rsidRPr="00A106E4">
              <w:rPr>
                <w:b/>
                <w:bCs/>
                <w:lang w:eastAsia="en-GB"/>
              </w:rPr>
              <w:t>7</w:t>
            </w:r>
          </w:p>
        </w:tc>
        <w:tc>
          <w:tcPr>
            <w:tcW w:w="6804" w:type="dxa"/>
            <w:shd w:val="clear" w:color="auto" w:fill="auto"/>
            <w:vAlign w:val="center"/>
            <w:hideMark/>
          </w:tcPr>
          <w:p w14:paraId="0AA4CED4" w14:textId="2C4A1196" w:rsidR="008778FE" w:rsidRPr="00A106E4" w:rsidRDefault="008778FE" w:rsidP="00927C71">
            <w:pPr>
              <w:pStyle w:val="Tabletext"/>
              <w:rPr>
                <w:lang w:eastAsia="en-GB"/>
              </w:rPr>
            </w:pPr>
            <w:r w:rsidRPr="00A106E4">
              <w:rPr>
                <w:bCs/>
                <w:lang w:eastAsia="en-GB"/>
              </w:rPr>
              <w:t xml:space="preserve">Rapport sur le recrutement d'un cabinet de conseil en gestion externe indépendant, comprenant des recommandations et diverses stratégies </w:t>
            </w:r>
            <w:r w:rsidRPr="00A106E4">
              <w:rPr>
                <w:bCs/>
                <w:i/>
                <w:iCs/>
                <w:lang w:eastAsia="en-GB"/>
              </w:rPr>
              <w:t>(</w:t>
            </w:r>
            <w:r w:rsidRPr="00A106E4">
              <w:rPr>
                <w:i/>
                <w:iCs/>
                <w:lang w:eastAsia="en-GB"/>
              </w:rPr>
              <w:t>Résolution 11 de la PP</w:t>
            </w:r>
            <w:r w:rsidRPr="00A106E4">
              <w:rPr>
                <w:bCs/>
                <w:i/>
                <w:iCs/>
                <w:lang w:eastAsia="en-GB"/>
              </w:rPr>
              <w:t>) (PL 2.1)</w:t>
            </w:r>
          </w:p>
        </w:tc>
        <w:tc>
          <w:tcPr>
            <w:tcW w:w="1701" w:type="dxa"/>
            <w:shd w:val="clear" w:color="auto" w:fill="auto"/>
            <w:noWrap/>
            <w:vAlign w:val="center"/>
            <w:hideMark/>
          </w:tcPr>
          <w:p w14:paraId="6F9F55FB" w14:textId="6FCB6A87" w:rsidR="008778FE" w:rsidRPr="00A106E4" w:rsidRDefault="00003BE3" w:rsidP="00927C71">
            <w:pPr>
              <w:pStyle w:val="Tabletext"/>
              <w:jc w:val="center"/>
              <w:rPr>
                <w:lang w:eastAsia="en-GB"/>
              </w:rPr>
            </w:pPr>
            <w:hyperlink r:id="rId44" w:history="1">
              <w:r w:rsidR="008778FE" w:rsidRPr="00A106E4">
                <w:rPr>
                  <w:rStyle w:val="Hyperlink"/>
                </w:rPr>
                <w:t>10</w:t>
              </w:r>
            </w:hyperlink>
          </w:p>
        </w:tc>
      </w:tr>
      <w:tr w:rsidR="008778FE" w:rsidRPr="00A106E4" w14:paraId="7F2FF11C" w14:textId="77777777" w:rsidTr="008778FE">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B5B3B0" w14:textId="2B2356F1" w:rsidR="008778FE" w:rsidRPr="00A106E4" w:rsidRDefault="008778FE" w:rsidP="00927C71">
            <w:pPr>
              <w:pStyle w:val="Tabletext"/>
              <w:keepNext/>
              <w:keepLines/>
              <w:jc w:val="center"/>
              <w:rPr>
                <w:b/>
                <w:bCs/>
                <w:lang w:eastAsia="en-GB"/>
              </w:rPr>
            </w:pPr>
            <w:r w:rsidRPr="00A106E4">
              <w:rPr>
                <w:b/>
                <w:bCs/>
                <w:lang w:eastAsia="en-GB"/>
              </w:rPr>
              <w:t>8</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BBB33E4" w14:textId="472760A5" w:rsidR="008778FE" w:rsidRPr="00A106E4" w:rsidRDefault="00046F9C" w:rsidP="00927C71">
            <w:pPr>
              <w:pStyle w:val="Tabletext"/>
              <w:keepNext/>
              <w:keepLines/>
              <w:rPr>
                <w:lang w:eastAsia="en-GB"/>
              </w:rPr>
            </w:pPr>
            <w:r w:rsidRPr="00A106E4">
              <w:rPr>
                <w:color w:val="000000"/>
              </w:rPr>
              <w:t>Rapport sur les manifestations ITU Telecom World</w:t>
            </w:r>
            <w:r w:rsidRPr="00A106E4">
              <w:rPr>
                <w:color w:val="000000"/>
                <w:szCs w:val="20"/>
                <w:lang w:eastAsia="en-GB"/>
              </w:rPr>
              <w:t xml:space="preserve"> </w:t>
            </w:r>
            <w:r w:rsidRPr="00A106E4">
              <w:rPr>
                <w:color w:val="000000"/>
              </w:rPr>
              <w:t>(Résolution 11 de la PP, Résolution 1292 du Conseil)</w:t>
            </w:r>
            <w:r w:rsidRPr="00A106E4">
              <w:rPr>
                <w:color w:val="000000"/>
                <w:szCs w:val="20"/>
                <w:lang w:eastAsia="en-GB"/>
              </w:rPr>
              <w:t xml:space="preserve"> </w:t>
            </w:r>
            <w:r w:rsidR="008778FE" w:rsidRPr="00A106E4">
              <w:rPr>
                <w:i/>
                <w:iCs/>
                <w:color w:val="000000"/>
                <w:szCs w:val="20"/>
                <w:lang w:eastAsia="en-GB"/>
              </w:rPr>
              <w:t>(PL 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C27A36" w14:textId="1ADAB010" w:rsidR="008778FE" w:rsidRPr="00A106E4" w:rsidRDefault="00003BE3" w:rsidP="00927C71">
            <w:pPr>
              <w:pStyle w:val="Tabletext"/>
              <w:keepNext/>
              <w:keepLines/>
              <w:jc w:val="center"/>
              <w:rPr>
                <w:lang w:eastAsia="en-GB"/>
              </w:rPr>
            </w:pPr>
            <w:hyperlink r:id="rId45" w:history="1">
              <w:r w:rsidR="008778FE" w:rsidRPr="00A106E4">
                <w:rPr>
                  <w:rStyle w:val="Hyperlink"/>
                </w:rPr>
                <w:t>19</w:t>
              </w:r>
            </w:hyperlink>
          </w:p>
        </w:tc>
      </w:tr>
      <w:tr w:rsidR="008778FE" w:rsidRPr="00A106E4" w14:paraId="42C51158" w14:textId="77777777" w:rsidTr="008778FE">
        <w:trPr>
          <w:jc w:val="center"/>
        </w:trPr>
        <w:tc>
          <w:tcPr>
            <w:tcW w:w="993" w:type="dxa"/>
            <w:shd w:val="clear" w:color="auto" w:fill="auto"/>
            <w:vAlign w:val="center"/>
          </w:tcPr>
          <w:p w14:paraId="6D41B7F4" w14:textId="793896E7" w:rsidR="008778FE" w:rsidRPr="00A106E4" w:rsidRDefault="008778FE" w:rsidP="00927C71">
            <w:pPr>
              <w:pStyle w:val="Tabletext"/>
              <w:jc w:val="center"/>
              <w:rPr>
                <w:b/>
                <w:bCs/>
                <w:lang w:eastAsia="en-GB"/>
              </w:rPr>
            </w:pPr>
            <w:r w:rsidRPr="00A106E4">
              <w:rPr>
                <w:b/>
                <w:bCs/>
                <w:lang w:eastAsia="en-GB"/>
              </w:rPr>
              <w:t>9</w:t>
            </w:r>
          </w:p>
        </w:tc>
        <w:tc>
          <w:tcPr>
            <w:tcW w:w="6804" w:type="dxa"/>
            <w:shd w:val="clear" w:color="auto" w:fill="auto"/>
            <w:vAlign w:val="center"/>
            <w:hideMark/>
          </w:tcPr>
          <w:p w14:paraId="0D3B045B" w14:textId="65D4AF12" w:rsidR="008778FE" w:rsidRPr="00A106E4" w:rsidRDefault="008778FE" w:rsidP="00927C71">
            <w:pPr>
              <w:pStyle w:val="Tabletext"/>
              <w:rPr>
                <w:lang w:eastAsia="en-GB"/>
              </w:rPr>
            </w:pPr>
            <w:r w:rsidRPr="00A106E4">
              <w:rPr>
                <w:lang w:eastAsia="en-GB"/>
              </w:rPr>
              <w:t xml:space="preserve">Rapport du Groupe de travail sur les contrôles internes </w:t>
            </w:r>
            <w:r w:rsidRPr="00A106E4">
              <w:rPr>
                <w:i/>
                <w:iCs/>
                <w:lang w:eastAsia="en-GB"/>
              </w:rPr>
              <w:t>(ADM 4)</w:t>
            </w:r>
          </w:p>
        </w:tc>
        <w:tc>
          <w:tcPr>
            <w:tcW w:w="1701" w:type="dxa"/>
            <w:shd w:val="clear" w:color="auto" w:fill="auto"/>
            <w:vAlign w:val="center"/>
          </w:tcPr>
          <w:p w14:paraId="2C22BC26" w14:textId="5FC73D88" w:rsidR="008778FE" w:rsidRPr="00A106E4" w:rsidRDefault="00003BE3" w:rsidP="00927C71">
            <w:pPr>
              <w:pStyle w:val="Tabletext"/>
              <w:jc w:val="center"/>
              <w:rPr>
                <w:lang w:eastAsia="en-GB"/>
              </w:rPr>
            </w:pPr>
            <w:hyperlink r:id="rId46" w:history="1">
              <w:r w:rsidR="008778FE" w:rsidRPr="00A106E4">
                <w:rPr>
                  <w:rStyle w:val="Hyperlink"/>
                </w:rPr>
                <w:t>63</w:t>
              </w:r>
            </w:hyperlink>
          </w:p>
        </w:tc>
      </w:tr>
      <w:tr w:rsidR="008778FE" w:rsidRPr="00A106E4" w14:paraId="55A1076F" w14:textId="77777777" w:rsidTr="008778FE">
        <w:trPr>
          <w:jc w:val="center"/>
        </w:trPr>
        <w:tc>
          <w:tcPr>
            <w:tcW w:w="993" w:type="dxa"/>
            <w:shd w:val="clear" w:color="auto" w:fill="auto"/>
            <w:vAlign w:val="center"/>
          </w:tcPr>
          <w:p w14:paraId="1C98F4FB" w14:textId="7AA42FE6" w:rsidR="008778FE" w:rsidRPr="00A106E4" w:rsidRDefault="008778FE" w:rsidP="00927C71">
            <w:pPr>
              <w:pStyle w:val="Tabletext"/>
              <w:jc w:val="center"/>
              <w:rPr>
                <w:b/>
                <w:bCs/>
                <w:lang w:eastAsia="en-GB"/>
              </w:rPr>
            </w:pPr>
            <w:r w:rsidRPr="00A106E4">
              <w:rPr>
                <w:b/>
                <w:bCs/>
                <w:lang w:eastAsia="en-GB"/>
              </w:rPr>
              <w:t>10</w:t>
            </w:r>
          </w:p>
        </w:tc>
        <w:tc>
          <w:tcPr>
            <w:tcW w:w="6804" w:type="dxa"/>
            <w:shd w:val="clear" w:color="auto" w:fill="auto"/>
            <w:vAlign w:val="center"/>
          </w:tcPr>
          <w:p w14:paraId="32FAF15D" w14:textId="656C93BC" w:rsidR="008778FE" w:rsidRPr="00A106E4" w:rsidRDefault="008778FE" w:rsidP="00927C71">
            <w:pPr>
              <w:pStyle w:val="Tabletext"/>
              <w:rPr>
                <w:lang w:eastAsia="en-GB"/>
              </w:rPr>
            </w:pPr>
            <w:r w:rsidRPr="00A106E4">
              <w:rPr>
                <w:rFonts w:cstheme="minorHAnsi"/>
                <w:lang w:eastAsia="en-GB"/>
              </w:rPr>
              <w:t>Arriérés et comptes spéciaux d'arriérés (</w:t>
            </w:r>
            <w:r w:rsidRPr="00A106E4">
              <w:rPr>
                <w:rFonts w:cstheme="minorHAnsi"/>
                <w:i/>
                <w:iCs/>
                <w:lang w:eastAsia="en-GB"/>
              </w:rPr>
              <w:t>Résolution 41 de la PP</w:t>
            </w:r>
            <w:r w:rsidRPr="00A106E4">
              <w:rPr>
                <w:rFonts w:cstheme="minorHAnsi"/>
                <w:lang w:eastAsia="en-GB"/>
              </w:rPr>
              <w:t xml:space="preserve">) </w:t>
            </w:r>
            <w:r w:rsidRPr="00A106E4">
              <w:rPr>
                <w:rFonts w:cstheme="minorHAnsi"/>
                <w:i/>
                <w:iCs/>
                <w:lang w:eastAsia="en-GB"/>
              </w:rPr>
              <w:t>(ADM 10)</w:t>
            </w:r>
          </w:p>
        </w:tc>
        <w:tc>
          <w:tcPr>
            <w:tcW w:w="1701" w:type="dxa"/>
            <w:shd w:val="clear" w:color="auto" w:fill="auto"/>
            <w:vAlign w:val="center"/>
          </w:tcPr>
          <w:p w14:paraId="600A4EC1" w14:textId="6741FDBF" w:rsidR="008778FE" w:rsidRPr="00A106E4" w:rsidRDefault="00003BE3" w:rsidP="00927C71">
            <w:pPr>
              <w:pStyle w:val="Tabletext"/>
              <w:jc w:val="center"/>
              <w:rPr>
                <w:lang w:eastAsia="en-GB"/>
              </w:rPr>
            </w:pPr>
            <w:hyperlink r:id="rId47" w:history="1">
              <w:r w:rsidR="00EF3C04" w:rsidRPr="00A106E4">
                <w:rPr>
                  <w:rStyle w:val="Hyperlink"/>
                </w:rPr>
                <w:t>11</w:t>
              </w:r>
            </w:hyperlink>
          </w:p>
        </w:tc>
      </w:tr>
      <w:tr w:rsidR="008778FE" w:rsidRPr="00A106E4" w14:paraId="5255A2C1" w14:textId="77777777" w:rsidTr="008778FE">
        <w:trPr>
          <w:jc w:val="center"/>
        </w:trPr>
        <w:tc>
          <w:tcPr>
            <w:tcW w:w="993" w:type="dxa"/>
            <w:shd w:val="clear" w:color="auto" w:fill="auto"/>
            <w:vAlign w:val="center"/>
          </w:tcPr>
          <w:p w14:paraId="1DA71195" w14:textId="7FDF701F" w:rsidR="008778FE" w:rsidRPr="00A106E4" w:rsidRDefault="00EF3C04" w:rsidP="00927C71">
            <w:pPr>
              <w:pStyle w:val="Tabletext"/>
              <w:jc w:val="center"/>
              <w:rPr>
                <w:b/>
                <w:bCs/>
                <w:lang w:eastAsia="en-GB"/>
              </w:rPr>
            </w:pPr>
            <w:r w:rsidRPr="00A106E4">
              <w:rPr>
                <w:rFonts w:cstheme="minorHAnsi"/>
                <w:b/>
                <w:bCs/>
                <w:lang w:eastAsia="en-GB"/>
              </w:rPr>
              <w:t>11</w:t>
            </w:r>
          </w:p>
        </w:tc>
        <w:tc>
          <w:tcPr>
            <w:tcW w:w="6804" w:type="dxa"/>
            <w:shd w:val="clear" w:color="auto" w:fill="auto"/>
            <w:vAlign w:val="center"/>
          </w:tcPr>
          <w:p w14:paraId="2D5A35F4" w14:textId="09553E13" w:rsidR="008778FE" w:rsidRPr="00A106E4" w:rsidRDefault="008778FE" w:rsidP="00927C71">
            <w:pPr>
              <w:pStyle w:val="Tabletext"/>
              <w:rPr>
                <w:lang w:eastAsia="en-GB"/>
              </w:rPr>
            </w:pPr>
            <w:r w:rsidRPr="00A106E4">
              <w:rPr>
                <w:rFonts w:cstheme="minorHAnsi"/>
                <w:lang w:eastAsia="en-GB"/>
              </w:rPr>
              <w:t>Demandes d'exonération</w:t>
            </w:r>
            <w:r w:rsidR="00EF3C04" w:rsidRPr="00A106E4">
              <w:rPr>
                <w:rFonts w:cstheme="minorHAnsi"/>
                <w:lang w:eastAsia="en-GB"/>
              </w:rPr>
              <w:t xml:space="preserve"> </w:t>
            </w:r>
            <w:r w:rsidR="00EF3C04" w:rsidRPr="00A106E4">
              <w:rPr>
                <w:rFonts w:cstheme="minorHAnsi"/>
                <w:i/>
                <w:iCs/>
                <w:lang w:eastAsia="en-GB"/>
              </w:rPr>
              <w:t>(ADM 11)</w:t>
            </w:r>
          </w:p>
        </w:tc>
        <w:tc>
          <w:tcPr>
            <w:tcW w:w="1701" w:type="dxa"/>
            <w:shd w:val="clear" w:color="auto" w:fill="auto"/>
            <w:vAlign w:val="center"/>
          </w:tcPr>
          <w:p w14:paraId="78D4ADA6" w14:textId="6A3B6DAD" w:rsidR="008778FE" w:rsidRPr="00A106E4" w:rsidRDefault="00003BE3" w:rsidP="00927C71">
            <w:pPr>
              <w:pStyle w:val="Tabletext"/>
              <w:jc w:val="center"/>
              <w:rPr>
                <w:lang w:eastAsia="en-GB"/>
              </w:rPr>
            </w:pPr>
            <w:hyperlink r:id="rId48" w:history="1">
              <w:r w:rsidR="00EF3C04" w:rsidRPr="00A106E4">
                <w:rPr>
                  <w:rStyle w:val="Hyperlink"/>
                </w:rPr>
                <w:t>39</w:t>
              </w:r>
            </w:hyperlink>
          </w:p>
        </w:tc>
      </w:tr>
      <w:tr w:rsidR="008778FE" w:rsidRPr="00A106E4" w14:paraId="3A60EFF2" w14:textId="77777777" w:rsidTr="008778FE">
        <w:trPr>
          <w:jc w:val="center"/>
        </w:trPr>
        <w:tc>
          <w:tcPr>
            <w:tcW w:w="993" w:type="dxa"/>
            <w:shd w:val="clear" w:color="auto" w:fill="auto"/>
            <w:vAlign w:val="center"/>
          </w:tcPr>
          <w:p w14:paraId="4BEEA699" w14:textId="0F81307F" w:rsidR="008778FE" w:rsidRPr="00A106E4" w:rsidRDefault="00EF3C04" w:rsidP="00927C71">
            <w:pPr>
              <w:pStyle w:val="Tabletext"/>
              <w:jc w:val="center"/>
              <w:rPr>
                <w:b/>
                <w:bCs/>
                <w:lang w:eastAsia="en-GB"/>
              </w:rPr>
            </w:pPr>
            <w:r w:rsidRPr="00A106E4">
              <w:rPr>
                <w:b/>
                <w:bCs/>
                <w:lang w:eastAsia="en-GB"/>
              </w:rPr>
              <w:t>12</w:t>
            </w:r>
          </w:p>
        </w:tc>
        <w:tc>
          <w:tcPr>
            <w:tcW w:w="6804" w:type="dxa"/>
            <w:shd w:val="clear" w:color="auto" w:fill="auto"/>
            <w:vAlign w:val="center"/>
            <w:hideMark/>
          </w:tcPr>
          <w:p w14:paraId="1D7A2682" w14:textId="73DEA03B" w:rsidR="008778FE" w:rsidRPr="00A106E4" w:rsidRDefault="008778FE" w:rsidP="00927C71">
            <w:pPr>
              <w:pStyle w:val="Tabletext"/>
              <w:rPr>
                <w:lang w:eastAsia="en-GB"/>
              </w:rPr>
            </w:pPr>
            <w:r w:rsidRPr="00A106E4">
              <w:rPr>
                <w:lang w:eastAsia="en-GB"/>
              </w:rPr>
              <w:t>Renforcement de la présence régionale (</w:t>
            </w:r>
            <w:r w:rsidRPr="00A106E4">
              <w:rPr>
                <w:i/>
                <w:iCs/>
                <w:lang w:eastAsia="en-GB"/>
              </w:rPr>
              <w:t>Résolution 25 de la PP</w:t>
            </w:r>
            <w:r w:rsidRPr="00A106E4">
              <w:rPr>
                <w:lang w:eastAsia="en-GB"/>
              </w:rPr>
              <w:t>)</w:t>
            </w:r>
            <w:r w:rsidR="00EF3C04" w:rsidRPr="00A106E4">
              <w:rPr>
                <w:lang w:eastAsia="en-GB"/>
              </w:rPr>
              <w:t xml:space="preserve"> </w:t>
            </w:r>
            <w:r w:rsidR="00EF3C04" w:rsidRPr="00A106E4">
              <w:rPr>
                <w:i/>
                <w:iCs/>
                <w:lang w:eastAsia="en-GB"/>
              </w:rPr>
              <w:t>(ADM 23)</w:t>
            </w:r>
          </w:p>
        </w:tc>
        <w:tc>
          <w:tcPr>
            <w:tcW w:w="1701" w:type="dxa"/>
            <w:shd w:val="clear" w:color="auto" w:fill="auto"/>
            <w:vAlign w:val="center"/>
            <w:hideMark/>
          </w:tcPr>
          <w:p w14:paraId="7224046B" w14:textId="7AC8B0D6" w:rsidR="008778FE" w:rsidRPr="00A106E4" w:rsidRDefault="00003BE3" w:rsidP="00927C71">
            <w:pPr>
              <w:pStyle w:val="Tabletext"/>
              <w:jc w:val="center"/>
              <w:rPr>
                <w:lang w:eastAsia="en-GB"/>
              </w:rPr>
            </w:pPr>
            <w:hyperlink r:id="rId49" w:history="1">
              <w:r w:rsidR="00EF3C04" w:rsidRPr="00A106E4">
                <w:rPr>
                  <w:rStyle w:val="Hyperlink"/>
                  <w:szCs w:val="20"/>
                  <w:lang w:eastAsia="en-GB"/>
                </w:rPr>
                <w:t>25</w:t>
              </w:r>
            </w:hyperlink>
          </w:p>
        </w:tc>
      </w:tr>
      <w:tr w:rsidR="008778FE" w:rsidRPr="00A106E4" w14:paraId="28B7F769" w14:textId="77777777" w:rsidTr="008778FE">
        <w:trPr>
          <w:jc w:val="center"/>
        </w:trPr>
        <w:tc>
          <w:tcPr>
            <w:tcW w:w="993" w:type="dxa"/>
            <w:shd w:val="clear" w:color="auto" w:fill="auto"/>
            <w:vAlign w:val="center"/>
          </w:tcPr>
          <w:p w14:paraId="33E1FA7F" w14:textId="6E2E190B" w:rsidR="008778FE" w:rsidRPr="00A106E4" w:rsidRDefault="00EF3C04" w:rsidP="00927C71">
            <w:pPr>
              <w:pStyle w:val="Tabletext"/>
              <w:keepNext/>
              <w:keepLines/>
              <w:jc w:val="center"/>
              <w:rPr>
                <w:b/>
                <w:bCs/>
                <w:lang w:eastAsia="en-GB"/>
              </w:rPr>
            </w:pPr>
            <w:r w:rsidRPr="00A106E4">
              <w:rPr>
                <w:b/>
                <w:bCs/>
                <w:lang w:eastAsia="en-GB"/>
              </w:rPr>
              <w:t>13</w:t>
            </w:r>
          </w:p>
        </w:tc>
        <w:tc>
          <w:tcPr>
            <w:tcW w:w="6804" w:type="dxa"/>
            <w:shd w:val="clear" w:color="auto" w:fill="auto"/>
            <w:vAlign w:val="center"/>
            <w:hideMark/>
          </w:tcPr>
          <w:p w14:paraId="7F539CF8" w14:textId="0C97600C" w:rsidR="008778FE" w:rsidRPr="00A106E4" w:rsidRDefault="008778FE" w:rsidP="00927C71">
            <w:pPr>
              <w:pStyle w:val="Tabletext"/>
              <w:keepNext/>
              <w:keepLines/>
              <w:rPr>
                <w:lang w:eastAsia="en-GB"/>
              </w:rPr>
            </w:pPr>
            <w:r w:rsidRPr="00A106E4">
              <w:rPr>
                <w:lang w:eastAsia="en-GB"/>
              </w:rPr>
              <w:t xml:space="preserve">Rapport sur l'examen global de la présence régionale de l'UIT, comprenant des suggestions sur les mesures propres à continuer d'assurer l'efficacité et l'efficience de la présence régionale de l'UIT, y compris les recommandations formulées dans le cadre de l'étude menée par le consultant extérieur </w:t>
            </w:r>
            <w:r w:rsidRPr="00A106E4">
              <w:rPr>
                <w:i/>
                <w:iCs/>
                <w:lang w:eastAsia="en-GB"/>
              </w:rPr>
              <w:t>(Résolution</w:t>
            </w:r>
            <w:r w:rsidR="006744F5" w:rsidRPr="00A106E4">
              <w:rPr>
                <w:i/>
                <w:iCs/>
                <w:lang w:eastAsia="en-GB"/>
              </w:rPr>
              <w:t> </w:t>
            </w:r>
            <w:r w:rsidRPr="00A106E4">
              <w:rPr>
                <w:i/>
                <w:iCs/>
                <w:lang w:eastAsia="en-GB"/>
              </w:rPr>
              <w:t>25 de la PP, Décision 616 du Conseil)</w:t>
            </w:r>
            <w:r w:rsidR="00EF3C04" w:rsidRPr="00A106E4">
              <w:rPr>
                <w:i/>
                <w:iCs/>
                <w:lang w:eastAsia="en-GB"/>
              </w:rPr>
              <w:t xml:space="preserve"> (ADM 24)</w:t>
            </w:r>
          </w:p>
        </w:tc>
        <w:tc>
          <w:tcPr>
            <w:tcW w:w="1701" w:type="dxa"/>
            <w:shd w:val="clear" w:color="auto" w:fill="auto"/>
            <w:vAlign w:val="center"/>
          </w:tcPr>
          <w:p w14:paraId="45B9D732" w14:textId="28CB8B48" w:rsidR="008778FE" w:rsidRPr="00A106E4" w:rsidRDefault="00EF3C04" w:rsidP="00927C71">
            <w:pPr>
              <w:pStyle w:val="Tabletext"/>
              <w:keepNext/>
              <w:keepLines/>
              <w:jc w:val="center"/>
              <w:rPr>
                <w:lang w:eastAsia="en-GB"/>
              </w:rPr>
            </w:pPr>
            <w:r w:rsidRPr="00A106E4">
              <w:rPr>
                <w:color w:val="000000"/>
                <w:szCs w:val="20"/>
                <w:lang w:eastAsia="en-GB"/>
              </w:rPr>
              <w:t>[</w:t>
            </w:r>
            <w:hyperlink r:id="rId50" w:history="1">
              <w:r w:rsidRPr="00A106E4">
                <w:rPr>
                  <w:rStyle w:val="Hyperlink"/>
                  <w:szCs w:val="20"/>
                  <w:lang w:eastAsia="en-GB"/>
                </w:rPr>
                <w:t>64</w:t>
              </w:r>
            </w:hyperlink>
            <w:r w:rsidRPr="00A106E4">
              <w:rPr>
                <w:color w:val="000000"/>
                <w:szCs w:val="20"/>
                <w:lang w:eastAsia="en-GB"/>
              </w:rPr>
              <w:t>]</w:t>
            </w:r>
          </w:p>
        </w:tc>
      </w:tr>
      <w:tr w:rsidR="008778FE" w:rsidRPr="00A106E4" w14:paraId="090CB9CF" w14:textId="77777777" w:rsidTr="008778FE">
        <w:trPr>
          <w:jc w:val="center"/>
        </w:trPr>
        <w:tc>
          <w:tcPr>
            <w:tcW w:w="993" w:type="dxa"/>
            <w:shd w:val="clear" w:color="auto" w:fill="auto"/>
            <w:vAlign w:val="center"/>
          </w:tcPr>
          <w:p w14:paraId="4A3E0A66" w14:textId="3FE0C8E9" w:rsidR="008778FE" w:rsidRPr="00A106E4" w:rsidRDefault="00EF3C04" w:rsidP="00927C71">
            <w:pPr>
              <w:pStyle w:val="Tabletext"/>
              <w:jc w:val="center"/>
              <w:rPr>
                <w:b/>
                <w:bCs/>
                <w:lang w:eastAsia="en-GB"/>
              </w:rPr>
            </w:pPr>
            <w:r w:rsidRPr="00A106E4">
              <w:rPr>
                <w:b/>
                <w:bCs/>
                <w:lang w:eastAsia="en-GB"/>
              </w:rPr>
              <w:t>14</w:t>
            </w:r>
          </w:p>
        </w:tc>
        <w:tc>
          <w:tcPr>
            <w:tcW w:w="6804" w:type="dxa"/>
            <w:shd w:val="clear" w:color="auto" w:fill="auto"/>
            <w:vAlign w:val="center"/>
            <w:hideMark/>
          </w:tcPr>
          <w:p w14:paraId="4921BE00" w14:textId="297232A3" w:rsidR="008778FE" w:rsidRPr="00A106E4" w:rsidRDefault="008778FE" w:rsidP="00927C71">
            <w:pPr>
              <w:pStyle w:val="Tabletext"/>
              <w:rPr>
                <w:lang w:eastAsia="en-GB"/>
              </w:rPr>
            </w:pPr>
            <w:r w:rsidRPr="00A106E4">
              <w:rPr>
                <w:lang w:eastAsia="en-GB"/>
              </w:rPr>
              <w:t>Rapport du Bureau de l'éthique</w:t>
            </w:r>
            <w:r w:rsidR="00EF3C04" w:rsidRPr="00A106E4">
              <w:rPr>
                <w:lang w:eastAsia="en-GB"/>
              </w:rPr>
              <w:t xml:space="preserve"> </w:t>
            </w:r>
            <w:r w:rsidR="00EF3C04" w:rsidRPr="00A106E4">
              <w:rPr>
                <w:i/>
                <w:iCs/>
                <w:lang w:eastAsia="en-GB"/>
              </w:rPr>
              <w:t>(ADM 31)</w:t>
            </w:r>
          </w:p>
        </w:tc>
        <w:tc>
          <w:tcPr>
            <w:tcW w:w="1701" w:type="dxa"/>
            <w:shd w:val="clear" w:color="auto" w:fill="auto"/>
            <w:noWrap/>
            <w:vAlign w:val="center"/>
            <w:hideMark/>
          </w:tcPr>
          <w:p w14:paraId="2E82EE3A" w14:textId="0A6547CE" w:rsidR="008778FE" w:rsidRPr="00A106E4" w:rsidRDefault="00003BE3" w:rsidP="00927C71">
            <w:pPr>
              <w:pStyle w:val="Tabletext"/>
              <w:jc w:val="center"/>
              <w:rPr>
                <w:lang w:eastAsia="en-GB"/>
              </w:rPr>
            </w:pPr>
            <w:hyperlink r:id="rId51" w:history="1">
              <w:r w:rsidR="00EF3C04" w:rsidRPr="00A106E4">
                <w:rPr>
                  <w:rStyle w:val="Hyperlink"/>
                </w:rPr>
                <w:t>59</w:t>
              </w:r>
            </w:hyperlink>
          </w:p>
        </w:tc>
      </w:tr>
      <w:tr w:rsidR="008778FE" w:rsidRPr="00A106E4" w14:paraId="33E817BE" w14:textId="77777777" w:rsidTr="008778FE">
        <w:trPr>
          <w:jc w:val="center"/>
        </w:trPr>
        <w:tc>
          <w:tcPr>
            <w:tcW w:w="993" w:type="dxa"/>
            <w:shd w:val="clear" w:color="auto" w:fill="auto"/>
            <w:vAlign w:val="center"/>
          </w:tcPr>
          <w:p w14:paraId="4840F4F1" w14:textId="53942728" w:rsidR="008778FE" w:rsidRPr="00A106E4" w:rsidRDefault="00EF3C04" w:rsidP="00927C71">
            <w:pPr>
              <w:pStyle w:val="Tabletext"/>
              <w:jc w:val="center"/>
              <w:rPr>
                <w:b/>
                <w:bCs/>
                <w:lang w:eastAsia="en-GB"/>
              </w:rPr>
            </w:pPr>
            <w:r w:rsidRPr="00A106E4">
              <w:rPr>
                <w:b/>
                <w:bCs/>
                <w:lang w:eastAsia="en-GB"/>
              </w:rPr>
              <w:lastRenderedPageBreak/>
              <w:t>15</w:t>
            </w:r>
          </w:p>
        </w:tc>
        <w:tc>
          <w:tcPr>
            <w:tcW w:w="6804" w:type="dxa"/>
            <w:shd w:val="clear" w:color="auto" w:fill="auto"/>
            <w:vAlign w:val="center"/>
            <w:hideMark/>
          </w:tcPr>
          <w:p w14:paraId="7F01AAF9" w14:textId="0C47F367" w:rsidR="008778FE" w:rsidRPr="00A106E4" w:rsidRDefault="008778FE" w:rsidP="00927C71">
            <w:pPr>
              <w:pStyle w:val="Tabletext"/>
              <w:rPr>
                <w:lang w:eastAsia="en-GB"/>
              </w:rPr>
            </w:pPr>
            <w:r w:rsidRPr="00A106E4">
              <w:rPr>
                <w:bCs/>
                <w:lang w:eastAsia="en-GB"/>
              </w:rPr>
              <w:t>Rapport sur la mise en œuvre du plan d'action pour la gestion des risques</w:t>
            </w:r>
            <w:r w:rsidR="00EF3C04" w:rsidRPr="00A106E4">
              <w:rPr>
                <w:bCs/>
                <w:lang w:eastAsia="en-GB"/>
              </w:rPr>
              <w:t xml:space="preserve"> </w:t>
            </w:r>
            <w:r w:rsidR="00EF3C04" w:rsidRPr="00A106E4">
              <w:rPr>
                <w:bCs/>
                <w:i/>
                <w:iCs/>
                <w:lang w:eastAsia="en-GB"/>
              </w:rPr>
              <w:t>(ADM 32)</w:t>
            </w:r>
          </w:p>
        </w:tc>
        <w:tc>
          <w:tcPr>
            <w:tcW w:w="1701" w:type="dxa"/>
            <w:shd w:val="clear" w:color="auto" w:fill="auto"/>
            <w:vAlign w:val="center"/>
            <w:hideMark/>
          </w:tcPr>
          <w:p w14:paraId="7E090219" w14:textId="27BEDE08" w:rsidR="008778FE" w:rsidRPr="00A106E4" w:rsidRDefault="00003BE3" w:rsidP="00927C71">
            <w:pPr>
              <w:pStyle w:val="Tabletext"/>
              <w:jc w:val="center"/>
              <w:rPr>
                <w:lang w:eastAsia="en-GB"/>
              </w:rPr>
            </w:pPr>
            <w:hyperlink r:id="rId52" w:history="1">
              <w:r w:rsidR="00EF3C04" w:rsidRPr="00A106E4">
                <w:rPr>
                  <w:rStyle w:val="Hyperlink"/>
                </w:rPr>
                <w:t>61</w:t>
              </w:r>
            </w:hyperlink>
          </w:p>
        </w:tc>
      </w:tr>
      <w:tr w:rsidR="008778FE" w:rsidRPr="00A106E4" w14:paraId="0FADBCA7" w14:textId="77777777" w:rsidTr="008778FE">
        <w:trPr>
          <w:jc w:val="center"/>
        </w:trPr>
        <w:tc>
          <w:tcPr>
            <w:tcW w:w="993" w:type="dxa"/>
            <w:shd w:val="clear" w:color="auto" w:fill="auto"/>
            <w:vAlign w:val="center"/>
          </w:tcPr>
          <w:p w14:paraId="69E3A76B" w14:textId="55594633" w:rsidR="008778FE" w:rsidRPr="00A106E4" w:rsidRDefault="00EF3C04" w:rsidP="00927C71">
            <w:pPr>
              <w:pStyle w:val="Tabletext"/>
              <w:jc w:val="center"/>
              <w:rPr>
                <w:b/>
                <w:bCs/>
                <w:lang w:eastAsia="en-GB"/>
              </w:rPr>
            </w:pPr>
            <w:r w:rsidRPr="00A106E4">
              <w:rPr>
                <w:b/>
                <w:bCs/>
                <w:lang w:eastAsia="en-GB"/>
              </w:rPr>
              <w:t>16</w:t>
            </w:r>
          </w:p>
        </w:tc>
        <w:tc>
          <w:tcPr>
            <w:tcW w:w="6804" w:type="dxa"/>
            <w:shd w:val="clear" w:color="auto" w:fill="auto"/>
            <w:vAlign w:val="center"/>
            <w:hideMark/>
          </w:tcPr>
          <w:p w14:paraId="5D9A9414" w14:textId="5717959E" w:rsidR="008778FE" w:rsidRPr="00A106E4" w:rsidRDefault="008778FE" w:rsidP="00927C71">
            <w:pPr>
              <w:pStyle w:val="Tabletext"/>
              <w:rPr>
                <w:lang w:eastAsia="en-GB"/>
              </w:rPr>
            </w:pPr>
            <w:r w:rsidRPr="00A106E4">
              <w:rPr>
                <w:bCs/>
                <w:lang w:eastAsia="en-GB"/>
              </w:rPr>
              <w:t>Continuité des activités: analyse de cas concernant la gestion de l'information</w:t>
            </w:r>
            <w:r w:rsidR="00EF3C04" w:rsidRPr="00A106E4">
              <w:rPr>
                <w:bCs/>
                <w:lang w:eastAsia="en-GB"/>
              </w:rPr>
              <w:t xml:space="preserve"> </w:t>
            </w:r>
            <w:r w:rsidR="00EF3C04" w:rsidRPr="00A106E4">
              <w:rPr>
                <w:bCs/>
                <w:i/>
                <w:iCs/>
                <w:lang w:eastAsia="en-GB"/>
              </w:rPr>
              <w:t>(ADM 33)</w:t>
            </w:r>
          </w:p>
        </w:tc>
        <w:tc>
          <w:tcPr>
            <w:tcW w:w="1701" w:type="dxa"/>
            <w:shd w:val="clear" w:color="auto" w:fill="auto"/>
            <w:noWrap/>
            <w:vAlign w:val="center"/>
            <w:hideMark/>
          </w:tcPr>
          <w:p w14:paraId="0E2FA5CD" w14:textId="5A4BD76E" w:rsidR="008778FE" w:rsidRPr="00A106E4" w:rsidRDefault="00003BE3" w:rsidP="00927C71">
            <w:pPr>
              <w:pStyle w:val="Tabletext"/>
              <w:jc w:val="center"/>
              <w:rPr>
                <w:lang w:eastAsia="en-GB"/>
              </w:rPr>
            </w:pPr>
            <w:hyperlink r:id="rId53" w:history="1">
              <w:r w:rsidR="00EF3C04" w:rsidRPr="00A106E4">
                <w:rPr>
                  <w:rStyle w:val="Hyperlink"/>
                </w:rPr>
                <w:t>53</w:t>
              </w:r>
            </w:hyperlink>
          </w:p>
        </w:tc>
      </w:tr>
      <w:tr w:rsidR="008778FE" w:rsidRPr="00A106E4" w14:paraId="37A7BA02" w14:textId="77777777" w:rsidTr="008778FE">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2B058C" w14:textId="4CC1B7A5" w:rsidR="008778FE" w:rsidRPr="00A106E4" w:rsidRDefault="00EF3C04" w:rsidP="00927C71">
            <w:pPr>
              <w:pStyle w:val="Tabletext"/>
              <w:jc w:val="center"/>
              <w:rPr>
                <w:b/>
                <w:bCs/>
                <w:lang w:eastAsia="en-GB"/>
              </w:rPr>
            </w:pPr>
            <w:r w:rsidRPr="00A106E4">
              <w:rPr>
                <w:b/>
                <w:bCs/>
                <w:lang w:eastAsia="en-GB"/>
              </w:rPr>
              <w:t>17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8C25" w14:textId="61C76FE9" w:rsidR="008778FE" w:rsidRPr="00A106E4" w:rsidRDefault="00046F9C" w:rsidP="00927C71">
            <w:pPr>
              <w:pStyle w:val="Tabletext"/>
              <w:rPr>
                <w:lang w:eastAsia="en-GB"/>
              </w:rPr>
            </w:pPr>
            <w:r w:rsidRPr="00A106E4">
              <w:rPr>
                <w:color w:val="000000"/>
              </w:rPr>
              <w:t xml:space="preserve">Parts contributives de la République islamique du Pakistan aux dépenses de l'Union </w:t>
            </w:r>
            <w:r w:rsidR="00EF3C04" w:rsidRPr="00A106E4">
              <w:rPr>
                <w:i/>
                <w:iCs/>
                <w:color w:val="000000"/>
                <w:szCs w:val="20"/>
                <w:lang w:eastAsia="en-GB"/>
              </w:rPr>
              <w:t>(n</w:t>
            </w:r>
            <w:r w:rsidRPr="00A106E4">
              <w:rPr>
                <w:i/>
                <w:iCs/>
                <w:color w:val="000000"/>
                <w:szCs w:val="20"/>
                <w:lang w:eastAsia="en-GB"/>
              </w:rPr>
              <w:t>ouveau</w:t>
            </w:r>
            <w:r w:rsidR="00EF3C04" w:rsidRPr="00A106E4">
              <w:rPr>
                <w:i/>
                <w:iCs/>
                <w:color w:val="000000"/>
                <w:szCs w:val="20"/>
                <w:lang w:eastAsia="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D61CD" w14:textId="26453D64" w:rsidR="008778FE" w:rsidRPr="00A106E4" w:rsidRDefault="00EF3C04" w:rsidP="00927C71">
            <w:pPr>
              <w:pStyle w:val="Tabletext"/>
              <w:jc w:val="center"/>
              <w:rPr>
                <w:lang w:eastAsia="en-GB"/>
              </w:rPr>
            </w:pPr>
            <w:r w:rsidRPr="00E9783A">
              <w:t>[73]</w:t>
            </w:r>
          </w:p>
        </w:tc>
      </w:tr>
    </w:tbl>
    <w:p w14:paraId="12FC2BB8" w14:textId="5C038955" w:rsidR="00EF3C04" w:rsidRPr="00A106E4" w:rsidRDefault="00046F9C" w:rsidP="00927C71">
      <w:pPr>
        <w:spacing w:line="240" w:lineRule="auto"/>
        <w:jc w:val="left"/>
        <w:rPr>
          <w:sz w:val="24"/>
          <w:szCs w:val="24"/>
        </w:rPr>
      </w:pPr>
      <w:r w:rsidRPr="00A106E4">
        <w:rPr>
          <w:sz w:val="24"/>
          <w:szCs w:val="24"/>
        </w:rPr>
        <w:t>L</w:t>
      </w:r>
      <w:r w:rsidR="00C649E9" w:rsidRPr="00A106E4">
        <w:rPr>
          <w:sz w:val="24"/>
          <w:szCs w:val="24"/>
        </w:rPr>
        <w:t>'</w:t>
      </w:r>
      <w:r w:rsidRPr="00A106E4">
        <w:rPr>
          <w:sz w:val="24"/>
          <w:szCs w:val="24"/>
        </w:rPr>
        <w:t>examen des points ci-après, dont la liste est reproduite ci-dessous à titre d</w:t>
      </w:r>
      <w:r w:rsidR="00C649E9" w:rsidRPr="00A106E4">
        <w:rPr>
          <w:sz w:val="24"/>
          <w:szCs w:val="24"/>
        </w:rPr>
        <w:t>'</w:t>
      </w:r>
      <w:r w:rsidRPr="00A106E4">
        <w:rPr>
          <w:sz w:val="24"/>
          <w:szCs w:val="24"/>
        </w:rPr>
        <w:t>information seulement, est reporté</w:t>
      </w:r>
      <w:r w:rsidRPr="0036246B">
        <w:rPr>
          <w:sz w:val="24"/>
          <w:szCs w:val="24"/>
        </w:rPr>
        <w:t xml:space="preserve"> à la session physique de</w:t>
      </w:r>
      <w:r w:rsidR="00EF3C04" w:rsidRPr="00A106E4">
        <w:rPr>
          <w:sz w:val="24"/>
          <w:szCs w:val="24"/>
        </w:rPr>
        <w:t xml:space="preserve"> 2021</w:t>
      </w:r>
      <w:r w:rsidR="005F72A4" w:rsidRPr="0036246B">
        <w:rPr>
          <w:sz w:val="24"/>
          <w:szCs w:val="24"/>
        </w:rPr>
        <w:t xml:space="preserve"> du Conseil</w:t>
      </w:r>
      <w:r w:rsidRPr="00A106E4">
        <w:rPr>
          <w:sz w:val="24"/>
          <w:szCs w:val="24"/>
        </w:rPr>
        <w:t>.</w:t>
      </w:r>
    </w:p>
    <w:p w14:paraId="0C7F9A05" w14:textId="497578D3" w:rsidR="00EF3C04" w:rsidRPr="00A106E4" w:rsidRDefault="00EF3C04" w:rsidP="006744F5">
      <w:pPr>
        <w:pStyle w:val="Heading1"/>
        <w:spacing w:after="240" w:line="240" w:lineRule="auto"/>
        <w:jc w:val="left"/>
      </w:pPr>
      <w:r w:rsidRPr="00A106E4">
        <w:t>3</w:t>
      </w:r>
      <w:r w:rsidRPr="00A106E4">
        <w:tab/>
        <w:t>Documents</w:t>
      </w:r>
      <w:r w:rsidR="00046F9C" w:rsidRPr="00A106E4">
        <w:t xml:space="preserve"> dont l</w:t>
      </w:r>
      <w:r w:rsidR="00C649E9" w:rsidRPr="00A106E4">
        <w:t>'</w:t>
      </w:r>
      <w:r w:rsidR="00046F9C" w:rsidRPr="00A106E4">
        <w:t>examen est reporté à la réunion physique</w:t>
      </w:r>
      <w:r w:rsidR="008C46C7" w:rsidRPr="00A106E4">
        <w:t xml:space="preserve"> de 2021 du Conseil</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804"/>
        <w:gridCol w:w="1701"/>
      </w:tblGrid>
      <w:tr w:rsidR="00EF3C04" w:rsidRPr="00A106E4" w14:paraId="67F48FA3" w14:textId="77777777" w:rsidTr="00C21099">
        <w:trPr>
          <w:cantSplit/>
          <w:trHeight w:val="752"/>
          <w:tblHeader/>
          <w:jc w:val="center"/>
        </w:trPr>
        <w:tc>
          <w:tcPr>
            <w:tcW w:w="993" w:type="dxa"/>
            <w:tcBorders>
              <w:top w:val="nil"/>
              <w:left w:val="nil"/>
              <w:bottom w:val="single" w:sz="4" w:space="0" w:color="auto"/>
              <w:right w:val="single" w:sz="4" w:space="0" w:color="auto"/>
            </w:tcBorders>
            <w:shd w:val="clear" w:color="auto" w:fill="DDD9C3" w:themeFill="background2" w:themeFillShade="E6"/>
          </w:tcPr>
          <w:p w14:paraId="164468E4" w14:textId="77777777" w:rsidR="00EF3C04" w:rsidRPr="00A106E4" w:rsidRDefault="00EF3C04" w:rsidP="00927C71">
            <w:pPr>
              <w:pStyle w:val="Tablehead"/>
              <w:rPr>
                <w:lang w:eastAsia="en-GB"/>
              </w:rPr>
            </w:pPr>
          </w:p>
        </w:tc>
        <w:tc>
          <w:tcPr>
            <w:tcW w:w="680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978B9B6" w14:textId="7C1E499D" w:rsidR="00EF3C04" w:rsidRPr="00A106E4" w:rsidRDefault="00EF3C04" w:rsidP="00927C71">
            <w:pPr>
              <w:pStyle w:val="Tablehead"/>
              <w:rPr>
                <w:lang w:eastAsia="en-GB"/>
              </w:rPr>
            </w:pPr>
            <w:r w:rsidRPr="00A106E4">
              <w:rPr>
                <w:lang w:eastAsia="en-GB"/>
              </w:rPr>
              <w:t>Sujet</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7794E84" w14:textId="77777777" w:rsidR="00EF3C04" w:rsidRPr="00A106E4" w:rsidRDefault="00EF3C04" w:rsidP="00927C71">
            <w:pPr>
              <w:pStyle w:val="Tablehead"/>
              <w:rPr>
                <w:szCs w:val="20"/>
                <w:lang w:eastAsia="en-GB"/>
              </w:rPr>
            </w:pPr>
            <w:r w:rsidRPr="00A106E4">
              <w:rPr>
                <w:szCs w:val="20"/>
                <w:lang w:eastAsia="en-GB"/>
              </w:rPr>
              <w:t>C20/#</w:t>
            </w:r>
          </w:p>
          <w:p w14:paraId="53C5D7CC" w14:textId="77777777" w:rsidR="00EF3C04" w:rsidRPr="00A106E4" w:rsidRDefault="00EF3C04" w:rsidP="00927C71">
            <w:pPr>
              <w:pStyle w:val="Tablehead"/>
              <w:rPr>
                <w:szCs w:val="20"/>
                <w:lang w:eastAsia="en-GB"/>
              </w:rPr>
            </w:pPr>
            <w:r w:rsidRPr="00A106E4">
              <w:rPr>
                <w:szCs w:val="20"/>
                <w:lang w:eastAsia="en-GB"/>
              </w:rPr>
              <w:t>VC/#</w:t>
            </w:r>
          </w:p>
        </w:tc>
      </w:tr>
      <w:tr w:rsidR="00EF3C04" w:rsidRPr="00A106E4" w14:paraId="0203D6E4"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C375AF3" w14:textId="77777777" w:rsidR="00EF3C04" w:rsidRPr="00A106E4" w:rsidRDefault="00EF3C04" w:rsidP="00927C71">
            <w:pPr>
              <w:pStyle w:val="Tabletext"/>
              <w:jc w:val="center"/>
              <w:rPr>
                <w:b/>
                <w:bCs/>
                <w:lang w:eastAsia="en-GB"/>
              </w:rPr>
            </w:pPr>
            <w:r w:rsidRPr="00A106E4">
              <w:rPr>
                <w:b/>
                <w:bCs/>
                <w:lang w:eastAsia="en-GB"/>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2A8E3FB" w14:textId="71F4F9EF" w:rsidR="00EF3C04" w:rsidRPr="00A106E4" w:rsidRDefault="00EF3C04" w:rsidP="00927C71">
            <w:pPr>
              <w:pStyle w:val="Tabletext"/>
              <w:rPr>
                <w:szCs w:val="20"/>
                <w:lang w:eastAsia="en-GB"/>
              </w:rPr>
            </w:pPr>
            <w:r w:rsidRPr="00A106E4">
              <w:rPr>
                <w:lang w:eastAsia="en-GB"/>
              </w:rPr>
              <w:t xml:space="preserve">Activités de l'UIT liées à l'Internet: </w:t>
            </w:r>
            <w:r w:rsidRPr="00A106E4">
              <w:rPr>
                <w:iCs/>
                <w:lang w:eastAsia="en-GB"/>
              </w:rPr>
              <w:t>Résolutions 101, 102, 133 et 180 de la PP</w:t>
            </w:r>
            <w:r w:rsidRPr="00A106E4">
              <w:rPr>
                <w:i/>
                <w:iCs/>
                <w:szCs w:val="20"/>
                <w:lang w:eastAsia="en-GB"/>
              </w:rPr>
              <w:t xml:space="preserve"> (PL</w:t>
            </w:r>
            <w:r w:rsidR="00AA6E71" w:rsidRPr="00A106E4">
              <w:rPr>
                <w:i/>
                <w:iCs/>
                <w:szCs w:val="20"/>
                <w:lang w:eastAsia="en-GB"/>
              </w:rPr>
              <w:t> </w:t>
            </w:r>
            <w:r w:rsidRPr="00A106E4">
              <w:rPr>
                <w:i/>
                <w:iCs/>
                <w:szCs w:val="20"/>
                <w:lang w:eastAsia="en-GB"/>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3F0DDF" w14:textId="77777777" w:rsidR="00EF3C04" w:rsidRPr="00A106E4" w:rsidRDefault="00003BE3" w:rsidP="00927C71">
            <w:pPr>
              <w:pStyle w:val="Tabletext"/>
              <w:jc w:val="center"/>
              <w:rPr>
                <w:rFonts w:eastAsia="MS Mincho"/>
                <w:sz w:val="22"/>
              </w:rPr>
            </w:pPr>
            <w:hyperlink r:id="rId54" w:history="1">
              <w:r w:rsidR="00EF3C04" w:rsidRPr="00A106E4">
                <w:rPr>
                  <w:rStyle w:val="Hyperlink"/>
                </w:rPr>
                <w:t>33</w:t>
              </w:r>
            </w:hyperlink>
          </w:p>
        </w:tc>
      </w:tr>
      <w:tr w:rsidR="00EF3C04" w:rsidRPr="00A106E4" w14:paraId="3C5F24E9"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857A91D" w14:textId="77777777" w:rsidR="00EF3C04" w:rsidRPr="00A106E4" w:rsidRDefault="00EF3C04" w:rsidP="00927C71">
            <w:pPr>
              <w:pStyle w:val="Tabletext"/>
              <w:jc w:val="center"/>
              <w:rPr>
                <w:b/>
                <w:bCs/>
                <w:lang w:eastAsia="en-GB"/>
              </w:rPr>
            </w:pPr>
            <w:r w:rsidRPr="00A106E4">
              <w:rPr>
                <w:b/>
                <w:bCs/>
                <w:lang w:eastAsia="en-GB"/>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5FFB7E6" w14:textId="183C0D6B" w:rsidR="00EF3C04" w:rsidRPr="00A106E4" w:rsidRDefault="00EF3C04" w:rsidP="00927C71">
            <w:pPr>
              <w:pStyle w:val="Tabletext"/>
              <w:rPr>
                <w:szCs w:val="20"/>
                <w:lang w:eastAsia="en-GB"/>
              </w:rPr>
            </w:pPr>
            <w:r w:rsidRPr="00A106E4">
              <w:rPr>
                <w:bCs/>
                <w:lang w:eastAsia="en-GB"/>
              </w:rPr>
              <w:t>Lignes directrices relatives à l'utilisation du Programme mondial cybersécurité par l'UIT</w:t>
            </w:r>
            <w:r w:rsidRPr="00A106E4">
              <w:rPr>
                <w:szCs w:val="20"/>
                <w:lang w:eastAsia="en-GB"/>
              </w:rPr>
              <w:t xml:space="preserve"> </w:t>
            </w:r>
            <w:r w:rsidRPr="00A106E4">
              <w:rPr>
                <w:i/>
                <w:iCs/>
                <w:szCs w:val="20"/>
                <w:lang w:eastAsia="en-GB"/>
              </w:rPr>
              <w:t>(PL 1.4)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E3EAE6C" w14:textId="77777777" w:rsidR="00EF3C04" w:rsidRPr="00A106E4" w:rsidRDefault="00003BE3" w:rsidP="00927C71">
            <w:pPr>
              <w:pStyle w:val="Tabletext"/>
              <w:jc w:val="center"/>
              <w:rPr>
                <w:szCs w:val="20"/>
                <w:lang w:eastAsia="en-GB"/>
              </w:rPr>
            </w:pPr>
            <w:hyperlink r:id="rId55" w:history="1">
              <w:r w:rsidR="00EF3C04" w:rsidRPr="00A106E4">
                <w:rPr>
                  <w:rStyle w:val="Hyperlink"/>
                  <w:szCs w:val="20"/>
                  <w:lang w:eastAsia="en-GB"/>
                </w:rPr>
                <w:t>65</w:t>
              </w:r>
            </w:hyperlink>
          </w:p>
          <w:p w14:paraId="05B64419" w14:textId="77777777" w:rsidR="00EF3C04" w:rsidRPr="00A106E4" w:rsidRDefault="00003BE3" w:rsidP="00927C71">
            <w:pPr>
              <w:pStyle w:val="Tabletext"/>
              <w:jc w:val="center"/>
              <w:rPr>
                <w:rFonts w:eastAsia="MS Mincho"/>
                <w:sz w:val="22"/>
              </w:rPr>
            </w:pPr>
            <w:hyperlink r:id="rId56" w:history="1">
              <w:r w:rsidR="00EF3C04" w:rsidRPr="00A106E4">
                <w:rPr>
                  <w:rStyle w:val="Hyperlink"/>
                  <w:szCs w:val="20"/>
                </w:rPr>
                <w:t>VC/12</w:t>
              </w:r>
            </w:hyperlink>
          </w:p>
        </w:tc>
      </w:tr>
      <w:tr w:rsidR="00EF3C04" w:rsidRPr="00A106E4" w14:paraId="2213D054"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917D078" w14:textId="77777777" w:rsidR="00EF3C04" w:rsidRPr="00A106E4" w:rsidRDefault="00EF3C04" w:rsidP="00927C71">
            <w:pPr>
              <w:pStyle w:val="Tabletext"/>
              <w:jc w:val="center"/>
              <w:rPr>
                <w:b/>
                <w:bCs/>
              </w:rPr>
            </w:pPr>
            <w:r w:rsidRPr="00A106E4">
              <w:rPr>
                <w:b/>
                <w:bC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1A54C8F" w14:textId="3BBE5E21" w:rsidR="00EF3C04" w:rsidRPr="00A106E4" w:rsidRDefault="00EF3C04" w:rsidP="00927C71">
            <w:pPr>
              <w:pStyle w:val="Tabletext"/>
              <w:rPr>
                <w:szCs w:val="20"/>
                <w:lang w:eastAsia="en-GB"/>
              </w:rPr>
            </w:pPr>
            <w:r w:rsidRPr="00A106E4">
              <w:rPr>
                <w:lang w:eastAsia="en-GB"/>
              </w:rPr>
              <w:t>Activités de l'UIT concernant le renforcement du rôle de l'Union dans l'instauration de la confiance et de la sécurité dans l'utilisation des TIC (</w:t>
            </w:r>
            <w:r w:rsidRPr="00A106E4">
              <w:rPr>
                <w:i/>
                <w:iCs/>
                <w:lang w:eastAsia="en-GB"/>
              </w:rPr>
              <w:t>Résolutions 130 et 174 de la PP</w:t>
            </w:r>
            <w:r w:rsidRPr="00A106E4">
              <w:rPr>
                <w:lang w:eastAsia="en-GB"/>
              </w:rPr>
              <w:t>)</w:t>
            </w:r>
            <w:r w:rsidRPr="00A106E4">
              <w:rPr>
                <w:szCs w:val="20"/>
                <w:lang w:eastAsia="en-GB"/>
              </w:rPr>
              <w:t xml:space="preserve"> </w:t>
            </w:r>
            <w:r w:rsidRPr="00A106E4">
              <w:rPr>
                <w:i/>
                <w:iCs/>
                <w:szCs w:val="20"/>
                <w:lang w:eastAsia="en-GB"/>
              </w:rPr>
              <w:t>(PL 1.4)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D76CFF0" w14:textId="77777777" w:rsidR="00EF3C04" w:rsidRPr="00A106E4" w:rsidRDefault="00003BE3" w:rsidP="00927C71">
            <w:pPr>
              <w:pStyle w:val="Tabletext"/>
              <w:jc w:val="center"/>
              <w:rPr>
                <w:rFonts w:eastAsia="MS Mincho"/>
                <w:sz w:val="22"/>
              </w:rPr>
            </w:pPr>
            <w:hyperlink r:id="rId57" w:history="1">
              <w:r w:rsidR="00EF3C04" w:rsidRPr="00A106E4">
                <w:rPr>
                  <w:rStyle w:val="Hyperlink"/>
                </w:rPr>
                <w:t>18</w:t>
              </w:r>
            </w:hyperlink>
          </w:p>
        </w:tc>
      </w:tr>
      <w:tr w:rsidR="00EF3C04" w:rsidRPr="00A106E4" w14:paraId="4F28CCAD"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D2BEB72" w14:textId="77777777" w:rsidR="00EF3C04" w:rsidRPr="00A106E4" w:rsidRDefault="00EF3C04" w:rsidP="00927C71">
            <w:pPr>
              <w:pStyle w:val="Tabletext"/>
              <w:jc w:val="center"/>
              <w:rPr>
                <w:b/>
                <w:bCs/>
              </w:rPr>
            </w:pPr>
            <w:r w:rsidRPr="00A106E4">
              <w:rPr>
                <w:b/>
                <w:bC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8F478D0" w14:textId="438338FA" w:rsidR="00EF3C04" w:rsidRPr="00A106E4" w:rsidRDefault="008C46C7" w:rsidP="00927C71">
            <w:pPr>
              <w:pStyle w:val="Tabletext"/>
              <w:rPr>
                <w:szCs w:val="20"/>
                <w:lang w:eastAsia="en-GB"/>
              </w:rPr>
            </w:pPr>
            <w:r w:rsidRPr="00A106E4">
              <w:rPr>
                <w:bCs/>
                <w:lang w:eastAsia="en-GB"/>
              </w:rPr>
              <w:t>Actualisé</w:t>
            </w:r>
            <w:r w:rsidR="00C649E9" w:rsidRPr="00A106E4">
              <w:rPr>
                <w:bCs/>
                <w:lang w:eastAsia="en-GB"/>
              </w:rPr>
              <w:t>:</w:t>
            </w:r>
            <w:r w:rsidRPr="00A106E4">
              <w:rPr>
                <w:bCs/>
                <w:lang w:eastAsia="en-GB"/>
              </w:rPr>
              <w:t xml:space="preserve"> </w:t>
            </w:r>
            <w:r w:rsidR="00EF3C04" w:rsidRPr="00A106E4">
              <w:rPr>
                <w:bCs/>
                <w:lang w:eastAsia="en-GB"/>
              </w:rPr>
              <w:t>Rapport sur la façon dont le cadre offert par le Programme mondial cybersécurité est actuellement utilisé par l'UIT</w:t>
            </w:r>
            <w:r w:rsidR="00EF3C04" w:rsidRPr="00A106E4">
              <w:rPr>
                <w:szCs w:val="20"/>
                <w:lang w:eastAsia="en-GB"/>
              </w:rPr>
              <w:t xml:space="preserve"> </w:t>
            </w:r>
            <w:r w:rsidR="00EF3C04" w:rsidRPr="00A106E4">
              <w:rPr>
                <w:i/>
                <w:iCs/>
                <w:szCs w:val="20"/>
                <w:lang w:eastAsia="en-GB"/>
              </w:rPr>
              <w:t>(PL 1.4)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5CB9BE7" w14:textId="77777777" w:rsidR="00EF3C04" w:rsidRPr="00A106E4" w:rsidRDefault="00003BE3" w:rsidP="00927C71">
            <w:pPr>
              <w:pStyle w:val="Tabletext"/>
              <w:jc w:val="center"/>
              <w:rPr>
                <w:rFonts w:eastAsia="MS Mincho"/>
                <w:sz w:val="22"/>
              </w:rPr>
            </w:pPr>
            <w:hyperlink r:id="rId58" w:history="1">
              <w:r w:rsidR="00EF3C04" w:rsidRPr="00A106E4">
                <w:rPr>
                  <w:rStyle w:val="Hyperlink"/>
                </w:rPr>
                <w:t>36</w:t>
              </w:r>
            </w:hyperlink>
          </w:p>
        </w:tc>
      </w:tr>
      <w:tr w:rsidR="00EF3C04" w:rsidRPr="00A106E4" w14:paraId="497D1437"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B40E7EE" w14:textId="77777777" w:rsidR="00EF3C04" w:rsidRPr="00A106E4" w:rsidRDefault="00EF3C04" w:rsidP="00927C71">
            <w:pPr>
              <w:pStyle w:val="Tabletext"/>
              <w:jc w:val="center"/>
              <w:rPr>
                <w:b/>
                <w:bCs/>
              </w:rPr>
            </w:pPr>
            <w:r w:rsidRPr="00A106E4">
              <w:rPr>
                <w:b/>
                <w:bCs/>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40E828F" w14:textId="7C40321D" w:rsidR="00EF3C04" w:rsidRPr="00A106E4" w:rsidRDefault="00EF3C04" w:rsidP="00927C71">
            <w:pPr>
              <w:pStyle w:val="Tabletext"/>
              <w:rPr>
                <w:szCs w:val="20"/>
                <w:lang w:eastAsia="en-GB"/>
              </w:rPr>
            </w:pPr>
            <w:r w:rsidRPr="00A106E4">
              <w:rPr>
                <w:lang w:eastAsia="en-GB"/>
              </w:rPr>
              <w:t>Rapport du Groupe EG-RTI (</w:t>
            </w:r>
            <w:r w:rsidRPr="00A106E4">
              <w:rPr>
                <w:i/>
                <w:lang w:eastAsia="en-GB"/>
              </w:rPr>
              <w:t xml:space="preserve">Résolution 146 de la PP, Résolution 1379 </w:t>
            </w:r>
            <w:r w:rsidRPr="00A106E4">
              <w:rPr>
                <w:i/>
                <w:iCs/>
                <w:lang w:eastAsia="en-GB"/>
              </w:rPr>
              <w:t>(MOD</w:t>
            </w:r>
            <w:r w:rsidRPr="00A106E4">
              <w:rPr>
                <w:i/>
                <w:lang w:eastAsia="en-GB"/>
              </w:rPr>
              <w:t>) du Conseil</w:t>
            </w:r>
            <w:r w:rsidRPr="00A106E4">
              <w:rPr>
                <w:i/>
                <w:iCs/>
                <w:lang w:eastAsia="en-GB"/>
              </w:rPr>
              <w:t xml:space="preserve">) </w:t>
            </w:r>
            <w:r w:rsidRPr="00A106E4">
              <w:rPr>
                <w:i/>
                <w:iCs/>
                <w:szCs w:val="20"/>
                <w:lang w:eastAsia="en-GB"/>
              </w:rPr>
              <w:t>(PL 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B36D69" w14:textId="77777777" w:rsidR="00EF3C04" w:rsidRPr="00A106E4" w:rsidRDefault="00003BE3" w:rsidP="00927C71">
            <w:pPr>
              <w:pStyle w:val="Tabletext"/>
              <w:jc w:val="center"/>
              <w:rPr>
                <w:rFonts w:eastAsia="MS Mincho"/>
                <w:sz w:val="22"/>
              </w:rPr>
            </w:pPr>
            <w:hyperlink r:id="rId59" w:history="1">
              <w:r w:rsidR="00EF3C04" w:rsidRPr="00A106E4">
                <w:rPr>
                  <w:rStyle w:val="Hyperlink"/>
                </w:rPr>
                <w:t>26</w:t>
              </w:r>
            </w:hyperlink>
          </w:p>
          <w:p w14:paraId="1D79173C" w14:textId="77777777" w:rsidR="00EF3C04" w:rsidRPr="00A106E4" w:rsidRDefault="00003BE3" w:rsidP="00927C71">
            <w:pPr>
              <w:pStyle w:val="Tabletext"/>
              <w:jc w:val="center"/>
            </w:pPr>
            <w:hyperlink r:id="rId60" w:history="1">
              <w:r w:rsidR="00EF3C04" w:rsidRPr="00A106E4">
                <w:rPr>
                  <w:rStyle w:val="Hyperlink"/>
                </w:rPr>
                <w:t>VC/4</w:t>
              </w:r>
            </w:hyperlink>
          </w:p>
        </w:tc>
      </w:tr>
      <w:tr w:rsidR="00EF3C04" w:rsidRPr="00A106E4" w14:paraId="69B4AAF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E7D5D64" w14:textId="77777777" w:rsidR="00EF3C04" w:rsidRPr="00A106E4" w:rsidRDefault="00EF3C04" w:rsidP="00927C71">
            <w:pPr>
              <w:pStyle w:val="Tabletext"/>
              <w:jc w:val="center"/>
              <w:rPr>
                <w:b/>
                <w:bCs/>
              </w:rPr>
            </w:pPr>
            <w:r w:rsidRPr="00A106E4">
              <w:rPr>
                <w:b/>
                <w:bCs/>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A74B640" w14:textId="5BA0EBF8" w:rsidR="00EF3C04" w:rsidRPr="00A106E4" w:rsidRDefault="000971AE" w:rsidP="00927C71">
            <w:pPr>
              <w:pStyle w:val="Tabletext"/>
              <w:rPr>
                <w:szCs w:val="20"/>
                <w:lang w:eastAsia="en-GB"/>
              </w:rPr>
            </w:pPr>
            <w:r w:rsidRPr="00A106E4">
              <w:rPr>
                <w:lang w:eastAsia="en-GB"/>
              </w:rPr>
              <w:t>Activités de l'UIT relatives à la Résolution 70 (Rév. Dubaï, 2018) de la PP</w:t>
            </w:r>
            <w:r w:rsidR="00EF3C04" w:rsidRPr="00A106E4">
              <w:rPr>
                <w:szCs w:val="20"/>
                <w:lang w:eastAsia="en-GB"/>
              </w:rPr>
              <w:t xml:space="preserve"> </w:t>
            </w:r>
            <w:r w:rsidR="00EF3C04" w:rsidRPr="00A106E4">
              <w:rPr>
                <w:i/>
                <w:iCs/>
                <w:szCs w:val="20"/>
                <w:lang w:eastAsia="en-GB"/>
              </w:rPr>
              <w:t>(PL 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A805E76" w14:textId="77777777" w:rsidR="00EF3C04" w:rsidRPr="00A106E4" w:rsidRDefault="00003BE3" w:rsidP="00927C71">
            <w:pPr>
              <w:pStyle w:val="Tabletext"/>
              <w:jc w:val="center"/>
              <w:rPr>
                <w:rFonts w:eastAsia="MS Mincho"/>
                <w:sz w:val="22"/>
              </w:rPr>
            </w:pPr>
            <w:hyperlink r:id="rId61" w:history="1">
              <w:r w:rsidR="00EF3C04" w:rsidRPr="00A106E4">
                <w:rPr>
                  <w:rStyle w:val="Hyperlink"/>
                </w:rPr>
                <w:t>6</w:t>
              </w:r>
            </w:hyperlink>
            <w:r w:rsidR="00EF3C04" w:rsidRPr="00A106E4">
              <w:t xml:space="preserve"> +</w:t>
            </w:r>
            <w:r w:rsidR="00EF3C04" w:rsidRPr="00A106E4">
              <w:br/>
            </w:r>
            <w:hyperlink r:id="rId62" w:history="1">
              <w:r w:rsidR="00EF3C04" w:rsidRPr="00A106E4">
                <w:rPr>
                  <w:rStyle w:val="Hyperlink"/>
                </w:rPr>
                <w:t>INF2</w:t>
              </w:r>
            </w:hyperlink>
          </w:p>
        </w:tc>
      </w:tr>
      <w:tr w:rsidR="00EF3C04" w:rsidRPr="00A106E4" w14:paraId="7CD7B304"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30F6DE4" w14:textId="77777777" w:rsidR="00EF3C04" w:rsidRPr="00A106E4" w:rsidRDefault="00EF3C04" w:rsidP="00927C71">
            <w:pPr>
              <w:pStyle w:val="Tabletext"/>
              <w:jc w:val="center"/>
              <w:rPr>
                <w:b/>
                <w:bCs/>
                <w:lang w:eastAsia="en-GB"/>
              </w:rPr>
            </w:pPr>
            <w:r w:rsidRPr="00A106E4">
              <w:rPr>
                <w:b/>
                <w:bCs/>
                <w:lang w:eastAsia="en-GB"/>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1F7AB75" w14:textId="2E077865" w:rsidR="00EF3C04" w:rsidRPr="00A106E4" w:rsidRDefault="000971AE" w:rsidP="00927C71">
            <w:pPr>
              <w:pStyle w:val="Tabletext"/>
              <w:rPr>
                <w:szCs w:val="20"/>
                <w:lang w:eastAsia="en-GB"/>
              </w:rPr>
            </w:pPr>
            <w:bookmarkStart w:id="13" w:name="RANGE!C13"/>
            <w:r w:rsidRPr="00A106E4">
              <w:rPr>
                <w:lang w:eastAsia="en-GB"/>
              </w:rPr>
              <w:t>Projet de Plan opérationnel quadriennal du Secrétariat général pour la période 2021-2024 (numéros 87A, 181A, 205A, 223A de la Convention)</w:t>
            </w:r>
            <w:bookmarkEnd w:id="13"/>
            <w:r w:rsidRPr="00A106E4">
              <w:rPr>
                <w:lang w:eastAsia="en-GB"/>
              </w:rPr>
              <w:t xml:space="preserve"> </w:t>
            </w:r>
            <w:r w:rsidR="00EF3C04" w:rsidRPr="00A106E4">
              <w:rPr>
                <w:i/>
                <w:iCs/>
                <w:szCs w:val="20"/>
                <w:lang w:eastAsia="en-GB"/>
              </w:rPr>
              <w:t>(PL 1.10)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7962FF" w14:textId="77777777" w:rsidR="00EF3C04" w:rsidRPr="00A106E4" w:rsidRDefault="00003BE3" w:rsidP="00927C71">
            <w:pPr>
              <w:pStyle w:val="Tabletext"/>
              <w:jc w:val="center"/>
              <w:rPr>
                <w:szCs w:val="20"/>
                <w:lang w:eastAsia="en-GB"/>
              </w:rPr>
            </w:pPr>
            <w:hyperlink r:id="rId63" w:history="1">
              <w:r w:rsidR="00EF3C04" w:rsidRPr="00A106E4">
                <w:rPr>
                  <w:rStyle w:val="Hyperlink"/>
                  <w:szCs w:val="20"/>
                  <w:lang w:eastAsia="en-GB"/>
                </w:rPr>
                <w:t>28</w:t>
              </w:r>
            </w:hyperlink>
          </w:p>
        </w:tc>
      </w:tr>
      <w:tr w:rsidR="00EF3C04" w:rsidRPr="00A106E4" w14:paraId="41E05A3C"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9FB8D3F" w14:textId="77777777" w:rsidR="00EF3C04" w:rsidRPr="00A106E4" w:rsidRDefault="00EF3C04" w:rsidP="00927C71">
            <w:pPr>
              <w:pStyle w:val="Tabletext"/>
              <w:jc w:val="center"/>
              <w:rPr>
                <w:b/>
                <w:bCs/>
                <w:lang w:eastAsia="en-GB"/>
              </w:rPr>
            </w:pPr>
            <w:r w:rsidRPr="00A106E4">
              <w:rPr>
                <w:b/>
                <w:bCs/>
                <w:lang w:eastAsia="en-GB"/>
              </w:rPr>
              <w:t>8</w:t>
            </w:r>
          </w:p>
        </w:tc>
        <w:tc>
          <w:tcPr>
            <w:tcW w:w="6804" w:type="dxa"/>
            <w:tcBorders>
              <w:top w:val="single" w:sz="4" w:space="0" w:color="auto"/>
              <w:left w:val="single" w:sz="4" w:space="0" w:color="auto"/>
              <w:bottom w:val="single" w:sz="4" w:space="0" w:color="auto"/>
              <w:right w:val="single" w:sz="4" w:space="0" w:color="auto"/>
            </w:tcBorders>
            <w:noWrap/>
            <w:vAlign w:val="center"/>
            <w:hideMark/>
          </w:tcPr>
          <w:p w14:paraId="4266A033" w14:textId="13449AE5" w:rsidR="00EF3C04" w:rsidRPr="00A106E4" w:rsidRDefault="000971AE" w:rsidP="00927C71">
            <w:pPr>
              <w:pStyle w:val="Tabletext"/>
              <w:rPr>
                <w:bCs/>
                <w:i/>
                <w:iCs/>
                <w:szCs w:val="20"/>
                <w:lang w:eastAsia="en-GB"/>
              </w:rPr>
            </w:pPr>
            <w:r w:rsidRPr="00A106E4">
              <w:rPr>
                <w:bCs/>
                <w:lang w:eastAsia="en-GB"/>
              </w:rPr>
              <w:t>Propositions d'améliorations concernant les Conférences de plénipotentiaires</w:t>
            </w:r>
            <w:r w:rsidRPr="00A106E4">
              <w:rPr>
                <w:bCs/>
                <w:i/>
                <w:iCs/>
                <w:szCs w:val="20"/>
                <w:lang w:eastAsia="en-GB"/>
              </w:rPr>
              <w:t xml:space="preserve"> </w:t>
            </w:r>
            <w:r w:rsidR="00EF3C04" w:rsidRPr="00A106E4">
              <w:rPr>
                <w:bCs/>
                <w:i/>
                <w:iCs/>
                <w:szCs w:val="20"/>
                <w:lang w:eastAsia="en-GB"/>
              </w:rPr>
              <w:t>(PL 2.3)</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61C972C" w14:textId="77777777" w:rsidR="00EF3C04" w:rsidRPr="00A106E4" w:rsidRDefault="00003BE3" w:rsidP="00927C71">
            <w:pPr>
              <w:pStyle w:val="Tabletext"/>
              <w:jc w:val="center"/>
              <w:rPr>
                <w:szCs w:val="20"/>
                <w:lang w:eastAsia="en-GB"/>
              </w:rPr>
            </w:pPr>
            <w:hyperlink r:id="rId64" w:history="1">
              <w:r w:rsidR="00EF3C04" w:rsidRPr="00A106E4">
                <w:rPr>
                  <w:rStyle w:val="Hyperlink"/>
                  <w:szCs w:val="20"/>
                  <w:lang w:eastAsia="en-GB"/>
                </w:rPr>
                <w:t>13</w:t>
              </w:r>
            </w:hyperlink>
          </w:p>
        </w:tc>
      </w:tr>
      <w:tr w:rsidR="00EF3C04" w:rsidRPr="00A106E4" w14:paraId="1C4B236B"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6F29553" w14:textId="77777777" w:rsidR="00EF3C04" w:rsidRPr="00A106E4" w:rsidRDefault="00EF3C04" w:rsidP="00927C71">
            <w:pPr>
              <w:pStyle w:val="Tabletext"/>
              <w:jc w:val="center"/>
              <w:rPr>
                <w:b/>
                <w:bCs/>
                <w:lang w:eastAsia="en-GB"/>
              </w:rPr>
            </w:pPr>
            <w:r w:rsidRPr="00A106E4">
              <w:rPr>
                <w:b/>
                <w:bCs/>
                <w:lang w:eastAsia="en-GB"/>
              </w:rPr>
              <w:t>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3576FB7" w14:textId="099513BF" w:rsidR="00EF3C04" w:rsidRPr="00A106E4" w:rsidRDefault="00E21BDB" w:rsidP="00927C71">
            <w:pPr>
              <w:pStyle w:val="Tabletext"/>
              <w:rPr>
                <w:bCs/>
                <w:i/>
                <w:iCs/>
                <w:szCs w:val="20"/>
                <w:lang w:eastAsia="en-GB"/>
              </w:rPr>
            </w:pPr>
            <w:r w:rsidRPr="00A106E4">
              <w:rPr>
                <w:bCs/>
                <w:lang w:eastAsia="en-GB"/>
              </w:rPr>
              <w:t>Mise en œuvre des Recommandations 6 et 7 de la Commission 5 de la PP-18 (processus d'élection)</w:t>
            </w:r>
            <w:r w:rsidRPr="00A106E4">
              <w:rPr>
                <w:bCs/>
                <w:i/>
                <w:iCs/>
                <w:szCs w:val="20"/>
                <w:lang w:eastAsia="en-GB"/>
              </w:rPr>
              <w:t xml:space="preserve"> </w:t>
            </w:r>
            <w:r w:rsidR="00EF3C04" w:rsidRPr="00A106E4">
              <w:rPr>
                <w:bCs/>
                <w:i/>
                <w:iCs/>
                <w:szCs w:val="20"/>
                <w:lang w:eastAsia="en-GB"/>
              </w:rPr>
              <w:t>(PL 2.4)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657BCC" w14:textId="77777777" w:rsidR="00EF3C04" w:rsidRPr="00A106E4" w:rsidRDefault="00003BE3" w:rsidP="00927C71">
            <w:pPr>
              <w:pStyle w:val="Tabletext"/>
              <w:jc w:val="center"/>
              <w:rPr>
                <w:szCs w:val="20"/>
                <w:lang w:eastAsia="en-GB"/>
              </w:rPr>
            </w:pPr>
            <w:hyperlink r:id="rId65" w:history="1">
              <w:r w:rsidR="00EF3C04" w:rsidRPr="00A106E4">
                <w:rPr>
                  <w:rStyle w:val="Hyperlink"/>
                  <w:szCs w:val="20"/>
                  <w:lang w:eastAsia="en-GB"/>
                </w:rPr>
                <w:t>4</w:t>
              </w:r>
            </w:hyperlink>
          </w:p>
        </w:tc>
      </w:tr>
      <w:tr w:rsidR="00EF3C04" w:rsidRPr="00A106E4" w14:paraId="7E5C24C7"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99A7F57" w14:textId="77777777" w:rsidR="00EF3C04" w:rsidRPr="00A106E4" w:rsidRDefault="00EF3C04" w:rsidP="00927C71">
            <w:pPr>
              <w:pStyle w:val="Tabletext"/>
              <w:jc w:val="center"/>
              <w:rPr>
                <w:b/>
                <w:bCs/>
                <w:lang w:eastAsia="en-GB"/>
              </w:rPr>
            </w:pPr>
            <w:r w:rsidRPr="00A106E4">
              <w:rPr>
                <w:b/>
                <w:bCs/>
                <w:lang w:eastAsia="en-GB"/>
              </w:rPr>
              <w:t>10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13DA51" w14:textId="4FAC21D6" w:rsidR="00EF3C04" w:rsidRPr="00A106E4" w:rsidRDefault="00EF3C04" w:rsidP="00927C71">
            <w:pPr>
              <w:pStyle w:val="Tabletext"/>
              <w:rPr>
                <w:szCs w:val="20"/>
                <w:lang w:eastAsia="en-GB"/>
              </w:rPr>
            </w:pPr>
            <w:r w:rsidRPr="00A106E4">
              <w:rPr>
                <w:szCs w:val="20"/>
                <w:lang w:eastAsia="en-GB"/>
              </w:rPr>
              <w:t xml:space="preserve">Dates </w:t>
            </w:r>
            <w:r w:rsidR="008C46C7" w:rsidRPr="00A106E4">
              <w:rPr>
                <w:szCs w:val="20"/>
                <w:lang w:eastAsia="en-GB"/>
              </w:rPr>
              <w:t>et lieu de la</w:t>
            </w:r>
            <w:r w:rsidRPr="00A106E4">
              <w:rPr>
                <w:szCs w:val="20"/>
                <w:lang w:eastAsia="en-GB"/>
              </w:rPr>
              <w:t xml:space="preserve"> </w:t>
            </w:r>
            <w:r w:rsidR="00E21BDB" w:rsidRPr="00A106E4">
              <w:rPr>
                <w:szCs w:val="20"/>
                <w:lang w:eastAsia="en-GB"/>
              </w:rPr>
              <w:t>CMR</w:t>
            </w:r>
            <w:r w:rsidRPr="00A106E4">
              <w:rPr>
                <w:szCs w:val="20"/>
                <w:lang w:eastAsia="en-GB"/>
              </w:rPr>
              <w:t xml:space="preserve">-23 </w:t>
            </w:r>
            <w:r w:rsidRPr="00A106E4">
              <w:rPr>
                <w:i/>
                <w:iCs/>
                <w:szCs w:val="20"/>
                <w:lang w:eastAsia="en-GB"/>
              </w:rPr>
              <w:t>(PL 2.11)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AB0143" w14:textId="77777777" w:rsidR="00EF3C04" w:rsidRPr="00A106E4" w:rsidRDefault="00EF3C04" w:rsidP="00927C71">
            <w:pPr>
              <w:pStyle w:val="Tabletext"/>
              <w:jc w:val="center"/>
              <w:rPr>
                <w:szCs w:val="20"/>
                <w:lang w:eastAsia="en-GB"/>
              </w:rPr>
            </w:pPr>
          </w:p>
        </w:tc>
      </w:tr>
      <w:tr w:rsidR="00EF3C04" w:rsidRPr="00A106E4" w14:paraId="12C69872"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FFBE466" w14:textId="77777777" w:rsidR="00EF3C04" w:rsidRPr="00A106E4" w:rsidRDefault="00EF3C04" w:rsidP="00927C71">
            <w:pPr>
              <w:pStyle w:val="Tabletext"/>
              <w:jc w:val="center"/>
              <w:rPr>
                <w:b/>
                <w:bCs/>
                <w:lang w:eastAsia="en-GB"/>
              </w:rPr>
            </w:pPr>
            <w:r w:rsidRPr="00A106E4">
              <w:rPr>
                <w:b/>
                <w:bCs/>
                <w:lang w:eastAsia="en-GB"/>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D75EB81" w14:textId="06BBE1FF" w:rsidR="00EF3C04" w:rsidRPr="00A106E4" w:rsidRDefault="00E21BDB" w:rsidP="00927C71">
            <w:pPr>
              <w:pStyle w:val="Tabletext"/>
              <w:rPr>
                <w:szCs w:val="20"/>
                <w:lang w:eastAsia="en-GB"/>
              </w:rPr>
            </w:pPr>
            <w:r w:rsidRPr="00A106E4">
              <w:rPr>
                <w:lang w:eastAsia="en-GB"/>
              </w:rPr>
              <w:t xml:space="preserve">Rapport sur la mise en œuvre du Plan stratégique et sur les activités de l'Union pour la période 2019-2020 </w:t>
            </w:r>
            <w:r w:rsidRPr="00A106E4">
              <w:rPr>
                <w:iCs/>
                <w:lang w:eastAsia="en-GB"/>
              </w:rPr>
              <w:t>(numéros 61, 82 et 102 de la Convention)</w:t>
            </w:r>
            <w:r w:rsidRPr="00A106E4">
              <w:rPr>
                <w:i/>
                <w:iCs/>
                <w:szCs w:val="20"/>
                <w:lang w:eastAsia="en-GB"/>
              </w:rPr>
              <w:t xml:space="preserve"> </w:t>
            </w:r>
            <w:r w:rsidR="00EF3C04" w:rsidRPr="00A106E4">
              <w:rPr>
                <w:i/>
                <w:iCs/>
                <w:szCs w:val="20"/>
                <w:lang w:eastAsia="en-GB"/>
              </w:rPr>
              <w:t>(PL 3.1)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D89485" w14:textId="77777777" w:rsidR="00EF3C04" w:rsidRPr="00A106E4" w:rsidRDefault="00003BE3" w:rsidP="00927C71">
            <w:pPr>
              <w:pStyle w:val="Tabletext"/>
              <w:jc w:val="center"/>
              <w:rPr>
                <w:rFonts w:eastAsia="MS Mincho"/>
                <w:sz w:val="22"/>
              </w:rPr>
            </w:pPr>
            <w:hyperlink r:id="rId66" w:history="1">
              <w:r w:rsidR="00EF3C04" w:rsidRPr="00A106E4">
                <w:rPr>
                  <w:rStyle w:val="Hyperlink"/>
                </w:rPr>
                <w:t>35</w:t>
              </w:r>
            </w:hyperlink>
          </w:p>
        </w:tc>
      </w:tr>
      <w:tr w:rsidR="00EF3C04" w:rsidRPr="00A106E4" w14:paraId="4D22B43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7D316FE" w14:textId="77777777" w:rsidR="00EF3C04" w:rsidRPr="00A106E4" w:rsidRDefault="00EF3C04" w:rsidP="00927C71">
            <w:pPr>
              <w:pStyle w:val="Tabletext"/>
              <w:jc w:val="center"/>
              <w:rPr>
                <w:b/>
                <w:bCs/>
                <w:lang w:eastAsia="en-GB"/>
              </w:rPr>
            </w:pPr>
            <w:r w:rsidRPr="00A106E4">
              <w:rPr>
                <w:b/>
                <w:bCs/>
                <w:lang w:eastAsia="en-GB"/>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825F65A" w14:textId="599391D7" w:rsidR="00EF3C04" w:rsidRPr="00A106E4" w:rsidRDefault="00E21BDB" w:rsidP="00927C71">
            <w:pPr>
              <w:pStyle w:val="Tabletext"/>
              <w:rPr>
                <w:szCs w:val="20"/>
                <w:lang w:eastAsia="en-GB"/>
              </w:rPr>
            </w:pPr>
            <w:r w:rsidRPr="00A106E4">
              <w:rPr>
                <w:lang w:eastAsia="en-GB"/>
              </w:rPr>
              <w:t>Nouvel indice de l'UIT</w:t>
            </w:r>
            <w:r w:rsidRPr="00A106E4">
              <w:rPr>
                <w:i/>
                <w:iCs/>
                <w:szCs w:val="20"/>
                <w:lang w:eastAsia="en-GB"/>
              </w:rPr>
              <w:t xml:space="preserve"> </w:t>
            </w:r>
            <w:r w:rsidR="00EF3C04" w:rsidRPr="00A106E4">
              <w:rPr>
                <w:i/>
                <w:iCs/>
                <w:szCs w:val="20"/>
                <w:lang w:eastAsia="en-GB"/>
              </w:rPr>
              <w:t>(PL 3.1)</w:t>
            </w:r>
          </w:p>
          <w:p w14:paraId="536899A2" w14:textId="69E18AE1" w:rsidR="00EF3C04" w:rsidRPr="00A106E4" w:rsidRDefault="00E21BDB" w:rsidP="00927C71">
            <w:pPr>
              <w:pStyle w:val="Tabletext"/>
              <w:rPr>
                <w:szCs w:val="20"/>
                <w:lang w:eastAsia="en-GB"/>
              </w:rPr>
            </w:pPr>
            <w:r w:rsidRPr="00A106E4">
              <w:rPr>
                <w:lang w:eastAsia="en-GB"/>
              </w:rPr>
              <w:t>–</w:t>
            </w:r>
            <w:r w:rsidRPr="00A106E4">
              <w:rPr>
                <w:lang w:eastAsia="en-GB"/>
              </w:rPr>
              <w:tab/>
            </w:r>
            <w:r w:rsidR="00EF3C04" w:rsidRPr="00A106E4">
              <w:rPr>
                <w:lang w:eastAsia="en-GB"/>
              </w:rPr>
              <w:t xml:space="preserve">Contribution </w:t>
            </w:r>
            <w:r w:rsidR="008C46C7" w:rsidRPr="00A106E4">
              <w:rPr>
                <w:lang w:eastAsia="en-GB"/>
              </w:rPr>
              <w:t>des Émirats arabes unis</w:t>
            </w:r>
          </w:p>
          <w:p w14:paraId="6EDACBDE" w14:textId="08FF290B" w:rsidR="00EF3C04" w:rsidRPr="00A106E4" w:rsidRDefault="00E21BDB" w:rsidP="00927C71">
            <w:pPr>
              <w:pStyle w:val="Tabletext"/>
              <w:rPr>
                <w:lang w:eastAsia="en-GB"/>
              </w:rPr>
            </w:pPr>
            <w:r w:rsidRPr="00A106E4">
              <w:rPr>
                <w:lang w:eastAsia="en-GB"/>
              </w:rPr>
              <w:t>–</w:t>
            </w:r>
            <w:r w:rsidRPr="00A106E4">
              <w:rPr>
                <w:lang w:eastAsia="en-GB"/>
              </w:rPr>
              <w:tab/>
            </w:r>
            <w:r w:rsidR="00EF3C04" w:rsidRPr="00A106E4">
              <w:rPr>
                <w:lang w:eastAsia="en-GB"/>
              </w:rPr>
              <w:t xml:space="preserve">Contribution </w:t>
            </w:r>
            <w:r w:rsidR="008C46C7" w:rsidRPr="00A106E4">
              <w:rPr>
                <w:lang w:eastAsia="en-GB"/>
              </w:rPr>
              <w:t>du Royaume d</w:t>
            </w:r>
            <w:r w:rsidR="00C649E9" w:rsidRPr="00A106E4">
              <w:rPr>
                <w:lang w:eastAsia="en-GB"/>
              </w:rPr>
              <w:t>'</w:t>
            </w:r>
            <w:r w:rsidR="008C46C7" w:rsidRPr="00A106E4">
              <w:rPr>
                <w:lang w:eastAsia="en-GB"/>
              </w:rPr>
              <w:t>Arabie saoudite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CBF2B1" w14:textId="77777777" w:rsidR="00EF3C04" w:rsidRPr="00A106E4" w:rsidRDefault="00003BE3" w:rsidP="00927C71">
            <w:pPr>
              <w:pStyle w:val="Tabletext"/>
              <w:jc w:val="center"/>
              <w:rPr>
                <w:sz w:val="22"/>
              </w:rPr>
            </w:pPr>
            <w:hyperlink r:id="rId67" w:history="1">
              <w:r w:rsidR="00EF3C04" w:rsidRPr="00A106E4">
                <w:rPr>
                  <w:rStyle w:val="Hyperlink"/>
                </w:rPr>
                <w:t>62</w:t>
              </w:r>
            </w:hyperlink>
          </w:p>
          <w:p w14:paraId="5D2A51A2" w14:textId="77777777" w:rsidR="00EF3C04" w:rsidRPr="00A106E4" w:rsidRDefault="00003BE3" w:rsidP="00927C71">
            <w:pPr>
              <w:pStyle w:val="Tabletext"/>
              <w:jc w:val="center"/>
              <w:rPr>
                <w:rStyle w:val="Hyperlink"/>
              </w:rPr>
            </w:pPr>
            <w:hyperlink r:id="rId68" w:history="1">
              <w:r w:rsidR="00EF3C04" w:rsidRPr="00A106E4">
                <w:rPr>
                  <w:rStyle w:val="Hyperlink"/>
                </w:rPr>
                <w:t>VC/3</w:t>
              </w:r>
            </w:hyperlink>
          </w:p>
          <w:p w14:paraId="3B8A8BD1" w14:textId="77777777" w:rsidR="00EF3C04" w:rsidRPr="00A106E4" w:rsidRDefault="00003BE3" w:rsidP="00927C71">
            <w:pPr>
              <w:pStyle w:val="Tabletext"/>
              <w:jc w:val="center"/>
            </w:pPr>
            <w:hyperlink r:id="rId69" w:history="1">
              <w:r w:rsidR="00EF3C04" w:rsidRPr="00A106E4">
                <w:rPr>
                  <w:rStyle w:val="Hyperlink"/>
                </w:rPr>
                <w:t>VC/14</w:t>
              </w:r>
            </w:hyperlink>
          </w:p>
        </w:tc>
      </w:tr>
      <w:tr w:rsidR="00EF3C04" w:rsidRPr="00A106E4" w14:paraId="6A00953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7682294" w14:textId="77777777" w:rsidR="00EF3C04" w:rsidRPr="00A106E4" w:rsidRDefault="00EF3C04" w:rsidP="00927C71">
            <w:pPr>
              <w:pStyle w:val="Tabletext"/>
              <w:jc w:val="center"/>
              <w:rPr>
                <w:b/>
                <w:bCs/>
                <w:lang w:eastAsia="en-GB"/>
              </w:rPr>
            </w:pPr>
            <w:r w:rsidRPr="00A106E4">
              <w:rPr>
                <w:b/>
                <w:bCs/>
                <w:lang w:eastAsia="en-GB"/>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10372FE" w14:textId="5568E747" w:rsidR="00EF3C04" w:rsidRPr="00A106E4" w:rsidRDefault="00E21BDB" w:rsidP="00927C71">
            <w:pPr>
              <w:pStyle w:val="Tabletext"/>
              <w:rPr>
                <w:szCs w:val="20"/>
                <w:lang w:eastAsia="en-GB"/>
              </w:rPr>
            </w:pPr>
            <w:r w:rsidRPr="00A106E4">
              <w:rPr>
                <w:lang w:eastAsia="en-GB"/>
              </w:rPr>
              <w:t>Rapport de la Commission permanente de l'administration et de la gestion</w:t>
            </w:r>
            <w:r w:rsidRPr="00A106E4">
              <w:rPr>
                <w:i/>
                <w:iCs/>
                <w:szCs w:val="20"/>
                <w:lang w:eastAsia="en-GB"/>
              </w:rPr>
              <w:t xml:space="preserve"> </w:t>
            </w:r>
            <w:r w:rsidR="00EF3C04" w:rsidRPr="00A106E4">
              <w:rPr>
                <w:i/>
                <w:iCs/>
                <w:szCs w:val="20"/>
                <w:lang w:eastAsia="en-GB"/>
              </w:rPr>
              <w:t>(PL</w:t>
            </w:r>
            <w:r w:rsidR="00AA6E71" w:rsidRPr="00A106E4">
              <w:rPr>
                <w:i/>
                <w:iCs/>
                <w:szCs w:val="20"/>
                <w:lang w:eastAsia="en-GB"/>
              </w:rPr>
              <w:t> </w:t>
            </w:r>
            <w:r w:rsidR="00EF3C04" w:rsidRPr="00A106E4">
              <w:rPr>
                <w:i/>
                <w:iCs/>
                <w:szCs w:val="20"/>
                <w:lang w:eastAsia="en-GB"/>
              </w:rPr>
              <w:t>3.2)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C5F2AF9" w14:textId="77777777" w:rsidR="00EF3C04" w:rsidRPr="00A106E4" w:rsidRDefault="00EF3C04" w:rsidP="00927C71">
            <w:pPr>
              <w:pStyle w:val="Tabletext"/>
              <w:jc w:val="center"/>
              <w:rPr>
                <w:rFonts w:eastAsia="MS Mincho"/>
                <w:sz w:val="22"/>
              </w:rPr>
            </w:pPr>
            <w:r w:rsidRPr="00A106E4">
              <w:t>-</w:t>
            </w:r>
          </w:p>
        </w:tc>
      </w:tr>
      <w:tr w:rsidR="00EF3C04" w:rsidRPr="00A106E4" w14:paraId="47FF33A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368F649" w14:textId="77777777" w:rsidR="00EF3C04" w:rsidRPr="00A106E4" w:rsidRDefault="00EF3C04" w:rsidP="00927C71">
            <w:pPr>
              <w:pStyle w:val="Tabletext"/>
              <w:jc w:val="center"/>
              <w:rPr>
                <w:b/>
                <w:bCs/>
                <w:lang w:eastAsia="en-GB"/>
              </w:rPr>
            </w:pPr>
            <w:r w:rsidRPr="00A106E4">
              <w:rPr>
                <w:b/>
                <w:bCs/>
                <w:lang w:eastAsia="en-GB"/>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CBD14CD" w14:textId="3D9B4BDD" w:rsidR="00EF3C04" w:rsidRPr="00A106E4" w:rsidRDefault="00E21BDB" w:rsidP="00927C71">
            <w:pPr>
              <w:pStyle w:val="Tabletext"/>
              <w:rPr>
                <w:szCs w:val="20"/>
                <w:lang w:eastAsia="en-GB"/>
              </w:rPr>
            </w:pPr>
            <w:r w:rsidRPr="00A106E4">
              <w:rPr>
                <w:lang w:eastAsia="en-GB"/>
              </w:rPr>
              <w:t>Résolutions et Décisions du Conseil devenues caduques</w:t>
            </w:r>
            <w:r w:rsidRPr="00A106E4">
              <w:rPr>
                <w:i/>
                <w:iCs/>
                <w:szCs w:val="20"/>
                <w:lang w:eastAsia="en-GB"/>
              </w:rPr>
              <w:t xml:space="preserve"> </w:t>
            </w:r>
            <w:r w:rsidR="00EF3C04" w:rsidRPr="00A106E4">
              <w:rPr>
                <w:i/>
                <w:iCs/>
                <w:szCs w:val="20"/>
                <w:lang w:eastAsia="en-GB"/>
              </w:rPr>
              <w:t>(PL 4.1)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D3E4D9" w14:textId="77777777" w:rsidR="00EF3C04" w:rsidRPr="00A106E4" w:rsidRDefault="00003BE3" w:rsidP="00927C71">
            <w:pPr>
              <w:pStyle w:val="Tabletext"/>
              <w:jc w:val="center"/>
              <w:rPr>
                <w:rFonts w:eastAsia="MS Mincho"/>
                <w:sz w:val="22"/>
              </w:rPr>
            </w:pPr>
            <w:hyperlink r:id="rId70" w:history="1">
              <w:r w:rsidR="00EF3C04" w:rsidRPr="00A106E4">
                <w:rPr>
                  <w:rStyle w:val="Hyperlink"/>
                </w:rPr>
                <w:t>3</w:t>
              </w:r>
            </w:hyperlink>
          </w:p>
        </w:tc>
      </w:tr>
      <w:tr w:rsidR="00EF3C04" w:rsidRPr="00A106E4" w14:paraId="36BAD0EB"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46D207A" w14:textId="77777777" w:rsidR="00EF3C04" w:rsidRPr="00A106E4" w:rsidRDefault="00EF3C04" w:rsidP="00927C71">
            <w:pPr>
              <w:pStyle w:val="Tabletext"/>
              <w:jc w:val="center"/>
              <w:rPr>
                <w:b/>
                <w:bCs/>
              </w:rPr>
            </w:pPr>
            <w:r w:rsidRPr="00A106E4">
              <w:rPr>
                <w:b/>
                <w:bCs/>
              </w:rPr>
              <w:lastRenderedPageBreak/>
              <w:t>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983B281" w14:textId="5DAC1F0E" w:rsidR="00EF3C04" w:rsidRPr="00A106E4" w:rsidRDefault="00E21BDB" w:rsidP="00927C71">
            <w:pPr>
              <w:pStyle w:val="Tabletext"/>
              <w:rPr>
                <w:szCs w:val="20"/>
                <w:lang w:eastAsia="en-GB"/>
              </w:rPr>
            </w:pPr>
            <w:r w:rsidRPr="00A106E4">
              <w:rPr>
                <w:lang w:eastAsia="en-GB"/>
              </w:rPr>
              <w:t>Produits et charges (</w:t>
            </w:r>
            <w:r w:rsidRPr="00A106E4">
              <w:rPr>
                <w:i/>
                <w:lang w:eastAsia="en-GB"/>
              </w:rPr>
              <w:t>Décision 5 de la PP</w:t>
            </w:r>
            <w:r w:rsidRPr="00A106E4">
              <w:rPr>
                <w:lang w:eastAsia="en-GB"/>
              </w:rPr>
              <w:t>): Examen annuel des produits et des charges (</w:t>
            </w:r>
            <w:r w:rsidRPr="00A106E4">
              <w:rPr>
                <w:i/>
                <w:iCs/>
                <w:lang w:eastAsia="en-GB"/>
              </w:rPr>
              <w:t>Décision 5 de la PP</w:t>
            </w:r>
            <w:r w:rsidRPr="00A106E4">
              <w:rPr>
                <w:lang w:eastAsia="en-GB"/>
              </w:rPr>
              <w:t>) et mesures d'efficacité</w:t>
            </w:r>
            <w:r w:rsidRPr="00A106E4">
              <w:rPr>
                <w:szCs w:val="20"/>
                <w:lang w:eastAsia="en-GB"/>
              </w:rPr>
              <w:t xml:space="preserve"> </w:t>
            </w:r>
            <w:r w:rsidR="00EF3C04" w:rsidRPr="00A106E4">
              <w:rPr>
                <w:i/>
                <w:iCs/>
                <w:szCs w:val="20"/>
                <w:lang w:eastAsia="en-GB"/>
              </w:rPr>
              <w:t>(ADM 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C63AB99" w14:textId="77777777" w:rsidR="00EF3C04" w:rsidRPr="00A106E4" w:rsidRDefault="00003BE3" w:rsidP="00927C71">
            <w:pPr>
              <w:pStyle w:val="Tabletext"/>
              <w:jc w:val="center"/>
              <w:rPr>
                <w:rFonts w:eastAsia="MS Mincho"/>
                <w:sz w:val="22"/>
              </w:rPr>
            </w:pPr>
            <w:hyperlink r:id="rId71" w:history="1">
              <w:r w:rsidR="00EF3C04" w:rsidRPr="00A106E4">
                <w:rPr>
                  <w:rStyle w:val="Hyperlink"/>
                </w:rPr>
                <w:t>9</w:t>
              </w:r>
            </w:hyperlink>
          </w:p>
        </w:tc>
      </w:tr>
      <w:tr w:rsidR="00EF3C04" w:rsidRPr="00A106E4" w14:paraId="36CE6DF8"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7ED9406" w14:textId="77777777" w:rsidR="00EF3C04" w:rsidRPr="00A106E4" w:rsidRDefault="00EF3C04" w:rsidP="00927C71">
            <w:pPr>
              <w:pStyle w:val="Tabletext"/>
              <w:jc w:val="center"/>
              <w:rPr>
                <w:b/>
                <w:bCs/>
                <w:lang w:eastAsia="en-GB"/>
              </w:rPr>
            </w:pPr>
            <w:r w:rsidRPr="00A106E4">
              <w:rPr>
                <w:b/>
                <w:bCs/>
                <w:lang w:eastAsia="en-GB"/>
              </w:rPr>
              <w:t>16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0547D0D" w14:textId="79347BE1" w:rsidR="00EF3C04" w:rsidRPr="00A106E4" w:rsidRDefault="00E21BDB" w:rsidP="00927C71">
            <w:pPr>
              <w:pStyle w:val="Tabletext"/>
              <w:rPr>
                <w:bCs/>
                <w:i/>
                <w:iCs/>
                <w:szCs w:val="20"/>
                <w:lang w:eastAsia="en-GB"/>
              </w:rPr>
            </w:pPr>
            <w:r w:rsidRPr="00A106E4">
              <w:rPr>
                <w:lang w:eastAsia="en-GB"/>
              </w:rPr>
              <w:t>Participation provisoire des entités s'occupant de questions de télécommunication aux activités de l'UIT</w:t>
            </w:r>
            <w:r w:rsidRPr="00A106E4">
              <w:rPr>
                <w:bCs/>
                <w:i/>
                <w:iCs/>
                <w:szCs w:val="20"/>
                <w:lang w:eastAsia="en-GB"/>
              </w:rPr>
              <w:t xml:space="preserve"> </w:t>
            </w:r>
            <w:r w:rsidR="00EF3C04" w:rsidRPr="00A106E4">
              <w:rPr>
                <w:bCs/>
                <w:i/>
                <w:iCs/>
                <w:szCs w:val="20"/>
                <w:lang w:eastAsia="en-GB"/>
              </w:rPr>
              <w:t>(ADM 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4E3184" w14:textId="77777777" w:rsidR="00EF3C04" w:rsidRPr="00A106E4" w:rsidRDefault="00003BE3" w:rsidP="00927C71">
            <w:pPr>
              <w:pStyle w:val="Tabletext"/>
              <w:jc w:val="center"/>
              <w:rPr>
                <w:szCs w:val="20"/>
                <w:lang w:eastAsia="en-GB"/>
              </w:rPr>
            </w:pPr>
            <w:hyperlink r:id="rId72" w:history="1">
              <w:r w:rsidR="00EF3C04" w:rsidRPr="00A106E4">
                <w:rPr>
                  <w:rStyle w:val="Hyperlink"/>
                  <w:szCs w:val="20"/>
                  <w:lang w:eastAsia="en-GB"/>
                </w:rPr>
                <w:t>20</w:t>
              </w:r>
            </w:hyperlink>
          </w:p>
        </w:tc>
      </w:tr>
      <w:tr w:rsidR="00EF3C04" w:rsidRPr="00A106E4" w14:paraId="6B672E5E"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14:paraId="285D94D8" w14:textId="77777777" w:rsidR="00EF3C04" w:rsidRPr="00A106E4" w:rsidRDefault="00EF3C04" w:rsidP="00927C71">
            <w:pPr>
              <w:pStyle w:val="Tabletext"/>
              <w:jc w:val="center"/>
              <w:rPr>
                <w:b/>
                <w:bCs/>
                <w:lang w:eastAsia="en-GB"/>
              </w:rPr>
            </w:pPr>
            <w:r w:rsidRPr="00A106E4">
              <w:rPr>
                <w:b/>
                <w:bCs/>
                <w:lang w:eastAsia="en-GB"/>
              </w:rPr>
              <w:t>17</w:t>
            </w:r>
          </w:p>
        </w:tc>
        <w:tc>
          <w:tcPr>
            <w:tcW w:w="6804"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14:paraId="2923DC77" w14:textId="70EBE778" w:rsidR="00EF3C04" w:rsidRPr="00A106E4" w:rsidRDefault="00C21099" w:rsidP="00927C71">
            <w:pPr>
              <w:pStyle w:val="Tabletext"/>
              <w:rPr>
                <w:i/>
                <w:iCs/>
                <w:szCs w:val="20"/>
                <w:lang w:eastAsia="en-GB"/>
              </w:rPr>
            </w:pPr>
            <w:r w:rsidRPr="00A106E4">
              <w:rPr>
                <w:lang w:eastAsia="en-GB"/>
              </w:rPr>
              <w:t>Rapport d'activité sur la mise en œuvre des Décisions 600 et 601 du Conseil (numéros UIFN et IIN)</w:t>
            </w:r>
            <w:r w:rsidRPr="00A106E4">
              <w:rPr>
                <w:i/>
                <w:iCs/>
                <w:szCs w:val="20"/>
                <w:lang w:eastAsia="en-GB"/>
              </w:rPr>
              <w:t xml:space="preserve"> </w:t>
            </w:r>
            <w:r w:rsidR="00EF3C04" w:rsidRPr="00A106E4">
              <w:rPr>
                <w:i/>
                <w:iCs/>
                <w:szCs w:val="20"/>
                <w:lang w:eastAsia="en-GB"/>
              </w:rPr>
              <w:t>(ADM 5)</w:t>
            </w:r>
          </w:p>
        </w:tc>
        <w:tc>
          <w:tcPr>
            <w:tcW w:w="1701" w:type="dxa"/>
            <w:tcBorders>
              <w:top w:val="single" w:sz="4" w:space="0" w:color="auto"/>
              <w:left w:val="single" w:sz="4" w:space="0" w:color="auto"/>
              <w:bottom w:val="single" w:sz="4" w:space="0" w:color="auto"/>
              <w:right w:val="single" w:sz="4" w:space="0" w:color="auto"/>
            </w:tcBorders>
            <w:noWrap/>
            <w:tcMar>
              <w:top w:w="0" w:type="dxa"/>
              <w:left w:w="113" w:type="dxa"/>
              <w:bottom w:w="0" w:type="dxa"/>
              <w:right w:w="57" w:type="dxa"/>
            </w:tcMar>
            <w:vAlign w:val="center"/>
            <w:hideMark/>
          </w:tcPr>
          <w:p w14:paraId="5FCD8B55" w14:textId="77777777" w:rsidR="00EF3C04" w:rsidRPr="00A106E4" w:rsidRDefault="00003BE3" w:rsidP="00927C71">
            <w:pPr>
              <w:pStyle w:val="Tabletext"/>
              <w:jc w:val="center"/>
              <w:rPr>
                <w:rFonts w:eastAsia="MS Mincho"/>
                <w:szCs w:val="20"/>
              </w:rPr>
            </w:pPr>
            <w:hyperlink r:id="rId73" w:history="1">
              <w:r w:rsidR="00EF3C04" w:rsidRPr="00A106E4">
                <w:rPr>
                  <w:rStyle w:val="Hyperlink"/>
                  <w:szCs w:val="20"/>
                </w:rPr>
                <w:t>47</w:t>
              </w:r>
            </w:hyperlink>
          </w:p>
        </w:tc>
      </w:tr>
      <w:tr w:rsidR="00EF3C04" w:rsidRPr="00A106E4" w14:paraId="0F38241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14:paraId="706ABAF7" w14:textId="77777777" w:rsidR="00EF3C04" w:rsidRPr="00A106E4" w:rsidRDefault="00EF3C04" w:rsidP="00927C71">
            <w:pPr>
              <w:pStyle w:val="Tabletext"/>
              <w:jc w:val="center"/>
              <w:rPr>
                <w:rFonts w:cstheme="minorHAnsi"/>
                <w:b/>
                <w:bCs/>
                <w:lang w:eastAsia="en-GB"/>
              </w:rPr>
            </w:pPr>
            <w:r w:rsidRPr="00A106E4">
              <w:rPr>
                <w:rFonts w:cstheme="minorHAnsi"/>
                <w:b/>
                <w:bCs/>
                <w:lang w:eastAsia="en-GB"/>
              </w:rPr>
              <w:t>18</w:t>
            </w:r>
          </w:p>
        </w:tc>
        <w:tc>
          <w:tcPr>
            <w:tcW w:w="6804"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hideMark/>
          </w:tcPr>
          <w:p w14:paraId="49938872" w14:textId="69277409" w:rsidR="00EF3C04" w:rsidRPr="00A106E4" w:rsidRDefault="00C21099" w:rsidP="00927C71">
            <w:pPr>
              <w:pStyle w:val="Tabletext"/>
              <w:rPr>
                <w:i/>
                <w:iCs/>
                <w:szCs w:val="20"/>
                <w:lang w:eastAsia="en-GB"/>
              </w:rPr>
            </w:pPr>
            <w:r w:rsidRPr="00A106E4">
              <w:rPr>
                <w:rFonts w:cstheme="minorHAnsi"/>
                <w:bCs/>
                <w:lang w:eastAsia="en-GB"/>
              </w:rPr>
              <w:t>Système de gestion de la résilience de l'organisation (ORMS)</w:t>
            </w:r>
            <w:r w:rsidR="00EF3C04" w:rsidRPr="00A106E4">
              <w:rPr>
                <w:rFonts w:cstheme="minorHAnsi"/>
                <w:szCs w:val="20"/>
                <w:lang w:eastAsia="en-GB"/>
              </w:rPr>
              <w:br/>
            </w:r>
            <w:r w:rsidR="00EF3C04" w:rsidRPr="00A106E4">
              <w:rPr>
                <w:i/>
                <w:iCs/>
                <w:szCs w:val="20"/>
                <w:lang w:eastAsia="en-GB"/>
              </w:rPr>
              <w:t>(ADM 6)</w:t>
            </w:r>
          </w:p>
        </w:tc>
        <w:tc>
          <w:tcPr>
            <w:tcW w:w="1701" w:type="dxa"/>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14:paraId="3BE65ADA" w14:textId="77777777" w:rsidR="00EF3C04" w:rsidRPr="00A106E4" w:rsidRDefault="00003BE3" w:rsidP="00927C71">
            <w:pPr>
              <w:pStyle w:val="Tabletext"/>
              <w:jc w:val="center"/>
              <w:rPr>
                <w:rFonts w:eastAsia="MS Mincho"/>
                <w:sz w:val="22"/>
              </w:rPr>
            </w:pPr>
            <w:hyperlink r:id="rId74" w:history="1">
              <w:r w:rsidR="00EF3C04" w:rsidRPr="00A106E4">
                <w:rPr>
                  <w:rStyle w:val="Hyperlink"/>
                </w:rPr>
                <w:t>15</w:t>
              </w:r>
            </w:hyperlink>
          </w:p>
        </w:tc>
      </w:tr>
      <w:tr w:rsidR="00EF3C04" w:rsidRPr="00A106E4" w14:paraId="5C0903B0"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7CCE6A8" w14:textId="77777777" w:rsidR="00EF3C04" w:rsidRPr="00A106E4" w:rsidRDefault="00EF3C04" w:rsidP="00927C71">
            <w:pPr>
              <w:pStyle w:val="Tabletext"/>
              <w:jc w:val="center"/>
              <w:rPr>
                <w:b/>
                <w:bCs/>
              </w:rPr>
            </w:pPr>
            <w:r w:rsidRPr="00A106E4">
              <w:rPr>
                <w:b/>
                <w:bCs/>
              </w:rPr>
              <w:t>19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AB9C19B" w14:textId="1CC8F9FD" w:rsidR="00EF3C04" w:rsidRPr="00A106E4" w:rsidRDefault="00C21099" w:rsidP="00927C71">
            <w:pPr>
              <w:pStyle w:val="Tabletext"/>
              <w:rPr>
                <w:szCs w:val="20"/>
                <w:lang w:eastAsia="en-GB"/>
              </w:rPr>
            </w:pPr>
            <w:r w:rsidRPr="00A106E4">
              <w:rPr>
                <w:lang w:eastAsia="en-GB"/>
              </w:rPr>
              <w:t>Participation de l'UIT aux mémorandums d'accord ayant des incidences financières et/ou stratégiques</w:t>
            </w:r>
            <w:r w:rsidRPr="00A106E4">
              <w:rPr>
                <w:szCs w:val="20"/>
                <w:lang w:eastAsia="en-GB"/>
              </w:rPr>
              <w:t xml:space="preserve"> </w:t>
            </w:r>
            <w:r w:rsidR="00EF3C04" w:rsidRPr="00A106E4">
              <w:rPr>
                <w:i/>
                <w:iCs/>
                <w:szCs w:val="20"/>
                <w:lang w:eastAsia="en-GB"/>
              </w:rPr>
              <w:t>(ADM 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45137B" w14:textId="77777777" w:rsidR="00EF3C04" w:rsidRPr="00A106E4" w:rsidRDefault="00003BE3" w:rsidP="00927C71">
            <w:pPr>
              <w:pStyle w:val="Tabletext"/>
              <w:jc w:val="center"/>
              <w:rPr>
                <w:rFonts w:eastAsia="MS Mincho"/>
                <w:sz w:val="22"/>
              </w:rPr>
            </w:pPr>
            <w:hyperlink r:id="rId75" w:history="1">
              <w:r w:rsidR="00EF3C04" w:rsidRPr="00A106E4">
                <w:rPr>
                  <w:rStyle w:val="Hyperlink"/>
                </w:rPr>
                <w:t>45</w:t>
              </w:r>
            </w:hyperlink>
          </w:p>
        </w:tc>
      </w:tr>
      <w:tr w:rsidR="00EF3C04" w:rsidRPr="00A106E4" w14:paraId="1426DE50"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0DF6501" w14:textId="77777777" w:rsidR="00EF3C04" w:rsidRPr="00A106E4" w:rsidRDefault="00EF3C04" w:rsidP="00927C71">
            <w:pPr>
              <w:pStyle w:val="Tabletext"/>
              <w:jc w:val="center"/>
              <w:rPr>
                <w:b/>
                <w:bCs/>
              </w:rPr>
            </w:pPr>
            <w:r w:rsidRPr="00A106E4">
              <w:rPr>
                <w:b/>
                <w:bCs/>
              </w:rPr>
              <w:t>20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532D10B" w14:textId="6955AFB7" w:rsidR="00EF3C04" w:rsidRPr="00A106E4" w:rsidRDefault="00C21099" w:rsidP="00927C71">
            <w:pPr>
              <w:pStyle w:val="Tabletext"/>
              <w:rPr>
                <w:szCs w:val="20"/>
                <w:lang w:eastAsia="en-GB"/>
              </w:rPr>
            </w:pPr>
            <w:r w:rsidRPr="00A106E4">
              <w:rPr>
                <w:bCs/>
                <w:lang w:eastAsia="en-GB"/>
              </w:rPr>
              <w:t>Compilation des décisions adoptées par la PP-18 et visées dans les comptes rendus de ses séances plénières</w:t>
            </w:r>
            <w:r w:rsidRPr="00A106E4">
              <w:rPr>
                <w:lang w:eastAsia="en-GB"/>
              </w:rPr>
              <w:t>, en particulier les décisions basées sur les recommandations des Commissions et du Groupe de travail de la plénière</w:t>
            </w:r>
            <w:r w:rsidRPr="00A106E4">
              <w:rPr>
                <w:szCs w:val="20"/>
                <w:lang w:eastAsia="en-GB"/>
              </w:rPr>
              <w:t xml:space="preserve"> </w:t>
            </w:r>
            <w:r w:rsidR="00EF3C04" w:rsidRPr="00A106E4">
              <w:rPr>
                <w:i/>
                <w:iCs/>
                <w:szCs w:val="20"/>
                <w:lang w:eastAsia="en-GB"/>
              </w:rPr>
              <w:t>(ADM</w:t>
            </w:r>
            <w:r w:rsidR="00AA6E71" w:rsidRPr="00A106E4">
              <w:rPr>
                <w:i/>
                <w:iCs/>
                <w:szCs w:val="20"/>
                <w:lang w:eastAsia="en-GB"/>
              </w:rPr>
              <w:t> </w:t>
            </w:r>
            <w:r w:rsidR="00EF3C04" w:rsidRPr="00A106E4">
              <w:rPr>
                <w:i/>
                <w:iCs/>
                <w:szCs w:val="20"/>
                <w:lang w:eastAsia="en-GB"/>
              </w:rPr>
              <w:t>8)</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98A929A" w14:textId="77777777" w:rsidR="00EF3C04" w:rsidRPr="00A106E4" w:rsidRDefault="00003BE3" w:rsidP="00927C71">
            <w:pPr>
              <w:pStyle w:val="Tabletext"/>
              <w:jc w:val="center"/>
              <w:rPr>
                <w:rFonts w:eastAsia="MS Mincho"/>
                <w:sz w:val="22"/>
              </w:rPr>
            </w:pPr>
            <w:hyperlink r:id="rId76" w:history="1">
              <w:r w:rsidR="00EF3C04" w:rsidRPr="00A106E4">
                <w:rPr>
                  <w:rStyle w:val="Hyperlink"/>
                </w:rPr>
                <w:t>58</w:t>
              </w:r>
            </w:hyperlink>
          </w:p>
        </w:tc>
      </w:tr>
      <w:tr w:rsidR="00EF3C04" w:rsidRPr="00A106E4" w14:paraId="29D86F57"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22B57AA" w14:textId="77777777" w:rsidR="00EF3C04" w:rsidRPr="00A106E4" w:rsidRDefault="00EF3C04" w:rsidP="00927C71">
            <w:pPr>
              <w:pStyle w:val="Tabletext"/>
              <w:jc w:val="center"/>
              <w:rPr>
                <w:b/>
                <w:bCs/>
              </w:rPr>
            </w:pPr>
            <w:r w:rsidRPr="00A106E4">
              <w:rPr>
                <w:b/>
                <w:bCs/>
              </w:rPr>
              <w:t>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3CEDBDD" w14:textId="11B3E096" w:rsidR="00EF3C04" w:rsidRPr="00A106E4" w:rsidRDefault="00C21099" w:rsidP="00927C71">
            <w:pPr>
              <w:pStyle w:val="Tabletext"/>
              <w:rPr>
                <w:szCs w:val="20"/>
                <w:lang w:eastAsia="en-GB"/>
              </w:rPr>
            </w:pPr>
            <w:r w:rsidRPr="00A106E4">
              <w:rPr>
                <w:lang w:eastAsia="en-GB"/>
              </w:rPr>
              <w:t>Amélioration de la gestion et du suivi de la contribution des Membres de Secteur, des Associés et des établissements universitaires aux dépenses de l'UIT</w:t>
            </w:r>
            <w:r w:rsidRPr="00A106E4">
              <w:rPr>
                <w:szCs w:val="20"/>
                <w:lang w:eastAsia="en-GB"/>
              </w:rPr>
              <w:t xml:space="preserve"> </w:t>
            </w:r>
            <w:r w:rsidR="00EF3C04" w:rsidRPr="00A106E4">
              <w:rPr>
                <w:i/>
                <w:iCs/>
                <w:szCs w:val="20"/>
                <w:lang w:eastAsia="en-GB"/>
              </w:rPr>
              <w:t>(ADM 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1D59595" w14:textId="77777777" w:rsidR="00EF3C04" w:rsidRPr="00A106E4" w:rsidRDefault="00003BE3" w:rsidP="00927C71">
            <w:pPr>
              <w:pStyle w:val="Tabletext"/>
              <w:jc w:val="center"/>
              <w:rPr>
                <w:rFonts w:eastAsia="MS Mincho"/>
                <w:sz w:val="22"/>
              </w:rPr>
            </w:pPr>
            <w:hyperlink r:id="rId77" w:history="1">
              <w:r w:rsidR="00EF3C04" w:rsidRPr="00A106E4">
                <w:rPr>
                  <w:rStyle w:val="Hyperlink"/>
                </w:rPr>
                <w:t>52</w:t>
              </w:r>
            </w:hyperlink>
          </w:p>
        </w:tc>
      </w:tr>
      <w:tr w:rsidR="00EF3C04" w:rsidRPr="00A106E4" w14:paraId="1F700E85"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F3419F8" w14:textId="77777777" w:rsidR="00EF3C04" w:rsidRPr="00A106E4" w:rsidRDefault="00EF3C04" w:rsidP="00927C71">
            <w:pPr>
              <w:pStyle w:val="Tabletext"/>
              <w:jc w:val="center"/>
              <w:rPr>
                <w:b/>
                <w:bCs/>
              </w:rPr>
            </w:pPr>
            <w:r w:rsidRPr="00A106E4">
              <w:rPr>
                <w:b/>
                <w:bCs/>
              </w:rPr>
              <w:t>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CD5363B" w14:textId="2B564817" w:rsidR="00EF3C04" w:rsidRPr="00A106E4" w:rsidRDefault="00C21099" w:rsidP="00927C71">
            <w:pPr>
              <w:pStyle w:val="Tabletext"/>
              <w:rPr>
                <w:szCs w:val="20"/>
                <w:lang w:eastAsia="en-GB"/>
              </w:rPr>
            </w:pPr>
            <w:r w:rsidRPr="00A106E4">
              <w:rPr>
                <w:rFonts w:cstheme="minorHAnsi"/>
                <w:lang w:eastAsia="en-GB"/>
              </w:rPr>
              <w:t>Fonds pour le développement des technologies de l'information et de la communication (FDTIC)</w:t>
            </w:r>
            <w:r w:rsidRPr="00A106E4">
              <w:rPr>
                <w:rFonts w:cstheme="minorHAnsi"/>
                <w:i/>
                <w:iCs/>
                <w:lang w:eastAsia="en-GB"/>
              </w:rPr>
              <w:t xml:space="preserve"> </w:t>
            </w:r>
            <w:r w:rsidRPr="00A106E4">
              <w:rPr>
                <w:rFonts w:cstheme="minorHAnsi"/>
                <w:lang w:eastAsia="en-GB"/>
              </w:rPr>
              <w:t>(</w:t>
            </w:r>
            <w:r w:rsidRPr="00A106E4">
              <w:rPr>
                <w:rFonts w:cstheme="minorHAnsi"/>
                <w:i/>
                <w:iCs/>
                <w:lang w:eastAsia="en-GB"/>
              </w:rPr>
              <w:t>Décision 11 de la PP</w:t>
            </w:r>
            <w:r w:rsidRPr="00A106E4">
              <w:rPr>
                <w:rFonts w:cstheme="minorHAnsi"/>
                <w:lang w:eastAsia="en-GB"/>
              </w:rPr>
              <w:t>)</w:t>
            </w:r>
            <w:r w:rsidRPr="00A106E4">
              <w:rPr>
                <w:szCs w:val="20"/>
                <w:lang w:eastAsia="en-GB"/>
              </w:rPr>
              <w:t xml:space="preserve"> </w:t>
            </w:r>
            <w:r w:rsidR="00EF3C04" w:rsidRPr="00A106E4">
              <w:rPr>
                <w:i/>
                <w:iCs/>
                <w:szCs w:val="20"/>
                <w:lang w:eastAsia="en-GB"/>
              </w:rPr>
              <w:t>(ADM 12)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A8E4814" w14:textId="77777777" w:rsidR="00EF3C04" w:rsidRPr="00A106E4" w:rsidRDefault="00003BE3" w:rsidP="00927C71">
            <w:pPr>
              <w:pStyle w:val="Tabletext"/>
              <w:jc w:val="center"/>
              <w:rPr>
                <w:rFonts w:eastAsia="MS Mincho"/>
                <w:sz w:val="22"/>
              </w:rPr>
            </w:pPr>
            <w:hyperlink r:id="rId78" w:history="1">
              <w:r w:rsidR="00EF3C04" w:rsidRPr="00A106E4">
                <w:rPr>
                  <w:rStyle w:val="Hyperlink"/>
                </w:rPr>
                <w:t>34</w:t>
              </w:r>
            </w:hyperlink>
          </w:p>
        </w:tc>
      </w:tr>
      <w:tr w:rsidR="00EF3C04" w:rsidRPr="00A106E4" w14:paraId="368DA9CB"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8E9C355" w14:textId="77777777" w:rsidR="00EF3C04" w:rsidRPr="00A106E4" w:rsidRDefault="00EF3C04" w:rsidP="00927C71">
            <w:pPr>
              <w:pStyle w:val="Tabletext"/>
              <w:jc w:val="center"/>
              <w:rPr>
                <w:b/>
                <w:bCs/>
                <w:lang w:eastAsia="en-GB"/>
              </w:rPr>
            </w:pPr>
            <w:r w:rsidRPr="00A106E4">
              <w:rPr>
                <w:b/>
                <w:bCs/>
                <w:lang w:eastAsia="en-GB"/>
              </w:rPr>
              <w:t>23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AF76481" w14:textId="0E61E315" w:rsidR="00EF3C04" w:rsidRPr="00A106E4" w:rsidRDefault="00C21099" w:rsidP="00927C71">
            <w:pPr>
              <w:pStyle w:val="Tabletext"/>
              <w:rPr>
                <w:bCs/>
                <w:szCs w:val="20"/>
                <w:lang w:eastAsia="en-GB"/>
              </w:rPr>
            </w:pPr>
            <w:r w:rsidRPr="00A106E4">
              <w:rPr>
                <w:lang w:eastAsia="en-GB"/>
              </w:rPr>
              <w:t>Passifs de l'assurance maladie après la cess</w:t>
            </w:r>
            <w:r w:rsidR="008C46C7" w:rsidRPr="00A106E4">
              <w:rPr>
                <w:lang w:eastAsia="en-GB"/>
              </w:rPr>
              <w:t>at</w:t>
            </w:r>
            <w:r w:rsidRPr="00A106E4">
              <w:rPr>
                <w:lang w:eastAsia="en-GB"/>
              </w:rPr>
              <w:t>ion de service (ASHI)</w:t>
            </w:r>
            <w:r w:rsidRPr="00A106E4">
              <w:rPr>
                <w:bCs/>
                <w:szCs w:val="20"/>
                <w:lang w:eastAsia="en-GB"/>
              </w:rPr>
              <w:t xml:space="preserve"> </w:t>
            </w:r>
            <w:r w:rsidR="00EF3C04" w:rsidRPr="00A106E4">
              <w:rPr>
                <w:bCs/>
                <w:i/>
                <w:iCs/>
                <w:szCs w:val="20"/>
                <w:lang w:eastAsia="en-GB"/>
              </w:rPr>
              <w:t>(ADM 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FD76D6C" w14:textId="77777777" w:rsidR="00EF3C04" w:rsidRPr="00A106E4" w:rsidRDefault="00003BE3" w:rsidP="00927C71">
            <w:pPr>
              <w:pStyle w:val="Tabletext"/>
              <w:jc w:val="center"/>
              <w:rPr>
                <w:rFonts w:eastAsia="MS Mincho"/>
                <w:sz w:val="22"/>
              </w:rPr>
            </w:pPr>
            <w:hyperlink r:id="rId79" w:history="1">
              <w:r w:rsidR="00EF3C04" w:rsidRPr="00A106E4">
                <w:rPr>
                  <w:rStyle w:val="Hyperlink"/>
                </w:rPr>
                <w:t>46</w:t>
              </w:r>
            </w:hyperlink>
          </w:p>
        </w:tc>
      </w:tr>
      <w:tr w:rsidR="00EF3C04" w:rsidRPr="00A106E4" w14:paraId="6B604C5C"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3B79767" w14:textId="77777777" w:rsidR="00EF3C04" w:rsidRPr="00A106E4" w:rsidRDefault="00EF3C04" w:rsidP="00927C71">
            <w:pPr>
              <w:pStyle w:val="Tabletext"/>
              <w:jc w:val="center"/>
              <w:rPr>
                <w:b/>
                <w:bCs/>
              </w:rPr>
            </w:pPr>
            <w:r w:rsidRPr="00A106E4">
              <w:rPr>
                <w:b/>
                <w:bCs/>
              </w:rPr>
              <w:t>24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5382F45" w14:textId="129A4385" w:rsidR="00EF3C04" w:rsidRPr="00A106E4" w:rsidRDefault="00C21099" w:rsidP="00927C71">
            <w:pPr>
              <w:pStyle w:val="Tabletext"/>
              <w:rPr>
                <w:szCs w:val="20"/>
                <w:lang w:eastAsia="en-GB"/>
              </w:rPr>
            </w:pPr>
            <w:r w:rsidRPr="00A106E4">
              <w:rPr>
                <w:lang w:eastAsia="en-GB"/>
              </w:rPr>
              <w:t>Stratégie de coordination des efforts entre les trois Secteurs de l'Union (</w:t>
            </w:r>
            <w:r w:rsidRPr="00A106E4">
              <w:rPr>
                <w:i/>
                <w:iCs/>
                <w:lang w:eastAsia="en-GB"/>
              </w:rPr>
              <w:t>Résolution 191 de la PP</w:t>
            </w:r>
            <w:r w:rsidRPr="00A106E4">
              <w:rPr>
                <w:lang w:eastAsia="en-GB"/>
              </w:rPr>
              <w:t>)</w:t>
            </w:r>
            <w:r w:rsidRPr="00A106E4">
              <w:rPr>
                <w:szCs w:val="20"/>
                <w:lang w:eastAsia="en-GB"/>
              </w:rPr>
              <w:t xml:space="preserve"> </w:t>
            </w:r>
            <w:r w:rsidR="00EF3C04" w:rsidRPr="00A106E4">
              <w:rPr>
                <w:i/>
                <w:iCs/>
                <w:szCs w:val="20"/>
                <w:lang w:eastAsia="en-GB"/>
              </w:rPr>
              <w:t>(ADM 19)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77A56CA" w14:textId="77777777" w:rsidR="00EF3C04" w:rsidRPr="00A106E4" w:rsidRDefault="00003BE3" w:rsidP="00927C71">
            <w:pPr>
              <w:pStyle w:val="Tabletext"/>
              <w:jc w:val="center"/>
              <w:rPr>
                <w:rFonts w:eastAsia="MS Mincho"/>
                <w:sz w:val="22"/>
              </w:rPr>
            </w:pPr>
            <w:hyperlink r:id="rId80" w:history="1">
              <w:r w:rsidR="00EF3C04" w:rsidRPr="00A106E4">
                <w:rPr>
                  <w:rStyle w:val="Hyperlink"/>
                </w:rPr>
                <w:t>38</w:t>
              </w:r>
            </w:hyperlink>
          </w:p>
        </w:tc>
      </w:tr>
      <w:tr w:rsidR="00EF3C04" w:rsidRPr="00A106E4" w14:paraId="460B7919"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85E627A" w14:textId="77777777" w:rsidR="00EF3C04" w:rsidRPr="00A106E4" w:rsidRDefault="00EF3C04" w:rsidP="00927C71">
            <w:pPr>
              <w:pStyle w:val="Tabletext"/>
              <w:jc w:val="center"/>
              <w:rPr>
                <w:b/>
                <w:bCs/>
                <w:lang w:eastAsia="en-GB"/>
              </w:rPr>
            </w:pPr>
            <w:r w:rsidRPr="00A106E4">
              <w:rPr>
                <w:b/>
                <w:bCs/>
                <w:lang w:eastAsia="en-GB"/>
              </w:rPr>
              <w:t>25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7F4C24F" w14:textId="3DCB4C1D" w:rsidR="00EF3C04" w:rsidRPr="00A106E4" w:rsidRDefault="00C21099" w:rsidP="00927C71">
            <w:pPr>
              <w:pStyle w:val="Tabletext"/>
              <w:rPr>
                <w:bCs/>
                <w:szCs w:val="20"/>
                <w:lang w:eastAsia="en-GB"/>
              </w:rPr>
            </w:pPr>
            <w:r w:rsidRPr="00A106E4">
              <w:rPr>
                <w:lang w:eastAsia="en-GB"/>
              </w:rPr>
              <w:t>Rapport sur l'analyse et l'examen des activités de formation et de renforcement des capacités actuellement menées par le Groupe sur les initiatives relatives au renforcement des capacités, l'Académie de l'UIT et les centres d'excellence, et sur la création possible d'un institut de renforcement des capacités à l'UIT</w:t>
            </w:r>
            <w:r w:rsidRPr="00A106E4">
              <w:rPr>
                <w:bCs/>
                <w:szCs w:val="20"/>
                <w:lang w:eastAsia="en-GB"/>
              </w:rPr>
              <w:t xml:space="preserve"> </w:t>
            </w:r>
            <w:r w:rsidRPr="00A106E4">
              <w:rPr>
                <w:bCs/>
                <w:szCs w:val="20"/>
                <w:lang w:eastAsia="en-GB"/>
              </w:rPr>
              <w:br/>
            </w:r>
            <w:r w:rsidR="00EF3C04" w:rsidRPr="00A106E4">
              <w:rPr>
                <w:bCs/>
                <w:i/>
                <w:iCs/>
                <w:szCs w:val="20"/>
                <w:lang w:eastAsia="en-GB"/>
              </w:rPr>
              <w:t>(ADM 21)</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3CEF7F6" w14:textId="77777777" w:rsidR="00EF3C04" w:rsidRPr="00A106E4" w:rsidRDefault="00003BE3" w:rsidP="00927C71">
            <w:pPr>
              <w:pStyle w:val="Tabletext"/>
              <w:jc w:val="center"/>
              <w:rPr>
                <w:rFonts w:eastAsia="MS Mincho"/>
                <w:sz w:val="22"/>
              </w:rPr>
            </w:pPr>
            <w:hyperlink r:id="rId81" w:history="1">
              <w:r w:rsidR="00EF3C04" w:rsidRPr="00A106E4">
                <w:rPr>
                  <w:rStyle w:val="Hyperlink"/>
                </w:rPr>
                <w:t>32</w:t>
              </w:r>
            </w:hyperlink>
          </w:p>
        </w:tc>
      </w:tr>
      <w:tr w:rsidR="00EF3C04" w:rsidRPr="00A106E4" w14:paraId="258D44EB"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4131A107" w14:textId="77777777" w:rsidR="00EF3C04" w:rsidRPr="00A106E4" w:rsidRDefault="00EF3C04" w:rsidP="00927C71">
            <w:pPr>
              <w:pStyle w:val="Tabletext"/>
              <w:jc w:val="center"/>
              <w:rPr>
                <w:b/>
                <w:bCs/>
                <w:lang w:eastAsia="en-GB"/>
              </w:rPr>
            </w:pPr>
            <w:r w:rsidRPr="00A106E4">
              <w:rPr>
                <w:b/>
                <w:bCs/>
                <w:lang w:eastAsia="en-GB"/>
              </w:rPr>
              <w:t>26</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7FB676E" w14:textId="4E88C6C9" w:rsidR="00EF3C04" w:rsidRPr="00A106E4" w:rsidRDefault="00C21099" w:rsidP="00927C71">
            <w:pPr>
              <w:pStyle w:val="Tabletext"/>
              <w:rPr>
                <w:szCs w:val="20"/>
                <w:lang w:eastAsia="en-GB"/>
              </w:rPr>
            </w:pPr>
            <w:r w:rsidRPr="00A106E4">
              <w:rPr>
                <w:lang w:eastAsia="en-GB"/>
              </w:rPr>
              <w:t>Cadre de l'UIT en matière de responsabilisation</w:t>
            </w:r>
            <w:r w:rsidRPr="00A106E4">
              <w:rPr>
                <w:i/>
                <w:iCs/>
                <w:szCs w:val="20"/>
                <w:lang w:eastAsia="en-GB"/>
              </w:rPr>
              <w:t xml:space="preserve"> </w:t>
            </w:r>
            <w:r w:rsidR="00EF3C04" w:rsidRPr="00A106E4">
              <w:rPr>
                <w:i/>
                <w:iCs/>
                <w:szCs w:val="20"/>
                <w:lang w:eastAsia="en-GB"/>
              </w:rPr>
              <w:t>(ADM 22)</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2BBB149" w14:textId="77777777" w:rsidR="00EF3C04" w:rsidRPr="00A106E4" w:rsidRDefault="00003BE3" w:rsidP="00927C71">
            <w:pPr>
              <w:pStyle w:val="Tabletext"/>
              <w:jc w:val="center"/>
              <w:rPr>
                <w:rFonts w:eastAsia="MS Mincho"/>
                <w:sz w:val="22"/>
              </w:rPr>
            </w:pPr>
            <w:hyperlink r:id="rId82" w:history="1">
              <w:r w:rsidR="00EF3C04" w:rsidRPr="00A106E4">
                <w:rPr>
                  <w:rStyle w:val="Hyperlink"/>
                </w:rPr>
                <w:t>43</w:t>
              </w:r>
            </w:hyperlink>
          </w:p>
        </w:tc>
      </w:tr>
      <w:tr w:rsidR="00EF3C04" w:rsidRPr="00A106E4" w14:paraId="07B6355D"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799A78A" w14:textId="77777777" w:rsidR="00EF3C04" w:rsidRPr="00A106E4" w:rsidRDefault="00EF3C04" w:rsidP="00927C71">
            <w:pPr>
              <w:pStyle w:val="Tabletext"/>
              <w:jc w:val="center"/>
              <w:rPr>
                <w:b/>
                <w:bCs/>
                <w:lang w:eastAsia="en-GB"/>
              </w:rPr>
            </w:pPr>
            <w:r w:rsidRPr="00A106E4">
              <w:rPr>
                <w:b/>
                <w:bCs/>
                <w:lang w:eastAsia="en-GB"/>
              </w:rPr>
              <w:t>27</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CBD2D81" w14:textId="54997681" w:rsidR="00EF3C04" w:rsidRPr="00A106E4" w:rsidRDefault="00C21099" w:rsidP="00927C71">
            <w:pPr>
              <w:pStyle w:val="Tabletext"/>
              <w:rPr>
                <w:szCs w:val="20"/>
                <w:lang w:eastAsia="en-GB"/>
              </w:rPr>
            </w:pPr>
            <w:r w:rsidRPr="00A106E4">
              <w:rPr>
                <w:lang w:eastAsia="en-GB"/>
              </w:rPr>
              <w:t>Rapport intérimaire, le cas échéant, de l'entreprise extérieure concernant la vérification juricomptable</w:t>
            </w:r>
            <w:r w:rsidRPr="00A106E4">
              <w:rPr>
                <w:szCs w:val="20"/>
                <w:lang w:eastAsia="en-GB"/>
              </w:rPr>
              <w:t xml:space="preserve"> </w:t>
            </w:r>
            <w:r w:rsidR="00EF3C04" w:rsidRPr="00A106E4">
              <w:rPr>
                <w:i/>
                <w:iCs/>
                <w:szCs w:val="20"/>
                <w:lang w:eastAsia="en-GB"/>
              </w:rPr>
              <w:t>(ADM 25)</w:t>
            </w:r>
          </w:p>
        </w:tc>
        <w:tc>
          <w:tcPr>
            <w:tcW w:w="1701" w:type="dxa"/>
            <w:tcBorders>
              <w:top w:val="single" w:sz="4" w:space="0" w:color="auto"/>
              <w:left w:val="single" w:sz="4" w:space="0" w:color="auto"/>
              <w:bottom w:val="single" w:sz="4" w:space="0" w:color="auto"/>
              <w:right w:val="single" w:sz="4" w:space="0" w:color="auto"/>
            </w:tcBorders>
            <w:noWrap/>
            <w:vAlign w:val="center"/>
          </w:tcPr>
          <w:p w14:paraId="20877592" w14:textId="77777777" w:rsidR="00EF3C04" w:rsidRPr="00A106E4" w:rsidRDefault="00EF3C04" w:rsidP="00927C71">
            <w:pPr>
              <w:pStyle w:val="Tabletext"/>
              <w:jc w:val="center"/>
              <w:rPr>
                <w:rFonts w:eastAsia="MS Mincho"/>
                <w:sz w:val="22"/>
              </w:rPr>
            </w:pPr>
          </w:p>
        </w:tc>
      </w:tr>
      <w:tr w:rsidR="00EF3C04" w:rsidRPr="00A106E4" w14:paraId="022F4708"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7429E3A9" w14:textId="77777777" w:rsidR="00EF3C04" w:rsidRPr="00A106E4" w:rsidRDefault="00EF3C04" w:rsidP="00927C71">
            <w:pPr>
              <w:pStyle w:val="Tabletext"/>
              <w:jc w:val="center"/>
              <w:rPr>
                <w:b/>
                <w:bCs/>
                <w:lang w:eastAsia="en-GB"/>
              </w:rPr>
            </w:pPr>
            <w:r w:rsidRPr="00A106E4">
              <w:rPr>
                <w:b/>
                <w:bCs/>
                <w:lang w:eastAsia="en-GB"/>
              </w:rPr>
              <w:t>28</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60FB10D" w14:textId="4A753034" w:rsidR="00EF3C04" w:rsidRPr="00A106E4" w:rsidRDefault="008C46C7" w:rsidP="00927C71">
            <w:pPr>
              <w:pStyle w:val="Tabletext"/>
              <w:rPr>
                <w:szCs w:val="20"/>
                <w:lang w:eastAsia="en-GB"/>
              </w:rPr>
            </w:pPr>
            <w:r w:rsidRPr="00A106E4">
              <w:rPr>
                <w:color w:val="000000"/>
              </w:rPr>
              <w:t>Résultats de la CMR-19 ayant des incidences financières</w:t>
            </w:r>
            <w:r w:rsidRPr="00A106E4">
              <w:rPr>
                <w:szCs w:val="20"/>
                <w:lang w:eastAsia="en-GB"/>
              </w:rPr>
              <w:t xml:space="preserve"> </w:t>
            </w:r>
            <w:r w:rsidR="00EF3C04" w:rsidRPr="00A106E4">
              <w:rPr>
                <w:i/>
                <w:iCs/>
                <w:szCs w:val="20"/>
                <w:lang w:eastAsia="en-GB"/>
              </w:rPr>
              <w:t>(ADM 26)</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307ED82" w14:textId="77777777" w:rsidR="00EF3C04" w:rsidRPr="00A106E4" w:rsidRDefault="00003BE3" w:rsidP="00927C71">
            <w:pPr>
              <w:pStyle w:val="Tabletext"/>
              <w:jc w:val="center"/>
              <w:rPr>
                <w:rFonts w:eastAsia="MS Mincho"/>
                <w:sz w:val="22"/>
              </w:rPr>
            </w:pPr>
            <w:hyperlink r:id="rId83" w:history="1">
              <w:r w:rsidR="00EF3C04" w:rsidRPr="00A106E4">
                <w:rPr>
                  <w:rStyle w:val="Hyperlink"/>
                  <w:rFonts w:cstheme="minorHAnsi"/>
                  <w:szCs w:val="20"/>
                  <w:lang w:eastAsia="en-GB"/>
                </w:rPr>
                <w:t>56</w:t>
              </w:r>
            </w:hyperlink>
          </w:p>
        </w:tc>
      </w:tr>
      <w:tr w:rsidR="00EF3C04" w:rsidRPr="00A106E4" w14:paraId="67150A7F"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6AC4B739" w14:textId="77777777" w:rsidR="00EF3C04" w:rsidRPr="00A106E4" w:rsidRDefault="00EF3C04" w:rsidP="00927C71">
            <w:pPr>
              <w:pStyle w:val="Tabletext"/>
              <w:jc w:val="center"/>
              <w:rPr>
                <w:b/>
                <w:bCs/>
              </w:rPr>
            </w:pPr>
            <w:r w:rsidRPr="00A106E4">
              <w:rPr>
                <w:b/>
                <w:bCs/>
              </w:rPr>
              <w:t>29</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7B60431" w14:textId="2548F5E7" w:rsidR="00EF3C04" w:rsidRPr="00A106E4" w:rsidRDefault="00C21099" w:rsidP="00927C71">
            <w:pPr>
              <w:pStyle w:val="Tabletext"/>
              <w:rPr>
                <w:szCs w:val="20"/>
                <w:lang w:eastAsia="en-GB"/>
              </w:rPr>
            </w:pPr>
            <w:r w:rsidRPr="00A106E4">
              <w:rPr>
                <w:lang w:eastAsia="en-GB"/>
              </w:rPr>
              <w:t>Rapport d'activité sur la mise en œuvre du Plan stratégique pour les ressources humaines et de la Résolution 48 (Rév. Dubaï, 2018) de la PP</w:t>
            </w:r>
            <w:r w:rsidRPr="00A106E4">
              <w:rPr>
                <w:i/>
                <w:iCs/>
                <w:szCs w:val="20"/>
                <w:lang w:eastAsia="en-GB"/>
              </w:rPr>
              <w:t xml:space="preserve"> </w:t>
            </w:r>
            <w:r w:rsidR="00EF3C04" w:rsidRPr="00A106E4">
              <w:rPr>
                <w:i/>
                <w:iCs/>
                <w:szCs w:val="20"/>
                <w:lang w:eastAsia="en-GB"/>
              </w:rPr>
              <w:t>(ADM 29)</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CB875F" w14:textId="77777777" w:rsidR="00EF3C04" w:rsidRPr="00A106E4" w:rsidRDefault="00003BE3" w:rsidP="00927C71">
            <w:pPr>
              <w:pStyle w:val="Tabletext"/>
              <w:jc w:val="center"/>
              <w:rPr>
                <w:rFonts w:eastAsia="MS Mincho"/>
                <w:sz w:val="22"/>
              </w:rPr>
            </w:pPr>
            <w:hyperlink r:id="rId84" w:history="1">
              <w:r w:rsidR="00EF3C04" w:rsidRPr="00A106E4">
                <w:rPr>
                  <w:rStyle w:val="Hyperlink"/>
                </w:rPr>
                <w:t>54</w:t>
              </w:r>
            </w:hyperlink>
          </w:p>
        </w:tc>
      </w:tr>
      <w:tr w:rsidR="00EF3C04" w:rsidRPr="00A106E4" w14:paraId="2B9F27A2"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D4092D0" w14:textId="77777777" w:rsidR="00EF3C04" w:rsidRPr="00A106E4" w:rsidRDefault="00EF3C04" w:rsidP="00927C71">
            <w:pPr>
              <w:pStyle w:val="Tabletext"/>
              <w:jc w:val="center"/>
              <w:rPr>
                <w:rFonts w:cstheme="minorHAnsi"/>
                <w:b/>
                <w:bCs/>
                <w:lang w:eastAsia="en-GB"/>
              </w:rPr>
            </w:pPr>
            <w:r w:rsidRPr="00A106E4">
              <w:rPr>
                <w:rFonts w:cstheme="minorHAnsi"/>
                <w:b/>
                <w:bCs/>
                <w:lang w:eastAsia="en-GB"/>
              </w:rPr>
              <w:t>30</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14D05E3" w14:textId="24CFAD39" w:rsidR="00EF3C04" w:rsidRPr="00A106E4" w:rsidRDefault="00C21099" w:rsidP="00927C71">
            <w:pPr>
              <w:pStyle w:val="Tabletext"/>
              <w:rPr>
                <w:rFonts w:cstheme="minorHAnsi"/>
                <w:szCs w:val="20"/>
                <w:lang w:eastAsia="en-GB"/>
              </w:rPr>
            </w:pPr>
            <w:r w:rsidRPr="00A106E4">
              <w:rPr>
                <w:lang w:eastAsia="en-GB"/>
              </w:rPr>
              <w:t>Composition du Comité des pensions du personnel de l'UIT</w:t>
            </w:r>
            <w:r w:rsidRPr="00A106E4">
              <w:rPr>
                <w:i/>
                <w:iCs/>
                <w:lang w:eastAsia="en-GB"/>
              </w:rPr>
              <w:t xml:space="preserve"> </w:t>
            </w:r>
            <w:r w:rsidRPr="00A106E4">
              <w:rPr>
                <w:i/>
                <w:iCs/>
                <w:lang w:eastAsia="en-GB"/>
              </w:rPr>
              <w:br/>
            </w:r>
            <w:r w:rsidR="00EF3C04" w:rsidRPr="00A106E4">
              <w:rPr>
                <w:i/>
                <w:iCs/>
                <w:szCs w:val="20"/>
                <w:lang w:eastAsia="en-GB"/>
              </w:rPr>
              <w:t>(ADM 30)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E7A484" w14:textId="1500A36B" w:rsidR="00EF3C04" w:rsidRPr="00A106E4" w:rsidRDefault="00AA6E71" w:rsidP="00927C71">
            <w:pPr>
              <w:pStyle w:val="Tabletext"/>
              <w:jc w:val="center"/>
              <w:rPr>
                <w:rFonts w:cstheme="minorHAnsi"/>
                <w:szCs w:val="20"/>
                <w:lang w:eastAsia="en-GB"/>
              </w:rPr>
            </w:pPr>
            <w:r w:rsidRPr="00A106E4">
              <w:rPr>
                <w:rFonts w:cstheme="minorHAnsi"/>
                <w:szCs w:val="20"/>
                <w:lang w:eastAsia="en-GB"/>
              </w:rPr>
              <w:t>-</w:t>
            </w:r>
          </w:p>
        </w:tc>
      </w:tr>
      <w:tr w:rsidR="00EF3C04" w:rsidRPr="00A106E4" w14:paraId="0E14E5B1"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13C036DD" w14:textId="77777777" w:rsidR="00EF3C04" w:rsidRPr="00A106E4" w:rsidRDefault="00EF3C04" w:rsidP="00927C71">
            <w:pPr>
              <w:pStyle w:val="Tabletext"/>
              <w:jc w:val="center"/>
              <w:rPr>
                <w:rFonts w:eastAsia="MS Mincho"/>
                <w:b/>
                <w:bCs/>
              </w:rPr>
            </w:pPr>
            <w:r w:rsidRPr="00A106E4">
              <w:rPr>
                <w:b/>
                <w:bCs/>
              </w:rPr>
              <w:t>31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0057AED" w14:textId="11DFC113" w:rsidR="00EF3C04" w:rsidRPr="00A106E4" w:rsidRDefault="00C21099" w:rsidP="00927C71">
            <w:pPr>
              <w:pStyle w:val="Tabletext"/>
              <w:rPr>
                <w:rFonts w:cstheme="minorHAnsi"/>
                <w:szCs w:val="20"/>
                <w:lang w:eastAsia="en-GB"/>
              </w:rPr>
            </w:pPr>
            <w:r w:rsidRPr="00A106E4">
              <w:rPr>
                <w:bCs/>
                <w:lang w:eastAsia="en-GB"/>
              </w:rPr>
              <w:t>Mesures prises par l'UIT concernant les conditions relatives à l'assistance médicale d'urgence sur place lors des conférences et des réunions de l'UIT se tenant à l'extérieur de Genève</w:t>
            </w:r>
            <w:r w:rsidRPr="00A106E4">
              <w:rPr>
                <w:i/>
                <w:iCs/>
                <w:szCs w:val="20"/>
                <w:lang w:eastAsia="en-GB"/>
              </w:rPr>
              <w:t xml:space="preserve"> </w:t>
            </w:r>
            <w:r w:rsidR="00EF3C04" w:rsidRPr="00A106E4">
              <w:rPr>
                <w:i/>
                <w:iCs/>
                <w:szCs w:val="20"/>
                <w:lang w:eastAsia="en-GB"/>
              </w:rPr>
              <w:t>(ADM 34)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D49AA3D" w14:textId="77777777" w:rsidR="00EF3C04" w:rsidRPr="00A106E4" w:rsidRDefault="00003BE3" w:rsidP="00927C71">
            <w:pPr>
              <w:pStyle w:val="Tabletext"/>
              <w:jc w:val="center"/>
              <w:rPr>
                <w:rFonts w:cstheme="minorHAnsi"/>
                <w:szCs w:val="20"/>
                <w:lang w:eastAsia="en-GB"/>
              </w:rPr>
            </w:pPr>
            <w:hyperlink r:id="rId85" w:history="1">
              <w:r w:rsidR="00EF3C04" w:rsidRPr="00A106E4">
                <w:rPr>
                  <w:rStyle w:val="Hyperlink"/>
                  <w:szCs w:val="20"/>
                  <w:lang w:eastAsia="en-GB"/>
                </w:rPr>
                <w:t>31</w:t>
              </w:r>
            </w:hyperlink>
          </w:p>
        </w:tc>
      </w:tr>
      <w:tr w:rsidR="00EF3C04" w:rsidRPr="00A106E4" w14:paraId="0524D9B6" w14:textId="77777777" w:rsidTr="00C21099">
        <w:trPr>
          <w:cantSplit/>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2BC70C5" w14:textId="77777777" w:rsidR="00EF3C04" w:rsidRPr="00A106E4" w:rsidRDefault="00EF3C04" w:rsidP="00927C71">
            <w:pPr>
              <w:pStyle w:val="Tabletext"/>
              <w:jc w:val="center"/>
              <w:rPr>
                <w:b/>
                <w:bCs/>
                <w:lang w:eastAsia="en-GB"/>
              </w:rPr>
            </w:pPr>
            <w:r w:rsidRPr="00A106E4">
              <w:rPr>
                <w:b/>
                <w:bCs/>
                <w:lang w:eastAsia="en-GB"/>
              </w:rPr>
              <w:t>32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23F1B9F" w14:textId="5E920B31" w:rsidR="00EF3C04" w:rsidRPr="00A106E4" w:rsidRDefault="008C46C7" w:rsidP="00927C71">
            <w:pPr>
              <w:pStyle w:val="Tabletext"/>
              <w:rPr>
                <w:bCs/>
                <w:i/>
                <w:iCs/>
                <w:szCs w:val="20"/>
                <w:lang w:eastAsia="en-GB"/>
              </w:rPr>
            </w:pPr>
            <w:r w:rsidRPr="00A106E4">
              <w:rPr>
                <w:bCs/>
                <w:szCs w:val="20"/>
                <w:lang w:eastAsia="en-GB"/>
              </w:rPr>
              <w:t>Incidences financières des</w:t>
            </w:r>
            <w:r w:rsidRPr="00A106E4">
              <w:rPr>
                <w:color w:val="000000"/>
              </w:rPr>
              <w:t xml:space="preserve"> mesures de protection de l'environnement</w:t>
            </w:r>
            <w:r w:rsidR="00C649E9" w:rsidRPr="00A106E4">
              <w:rPr>
                <w:bCs/>
                <w:szCs w:val="20"/>
                <w:lang w:eastAsia="en-GB"/>
              </w:rPr>
              <w:t xml:space="preserve"> </w:t>
            </w:r>
            <w:r w:rsidR="00EF3C04" w:rsidRPr="00A106E4">
              <w:rPr>
                <w:bCs/>
                <w:i/>
                <w:iCs/>
                <w:szCs w:val="20"/>
                <w:lang w:eastAsia="en-GB"/>
              </w:rPr>
              <w:t>(n</w:t>
            </w:r>
            <w:r w:rsidR="0094279A" w:rsidRPr="00A106E4">
              <w:rPr>
                <w:bCs/>
                <w:i/>
                <w:iCs/>
                <w:szCs w:val="20"/>
                <w:lang w:eastAsia="en-GB"/>
              </w:rPr>
              <w:t>ouveau</w:t>
            </w:r>
            <w:r w:rsidR="00EF3C04" w:rsidRPr="00A106E4">
              <w:rPr>
                <w:bCs/>
                <w:i/>
                <w:iCs/>
                <w:szCs w:val="20"/>
                <w:lang w:eastAsia="en-GB"/>
              </w:rPr>
              <w:t>)</w:t>
            </w:r>
          </w:p>
        </w:tc>
        <w:tc>
          <w:tcPr>
            <w:tcW w:w="1701" w:type="dxa"/>
            <w:tcBorders>
              <w:top w:val="single" w:sz="4" w:space="0" w:color="auto"/>
              <w:left w:val="single" w:sz="4" w:space="0" w:color="auto"/>
              <w:bottom w:val="single" w:sz="4" w:space="0" w:color="auto"/>
              <w:right w:val="single" w:sz="4" w:space="0" w:color="auto"/>
            </w:tcBorders>
            <w:noWrap/>
            <w:vAlign w:val="center"/>
          </w:tcPr>
          <w:p w14:paraId="6A13655F" w14:textId="77777777" w:rsidR="00EF3C04" w:rsidRPr="00A106E4" w:rsidRDefault="00EF3C04" w:rsidP="00927C71">
            <w:pPr>
              <w:pStyle w:val="Tabletext"/>
              <w:jc w:val="center"/>
              <w:rPr>
                <w:rFonts w:eastAsia="MS Mincho"/>
                <w:sz w:val="22"/>
              </w:rPr>
            </w:pPr>
          </w:p>
        </w:tc>
      </w:tr>
    </w:tbl>
    <w:p w14:paraId="3BA69DBA" w14:textId="77777777" w:rsidR="00EF3C04" w:rsidRPr="00A106E4" w:rsidRDefault="00EF3C04" w:rsidP="00927C71">
      <w:pPr>
        <w:spacing w:line="240" w:lineRule="auto"/>
        <w:jc w:val="left"/>
      </w:pPr>
    </w:p>
    <w:p w14:paraId="3897B0C6" w14:textId="0D4B02FD" w:rsidR="00EF3C04" w:rsidRPr="00A106E4" w:rsidRDefault="00EF3C04" w:rsidP="00927C71">
      <w:pPr>
        <w:spacing w:line="240" w:lineRule="auto"/>
        <w:jc w:val="left"/>
      </w:pPr>
      <w:r w:rsidRPr="00A106E4">
        <w:br w:type="page"/>
      </w:r>
    </w:p>
    <w:p w14:paraId="2E6571CD" w14:textId="442F0745" w:rsidR="00675AD8" w:rsidRPr="00A106E4" w:rsidRDefault="00675AD8" w:rsidP="00927C71">
      <w:pPr>
        <w:pStyle w:val="AnnexNoTitle"/>
        <w:spacing w:before="120" w:line="240" w:lineRule="auto"/>
      </w:pPr>
      <w:bookmarkStart w:id="14" w:name="Annexe5"/>
      <w:bookmarkEnd w:id="14"/>
      <w:r w:rsidRPr="00A106E4">
        <w:lastRenderedPageBreak/>
        <w:t xml:space="preserve">ANNEXE </w:t>
      </w:r>
      <w:r w:rsidR="00C21099" w:rsidRPr="00A106E4">
        <w:t>3</w:t>
      </w:r>
      <w:bookmarkStart w:id="15" w:name="Annexe3"/>
      <w:bookmarkEnd w:id="15"/>
    </w:p>
    <w:p w14:paraId="04CB7F19" w14:textId="77777777" w:rsidR="00675AD8" w:rsidRPr="00A106E4" w:rsidRDefault="00675AD8" w:rsidP="00927C71">
      <w:pPr>
        <w:pStyle w:val="AnnexNoTitle"/>
        <w:spacing w:before="240" w:after="240" w:line="240" w:lineRule="auto"/>
      </w:pPr>
      <w:r w:rsidRPr="00A106E4">
        <w:t>Modèle pour les contributions des États Membres</w:t>
      </w:r>
    </w:p>
    <w:tbl>
      <w:tblPr>
        <w:tblW w:w="10031" w:type="dxa"/>
        <w:tblLayout w:type="fixed"/>
        <w:tblLook w:val="0000" w:firstRow="0" w:lastRow="0" w:firstColumn="0" w:lastColumn="0" w:noHBand="0" w:noVBand="0"/>
      </w:tblPr>
      <w:tblGrid>
        <w:gridCol w:w="6911"/>
        <w:gridCol w:w="3120"/>
      </w:tblGrid>
      <w:tr w:rsidR="00675AD8" w:rsidRPr="00A106E4" w14:paraId="075F20FA" w14:textId="77777777" w:rsidTr="00CC1389">
        <w:trPr>
          <w:cantSplit/>
          <w:trHeight w:val="1276"/>
        </w:trPr>
        <w:tc>
          <w:tcPr>
            <w:tcW w:w="6911" w:type="dxa"/>
          </w:tcPr>
          <w:p w14:paraId="0DD78959" w14:textId="0ED907E2" w:rsidR="00675AD8" w:rsidRPr="00A106E4" w:rsidRDefault="00C21099" w:rsidP="00927C71">
            <w:pPr>
              <w:spacing w:before="360" w:after="48" w:line="240" w:lineRule="auto"/>
              <w:jc w:val="left"/>
              <w:rPr>
                <w:b/>
                <w:bCs/>
                <w:position w:val="6"/>
                <w:sz w:val="26"/>
                <w:szCs w:val="26"/>
              </w:rPr>
            </w:pPr>
            <w:r w:rsidRPr="00A106E4">
              <w:rPr>
                <w:b/>
                <w:bCs/>
                <w:position w:val="6"/>
                <w:sz w:val="26"/>
                <w:szCs w:val="26"/>
              </w:rPr>
              <w:t>Seconde c</w:t>
            </w:r>
            <w:r w:rsidR="00675AD8" w:rsidRPr="00A106E4">
              <w:rPr>
                <w:b/>
                <w:bCs/>
                <w:position w:val="6"/>
                <w:sz w:val="26"/>
                <w:szCs w:val="26"/>
              </w:rPr>
              <w:t xml:space="preserve">onsultation virtuelle des Conseillers </w:t>
            </w:r>
            <w:r w:rsidR="00675AD8" w:rsidRPr="00A106E4">
              <w:rPr>
                <w:b/>
                <w:bCs/>
                <w:position w:val="6"/>
                <w:sz w:val="26"/>
                <w:szCs w:val="26"/>
              </w:rPr>
              <w:br/>
              <w:t xml:space="preserve">débutant le </w:t>
            </w:r>
            <w:r w:rsidRPr="00A106E4">
              <w:rPr>
                <w:b/>
                <w:bCs/>
                <w:position w:val="6"/>
                <w:sz w:val="26"/>
                <w:szCs w:val="26"/>
              </w:rPr>
              <w:t>16 novembre</w:t>
            </w:r>
            <w:r w:rsidR="00675AD8" w:rsidRPr="00A106E4">
              <w:rPr>
                <w:b/>
                <w:bCs/>
                <w:position w:val="6"/>
                <w:sz w:val="26"/>
                <w:szCs w:val="26"/>
              </w:rPr>
              <w:t xml:space="preserve"> 2020</w:t>
            </w:r>
          </w:p>
        </w:tc>
        <w:tc>
          <w:tcPr>
            <w:tcW w:w="3120" w:type="dxa"/>
            <w:vAlign w:val="center"/>
          </w:tcPr>
          <w:p w14:paraId="20BCD5B4" w14:textId="77777777" w:rsidR="00675AD8" w:rsidRPr="00A106E4" w:rsidRDefault="00675AD8" w:rsidP="00927C71">
            <w:pPr>
              <w:spacing w:before="0" w:line="240" w:lineRule="auto"/>
            </w:pPr>
            <w:bookmarkStart w:id="16" w:name="ditulogo"/>
            <w:bookmarkEnd w:id="16"/>
            <w:r w:rsidRPr="00A106E4">
              <w:rPr>
                <w:noProof/>
              </w:rPr>
              <w:drawing>
                <wp:inline distT="0" distB="0" distL="0" distR="0" wp14:anchorId="6E6391E1" wp14:editId="7CE047F1">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75AD8" w:rsidRPr="00A106E4" w14:paraId="5CDBD4A4" w14:textId="77777777" w:rsidTr="00CC1389">
        <w:trPr>
          <w:cantSplit/>
        </w:trPr>
        <w:tc>
          <w:tcPr>
            <w:tcW w:w="6911" w:type="dxa"/>
            <w:tcBorders>
              <w:bottom w:val="single" w:sz="12" w:space="0" w:color="auto"/>
            </w:tcBorders>
          </w:tcPr>
          <w:p w14:paraId="6780CE57" w14:textId="77777777" w:rsidR="00675AD8" w:rsidRPr="00A106E4" w:rsidRDefault="00675AD8" w:rsidP="00927C71">
            <w:pPr>
              <w:spacing w:before="0" w:after="48" w:line="240" w:lineRule="auto"/>
              <w:rPr>
                <w:b/>
                <w:smallCaps/>
                <w:szCs w:val="24"/>
              </w:rPr>
            </w:pPr>
          </w:p>
        </w:tc>
        <w:tc>
          <w:tcPr>
            <w:tcW w:w="3120" w:type="dxa"/>
            <w:tcBorders>
              <w:bottom w:val="single" w:sz="12" w:space="0" w:color="auto"/>
            </w:tcBorders>
          </w:tcPr>
          <w:p w14:paraId="5378D04C" w14:textId="77777777" w:rsidR="00675AD8" w:rsidRPr="00A106E4" w:rsidRDefault="00675AD8" w:rsidP="00927C71">
            <w:pPr>
              <w:spacing w:before="0" w:line="240" w:lineRule="auto"/>
              <w:rPr>
                <w:szCs w:val="24"/>
              </w:rPr>
            </w:pPr>
          </w:p>
        </w:tc>
      </w:tr>
      <w:tr w:rsidR="00675AD8" w:rsidRPr="00A106E4" w14:paraId="55612A63" w14:textId="77777777" w:rsidTr="00CC1389">
        <w:trPr>
          <w:cantSplit/>
        </w:trPr>
        <w:tc>
          <w:tcPr>
            <w:tcW w:w="6911" w:type="dxa"/>
            <w:tcBorders>
              <w:top w:val="single" w:sz="12" w:space="0" w:color="auto"/>
            </w:tcBorders>
          </w:tcPr>
          <w:p w14:paraId="78797A08" w14:textId="77777777" w:rsidR="00675AD8" w:rsidRPr="00A106E4" w:rsidRDefault="00675AD8" w:rsidP="00927C71">
            <w:pPr>
              <w:spacing w:before="0" w:after="48" w:line="240" w:lineRule="auto"/>
              <w:rPr>
                <w:b/>
                <w:smallCaps/>
                <w:szCs w:val="24"/>
              </w:rPr>
            </w:pPr>
          </w:p>
        </w:tc>
        <w:tc>
          <w:tcPr>
            <w:tcW w:w="3120" w:type="dxa"/>
            <w:tcBorders>
              <w:top w:val="single" w:sz="12" w:space="0" w:color="auto"/>
            </w:tcBorders>
          </w:tcPr>
          <w:p w14:paraId="674B78AB" w14:textId="77777777" w:rsidR="00675AD8" w:rsidRPr="00A106E4" w:rsidRDefault="00675AD8" w:rsidP="00927C71">
            <w:pPr>
              <w:spacing w:before="0" w:line="240" w:lineRule="auto"/>
              <w:rPr>
                <w:szCs w:val="24"/>
              </w:rPr>
            </w:pPr>
          </w:p>
        </w:tc>
      </w:tr>
    </w:tbl>
    <w:p w14:paraId="0BA3F1E2" w14:textId="2926BB3A" w:rsidR="00675AD8" w:rsidRPr="00A106E4" w:rsidRDefault="00675AD8" w:rsidP="00927C71">
      <w:pPr>
        <w:spacing w:line="240" w:lineRule="auto"/>
        <w:jc w:val="center"/>
        <w:rPr>
          <w:b/>
          <w:bCs/>
          <w:sz w:val="28"/>
        </w:rPr>
      </w:pPr>
      <w:bookmarkStart w:id="17" w:name="dorlang" w:colFirst="1" w:colLast="1"/>
      <w:r w:rsidRPr="00A106E4">
        <w:rPr>
          <w:b/>
          <w:bCs/>
          <w:sz w:val="28"/>
        </w:rPr>
        <w:t>Contribution de l'État Membre/des États Membres sur les points du projet d'ordre</w:t>
      </w:r>
      <w:r w:rsidR="00F00B7E" w:rsidRPr="00A106E4">
        <w:rPr>
          <w:b/>
          <w:bCs/>
          <w:sz w:val="28"/>
        </w:rPr>
        <w:t> </w:t>
      </w:r>
      <w:r w:rsidRPr="00A106E4">
        <w:rPr>
          <w:b/>
          <w:bCs/>
          <w:sz w:val="28"/>
        </w:rPr>
        <w:t xml:space="preserve">du jour </w:t>
      </w:r>
      <w:r w:rsidR="00C21099" w:rsidRPr="00A106E4">
        <w:rPr>
          <w:b/>
          <w:bCs/>
          <w:sz w:val="28"/>
        </w:rPr>
        <w:t>(Groupe</w:t>
      </w:r>
      <w:r w:rsidR="0094279A" w:rsidRPr="00A106E4">
        <w:rPr>
          <w:b/>
          <w:bCs/>
          <w:sz w:val="28"/>
        </w:rPr>
        <w:t>s</w:t>
      </w:r>
      <w:r w:rsidR="00C21099" w:rsidRPr="00A106E4">
        <w:rPr>
          <w:b/>
          <w:bCs/>
          <w:sz w:val="28"/>
        </w:rPr>
        <w:t xml:space="preserve"> 1 et 2) </w:t>
      </w:r>
      <w:r w:rsidRPr="00A106E4">
        <w:rPr>
          <w:b/>
          <w:bCs/>
          <w:sz w:val="28"/>
        </w:rPr>
        <w:t>de la</w:t>
      </w:r>
      <w:r w:rsidR="00C21099" w:rsidRPr="00A106E4">
        <w:rPr>
          <w:b/>
          <w:bCs/>
          <w:sz w:val="28"/>
        </w:rPr>
        <w:t xml:space="preserve"> seconde</w:t>
      </w:r>
      <w:r w:rsidRPr="00A106E4">
        <w:rPr>
          <w:b/>
          <w:bCs/>
          <w:sz w:val="28"/>
        </w:rPr>
        <w:t xml:space="preserve"> consultation </w:t>
      </w:r>
      <w:r w:rsidR="00AA6E71" w:rsidRPr="00A106E4">
        <w:rPr>
          <w:b/>
          <w:bCs/>
          <w:sz w:val="28"/>
        </w:rPr>
        <w:br/>
      </w:r>
      <w:r w:rsidRPr="00A106E4">
        <w:rPr>
          <w:b/>
          <w:bCs/>
          <w:sz w:val="28"/>
        </w:rPr>
        <w:t>virtuelle des Conseillers</w:t>
      </w:r>
    </w:p>
    <w:p w14:paraId="2B831D61" w14:textId="77777777" w:rsidR="00675AD8" w:rsidRPr="00A106E4" w:rsidRDefault="00675AD8" w:rsidP="00927C71">
      <w:pPr>
        <w:spacing w:before="0" w:line="240" w:lineRule="auto"/>
        <w:rPr>
          <w:b/>
          <w:bCs/>
          <w:sz w:val="28"/>
        </w:rPr>
      </w:pPr>
    </w:p>
    <w:tbl>
      <w:tblPr>
        <w:tblW w:w="10093" w:type="dxa"/>
        <w:tblLayout w:type="fixed"/>
        <w:tblLook w:val="0000" w:firstRow="0" w:lastRow="0" w:firstColumn="0" w:lastColumn="0" w:noHBand="0" w:noVBand="0"/>
      </w:tblPr>
      <w:tblGrid>
        <w:gridCol w:w="2835"/>
        <w:gridCol w:w="7258"/>
      </w:tblGrid>
      <w:tr w:rsidR="00675AD8" w:rsidRPr="00A106E4" w14:paraId="0ED77140" w14:textId="77777777" w:rsidTr="00CC1389">
        <w:trPr>
          <w:cantSplit/>
        </w:trPr>
        <w:tc>
          <w:tcPr>
            <w:tcW w:w="2835" w:type="dxa"/>
            <w:tcBorders>
              <w:right w:val="single" w:sz="12" w:space="0" w:color="auto"/>
            </w:tcBorders>
            <w:vAlign w:val="center"/>
          </w:tcPr>
          <w:p w14:paraId="600AE781" w14:textId="77777777" w:rsidR="00675AD8" w:rsidRPr="00A106E4" w:rsidRDefault="00675AD8" w:rsidP="00927C71">
            <w:pPr>
              <w:spacing w:before="0" w:line="240" w:lineRule="auto"/>
              <w:jc w:val="left"/>
              <w:rPr>
                <w:b/>
                <w:bCs/>
              </w:rPr>
            </w:pPr>
            <w:bookmarkStart w:id="18" w:name="dsource" w:colFirst="0" w:colLast="0"/>
            <w:bookmarkEnd w:id="17"/>
            <w:r w:rsidRPr="00A106E4">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1D6034D4" w14:textId="77777777" w:rsidR="00675AD8" w:rsidRPr="00A106E4" w:rsidRDefault="00675AD8" w:rsidP="00927C71">
            <w:pPr>
              <w:spacing w:before="0" w:line="240" w:lineRule="auto"/>
            </w:pPr>
          </w:p>
        </w:tc>
      </w:tr>
      <w:tr w:rsidR="00675AD8" w:rsidRPr="00A106E4" w14:paraId="16114261" w14:textId="77777777" w:rsidTr="00CC1389">
        <w:trPr>
          <w:cantSplit/>
        </w:trPr>
        <w:tc>
          <w:tcPr>
            <w:tcW w:w="2835" w:type="dxa"/>
          </w:tcPr>
          <w:p w14:paraId="7A205B9E" w14:textId="77777777" w:rsidR="00675AD8" w:rsidRPr="00A106E4" w:rsidRDefault="00675AD8" w:rsidP="00927C71">
            <w:pPr>
              <w:spacing w:before="0" w:line="240" w:lineRule="auto"/>
              <w:rPr>
                <w:sz w:val="16"/>
                <w:szCs w:val="16"/>
              </w:rPr>
            </w:pPr>
          </w:p>
        </w:tc>
        <w:tc>
          <w:tcPr>
            <w:tcW w:w="7258" w:type="dxa"/>
            <w:tcBorders>
              <w:top w:val="single" w:sz="12" w:space="0" w:color="auto"/>
              <w:bottom w:val="single" w:sz="12" w:space="0" w:color="auto"/>
            </w:tcBorders>
          </w:tcPr>
          <w:p w14:paraId="4667C584" w14:textId="77777777" w:rsidR="00675AD8" w:rsidRPr="00A106E4" w:rsidRDefault="00675AD8" w:rsidP="00927C71">
            <w:pPr>
              <w:spacing w:before="0" w:line="240" w:lineRule="auto"/>
              <w:rPr>
                <w:sz w:val="16"/>
                <w:szCs w:val="16"/>
              </w:rPr>
            </w:pPr>
          </w:p>
        </w:tc>
      </w:tr>
      <w:tr w:rsidR="00675AD8" w:rsidRPr="00A106E4" w14:paraId="4383FBBE" w14:textId="77777777" w:rsidTr="00CC1389">
        <w:trPr>
          <w:cantSplit/>
        </w:trPr>
        <w:tc>
          <w:tcPr>
            <w:tcW w:w="2835" w:type="dxa"/>
            <w:tcBorders>
              <w:right w:val="single" w:sz="12" w:space="0" w:color="auto"/>
            </w:tcBorders>
          </w:tcPr>
          <w:p w14:paraId="2F2C4C85" w14:textId="77777777" w:rsidR="00675AD8" w:rsidRPr="00A106E4" w:rsidRDefault="00675AD8" w:rsidP="00927C71">
            <w:pPr>
              <w:spacing w:after="120" w:line="240" w:lineRule="auto"/>
              <w:rPr>
                <w:b/>
                <w:bCs/>
              </w:rPr>
            </w:pPr>
            <w:r w:rsidRPr="00A106E4">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51805685" w14:textId="77777777" w:rsidR="00675AD8" w:rsidRPr="00A106E4" w:rsidRDefault="00675AD8" w:rsidP="00927C71">
            <w:pPr>
              <w:spacing w:after="120" w:line="240" w:lineRule="auto"/>
            </w:pPr>
          </w:p>
        </w:tc>
      </w:tr>
      <w:tr w:rsidR="00675AD8" w:rsidRPr="00A106E4" w14:paraId="75190E32" w14:textId="77777777" w:rsidTr="00CC1389">
        <w:trPr>
          <w:cantSplit/>
          <w:trHeight w:val="269"/>
        </w:trPr>
        <w:tc>
          <w:tcPr>
            <w:tcW w:w="2835" w:type="dxa"/>
          </w:tcPr>
          <w:p w14:paraId="395D702E" w14:textId="77777777" w:rsidR="00675AD8" w:rsidRPr="00A106E4" w:rsidRDefault="00675AD8" w:rsidP="00927C71">
            <w:pPr>
              <w:spacing w:before="0" w:line="240" w:lineRule="auto"/>
              <w:rPr>
                <w:sz w:val="16"/>
                <w:szCs w:val="16"/>
              </w:rPr>
            </w:pPr>
          </w:p>
        </w:tc>
        <w:tc>
          <w:tcPr>
            <w:tcW w:w="7258" w:type="dxa"/>
            <w:tcBorders>
              <w:top w:val="single" w:sz="12" w:space="0" w:color="auto"/>
              <w:bottom w:val="single" w:sz="2" w:space="0" w:color="auto"/>
            </w:tcBorders>
          </w:tcPr>
          <w:p w14:paraId="50A56B7A" w14:textId="77777777" w:rsidR="00675AD8" w:rsidRPr="00A106E4" w:rsidRDefault="00675AD8" w:rsidP="00927C71">
            <w:pPr>
              <w:spacing w:before="0" w:line="240" w:lineRule="auto"/>
              <w:rPr>
                <w:sz w:val="16"/>
                <w:szCs w:val="16"/>
              </w:rPr>
            </w:pPr>
          </w:p>
        </w:tc>
      </w:tr>
      <w:tr w:rsidR="00675AD8" w:rsidRPr="00A106E4" w14:paraId="473BCCAF" w14:textId="77777777" w:rsidTr="00CC1389">
        <w:trPr>
          <w:cantSplit/>
          <w:trHeight w:val="668"/>
        </w:trPr>
        <w:tc>
          <w:tcPr>
            <w:tcW w:w="2835" w:type="dxa"/>
            <w:tcBorders>
              <w:right w:val="single" w:sz="2" w:space="0" w:color="auto"/>
            </w:tcBorders>
            <w:vAlign w:val="center"/>
          </w:tcPr>
          <w:p w14:paraId="5D427D10" w14:textId="77777777" w:rsidR="00675AD8" w:rsidRPr="00A106E4" w:rsidRDefault="00675AD8" w:rsidP="00927C71">
            <w:pPr>
              <w:spacing w:before="0" w:line="240" w:lineRule="auto"/>
              <w:jc w:val="left"/>
              <w:rPr>
                <w:b/>
                <w:bCs/>
              </w:rPr>
            </w:pPr>
            <w:r w:rsidRPr="00A106E4">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5AC4B40A" w14:textId="77777777" w:rsidR="00675AD8" w:rsidRPr="00A106E4" w:rsidRDefault="00675AD8" w:rsidP="00927C71">
            <w:pPr>
              <w:spacing w:before="240" w:after="120" w:line="240" w:lineRule="auto"/>
              <w:rPr>
                <w:b/>
                <w:bCs/>
              </w:rPr>
            </w:pPr>
            <w:r w:rsidRPr="00A106E4">
              <w:rPr>
                <w:b/>
                <w:bCs/>
              </w:rPr>
              <w:t>Document C20/</w:t>
            </w:r>
            <w:r w:rsidRPr="00A106E4">
              <w:rPr>
                <w:b/>
                <w:bCs/>
                <w:highlight w:val="yellow"/>
              </w:rPr>
              <w:t>##</w:t>
            </w:r>
          </w:p>
        </w:tc>
      </w:tr>
      <w:tr w:rsidR="00675AD8" w:rsidRPr="00A106E4" w14:paraId="5A9D1020" w14:textId="77777777" w:rsidTr="00CC1389">
        <w:trPr>
          <w:cantSplit/>
          <w:trHeight w:val="156"/>
        </w:trPr>
        <w:tc>
          <w:tcPr>
            <w:tcW w:w="2835" w:type="dxa"/>
          </w:tcPr>
          <w:p w14:paraId="5C282260" w14:textId="77777777" w:rsidR="00675AD8" w:rsidRPr="00A106E4" w:rsidRDefault="00675AD8" w:rsidP="00927C71">
            <w:pPr>
              <w:spacing w:before="0" w:line="240" w:lineRule="auto"/>
              <w:rPr>
                <w:sz w:val="16"/>
                <w:szCs w:val="16"/>
              </w:rPr>
            </w:pPr>
          </w:p>
        </w:tc>
        <w:tc>
          <w:tcPr>
            <w:tcW w:w="7258" w:type="dxa"/>
            <w:tcBorders>
              <w:top w:val="single" w:sz="12" w:space="0" w:color="auto"/>
              <w:bottom w:val="single" w:sz="2" w:space="0" w:color="auto"/>
            </w:tcBorders>
          </w:tcPr>
          <w:p w14:paraId="0ABB9DB0" w14:textId="77777777" w:rsidR="00675AD8" w:rsidRPr="00A106E4" w:rsidRDefault="00675AD8" w:rsidP="00927C71">
            <w:pPr>
              <w:spacing w:before="0" w:line="240" w:lineRule="auto"/>
              <w:rPr>
                <w:sz w:val="16"/>
                <w:szCs w:val="16"/>
              </w:rPr>
            </w:pPr>
          </w:p>
        </w:tc>
      </w:tr>
    </w:tbl>
    <w:p w14:paraId="56807563" w14:textId="77777777" w:rsidR="00675AD8" w:rsidRPr="00A106E4" w:rsidRDefault="00675AD8" w:rsidP="00927C71">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675AD8" w:rsidRPr="00A106E4" w14:paraId="1FEC386B" w14:textId="77777777" w:rsidTr="00CC1389">
        <w:trPr>
          <w:cantSplit/>
        </w:trPr>
        <w:tc>
          <w:tcPr>
            <w:tcW w:w="10093" w:type="dxa"/>
            <w:tcBorders>
              <w:top w:val="single" w:sz="12" w:space="0" w:color="auto"/>
              <w:left w:val="single" w:sz="12" w:space="0" w:color="auto"/>
              <w:bottom w:val="single" w:sz="12" w:space="0" w:color="auto"/>
              <w:right w:val="single" w:sz="12" w:space="0" w:color="auto"/>
            </w:tcBorders>
          </w:tcPr>
          <w:p w14:paraId="19244809" w14:textId="77777777" w:rsidR="00675AD8" w:rsidRPr="00A106E4" w:rsidRDefault="00675AD8" w:rsidP="00927C71">
            <w:pPr>
              <w:spacing w:before="60" w:after="60" w:line="240" w:lineRule="auto"/>
              <w:rPr>
                <w:i/>
                <w:iCs/>
              </w:rPr>
            </w:pPr>
            <w:r w:rsidRPr="00A106E4">
              <w:rPr>
                <w:b/>
                <w:bCs/>
              </w:rPr>
              <w:t xml:space="preserve">Contribution de l'État Membre/des États Membres: </w:t>
            </w:r>
            <w:r w:rsidRPr="00A106E4">
              <w:rPr>
                <w:i/>
                <w:iCs/>
              </w:rPr>
              <w:t>les contributions devraient être succinctes (</w:t>
            </w:r>
            <w:r w:rsidRPr="00A106E4">
              <w:rPr>
                <w:i/>
                <w:iCs/>
                <w:u w:val="single"/>
              </w:rPr>
              <w:t>la longueur maximale recommandée est de 2 pages</w:t>
            </w:r>
            <w:r w:rsidRPr="00A106E4">
              <w:rPr>
                <w:i/>
                <w:iCs/>
              </w:rPr>
              <w:t>) et devraient faciliter les discussions.</w:t>
            </w:r>
          </w:p>
        </w:tc>
      </w:tr>
      <w:tr w:rsidR="00675AD8" w:rsidRPr="00A106E4" w14:paraId="39832D6D" w14:textId="77777777" w:rsidTr="00CC1389">
        <w:trPr>
          <w:cantSplit/>
        </w:trPr>
        <w:tc>
          <w:tcPr>
            <w:tcW w:w="10093" w:type="dxa"/>
            <w:tcBorders>
              <w:top w:val="single" w:sz="12" w:space="0" w:color="auto"/>
              <w:left w:val="single" w:sz="12" w:space="0" w:color="auto"/>
              <w:bottom w:val="single" w:sz="12" w:space="0" w:color="auto"/>
              <w:right w:val="single" w:sz="12" w:space="0" w:color="auto"/>
            </w:tcBorders>
          </w:tcPr>
          <w:p w14:paraId="443D2EB9" w14:textId="77777777" w:rsidR="00675AD8" w:rsidRPr="00A106E4" w:rsidRDefault="00675AD8" w:rsidP="00927C71">
            <w:pPr>
              <w:pStyle w:val="Headingb"/>
              <w:spacing w:before="120" w:after="120" w:line="240" w:lineRule="auto"/>
            </w:pPr>
            <w:r w:rsidRPr="00A106E4">
              <w:t>Observations relatives au Document C20/</w:t>
            </w:r>
            <w:r w:rsidRPr="00A106E4">
              <w:rPr>
                <w:highlight w:val="yellow"/>
              </w:rPr>
              <w:t>xx</w:t>
            </w:r>
          </w:p>
          <w:p w14:paraId="7A363E7A" w14:textId="77777777" w:rsidR="00675AD8" w:rsidRPr="00A106E4" w:rsidRDefault="00675AD8" w:rsidP="00927C71">
            <w:pPr>
              <w:spacing w:after="120" w:line="240" w:lineRule="auto"/>
              <w:rPr>
                <w:szCs w:val="24"/>
                <w:lang w:eastAsia="zh-CN"/>
              </w:rPr>
            </w:pPr>
          </w:p>
          <w:p w14:paraId="0E07D545" w14:textId="77777777" w:rsidR="00675AD8" w:rsidRPr="00A106E4" w:rsidRDefault="00675AD8" w:rsidP="00927C71">
            <w:pPr>
              <w:spacing w:after="120" w:line="240" w:lineRule="auto"/>
              <w:rPr>
                <w:szCs w:val="24"/>
                <w:lang w:eastAsia="zh-CN"/>
              </w:rPr>
            </w:pPr>
          </w:p>
          <w:p w14:paraId="5D8D70C9" w14:textId="77777777" w:rsidR="00675AD8" w:rsidRPr="00A106E4" w:rsidRDefault="00675AD8" w:rsidP="00927C71">
            <w:pPr>
              <w:spacing w:after="120" w:line="240" w:lineRule="auto"/>
              <w:rPr>
                <w:szCs w:val="24"/>
                <w:lang w:eastAsia="zh-CN"/>
              </w:rPr>
            </w:pPr>
          </w:p>
          <w:p w14:paraId="162CBC1E" w14:textId="77777777" w:rsidR="00675AD8" w:rsidRPr="00A106E4" w:rsidRDefault="00675AD8" w:rsidP="00927C71">
            <w:pPr>
              <w:spacing w:after="120" w:line="240" w:lineRule="auto"/>
              <w:rPr>
                <w:sz w:val="28"/>
              </w:rPr>
            </w:pPr>
          </w:p>
          <w:p w14:paraId="4D39905B" w14:textId="77777777" w:rsidR="00675AD8" w:rsidRPr="00A106E4" w:rsidRDefault="00675AD8" w:rsidP="00927C71">
            <w:pPr>
              <w:overflowPunct/>
              <w:spacing w:after="120" w:line="240" w:lineRule="auto"/>
              <w:textAlignment w:val="auto"/>
              <w:rPr>
                <w:szCs w:val="24"/>
                <w:lang w:eastAsia="zh-CN"/>
              </w:rPr>
            </w:pPr>
            <w:r w:rsidRPr="00A106E4">
              <w:rPr>
                <w:b/>
              </w:rPr>
              <w:t>Marche à suivre proposée</w:t>
            </w:r>
          </w:p>
          <w:p w14:paraId="3463DB82" w14:textId="77777777" w:rsidR="00675AD8" w:rsidRPr="00A106E4" w:rsidRDefault="00675AD8" w:rsidP="00927C71">
            <w:pPr>
              <w:overflowPunct/>
              <w:spacing w:after="120" w:line="240" w:lineRule="auto"/>
              <w:textAlignment w:val="auto"/>
              <w:rPr>
                <w:szCs w:val="24"/>
                <w:lang w:eastAsia="zh-CN"/>
              </w:rPr>
            </w:pPr>
          </w:p>
          <w:p w14:paraId="75E8EC01" w14:textId="77777777" w:rsidR="00675AD8" w:rsidRPr="00A106E4" w:rsidRDefault="00675AD8" w:rsidP="00927C71">
            <w:pPr>
              <w:overflowPunct/>
              <w:spacing w:after="120" w:line="240" w:lineRule="auto"/>
              <w:textAlignment w:val="auto"/>
              <w:rPr>
                <w:szCs w:val="24"/>
                <w:lang w:eastAsia="zh-CN"/>
              </w:rPr>
            </w:pPr>
          </w:p>
          <w:p w14:paraId="03B2E425" w14:textId="77777777" w:rsidR="00675AD8" w:rsidRPr="00A106E4" w:rsidRDefault="00675AD8" w:rsidP="00927C71">
            <w:pPr>
              <w:overflowPunct/>
              <w:spacing w:after="120" w:line="240" w:lineRule="auto"/>
              <w:textAlignment w:val="auto"/>
              <w:rPr>
                <w:szCs w:val="24"/>
                <w:lang w:eastAsia="zh-CN"/>
              </w:rPr>
            </w:pPr>
          </w:p>
          <w:p w14:paraId="00E703A3" w14:textId="77777777" w:rsidR="00675AD8" w:rsidRPr="00A106E4" w:rsidRDefault="00675AD8" w:rsidP="00927C71">
            <w:pPr>
              <w:spacing w:before="240" w:after="240" w:line="240" w:lineRule="auto"/>
              <w:rPr>
                <w:b/>
                <w:bCs/>
              </w:rPr>
            </w:pPr>
          </w:p>
        </w:tc>
      </w:tr>
      <w:bookmarkEnd w:id="18"/>
    </w:tbl>
    <w:p w14:paraId="787284B0" w14:textId="77777777" w:rsidR="00675AD8" w:rsidRPr="00A106E4" w:rsidRDefault="00675AD8" w:rsidP="00927C71">
      <w:pPr>
        <w:spacing w:line="240" w:lineRule="auto"/>
      </w:pPr>
      <w:r w:rsidRPr="00A106E4">
        <w:br w:type="page"/>
      </w:r>
    </w:p>
    <w:tbl>
      <w:tblPr>
        <w:tblStyle w:val="TableGrid"/>
        <w:tblW w:w="10060" w:type="dxa"/>
        <w:tblLook w:val="04A0" w:firstRow="1" w:lastRow="0" w:firstColumn="1" w:lastColumn="0" w:noHBand="0" w:noVBand="1"/>
      </w:tblPr>
      <w:tblGrid>
        <w:gridCol w:w="10060"/>
      </w:tblGrid>
      <w:tr w:rsidR="00675AD8" w:rsidRPr="00A106E4" w14:paraId="61BEA7AA" w14:textId="77777777" w:rsidTr="00CC1389">
        <w:tc>
          <w:tcPr>
            <w:tcW w:w="10060" w:type="dxa"/>
            <w:tcBorders>
              <w:top w:val="single" w:sz="4" w:space="0" w:color="auto"/>
            </w:tcBorders>
          </w:tcPr>
          <w:p w14:paraId="5C59544A" w14:textId="147BE7F4" w:rsidR="00675AD8" w:rsidRPr="00A106E4" w:rsidRDefault="00675AD8" w:rsidP="00927C71">
            <w:pPr>
              <w:spacing w:line="240" w:lineRule="auto"/>
              <w:jc w:val="center"/>
            </w:pPr>
            <w:bookmarkStart w:id="19" w:name="_Hlk40363617"/>
            <w:r w:rsidRPr="00A106E4">
              <w:rPr>
                <w:b/>
                <w:bCs/>
              </w:rPr>
              <w:lastRenderedPageBreak/>
              <w:t xml:space="preserve">Les contributions doivent être envoyées </w:t>
            </w:r>
            <w:r w:rsidRPr="00A106E4">
              <w:t xml:space="preserve">au secrétariat du Conseil de l'UIT </w:t>
            </w:r>
            <w:r w:rsidR="00F00B7E" w:rsidRPr="00A106E4">
              <w:br/>
            </w:r>
            <w:r w:rsidRPr="00A106E4">
              <w:rPr>
                <w:b/>
                <w:bCs/>
              </w:rPr>
              <w:t xml:space="preserve">d'ici au </w:t>
            </w:r>
            <w:r w:rsidR="00C21099" w:rsidRPr="00A106E4">
              <w:rPr>
                <w:b/>
                <w:bCs/>
              </w:rPr>
              <w:t>2 novembre</w:t>
            </w:r>
            <w:r w:rsidRPr="00A106E4">
              <w:rPr>
                <w:b/>
                <w:bCs/>
              </w:rPr>
              <w:t xml:space="preserve"> 2020</w:t>
            </w:r>
            <w:r w:rsidRPr="00A106E4">
              <w:t xml:space="preserve"> à l'adresse suivante:</w:t>
            </w:r>
          </w:p>
          <w:p w14:paraId="6A037A90" w14:textId="77777777" w:rsidR="00675AD8" w:rsidRPr="00A106E4" w:rsidRDefault="00003BE3" w:rsidP="00927C71">
            <w:pPr>
              <w:spacing w:after="120" w:line="240" w:lineRule="auto"/>
              <w:jc w:val="center"/>
              <w:rPr>
                <w:rStyle w:val="Hyperlink"/>
                <w:b/>
                <w:bCs/>
              </w:rPr>
            </w:pPr>
            <w:hyperlink r:id="rId87" w:history="1">
              <w:r w:rsidR="00675AD8" w:rsidRPr="00A106E4">
                <w:rPr>
                  <w:rStyle w:val="Hyperlink"/>
                  <w:b/>
                  <w:bCs/>
                </w:rPr>
                <w:t>contributions@itu.int</w:t>
              </w:r>
            </w:hyperlink>
          </w:p>
          <w:p w14:paraId="2281E4CB" w14:textId="3B3F5AEF" w:rsidR="00675AD8" w:rsidRPr="00A106E4" w:rsidRDefault="00675AD8" w:rsidP="00927C71">
            <w:pPr>
              <w:spacing w:after="120" w:line="240" w:lineRule="auto"/>
              <w:jc w:val="center"/>
            </w:pPr>
            <w:r w:rsidRPr="00A106E4">
              <w:t xml:space="preserve">Si une contribution est soumise par plusieurs États Membres, veuillez vous assurer que le(s) coordonnateur(s) de chaque État Membre figure(nt) en copie du message envoyé au </w:t>
            </w:r>
            <w:r w:rsidR="00F00B7E" w:rsidRPr="00A106E4">
              <w:t>S</w:t>
            </w:r>
            <w:r w:rsidRPr="00A106E4">
              <w:t>ecrétariat du Conseil de l'UIT.</w:t>
            </w:r>
          </w:p>
          <w:p w14:paraId="6C330A99" w14:textId="77777777" w:rsidR="00675AD8" w:rsidRPr="00A106E4" w:rsidRDefault="00675AD8" w:rsidP="00927C71">
            <w:pPr>
              <w:spacing w:after="120" w:line="240" w:lineRule="auto"/>
              <w:jc w:val="center"/>
            </w:pPr>
            <w:r w:rsidRPr="00A106E4">
              <w:t xml:space="preserve">À toutes fins utiles, la liste des coordonnateurs des États Membres de l'UIT est accessible </w:t>
            </w:r>
            <w:hyperlink r:id="rId88" w:history="1">
              <w:r w:rsidRPr="00A106E4">
                <w:rPr>
                  <w:rStyle w:val="Hyperlink"/>
                  <w:b/>
                  <w:bCs/>
                </w:rPr>
                <w:t>ici</w:t>
              </w:r>
            </w:hyperlink>
            <w:r w:rsidRPr="00A106E4">
              <w:t>.</w:t>
            </w:r>
          </w:p>
          <w:p w14:paraId="7D2A7B07" w14:textId="77777777" w:rsidR="00675AD8" w:rsidRPr="00A106E4" w:rsidRDefault="00675AD8" w:rsidP="00927C71">
            <w:pPr>
              <w:spacing w:after="120" w:line="240" w:lineRule="auto"/>
              <w:jc w:val="center"/>
            </w:pPr>
          </w:p>
        </w:tc>
      </w:tr>
    </w:tbl>
    <w:bookmarkEnd w:id="19"/>
    <w:p w14:paraId="6A3302CA" w14:textId="77777777" w:rsidR="00675AD8" w:rsidRPr="00A106E4" w:rsidRDefault="00675AD8" w:rsidP="00927C71">
      <w:pPr>
        <w:spacing w:before="360" w:line="240" w:lineRule="auto"/>
        <w:jc w:val="center"/>
      </w:pPr>
      <w:r w:rsidRPr="00A106E4">
        <w:t>______________</w:t>
      </w:r>
    </w:p>
    <w:sectPr w:rsidR="00675AD8" w:rsidRPr="00A106E4" w:rsidSect="000A249C">
      <w:headerReference w:type="default" r:id="rId89"/>
      <w:headerReference w:type="first" r:id="rId90"/>
      <w:footerReference w:type="first" r:id="rId91"/>
      <w:pgSz w:w="11907" w:h="16834" w:code="9"/>
      <w:pgMar w:top="1418" w:right="1134" w:bottom="1418"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DA398" w14:textId="77777777" w:rsidR="00003BE3" w:rsidRDefault="00003BE3">
      <w:r>
        <w:separator/>
      </w:r>
    </w:p>
  </w:endnote>
  <w:endnote w:type="continuationSeparator" w:id="0">
    <w:p w14:paraId="2E03BC1F" w14:textId="77777777" w:rsidR="00003BE3" w:rsidRDefault="0000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F90F" w14:textId="04609CD3" w:rsidR="00C649E9" w:rsidRDefault="00C649E9" w:rsidP="00D82A91">
    <w:pPr>
      <w:pStyle w:val="Footer"/>
      <w:spacing w:line="240" w:lineRule="auto"/>
      <w:jc w:val="cente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t>T</w:t>
    </w:r>
    <w:r>
      <w:rPr>
        <w:color w:val="3E8EDE"/>
        <w:sz w:val="18"/>
        <w:szCs w:val="18"/>
        <w:lang w:val="fr-CH"/>
      </w:rPr>
      <w:t>é</w:t>
    </w:r>
    <w:r w:rsidRPr="00FB65BC">
      <w:rPr>
        <w:color w:val="3E8EDE"/>
        <w:sz w:val="18"/>
        <w:szCs w:val="18"/>
        <w:lang w:val="fr-CH"/>
      </w:rPr>
      <w:t xml:space="preserve">l: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0442F" w14:textId="77777777" w:rsidR="00003BE3" w:rsidRDefault="00003BE3">
      <w:r>
        <w:t>____________________</w:t>
      </w:r>
    </w:p>
  </w:footnote>
  <w:footnote w:type="continuationSeparator" w:id="0">
    <w:p w14:paraId="08095AD4" w14:textId="77777777" w:rsidR="00003BE3" w:rsidRDefault="0000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233723"/>
      <w:docPartObj>
        <w:docPartGallery w:val="Page Numbers (Top of Page)"/>
        <w:docPartUnique/>
      </w:docPartObj>
    </w:sdtPr>
    <w:sdtEndPr>
      <w:rPr>
        <w:noProof/>
        <w:sz w:val="18"/>
        <w:szCs w:val="18"/>
      </w:rPr>
    </w:sdtEndPr>
    <w:sdtContent>
      <w:p w14:paraId="1C302771" w14:textId="24818F16" w:rsidR="00C649E9" w:rsidRDefault="00C649E9">
        <w:pPr>
          <w:pStyle w:val="Header"/>
          <w:jc w:val="center"/>
        </w:pPr>
        <w:r w:rsidRPr="00D82A91">
          <w:rPr>
            <w:sz w:val="18"/>
            <w:szCs w:val="18"/>
          </w:rPr>
          <w:fldChar w:fldCharType="begin"/>
        </w:r>
        <w:r w:rsidRPr="00D82A91">
          <w:rPr>
            <w:sz w:val="18"/>
            <w:szCs w:val="18"/>
          </w:rPr>
          <w:instrText xml:space="preserve"> PAGE   \* MERGEFORMAT </w:instrText>
        </w:r>
        <w:r w:rsidRPr="00D82A91">
          <w:rPr>
            <w:sz w:val="18"/>
            <w:szCs w:val="18"/>
          </w:rPr>
          <w:fldChar w:fldCharType="separate"/>
        </w:r>
        <w:r w:rsidRPr="00D82A91">
          <w:rPr>
            <w:noProof/>
            <w:sz w:val="18"/>
            <w:szCs w:val="18"/>
          </w:rPr>
          <w:t>2</w:t>
        </w:r>
        <w:r w:rsidRPr="00D82A91">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649E9" w14:paraId="79BB2A08" w14:textId="77777777" w:rsidTr="00CC1389">
      <w:tc>
        <w:tcPr>
          <w:tcW w:w="9923" w:type="dxa"/>
        </w:tcPr>
        <w:p w14:paraId="6BCEDB2C" w14:textId="77777777" w:rsidR="00C649E9" w:rsidRDefault="00C649E9" w:rsidP="008A6E3D">
          <w:pPr>
            <w:pStyle w:val="Header"/>
            <w:tabs>
              <w:tab w:val="clear" w:pos="794"/>
              <w:tab w:val="clear" w:pos="4820"/>
            </w:tabs>
            <w:spacing w:before="120" w:line="360" w:lineRule="auto"/>
            <w:jc w:val="center"/>
          </w:pPr>
          <w:r>
            <w:rPr>
              <w:noProof/>
              <w:lang w:val="en-GB" w:eastAsia="zh-CN"/>
            </w:rPr>
            <w:drawing>
              <wp:inline distT="0" distB="0" distL="0" distR="0" wp14:anchorId="1C486946" wp14:editId="20FB595B">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6AEC014B" w14:textId="77777777" w:rsidR="00C649E9" w:rsidRPr="00940351" w:rsidRDefault="00C649E9" w:rsidP="008A6E3D">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16A7E"/>
    <w:multiLevelType w:val="hybridMultilevel"/>
    <w:tmpl w:val="4A7E3D7C"/>
    <w:lvl w:ilvl="0" w:tplc="86E6AA4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3762A"/>
    <w:multiLevelType w:val="hybridMultilevel"/>
    <w:tmpl w:val="ACD4ECDC"/>
    <w:lvl w:ilvl="0" w:tplc="BA000B30">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1"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7F460D"/>
    <w:multiLevelType w:val="hybridMultilevel"/>
    <w:tmpl w:val="5B0AE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14"/>
  </w:num>
  <w:num w:numId="4">
    <w:abstractNumId w:val="5"/>
  </w:num>
  <w:num w:numId="5">
    <w:abstractNumId w:val="11"/>
  </w:num>
  <w:num w:numId="6">
    <w:abstractNumId w:val="9"/>
  </w:num>
  <w:num w:numId="7">
    <w:abstractNumId w:val="7"/>
  </w:num>
  <w:num w:numId="8">
    <w:abstractNumId w:val="13"/>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 w:name="dgnword-docGUID" w:val="{3119CC84-04AF-440D-AA9B-92677B513CFF}"/>
    <w:docVar w:name="dgnword-eventsink" w:val="2040393449712"/>
  </w:docVars>
  <w:rsids>
    <w:rsidRoot w:val="000A249C"/>
    <w:rsid w:val="000032FB"/>
    <w:rsid w:val="00003BE3"/>
    <w:rsid w:val="00010E30"/>
    <w:rsid w:val="00026CF8"/>
    <w:rsid w:val="00046F9C"/>
    <w:rsid w:val="000479AD"/>
    <w:rsid w:val="000666C1"/>
    <w:rsid w:val="00070258"/>
    <w:rsid w:val="00072C3E"/>
    <w:rsid w:val="0007323C"/>
    <w:rsid w:val="0008311E"/>
    <w:rsid w:val="00086D03"/>
    <w:rsid w:val="000971AE"/>
    <w:rsid w:val="000A249C"/>
    <w:rsid w:val="000A7051"/>
    <w:rsid w:val="000B7CE2"/>
    <w:rsid w:val="000C03C7"/>
    <w:rsid w:val="000E3DEE"/>
    <w:rsid w:val="000E4B79"/>
    <w:rsid w:val="000F674D"/>
    <w:rsid w:val="00100CFC"/>
    <w:rsid w:val="0010107B"/>
    <w:rsid w:val="00103C76"/>
    <w:rsid w:val="0011265F"/>
    <w:rsid w:val="00122DAC"/>
    <w:rsid w:val="00152A1D"/>
    <w:rsid w:val="001609E7"/>
    <w:rsid w:val="00173FCD"/>
    <w:rsid w:val="00174BD1"/>
    <w:rsid w:val="00177CFB"/>
    <w:rsid w:val="001856F0"/>
    <w:rsid w:val="00196710"/>
    <w:rsid w:val="00197324"/>
    <w:rsid w:val="00197DCF"/>
    <w:rsid w:val="001A37CA"/>
    <w:rsid w:val="001A696C"/>
    <w:rsid w:val="001B5841"/>
    <w:rsid w:val="001B7139"/>
    <w:rsid w:val="001D5403"/>
    <w:rsid w:val="001D7070"/>
    <w:rsid w:val="001D7163"/>
    <w:rsid w:val="001E04A3"/>
    <w:rsid w:val="001F5A49"/>
    <w:rsid w:val="00201097"/>
    <w:rsid w:val="00201B6E"/>
    <w:rsid w:val="002072AF"/>
    <w:rsid w:val="002154BF"/>
    <w:rsid w:val="002222CE"/>
    <w:rsid w:val="0022549B"/>
    <w:rsid w:val="00233D45"/>
    <w:rsid w:val="002345D4"/>
    <w:rsid w:val="00235A29"/>
    <w:rsid w:val="00243A9F"/>
    <w:rsid w:val="002537B1"/>
    <w:rsid w:val="0026128B"/>
    <w:rsid w:val="00270F25"/>
    <w:rsid w:val="00272C60"/>
    <w:rsid w:val="00276B8B"/>
    <w:rsid w:val="002861E6"/>
    <w:rsid w:val="002E0007"/>
    <w:rsid w:val="002E18CE"/>
    <w:rsid w:val="002E23BD"/>
    <w:rsid w:val="002E4095"/>
    <w:rsid w:val="002F00B0"/>
    <w:rsid w:val="002F0890"/>
    <w:rsid w:val="002F257F"/>
    <w:rsid w:val="003169E3"/>
    <w:rsid w:val="003211CE"/>
    <w:rsid w:val="00330AC7"/>
    <w:rsid w:val="003370B8"/>
    <w:rsid w:val="003439E1"/>
    <w:rsid w:val="00344D31"/>
    <w:rsid w:val="003476DD"/>
    <w:rsid w:val="00361E97"/>
    <w:rsid w:val="0036246B"/>
    <w:rsid w:val="003666FF"/>
    <w:rsid w:val="00394448"/>
    <w:rsid w:val="003A4DF2"/>
    <w:rsid w:val="003A6611"/>
    <w:rsid w:val="003B2BDA"/>
    <w:rsid w:val="003B2D0C"/>
    <w:rsid w:val="003B49D6"/>
    <w:rsid w:val="003B55EC"/>
    <w:rsid w:val="003C3E6E"/>
    <w:rsid w:val="003C4471"/>
    <w:rsid w:val="003C5B12"/>
    <w:rsid w:val="003C7748"/>
    <w:rsid w:val="003D77E2"/>
    <w:rsid w:val="003E49B1"/>
    <w:rsid w:val="003E504F"/>
    <w:rsid w:val="00400F78"/>
    <w:rsid w:val="00416845"/>
    <w:rsid w:val="004326DB"/>
    <w:rsid w:val="0043682E"/>
    <w:rsid w:val="004406FA"/>
    <w:rsid w:val="004431FE"/>
    <w:rsid w:val="00467A97"/>
    <w:rsid w:val="00467C45"/>
    <w:rsid w:val="0048049C"/>
    <w:rsid w:val="004815EB"/>
    <w:rsid w:val="00496920"/>
    <w:rsid w:val="00496F7D"/>
    <w:rsid w:val="004A5CE7"/>
    <w:rsid w:val="004A7CE3"/>
    <w:rsid w:val="004B7001"/>
    <w:rsid w:val="004B7C9A"/>
    <w:rsid w:val="004D1579"/>
    <w:rsid w:val="004D48A8"/>
    <w:rsid w:val="004D7DA3"/>
    <w:rsid w:val="004E0DC4"/>
    <w:rsid w:val="004E0FB5"/>
    <w:rsid w:val="004E43BB"/>
    <w:rsid w:val="004F178E"/>
    <w:rsid w:val="00505309"/>
    <w:rsid w:val="00505C93"/>
    <w:rsid w:val="0050789B"/>
    <w:rsid w:val="00510C3D"/>
    <w:rsid w:val="00517AF2"/>
    <w:rsid w:val="005334AE"/>
    <w:rsid w:val="00536E2F"/>
    <w:rsid w:val="00540697"/>
    <w:rsid w:val="0054209A"/>
    <w:rsid w:val="00543DF8"/>
    <w:rsid w:val="00546101"/>
    <w:rsid w:val="00553DD7"/>
    <w:rsid w:val="00567221"/>
    <w:rsid w:val="00570E5B"/>
    <w:rsid w:val="00571C82"/>
    <w:rsid w:val="0057469A"/>
    <w:rsid w:val="005755B5"/>
    <w:rsid w:val="00580814"/>
    <w:rsid w:val="00587300"/>
    <w:rsid w:val="005A03A3"/>
    <w:rsid w:val="005A4850"/>
    <w:rsid w:val="005B214C"/>
    <w:rsid w:val="005E6F4B"/>
    <w:rsid w:val="005F5168"/>
    <w:rsid w:val="005F72A4"/>
    <w:rsid w:val="00602CF9"/>
    <w:rsid w:val="00602D53"/>
    <w:rsid w:val="0060582B"/>
    <w:rsid w:val="00610A14"/>
    <w:rsid w:val="0062116C"/>
    <w:rsid w:val="00646CC4"/>
    <w:rsid w:val="00651777"/>
    <w:rsid w:val="00671E64"/>
    <w:rsid w:val="006741C3"/>
    <w:rsid w:val="006744F5"/>
    <w:rsid w:val="00675AD8"/>
    <w:rsid w:val="00675C2A"/>
    <w:rsid w:val="00691768"/>
    <w:rsid w:val="00691AA6"/>
    <w:rsid w:val="006950CF"/>
    <w:rsid w:val="00697C70"/>
    <w:rsid w:val="006B0590"/>
    <w:rsid w:val="006B3F27"/>
    <w:rsid w:val="006B49DA"/>
    <w:rsid w:val="006B6E27"/>
    <w:rsid w:val="006D5AE2"/>
    <w:rsid w:val="00700C3C"/>
    <w:rsid w:val="00712969"/>
    <w:rsid w:val="007234B1"/>
    <w:rsid w:val="00730B9A"/>
    <w:rsid w:val="00747C88"/>
    <w:rsid w:val="00757B2B"/>
    <w:rsid w:val="00757EEE"/>
    <w:rsid w:val="00784DA2"/>
    <w:rsid w:val="007921A7"/>
    <w:rsid w:val="007B3DB1"/>
    <w:rsid w:val="007B70B8"/>
    <w:rsid w:val="007D183E"/>
    <w:rsid w:val="007D4C3F"/>
    <w:rsid w:val="007E3F13"/>
    <w:rsid w:val="007E6AB2"/>
    <w:rsid w:val="00800012"/>
    <w:rsid w:val="0081513E"/>
    <w:rsid w:val="0083235C"/>
    <w:rsid w:val="0083382E"/>
    <w:rsid w:val="00854131"/>
    <w:rsid w:val="0085652D"/>
    <w:rsid w:val="00874166"/>
    <w:rsid w:val="0087694B"/>
    <w:rsid w:val="008778FE"/>
    <w:rsid w:val="00877C1B"/>
    <w:rsid w:val="0088293A"/>
    <w:rsid w:val="00895538"/>
    <w:rsid w:val="00895554"/>
    <w:rsid w:val="008A045D"/>
    <w:rsid w:val="008A5961"/>
    <w:rsid w:val="008A6E3D"/>
    <w:rsid w:val="008C46C7"/>
    <w:rsid w:val="008D02E8"/>
    <w:rsid w:val="008D08FF"/>
    <w:rsid w:val="008D4685"/>
    <w:rsid w:val="008F4F21"/>
    <w:rsid w:val="00904D4A"/>
    <w:rsid w:val="009140CA"/>
    <w:rsid w:val="009151BA"/>
    <w:rsid w:val="00916BC8"/>
    <w:rsid w:val="009277BC"/>
    <w:rsid w:val="00927C71"/>
    <w:rsid w:val="00927D57"/>
    <w:rsid w:val="00940351"/>
    <w:rsid w:val="00941E75"/>
    <w:rsid w:val="0094279A"/>
    <w:rsid w:val="00954E4E"/>
    <w:rsid w:val="00963D9D"/>
    <w:rsid w:val="00981B54"/>
    <w:rsid w:val="009842C3"/>
    <w:rsid w:val="00997CBA"/>
    <w:rsid w:val="009A6BB6"/>
    <w:rsid w:val="009B6207"/>
    <w:rsid w:val="009C161F"/>
    <w:rsid w:val="009E2358"/>
    <w:rsid w:val="009E4AEC"/>
    <w:rsid w:val="009E5BD8"/>
    <w:rsid w:val="009E5F24"/>
    <w:rsid w:val="009E681E"/>
    <w:rsid w:val="009F69E4"/>
    <w:rsid w:val="00A106E4"/>
    <w:rsid w:val="00A22F9F"/>
    <w:rsid w:val="00A34D6F"/>
    <w:rsid w:val="00A3794C"/>
    <w:rsid w:val="00A41F91"/>
    <w:rsid w:val="00A7494A"/>
    <w:rsid w:val="00A963DF"/>
    <w:rsid w:val="00AA6E71"/>
    <w:rsid w:val="00AC3896"/>
    <w:rsid w:val="00AC3F9B"/>
    <w:rsid w:val="00AD7DF7"/>
    <w:rsid w:val="00AF06E1"/>
    <w:rsid w:val="00AF3325"/>
    <w:rsid w:val="00B015B1"/>
    <w:rsid w:val="00B04DE2"/>
    <w:rsid w:val="00B25074"/>
    <w:rsid w:val="00B34CF9"/>
    <w:rsid w:val="00B5204C"/>
    <w:rsid w:val="00B83793"/>
    <w:rsid w:val="00B8709D"/>
    <w:rsid w:val="00B90C45"/>
    <w:rsid w:val="00B933BE"/>
    <w:rsid w:val="00B959B4"/>
    <w:rsid w:val="00BA03DB"/>
    <w:rsid w:val="00BA55D8"/>
    <w:rsid w:val="00BA6C35"/>
    <w:rsid w:val="00BB3CC1"/>
    <w:rsid w:val="00BD7E5E"/>
    <w:rsid w:val="00BE055F"/>
    <w:rsid w:val="00BE6574"/>
    <w:rsid w:val="00BF0D71"/>
    <w:rsid w:val="00BF5932"/>
    <w:rsid w:val="00C0440F"/>
    <w:rsid w:val="00C21099"/>
    <w:rsid w:val="00C43807"/>
    <w:rsid w:val="00C47BD8"/>
    <w:rsid w:val="00C57E2C"/>
    <w:rsid w:val="00C608B7"/>
    <w:rsid w:val="00C62436"/>
    <w:rsid w:val="00C649E9"/>
    <w:rsid w:val="00C66F24"/>
    <w:rsid w:val="00C85E63"/>
    <w:rsid w:val="00C9291E"/>
    <w:rsid w:val="00CA3F44"/>
    <w:rsid w:val="00CA4827"/>
    <w:rsid w:val="00CA4E58"/>
    <w:rsid w:val="00CB3771"/>
    <w:rsid w:val="00CB5137"/>
    <w:rsid w:val="00CB5153"/>
    <w:rsid w:val="00CC1389"/>
    <w:rsid w:val="00CE0CE1"/>
    <w:rsid w:val="00CE2753"/>
    <w:rsid w:val="00CE685A"/>
    <w:rsid w:val="00CF4AAC"/>
    <w:rsid w:val="00D05364"/>
    <w:rsid w:val="00D10BA0"/>
    <w:rsid w:val="00D20741"/>
    <w:rsid w:val="00D225E9"/>
    <w:rsid w:val="00D24EB5"/>
    <w:rsid w:val="00D26CFB"/>
    <w:rsid w:val="00D41571"/>
    <w:rsid w:val="00D416A0"/>
    <w:rsid w:val="00D47672"/>
    <w:rsid w:val="00D5123C"/>
    <w:rsid w:val="00D55560"/>
    <w:rsid w:val="00D55CE4"/>
    <w:rsid w:val="00D572BF"/>
    <w:rsid w:val="00D61C5A"/>
    <w:rsid w:val="00D673AD"/>
    <w:rsid w:val="00D747DB"/>
    <w:rsid w:val="00D82A91"/>
    <w:rsid w:val="00D91B42"/>
    <w:rsid w:val="00DA5CA6"/>
    <w:rsid w:val="00DE66A5"/>
    <w:rsid w:val="00DF2B50"/>
    <w:rsid w:val="00E04C86"/>
    <w:rsid w:val="00E14BA3"/>
    <w:rsid w:val="00E20F30"/>
    <w:rsid w:val="00E21BDB"/>
    <w:rsid w:val="00E262E6"/>
    <w:rsid w:val="00E27BBA"/>
    <w:rsid w:val="00E35E8F"/>
    <w:rsid w:val="00E438E8"/>
    <w:rsid w:val="00E520E2"/>
    <w:rsid w:val="00E64254"/>
    <w:rsid w:val="00E90908"/>
    <w:rsid w:val="00E94518"/>
    <w:rsid w:val="00E953BF"/>
    <w:rsid w:val="00E9783A"/>
    <w:rsid w:val="00EA15B3"/>
    <w:rsid w:val="00EA5DAB"/>
    <w:rsid w:val="00EB2358"/>
    <w:rsid w:val="00EB3EB8"/>
    <w:rsid w:val="00EB5B24"/>
    <w:rsid w:val="00EC16FD"/>
    <w:rsid w:val="00EC282E"/>
    <w:rsid w:val="00EC69FC"/>
    <w:rsid w:val="00ED73BA"/>
    <w:rsid w:val="00ED76AA"/>
    <w:rsid w:val="00EE38B9"/>
    <w:rsid w:val="00EF3C04"/>
    <w:rsid w:val="00F00B7E"/>
    <w:rsid w:val="00F26FBA"/>
    <w:rsid w:val="00F468C5"/>
    <w:rsid w:val="00F50CB6"/>
    <w:rsid w:val="00F52F39"/>
    <w:rsid w:val="00F55EF6"/>
    <w:rsid w:val="00F60EDB"/>
    <w:rsid w:val="00F723FD"/>
    <w:rsid w:val="00F914DD"/>
    <w:rsid w:val="00FA2358"/>
    <w:rsid w:val="00FA6862"/>
    <w:rsid w:val="00FB2592"/>
    <w:rsid w:val="00FB2810"/>
    <w:rsid w:val="00FB6A68"/>
    <w:rsid w:val="00FB6F0B"/>
    <w:rsid w:val="00FC0227"/>
    <w:rsid w:val="00FC2947"/>
    <w:rsid w:val="00FD4423"/>
    <w:rsid w:val="00FD6F62"/>
    <w:rsid w:val="00FE0818"/>
    <w:rsid w:val="00FE537D"/>
    <w:rsid w:val="00FE5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339DF"/>
  <w15:docId w15:val="{FB9B6402-A2C6-4607-B8FF-D55CB00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character" w:customStyle="1" w:styleId="UnresolvedMention1">
    <w:name w:val="Unresolved Mention1"/>
    <w:basedOn w:val="DefaultParagraphFont"/>
    <w:uiPriority w:val="99"/>
    <w:semiHidden/>
    <w:unhideWhenUsed/>
    <w:rsid w:val="006B3F27"/>
    <w:rPr>
      <w:color w:val="605E5C"/>
      <w:shd w:val="clear" w:color="auto" w:fill="E1DFDD"/>
    </w:rPr>
  </w:style>
  <w:style w:type="paragraph" w:styleId="ListParagraph">
    <w:name w:val="List Paragraph"/>
    <w:basedOn w:val="Normal"/>
    <w:link w:val="ListParagraphChar"/>
    <w:uiPriority w:val="34"/>
    <w:qFormat/>
    <w:rsid w:val="00B5204C"/>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character" w:customStyle="1" w:styleId="FootnoteTextChar">
    <w:name w:val="Footnote Text Char"/>
    <w:aliases w:val="ACMA Footnote Text Char"/>
    <w:basedOn w:val="DefaultParagraphFont"/>
    <w:link w:val="FootnoteText"/>
    <w:uiPriority w:val="99"/>
    <w:locked/>
    <w:rsid w:val="00B5204C"/>
    <w:rPr>
      <w:szCs w:val="22"/>
      <w:lang w:val="fr-FR" w:eastAsia="en-US"/>
    </w:rPr>
  </w:style>
  <w:style w:type="paragraph" w:customStyle="1" w:styleId="Char">
    <w:name w:val="Char"/>
    <w:basedOn w:val="Normal"/>
    <w:rsid w:val="005334A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eastAsia="en-GB"/>
    </w:rPr>
  </w:style>
  <w:style w:type="character" w:styleId="FollowedHyperlink">
    <w:name w:val="FollowedHyperlink"/>
    <w:basedOn w:val="DefaultParagraphFont"/>
    <w:semiHidden/>
    <w:unhideWhenUsed/>
    <w:rsid w:val="008A6E3D"/>
    <w:rPr>
      <w:color w:val="800080" w:themeColor="followedHyperlink"/>
      <w:u w:val="single"/>
    </w:rPr>
  </w:style>
  <w:style w:type="character" w:styleId="UnresolvedMention">
    <w:name w:val="Unresolved Mention"/>
    <w:basedOn w:val="DefaultParagraphFont"/>
    <w:uiPriority w:val="99"/>
    <w:semiHidden/>
    <w:unhideWhenUsed/>
    <w:rsid w:val="00712969"/>
    <w:rPr>
      <w:color w:val="605E5C"/>
      <w:shd w:val="clear" w:color="auto" w:fill="E1DFDD"/>
    </w:rPr>
  </w:style>
  <w:style w:type="paragraph" w:styleId="CommentSubject">
    <w:name w:val="annotation subject"/>
    <w:basedOn w:val="CommentText"/>
    <w:next w:val="CommentText"/>
    <w:link w:val="CommentSubjectChar"/>
    <w:semiHidden/>
    <w:unhideWhenUsed/>
    <w:rsid w:val="000666C1"/>
    <w:pPr>
      <w:spacing w:line="240" w:lineRule="auto"/>
    </w:pPr>
    <w:rPr>
      <w:b/>
      <w:bCs/>
      <w:szCs w:val="20"/>
    </w:rPr>
  </w:style>
  <w:style w:type="character" w:customStyle="1" w:styleId="CommentTextChar">
    <w:name w:val="Comment Text Char"/>
    <w:basedOn w:val="DefaultParagraphFont"/>
    <w:link w:val="CommentText"/>
    <w:semiHidden/>
    <w:rsid w:val="000666C1"/>
    <w:rPr>
      <w:szCs w:val="22"/>
      <w:lang w:val="fr-FR" w:eastAsia="en-US"/>
    </w:rPr>
  </w:style>
  <w:style w:type="character" w:customStyle="1" w:styleId="CommentSubjectChar">
    <w:name w:val="Comment Subject Char"/>
    <w:basedOn w:val="CommentTextChar"/>
    <w:link w:val="CommentSubject"/>
    <w:semiHidden/>
    <w:rsid w:val="000666C1"/>
    <w:rPr>
      <w:b/>
      <w:bCs/>
      <w:szCs w:val="22"/>
      <w:lang w:val="fr-FR" w:eastAsia="en-US"/>
    </w:rPr>
  </w:style>
  <w:style w:type="character" w:customStyle="1" w:styleId="ListParagraphChar">
    <w:name w:val="List Paragraph Char"/>
    <w:basedOn w:val="DefaultParagraphFont"/>
    <w:link w:val="ListParagraph"/>
    <w:uiPriority w:val="34"/>
    <w:locked/>
    <w:rsid w:val="00EF3C04"/>
    <w:rPr>
      <w:rFonts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25723">
      <w:bodyDiv w:val="1"/>
      <w:marLeft w:val="0"/>
      <w:marRight w:val="0"/>
      <w:marTop w:val="0"/>
      <w:marBottom w:val="0"/>
      <w:divBdr>
        <w:top w:val="none" w:sz="0" w:space="0" w:color="auto"/>
        <w:left w:val="none" w:sz="0" w:space="0" w:color="auto"/>
        <w:bottom w:val="none" w:sz="0" w:space="0" w:color="auto"/>
        <w:right w:val="none" w:sz="0" w:space="0" w:color="auto"/>
      </w:divBdr>
    </w:div>
    <w:div w:id="302195232">
      <w:bodyDiv w:val="1"/>
      <w:marLeft w:val="0"/>
      <w:marRight w:val="0"/>
      <w:marTop w:val="0"/>
      <w:marBottom w:val="0"/>
      <w:divBdr>
        <w:top w:val="none" w:sz="0" w:space="0" w:color="auto"/>
        <w:left w:val="none" w:sz="0" w:space="0" w:color="auto"/>
        <w:bottom w:val="none" w:sz="0" w:space="0" w:color="auto"/>
        <w:right w:val="none" w:sz="0" w:space="0" w:color="auto"/>
      </w:divBdr>
    </w:div>
    <w:div w:id="353264938">
      <w:bodyDiv w:val="1"/>
      <w:marLeft w:val="0"/>
      <w:marRight w:val="0"/>
      <w:marTop w:val="0"/>
      <w:marBottom w:val="0"/>
      <w:divBdr>
        <w:top w:val="none" w:sz="0" w:space="0" w:color="auto"/>
        <w:left w:val="none" w:sz="0" w:space="0" w:color="auto"/>
        <w:bottom w:val="none" w:sz="0" w:space="0" w:color="auto"/>
        <w:right w:val="none" w:sz="0" w:space="0" w:color="auto"/>
      </w:divBdr>
    </w:div>
    <w:div w:id="383869547">
      <w:bodyDiv w:val="1"/>
      <w:marLeft w:val="0"/>
      <w:marRight w:val="0"/>
      <w:marTop w:val="0"/>
      <w:marBottom w:val="0"/>
      <w:divBdr>
        <w:top w:val="none" w:sz="0" w:space="0" w:color="auto"/>
        <w:left w:val="none" w:sz="0" w:space="0" w:color="auto"/>
        <w:bottom w:val="none" w:sz="0" w:space="0" w:color="auto"/>
        <w:right w:val="none" w:sz="0" w:space="0" w:color="auto"/>
      </w:divBdr>
    </w:div>
    <w:div w:id="400063700">
      <w:bodyDiv w:val="1"/>
      <w:marLeft w:val="0"/>
      <w:marRight w:val="0"/>
      <w:marTop w:val="0"/>
      <w:marBottom w:val="0"/>
      <w:divBdr>
        <w:top w:val="none" w:sz="0" w:space="0" w:color="auto"/>
        <w:left w:val="none" w:sz="0" w:space="0" w:color="auto"/>
        <w:bottom w:val="none" w:sz="0" w:space="0" w:color="auto"/>
        <w:right w:val="none" w:sz="0" w:space="0" w:color="auto"/>
      </w:divBdr>
    </w:div>
    <w:div w:id="463695743">
      <w:bodyDiv w:val="1"/>
      <w:marLeft w:val="0"/>
      <w:marRight w:val="0"/>
      <w:marTop w:val="0"/>
      <w:marBottom w:val="0"/>
      <w:divBdr>
        <w:top w:val="none" w:sz="0" w:space="0" w:color="auto"/>
        <w:left w:val="none" w:sz="0" w:space="0" w:color="auto"/>
        <w:bottom w:val="none" w:sz="0" w:space="0" w:color="auto"/>
        <w:right w:val="none" w:sz="0" w:space="0" w:color="auto"/>
      </w:divBdr>
    </w:div>
    <w:div w:id="479736530">
      <w:bodyDiv w:val="1"/>
      <w:marLeft w:val="0"/>
      <w:marRight w:val="0"/>
      <w:marTop w:val="0"/>
      <w:marBottom w:val="0"/>
      <w:divBdr>
        <w:top w:val="none" w:sz="0" w:space="0" w:color="auto"/>
        <w:left w:val="none" w:sz="0" w:space="0" w:color="auto"/>
        <w:bottom w:val="none" w:sz="0" w:space="0" w:color="auto"/>
        <w:right w:val="none" w:sz="0" w:space="0" w:color="auto"/>
      </w:divBdr>
    </w:div>
    <w:div w:id="493035523">
      <w:bodyDiv w:val="1"/>
      <w:marLeft w:val="0"/>
      <w:marRight w:val="0"/>
      <w:marTop w:val="0"/>
      <w:marBottom w:val="0"/>
      <w:divBdr>
        <w:top w:val="none" w:sz="0" w:space="0" w:color="auto"/>
        <w:left w:val="none" w:sz="0" w:space="0" w:color="auto"/>
        <w:bottom w:val="none" w:sz="0" w:space="0" w:color="auto"/>
        <w:right w:val="none" w:sz="0" w:space="0" w:color="auto"/>
      </w:divBdr>
    </w:div>
    <w:div w:id="607784668">
      <w:bodyDiv w:val="1"/>
      <w:marLeft w:val="0"/>
      <w:marRight w:val="0"/>
      <w:marTop w:val="0"/>
      <w:marBottom w:val="0"/>
      <w:divBdr>
        <w:top w:val="none" w:sz="0" w:space="0" w:color="auto"/>
        <w:left w:val="none" w:sz="0" w:space="0" w:color="auto"/>
        <w:bottom w:val="none" w:sz="0" w:space="0" w:color="auto"/>
        <w:right w:val="none" w:sz="0" w:space="0" w:color="auto"/>
      </w:divBdr>
    </w:div>
    <w:div w:id="804005238">
      <w:bodyDiv w:val="1"/>
      <w:marLeft w:val="0"/>
      <w:marRight w:val="0"/>
      <w:marTop w:val="0"/>
      <w:marBottom w:val="0"/>
      <w:divBdr>
        <w:top w:val="none" w:sz="0" w:space="0" w:color="auto"/>
        <w:left w:val="none" w:sz="0" w:space="0" w:color="auto"/>
        <w:bottom w:val="none" w:sz="0" w:space="0" w:color="auto"/>
        <w:right w:val="none" w:sz="0" w:space="0" w:color="auto"/>
      </w:divBdr>
    </w:div>
    <w:div w:id="812911071">
      <w:bodyDiv w:val="1"/>
      <w:marLeft w:val="0"/>
      <w:marRight w:val="0"/>
      <w:marTop w:val="0"/>
      <w:marBottom w:val="0"/>
      <w:divBdr>
        <w:top w:val="none" w:sz="0" w:space="0" w:color="auto"/>
        <w:left w:val="none" w:sz="0" w:space="0" w:color="auto"/>
        <w:bottom w:val="none" w:sz="0" w:space="0" w:color="auto"/>
        <w:right w:val="none" w:sz="0" w:space="0" w:color="auto"/>
      </w:divBdr>
    </w:div>
    <w:div w:id="1019510184">
      <w:bodyDiv w:val="1"/>
      <w:marLeft w:val="0"/>
      <w:marRight w:val="0"/>
      <w:marTop w:val="0"/>
      <w:marBottom w:val="0"/>
      <w:divBdr>
        <w:top w:val="none" w:sz="0" w:space="0" w:color="auto"/>
        <w:left w:val="none" w:sz="0" w:space="0" w:color="auto"/>
        <w:bottom w:val="none" w:sz="0" w:space="0" w:color="auto"/>
        <w:right w:val="none" w:sz="0" w:space="0" w:color="auto"/>
      </w:divBdr>
    </w:div>
    <w:div w:id="1025517546">
      <w:bodyDiv w:val="1"/>
      <w:marLeft w:val="0"/>
      <w:marRight w:val="0"/>
      <w:marTop w:val="0"/>
      <w:marBottom w:val="0"/>
      <w:divBdr>
        <w:top w:val="none" w:sz="0" w:space="0" w:color="auto"/>
        <w:left w:val="none" w:sz="0" w:space="0" w:color="auto"/>
        <w:bottom w:val="none" w:sz="0" w:space="0" w:color="auto"/>
        <w:right w:val="none" w:sz="0" w:space="0" w:color="auto"/>
      </w:divBdr>
    </w:div>
    <w:div w:id="1143351871">
      <w:bodyDiv w:val="1"/>
      <w:marLeft w:val="0"/>
      <w:marRight w:val="0"/>
      <w:marTop w:val="0"/>
      <w:marBottom w:val="0"/>
      <w:divBdr>
        <w:top w:val="none" w:sz="0" w:space="0" w:color="auto"/>
        <w:left w:val="none" w:sz="0" w:space="0" w:color="auto"/>
        <w:bottom w:val="none" w:sz="0" w:space="0" w:color="auto"/>
        <w:right w:val="none" w:sz="0" w:space="0" w:color="auto"/>
      </w:divBdr>
    </w:div>
    <w:div w:id="1184594156">
      <w:bodyDiv w:val="1"/>
      <w:marLeft w:val="0"/>
      <w:marRight w:val="0"/>
      <w:marTop w:val="0"/>
      <w:marBottom w:val="0"/>
      <w:divBdr>
        <w:top w:val="none" w:sz="0" w:space="0" w:color="auto"/>
        <w:left w:val="none" w:sz="0" w:space="0" w:color="auto"/>
        <w:bottom w:val="none" w:sz="0" w:space="0" w:color="auto"/>
        <w:right w:val="none" w:sz="0" w:space="0" w:color="auto"/>
      </w:divBdr>
    </w:div>
    <w:div w:id="1185090529">
      <w:bodyDiv w:val="1"/>
      <w:marLeft w:val="0"/>
      <w:marRight w:val="0"/>
      <w:marTop w:val="0"/>
      <w:marBottom w:val="0"/>
      <w:divBdr>
        <w:top w:val="none" w:sz="0" w:space="0" w:color="auto"/>
        <w:left w:val="none" w:sz="0" w:space="0" w:color="auto"/>
        <w:bottom w:val="none" w:sz="0" w:space="0" w:color="auto"/>
        <w:right w:val="none" w:sz="0" w:space="0" w:color="auto"/>
      </w:divBdr>
    </w:div>
    <w:div w:id="1247884624">
      <w:bodyDiv w:val="1"/>
      <w:marLeft w:val="0"/>
      <w:marRight w:val="0"/>
      <w:marTop w:val="0"/>
      <w:marBottom w:val="0"/>
      <w:divBdr>
        <w:top w:val="none" w:sz="0" w:space="0" w:color="auto"/>
        <w:left w:val="none" w:sz="0" w:space="0" w:color="auto"/>
        <w:bottom w:val="none" w:sz="0" w:space="0" w:color="auto"/>
        <w:right w:val="none" w:sz="0" w:space="0" w:color="auto"/>
      </w:divBdr>
    </w:div>
    <w:div w:id="1253080049">
      <w:bodyDiv w:val="1"/>
      <w:marLeft w:val="0"/>
      <w:marRight w:val="0"/>
      <w:marTop w:val="0"/>
      <w:marBottom w:val="0"/>
      <w:divBdr>
        <w:top w:val="none" w:sz="0" w:space="0" w:color="auto"/>
        <w:left w:val="none" w:sz="0" w:space="0" w:color="auto"/>
        <w:bottom w:val="none" w:sz="0" w:space="0" w:color="auto"/>
        <w:right w:val="none" w:sz="0" w:space="0" w:color="auto"/>
      </w:divBdr>
    </w:div>
    <w:div w:id="1623420204">
      <w:bodyDiv w:val="1"/>
      <w:marLeft w:val="0"/>
      <w:marRight w:val="0"/>
      <w:marTop w:val="0"/>
      <w:marBottom w:val="0"/>
      <w:divBdr>
        <w:top w:val="none" w:sz="0" w:space="0" w:color="auto"/>
        <w:left w:val="none" w:sz="0" w:space="0" w:color="auto"/>
        <w:bottom w:val="none" w:sz="0" w:space="0" w:color="auto"/>
        <w:right w:val="none" w:sz="0" w:space="0" w:color="auto"/>
      </w:divBdr>
    </w:div>
    <w:div w:id="1921862256">
      <w:bodyDiv w:val="1"/>
      <w:marLeft w:val="0"/>
      <w:marRight w:val="0"/>
      <w:marTop w:val="0"/>
      <w:marBottom w:val="0"/>
      <w:divBdr>
        <w:top w:val="none" w:sz="0" w:space="0" w:color="auto"/>
        <w:left w:val="none" w:sz="0" w:space="0" w:color="auto"/>
        <w:bottom w:val="none" w:sz="0" w:space="0" w:color="auto"/>
        <w:right w:val="none" w:sz="0" w:space="0" w:color="auto"/>
      </w:divBdr>
    </w:div>
    <w:div w:id="2035035965">
      <w:bodyDiv w:val="1"/>
      <w:marLeft w:val="0"/>
      <w:marRight w:val="0"/>
      <w:marTop w:val="0"/>
      <w:marBottom w:val="0"/>
      <w:divBdr>
        <w:top w:val="none" w:sz="0" w:space="0" w:color="auto"/>
        <w:left w:val="none" w:sz="0" w:space="0" w:color="auto"/>
        <w:bottom w:val="none" w:sz="0" w:space="0" w:color="auto"/>
        <w:right w:val="none" w:sz="0" w:space="0" w:color="auto"/>
      </w:divBdr>
    </w:div>
    <w:div w:id="210777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council/2020/Pages/default.aspx" TargetMode="External"/><Relationship Id="rId18" Type="http://schemas.openxmlformats.org/officeDocument/2006/relationships/hyperlink" Target="https://www.itu.int/md/S20-CL-C-0068/en" TargetMode="External"/><Relationship Id="rId26" Type="http://schemas.openxmlformats.org/officeDocument/2006/relationships/hyperlink" Target="https://www.itu.int/md/S20-CL-C-0060/en" TargetMode="External"/><Relationship Id="rId39" Type="http://schemas.openxmlformats.org/officeDocument/2006/relationships/hyperlink" Target="https://www.itu.int/md/S20-CL-C-0008/en" TargetMode="External"/><Relationship Id="rId21" Type="http://schemas.openxmlformats.org/officeDocument/2006/relationships/hyperlink" Target="https://www.itu.int/md/S20-CL-C-0049/en" TargetMode="External"/><Relationship Id="rId34" Type="http://schemas.openxmlformats.org/officeDocument/2006/relationships/hyperlink" Target="https://www.itu.int/md/S20-CL-C-0044/en" TargetMode="External"/><Relationship Id="rId42" Type="http://schemas.openxmlformats.org/officeDocument/2006/relationships/hyperlink" Target="https://www.itu.int/md/S20-CL-C-0012/en" TargetMode="External"/><Relationship Id="rId47" Type="http://schemas.openxmlformats.org/officeDocument/2006/relationships/hyperlink" Target="https://www.itu.int/md/S20-CL-C-0011/en" TargetMode="External"/><Relationship Id="rId50" Type="http://schemas.openxmlformats.org/officeDocument/2006/relationships/hyperlink" Target="https://www.itu.int/md/S20-CL-C-0064/en" TargetMode="External"/><Relationship Id="rId55" Type="http://schemas.openxmlformats.org/officeDocument/2006/relationships/hyperlink" Target="https://www.itu.int/md/S20-CL-C-0065/en" TargetMode="External"/><Relationship Id="rId63" Type="http://schemas.openxmlformats.org/officeDocument/2006/relationships/hyperlink" Target="https://www.itu.int/md/S20-CL-C-0028/en" TargetMode="External"/><Relationship Id="rId68" Type="http://schemas.openxmlformats.org/officeDocument/2006/relationships/hyperlink" Target="https://www.itu.int/md/S20-CLVC-C-0003/en" TargetMode="External"/><Relationship Id="rId76" Type="http://schemas.openxmlformats.org/officeDocument/2006/relationships/hyperlink" Target="https://www.itu.int/md/S20-CL-C-0058/en" TargetMode="External"/><Relationship Id="rId84" Type="http://schemas.openxmlformats.org/officeDocument/2006/relationships/hyperlink" Target="https://www.itu.int/md/S20-CL-C-0054/en"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itu.int/md/S20-CL-C-0009/en"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0-CL-C-0021/en" TargetMode="External"/><Relationship Id="rId29" Type="http://schemas.openxmlformats.org/officeDocument/2006/relationships/hyperlink" Target="https://www.itu.int/md/S20-CL-C-0037/en" TargetMode="External"/><Relationship Id="rId11" Type="http://schemas.openxmlformats.org/officeDocument/2006/relationships/hyperlink" Target="mailto:remote.participation@itu.int" TargetMode="External"/><Relationship Id="rId24" Type="http://schemas.openxmlformats.org/officeDocument/2006/relationships/hyperlink" Target="https://www.itu.int/md/S20-CL-C-0029/en" TargetMode="External"/><Relationship Id="rId32" Type="http://schemas.openxmlformats.org/officeDocument/2006/relationships/hyperlink" Target="https://www.itu.int/md/S20-CL-C-0005/en" TargetMode="External"/><Relationship Id="rId37" Type="http://schemas.openxmlformats.org/officeDocument/2006/relationships/hyperlink" Target="https://www.itu.int/md/S20-CLVC-C-0002/en" TargetMode="External"/><Relationship Id="rId40" Type="http://schemas.openxmlformats.org/officeDocument/2006/relationships/hyperlink" Target="https://www.itu.int/md/S20-CL-C-0051/en" TargetMode="External"/><Relationship Id="rId45" Type="http://schemas.openxmlformats.org/officeDocument/2006/relationships/hyperlink" Target="https://www.itu.int/md/S20-CL-C-0019/en" TargetMode="External"/><Relationship Id="rId53" Type="http://schemas.openxmlformats.org/officeDocument/2006/relationships/hyperlink" Target="https://www.itu.int/md/S20-CL-C-0053/en" TargetMode="External"/><Relationship Id="rId58" Type="http://schemas.openxmlformats.org/officeDocument/2006/relationships/hyperlink" Target="https://www.itu.int/md/S20-CL-C-0036/en" TargetMode="External"/><Relationship Id="rId66" Type="http://schemas.openxmlformats.org/officeDocument/2006/relationships/hyperlink" Target="https://www.itu.int/md/S20-CL-C-0035/en" TargetMode="External"/><Relationship Id="rId74" Type="http://schemas.openxmlformats.org/officeDocument/2006/relationships/hyperlink" Target="https://www.itu.int/md/S20-CL-C-0015/en" TargetMode="External"/><Relationship Id="rId79" Type="http://schemas.openxmlformats.org/officeDocument/2006/relationships/hyperlink" Target="https://www.itu.int/md/S20-CL-C-0046/en" TargetMode="External"/><Relationship Id="rId87" Type="http://schemas.openxmlformats.org/officeDocument/2006/relationships/hyperlink" Target="mailto:contributions@itu.int" TargetMode="External"/><Relationship Id="rId5" Type="http://schemas.openxmlformats.org/officeDocument/2006/relationships/webSettings" Target="webSettings.xml"/><Relationship Id="rId61" Type="http://schemas.openxmlformats.org/officeDocument/2006/relationships/hyperlink" Target="https://www.itu.int/md/S20-CL-C-0006/en" TargetMode="External"/><Relationship Id="rId82" Type="http://schemas.openxmlformats.org/officeDocument/2006/relationships/hyperlink" Target="https://www.itu.int/md/S20-CL-C-0043/en" TargetMode="External"/><Relationship Id="rId90" Type="http://schemas.openxmlformats.org/officeDocument/2006/relationships/header" Target="header2.xml"/><Relationship Id="rId19" Type="http://schemas.openxmlformats.org/officeDocument/2006/relationships/hyperlink" Target="https://www.itu.int/md/S20-CL-C-0050/en" TargetMode="External"/><Relationship Id="rId14" Type="http://schemas.openxmlformats.org/officeDocument/2006/relationships/hyperlink" Target="mailto:sg-registration@itu.int" TargetMode="External"/><Relationship Id="rId22" Type="http://schemas.openxmlformats.org/officeDocument/2006/relationships/hyperlink" Target="https://www.itu.int/md/S20-CL-C-0042/en" TargetMode="External"/><Relationship Id="rId27" Type="http://schemas.openxmlformats.org/officeDocument/2006/relationships/hyperlink" Target="https://www.itu.int/md/S20-CLVC-C-0008/en" TargetMode="External"/><Relationship Id="rId30" Type="http://schemas.openxmlformats.org/officeDocument/2006/relationships/hyperlink" Target="https://www.itu.int/md/S20-CL-C-0024/en" TargetMode="External"/><Relationship Id="rId35" Type="http://schemas.openxmlformats.org/officeDocument/2006/relationships/hyperlink" Target="https://www.itu.int/md/S20-CL-C-0014/en" TargetMode="External"/><Relationship Id="rId43" Type="http://schemas.openxmlformats.org/officeDocument/2006/relationships/hyperlink" Target="https://www.itu.int/md/S20-CL-C-0067/en" TargetMode="External"/><Relationship Id="rId48" Type="http://schemas.openxmlformats.org/officeDocument/2006/relationships/hyperlink" Target="https://www.itu.int/md/S20-CL-C-0039/en" TargetMode="External"/><Relationship Id="rId56" Type="http://schemas.openxmlformats.org/officeDocument/2006/relationships/hyperlink" Target="https://www.itu.int/md/S20-CLVC-C-0012/en" TargetMode="External"/><Relationship Id="rId64" Type="http://schemas.openxmlformats.org/officeDocument/2006/relationships/hyperlink" Target="https://www.itu.int/md/S20-CL-C-0013/en" TargetMode="External"/><Relationship Id="rId69" Type="http://schemas.openxmlformats.org/officeDocument/2006/relationships/hyperlink" Target="https://www.itu.int/md/S20-CLVC-C-0014/en" TargetMode="External"/><Relationship Id="rId77" Type="http://schemas.openxmlformats.org/officeDocument/2006/relationships/hyperlink" Target="https://www.itu.int/md/S20-CL-C-0052/en" TargetMode="External"/><Relationship Id="rId8" Type="http://schemas.openxmlformats.org/officeDocument/2006/relationships/hyperlink" Target="mailto:gbs@itu.int" TargetMode="External"/><Relationship Id="rId51" Type="http://schemas.openxmlformats.org/officeDocument/2006/relationships/hyperlink" Target="https://www.itu.int/md/S20-CL-C-0059/en" TargetMode="External"/><Relationship Id="rId72" Type="http://schemas.openxmlformats.org/officeDocument/2006/relationships/hyperlink" Target="https://www.itu.int/md/S20-CL-C-0020/en" TargetMode="External"/><Relationship Id="rId80" Type="http://schemas.openxmlformats.org/officeDocument/2006/relationships/hyperlink" Target="https://www.itu.int/md/S20-CL-C-0038/en" TargetMode="External"/><Relationship Id="rId85" Type="http://schemas.openxmlformats.org/officeDocument/2006/relationships/hyperlink" Target="https://www.itu.int/md/S20-CL-C-0031/en" TargetMode="External"/><Relationship Id="rId93"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mailto:contributions@itu.int" TargetMode="External"/><Relationship Id="rId17" Type="http://schemas.openxmlformats.org/officeDocument/2006/relationships/hyperlink" Target="https://www.itu.int/md/S20-CL-C-0017/en" TargetMode="External"/><Relationship Id="rId25" Type="http://schemas.openxmlformats.org/officeDocument/2006/relationships/hyperlink" Target="https://www.itu.int/md/S20-CL-C-0048/en" TargetMode="External"/><Relationship Id="rId33" Type="http://schemas.openxmlformats.org/officeDocument/2006/relationships/hyperlink" Target="https://www.itu.int/md/S20-CL-C-0030/en" TargetMode="External"/><Relationship Id="rId38" Type="http://schemas.openxmlformats.org/officeDocument/2006/relationships/hyperlink" Target="https://www.itu.int/md/S20-CLVC-C-0010/en" TargetMode="External"/><Relationship Id="rId46" Type="http://schemas.openxmlformats.org/officeDocument/2006/relationships/hyperlink" Target="https://www.itu.int/md/S20-CL-C-0063/en" TargetMode="External"/><Relationship Id="rId59" Type="http://schemas.openxmlformats.org/officeDocument/2006/relationships/hyperlink" Target="https://www.itu.int/md/S20-CL-C-0026/en" TargetMode="External"/><Relationship Id="rId67" Type="http://schemas.openxmlformats.org/officeDocument/2006/relationships/hyperlink" Target="https://www.itu.int/md/S20-CL-C-0062/en" TargetMode="External"/><Relationship Id="rId20" Type="http://schemas.openxmlformats.org/officeDocument/2006/relationships/hyperlink" Target="https://www.itu.int/md/S20-CL-C-0022/en" TargetMode="External"/><Relationship Id="rId41" Type="http://schemas.openxmlformats.org/officeDocument/2006/relationships/hyperlink" Target="https://www.itu.int/md/S20-CL-C-0057/en" TargetMode="External"/><Relationship Id="rId54" Type="http://schemas.openxmlformats.org/officeDocument/2006/relationships/hyperlink" Target="https://www.itu.int/md/S20-CL-C-0033/en" TargetMode="External"/><Relationship Id="rId62" Type="http://schemas.openxmlformats.org/officeDocument/2006/relationships/hyperlink" Target="https://www.itu.int/md/S20-CL-INF-0002/en" TargetMode="External"/><Relationship Id="rId70" Type="http://schemas.openxmlformats.org/officeDocument/2006/relationships/hyperlink" Target="https://www.itu.int/md/S20-CL-C-0003/en" TargetMode="External"/><Relationship Id="rId75" Type="http://schemas.openxmlformats.org/officeDocument/2006/relationships/hyperlink" Target="https://www.itu.int/md/S20-CL-C-0045/en" TargetMode="External"/><Relationship Id="rId83" Type="http://schemas.openxmlformats.org/officeDocument/2006/relationships/hyperlink" Target="https://www.itu.int/md/S20-CL-C-0056/en" TargetMode="External"/><Relationship Id="rId88" Type="http://schemas.openxmlformats.org/officeDocument/2006/relationships/hyperlink" Target="https://www.itu.int/online/mm/scripts/s/gensel21?_lang=&amp;_event=C-00007451&amp;_event_type="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emote.participation@itu.int" TargetMode="External"/><Relationship Id="rId23" Type="http://schemas.openxmlformats.org/officeDocument/2006/relationships/hyperlink" Target="https://www.itu.int/md/S20-CL-C-0007/en" TargetMode="External"/><Relationship Id="rId28" Type="http://schemas.openxmlformats.org/officeDocument/2006/relationships/hyperlink" Target="https://www.itu.int/md/S20-CL-C-0023/en" TargetMode="External"/><Relationship Id="rId36" Type="http://schemas.openxmlformats.org/officeDocument/2006/relationships/hyperlink" Target="https://www.itu.int/md/S20-CLVC-C-0013/en" TargetMode="External"/><Relationship Id="rId49" Type="http://schemas.openxmlformats.org/officeDocument/2006/relationships/hyperlink" Target="https://www.itu.int/md/S20-CL-C-0025/en" TargetMode="External"/><Relationship Id="rId57" Type="http://schemas.openxmlformats.org/officeDocument/2006/relationships/hyperlink" Target="https://www.itu.int/md/S20-CL-C-0018/en" TargetMode="External"/><Relationship Id="rId10" Type="http://schemas.openxmlformats.org/officeDocument/2006/relationships/hyperlink" Target="mailto:sg-registration@itu.int" TargetMode="External"/><Relationship Id="rId31" Type="http://schemas.openxmlformats.org/officeDocument/2006/relationships/hyperlink" Target="https://www.itu.int/md/S20-CL-C-0072/en" TargetMode="External"/><Relationship Id="rId44" Type="http://schemas.openxmlformats.org/officeDocument/2006/relationships/hyperlink" Target="https://www.itu.int/md/S20-CL-C-0010/en" TargetMode="External"/><Relationship Id="rId52" Type="http://schemas.openxmlformats.org/officeDocument/2006/relationships/hyperlink" Target="https://www.itu.int/md/S20-CL-C-0061/en" TargetMode="External"/><Relationship Id="rId60" Type="http://schemas.openxmlformats.org/officeDocument/2006/relationships/hyperlink" Target="https://www.itu.int/md/S20-CLVC-C-0004/en" TargetMode="External"/><Relationship Id="rId65" Type="http://schemas.openxmlformats.org/officeDocument/2006/relationships/hyperlink" Target="https://www.itu.int/md/S20-CL-C-0004/en" TargetMode="External"/><Relationship Id="rId73" Type="http://schemas.openxmlformats.org/officeDocument/2006/relationships/hyperlink" Target="https://www.itu.int/md/S20-CL-C-0047/en" TargetMode="External"/><Relationship Id="rId78" Type="http://schemas.openxmlformats.org/officeDocument/2006/relationships/hyperlink" Target="https://www.itu.int/md/S20-CL-C-0034/en" TargetMode="External"/><Relationship Id="rId81" Type="http://schemas.openxmlformats.org/officeDocument/2006/relationships/hyperlink" Target="https://www.itu.int/md/S20-CL-C-0032/en" TargetMode="External"/><Relationship Id="rId86" Type="http://schemas.openxmlformats.org/officeDocument/2006/relationships/image" Target="media/image1.jpeg"/><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DM-CIR-0101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91E1F4E630405D87ED20F3F7AB3E34"/>
        <w:category>
          <w:name w:val="General"/>
          <w:gallery w:val="placeholder"/>
        </w:category>
        <w:types>
          <w:type w:val="bbPlcHdr"/>
        </w:types>
        <w:behaviors>
          <w:behavior w:val="content"/>
        </w:behaviors>
        <w:guid w:val="{13BEB421-550D-4D4F-8128-EF320C03D487}"/>
      </w:docPartPr>
      <w:docPartBody>
        <w:p w:rsidR="002D06D8" w:rsidRDefault="00131EAE" w:rsidP="00131EAE">
          <w:pPr>
            <w:pStyle w:val="0E91E1F4E630405D87ED20F3F7AB3E3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1EAE"/>
    <w:rsid w:val="00131EAE"/>
    <w:rsid w:val="002D06D8"/>
    <w:rsid w:val="00370418"/>
    <w:rsid w:val="00532B1A"/>
    <w:rsid w:val="00770226"/>
    <w:rsid w:val="009406C0"/>
    <w:rsid w:val="009550FE"/>
    <w:rsid w:val="00A9061B"/>
    <w:rsid w:val="00B5726A"/>
    <w:rsid w:val="00C934FB"/>
    <w:rsid w:val="00F607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EAE"/>
    <w:rPr>
      <w:color w:val="808080"/>
    </w:rPr>
  </w:style>
  <w:style w:type="paragraph" w:customStyle="1" w:styleId="E7E22F2BA5CF40C7AD07679A067118C2">
    <w:name w:val="E7E22F2BA5CF40C7AD07679A067118C2"/>
    <w:rsid w:val="00B5726A"/>
  </w:style>
  <w:style w:type="paragraph" w:customStyle="1" w:styleId="0E91E1F4E630405D87ED20F3F7AB3E34">
    <w:name w:val="0E91E1F4E630405D87ED20F3F7AB3E34"/>
    <w:rsid w:val="00131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E8CF7-DED9-443E-A6EF-B63F4B1D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3775</Words>
  <Characters>21521</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 Letter-Fax (French)</vt:lpstr>
    </vt:vector>
  </TitlesOfParts>
  <Company>ITU</Company>
  <LinksUpToDate>false</LinksUpToDate>
  <CharactersWithSpaces>25246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Chanavat, Emilie</dc:creator>
  <cp:lastModifiedBy>Thioulouse, Guylaine</cp:lastModifiedBy>
  <cp:revision>2</cp:revision>
  <cp:lastPrinted>2010-01-19T09:33:00Z</cp:lastPrinted>
  <dcterms:created xsi:type="dcterms:W3CDTF">2020-09-16T08:15:00Z</dcterms:created>
  <dcterms:modified xsi:type="dcterms:W3CDTF">2020-09-16T08:15:00Z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