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3476DD" w:rsidRPr="00B84886" w14:paraId="5FC73160" w14:textId="77777777" w:rsidTr="009A0059">
        <w:tc>
          <w:tcPr>
            <w:tcW w:w="9889" w:type="dxa"/>
            <w:gridSpan w:val="4"/>
            <w:shd w:val="clear" w:color="auto" w:fill="auto"/>
          </w:tcPr>
          <w:p w14:paraId="5C5263B0" w14:textId="77777777" w:rsidR="003476DD" w:rsidRPr="00B84886" w:rsidRDefault="000A249C" w:rsidP="00143F07">
            <w:pPr>
              <w:spacing w:line="240" w:lineRule="auto"/>
              <w:jc w:val="left"/>
              <w:rPr>
                <w:rFonts w:cs="Times New Roman Bold"/>
                <w:b/>
                <w:bCs/>
                <w:color w:val="808080"/>
                <w:sz w:val="28"/>
                <w:szCs w:val="28"/>
              </w:rPr>
            </w:pPr>
            <w:bookmarkStart w:id="0" w:name="Origine"/>
            <w:bookmarkEnd w:id="0"/>
            <w:r w:rsidRPr="00B84886">
              <w:rPr>
                <w:rFonts w:cs="Times New Roman Bold"/>
                <w:b/>
                <w:bCs/>
                <w:color w:val="808080"/>
                <w:sz w:val="28"/>
                <w:szCs w:val="28"/>
              </w:rPr>
              <w:t>Secrétariat général (SG)</w:t>
            </w:r>
          </w:p>
        </w:tc>
      </w:tr>
      <w:tr w:rsidR="003476DD" w:rsidRPr="00B84886" w14:paraId="51E9133F" w14:textId="77777777" w:rsidTr="009A0059">
        <w:tc>
          <w:tcPr>
            <w:tcW w:w="9889" w:type="dxa"/>
            <w:gridSpan w:val="4"/>
            <w:shd w:val="clear" w:color="auto" w:fill="auto"/>
          </w:tcPr>
          <w:p w14:paraId="77BE12ED" w14:textId="77777777" w:rsidR="003476DD" w:rsidRPr="00B84886" w:rsidRDefault="003476DD" w:rsidP="00143F07">
            <w:pPr>
              <w:spacing w:line="240" w:lineRule="auto"/>
              <w:jc w:val="left"/>
            </w:pPr>
          </w:p>
        </w:tc>
      </w:tr>
      <w:tr w:rsidR="003476DD" w:rsidRPr="00B84886" w14:paraId="3050C261" w14:textId="77777777" w:rsidTr="009A0059">
        <w:tc>
          <w:tcPr>
            <w:tcW w:w="5353" w:type="dxa"/>
            <w:gridSpan w:val="3"/>
            <w:shd w:val="clear" w:color="auto" w:fill="auto"/>
          </w:tcPr>
          <w:p w14:paraId="7594292E" w14:textId="77777777" w:rsidR="003476DD" w:rsidRPr="00B84886" w:rsidRDefault="003476DD" w:rsidP="00143F07">
            <w:pPr>
              <w:spacing w:line="240" w:lineRule="auto"/>
              <w:jc w:val="left"/>
            </w:pPr>
          </w:p>
        </w:tc>
        <w:tc>
          <w:tcPr>
            <w:tcW w:w="4536" w:type="dxa"/>
            <w:shd w:val="clear" w:color="auto" w:fill="auto"/>
          </w:tcPr>
          <w:p w14:paraId="4FFCCCFC" w14:textId="512A21C0" w:rsidR="003476DD" w:rsidRPr="00B84886" w:rsidRDefault="000A249C" w:rsidP="00143F07">
            <w:pPr>
              <w:spacing w:line="240" w:lineRule="auto"/>
              <w:ind w:right="57"/>
              <w:jc w:val="left"/>
            </w:pPr>
            <w:r w:rsidRPr="00B84886">
              <w:t xml:space="preserve">Genève, le </w:t>
            </w:r>
            <w:r w:rsidR="000975AD" w:rsidRPr="00B84886">
              <w:rPr>
                <w:rFonts w:cs="Arial"/>
              </w:rPr>
              <w:t xml:space="preserve">26 juin </w:t>
            </w:r>
            <w:r w:rsidR="003B10D9" w:rsidRPr="00B84886">
              <w:rPr>
                <w:rFonts w:cs="Arial"/>
              </w:rPr>
              <w:t>2020</w:t>
            </w:r>
          </w:p>
        </w:tc>
      </w:tr>
      <w:tr w:rsidR="00757B2B" w:rsidRPr="00B84886" w14:paraId="4E1771CD" w14:textId="77777777" w:rsidTr="00757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53DCD1F" w14:textId="77777777" w:rsidR="00757B2B" w:rsidRPr="00B84886" w:rsidRDefault="000A249C" w:rsidP="00143F07">
            <w:pPr>
              <w:spacing w:before="0" w:line="240" w:lineRule="auto"/>
              <w:jc w:val="left"/>
            </w:pPr>
            <w:r w:rsidRPr="00B84886">
              <w:t>Réf.:</w:t>
            </w:r>
          </w:p>
        </w:tc>
        <w:tc>
          <w:tcPr>
            <w:tcW w:w="3827" w:type="dxa"/>
            <w:gridSpan w:val="2"/>
            <w:tcBorders>
              <w:top w:val="nil"/>
              <w:left w:val="nil"/>
              <w:bottom w:val="nil"/>
              <w:right w:val="nil"/>
            </w:tcBorders>
            <w:shd w:val="clear" w:color="auto" w:fill="auto"/>
          </w:tcPr>
          <w:p w14:paraId="4EF2D57C" w14:textId="585D9E16" w:rsidR="00757B2B" w:rsidRPr="00B84886" w:rsidRDefault="003B10D9" w:rsidP="00143F07">
            <w:pPr>
              <w:spacing w:before="0" w:line="240" w:lineRule="auto"/>
              <w:jc w:val="left"/>
              <w:rPr>
                <w:b/>
                <w:bCs/>
              </w:rPr>
            </w:pPr>
            <w:r w:rsidRPr="00B84886">
              <w:rPr>
                <w:b/>
                <w:bCs/>
              </w:rPr>
              <w:t>DM-20/</w:t>
            </w:r>
            <w:r w:rsidR="000975AD" w:rsidRPr="00B84886">
              <w:rPr>
                <w:b/>
                <w:bCs/>
              </w:rPr>
              <w:t>1009</w:t>
            </w:r>
          </w:p>
        </w:tc>
        <w:tc>
          <w:tcPr>
            <w:tcW w:w="4536" w:type="dxa"/>
            <w:tcBorders>
              <w:top w:val="nil"/>
              <w:left w:val="nil"/>
              <w:bottom w:val="nil"/>
              <w:right w:val="nil"/>
            </w:tcBorders>
            <w:shd w:val="clear" w:color="auto" w:fill="auto"/>
          </w:tcPr>
          <w:p w14:paraId="54F4CADD" w14:textId="77777777" w:rsidR="00757B2B" w:rsidRPr="00B84886" w:rsidRDefault="00757B2B" w:rsidP="00143F07">
            <w:pPr>
              <w:spacing w:before="0" w:line="240" w:lineRule="auto"/>
              <w:jc w:val="left"/>
            </w:pPr>
          </w:p>
        </w:tc>
      </w:tr>
      <w:tr w:rsidR="003476DD" w:rsidRPr="00B84886" w14:paraId="7D6AE4F4"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475A66D" w14:textId="77777777" w:rsidR="003476DD" w:rsidRPr="00B84886" w:rsidRDefault="000A249C" w:rsidP="00143F07">
            <w:pPr>
              <w:spacing w:before="0" w:line="240" w:lineRule="auto"/>
              <w:jc w:val="left"/>
              <w:rPr>
                <w:iCs/>
                <w:color w:val="FFFFFF" w:themeColor="background1"/>
              </w:rPr>
            </w:pPr>
            <w:r w:rsidRPr="00B84886">
              <w:rPr>
                <w:iCs/>
              </w:rPr>
              <w:t>Contact:</w:t>
            </w:r>
          </w:p>
        </w:tc>
        <w:tc>
          <w:tcPr>
            <w:tcW w:w="3543" w:type="dxa"/>
            <w:tcBorders>
              <w:top w:val="nil"/>
              <w:left w:val="nil"/>
              <w:bottom w:val="nil"/>
              <w:right w:val="nil"/>
            </w:tcBorders>
            <w:shd w:val="clear" w:color="auto" w:fill="auto"/>
          </w:tcPr>
          <w:p w14:paraId="607EA572" w14:textId="54D45558" w:rsidR="003476DD" w:rsidRPr="00B84886" w:rsidRDefault="003B10D9" w:rsidP="00143F07">
            <w:pPr>
              <w:spacing w:before="0" w:line="240" w:lineRule="auto"/>
              <w:jc w:val="left"/>
            </w:pPr>
            <w:bookmarkStart w:id="1" w:name="Contact"/>
            <w:bookmarkEnd w:id="1"/>
            <w:r w:rsidRPr="00B84886">
              <w:t>Mme Béatrice Pluchon</w:t>
            </w:r>
          </w:p>
        </w:tc>
        <w:tc>
          <w:tcPr>
            <w:tcW w:w="284" w:type="dxa"/>
            <w:tcBorders>
              <w:top w:val="nil"/>
              <w:left w:val="nil"/>
              <w:bottom w:val="nil"/>
              <w:right w:val="nil"/>
            </w:tcBorders>
            <w:shd w:val="clear" w:color="auto" w:fill="auto"/>
          </w:tcPr>
          <w:p w14:paraId="759DFE5F" w14:textId="77777777" w:rsidR="003476DD" w:rsidRPr="00B84886" w:rsidRDefault="003476DD" w:rsidP="00143F07">
            <w:pPr>
              <w:spacing w:before="0" w:line="240" w:lineRule="auto"/>
            </w:pPr>
          </w:p>
        </w:tc>
        <w:tc>
          <w:tcPr>
            <w:tcW w:w="4536" w:type="dxa"/>
            <w:vMerge w:val="restart"/>
            <w:tcBorders>
              <w:top w:val="nil"/>
              <w:left w:val="nil"/>
              <w:bottom w:val="nil"/>
              <w:right w:val="nil"/>
            </w:tcBorders>
            <w:shd w:val="clear" w:color="auto" w:fill="auto"/>
          </w:tcPr>
          <w:p w14:paraId="49347B4C" w14:textId="0E441CD4" w:rsidR="000A249C" w:rsidRPr="00B84886" w:rsidRDefault="0012016B" w:rsidP="00BC3AB2">
            <w:pPr>
              <w:spacing w:before="240" w:line="240" w:lineRule="auto"/>
              <w:rPr>
                <w:color w:val="000000"/>
              </w:rPr>
            </w:pPr>
            <w:r w:rsidRPr="00B84886">
              <w:t xml:space="preserve">Aux </w:t>
            </w:r>
            <w:r w:rsidR="001D5FB7" w:rsidRPr="00B84886">
              <w:t>É</w:t>
            </w:r>
            <w:r w:rsidRPr="00B84886">
              <w:t>tats Membres du Conseil de l</w:t>
            </w:r>
            <w:r w:rsidR="001D5FB7" w:rsidRPr="00B84886">
              <w:t>'</w:t>
            </w:r>
            <w:r w:rsidRPr="00B84886">
              <w:t>UIT</w:t>
            </w:r>
          </w:p>
        </w:tc>
      </w:tr>
      <w:tr w:rsidR="003B10D9" w:rsidRPr="00B84886" w14:paraId="26CDCD3C" w14:textId="77777777" w:rsidTr="009A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8DE5663" w14:textId="1D4D9441" w:rsidR="003B10D9" w:rsidRPr="00B84886" w:rsidRDefault="003B10D9" w:rsidP="00143F07">
            <w:pPr>
              <w:spacing w:before="0" w:line="240" w:lineRule="auto"/>
              <w:jc w:val="left"/>
              <w:rPr>
                <w:iCs/>
                <w:color w:val="FFFFFF" w:themeColor="background1"/>
              </w:rPr>
            </w:pPr>
            <w:r w:rsidRPr="00B84886">
              <w:rPr>
                <w:iCs/>
              </w:rPr>
              <w:t>Télé</w:t>
            </w:r>
            <w:r w:rsidR="0012016B" w:rsidRPr="00B84886">
              <w:rPr>
                <w:iCs/>
              </w:rPr>
              <w:t>phone</w:t>
            </w:r>
            <w:r w:rsidRPr="00B84886">
              <w:rPr>
                <w:iCs/>
              </w:rPr>
              <w:t>:</w:t>
            </w:r>
          </w:p>
        </w:tc>
        <w:tc>
          <w:tcPr>
            <w:tcW w:w="3543" w:type="dxa"/>
            <w:tcBorders>
              <w:top w:val="nil"/>
              <w:left w:val="nil"/>
              <w:bottom w:val="nil"/>
              <w:right w:val="nil"/>
            </w:tcBorders>
            <w:shd w:val="clear" w:color="auto" w:fill="auto"/>
          </w:tcPr>
          <w:p w14:paraId="54A4BD40" w14:textId="42040E9F" w:rsidR="003B10D9" w:rsidRPr="00B84886" w:rsidRDefault="003B10D9" w:rsidP="00143F07">
            <w:pPr>
              <w:spacing w:before="0" w:line="240" w:lineRule="auto"/>
              <w:jc w:val="left"/>
            </w:pPr>
            <w:r w:rsidRPr="00B84886">
              <w:t>+41 22 730 6266</w:t>
            </w:r>
          </w:p>
        </w:tc>
        <w:tc>
          <w:tcPr>
            <w:tcW w:w="284" w:type="dxa"/>
            <w:tcBorders>
              <w:top w:val="nil"/>
              <w:left w:val="nil"/>
              <w:bottom w:val="nil"/>
              <w:right w:val="nil"/>
            </w:tcBorders>
            <w:shd w:val="clear" w:color="auto" w:fill="auto"/>
          </w:tcPr>
          <w:p w14:paraId="4EFD1D4F" w14:textId="77777777" w:rsidR="003B10D9" w:rsidRPr="00B84886" w:rsidRDefault="003B10D9" w:rsidP="00143F07">
            <w:pPr>
              <w:spacing w:before="0" w:line="240" w:lineRule="auto"/>
            </w:pPr>
          </w:p>
        </w:tc>
        <w:tc>
          <w:tcPr>
            <w:tcW w:w="4536" w:type="dxa"/>
            <w:vMerge/>
            <w:tcBorders>
              <w:top w:val="nil"/>
              <w:left w:val="nil"/>
              <w:bottom w:val="nil"/>
              <w:right w:val="nil"/>
            </w:tcBorders>
            <w:shd w:val="clear" w:color="auto" w:fill="auto"/>
          </w:tcPr>
          <w:p w14:paraId="5F5A5077" w14:textId="77777777" w:rsidR="003B10D9" w:rsidRPr="00B84886" w:rsidRDefault="003B10D9" w:rsidP="00143F07">
            <w:pPr>
              <w:spacing w:before="0" w:line="240" w:lineRule="auto"/>
            </w:pPr>
          </w:p>
        </w:tc>
      </w:tr>
      <w:tr w:rsidR="003B10D9" w:rsidRPr="00B84886" w14:paraId="45E275FC" w14:textId="77777777" w:rsidTr="009A0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0472EC5" w14:textId="77777777" w:rsidR="003B10D9" w:rsidRPr="00B84886" w:rsidRDefault="003B10D9" w:rsidP="00143F07">
            <w:pPr>
              <w:spacing w:before="0" w:line="240" w:lineRule="auto"/>
              <w:jc w:val="left"/>
              <w:rPr>
                <w:iCs/>
                <w:color w:val="FFFFFF" w:themeColor="background1"/>
              </w:rPr>
            </w:pPr>
            <w:r w:rsidRPr="00B84886">
              <w:t>Courriel</w:t>
            </w:r>
            <w:r w:rsidRPr="00B84886">
              <w:rPr>
                <w:iCs/>
              </w:rPr>
              <w:t>:</w:t>
            </w:r>
          </w:p>
        </w:tc>
        <w:tc>
          <w:tcPr>
            <w:tcW w:w="3543" w:type="dxa"/>
            <w:tcBorders>
              <w:top w:val="nil"/>
              <w:left w:val="nil"/>
              <w:bottom w:val="nil"/>
              <w:right w:val="nil"/>
            </w:tcBorders>
            <w:shd w:val="clear" w:color="auto" w:fill="auto"/>
          </w:tcPr>
          <w:p w14:paraId="05DA0959" w14:textId="30B1CD58" w:rsidR="003B10D9" w:rsidRPr="00B84886" w:rsidRDefault="00C51A99" w:rsidP="00143F07">
            <w:pPr>
              <w:spacing w:before="0" w:line="240" w:lineRule="auto"/>
              <w:jc w:val="left"/>
            </w:pPr>
            <w:hyperlink r:id="rId8" w:history="1">
              <w:r w:rsidR="003B10D9" w:rsidRPr="00B84886">
                <w:rPr>
                  <w:rStyle w:val="Hyperlink"/>
                </w:rPr>
                <w:t>gbs@itu.int</w:t>
              </w:r>
            </w:hyperlink>
          </w:p>
        </w:tc>
        <w:tc>
          <w:tcPr>
            <w:tcW w:w="284" w:type="dxa"/>
            <w:tcBorders>
              <w:top w:val="nil"/>
              <w:left w:val="nil"/>
              <w:bottom w:val="nil"/>
              <w:right w:val="nil"/>
            </w:tcBorders>
            <w:shd w:val="clear" w:color="auto" w:fill="auto"/>
          </w:tcPr>
          <w:p w14:paraId="18A53D47" w14:textId="77777777" w:rsidR="003B10D9" w:rsidRPr="00B84886" w:rsidRDefault="003B10D9" w:rsidP="00143F07">
            <w:pPr>
              <w:spacing w:before="0" w:line="240" w:lineRule="auto"/>
            </w:pPr>
          </w:p>
        </w:tc>
        <w:tc>
          <w:tcPr>
            <w:tcW w:w="4536" w:type="dxa"/>
            <w:vMerge/>
            <w:tcBorders>
              <w:top w:val="nil"/>
              <w:left w:val="nil"/>
              <w:bottom w:val="nil"/>
              <w:right w:val="nil"/>
            </w:tcBorders>
            <w:shd w:val="clear" w:color="auto" w:fill="auto"/>
          </w:tcPr>
          <w:p w14:paraId="162C8B23" w14:textId="77777777" w:rsidR="003B10D9" w:rsidRPr="00B84886" w:rsidRDefault="003B10D9" w:rsidP="00143F07">
            <w:pPr>
              <w:spacing w:before="0" w:line="240" w:lineRule="auto"/>
            </w:pPr>
          </w:p>
        </w:tc>
      </w:tr>
      <w:tr w:rsidR="003476DD" w:rsidRPr="00B84886" w14:paraId="067EC68A"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BD52E33" w14:textId="77777777" w:rsidR="003476DD" w:rsidRPr="00B84886" w:rsidRDefault="003476DD" w:rsidP="00143F07">
            <w:pPr>
              <w:spacing w:before="0" w:line="240" w:lineRule="auto"/>
              <w:jc w:val="left"/>
              <w:rPr>
                <w:iCs/>
              </w:rPr>
            </w:pPr>
          </w:p>
        </w:tc>
        <w:tc>
          <w:tcPr>
            <w:tcW w:w="8363" w:type="dxa"/>
            <w:gridSpan w:val="3"/>
            <w:tcBorders>
              <w:top w:val="nil"/>
              <w:left w:val="nil"/>
              <w:bottom w:val="nil"/>
              <w:right w:val="nil"/>
            </w:tcBorders>
            <w:shd w:val="clear" w:color="auto" w:fill="auto"/>
          </w:tcPr>
          <w:p w14:paraId="5C5A1259" w14:textId="77777777" w:rsidR="003476DD" w:rsidRPr="00B84886" w:rsidRDefault="003476DD" w:rsidP="00143F07">
            <w:pPr>
              <w:spacing w:before="0" w:line="240" w:lineRule="auto"/>
              <w:jc w:val="left"/>
              <w:rPr>
                <w:iCs/>
              </w:rPr>
            </w:pPr>
          </w:p>
        </w:tc>
      </w:tr>
      <w:tr w:rsidR="00757B2B" w:rsidRPr="00B84886" w14:paraId="1A8CEFEB"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8934651" w14:textId="77777777" w:rsidR="00757B2B" w:rsidRPr="00B84886" w:rsidRDefault="000A249C" w:rsidP="00143F07">
            <w:pPr>
              <w:spacing w:before="120" w:line="240" w:lineRule="auto"/>
              <w:jc w:val="left"/>
              <w:rPr>
                <w:color w:val="000000"/>
              </w:rPr>
            </w:pPr>
            <w:r w:rsidRPr="00B84886">
              <w:rPr>
                <w:color w:val="000000"/>
              </w:rPr>
              <w:t>Objet:</w:t>
            </w:r>
          </w:p>
        </w:tc>
        <w:tc>
          <w:tcPr>
            <w:tcW w:w="8363" w:type="dxa"/>
            <w:gridSpan w:val="3"/>
            <w:tcBorders>
              <w:top w:val="nil"/>
              <w:left w:val="nil"/>
              <w:bottom w:val="nil"/>
              <w:right w:val="nil"/>
            </w:tcBorders>
            <w:shd w:val="clear" w:color="auto" w:fill="auto"/>
          </w:tcPr>
          <w:p w14:paraId="54FD7561" w14:textId="764B6FD5" w:rsidR="00757B2B" w:rsidRPr="00B84886" w:rsidRDefault="003B10D9" w:rsidP="00143F07">
            <w:pPr>
              <w:spacing w:before="120" w:line="240" w:lineRule="auto"/>
              <w:jc w:val="left"/>
              <w:rPr>
                <w:b/>
                <w:bCs/>
                <w:color w:val="000000"/>
              </w:rPr>
            </w:pPr>
            <w:bookmarkStart w:id="2" w:name="Subject"/>
            <w:bookmarkEnd w:id="2"/>
            <w:r w:rsidRPr="00B84886">
              <w:rPr>
                <w:b/>
                <w:bCs/>
              </w:rPr>
              <w:t>Consultations</w:t>
            </w:r>
            <w:r w:rsidR="00694B8D" w:rsidRPr="00B84886">
              <w:rPr>
                <w:b/>
                <w:bCs/>
              </w:rPr>
              <w:t xml:space="preserve"> sur les résultats des</w:t>
            </w:r>
            <w:r w:rsidR="001D5FB7" w:rsidRPr="00B84886">
              <w:rPr>
                <w:b/>
                <w:bCs/>
              </w:rPr>
              <w:t xml:space="preserve"> </w:t>
            </w:r>
            <w:r w:rsidRPr="00B84886">
              <w:rPr>
                <w:b/>
                <w:bCs/>
              </w:rPr>
              <w:t>discussions</w:t>
            </w:r>
            <w:r w:rsidR="00694B8D" w:rsidRPr="00B84886">
              <w:rPr>
                <w:b/>
                <w:bCs/>
              </w:rPr>
              <w:t xml:space="preserve"> de la consultation virtuelle des Conseillers</w:t>
            </w:r>
          </w:p>
        </w:tc>
      </w:tr>
    </w:tbl>
    <w:p w14:paraId="2BDCD081" w14:textId="77777777" w:rsidR="00AF3325" w:rsidRPr="00B84886" w:rsidRDefault="000A249C" w:rsidP="00143F07">
      <w:pPr>
        <w:pStyle w:val="Normalaftertitle0"/>
        <w:spacing w:before="240"/>
        <w:rPr>
          <w:rFonts w:asciiTheme="minorHAnsi" w:hAnsiTheme="minorHAnsi"/>
          <w:sz w:val="22"/>
          <w:szCs w:val="22"/>
          <w:lang w:val="fr-FR"/>
        </w:rPr>
      </w:pPr>
      <w:bookmarkStart w:id="3" w:name="CurrentLocation"/>
      <w:bookmarkEnd w:id="3"/>
      <w:r w:rsidRPr="00B84886">
        <w:rPr>
          <w:rFonts w:asciiTheme="minorHAnsi" w:hAnsiTheme="minorHAnsi"/>
          <w:sz w:val="22"/>
          <w:szCs w:val="22"/>
          <w:lang w:val="fr-FR"/>
        </w:rPr>
        <w:t>Madame, Monsieur,</w:t>
      </w:r>
    </w:p>
    <w:p w14:paraId="196A6FF3" w14:textId="4108F2AB" w:rsidR="003B10D9" w:rsidRPr="00B84886" w:rsidRDefault="00694B8D" w:rsidP="00143F07">
      <w:pPr>
        <w:spacing w:before="120" w:after="120" w:line="240" w:lineRule="auto"/>
        <w:jc w:val="left"/>
      </w:pPr>
      <w:r w:rsidRPr="00B84886">
        <w:rPr>
          <w:color w:val="000000"/>
        </w:rPr>
        <w:t>Je tiens à vous remercier</w:t>
      </w:r>
      <w:r w:rsidR="001D5FB7" w:rsidRPr="00B84886">
        <w:rPr>
          <w:color w:val="000000"/>
        </w:rPr>
        <w:t xml:space="preserve"> </w:t>
      </w:r>
      <w:r w:rsidRPr="00B84886">
        <w:rPr>
          <w:color w:val="000000"/>
        </w:rPr>
        <w:t>pour votre participation</w:t>
      </w:r>
      <w:r w:rsidRPr="00B84886">
        <w:t xml:space="preserve"> à la consultation virtuelle des Conseillers</w:t>
      </w:r>
      <w:r w:rsidR="001D5FB7" w:rsidRPr="00B84886">
        <w:t xml:space="preserve"> </w:t>
      </w:r>
      <w:r w:rsidRPr="00B84886">
        <w:t xml:space="preserve">. Les résultats </w:t>
      </w:r>
      <w:r w:rsidR="002B5F6B" w:rsidRPr="00B84886">
        <w:t>des</w:t>
      </w:r>
      <w:r w:rsidR="001D5FB7" w:rsidRPr="00B84886">
        <w:t xml:space="preserve"> </w:t>
      </w:r>
      <w:r w:rsidR="002B5F6B" w:rsidRPr="00B84886">
        <w:t>discussions de cette</w:t>
      </w:r>
      <w:r w:rsidR="001D5FB7" w:rsidRPr="00B84886">
        <w:t xml:space="preserve"> </w:t>
      </w:r>
      <w:r w:rsidR="002B5F6B" w:rsidRPr="00B84886">
        <w:t>consultation</w:t>
      </w:r>
      <w:r w:rsidR="001D5FB7" w:rsidRPr="00B84886">
        <w:t xml:space="preserve"> </w:t>
      </w:r>
      <w:r w:rsidR="002B5F6B" w:rsidRPr="00B84886">
        <w:t>sont présentés dans le document</w:t>
      </w:r>
      <w:r w:rsidR="001D5FB7" w:rsidRPr="00B84886">
        <w:t xml:space="preserve"> </w:t>
      </w:r>
      <w:hyperlink r:id="rId9" w:history="1">
        <w:r w:rsidR="003B10D9" w:rsidRPr="00B84886">
          <w:rPr>
            <w:rStyle w:val="Hyperlink"/>
          </w:rPr>
          <w:t>DT/1(R</w:t>
        </w:r>
        <w:r w:rsidR="0035477E" w:rsidRPr="00B84886">
          <w:rPr>
            <w:rStyle w:val="Hyperlink"/>
          </w:rPr>
          <w:t>é</w:t>
        </w:r>
        <w:r w:rsidR="003B10D9" w:rsidRPr="00B84886">
          <w:rPr>
            <w:rStyle w:val="Hyperlink"/>
          </w:rPr>
          <w:t>v.3)</w:t>
        </w:r>
      </w:hyperlink>
      <w:r w:rsidR="003B10D9" w:rsidRPr="00B84886">
        <w:t>.</w:t>
      </w:r>
    </w:p>
    <w:p w14:paraId="0FBF83BB" w14:textId="77777777" w:rsidR="004F046A" w:rsidRDefault="002B5F6B" w:rsidP="00143F07">
      <w:pPr>
        <w:spacing w:before="120" w:after="120" w:line="240" w:lineRule="auto"/>
        <w:jc w:val="left"/>
      </w:pPr>
      <w:r w:rsidRPr="00B84886">
        <w:t>Comme vous le savez, les Conseillers ont conclu lors de cette</w:t>
      </w:r>
      <w:r w:rsidR="001D5FB7" w:rsidRPr="00B84886">
        <w:t xml:space="preserve"> </w:t>
      </w:r>
      <w:r w:rsidRPr="00B84886">
        <w:t xml:space="preserve">consultation virtuelle, </w:t>
      </w:r>
      <w:r w:rsidR="000975AD" w:rsidRPr="00B84886">
        <w:t>à l</w:t>
      </w:r>
      <w:r w:rsidR="00872B05" w:rsidRPr="00B84886">
        <w:t>'</w:t>
      </w:r>
      <w:r w:rsidR="000975AD" w:rsidRPr="00B84886">
        <w:t xml:space="preserve">issue de débats constructifs, </w:t>
      </w:r>
      <w:r w:rsidRPr="00B84886">
        <w:t>que les points ci-après, compte tenu de leur caractère urgent, devraient faire l</w:t>
      </w:r>
      <w:r w:rsidR="001D5FB7" w:rsidRPr="00B84886">
        <w:t>'</w:t>
      </w:r>
      <w:r w:rsidRPr="00B84886">
        <w:t>objet d</w:t>
      </w:r>
      <w:r w:rsidR="001D5FB7" w:rsidRPr="00B84886">
        <w:t>'</w:t>
      </w:r>
      <w:r w:rsidRPr="00B84886">
        <w:t>une</w:t>
      </w:r>
      <w:r w:rsidR="001D5FB7" w:rsidRPr="00B84886">
        <w:t xml:space="preserve"> </w:t>
      </w:r>
      <w:r w:rsidR="003B10D9" w:rsidRPr="00B84886">
        <w:t>consultation</w:t>
      </w:r>
      <w:r w:rsidRPr="00B84886">
        <w:t xml:space="preserve"> par</w:t>
      </w:r>
      <w:r w:rsidR="001D5FB7" w:rsidRPr="00B84886">
        <w:t xml:space="preserve"> </w:t>
      </w:r>
      <w:r w:rsidR="003B10D9" w:rsidRPr="00B84886">
        <w:t>correspond</w:t>
      </w:r>
      <w:r w:rsidRPr="00B84886">
        <w:t>a</w:t>
      </w:r>
      <w:r w:rsidR="003B10D9" w:rsidRPr="00B84886">
        <w:t xml:space="preserve">nce. </w:t>
      </w:r>
    </w:p>
    <w:p w14:paraId="235575DA" w14:textId="22722343" w:rsidR="003B10D9" w:rsidRPr="00B84886" w:rsidRDefault="002B5F6B" w:rsidP="00143F07">
      <w:pPr>
        <w:spacing w:before="120" w:after="120" w:line="240" w:lineRule="auto"/>
        <w:jc w:val="left"/>
      </w:pPr>
      <w:r w:rsidRPr="00B84886">
        <w:t>Après avoir consulté</w:t>
      </w:r>
      <w:r w:rsidR="001D5FB7" w:rsidRPr="00B84886">
        <w:t xml:space="preserve"> </w:t>
      </w:r>
      <w:r w:rsidRPr="00B84886">
        <w:rPr>
          <w:color w:val="000000"/>
        </w:rPr>
        <w:t>le Vice-Président du Conseil et le</w:t>
      </w:r>
      <w:r w:rsidR="003B10D9" w:rsidRPr="00B84886">
        <w:t xml:space="preserve"> </w:t>
      </w:r>
      <w:r w:rsidRPr="00B84886">
        <w:rPr>
          <w:color w:val="000000"/>
        </w:rPr>
        <w:t>Secrétaire général</w:t>
      </w:r>
      <w:r w:rsidR="009A0059" w:rsidRPr="00B84886">
        <w:rPr>
          <w:color w:val="000000"/>
        </w:rPr>
        <w:t>, je souhaite soumettre les points ci-après au Conseil</w:t>
      </w:r>
      <w:r w:rsidR="001D5FB7" w:rsidRPr="00B84886">
        <w:rPr>
          <w:color w:val="000000"/>
        </w:rPr>
        <w:t>,</w:t>
      </w:r>
      <w:r w:rsidR="00512E5D" w:rsidRPr="00B84886">
        <w:rPr>
          <w:color w:val="000000"/>
        </w:rPr>
        <w:t xml:space="preserve"> </w:t>
      </w:r>
      <w:r w:rsidR="009A0059" w:rsidRPr="00B84886">
        <w:rPr>
          <w:color w:val="000000"/>
        </w:rPr>
        <w:t>pour qu</w:t>
      </w:r>
      <w:r w:rsidR="001D5FB7" w:rsidRPr="00B84886">
        <w:rPr>
          <w:color w:val="000000"/>
        </w:rPr>
        <w:t>'</w:t>
      </w:r>
      <w:r w:rsidR="009A0059" w:rsidRPr="00B84886">
        <w:rPr>
          <w:color w:val="000000"/>
        </w:rPr>
        <w:t>il prenne une décision par</w:t>
      </w:r>
      <w:r w:rsidR="001D5FB7" w:rsidRPr="00B84886">
        <w:rPr>
          <w:color w:val="000000"/>
        </w:rPr>
        <w:t xml:space="preserve"> </w:t>
      </w:r>
      <w:r w:rsidR="003B10D9" w:rsidRPr="00B84886">
        <w:t>correspond</w:t>
      </w:r>
      <w:r w:rsidR="009A0059" w:rsidRPr="00B84886">
        <w:t>a</w:t>
      </w:r>
      <w:r w:rsidR="003B10D9" w:rsidRPr="00B84886">
        <w:t>nce.</w:t>
      </w:r>
    </w:p>
    <w:p w14:paraId="2096E4FE" w14:textId="1CCC1D47" w:rsidR="003B10D9" w:rsidRPr="00B84886" w:rsidRDefault="009A0059" w:rsidP="00143F07">
      <w:pPr>
        <w:spacing w:before="120" w:after="120" w:line="240" w:lineRule="auto"/>
        <w:jc w:val="left"/>
        <w:rPr>
          <w:u w:val="single"/>
        </w:rPr>
      </w:pPr>
      <w:r w:rsidRPr="00B84886">
        <w:rPr>
          <w:u w:val="single"/>
        </w:rPr>
        <w:t>Changement des dates</w:t>
      </w:r>
      <w:r w:rsidR="001D5FB7" w:rsidRPr="00B84886">
        <w:rPr>
          <w:u w:val="single"/>
        </w:rPr>
        <w:t xml:space="preserve"> </w:t>
      </w:r>
      <w:r w:rsidRPr="00B84886">
        <w:rPr>
          <w:u w:val="single"/>
        </w:rPr>
        <w:t>de l</w:t>
      </w:r>
      <w:r w:rsidR="001D5FB7" w:rsidRPr="00B84886">
        <w:rPr>
          <w:u w:val="single"/>
        </w:rPr>
        <w:t>'</w:t>
      </w:r>
      <w:r w:rsidRPr="00B84886">
        <w:rPr>
          <w:u w:val="single"/>
        </w:rPr>
        <w:t>AMNT-20</w:t>
      </w:r>
    </w:p>
    <w:p w14:paraId="57DBB1F9" w14:textId="2D09B35B" w:rsidR="003B10D9" w:rsidRPr="00B84886" w:rsidRDefault="009A0059" w:rsidP="00143F07">
      <w:pPr>
        <w:spacing w:before="120" w:after="120" w:line="240" w:lineRule="auto"/>
        <w:jc w:val="left"/>
      </w:pPr>
      <w:r w:rsidRPr="00B84886">
        <w:t>En raison des restrictions de travail et de voyage liées à la pandémie de</w:t>
      </w:r>
      <w:r w:rsidR="001D5FB7" w:rsidRPr="00B84886">
        <w:t xml:space="preserve"> </w:t>
      </w:r>
      <w:r w:rsidR="003B10D9" w:rsidRPr="00B84886">
        <w:t>COVID-19</w:t>
      </w:r>
      <w:r w:rsidRPr="00B84886">
        <w:t>, l</w:t>
      </w:r>
      <w:r w:rsidR="001D5FB7" w:rsidRPr="00B84886">
        <w:t>'</w:t>
      </w:r>
      <w:r w:rsidRPr="00B84886">
        <w:t>A</w:t>
      </w:r>
      <w:r w:rsidR="003B10D9" w:rsidRPr="00B84886">
        <w:t xml:space="preserve">dministration </w:t>
      </w:r>
      <w:r w:rsidRPr="00B84886">
        <w:t>indienne a</w:t>
      </w:r>
      <w:r w:rsidR="001D5FB7" w:rsidRPr="00B84886">
        <w:t xml:space="preserve"> </w:t>
      </w:r>
      <w:r w:rsidRPr="00B84886">
        <w:rPr>
          <w:color w:val="000000"/>
        </w:rPr>
        <w:t xml:space="preserve">proposé de </w:t>
      </w:r>
      <w:r w:rsidR="0085082D" w:rsidRPr="00B84886">
        <w:rPr>
          <w:color w:val="000000"/>
        </w:rPr>
        <w:t>reporter</w:t>
      </w:r>
      <w:r w:rsidR="001D5FB7" w:rsidRPr="00B84886">
        <w:rPr>
          <w:color w:val="000000"/>
        </w:rPr>
        <w:t xml:space="preserve"> </w:t>
      </w:r>
      <w:r w:rsidRPr="00B84886">
        <w:rPr>
          <w:color w:val="000000"/>
        </w:rPr>
        <w:t>l</w:t>
      </w:r>
      <w:r w:rsidR="0012016B" w:rsidRPr="00B84886">
        <w:rPr>
          <w:color w:val="000000"/>
        </w:rPr>
        <w:t xml:space="preserve">a prochaine </w:t>
      </w:r>
      <w:r w:rsidRPr="00B84886">
        <w:rPr>
          <w:color w:val="000000"/>
        </w:rPr>
        <w:t>AMNT</w:t>
      </w:r>
      <w:r w:rsidR="001D5FB7" w:rsidRPr="00B84886">
        <w:rPr>
          <w:color w:val="000000"/>
        </w:rPr>
        <w:t xml:space="preserve"> </w:t>
      </w:r>
      <w:r w:rsidR="0085082D" w:rsidRPr="00B84886">
        <w:rPr>
          <w:color w:val="000000"/>
        </w:rPr>
        <w:t xml:space="preserve">pour qu'elle se tienne </w:t>
      </w:r>
      <w:r w:rsidRPr="00B84886">
        <w:rPr>
          <w:color w:val="000000"/>
        </w:rPr>
        <w:t>du 23 février au 5 mars 2021,</w:t>
      </w:r>
      <w:r w:rsidR="0085082D" w:rsidRPr="00B84886">
        <w:rPr>
          <w:color w:val="000000"/>
        </w:rPr>
        <w:t xml:space="preserve"> après le Colloque mondial sur la normalisation qui aura lieu le</w:t>
      </w:r>
      <w:r w:rsidR="001D5FB7" w:rsidRPr="00B84886">
        <w:rPr>
          <w:color w:val="000000"/>
        </w:rPr>
        <w:t xml:space="preserve"> </w:t>
      </w:r>
      <w:r w:rsidR="003B10D9" w:rsidRPr="00B84886">
        <w:t>22</w:t>
      </w:r>
      <w:r w:rsidR="0085082D" w:rsidRPr="00B84886">
        <w:t xml:space="preserve"> février</w:t>
      </w:r>
      <w:r w:rsidR="001D5FB7" w:rsidRPr="00B84886">
        <w:t xml:space="preserve"> </w:t>
      </w:r>
      <w:r w:rsidR="003B10D9" w:rsidRPr="00B84886">
        <w:t>2021</w:t>
      </w:r>
      <w:r w:rsidR="0012016B" w:rsidRPr="00B84886">
        <w:t xml:space="preserve"> </w:t>
      </w:r>
      <w:r w:rsidR="0085082D" w:rsidRPr="00B84886">
        <w:t xml:space="preserve">et sous réserve </w:t>
      </w:r>
      <w:r w:rsidR="00F66D3A" w:rsidRPr="00B84886">
        <w:t>du rétablissement de conditions de travail et de voyage normales</w:t>
      </w:r>
      <w:r w:rsidR="001D5FB7" w:rsidRPr="00B84886">
        <w:t xml:space="preserve"> </w:t>
      </w:r>
      <w:r w:rsidR="0085082D" w:rsidRPr="00B84886">
        <w:rPr>
          <w:color w:val="000000"/>
        </w:rPr>
        <w:t>en Inde et dans les autres États Membres.</w:t>
      </w:r>
    </w:p>
    <w:p w14:paraId="22478529" w14:textId="7B5DC5BA" w:rsidR="003B10D9" w:rsidRPr="00B84886" w:rsidRDefault="00F66D3A" w:rsidP="00143F07">
      <w:pPr>
        <w:spacing w:before="120" w:after="120" w:line="240" w:lineRule="auto"/>
        <w:jc w:val="left"/>
      </w:pPr>
      <w:r w:rsidRPr="00B84886">
        <w:rPr>
          <w:color w:val="000000"/>
        </w:rPr>
        <w:t>Conformément aux dispositions pertinentes de l'article 3 de la Convention et, en particulier, du numéro</w:t>
      </w:r>
      <w:r w:rsidR="001D5FB7" w:rsidRPr="00B84886">
        <w:rPr>
          <w:color w:val="000000"/>
        </w:rPr>
        <w:t xml:space="preserve"> </w:t>
      </w:r>
      <w:r w:rsidR="003B10D9" w:rsidRPr="00B84886">
        <w:t xml:space="preserve">42, </w:t>
      </w:r>
      <w:r w:rsidRPr="00B84886">
        <w:t>ainsi qu</w:t>
      </w:r>
      <w:r w:rsidR="001D5FB7" w:rsidRPr="00B84886">
        <w:t>'</w:t>
      </w:r>
      <w:r w:rsidRPr="00B84886">
        <w:t xml:space="preserve">à </w:t>
      </w:r>
      <w:r w:rsidRPr="00B84886">
        <w:rPr>
          <w:color w:val="000000"/>
        </w:rPr>
        <w:t>la Section 7</w:t>
      </w:r>
      <w:r w:rsidR="001D5FB7" w:rsidRPr="00B84886">
        <w:rPr>
          <w:color w:val="000000"/>
        </w:rPr>
        <w:t xml:space="preserve"> </w:t>
      </w:r>
      <w:r w:rsidRPr="00B84886">
        <w:rPr>
          <w:color w:val="000000"/>
        </w:rPr>
        <w:t>des Règles générales régissant les conférences, assemblées et réunions de l'Union</w:t>
      </w:r>
      <w:r w:rsidR="001D5FB7" w:rsidRPr="00B84886">
        <w:rPr>
          <w:color w:val="000000"/>
        </w:rPr>
        <w:t xml:space="preserve"> </w:t>
      </w:r>
      <w:r w:rsidR="00AC526C" w:rsidRPr="00B84886">
        <w:t>relative au</w:t>
      </w:r>
      <w:r w:rsidR="001D5FB7" w:rsidRPr="00B84886">
        <w:t xml:space="preserve"> </w:t>
      </w:r>
      <w:r w:rsidR="00AC526C" w:rsidRPr="00B84886">
        <w:rPr>
          <w:color w:val="000000"/>
        </w:rPr>
        <w:t>changement du lieu ou des dates d'une conférence ou d'une assemblée,</w:t>
      </w:r>
      <w:r w:rsidR="001D5FB7" w:rsidRPr="00B84886">
        <w:rPr>
          <w:color w:val="000000"/>
        </w:rPr>
        <w:t xml:space="preserve"> </w:t>
      </w:r>
      <w:r w:rsidR="00AC526C" w:rsidRPr="00B84886">
        <w:rPr>
          <w:color w:val="000000"/>
        </w:rPr>
        <w:t>le Conseil détermine les dates exactes</w:t>
      </w:r>
      <w:r w:rsidR="001D5FB7" w:rsidRPr="00B84886">
        <w:rPr>
          <w:color w:val="000000"/>
        </w:rPr>
        <w:t xml:space="preserve"> </w:t>
      </w:r>
      <w:r w:rsidR="00AC526C" w:rsidRPr="00B84886">
        <w:rPr>
          <w:color w:val="000000"/>
        </w:rPr>
        <w:t xml:space="preserve">d'une AMNT avec l'accord de la majorité des </w:t>
      </w:r>
      <w:r w:rsidR="00512E5D" w:rsidRPr="00B84886">
        <w:rPr>
          <w:color w:val="000000"/>
        </w:rPr>
        <w:t>États</w:t>
      </w:r>
      <w:r w:rsidR="00AC526C" w:rsidRPr="00B84886">
        <w:rPr>
          <w:color w:val="000000"/>
        </w:rPr>
        <w:t xml:space="preserve"> Membres.</w:t>
      </w:r>
    </w:p>
    <w:p w14:paraId="2CCC385C" w14:textId="249F0345" w:rsidR="003B10D9" w:rsidRPr="00B84886" w:rsidRDefault="00AC526C" w:rsidP="00143F07">
      <w:pPr>
        <w:spacing w:before="120" w:after="120" w:line="240" w:lineRule="auto"/>
        <w:jc w:val="left"/>
      </w:pPr>
      <w:r w:rsidRPr="00B84886">
        <w:t>En conséquence</w:t>
      </w:r>
      <w:r w:rsidR="003B10D9" w:rsidRPr="00B84886">
        <w:t xml:space="preserve">, </w:t>
      </w:r>
      <w:r w:rsidRPr="00B84886">
        <w:rPr>
          <w:color w:val="000000"/>
        </w:rPr>
        <w:t xml:space="preserve">les </w:t>
      </w:r>
      <w:r w:rsidR="00BC3AB2" w:rsidRPr="00B84886">
        <w:rPr>
          <w:color w:val="000000"/>
        </w:rPr>
        <w:t>États</w:t>
      </w:r>
      <w:r w:rsidRPr="00B84886">
        <w:rPr>
          <w:color w:val="000000"/>
        </w:rPr>
        <w:t xml:space="preserve"> Membres du Conseil sont invités à confirmer par écrit leur accord en ce qui concerne les nouvelles</w:t>
      </w:r>
      <w:r w:rsidR="001D5FB7" w:rsidRPr="00B84886">
        <w:rPr>
          <w:color w:val="000000"/>
        </w:rPr>
        <w:t xml:space="preserve"> </w:t>
      </w:r>
      <w:r w:rsidRPr="00B84886">
        <w:rPr>
          <w:color w:val="000000"/>
        </w:rPr>
        <w:t>dates</w:t>
      </w:r>
      <w:r w:rsidR="001D5FB7" w:rsidRPr="00B84886">
        <w:rPr>
          <w:color w:val="000000"/>
        </w:rPr>
        <w:t xml:space="preserve"> </w:t>
      </w:r>
      <w:r w:rsidRPr="00B84886">
        <w:rPr>
          <w:color w:val="000000"/>
        </w:rPr>
        <w:t>de l'Assemblée mondiale de normalisation des télécommunications (AMNT</w:t>
      </w:r>
      <w:r w:rsidR="00512E5D" w:rsidRPr="00B84886">
        <w:noBreakHyphen/>
      </w:r>
      <w:r w:rsidR="003B10D9" w:rsidRPr="00B84886">
        <w:t>20).</w:t>
      </w:r>
    </w:p>
    <w:p w14:paraId="319AD952" w14:textId="6AE74498" w:rsidR="003B10D9" w:rsidRPr="00B84886" w:rsidRDefault="00AC526C" w:rsidP="00143F07">
      <w:pPr>
        <w:spacing w:before="120" w:after="120" w:line="240" w:lineRule="auto"/>
        <w:jc w:val="left"/>
      </w:pPr>
      <w:r w:rsidRPr="00B84886">
        <w:t xml:space="preserve">La </w:t>
      </w:r>
      <w:r w:rsidRPr="00B84886">
        <w:rPr>
          <w:color w:val="000000"/>
        </w:rPr>
        <w:t>décision du Conseil en la matière sera ensuite subordonnée à l'accord de la majorité des États Membres de l'UIT</w:t>
      </w:r>
      <w:r w:rsidR="001D5FB7" w:rsidRPr="00B84886">
        <w:rPr>
          <w:color w:val="000000"/>
        </w:rPr>
        <w:t xml:space="preserve"> </w:t>
      </w:r>
      <w:r w:rsidR="003B10D9" w:rsidRPr="00B84886">
        <w:t>(</w:t>
      </w:r>
      <w:r w:rsidRPr="00B84886">
        <w:t>conformément au</w:t>
      </w:r>
      <w:r w:rsidR="003B10D9" w:rsidRPr="00B84886">
        <w:t xml:space="preserve"> </w:t>
      </w:r>
      <w:r w:rsidRPr="00B84886">
        <w:rPr>
          <w:color w:val="000000"/>
        </w:rPr>
        <w:t>numéro 46 de la Convention</w:t>
      </w:r>
      <w:r w:rsidR="00A2467A" w:rsidRPr="00B84886">
        <w:rPr>
          <w:color w:val="000000"/>
        </w:rPr>
        <w:t>)</w:t>
      </w:r>
      <w:r w:rsidR="00512E5D" w:rsidRPr="00B84886">
        <w:rPr>
          <w:color w:val="000000"/>
        </w:rPr>
        <w:t>.</w:t>
      </w:r>
    </w:p>
    <w:p w14:paraId="1C8FE599" w14:textId="453F6B03" w:rsidR="003B10D9" w:rsidRPr="00B84886" w:rsidRDefault="00AC526C" w:rsidP="00143F07">
      <w:pPr>
        <w:spacing w:before="120" w:after="120" w:line="240" w:lineRule="auto"/>
        <w:jc w:val="left"/>
        <w:rPr>
          <w:u w:val="single"/>
        </w:rPr>
      </w:pPr>
      <w:r w:rsidRPr="00B84886">
        <w:rPr>
          <w:u w:val="single"/>
        </w:rPr>
        <w:t>Ordre du jour de la CMR-23</w:t>
      </w:r>
    </w:p>
    <w:p w14:paraId="5767EB02" w14:textId="468D23CC" w:rsidR="003B10D9" w:rsidRPr="00B84886" w:rsidRDefault="0012016B" w:rsidP="00143F07">
      <w:pPr>
        <w:spacing w:before="120" w:after="120" w:line="240" w:lineRule="auto"/>
        <w:jc w:val="left"/>
      </w:pPr>
      <w:r w:rsidRPr="00B84886">
        <w:rPr>
          <w:color w:val="000000"/>
        </w:rPr>
        <w:t>Aux termes</w:t>
      </w:r>
      <w:r w:rsidR="001D5FB7" w:rsidRPr="00B84886">
        <w:rPr>
          <w:color w:val="000000"/>
        </w:rPr>
        <w:t xml:space="preserve"> </w:t>
      </w:r>
      <w:r w:rsidR="00A2467A" w:rsidRPr="00B84886">
        <w:rPr>
          <w:color w:val="000000"/>
        </w:rPr>
        <w:t xml:space="preserve">des numéros 42 et 118 de la Convention, les </w:t>
      </w:r>
      <w:r w:rsidR="00BC3AB2" w:rsidRPr="00B84886">
        <w:rPr>
          <w:color w:val="000000"/>
        </w:rPr>
        <w:t>États</w:t>
      </w:r>
      <w:r w:rsidR="00A2467A" w:rsidRPr="00B84886">
        <w:rPr>
          <w:color w:val="000000"/>
        </w:rPr>
        <w:t xml:space="preserve"> Membres du Conseil sont</w:t>
      </w:r>
      <w:r w:rsidR="001D5FB7" w:rsidRPr="00B84886">
        <w:rPr>
          <w:color w:val="000000"/>
        </w:rPr>
        <w:t xml:space="preserve"> </w:t>
      </w:r>
      <w:r w:rsidR="00A2467A" w:rsidRPr="00B84886">
        <w:rPr>
          <w:color w:val="000000"/>
        </w:rPr>
        <w:t>invités à faire savoir au Secrétaire général</w:t>
      </w:r>
      <w:r w:rsidR="003B10D9" w:rsidRPr="00B84886">
        <w:t>,</w:t>
      </w:r>
      <w:r w:rsidR="00A2467A" w:rsidRPr="00B84886">
        <w:t xml:space="preserve"> par écrit, </w:t>
      </w:r>
      <w:r w:rsidR="00A2467A" w:rsidRPr="00B84886">
        <w:rPr>
          <w:color w:val="000000"/>
        </w:rPr>
        <w:t>s'ils acceptent l</w:t>
      </w:r>
      <w:r w:rsidR="001D5FB7" w:rsidRPr="00B84886">
        <w:rPr>
          <w:color w:val="000000"/>
        </w:rPr>
        <w:t>'</w:t>
      </w:r>
      <w:r w:rsidR="00A2467A" w:rsidRPr="00B84886">
        <w:rPr>
          <w:color w:val="000000"/>
        </w:rPr>
        <w:t>ordre du jour de la Conférence mondiale des radiocommunications</w:t>
      </w:r>
      <w:r w:rsidR="001D5FB7" w:rsidRPr="00B84886">
        <w:rPr>
          <w:color w:val="000000"/>
        </w:rPr>
        <w:t xml:space="preserve"> </w:t>
      </w:r>
      <w:r w:rsidR="003B10D9" w:rsidRPr="00B84886">
        <w:t>(</w:t>
      </w:r>
      <w:r w:rsidR="00A2467A" w:rsidRPr="00B84886">
        <w:t>CMR-23</w:t>
      </w:r>
      <w:r w:rsidR="003B10D9" w:rsidRPr="00B84886">
        <w:t xml:space="preserve">) </w:t>
      </w:r>
      <w:r w:rsidR="00A2467A" w:rsidRPr="00B84886">
        <w:t>figurant dans le projet de Résolution</w:t>
      </w:r>
      <w:r w:rsidR="001D5FB7" w:rsidRPr="00B84886">
        <w:t xml:space="preserve"> </w:t>
      </w:r>
      <w:r w:rsidR="00A2467A" w:rsidRPr="00B84886">
        <w:t xml:space="preserve">reproduit </w:t>
      </w:r>
      <w:r w:rsidR="00A2467A" w:rsidRPr="00CE4C25">
        <w:t>dans</w:t>
      </w:r>
      <w:r w:rsidR="001D5FB7" w:rsidRPr="00CE4C25">
        <w:t xml:space="preserve"> </w:t>
      </w:r>
      <w:r w:rsidR="00A2467A" w:rsidRPr="00CE4C25">
        <w:t>l</w:t>
      </w:r>
      <w:r w:rsidR="001D5FB7" w:rsidRPr="00CE4C25">
        <w:t>'</w:t>
      </w:r>
      <w:hyperlink w:anchor="Annexe2" w:history="1">
        <w:r w:rsidR="003B10D9" w:rsidRPr="00CE4C25">
          <w:rPr>
            <w:rStyle w:val="Hyperlink"/>
          </w:rPr>
          <w:t>Annex</w:t>
        </w:r>
        <w:r w:rsidR="00A2467A" w:rsidRPr="00CE4C25">
          <w:rPr>
            <w:rStyle w:val="Hyperlink"/>
          </w:rPr>
          <w:t>e</w:t>
        </w:r>
        <w:r w:rsidR="003B10D9" w:rsidRPr="00CE4C25">
          <w:rPr>
            <w:rStyle w:val="Hyperlink"/>
          </w:rPr>
          <w:t xml:space="preserve"> 2</w:t>
        </w:r>
      </w:hyperlink>
      <w:r w:rsidR="001D5FB7" w:rsidRPr="00CE4C25">
        <w:t xml:space="preserve"> </w:t>
      </w:r>
      <w:r w:rsidR="00A2467A" w:rsidRPr="00CE4C25">
        <w:t>et</w:t>
      </w:r>
      <w:r w:rsidR="00A2467A" w:rsidRPr="00B84886">
        <w:t xml:space="preserve"> s</w:t>
      </w:r>
      <w:r w:rsidR="001D5FB7" w:rsidRPr="00B84886">
        <w:t>'</w:t>
      </w:r>
      <w:r w:rsidR="00A2467A" w:rsidRPr="00B84886">
        <w:t>ils adoptent la Résolution</w:t>
      </w:r>
      <w:r w:rsidR="00512E5D" w:rsidRPr="00B84886">
        <w:t>.</w:t>
      </w:r>
    </w:p>
    <w:p w14:paraId="48AF900E" w14:textId="04FC74D5" w:rsidR="003B10D9" w:rsidRPr="00B84886" w:rsidRDefault="00A2467A" w:rsidP="00143F07">
      <w:pPr>
        <w:spacing w:before="120" w:after="120" w:line="240" w:lineRule="auto"/>
        <w:jc w:val="left"/>
      </w:pPr>
      <w:r w:rsidRPr="00B84886">
        <w:t xml:space="preserve">La </w:t>
      </w:r>
      <w:r w:rsidRPr="00B84886">
        <w:rPr>
          <w:color w:val="000000"/>
        </w:rPr>
        <w:t>décision du Conseil en la matière sera ensuite subordonnée à l'accord de la majorité des États Membres de l'UIT</w:t>
      </w:r>
      <w:r w:rsidR="001D5FB7" w:rsidRPr="00B84886">
        <w:rPr>
          <w:color w:val="000000"/>
        </w:rPr>
        <w:t xml:space="preserve"> </w:t>
      </w:r>
      <w:r w:rsidRPr="00B84886">
        <w:t xml:space="preserve">(conformément au </w:t>
      </w:r>
      <w:r w:rsidRPr="00B84886">
        <w:rPr>
          <w:color w:val="000000"/>
        </w:rPr>
        <w:t>numéro 46 de la Convention)</w:t>
      </w:r>
      <w:r w:rsidR="00512E5D" w:rsidRPr="00B84886">
        <w:rPr>
          <w:color w:val="000000"/>
        </w:rPr>
        <w:t>.</w:t>
      </w:r>
    </w:p>
    <w:p w14:paraId="12364B3F" w14:textId="77777777" w:rsidR="003B10D9" w:rsidRPr="00B84886" w:rsidRDefault="003B10D9" w:rsidP="00143F07">
      <w:pPr>
        <w:spacing w:before="120" w:after="120" w:line="240" w:lineRule="auto"/>
        <w:rPr>
          <w:u w:val="single"/>
        </w:rPr>
      </w:pPr>
      <w:r w:rsidRPr="00B84886">
        <w:rPr>
          <w:u w:val="single"/>
        </w:rPr>
        <w:br w:type="page"/>
      </w:r>
    </w:p>
    <w:p w14:paraId="47F1616A" w14:textId="006E5BA1" w:rsidR="003B10D9" w:rsidRPr="00B84886" w:rsidRDefault="00A2467A" w:rsidP="00143F07">
      <w:pPr>
        <w:spacing w:before="120" w:after="120" w:line="240" w:lineRule="auto"/>
        <w:jc w:val="left"/>
        <w:rPr>
          <w:u w:val="single"/>
        </w:rPr>
      </w:pPr>
      <w:r w:rsidRPr="00B84886">
        <w:rPr>
          <w:color w:val="000000"/>
          <w:u w:val="single"/>
        </w:rPr>
        <w:lastRenderedPageBreak/>
        <w:t>Recouvrement des coûts pour le traitement des fiches de notification des réseaux à satellite</w:t>
      </w:r>
      <w:r w:rsidRPr="00B84886">
        <w:rPr>
          <w:u w:val="single"/>
        </w:rPr>
        <w:t xml:space="preserve"> </w:t>
      </w:r>
      <w:r w:rsidR="003B10D9" w:rsidRPr="00B84886">
        <w:rPr>
          <w:u w:val="single"/>
        </w:rPr>
        <w:t>(D 482(MOD))</w:t>
      </w:r>
    </w:p>
    <w:p w14:paraId="1232FBD3" w14:textId="7A0D2346" w:rsidR="003B10D9" w:rsidRPr="00B84886" w:rsidRDefault="00BC3AB2" w:rsidP="00143F07">
      <w:pPr>
        <w:spacing w:before="120" w:after="120" w:line="240" w:lineRule="auto"/>
        <w:jc w:val="left"/>
      </w:pPr>
      <w:r w:rsidRPr="00B84886">
        <w:t>Étant</w:t>
      </w:r>
      <w:r w:rsidR="00A2467A" w:rsidRPr="00B84886">
        <w:t xml:space="preserve"> donné que ce point revêt un caractère urgent,</w:t>
      </w:r>
      <w:r w:rsidR="00A2467A" w:rsidRPr="00B84886">
        <w:rPr>
          <w:color w:val="000000"/>
        </w:rPr>
        <w:t xml:space="preserve"> les </w:t>
      </w:r>
      <w:r w:rsidRPr="00B84886">
        <w:rPr>
          <w:color w:val="000000"/>
        </w:rPr>
        <w:t>États</w:t>
      </w:r>
      <w:r w:rsidR="00A2467A" w:rsidRPr="00B84886">
        <w:rPr>
          <w:color w:val="000000"/>
        </w:rPr>
        <w:t xml:space="preserve"> Membres du Conseil </w:t>
      </w:r>
      <w:r w:rsidR="00503D45" w:rsidRPr="00B84886">
        <w:rPr>
          <w:color w:val="000000"/>
        </w:rPr>
        <w:t>sont</w:t>
      </w:r>
      <w:r w:rsidR="001D5FB7" w:rsidRPr="00B84886">
        <w:rPr>
          <w:color w:val="000000"/>
        </w:rPr>
        <w:t xml:space="preserve"> </w:t>
      </w:r>
      <w:r w:rsidR="00503D45" w:rsidRPr="00B84886">
        <w:rPr>
          <w:color w:val="000000"/>
        </w:rPr>
        <w:t>invités à faire savoir au Secrétaire général</w:t>
      </w:r>
      <w:r w:rsidR="00503D45" w:rsidRPr="00B84886">
        <w:t xml:space="preserve">, par écrit, </w:t>
      </w:r>
      <w:r w:rsidR="00503D45" w:rsidRPr="00B84886">
        <w:rPr>
          <w:color w:val="000000"/>
        </w:rPr>
        <w:t xml:space="preserve">s'ils approuvent le projet de Décision </w:t>
      </w:r>
      <w:r w:rsidR="00503D45" w:rsidRPr="00B84886">
        <w:t xml:space="preserve">482 </w:t>
      </w:r>
      <w:r w:rsidR="00503D45" w:rsidRPr="00B84886">
        <w:rPr>
          <w:color w:val="000000"/>
        </w:rPr>
        <w:t>modifiée figurant dans</w:t>
      </w:r>
      <w:r w:rsidR="001D5FB7" w:rsidRPr="00B84886">
        <w:rPr>
          <w:color w:val="000000"/>
        </w:rPr>
        <w:t xml:space="preserve"> </w:t>
      </w:r>
      <w:r w:rsidR="00503D45" w:rsidRPr="00CE4C25">
        <w:t>l</w:t>
      </w:r>
      <w:r w:rsidR="001D5FB7" w:rsidRPr="00CE4C25">
        <w:t>'</w:t>
      </w:r>
      <w:hyperlink w:anchor="Annexe3" w:history="1">
        <w:r w:rsidR="003B10D9" w:rsidRPr="00CE4C25">
          <w:rPr>
            <w:rStyle w:val="Hyperlink"/>
          </w:rPr>
          <w:t>Annex</w:t>
        </w:r>
        <w:r w:rsidR="00503D45" w:rsidRPr="00CE4C25">
          <w:rPr>
            <w:rStyle w:val="Hyperlink"/>
          </w:rPr>
          <w:t>e</w:t>
        </w:r>
        <w:r w:rsidR="00512E5D" w:rsidRPr="00CE4C25">
          <w:rPr>
            <w:rStyle w:val="Hyperlink"/>
          </w:rPr>
          <w:t> </w:t>
        </w:r>
        <w:r w:rsidR="003B10D9" w:rsidRPr="00CE4C25">
          <w:rPr>
            <w:rStyle w:val="Hyperlink"/>
          </w:rPr>
          <w:t>3</w:t>
        </w:r>
      </w:hyperlink>
      <w:r w:rsidR="003B10D9" w:rsidRPr="00CE4C25">
        <w:t>.</w:t>
      </w:r>
    </w:p>
    <w:p w14:paraId="48F378BC" w14:textId="10171D8A" w:rsidR="003B10D9" w:rsidRPr="00B84886" w:rsidRDefault="00503D45" w:rsidP="00143F07">
      <w:pPr>
        <w:spacing w:before="120" w:after="120" w:line="240" w:lineRule="auto"/>
        <w:jc w:val="left"/>
        <w:rPr>
          <w:u w:val="single"/>
        </w:rPr>
      </w:pPr>
      <w:r w:rsidRPr="00B84886">
        <w:rPr>
          <w:color w:val="000000"/>
          <w:u w:val="single"/>
        </w:rPr>
        <w:t>Résultats de l</w:t>
      </w:r>
      <w:r w:rsidR="001D5FB7" w:rsidRPr="00B84886">
        <w:rPr>
          <w:color w:val="000000"/>
          <w:u w:val="single"/>
        </w:rPr>
        <w:t>'</w:t>
      </w:r>
      <w:r w:rsidRPr="00B84886">
        <w:rPr>
          <w:color w:val="000000"/>
          <w:u w:val="single"/>
        </w:rPr>
        <w:t xml:space="preserve">examen du </w:t>
      </w:r>
      <w:r w:rsidR="00773011" w:rsidRPr="00B84886">
        <w:rPr>
          <w:color w:val="000000"/>
          <w:u w:val="single"/>
        </w:rPr>
        <w:t>R</w:t>
      </w:r>
      <w:r w:rsidRPr="00B84886">
        <w:rPr>
          <w:color w:val="000000"/>
          <w:u w:val="single"/>
        </w:rPr>
        <w:t>apport sur l'AR-19 et la CMR-19</w:t>
      </w:r>
    </w:p>
    <w:p w14:paraId="3F6BAF25" w14:textId="14011590" w:rsidR="003B10D9" w:rsidRPr="00B84886" w:rsidRDefault="00503D45" w:rsidP="00143F07">
      <w:pPr>
        <w:spacing w:before="120" w:after="120" w:line="240" w:lineRule="auto"/>
        <w:jc w:val="left"/>
        <w:rPr>
          <w:u w:val="single"/>
        </w:rPr>
      </w:pPr>
      <w:r w:rsidRPr="00B84886">
        <w:t>Les Conseillers ont examin</w:t>
      </w:r>
      <w:r w:rsidR="002065E4" w:rsidRPr="00B84886">
        <w:t>é</w:t>
      </w:r>
      <w:r w:rsidRPr="00B84886">
        <w:t xml:space="preserve"> les propositions figurant dans les</w:t>
      </w:r>
      <w:r w:rsidR="001D5FB7" w:rsidRPr="00B84886">
        <w:t xml:space="preserve"> </w:t>
      </w:r>
      <w:r w:rsidRPr="00B84886">
        <w:rPr>
          <w:color w:val="000000"/>
        </w:rPr>
        <w:t>Documents</w:t>
      </w:r>
      <w:r w:rsidR="001D5FB7" w:rsidRPr="00B84886">
        <w:rPr>
          <w:color w:val="000000"/>
        </w:rPr>
        <w:t xml:space="preserve"> </w:t>
      </w:r>
      <w:r w:rsidR="003B10D9" w:rsidRPr="00B84886">
        <w:t>VC/9</w:t>
      </w:r>
      <w:r w:rsidR="001D5FB7" w:rsidRPr="00B84886">
        <w:t xml:space="preserve"> </w:t>
      </w:r>
      <w:r w:rsidRPr="00B84886">
        <w:t>et</w:t>
      </w:r>
      <w:r w:rsidR="001D5FB7" w:rsidRPr="00B84886">
        <w:t xml:space="preserve"> </w:t>
      </w:r>
      <w:r w:rsidR="003B10D9" w:rsidRPr="00B84886">
        <w:t>VC/11</w:t>
      </w:r>
      <w:r w:rsidR="001D5FB7" w:rsidRPr="00B84886">
        <w:t>,</w:t>
      </w:r>
      <w:r w:rsidRPr="00B84886">
        <w:t xml:space="preserve"> qui portent sur la mise en œuvre de la</w:t>
      </w:r>
      <w:r w:rsidR="001D5FB7" w:rsidRPr="00B84886">
        <w:t xml:space="preserve"> </w:t>
      </w:r>
      <w:r w:rsidR="003B10D9" w:rsidRPr="00B84886">
        <w:t>R</w:t>
      </w:r>
      <w:r w:rsidRPr="00B84886">
        <w:t>é</w:t>
      </w:r>
      <w:r w:rsidR="003B10D9" w:rsidRPr="00B84886">
        <w:t>solution 559 (</w:t>
      </w:r>
      <w:r w:rsidRPr="00B84886">
        <w:t>CMR</w:t>
      </w:r>
      <w:r w:rsidR="003B10D9" w:rsidRPr="00B84886">
        <w:t xml:space="preserve">). </w:t>
      </w:r>
      <w:r w:rsidR="002065E4" w:rsidRPr="00B84886">
        <w:t>Étant donné que ces propositions revêtent un caractère urgent,</w:t>
      </w:r>
      <w:r w:rsidR="002065E4" w:rsidRPr="00B84886">
        <w:rPr>
          <w:color w:val="000000"/>
        </w:rPr>
        <w:t xml:space="preserve"> les </w:t>
      </w:r>
      <w:r w:rsidR="00BC3AB2" w:rsidRPr="00B84886">
        <w:rPr>
          <w:color w:val="000000"/>
        </w:rPr>
        <w:t>États</w:t>
      </w:r>
      <w:r w:rsidR="002065E4" w:rsidRPr="00B84886">
        <w:rPr>
          <w:color w:val="000000"/>
        </w:rPr>
        <w:t xml:space="preserve"> Membres du Conseil sont</w:t>
      </w:r>
      <w:r w:rsidR="001D5FB7" w:rsidRPr="00B84886">
        <w:rPr>
          <w:color w:val="000000"/>
        </w:rPr>
        <w:t xml:space="preserve"> </w:t>
      </w:r>
      <w:r w:rsidR="002065E4" w:rsidRPr="00B84886">
        <w:rPr>
          <w:color w:val="000000"/>
        </w:rPr>
        <w:t>invités à faire savoir au Secrétaire général</w:t>
      </w:r>
      <w:r w:rsidR="002065E4" w:rsidRPr="00B84886">
        <w:t xml:space="preserve">, par écrit, </w:t>
      </w:r>
      <w:r w:rsidR="002065E4" w:rsidRPr="00B84886">
        <w:rPr>
          <w:color w:val="000000"/>
        </w:rPr>
        <w:t>s'ils</w:t>
      </w:r>
      <w:r w:rsidR="001D5FB7" w:rsidRPr="00B84886">
        <w:rPr>
          <w:color w:val="000000"/>
        </w:rPr>
        <w:t xml:space="preserve"> </w:t>
      </w:r>
      <w:r w:rsidR="002065E4" w:rsidRPr="00B84886">
        <w:rPr>
          <w:color w:val="000000"/>
        </w:rPr>
        <w:t xml:space="preserve">souscrivent aux </w:t>
      </w:r>
      <w:r w:rsidR="002065E4" w:rsidRPr="00B84886">
        <w:t>propositions figurant dans les</w:t>
      </w:r>
      <w:r w:rsidR="001D5FB7" w:rsidRPr="00B84886">
        <w:t xml:space="preserve"> </w:t>
      </w:r>
      <w:r w:rsidR="002065E4" w:rsidRPr="00B84886">
        <w:rPr>
          <w:color w:val="000000"/>
        </w:rPr>
        <w:t>Documents</w:t>
      </w:r>
      <w:r w:rsidR="001D5FB7" w:rsidRPr="00B84886">
        <w:rPr>
          <w:color w:val="000000"/>
        </w:rPr>
        <w:t xml:space="preserve"> </w:t>
      </w:r>
      <w:hyperlink r:id="rId10" w:history="1">
        <w:r w:rsidR="003B10D9" w:rsidRPr="00B84886">
          <w:rPr>
            <w:rStyle w:val="Hyperlink"/>
          </w:rPr>
          <w:t>VC/9</w:t>
        </w:r>
      </w:hyperlink>
      <w:r w:rsidR="002065E4" w:rsidRPr="00B84886">
        <w:t xml:space="preserve"> et</w:t>
      </w:r>
      <w:r w:rsidR="001D5FB7" w:rsidRPr="00B84886">
        <w:t xml:space="preserve"> </w:t>
      </w:r>
      <w:hyperlink r:id="rId11" w:history="1">
        <w:r w:rsidR="003B10D9" w:rsidRPr="00B84886">
          <w:rPr>
            <w:rStyle w:val="Hyperlink"/>
          </w:rPr>
          <w:t>VC/11</w:t>
        </w:r>
      </w:hyperlink>
      <w:r w:rsidR="003B10D9" w:rsidRPr="00B84886">
        <w:t>.</w:t>
      </w:r>
    </w:p>
    <w:p w14:paraId="212AF908" w14:textId="7FAE06F1" w:rsidR="003B10D9" w:rsidRPr="00B84886" w:rsidRDefault="002065E4" w:rsidP="00143F07">
      <w:pPr>
        <w:spacing w:before="120" w:after="120" w:line="240" w:lineRule="auto"/>
        <w:jc w:val="left"/>
      </w:pPr>
      <w:r w:rsidRPr="00B84886">
        <w:rPr>
          <w:u w:val="single"/>
        </w:rPr>
        <w:t>Dates et durée proposées pour les sessions de</w:t>
      </w:r>
      <w:r w:rsidR="001D5FB7" w:rsidRPr="00B84886">
        <w:rPr>
          <w:u w:val="single"/>
        </w:rPr>
        <w:t xml:space="preserve"> </w:t>
      </w:r>
      <w:r w:rsidR="003B10D9" w:rsidRPr="00B84886">
        <w:rPr>
          <w:u w:val="single"/>
        </w:rPr>
        <w:t>2021, 2022, 2023, 2024, 2025</w:t>
      </w:r>
      <w:r w:rsidRPr="00B84886">
        <w:rPr>
          <w:u w:val="single"/>
        </w:rPr>
        <w:t xml:space="preserve"> et</w:t>
      </w:r>
      <w:r w:rsidR="001D5FB7" w:rsidRPr="00B84886">
        <w:rPr>
          <w:u w:val="single"/>
        </w:rPr>
        <w:t xml:space="preserve"> </w:t>
      </w:r>
      <w:r w:rsidR="003B10D9" w:rsidRPr="00B84886">
        <w:rPr>
          <w:u w:val="single"/>
        </w:rPr>
        <w:t>2026</w:t>
      </w:r>
      <w:r w:rsidRPr="00B84886">
        <w:rPr>
          <w:color w:val="000000"/>
          <w:u w:val="single"/>
        </w:rPr>
        <w:t xml:space="preserve"> du Conseil</w:t>
      </w:r>
      <w:r w:rsidR="001D5FB7" w:rsidRPr="00B84886">
        <w:rPr>
          <w:color w:val="000000"/>
          <w:u w:val="single"/>
        </w:rPr>
        <w:t xml:space="preserve"> </w:t>
      </w:r>
      <w:r w:rsidRPr="00B84886">
        <w:rPr>
          <w:color w:val="000000"/>
          <w:u w:val="single"/>
        </w:rPr>
        <w:t xml:space="preserve">et </w:t>
      </w:r>
      <w:r w:rsidR="00693997" w:rsidRPr="00B84886">
        <w:rPr>
          <w:color w:val="000000"/>
          <w:u w:val="single"/>
        </w:rPr>
        <w:t>d</w:t>
      </w:r>
      <w:r w:rsidRPr="00B84886">
        <w:rPr>
          <w:color w:val="000000"/>
          <w:u w:val="single"/>
        </w:rPr>
        <w:t>es séries de réunions des Groupes de travail du Conseil</w:t>
      </w:r>
      <w:r w:rsidR="00E77987" w:rsidRPr="00B84886">
        <w:rPr>
          <w:color w:val="000000"/>
          <w:u w:val="single"/>
        </w:rPr>
        <w:t xml:space="preserve"> (GTC)</w:t>
      </w:r>
      <w:r w:rsidR="001D5FB7" w:rsidRPr="00B84886">
        <w:rPr>
          <w:color w:val="000000"/>
          <w:u w:val="single"/>
        </w:rPr>
        <w:t xml:space="preserve"> </w:t>
      </w:r>
      <w:r w:rsidR="00834907" w:rsidRPr="00B84886">
        <w:rPr>
          <w:color w:val="000000"/>
          <w:u w:val="single"/>
        </w:rPr>
        <w:t>de</w:t>
      </w:r>
      <w:r w:rsidR="001D5FB7" w:rsidRPr="00B84886">
        <w:rPr>
          <w:color w:val="000000"/>
          <w:u w:val="single"/>
        </w:rPr>
        <w:t xml:space="preserve"> </w:t>
      </w:r>
      <w:r w:rsidR="003B10D9" w:rsidRPr="00B84886">
        <w:rPr>
          <w:u w:val="single"/>
        </w:rPr>
        <w:t xml:space="preserve">2020, 2021, </w:t>
      </w:r>
      <w:r w:rsidRPr="00B84886">
        <w:rPr>
          <w:u w:val="single"/>
        </w:rPr>
        <w:t xml:space="preserve">et </w:t>
      </w:r>
      <w:r w:rsidR="003B10D9" w:rsidRPr="00B84886">
        <w:rPr>
          <w:u w:val="single"/>
        </w:rPr>
        <w:t>2022</w:t>
      </w:r>
    </w:p>
    <w:p w14:paraId="08A0728A" w14:textId="3C0FE1B3" w:rsidR="003B10D9" w:rsidRPr="00B84886" w:rsidRDefault="002065E4" w:rsidP="00143F07">
      <w:pPr>
        <w:spacing w:before="120" w:after="120" w:line="240" w:lineRule="auto"/>
        <w:jc w:val="left"/>
      </w:pPr>
      <w:r w:rsidRPr="00B84886">
        <w:t>Étant donné que cette question doit être traitée d</w:t>
      </w:r>
      <w:r w:rsidR="001D5FB7" w:rsidRPr="00B84886">
        <w:t>'</w:t>
      </w:r>
      <w:r w:rsidRPr="00B84886">
        <w:t>urgence, les réservations de salles devant être effectuées dès que possible</w:t>
      </w:r>
      <w:r w:rsidR="00E77987" w:rsidRPr="00B84886">
        <w:t xml:space="preserve"> afin de trouver un lieu de réunion pendant la période de construction du</w:t>
      </w:r>
      <w:r w:rsidR="001D5FB7" w:rsidRPr="00B84886">
        <w:t xml:space="preserve"> </w:t>
      </w:r>
      <w:r w:rsidR="00E77987" w:rsidRPr="00B84886">
        <w:rPr>
          <w:color w:val="000000"/>
        </w:rPr>
        <w:t>nouveau bâtiment du siège de l'Union</w:t>
      </w:r>
      <w:r w:rsidR="003B10D9" w:rsidRPr="00B84886">
        <w:t>,</w:t>
      </w:r>
      <w:r w:rsidR="00E77987" w:rsidRPr="00B84886">
        <w:rPr>
          <w:color w:val="000000"/>
        </w:rPr>
        <w:t xml:space="preserve"> les </w:t>
      </w:r>
      <w:r w:rsidR="00BC3AB2" w:rsidRPr="00B84886">
        <w:rPr>
          <w:color w:val="000000"/>
        </w:rPr>
        <w:t>États</w:t>
      </w:r>
      <w:r w:rsidR="00E77987" w:rsidRPr="00B84886">
        <w:rPr>
          <w:color w:val="000000"/>
        </w:rPr>
        <w:t xml:space="preserve"> Membres du Conseil sont</w:t>
      </w:r>
      <w:r w:rsidR="001D5FB7" w:rsidRPr="00B84886">
        <w:rPr>
          <w:color w:val="000000"/>
        </w:rPr>
        <w:t xml:space="preserve"> </w:t>
      </w:r>
      <w:r w:rsidR="00E77987" w:rsidRPr="00B84886">
        <w:rPr>
          <w:color w:val="000000"/>
        </w:rPr>
        <w:t>invités à faire savoir au Secrétaire général</w:t>
      </w:r>
      <w:r w:rsidR="00E77987" w:rsidRPr="00B84886">
        <w:t xml:space="preserve">, par écrit, </w:t>
      </w:r>
      <w:r w:rsidR="00E77987" w:rsidRPr="00B84886">
        <w:rPr>
          <w:color w:val="000000"/>
        </w:rPr>
        <w:t>s'ils</w:t>
      </w:r>
      <w:r w:rsidR="001D5FB7" w:rsidRPr="00B84886">
        <w:rPr>
          <w:color w:val="000000"/>
        </w:rPr>
        <w:t xml:space="preserve"> </w:t>
      </w:r>
      <w:r w:rsidR="00E77987" w:rsidRPr="00B84886">
        <w:rPr>
          <w:color w:val="000000"/>
        </w:rPr>
        <w:t>confirment les dates des sessions de 2021 et</w:t>
      </w:r>
      <w:r w:rsidR="001D5FB7" w:rsidRPr="00B84886">
        <w:rPr>
          <w:color w:val="000000"/>
        </w:rPr>
        <w:t xml:space="preserve"> </w:t>
      </w:r>
      <w:r w:rsidR="00E77987" w:rsidRPr="00B84886">
        <w:rPr>
          <w:color w:val="000000"/>
        </w:rPr>
        <w:t>2022</w:t>
      </w:r>
      <w:r w:rsidR="001D5FB7" w:rsidRPr="00B84886">
        <w:rPr>
          <w:color w:val="000000"/>
        </w:rPr>
        <w:t xml:space="preserve"> </w:t>
      </w:r>
      <w:r w:rsidR="00E77987" w:rsidRPr="00B84886">
        <w:rPr>
          <w:color w:val="000000"/>
        </w:rPr>
        <w:t>du Conseil</w:t>
      </w:r>
      <w:r w:rsidR="00E77987" w:rsidRPr="00B84886">
        <w:t xml:space="preserve"> et</w:t>
      </w:r>
      <w:r w:rsidR="001D5FB7" w:rsidRPr="00B84886">
        <w:t xml:space="preserve"> </w:t>
      </w:r>
      <w:r w:rsidR="00E77987" w:rsidRPr="00B84886">
        <w:t xml:space="preserve">approuvent les dates des sessions de 2023, 2024, 2025, et 2026 du Conseil, ainsi que les dates des </w:t>
      </w:r>
      <w:r w:rsidR="00E77987" w:rsidRPr="00B84886">
        <w:rPr>
          <w:color w:val="000000"/>
        </w:rPr>
        <w:t xml:space="preserve">séries de réunions des </w:t>
      </w:r>
      <w:r w:rsidR="00E77987" w:rsidRPr="00B84886">
        <w:t>GTC et</w:t>
      </w:r>
      <w:r w:rsidR="001D5FB7" w:rsidRPr="00B84886">
        <w:t xml:space="preserve"> </w:t>
      </w:r>
      <w:r w:rsidR="00E77987" w:rsidRPr="00B84886">
        <w:t>des</w:t>
      </w:r>
      <w:r w:rsidR="003B10D9" w:rsidRPr="00B84886">
        <w:t xml:space="preserve"> </w:t>
      </w:r>
      <w:r w:rsidR="00E77987" w:rsidRPr="00B84886">
        <w:t>Groupes d</w:t>
      </w:r>
      <w:r w:rsidR="001D5FB7" w:rsidRPr="00B84886">
        <w:t>'</w:t>
      </w:r>
      <w:r w:rsidR="00E77987" w:rsidRPr="00B84886">
        <w:t>experts (GE)</w:t>
      </w:r>
      <w:r w:rsidR="001D5FB7" w:rsidRPr="00B84886">
        <w:t xml:space="preserve"> </w:t>
      </w:r>
      <w:r w:rsidR="00E77987" w:rsidRPr="00B84886">
        <w:t>pour</w:t>
      </w:r>
      <w:r w:rsidR="001D5FB7" w:rsidRPr="00B84886">
        <w:t xml:space="preserve"> </w:t>
      </w:r>
      <w:r w:rsidR="003B10D9" w:rsidRPr="00B84886">
        <w:t>2020, 2021</w:t>
      </w:r>
      <w:r w:rsidR="00E77987" w:rsidRPr="00B84886">
        <w:t xml:space="preserve"> et</w:t>
      </w:r>
      <w:r w:rsidR="001D5FB7" w:rsidRPr="00B84886">
        <w:t xml:space="preserve"> </w:t>
      </w:r>
      <w:r w:rsidR="003B10D9" w:rsidRPr="00B84886">
        <w:t>2022</w:t>
      </w:r>
      <w:r w:rsidR="00E77987" w:rsidRPr="00B84886">
        <w:t>, et s</w:t>
      </w:r>
      <w:r w:rsidR="001D5FB7" w:rsidRPr="00B84886">
        <w:t>'</w:t>
      </w:r>
      <w:r w:rsidR="00E77987" w:rsidRPr="00B84886">
        <w:t>ils</w:t>
      </w:r>
      <w:r w:rsidR="001D5FB7" w:rsidRPr="00B84886">
        <w:t xml:space="preserve"> </w:t>
      </w:r>
      <w:r w:rsidR="00E77987" w:rsidRPr="00B84886">
        <w:t>adoptent le projet de Décision reproduit dans</w:t>
      </w:r>
      <w:r w:rsidR="001D5FB7" w:rsidRPr="00B84886">
        <w:t xml:space="preserve"> </w:t>
      </w:r>
      <w:r w:rsidR="00E77987" w:rsidRPr="00CE4C25">
        <w:t>l</w:t>
      </w:r>
      <w:r w:rsidR="001D5FB7" w:rsidRPr="00CE4C25">
        <w:t>'</w:t>
      </w:r>
      <w:hyperlink w:anchor="Annexe4" w:history="1">
        <w:r w:rsidR="003B10D9" w:rsidRPr="00CE4C25">
          <w:rPr>
            <w:rStyle w:val="Hyperlink"/>
          </w:rPr>
          <w:t>Annex</w:t>
        </w:r>
        <w:r w:rsidR="00E77987" w:rsidRPr="00CE4C25">
          <w:rPr>
            <w:rStyle w:val="Hyperlink"/>
          </w:rPr>
          <w:t>e</w:t>
        </w:r>
        <w:r w:rsidR="003B10D9" w:rsidRPr="00CE4C25">
          <w:rPr>
            <w:rStyle w:val="Hyperlink"/>
          </w:rPr>
          <w:t xml:space="preserve"> 4</w:t>
        </w:r>
      </w:hyperlink>
      <w:r w:rsidR="003B10D9" w:rsidRPr="00CE4C25">
        <w:t>.</w:t>
      </w:r>
    </w:p>
    <w:p w14:paraId="0E56C851" w14:textId="6E93D21F" w:rsidR="003B10D9" w:rsidRPr="00B84886" w:rsidRDefault="00E77987" w:rsidP="00143F07">
      <w:pPr>
        <w:spacing w:before="120" w:after="120" w:line="240" w:lineRule="auto"/>
        <w:jc w:val="left"/>
        <w:rPr>
          <w:u w:val="single"/>
        </w:rPr>
      </w:pPr>
      <w:r w:rsidRPr="00B84886">
        <w:rPr>
          <w:color w:val="000000"/>
          <w:u w:val="single"/>
        </w:rPr>
        <w:t xml:space="preserve">Liste des candidats aux fonctions de Président et Vice-Président des GTC, </w:t>
      </w:r>
      <w:r w:rsidR="00834907" w:rsidRPr="00B84886">
        <w:rPr>
          <w:color w:val="000000"/>
          <w:u w:val="single"/>
        </w:rPr>
        <w:t xml:space="preserve">des </w:t>
      </w:r>
      <w:r w:rsidRPr="00B84886">
        <w:rPr>
          <w:color w:val="000000"/>
          <w:u w:val="single"/>
        </w:rPr>
        <w:t xml:space="preserve">GE et </w:t>
      </w:r>
      <w:r w:rsidR="00693997" w:rsidRPr="00B84886">
        <w:rPr>
          <w:color w:val="000000"/>
          <w:u w:val="single"/>
        </w:rPr>
        <w:t xml:space="preserve">des </w:t>
      </w:r>
      <w:r w:rsidR="00693997" w:rsidRPr="00B84886">
        <w:rPr>
          <w:u w:val="single"/>
        </w:rPr>
        <w:t>Groupes d'experts du Conseil (</w:t>
      </w:r>
      <w:r w:rsidRPr="00B84886">
        <w:rPr>
          <w:color w:val="000000"/>
          <w:u w:val="single"/>
        </w:rPr>
        <w:t>GEI</w:t>
      </w:r>
      <w:r w:rsidR="00693997" w:rsidRPr="00B84886">
        <w:rPr>
          <w:color w:val="000000"/>
          <w:u w:val="single"/>
        </w:rPr>
        <w:t>)</w:t>
      </w:r>
    </w:p>
    <w:p w14:paraId="324F7709" w14:textId="2EF523C7" w:rsidR="003B10D9" w:rsidRPr="00B84886" w:rsidRDefault="00BC3AB2" w:rsidP="00143F07">
      <w:pPr>
        <w:spacing w:before="120" w:after="120" w:line="240" w:lineRule="auto"/>
        <w:jc w:val="left"/>
      </w:pPr>
      <w:r w:rsidRPr="00B84886">
        <w:t>Étant</w:t>
      </w:r>
      <w:r w:rsidR="00E77987" w:rsidRPr="00B84886">
        <w:t xml:space="preserve"> donné que ce point revêt un caractère urgent,</w:t>
      </w:r>
      <w:r w:rsidR="00E77987" w:rsidRPr="00B84886">
        <w:rPr>
          <w:color w:val="000000"/>
        </w:rPr>
        <w:t xml:space="preserve"> les </w:t>
      </w:r>
      <w:r w:rsidRPr="00B84886">
        <w:rPr>
          <w:color w:val="000000"/>
        </w:rPr>
        <w:t>États</w:t>
      </w:r>
      <w:r w:rsidR="00E77987" w:rsidRPr="00B84886">
        <w:rPr>
          <w:color w:val="000000"/>
        </w:rPr>
        <w:t xml:space="preserve"> Membres du Conseil sont</w:t>
      </w:r>
      <w:r w:rsidR="001D5FB7" w:rsidRPr="00B84886">
        <w:rPr>
          <w:color w:val="000000"/>
        </w:rPr>
        <w:t xml:space="preserve"> </w:t>
      </w:r>
      <w:r w:rsidR="00E77987" w:rsidRPr="00B84886">
        <w:rPr>
          <w:color w:val="000000"/>
        </w:rPr>
        <w:t>invités à faire savoir au Secrétaire général</w:t>
      </w:r>
      <w:r w:rsidR="00E77987" w:rsidRPr="00B84886">
        <w:t xml:space="preserve">, par écrit, </w:t>
      </w:r>
      <w:r w:rsidR="00E77987" w:rsidRPr="00B84886">
        <w:rPr>
          <w:color w:val="000000"/>
        </w:rPr>
        <w:t xml:space="preserve">s'ils approuvent </w:t>
      </w:r>
      <w:r w:rsidR="003351A8" w:rsidRPr="00B84886">
        <w:rPr>
          <w:color w:val="000000"/>
        </w:rPr>
        <w:t>la désignation de candidats ci-après aux fonctions de Président et Vice-Président, afin qu</w:t>
      </w:r>
      <w:r w:rsidR="001D5FB7" w:rsidRPr="00B84886">
        <w:rPr>
          <w:color w:val="000000"/>
        </w:rPr>
        <w:t>'</w:t>
      </w:r>
      <w:r w:rsidR="003351A8" w:rsidRPr="00B84886">
        <w:rPr>
          <w:color w:val="000000"/>
        </w:rPr>
        <w:t>ils puissent prendre leurs fonctions dès que possible</w:t>
      </w:r>
      <w:r w:rsidR="001D5FB7" w:rsidRPr="00B84886">
        <w:rPr>
          <w:color w:val="000000"/>
        </w:rPr>
        <w:t>:</w:t>
      </w:r>
    </w:p>
    <w:p w14:paraId="2D96632C" w14:textId="103E96BF" w:rsidR="003B10D9" w:rsidRPr="00B84886" w:rsidRDefault="003B10D9" w:rsidP="00143F07">
      <w:pPr>
        <w:pStyle w:val="enumlev1"/>
        <w:spacing w:line="240" w:lineRule="auto"/>
        <w:jc w:val="left"/>
      </w:pPr>
      <w:r w:rsidRPr="00B84886">
        <w:t>−</w:t>
      </w:r>
      <w:r w:rsidRPr="00B84886">
        <w:tab/>
        <w:t>M</w:t>
      </w:r>
      <w:r w:rsidR="003351A8" w:rsidRPr="00B84886">
        <w:t>me</w:t>
      </w:r>
      <w:r w:rsidRPr="00B84886">
        <w:t xml:space="preserve"> Vernita Harris </w:t>
      </w:r>
      <w:r w:rsidR="0086613A" w:rsidRPr="00B84886">
        <w:t>(</w:t>
      </w:r>
      <w:r w:rsidR="00773011">
        <w:t>É</w:t>
      </w:r>
      <w:r w:rsidR="0086613A" w:rsidRPr="00B84886">
        <w:t>tats-Unis)</w:t>
      </w:r>
      <w:r w:rsidRPr="00B84886">
        <w:t xml:space="preserve">, </w:t>
      </w:r>
      <w:r w:rsidR="003351A8" w:rsidRPr="00B84886">
        <w:t>en tant que Présidente du</w:t>
      </w:r>
      <w:r w:rsidR="001D5FB7" w:rsidRPr="00B84886">
        <w:t xml:space="preserve"> </w:t>
      </w:r>
      <w:r w:rsidR="003351A8" w:rsidRPr="00B84886">
        <w:t>GTC</w:t>
      </w:r>
      <w:r w:rsidRPr="00B84886">
        <w:t>-FHR</w:t>
      </w:r>
      <w:r w:rsidR="00022916">
        <w:t>;</w:t>
      </w:r>
    </w:p>
    <w:p w14:paraId="7D674CB9" w14:textId="4C29D296" w:rsidR="003B10D9" w:rsidRPr="00B84886" w:rsidRDefault="003B10D9" w:rsidP="00143F07">
      <w:pPr>
        <w:pStyle w:val="enumlev1"/>
        <w:spacing w:line="240" w:lineRule="auto"/>
        <w:jc w:val="left"/>
      </w:pPr>
      <w:r w:rsidRPr="00B84886">
        <w:t>−</w:t>
      </w:r>
      <w:r w:rsidRPr="00B84886">
        <w:tab/>
        <w:t>M</w:t>
      </w:r>
      <w:r w:rsidR="003351A8" w:rsidRPr="00B84886">
        <w:t>me</w:t>
      </w:r>
      <w:r w:rsidRPr="00B84886">
        <w:t xml:space="preserve"> Xian Persaud </w:t>
      </w:r>
      <w:r w:rsidR="001D5FB7" w:rsidRPr="00B84886">
        <w:t>(</w:t>
      </w:r>
      <w:r w:rsidRPr="00B84886">
        <w:t>Bahamas</w:t>
      </w:r>
      <w:r w:rsidR="0086613A" w:rsidRPr="00B84886">
        <w:t>)</w:t>
      </w:r>
      <w:r w:rsidRPr="00B84886">
        <w:t xml:space="preserve">, </w:t>
      </w:r>
      <w:r w:rsidR="003351A8" w:rsidRPr="00B84886">
        <w:t xml:space="preserve">en tant que </w:t>
      </w:r>
      <w:r w:rsidR="003351A8" w:rsidRPr="00B84886">
        <w:rPr>
          <w:color w:val="000000"/>
        </w:rPr>
        <w:t>Vice-Présidente</w:t>
      </w:r>
      <w:r w:rsidR="001D5FB7" w:rsidRPr="00B84886">
        <w:rPr>
          <w:color w:val="000000"/>
        </w:rPr>
        <w:t xml:space="preserve"> </w:t>
      </w:r>
      <w:r w:rsidR="003351A8" w:rsidRPr="00B84886">
        <w:t>du</w:t>
      </w:r>
      <w:r w:rsidR="001D5FB7" w:rsidRPr="00B84886">
        <w:t xml:space="preserve"> </w:t>
      </w:r>
      <w:r w:rsidR="003351A8" w:rsidRPr="00B84886">
        <w:t>GTC</w:t>
      </w:r>
      <w:r w:rsidRPr="00B84886">
        <w:t xml:space="preserve">-FHR </w:t>
      </w:r>
      <w:r w:rsidR="0086613A" w:rsidRPr="00B84886">
        <w:t>(</w:t>
      </w:r>
      <w:r w:rsidR="0086613A" w:rsidRPr="00B84886">
        <w:rPr>
          <w:color w:val="000000"/>
        </w:rPr>
        <w:t>région Amériques)</w:t>
      </w:r>
      <w:r w:rsidR="00022916">
        <w:rPr>
          <w:color w:val="000000"/>
        </w:rPr>
        <w:t>;</w:t>
      </w:r>
    </w:p>
    <w:p w14:paraId="7EF748D1" w14:textId="7B809CFB" w:rsidR="003B10D9" w:rsidRPr="00B84886" w:rsidRDefault="003B10D9" w:rsidP="00143F07">
      <w:pPr>
        <w:pStyle w:val="enumlev1"/>
        <w:spacing w:line="240" w:lineRule="auto"/>
        <w:jc w:val="left"/>
      </w:pPr>
      <w:r w:rsidRPr="00B84886">
        <w:t>−</w:t>
      </w:r>
      <w:r w:rsidRPr="00B84886">
        <w:tab/>
        <w:t>M</w:t>
      </w:r>
      <w:r w:rsidR="003351A8" w:rsidRPr="00B84886">
        <w:t xml:space="preserve">me </w:t>
      </w:r>
      <w:r w:rsidRPr="00B84886">
        <w:t xml:space="preserve">Stella </w:t>
      </w:r>
      <w:proofErr w:type="spellStart"/>
      <w:r w:rsidRPr="00B84886">
        <w:t>Chubiyo</w:t>
      </w:r>
      <w:proofErr w:type="spellEnd"/>
      <w:r w:rsidRPr="00B84886">
        <w:t xml:space="preserve"> </w:t>
      </w:r>
      <w:proofErr w:type="spellStart"/>
      <w:r w:rsidRPr="00B84886">
        <w:t>Erebor</w:t>
      </w:r>
      <w:proofErr w:type="spellEnd"/>
      <w:r w:rsidRPr="00B84886">
        <w:t xml:space="preserve"> </w:t>
      </w:r>
      <w:r w:rsidR="001D5FB7" w:rsidRPr="00B84886">
        <w:t>(</w:t>
      </w:r>
      <w:r w:rsidRPr="00B84886">
        <w:t>Nigeria</w:t>
      </w:r>
      <w:r w:rsidR="003351A8" w:rsidRPr="00B84886">
        <w:t>)</w:t>
      </w:r>
      <w:r w:rsidRPr="00B84886">
        <w:t xml:space="preserve">, </w:t>
      </w:r>
      <w:r w:rsidR="003351A8" w:rsidRPr="00B84886">
        <w:t>en tant que</w:t>
      </w:r>
      <w:r w:rsidRPr="00B84886">
        <w:t xml:space="preserve"> </w:t>
      </w:r>
      <w:r w:rsidR="003351A8" w:rsidRPr="00B84886">
        <w:rPr>
          <w:color w:val="000000"/>
        </w:rPr>
        <w:t>Vice-Présidente</w:t>
      </w:r>
      <w:r w:rsidR="001D5FB7" w:rsidRPr="00B84886">
        <w:rPr>
          <w:color w:val="000000"/>
        </w:rPr>
        <w:t xml:space="preserve"> </w:t>
      </w:r>
      <w:r w:rsidR="003351A8" w:rsidRPr="00B84886">
        <w:t>du</w:t>
      </w:r>
      <w:r w:rsidR="001D5FB7" w:rsidRPr="00B84886">
        <w:t xml:space="preserve"> </w:t>
      </w:r>
      <w:r w:rsidR="003351A8" w:rsidRPr="00B84886">
        <w:t>GTC</w:t>
      </w:r>
      <w:r w:rsidRPr="00B84886">
        <w:t>-COP</w:t>
      </w:r>
      <w:r w:rsidR="0086613A" w:rsidRPr="00B84886">
        <w:rPr>
          <w:color w:val="000000"/>
        </w:rPr>
        <w:t xml:space="preserve"> (région Afrique)</w:t>
      </w:r>
      <w:r w:rsidR="00022916">
        <w:rPr>
          <w:color w:val="000000"/>
        </w:rPr>
        <w:t>;</w:t>
      </w:r>
    </w:p>
    <w:p w14:paraId="6FB1849E" w14:textId="101336E2" w:rsidR="003B10D9" w:rsidRPr="00B84886" w:rsidRDefault="003B10D9" w:rsidP="00143F07">
      <w:pPr>
        <w:pStyle w:val="enumlev1"/>
        <w:spacing w:line="240" w:lineRule="auto"/>
        <w:jc w:val="left"/>
      </w:pPr>
      <w:r w:rsidRPr="00B84886">
        <w:t>−</w:t>
      </w:r>
      <w:r w:rsidRPr="00B84886">
        <w:tab/>
        <w:t>M</w:t>
      </w:r>
      <w:r w:rsidR="003351A8" w:rsidRPr="00B84886">
        <w:t xml:space="preserve">me </w:t>
      </w:r>
      <w:r w:rsidRPr="00B84886">
        <w:t xml:space="preserve">Renata Santoyo </w:t>
      </w:r>
      <w:r w:rsidR="003351A8" w:rsidRPr="00B84886">
        <w:t>(Brésil)</w:t>
      </w:r>
      <w:r w:rsidR="001D5FB7" w:rsidRPr="00B84886">
        <w:t>,</w:t>
      </w:r>
      <w:r w:rsidRPr="00B84886">
        <w:t xml:space="preserve"> </w:t>
      </w:r>
      <w:r w:rsidR="003351A8" w:rsidRPr="00B84886">
        <w:t xml:space="preserve">en tant que </w:t>
      </w:r>
      <w:r w:rsidR="003351A8" w:rsidRPr="00B84886">
        <w:rPr>
          <w:color w:val="000000"/>
        </w:rPr>
        <w:t>Vice-Présidente</w:t>
      </w:r>
      <w:r w:rsidR="001D5FB7" w:rsidRPr="00B84886">
        <w:rPr>
          <w:color w:val="000000"/>
        </w:rPr>
        <w:t xml:space="preserve"> </w:t>
      </w:r>
      <w:r w:rsidR="003351A8" w:rsidRPr="00B84886">
        <w:t>du</w:t>
      </w:r>
      <w:r w:rsidR="001D5FB7" w:rsidRPr="00B84886">
        <w:t xml:space="preserve"> </w:t>
      </w:r>
      <w:r w:rsidR="003351A8" w:rsidRPr="00B84886">
        <w:t>GTC</w:t>
      </w:r>
      <w:r w:rsidR="003351A8" w:rsidRPr="00B84886">
        <w:rPr>
          <w:color w:val="000000"/>
        </w:rPr>
        <w:t>-SMSI</w:t>
      </w:r>
      <w:r w:rsidR="000975AD" w:rsidRPr="00B84886">
        <w:rPr>
          <w:color w:val="000000"/>
        </w:rPr>
        <w:t>/ODD</w:t>
      </w:r>
      <w:r w:rsidR="003351A8" w:rsidRPr="00B84886">
        <w:t xml:space="preserve"> </w:t>
      </w:r>
      <w:r w:rsidR="0086613A" w:rsidRPr="00B84886">
        <w:t>(</w:t>
      </w:r>
      <w:r w:rsidR="0086613A" w:rsidRPr="00B84886">
        <w:rPr>
          <w:color w:val="000000"/>
        </w:rPr>
        <w:t>région Amériques)</w:t>
      </w:r>
      <w:r w:rsidR="00022916">
        <w:rPr>
          <w:color w:val="000000"/>
        </w:rPr>
        <w:t>;</w:t>
      </w:r>
    </w:p>
    <w:p w14:paraId="083983A2" w14:textId="26546F4D" w:rsidR="003B10D9" w:rsidRPr="00B84886" w:rsidRDefault="003B10D9" w:rsidP="00143F07">
      <w:pPr>
        <w:pStyle w:val="enumlev1"/>
        <w:spacing w:line="240" w:lineRule="auto"/>
        <w:jc w:val="left"/>
      </w:pPr>
      <w:r w:rsidRPr="00B84886">
        <w:t>−</w:t>
      </w:r>
      <w:r w:rsidRPr="00B84886">
        <w:tab/>
        <w:t>M</w:t>
      </w:r>
      <w:r w:rsidR="003351A8" w:rsidRPr="00B84886">
        <w:t>.</w:t>
      </w:r>
      <w:r w:rsidRPr="00B84886">
        <w:t xml:space="preserve"> Cristian Ungureanu</w:t>
      </w:r>
      <w:r w:rsidR="0086613A" w:rsidRPr="00B84886">
        <w:t xml:space="preserve"> (Roumanie)</w:t>
      </w:r>
      <w:r w:rsidR="001D5FB7" w:rsidRPr="00B84886">
        <w:t>,</w:t>
      </w:r>
      <w:r w:rsidRPr="00B84886">
        <w:t xml:space="preserve"> </w:t>
      </w:r>
      <w:r w:rsidR="0086613A" w:rsidRPr="00B84886">
        <w:t xml:space="preserve">en tant que </w:t>
      </w:r>
      <w:r w:rsidR="0086613A" w:rsidRPr="00B84886">
        <w:rPr>
          <w:color w:val="000000"/>
        </w:rPr>
        <w:t>Vice-Président</w:t>
      </w:r>
      <w:r w:rsidR="001D5FB7" w:rsidRPr="00B84886">
        <w:rPr>
          <w:color w:val="000000"/>
        </w:rPr>
        <w:t xml:space="preserve"> </w:t>
      </w:r>
      <w:r w:rsidR="0086613A" w:rsidRPr="00B84886">
        <w:t>du Groupe d</w:t>
      </w:r>
      <w:r w:rsidR="001D5FB7" w:rsidRPr="00B84886">
        <w:t>'</w:t>
      </w:r>
      <w:r w:rsidR="0086613A" w:rsidRPr="00B84886">
        <w:t>experts</w:t>
      </w:r>
      <w:r w:rsidR="0086613A" w:rsidRPr="00B84886">
        <w:rPr>
          <w:color w:val="000000"/>
        </w:rPr>
        <w:t xml:space="preserve"> sur la Décision</w:t>
      </w:r>
      <w:r w:rsidR="00022916">
        <w:rPr>
          <w:color w:val="000000"/>
        </w:rPr>
        <w:t> </w:t>
      </w:r>
      <w:r w:rsidR="0086613A" w:rsidRPr="00B84886">
        <w:rPr>
          <w:color w:val="000000"/>
        </w:rPr>
        <w:t>482</w:t>
      </w:r>
      <w:r w:rsidR="001D5FB7" w:rsidRPr="00B84886">
        <w:rPr>
          <w:color w:val="000000"/>
        </w:rPr>
        <w:t xml:space="preserve"> </w:t>
      </w:r>
      <w:r w:rsidR="001D5FB7" w:rsidRPr="00B84886">
        <w:t>(</w:t>
      </w:r>
      <w:r w:rsidR="000975AD" w:rsidRPr="00B84886">
        <w:t xml:space="preserve">région </w:t>
      </w:r>
      <w:r w:rsidRPr="00B84886">
        <w:t>Europe</w:t>
      </w:r>
      <w:r w:rsidR="0086613A" w:rsidRPr="00B84886">
        <w:t>)</w:t>
      </w:r>
      <w:r w:rsidR="00B55EF5" w:rsidRPr="00B84886">
        <w:t>.</w:t>
      </w:r>
    </w:p>
    <w:p w14:paraId="217B966D" w14:textId="58A40AED" w:rsidR="003B10D9" w:rsidRPr="00B84886" w:rsidRDefault="0086613A" w:rsidP="00143F07">
      <w:pPr>
        <w:spacing w:before="120" w:after="120" w:line="240" w:lineRule="auto"/>
        <w:jc w:val="left"/>
      </w:pPr>
      <w:r w:rsidRPr="00B84886">
        <w:rPr>
          <w:color w:val="000000"/>
        </w:rPr>
        <w:t xml:space="preserve">J'invite par la présente les </w:t>
      </w:r>
      <w:r w:rsidR="00BC3AB2" w:rsidRPr="00B84886">
        <w:rPr>
          <w:color w:val="000000"/>
        </w:rPr>
        <w:t>États</w:t>
      </w:r>
      <w:r w:rsidRPr="00B84886">
        <w:rPr>
          <w:color w:val="000000"/>
        </w:rPr>
        <w:t xml:space="preserve"> Membres du Conseil à répondre à la consultation au moyen du modèle reproduit </w:t>
      </w:r>
      <w:r w:rsidRPr="00CE4C25">
        <w:rPr>
          <w:color w:val="000000"/>
        </w:rPr>
        <w:t>dans</w:t>
      </w:r>
      <w:r w:rsidR="001D5FB7" w:rsidRPr="00CE4C25">
        <w:t xml:space="preserve"> </w:t>
      </w:r>
      <w:r w:rsidRPr="00CE4C25">
        <w:t>l</w:t>
      </w:r>
      <w:r w:rsidR="001D5FB7" w:rsidRPr="00CE4C25">
        <w:t>'</w:t>
      </w:r>
      <w:hyperlink w:anchor="Annexe1" w:history="1">
        <w:r w:rsidRPr="00CE4C25">
          <w:rPr>
            <w:rStyle w:val="Hyperlink"/>
          </w:rPr>
          <w:t>Annexe 1</w:t>
        </w:r>
      </w:hyperlink>
      <w:r w:rsidRPr="00B84886">
        <w:t>,</w:t>
      </w:r>
      <w:r w:rsidR="001D5FB7" w:rsidRPr="00B84886">
        <w:t xml:space="preserve"> </w:t>
      </w:r>
      <w:r w:rsidRPr="00B84886">
        <w:t xml:space="preserve">en </w:t>
      </w:r>
      <w:r w:rsidRPr="007F0805">
        <w:t xml:space="preserve">envoyant </w:t>
      </w:r>
      <w:r w:rsidRPr="007F0805">
        <w:rPr>
          <w:b/>
          <w:bCs/>
          <w:color w:val="000000"/>
        </w:rPr>
        <w:t>au plus tard le</w:t>
      </w:r>
      <w:r w:rsidRPr="007F0805">
        <w:rPr>
          <w:b/>
        </w:rPr>
        <w:t xml:space="preserve"> </w:t>
      </w:r>
      <w:r w:rsidR="003B10D9" w:rsidRPr="007F0805">
        <w:rPr>
          <w:b/>
        </w:rPr>
        <w:t>31</w:t>
      </w:r>
      <w:r w:rsidR="001D5FB7" w:rsidRPr="007F0805">
        <w:rPr>
          <w:b/>
        </w:rPr>
        <w:t xml:space="preserve"> </w:t>
      </w:r>
      <w:r w:rsidRPr="007F0805">
        <w:rPr>
          <w:b/>
        </w:rPr>
        <w:t xml:space="preserve">juillet </w:t>
      </w:r>
      <w:r w:rsidR="003B10D9" w:rsidRPr="007F0805">
        <w:rPr>
          <w:b/>
        </w:rPr>
        <w:t>2020</w:t>
      </w:r>
      <w:r w:rsidR="00872B05" w:rsidRPr="007F0805">
        <w:rPr>
          <w:b/>
        </w:rPr>
        <w:t xml:space="preserve"> </w:t>
      </w:r>
      <w:r w:rsidR="00693997" w:rsidRPr="007F0805">
        <w:t>un</w:t>
      </w:r>
      <w:r w:rsidR="00693997" w:rsidRPr="00B84886">
        <w:t xml:space="preserve"> courrier électronique</w:t>
      </w:r>
      <w:r w:rsidR="001D5FB7" w:rsidRPr="00B84886">
        <w:t xml:space="preserve"> </w:t>
      </w:r>
      <w:r w:rsidR="00693997" w:rsidRPr="00B84886">
        <w:t>à l</w:t>
      </w:r>
      <w:r w:rsidR="001D5FB7" w:rsidRPr="00B84886">
        <w:t>'</w:t>
      </w:r>
      <w:r w:rsidR="00693997" w:rsidRPr="00B84886">
        <w:t xml:space="preserve">adresse </w:t>
      </w:r>
      <w:hyperlink r:id="rId12" w:history="1">
        <w:r w:rsidR="00693997" w:rsidRPr="00B84886">
          <w:rPr>
            <w:rStyle w:val="Hyperlink"/>
          </w:rPr>
          <w:t>memberstates@itu.int</w:t>
        </w:r>
      </w:hyperlink>
      <w:r w:rsidR="00512E5D" w:rsidRPr="00B84886">
        <w:rPr>
          <w:rStyle w:val="Hyperlink"/>
        </w:rPr>
        <w:t>.</w:t>
      </w:r>
    </w:p>
    <w:p w14:paraId="2FC017B2" w14:textId="1620F485" w:rsidR="00693997" w:rsidRPr="00B84886" w:rsidRDefault="00693997" w:rsidP="00143F07">
      <w:pPr>
        <w:spacing w:before="120" w:after="120" w:line="240" w:lineRule="auto"/>
        <w:jc w:val="left"/>
      </w:pPr>
      <w:r w:rsidRPr="00B84886">
        <w:rPr>
          <w:color w:val="000000"/>
        </w:rPr>
        <w:t>J'attends avec intérêt votre réponse.</w:t>
      </w:r>
    </w:p>
    <w:p w14:paraId="442C0AED" w14:textId="1F4B8E02" w:rsidR="00693997" w:rsidRPr="00B84886" w:rsidRDefault="00693997" w:rsidP="00143F07">
      <w:pPr>
        <w:spacing w:before="120" w:after="120" w:line="240" w:lineRule="auto"/>
        <w:jc w:val="left"/>
        <w:rPr>
          <w:color w:val="000000"/>
        </w:rPr>
      </w:pPr>
      <w:r w:rsidRPr="00B84886">
        <w:rPr>
          <w:color w:val="000000"/>
        </w:rPr>
        <w:t>Veuillez agréer, Madame, Monsieur, l'assurance de ma</w:t>
      </w:r>
      <w:r w:rsidR="001D5FB7" w:rsidRPr="00B84886">
        <w:rPr>
          <w:color w:val="000000"/>
        </w:rPr>
        <w:t xml:space="preserve"> </w:t>
      </w:r>
      <w:r w:rsidRPr="00B84886">
        <w:rPr>
          <w:color w:val="000000"/>
        </w:rPr>
        <w:t>considération distinguée.</w:t>
      </w:r>
    </w:p>
    <w:p w14:paraId="1FA20008" w14:textId="6ACF7AA3" w:rsidR="003B10D9" w:rsidRPr="00B84886" w:rsidRDefault="003B10D9" w:rsidP="00143F07">
      <w:pPr>
        <w:spacing w:before="480" w:after="480" w:line="240" w:lineRule="auto"/>
        <w:rPr>
          <w:i/>
          <w:iCs/>
        </w:rPr>
      </w:pPr>
      <w:r w:rsidRPr="00B84886">
        <w:rPr>
          <w:i/>
          <w:iCs/>
        </w:rPr>
        <w:t>(signé)</w:t>
      </w:r>
    </w:p>
    <w:p w14:paraId="24E7F55F" w14:textId="434A4175" w:rsidR="003B10D9" w:rsidRPr="00B84886" w:rsidRDefault="00022916" w:rsidP="00143F07">
      <w:pPr>
        <w:spacing w:before="120" w:after="120" w:line="240" w:lineRule="auto"/>
        <w:jc w:val="left"/>
      </w:pPr>
      <w:r>
        <w:t>M.</w:t>
      </w:r>
      <w:r w:rsidR="003B10D9" w:rsidRPr="00B84886">
        <w:t xml:space="preserve"> </w:t>
      </w:r>
      <w:proofErr w:type="spellStart"/>
      <w:r w:rsidR="003B10D9" w:rsidRPr="00B84886">
        <w:t>Elsayed</w:t>
      </w:r>
      <w:proofErr w:type="spellEnd"/>
      <w:r w:rsidR="003B10D9" w:rsidRPr="00B84886">
        <w:t xml:space="preserve"> </w:t>
      </w:r>
      <w:proofErr w:type="spellStart"/>
      <w:r w:rsidR="003B10D9" w:rsidRPr="00B84886">
        <w:t>Azzouz</w:t>
      </w:r>
      <w:proofErr w:type="spellEnd"/>
      <w:r w:rsidR="003B10D9" w:rsidRPr="00B84886">
        <w:br/>
      </w:r>
      <w:r w:rsidR="00693997" w:rsidRPr="00B84886">
        <w:t>Président du Conseil</w:t>
      </w:r>
    </w:p>
    <w:p w14:paraId="71BCF568" w14:textId="77777777" w:rsidR="003B10D9" w:rsidRPr="00B84886" w:rsidRDefault="003B10D9" w:rsidP="0035477E">
      <w:pPr>
        <w:spacing w:before="1200" w:after="120" w:line="240" w:lineRule="auto"/>
        <w:rPr>
          <w:b/>
          <w:bCs/>
        </w:rPr>
      </w:pPr>
      <w:r w:rsidRPr="00B84886">
        <w:rPr>
          <w:b/>
          <w:bCs/>
        </w:rPr>
        <w:lastRenderedPageBreak/>
        <w:t>Annexes: 4</w:t>
      </w:r>
    </w:p>
    <w:p w14:paraId="5137BF4D" w14:textId="5E3C3F05" w:rsidR="00EA15B3" w:rsidRPr="00B84886" w:rsidRDefault="00C51A99" w:rsidP="00022916">
      <w:pPr>
        <w:spacing w:before="0" w:line="240" w:lineRule="auto"/>
        <w:jc w:val="left"/>
      </w:pPr>
      <w:hyperlink w:anchor="Annexe1" w:history="1">
        <w:r w:rsidR="003B10D9" w:rsidRPr="00B84886">
          <w:rPr>
            <w:rStyle w:val="Hyperlink"/>
          </w:rPr>
          <w:t>Annexe 1</w:t>
        </w:r>
      </w:hyperlink>
      <w:r w:rsidR="003B10D9" w:rsidRPr="00B84886">
        <w:t xml:space="preserve"> </w:t>
      </w:r>
      <w:r w:rsidR="00512E5D" w:rsidRPr="00B84886">
        <w:t>–</w:t>
      </w:r>
      <w:r w:rsidR="003B10D9" w:rsidRPr="00B84886">
        <w:t xml:space="preserve"> Consultation </w:t>
      </w:r>
      <w:r w:rsidR="00693997" w:rsidRPr="00B84886">
        <w:t xml:space="preserve">sur les résultats des discussions de la consultation virtuelle des </w:t>
      </w:r>
      <w:r w:rsidR="00834907" w:rsidRPr="00B84886">
        <w:t>C</w:t>
      </w:r>
      <w:r w:rsidR="00693997" w:rsidRPr="00B84886">
        <w:t>onseillers tenue du 9 au 12 juin</w:t>
      </w:r>
    </w:p>
    <w:p w14:paraId="652D29E1" w14:textId="1B05A6A8" w:rsidR="003B10D9" w:rsidRPr="00B84886" w:rsidRDefault="00C51A99" w:rsidP="00022916">
      <w:pPr>
        <w:spacing w:before="0" w:line="240" w:lineRule="auto"/>
        <w:jc w:val="left"/>
      </w:pPr>
      <w:hyperlink w:anchor="Annexe2" w:history="1">
        <w:r w:rsidR="003B10D9" w:rsidRPr="00B84886">
          <w:rPr>
            <w:rStyle w:val="Hyperlink"/>
          </w:rPr>
          <w:t>Annexe 2</w:t>
        </w:r>
      </w:hyperlink>
      <w:r w:rsidR="003B10D9" w:rsidRPr="00B84886">
        <w:t xml:space="preserve"> </w:t>
      </w:r>
      <w:r w:rsidR="00512E5D" w:rsidRPr="00B84886">
        <w:t>–</w:t>
      </w:r>
      <w:r w:rsidR="003B10D9" w:rsidRPr="00B84886">
        <w:t xml:space="preserve"> Projet de </w:t>
      </w:r>
      <w:r w:rsidR="00693997" w:rsidRPr="00B84886">
        <w:t>R</w:t>
      </w:r>
      <w:r w:rsidR="003B10D9" w:rsidRPr="00B84886">
        <w:t>ésolution: Ordre du jour de la Conférence mondiale des radiocommunications de</w:t>
      </w:r>
      <w:r w:rsidR="00022916">
        <w:t> </w:t>
      </w:r>
      <w:r w:rsidR="003B10D9" w:rsidRPr="00B84886">
        <w:t>2023</w:t>
      </w:r>
      <w:r w:rsidR="00693997" w:rsidRPr="00B84886">
        <w:t xml:space="preserve"> (CMR-23)</w:t>
      </w:r>
    </w:p>
    <w:p w14:paraId="0C0A529E" w14:textId="353F24B0" w:rsidR="003B10D9" w:rsidRPr="00B84886" w:rsidRDefault="00C51A99" w:rsidP="00022916">
      <w:pPr>
        <w:spacing w:before="0" w:line="240" w:lineRule="auto"/>
        <w:jc w:val="left"/>
      </w:pPr>
      <w:hyperlink w:anchor="Annexe3" w:history="1">
        <w:r w:rsidR="003B10D9" w:rsidRPr="00B84886">
          <w:rPr>
            <w:rStyle w:val="Hyperlink"/>
          </w:rPr>
          <w:t>Annexe 3</w:t>
        </w:r>
      </w:hyperlink>
      <w:r w:rsidR="003B10D9" w:rsidRPr="00B84886">
        <w:t xml:space="preserve"> </w:t>
      </w:r>
      <w:r w:rsidR="00512E5D" w:rsidRPr="00B84886">
        <w:t>–</w:t>
      </w:r>
      <w:r w:rsidR="003B10D9" w:rsidRPr="00B84886">
        <w:t xml:space="preserve"> Décision 482 (modifiée en 2020)</w:t>
      </w:r>
      <w:r w:rsidR="001D5FB7" w:rsidRPr="00B84886">
        <w:t>:</w:t>
      </w:r>
      <w:r w:rsidR="003B10D9" w:rsidRPr="00B84886">
        <w:t xml:space="preserve"> Mise en œuvre du recouvrement des coûts pour le traitement des fiches de notification des réseaux à satellite</w:t>
      </w:r>
    </w:p>
    <w:p w14:paraId="20EAD46A" w14:textId="1931674E" w:rsidR="003B10D9" w:rsidRPr="00B84886" w:rsidRDefault="00C51A99" w:rsidP="00022916">
      <w:pPr>
        <w:spacing w:before="0" w:line="240" w:lineRule="auto"/>
        <w:jc w:val="left"/>
      </w:pPr>
      <w:hyperlink w:anchor="Annexe4" w:history="1">
        <w:r w:rsidR="003B10D9" w:rsidRPr="00B84886">
          <w:rPr>
            <w:rStyle w:val="Hyperlink"/>
          </w:rPr>
          <w:t>Annexe 4</w:t>
        </w:r>
      </w:hyperlink>
      <w:r w:rsidR="003B10D9" w:rsidRPr="00B84886">
        <w:t xml:space="preserve"> </w:t>
      </w:r>
      <w:r w:rsidR="00512E5D" w:rsidRPr="00B84886">
        <w:t>–</w:t>
      </w:r>
      <w:r w:rsidR="003B10D9" w:rsidRPr="00B84886">
        <w:t xml:space="preserve"> Projet de </w:t>
      </w:r>
      <w:r w:rsidR="00693997" w:rsidRPr="00B84886">
        <w:t>D</w:t>
      </w:r>
      <w:r w:rsidR="003B10D9" w:rsidRPr="00B84886">
        <w:t>écision: Dates et durée des sessions de 2021, 2022, 2023, 2024, 2025 et 2026 du Conseil et des séries de réunions des Groupes de travail et des Groupes d'experts du Conseil de 2020, 2021 et 2022</w:t>
      </w:r>
    </w:p>
    <w:p w14:paraId="00E37B55" w14:textId="77777777" w:rsidR="000A249C" w:rsidRPr="00B84886" w:rsidRDefault="000A249C" w:rsidP="00143F07">
      <w:pPr>
        <w:tabs>
          <w:tab w:val="clear" w:pos="794"/>
          <w:tab w:val="clear" w:pos="1191"/>
          <w:tab w:val="clear" w:pos="1588"/>
          <w:tab w:val="clear" w:pos="1985"/>
        </w:tabs>
        <w:overflowPunct/>
        <w:autoSpaceDE/>
        <w:autoSpaceDN/>
        <w:adjustRightInd/>
        <w:spacing w:before="0" w:line="240" w:lineRule="auto"/>
        <w:jc w:val="left"/>
        <w:textAlignment w:val="auto"/>
        <w:rPr>
          <w:sz w:val="20"/>
          <w:szCs w:val="20"/>
        </w:rPr>
      </w:pPr>
      <w:r w:rsidRPr="00B84886">
        <w:rPr>
          <w:sz w:val="20"/>
          <w:szCs w:val="20"/>
        </w:rPr>
        <w:br w:type="page"/>
      </w:r>
    </w:p>
    <w:p w14:paraId="76CE9CED" w14:textId="618DBA7E" w:rsidR="003B10D9" w:rsidRPr="00B84886" w:rsidRDefault="003B10D9" w:rsidP="00872B05">
      <w:pPr>
        <w:pStyle w:val="AnnexNo"/>
        <w:spacing w:before="360"/>
        <w:rPr>
          <w:lang w:val="fr-FR"/>
        </w:rPr>
      </w:pPr>
      <w:bookmarkStart w:id="4" w:name="Signature"/>
      <w:bookmarkStart w:id="5" w:name="Annexe1"/>
      <w:bookmarkEnd w:id="4"/>
      <w:bookmarkEnd w:id="5"/>
      <w:r w:rsidRPr="00B84886">
        <w:rPr>
          <w:lang w:val="fr-FR"/>
        </w:rPr>
        <w:lastRenderedPageBreak/>
        <w:t>ANNEX</w:t>
      </w:r>
      <w:r w:rsidR="006904CB" w:rsidRPr="00B84886">
        <w:rPr>
          <w:lang w:val="fr-FR"/>
        </w:rPr>
        <w:t>E</w:t>
      </w:r>
      <w:r w:rsidRPr="00B84886">
        <w:rPr>
          <w:lang w:val="fr-FR"/>
        </w:rPr>
        <w:t xml:space="preserve"> 1</w:t>
      </w:r>
    </w:p>
    <w:p w14:paraId="6F671F37" w14:textId="0815768F" w:rsidR="003B10D9" w:rsidRPr="00B84886" w:rsidRDefault="003B10D9" w:rsidP="001F7462">
      <w:pPr>
        <w:pStyle w:val="Annextitle"/>
        <w:spacing w:before="120" w:after="120"/>
      </w:pPr>
      <w:r w:rsidRPr="00B84886">
        <w:t xml:space="preserve">Consultation </w:t>
      </w:r>
      <w:r w:rsidR="00693997" w:rsidRPr="00B84886">
        <w:t xml:space="preserve">sur les résultats des discussions de la consultation virtuelle des </w:t>
      </w:r>
      <w:r w:rsidR="00834907" w:rsidRPr="00B84886">
        <w:t>C</w:t>
      </w:r>
      <w:r w:rsidR="00693997" w:rsidRPr="00B84886">
        <w:t>onseillers tenue du 9 au 12 juin</w:t>
      </w:r>
    </w:p>
    <w:p w14:paraId="62256934" w14:textId="3A7202F2" w:rsidR="003B10D9" w:rsidRPr="00B84886" w:rsidRDefault="00693997" w:rsidP="00143F07">
      <w:pPr>
        <w:pStyle w:val="Headingb"/>
        <w:spacing w:after="120" w:line="240" w:lineRule="auto"/>
        <w:jc w:val="left"/>
        <w:rPr>
          <w:sz w:val="24"/>
          <w:szCs w:val="24"/>
        </w:rPr>
      </w:pPr>
      <w:r w:rsidRPr="00B84886">
        <w:rPr>
          <w:sz w:val="24"/>
          <w:szCs w:val="24"/>
        </w:rPr>
        <w:t>Nom de l</w:t>
      </w:r>
      <w:r w:rsidR="001D5FB7" w:rsidRPr="00B84886">
        <w:rPr>
          <w:sz w:val="24"/>
          <w:szCs w:val="24"/>
        </w:rPr>
        <w:t>'</w:t>
      </w:r>
      <w:r w:rsidRPr="00B84886">
        <w:rPr>
          <w:sz w:val="24"/>
          <w:szCs w:val="24"/>
        </w:rPr>
        <w:t>État Membre du Conseil</w:t>
      </w:r>
      <w:r w:rsidR="001D5FB7" w:rsidRPr="00B84886">
        <w:rPr>
          <w:sz w:val="24"/>
          <w:szCs w:val="24"/>
        </w:rPr>
        <w:t>:</w:t>
      </w:r>
    </w:p>
    <w:tbl>
      <w:tblPr>
        <w:tblStyle w:val="TableGrid"/>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6"/>
      </w:tblGrid>
      <w:tr w:rsidR="003B10D9" w:rsidRPr="00B84886" w14:paraId="0AB630A3" w14:textId="77777777" w:rsidTr="003B10D9">
        <w:trPr>
          <w:trHeight w:val="510"/>
        </w:trPr>
        <w:tc>
          <w:tcPr>
            <w:tcW w:w="10916" w:type="dxa"/>
            <w:tcBorders>
              <w:top w:val="single" w:sz="2" w:space="0" w:color="auto"/>
              <w:left w:val="single" w:sz="2" w:space="0" w:color="auto"/>
              <w:bottom w:val="single" w:sz="2" w:space="0" w:color="auto"/>
              <w:right w:val="single" w:sz="2" w:space="0" w:color="auto"/>
            </w:tcBorders>
            <w:vAlign w:val="center"/>
          </w:tcPr>
          <w:p w14:paraId="5041E334" w14:textId="77777777" w:rsidR="003B10D9" w:rsidRPr="00B84886" w:rsidRDefault="003B10D9" w:rsidP="00143F07">
            <w:pPr>
              <w:spacing w:before="0" w:line="240" w:lineRule="auto"/>
              <w:jc w:val="left"/>
              <w:rPr>
                <w:b/>
                <w:bCs/>
                <w:color w:val="000000" w:themeColor="text1"/>
                <w:sz w:val="20"/>
                <w:szCs w:val="20"/>
              </w:rPr>
            </w:pPr>
          </w:p>
        </w:tc>
      </w:tr>
    </w:tbl>
    <w:p w14:paraId="0A74A287" w14:textId="77777777" w:rsidR="003B10D9" w:rsidRPr="00B84886" w:rsidRDefault="003B10D9" w:rsidP="00143F07">
      <w:pPr>
        <w:spacing w:before="0" w:line="240" w:lineRule="auto"/>
        <w:ind w:left="142" w:right="567"/>
        <w:rPr>
          <w:rFonts w:ascii="Calibri Light" w:hAnsi="Calibri Light" w:cs="Calibri Light"/>
          <w:color w:val="000000" w:themeColor="text1"/>
          <w:sz w:val="24"/>
          <w:szCs w:val="24"/>
        </w:rPr>
      </w:pPr>
    </w:p>
    <w:tbl>
      <w:tblPr>
        <w:tblStyle w:val="TableGrid"/>
        <w:tblW w:w="10916" w:type="dxa"/>
        <w:tblInd w:w="-431" w:type="dxa"/>
        <w:tblLook w:val="04A0" w:firstRow="1" w:lastRow="0" w:firstColumn="1" w:lastColumn="0" w:noHBand="0" w:noVBand="1"/>
      </w:tblPr>
      <w:tblGrid>
        <w:gridCol w:w="4201"/>
        <w:gridCol w:w="1494"/>
        <w:gridCol w:w="3810"/>
        <w:gridCol w:w="702"/>
        <w:gridCol w:w="709"/>
      </w:tblGrid>
      <w:tr w:rsidR="003B10D9" w:rsidRPr="00B84886" w14:paraId="0C049E4C" w14:textId="77777777" w:rsidTr="003B10D9">
        <w:tc>
          <w:tcPr>
            <w:tcW w:w="4201" w:type="dxa"/>
            <w:tcBorders>
              <w:top w:val="single" w:sz="4" w:space="0" w:color="auto"/>
              <w:left w:val="single" w:sz="4" w:space="0" w:color="auto"/>
              <w:bottom w:val="single" w:sz="4" w:space="0" w:color="auto"/>
              <w:right w:val="single" w:sz="4" w:space="0" w:color="auto"/>
            </w:tcBorders>
            <w:vAlign w:val="center"/>
            <w:hideMark/>
          </w:tcPr>
          <w:p w14:paraId="378BC932" w14:textId="349DD2F3" w:rsidR="003B10D9" w:rsidRPr="00B84886" w:rsidRDefault="003B10D9" w:rsidP="001F7462">
            <w:pPr>
              <w:pStyle w:val="Tablehead"/>
              <w:spacing w:before="40" w:after="40"/>
              <w:rPr>
                <w:sz w:val="22"/>
              </w:rPr>
            </w:pPr>
            <w:r w:rsidRPr="00B84886">
              <w:t>Sujet</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8B246D4" w14:textId="4114BDDC" w:rsidR="003B10D9" w:rsidRPr="00B84886" w:rsidRDefault="003B10D9" w:rsidP="001F7462">
            <w:pPr>
              <w:pStyle w:val="Tablehead"/>
              <w:spacing w:before="40" w:after="40"/>
              <w:rPr>
                <w:szCs w:val="20"/>
              </w:rPr>
            </w:pPr>
            <w:r w:rsidRPr="00B84886">
              <w:rPr>
                <w:szCs w:val="20"/>
              </w:rPr>
              <w:t>N</w:t>
            </w:r>
            <w:r w:rsidR="00D03BEC" w:rsidRPr="00B84886">
              <w:rPr>
                <w:szCs w:val="20"/>
              </w:rPr>
              <w:t xml:space="preserve">° </w:t>
            </w:r>
            <w:r w:rsidR="00693997" w:rsidRPr="00B84886">
              <w:rPr>
                <w:szCs w:val="20"/>
              </w:rPr>
              <w:t xml:space="preserve">du document de référence </w:t>
            </w:r>
          </w:p>
        </w:tc>
        <w:tc>
          <w:tcPr>
            <w:tcW w:w="3810" w:type="dxa"/>
            <w:tcBorders>
              <w:top w:val="single" w:sz="4" w:space="0" w:color="auto"/>
              <w:left w:val="single" w:sz="4" w:space="0" w:color="auto"/>
              <w:bottom w:val="single" w:sz="4" w:space="0" w:color="auto"/>
              <w:right w:val="single" w:sz="4" w:space="0" w:color="auto"/>
            </w:tcBorders>
            <w:vAlign w:val="center"/>
            <w:hideMark/>
          </w:tcPr>
          <w:p w14:paraId="3A53E751" w14:textId="24FF4699" w:rsidR="003B10D9" w:rsidRPr="00B84886" w:rsidRDefault="003B10D9" w:rsidP="001F7462">
            <w:pPr>
              <w:pStyle w:val="Tablehead"/>
              <w:spacing w:before="40" w:after="40"/>
              <w:rPr>
                <w:sz w:val="22"/>
              </w:rPr>
            </w:pPr>
            <w:r w:rsidRPr="00B84886">
              <w:t>Proposition</w:t>
            </w:r>
          </w:p>
        </w:tc>
        <w:tc>
          <w:tcPr>
            <w:tcW w:w="702" w:type="dxa"/>
            <w:tcBorders>
              <w:top w:val="single" w:sz="4" w:space="0" w:color="auto"/>
              <w:left w:val="single" w:sz="4" w:space="0" w:color="auto"/>
              <w:bottom w:val="single" w:sz="4" w:space="0" w:color="auto"/>
              <w:right w:val="single" w:sz="4" w:space="0" w:color="auto"/>
            </w:tcBorders>
            <w:vAlign w:val="center"/>
            <w:hideMark/>
          </w:tcPr>
          <w:p w14:paraId="3FDDE006" w14:textId="75129ABB" w:rsidR="003B10D9" w:rsidRPr="00B84886" w:rsidRDefault="003B10D9" w:rsidP="001F7462">
            <w:pPr>
              <w:pStyle w:val="Tablehead"/>
              <w:spacing w:before="40" w:after="40"/>
            </w:pPr>
            <w:r w:rsidRPr="00B84886">
              <w:t>Oui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E8189A" w14:textId="73E80D71" w:rsidR="003B10D9" w:rsidRPr="00B84886" w:rsidRDefault="003B10D9" w:rsidP="001F7462">
            <w:pPr>
              <w:pStyle w:val="Tablehead"/>
              <w:spacing w:before="40" w:after="40"/>
            </w:pPr>
            <w:r w:rsidRPr="00B84886">
              <w:t>Non</w:t>
            </w:r>
          </w:p>
        </w:tc>
      </w:tr>
      <w:tr w:rsidR="003B10D9" w:rsidRPr="00B84886" w14:paraId="7721AB79" w14:textId="77777777" w:rsidTr="003B10D9">
        <w:tc>
          <w:tcPr>
            <w:tcW w:w="4201" w:type="dxa"/>
            <w:tcBorders>
              <w:top w:val="single" w:sz="4" w:space="0" w:color="auto"/>
              <w:left w:val="single" w:sz="4" w:space="0" w:color="auto"/>
              <w:bottom w:val="single" w:sz="4" w:space="0" w:color="auto"/>
              <w:right w:val="single" w:sz="4" w:space="0" w:color="auto"/>
            </w:tcBorders>
            <w:vAlign w:val="center"/>
            <w:hideMark/>
          </w:tcPr>
          <w:p w14:paraId="28396EA0" w14:textId="53C47836" w:rsidR="003B10D9" w:rsidRPr="00B84886" w:rsidRDefault="006904CB" w:rsidP="001F7462">
            <w:pPr>
              <w:pStyle w:val="Tabletext"/>
            </w:pPr>
            <w:r w:rsidRPr="00B84886">
              <w:t>Travaux préparatoires en vue de</w:t>
            </w:r>
            <w:r w:rsidR="001D5FB7" w:rsidRPr="00B84886">
              <w:t xml:space="preserve"> </w:t>
            </w:r>
            <w:r w:rsidR="00834907" w:rsidRPr="00B84886">
              <w:t>l</w:t>
            </w:r>
            <w:r w:rsidR="001D5FB7" w:rsidRPr="00B84886">
              <w:t>'</w:t>
            </w:r>
            <w:r w:rsidRPr="00B84886">
              <w:t>AMNT-20</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E55BFA0" w14:textId="77777777" w:rsidR="003B10D9" w:rsidRPr="00B84886" w:rsidRDefault="00C51A99" w:rsidP="001F7462">
            <w:pPr>
              <w:pStyle w:val="Tabletext"/>
              <w:jc w:val="center"/>
            </w:pPr>
            <w:hyperlink r:id="rId13" w:history="1">
              <w:r w:rsidR="003B10D9" w:rsidRPr="00B84886">
                <w:rPr>
                  <w:rStyle w:val="Hyperlink"/>
                  <w:szCs w:val="20"/>
                </w:rPr>
                <w:t>C20/24</w:t>
              </w:r>
            </w:hyperlink>
          </w:p>
          <w:p w14:paraId="7AA52C3F" w14:textId="77777777" w:rsidR="003B10D9" w:rsidRPr="00B84886" w:rsidRDefault="00C51A99" w:rsidP="001F7462">
            <w:pPr>
              <w:pStyle w:val="Tabletext"/>
              <w:jc w:val="center"/>
            </w:pPr>
            <w:hyperlink r:id="rId14" w:history="1">
              <w:r w:rsidR="003B10D9" w:rsidRPr="00B84886">
                <w:rPr>
                  <w:rStyle w:val="Hyperlink"/>
                  <w:szCs w:val="20"/>
                </w:rPr>
                <w:t>VC/5</w:t>
              </w:r>
            </w:hyperlink>
          </w:p>
        </w:tc>
        <w:tc>
          <w:tcPr>
            <w:tcW w:w="3810" w:type="dxa"/>
            <w:tcBorders>
              <w:top w:val="single" w:sz="4" w:space="0" w:color="auto"/>
              <w:left w:val="single" w:sz="4" w:space="0" w:color="auto"/>
              <w:bottom w:val="single" w:sz="4" w:space="0" w:color="auto"/>
              <w:right w:val="single" w:sz="4" w:space="0" w:color="auto"/>
            </w:tcBorders>
            <w:hideMark/>
          </w:tcPr>
          <w:p w14:paraId="2D9F65E6" w14:textId="6668261E" w:rsidR="003B10D9" w:rsidRPr="00B84886" w:rsidRDefault="00693997" w:rsidP="001F7462">
            <w:pPr>
              <w:pStyle w:val="Tabletext"/>
            </w:pPr>
            <w:r w:rsidRPr="00B84886">
              <w:t>Approuver le changement des dates de l</w:t>
            </w:r>
            <w:r w:rsidR="001D5FB7" w:rsidRPr="00B84886">
              <w:t>'</w:t>
            </w:r>
            <w:r w:rsidRPr="00B84886">
              <w:t>AMNT-20 pour que cette Assemblée</w:t>
            </w:r>
            <w:r w:rsidR="001D5FB7" w:rsidRPr="00B84886">
              <w:t xml:space="preserve"> </w:t>
            </w:r>
            <w:r w:rsidRPr="00B84886">
              <w:t>se tienne</w:t>
            </w:r>
            <w:r w:rsidR="001D5FB7" w:rsidRPr="00B84886">
              <w:t xml:space="preserve"> </w:t>
            </w:r>
            <w:r w:rsidRPr="00B84886">
              <w:t>du 23 février au 5 mars</w:t>
            </w:r>
            <w:r w:rsidR="001D5FB7" w:rsidRPr="00B84886">
              <w:t xml:space="preserve"> </w:t>
            </w:r>
            <w:r w:rsidR="003B10D9" w:rsidRPr="00B84886">
              <w:t>2021</w:t>
            </w:r>
          </w:p>
        </w:tc>
        <w:tc>
          <w:tcPr>
            <w:tcW w:w="702" w:type="dxa"/>
            <w:tcBorders>
              <w:top w:val="single" w:sz="4" w:space="0" w:color="auto"/>
              <w:left w:val="single" w:sz="4" w:space="0" w:color="auto"/>
              <w:bottom w:val="single" w:sz="4" w:space="0" w:color="auto"/>
              <w:right w:val="single" w:sz="4" w:space="0" w:color="auto"/>
            </w:tcBorders>
            <w:vAlign w:val="center"/>
          </w:tcPr>
          <w:p w14:paraId="5714E984" w14:textId="77777777" w:rsidR="003B10D9" w:rsidRPr="00B84886" w:rsidRDefault="003B10D9"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584F594C" w14:textId="77777777" w:rsidR="003B10D9" w:rsidRPr="00B84886" w:rsidRDefault="003B10D9" w:rsidP="001F7462">
            <w:pPr>
              <w:pStyle w:val="Tabletext"/>
            </w:pPr>
          </w:p>
        </w:tc>
      </w:tr>
      <w:tr w:rsidR="003B10D9" w:rsidRPr="00B84886" w14:paraId="63E97910" w14:textId="77777777" w:rsidTr="003B10D9">
        <w:tc>
          <w:tcPr>
            <w:tcW w:w="4201" w:type="dxa"/>
            <w:tcBorders>
              <w:top w:val="single" w:sz="4" w:space="0" w:color="auto"/>
              <w:left w:val="single" w:sz="4" w:space="0" w:color="auto"/>
              <w:bottom w:val="single" w:sz="4" w:space="0" w:color="auto"/>
              <w:right w:val="single" w:sz="4" w:space="0" w:color="auto"/>
            </w:tcBorders>
            <w:vAlign w:val="center"/>
            <w:hideMark/>
          </w:tcPr>
          <w:p w14:paraId="61BC2C41" w14:textId="002D284D" w:rsidR="003B10D9" w:rsidRPr="00B84886" w:rsidRDefault="006904CB" w:rsidP="001F7462">
            <w:pPr>
              <w:pStyle w:val="Tabletext"/>
            </w:pPr>
            <w:r w:rsidRPr="00B84886">
              <w:t>Conférence mondiale des radiocommunications</w:t>
            </w:r>
            <w:r w:rsidR="00693997" w:rsidRPr="00B84886">
              <w:t xml:space="preserve"> de</w:t>
            </w:r>
            <w:r w:rsidR="001D5FB7" w:rsidRPr="00B84886">
              <w:t xml:space="preserve"> </w:t>
            </w:r>
            <w:r w:rsidR="003B10D9" w:rsidRPr="00B84886">
              <w:t>2023</w:t>
            </w:r>
          </w:p>
        </w:tc>
        <w:tc>
          <w:tcPr>
            <w:tcW w:w="1494" w:type="dxa"/>
            <w:tcBorders>
              <w:top w:val="single" w:sz="4" w:space="0" w:color="auto"/>
              <w:left w:val="single" w:sz="4" w:space="0" w:color="auto"/>
              <w:bottom w:val="single" w:sz="4" w:space="0" w:color="auto"/>
              <w:right w:val="single" w:sz="4" w:space="0" w:color="auto"/>
            </w:tcBorders>
            <w:hideMark/>
          </w:tcPr>
          <w:p w14:paraId="0AFA97A7" w14:textId="77777777" w:rsidR="003B10D9" w:rsidRPr="00B84886" w:rsidRDefault="00C51A99" w:rsidP="001F7462">
            <w:pPr>
              <w:pStyle w:val="Tabletext"/>
              <w:jc w:val="center"/>
            </w:pPr>
            <w:hyperlink r:id="rId15" w:history="1">
              <w:r w:rsidR="003B10D9" w:rsidRPr="00B84886">
                <w:rPr>
                  <w:rStyle w:val="Hyperlink"/>
                  <w:bCs/>
                  <w:szCs w:val="20"/>
                </w:rPr>
                <w:t>C20/55</w:t>
              </w:r>
            </w:hyperlink>
          </w:p>
        </w:tc>
        <w:tc>
          <w:tcPr>
            <w:tcW w:w="3810" w:type="dxa"/>
            <w:tcBorders>
              <w:top w:val="single" w:sz="4" w:space="0" w:color="auto"/>
              <w:left w:val="single" w:sz="4" w:space="0" w:color="auto"/>
              <w:bottom w:val="single" w:sz="4" w:space="0" w:color="auto"/>
              <w:right w:val="single" w:sz="4" w:space="0" w:color="auto"/>
            </w:tcBorders>
            <w:hideMark/>
          </w:tcPr>
          <w:p w14:paraId="4A989392" w14:textId="68ECFB0E" w:rsidR="003B10D9" w:rsidRPr="00B84886" w:rsidRDefault="00693997" w:rsidP="001F7462">
            <w:pPr>
              <w:pStyle w:val="Tabletext"/>
            </w:pPr>
            <w:r w:rsidRPr="00B84886">
              <w:t>Approuver l</w:t>
            </w:r>
            <w:r w:rsidR="001D5FB7" w:rsidRPr="00B84886">
              <w:t>'</w:t>
            </w:r>
            <w:r w:rsidRPr="00B84886">
              <w:t>ordre du jour de la CMR</w:t>
            </w:r>
            <w:r w:rsidR="008131A3" w:rsidRPr="00B84886">
              <w:t>-</w:t>
            </w:r>
            <w:r w:rsidRPr="00B84886">
              <w:t>23 en adoptant la Résolution</w:t>
            </w:r>
            <w:r w:rsidR="001D5FB7" w:rsidRPr="00B84886">
              <w:t xml:space="preserve"> </w:t>
            </w:r>
            <w:r w:rsidRPr="00B84886">
              <w:t>reproduite dans l</w:t>
            </w:r>
            <w:r w:rsidR="001D5FB7" w:rsidRPr="00B84886">
              <w:t>'</w:t>
            </w:r>
            <w:r w:rsidR="00834907" w:rsidRPr="00B84886">
              <w:t>A</w:t>
            </w:r>
            <w:r w:rsidRPr="00B84886">
              <w:t>nnexe</w:t>
            </w:r>
            <w:r w:rsidR="001D5FB7" w:rsidRPr="00B84886">
              <w:t xml:space="preserve"> </w:t>
            </w:r>
            <w:r w:rsidR="003B10D9" w:rsidRPr="00B84886">
              <w:t>2</w:t>
            </w:r>
          </w:p>
        </w:tc>
        <w:tc>
          <w:tcPr>
            <w:tcW w:w="702" w:type="dxa"/>
            <w:tcBorders>
              <w:top w:val="single" w:sz="4" w:space="0" w:color="auto"/>
              <w:left w:val="single" w:sz="4" w:space="0" w:color="auto"/>
              <w:bottom w:val="single" w:sz="4" w:space="0" w:color="auto"/>
              <w:right w:val="single" w:sz="4" w:space="0" w:color="auto"/>
            </w:tcBorders>
            <w:vAlign w:val="center"/>
          </w:tcPr>
          <w:p w14:paraId="5A6220D4" w14:textId="77777777" w:rsidR="003B10D9" w:rsidRPr="00B84886" w:rsidRDefault="003B10D9"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0192483A" w14:textId="77777777" w:rsidR="003B10D9" w:rsidRPr="00B84886" w:rsidRDefault="003B10D9" w:rsidP="001F7462">
            <w:pPr>
              <w:pStyle w:val="Tabletext"/>
            </w:pPr>
          </w:p>
        </w:tc>
      </w:tr>
      <w:tr w:rsidR="003B10D9" w:rsidRPr="00B84886" w14:paraId="59AA4591" w14:textId="77777777" w:rsidTr="003B10D9">
        <w:tc>
          <w:tcPr>
            <w:tcW w:w="4201" w:type="dxa"/>
            <w:tcBorders>
              <w:top w:val="single" w:sz="4" w:space="0" w:color="auto"/>
              <w:left w:val="single" w:sz="4" w:space="0" w:color="auto"/>
              <w:bottom w:val="single" w:sz="4" w:space="0" w:color="auto"/>
              <w:right w:val="single" w:sz="4" w:space="0" w:color="auto"/>
            </w:tcBorders>
            <w:vAlign w:val="center"/>
            <w:hideMark/>
          </w:tcPr>
          <w:p w14:paraId="0ED64A29" w14:textId="5D3BFDA7" w:rsidR="003B10D9" w:rsidRPr="00B84886" w:rsidRDefault="006904CB" w:rsidP="001F7462">
            <w:pPr>
              <w:pStyle w:val="Tabletext"/>
            </w:pPr>
            <w:r w:rsidRPr="00B84886">
              <w:t xml:space="preserve">Recouvrement des coûts pour le traitement des fiches de notification des réseaux à satellite </w:t>
            </w:r>
            <w:r w:rsidR="003B10D9" w:rsidRPr="00B84886">
              <w:t>(D</w:t>
            </w:r>
            <w:r w:rsidR="008131A3" w:rsidRPr="00B84886">
              <w:t> </w:t>
            </w:r>
            <w:r w:rsidR="003B10D9" w:rsidRPr="00B84886">
              <w:t>482(MOD))</w:t>
            </w:r>
          </w:p>
        </w:tc>
        <w:tc>
          <w:tcPr>
            <w:tcW w:w="1494" w:type="dxa"/>
            <w:tcBorders>
              <w:top w:val="single" w:sz="4" w:space="0" w:color="auto"/>
              <w:left w:val="single" w:sz="4" w:space="0" w:color="auto"/>
              <w:bottom w:val="single" w:sz="4" w:space="0" w:color="auto"/>
              <w:right w:val="single" w:sz="4" w:space="0" w:color="auto"/>
            </w:tcBorders>
            <w:vAlign w:val="center"/>
            <w:hideMark/>
          </w:tcPr>
          <w:p w14:paraId="4DE7C2B0" w14:textId="77777777" w:rsidR="003B10D9" w:rsidRPr="00B84886" w:rsidRDefault="00C51A99" w:rsidP="001F7462">
            <w:pPr>
              <w:pStyle w:val="Tabletext"/>
              <w:jc w:val="center"/>
              <w:rPr>
                <w:rStyle w:val="Hyperlink"/>
                <w:bCs/>
                <w:szCs w:val="20"/>
              </w:rPr>
            </w:pPr>
            <w:hyperlink r:id="rId16" w:history="1">
              <w:r w:rsidR="003B10D9" w:rsidRPr="00B84886">
                <w:rPr>
                  <w:rStyle w:val="Hyperlink"/>
                  <w:bCs/>
                  <w:szCs w:val="20"/>
                </w:rPr>
                <w:t>C20/16</w:t>
              </w:r>
            </w:hyperlink>
          </w:p>
          <w:p w14:paraId="4F24B1D4" w14:textId="77777777" w:rsidR="003B10D9" w:rsidRPr="00B84886" w:rsidRDefault="00C51A99" w:rsidP="001F7462">
            <w:pPr>
              <w:pStyle w:val="Tabletext"/>
              <w:jc w:val="center"/>
            </w:pPr>
            <w:hyperlink r:id="rId17" w:history="1">
              <w:r w:rsidR="003B10D9" w:rsidRPr="00B84886">
                <w:rPr>
                  <w:rStyle w:val="Hyperlink"/>
                  <w:bCs/>
                  <w:szCs w:val="20"/>
                </w:rPr>
                <w:t>DT/2</w:t>
              </w:r>
            </w:hyperlink>
          </w:p>
        </w:tc>
        <w:tc>
          <w:tcPr>
            <w:tcW w:w="3810" w:type="dxa"/>
            <w:tcBorders>
              <w:top w:val="single" w:sz="4" w:space="0" w:color="auto"/>
              <w:left w:val="single" w:sz="4" w:space="0" w:color="auto"/>
              <w:bottom w:val="single" w:sz="4" w:space="0" w:color="auto"/>
              <w:right w:val="single" w:sz="4" w:space="0" w:color="auto"/>
            </w:tcBorders>
            <w:vAlign w:val="center"/>
            <w:hideMark/>
          </w:tcPr>
          <w:p w14:paraId="4DC6EE54" w14:textId="6E37ACCC" w:rsidR="003B10D9" w:rsidRPr="00B84886" w:rsidRDefault="008131A3" w:rsidP="001F7462">
            <w:pPr>
              <w:pStyle w:val="Tabletext"/>
            </w:pPr>
            <w:r w:rsidRPr="00B84886">
              <w:t>A</w:t>
            </w:r>
            <w:r w:rsidR="00693997" w:rsidRPr="00B84886">
              <w:t>pprouver le projet de Décision 482 modifiée reproduite dans l</w:t>
            </w:r>
            <w:r w:rsidR="001D5FB7" w:rsidRPr="00B84886">
              <w:t>'</w:t>
            </w:r>
            <w:r w:rsidR="00693997" w:rsidRPr="00B84886">
              <w:t>Annexe</w:t>
            </w:r>
            <w:r w:rsidR="001D5FB7" w:rsidRPr="00B84886">
              <w:t xml:space="preserve"> </w:t>
            </w:r>
            <w:r w:rsidR="003B10D9" w:rsidRPr="00B84886">
              <w:t>3</w:t>
            </w:r>
          </w:p>
        </w:tc>
        <w:tc>
          <w:tcPr>
            <w:tcW w:w="702" w:type="dxa"/>
            <w:tcBorders>
              <w:top w:val="single" w:sz="4" w:space="0" w:color="auto"/>
              <w:left w:val="single" w:sz="4" w:space="0" w:color="auto"/>
              <w:bottom w:val="single" w:sz="4" w:space="0" w:color="auto"/>
              <w:right w:val="single" w:sz="4" w:space="0" w:color="auto"/>
            </w:tcBorders>
            <w:vAlign w:val="center"/>
          </w:tcPr>
          <w:p w14:paraId="63B1DDF6" w14:textId="77777777" w:rsidR="003B10D9" w:rsidRPr="00B84886" w:rsidRDefault="003B10D9"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399D1137" w14:textId="77777777" w:rsidR="003B10D9" w:rsidRPr="00B84886" w:rsidRDefault="003B10D9" w:rsidP="001F7462">
            <w:pPr>
              <w:pStyle w:val="Tabletext"/>
            </w:pPr>
          </w:p>
        </w:tc>
      </w:tr>
      <w:tr w:rsidR="003B10D9" w:rsidRPr="00B84886" w14:paraId="133A7962" w14:textId="77777777" w:rsidTr="003B10D9">
        <w:tc>
          <w:tcPr>
            <w:tcW w:w="4201" w:type="dxa"/>
            <w:vMerge w:val="restart"/>
            <w:tcBorders>
              <w:top w:val="single" w:sz="4" w:space="0" w:color="auto"/>
              <w:left w:val="single" w:sz="4" w:space="0" w:color="auto"/>
              <w:bottom w:val="single" w:sz="4" w:space="0" w:color="auto"/>
              <w:right w:val="single" w:sz="4" w:space="0" w:color="auto"/>
            </w:tcBorders>
            <w:vAlign w:val="center"/>
            <w:hideMark/>
          </w:tcPr>
          <w:p w14:paraId="743BBCAA" w14:textId="5B73C652" w:rsidR="003B10D9" w:rsidRPr="00B84886" w:rsidRDefault="006904CB" w:rsidP="001F7462">
            <w:pPr>
              <w:pStyle w:val="Tabletext"/>
            </w:pPr>
            <w:r w:rsidRPr="00B84886">
              <w:t>Rapport sur</w:t>
            </w:r>
            <w:r w:rsidR="001D5FB7" w:rsidRPr="00B84886">
              <w:t xml:space="preserve"> </w:t>
            </w:r>
            <w:r w:rsidR="00834907" w:rsidRPr="00B84886">
              <w:t>l</w:t>
            </w:r>
            <w:r w:rsidR="001D5FB7" w:rsidRPr="00B84886">
              <w:t>'</w:t>
            </w:r>
            <w:r w:rsidRPr="00B84886">
              <w:t>AR-19 et la</w:t>
            </w:r>
            <w:r w:rsidR="001D5FB7" w:rsidRPr="00B84886">
              <w:t xml:space="preserve"> </w:t>
            </w:r>
            <w:r w:rsidRPr="00B84886">
              <w:t>CMR-19</w:t>
            </w:r>
            <w:r w:rsidR="00834907" w:rsidRPr="00B84886">
              <w:t xml:space="preserve"> </w:t>
            </w:r>
            <w:r w:rsidRPr="00B84886">
              <w:t>(Mise</w:t>
            </w:r>
            <w:r w:rsidR="001D5FB7" w:rsidRPr="00B84886">
              <w:t xml:space="preserve"> </w:t>
            </w:r>
            <w:r w:rsidR="00834907" w:rsidRPr="00B84886">
              <w:t xml:space="preserve">en </w:t>
            </w:r>
            <w:r w:rsidR="008131A3" w:rsidRPr="00B84886">
              <w:t>œuvre</w:t>
            </w:r>
            <w:r w:rsidRPr="00B84886">
              <w:t xml:space="preserve"> de la Résolution 559)</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32C1C2AA" w14:textId="77777777" w:rsidR="003B10D9" w:rsidRPr="00B84886" w:rsidRDefault="00C51A99" w:rsidP="001F7462">
            <w:pPr>
              <w:pStyle w:val="Tabletext"/>
              <w:jc w:val="center"/>
            </w:pPr>
            <w:hyperlink r:id="rId18" w:history="1">
              <w:r w:rsidR="003B10D9" w:rsidRPr="00B84886">
                <w:rPr>
                  <w:rStyle w:val="Hyperlink"/>
                  <w:szCs w:val="20"/>
                </w:rPr>
                <w:t>C20/27</w:t>
              </w:r>
            </w:hyperlink>
          </w:p>
          <w:p w14:paraId="4E55C5CE" w14:textId="77777777" w:rsidR="003B10D9" w:rsidRPr="00B84886" w:rsidRDefault="00C51A99" w:rsidP="001F7462">
            <w:pPr>
              <w:pStyle w:val="Tabletext"/>
              <w:jc w:val="center"/>
            </w:pPr>
            <w:hyperlink r:id="rId19" w:history="1">
              <w:r w:rsidR="003B10D9" w:rsidRPr="00B84886">
                <w:rPr>
                  <w:rStyle w:val="Hyperlink"/>
                  <w:szCs w:val="20"/>
                </w:rPr>
                <w:t>VC/11</w:t>
              </w:r>
            </w:hyperlink>
          </w:p>
          <w:p w14:paraId="4B9245B4" w14:textId="77777777" w:rsidR="003B10D9" w:rsidRPr="00B84886" w:rsidRDefault="00C51A99" w:rsidP="001F7462">
            <w:pPr>
              <w:pStyle w:val="Tabletext"/>
              <w:jc w:val="center"/>
            </w:pPr>
            <w:hyperlink r:id="rId20" w:history="1">
              <w:r w:rsidR="003B10D9" w:rsidRPr="00B84886">
                <w:rPr>
                  <w:rStyle w:val="Hyperlink"/>
                  <w:szCs w:val="20"/>
                </w:rPr>
                <w:t>VC/9</w:t>
              </w:r>
            </w:hyperlink>
          </w:p>
        </w:tc>
        <w:tc>
          <w:tcPr>
            <w:tcW w:w="3810" w:type="dxa"/>
            <w:tcBorders>
              <w:top w:val="single" w:sz="4" w:space="0" w:color="auto"/>
              <w:left w:val="single" w:sz="4" w:space="0" w:color="auto"/>
              <w:bottom w:val="single" w:sz="4" w:space="0" w:color="auto"/>
              <w:right w:val="single" w:sz="4" w:space="0" w:color="auto"/>
            </w:tcBorders>
            <w:hideMark/>
          </w:tcPr>
          <w:p w14:paraId="4588EA60" w14:textId="45A75B4B" w:rsidR="003B10D9" w:rsidRPr="00B84886" w:rsidRDefault="00621551" w:rsidP="001F7462">
            <w:pPr>
              <w:pStyle w:val="Tabletext"/>
            </w:pPr>
            <w:r w:rsidRPr="00B84886">
              <w:t xml:space="preserve">Appuyer la demande formulée dans le </w:t>
            </w:r>
            <w:r w:rsidR="001F7462" w:rsidRPr="00B84886">
              <w:t>D</w:t>
            </w:r>
            <w:r w:rsidRPr="00B84886">
              <w:t>ocument</w:t>
            </w:r>
            <w:r w:rsidR="001D5FB7" w:rsidRPr="00B84886">
              <w:t xml:space="preserve"> </w:t>
            </w:r>
            <w:r w:rsidR="003B10D9" w:rsidRPr="00B84886">
              <w:t>VC/11</w:t>
            </w:r>
          </w:p>
        </w:tc>
        <w:tc>
          <w:tcPr>
            <w:tcW w:w="702" w:type="dxa"/>
            <w:tcBorders>
              <w:top w:val="single" w:sz="4" w:space="0" w:color="auto"/>
              <w:left w:val="single" w:sz="4" w:space="0" w:color="auto"/>
              <w:bottom w:val="single" w:sz="4" w:space="0" w:color="auto"/>
              <w:right w:val="single" w:sz="4" w:space="0" w:color="auto"/>
            </w:tcBorders>
            <w:vAlign w:val="center"/>
          </w:tcPr>
          <w:p w14:paraId="30943281" w14:textId="77777777" w:rsidR="003B10D9" w:rsidRPr="00B84886" w:rsidRDefault="003B10D9"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4062393C" w14:textId="77777777" w:rsidR="003B10D9" w:rsidRPr="00B84886" w:rsidRDefault="003B10D9" w:rsidP="001F7462">
            <w:pPr>
              <w:pStyle w:val="Tabletext"/>
            </w:pPr>
          </w:p>
        </w:tc>
      </w:tr>
      <w:tr w:rsidR="003B10D9" w:rsidRPr="00B84886" w14:paraId="03A94C79" w14:textId="77777777" w:rsidTr="003B10D9">
        <w:tc>
          <w:tcPr>
            <w:tcW w:w="0" w:type="auto"/>
            <w:vMerge/>
            <w:tcBorders>
              <w:top w:val="single" w:sz="4" w:space="0" w:color="auto"/>
              <w:left w:val="single" w:sz="4" w:space="0" w:color="auto"/>
              <w:bottom w:val="single" w:sz="4" w:space="0" w:color="auto"/>
              <w:right w:val="single" w:sz="4" w:space="0" w:color="auto"/>
            </w:tcBorders>
            <w:vAlign w:val="center"/>
            <w:hideMark/>
          </w:tcPr>
          <w:p w14:paraId="454F5C20" w14:textId="77777777" w:rsidR="003B10D9" w:rsidRPr="00B84886" w:rsidRDefault="003B10D9" w:rsidP="001F7462">
            <w:pPr>
              <w:pStyle w:val="Tabletex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E01F5" w14:textId="77777777" w:rsidR="003B10D9" w:rsidRPr="00B84886" w:rsidRDefault="003B10D9" w:rsidP="001F7462">
            <w:pPr>
              <w:pStyle w:val="Tabletext"/>
              <w:jc w:val="center"/>
            </w:pPr>
          </w:p>
        </w:tc>
        <w:tc>
          <w:tcPr>
            <w:tcW w:w="3810" w:type="dxa"/>
            <w:tcBorders>
              <w:top w:val="single" w:sz="4" w:space="0" w:color="auto"/>
              <w:left w:val="single" w:sz="4" w:space="0" w:color="auto"/>
              <w:bottom w:val="single" w:sz="4" w:space="0" w:color="auto"/>
              <w:right w:val="single" w:sz="4" w:space="0" w:color="auto"/>
            </w:tcBorders>
            <w:vAlign w:val="center"/>
            <w:hideMark/>
          </w:tcPr>
          <w:p w14:paraId="32EDCEAD" w14:textId="2AEF5EBC" w:rsidR="003B10D9" w:rsidRPr="00B84886" w:rsidRDefault="00621551" w:rsidP="001F7462">
            <w:pPr>
              <w:pStyle w:val="Tabletext"/>
            </w:pPr>
            <w:r w:rsidRPr="00B84886">
              <w:t xml:space="preserve">Appuyer la demande formulée dans le </w:t>
            </w:r>
            <w:r w:rsidR="001F7462" w:rsidRPr="00B84886">
              <w:t>D</w:t>
            </w:r>
            <w:r w:rsidRPr="00B84886">
              <w:t>ocument</w:t>
            </w:r>
            <w:r w:rsidR="001D5FB7" w:rsidRPr="00B84886">
              <w:t xml:space="preserve"> </w:t>
            </w:r>
            <w:r w:rsidR="003B10D9" w:rsidRPr="00B84886">
              <w:t>VC/9</w:t>
            </w:r>
          </w:p>
        </w:tc>
        <w:tc>
          <w:tcPr>
            <w:tcW w:w="702" w:type="dxa"/>
            <w:tcBorders>
              <w:top w:val="single" w:sz="4" w:space="0" w:color="auto"/>
              <w:left w:val="single" w:sz="4" w:space="0" w:color="auto"/>
              <w:bottom w:val="single" w:sz="4" w:space="0" w:color="auto"/>
              <w:right w:val="single" w:sz="4" w:space="0" w:color="auto"/>
            </w:tcBorders>
            <w:vAlign w:val="center"/>
          </w:tcPr>
          <w:p w14:paraId="681E7EF0" w14:textId="77777777" w:rsidR="003B10D9" w:rsidRPr="00B84886" w:rsidRDefault="003B10D9"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74F8B0F3" w14:textId="77777777" w:rsidR="003B10D9" w:rsidRPr="00B84886" w:rsidRDefault="003B10D9" w:rsidP="001F7462">
            <w:pPr>
              <w:pStyle w:val="Tabletext"/>
            </w:pPr>
          </w:p>
        </w:tc>
      </w:tr>
      <w:tr w:rsidR="003B10D9" w:rsidRPr="00B84886" w14:paraId="3E9F7173" w14:textId="77777777" w:rsidTr="003B10D9">
        <w:tc>
          <w:tcPr>
            <w:tcW w:w="4201" w:type="dxa"/>
            <w:tcBorders>
              <w:top w:val="single" w:sz="4" w:space="0" w:color="auto"/>
              <w:left w:val="single" w:sz="4" w:space="0" w:color="auto"/>
              <w:bottom w:val="single" w:sz="4" w:space="0" w:color="auto"/>
              <w:right w:val="single" w:sz="4" w:space="0" w:color="auto"/>
            </w:tcBorders>
            <w:vAlign w:val="center"/>
            <w:hideMark/>
          </w:tcPr>
          <w:p w14:paraId="10E76A8B" w14:textId="40CB8204" w:rsidR="003B10D9" w:rsidRPr="00B84886" w:rsidRDefault="006904CB" w:rsidP="001F7462">
            <w:pPr>
              <w:pStyle w:val="Tabletext"/>
            </w:pPr>
            <w:r w:rsidRPr="00B84886">
              <w:rPr>
                <w:rFonts w:cs="Arial"/>
                <w:spacing w:val="-2"/>
              </w:rPr>
              <w:t>Dates et durée proposées pour les sessions de</w:t>
            </w:r>
            <w:r w:rsidR="001F7462">
              <w:rPr>
                <w:rFonts w:cs="Arial"/>
                <w:spacing w:val="-2"/>
              </w:rPr>
              <w:t> </w:t>
            </w:r>
            <w:r w:rsidRPr="00B84886">
              <w:rPr>
                <w:rFonts w:cs="Arial"/>
                <w:spacing w:val="-2"/>
              </w:rPr>
              <w:t xml:space="preserve">2021, 2022, 2023, 2024, 2025 et 2026 du </w:t>
            </w:r>
            <w:r w:rsidR="00621551" w:rsidRPr="00B84886">
              <w:rPr>
                <w:rFonts w:cs="Arial"/>
                <w:spacing w:val="-2"/>
              </w:rPr>
              <w:t>C</w:t>
            </w:r>
            <w:r w:rsidRPr="00B84886">
              <w:rPr>
                <w:rFonts w:cs="Arial"/>
                <w:spacing w:val="-2"/>
              </w:rPr>
              <w:t>onseil et</w:t>
            </w:r>
            <w:r w:rsidR="001D5FB7" w:rsidRPr="00B84886">
              <w:rPr>
                <w:rFonts w:cs="Arial"/>
                <w:spacing w:val="-2"/>
              </w:rPr>
              <w:t xml:space="preserve"> </w:t>
            </w:r>
            <w:r w:rsidRPr="00B84886">
              <w:rPr>
                <w:rFonts w:cs="Arial"/>
                <w:spacing w:val="-2"/>
              </w:rPr>
              <w:t>pour les séries de réunions</w:t>
            </w:r>
            <w:r w:rsidR="001D5FB7" w:rsidRPr="00B84886">
              <w:rPr>
                <w:rFonts w:cs="Arial"/>
                <w:spacing w:val="-2"/>
              </w:rPr>
              <w:t xml:space="preserve"> </w:t>
            </w:r>
            <w:r w:rsidR="00834907" w:rsidRPr="00B84886">
              <w:rPr>
                <w:iCs/>
              </w:rPr>
              <w:t>des</w:t>
            </w:r>
            <w:r w:rsidR="001D5FB7" w:rsidRPr="00B84886">
              <w:rPr>
                <w:iCs/>
              </w:rPr>
              <w:t xml:space="preserve"> </w:t>
            </w:r>
            <w:r w:rsidR="00834907" w:rsidRPr="00B84886">
              <w:rPr>
                <w:iCs/>
              </w:rPr>
              <w:t>GTC de</w:t>
            </w:r>
            <w:r w:rsidR="001F7462">
              <w:rPr>
                <w:iCs/>
              </w:rPr>
              <w:t> </w:t>
            </w:r>
            <w:r w:rsidR="00834907" w:rsidRPr="00B84886">
              <w:rPr>
                <w:iCs/>
              </w:rPr>
              <w:t xml:space="preserve">2020, </w:t>
            </w:r>
            <w:r w:rsidR="00834907" w:rsidRPr="00B84886">
              <w:rPr>
                <w:rFonts w:cs="Arial"/>
                <w:spacing w:val="-2"/>
              </w:rPr>
              <w:t>2021 et 2022 (Résolutions 77,111,D 612)</w:t>
            </w:r>
          </w:p>
        </w:tc>
        <w:tc>
          <w:tcPr>
            <w:tcW w:w="1494" w:type="dxa"/>
            <w:tcBorders>
              <w:top w:val="single" w:sz="4" w:space="0" w:color="auto"/>
              <w:left w:val="single" w:sz="4" w:space="0" w:color="auto"/>
              <w:bottom w:val="single" w:sz="4" w:space="0" w:color="auto"/>
              <w:right w:val="single" w:sz="4" w:space="0" w:color="auto"/>
            </w:tcBorders>
            <w:hideMark/>
          </w:tcPr>
          <w:p w14:paraId="18EF0CE6" w14:textId="77777777" w:rsidR="003B10D9" w:rsidRPr="00B84886" w:rsidRDefault="00C51A99" w:rsidP="001F7462">
            <w:pPr>
              <w:pStyle w:val="Tabletext"/>
              <w:jc w:val="center"/>
            </w:pPr>
            <w:hyperlink r:id="rId21" w:history="1">
              <w:r w:rsidR="003B10D9" w:rsidRPr="00B84886">
                <w:rPr>
                  <w:rStyle w:val="Hyperlink"/>
                  <w:szCs w:val="20"/>
                </w:rPr>
                <w:t>C20/2</w:t>
              </w:r>
            </w:hyperlink>
          </w:p>
        </w:tc>
        <w:tc>
          <w:tcPr>
            <w:tcW w:w="3810" w:type="dxa"/>
            <w:tcBorders>
              <w:top w:val="single" w:sz="4" w:space="0" w:color="auto"/>
              <w:left w:val="single" w:sz="4" w:space="0" w:color="auto"/>
              <w:bottom w:val="single" w:sz="4" w:space="0" w:color="auto"/>
              <w:right w:val="single" w:sz="4" w:space="0" w:color="auto"/>
            </w:tcBorders>
            <w:hideMark/>
          </w:tcPr>
          <w:p w14:paraId="25CE8216" w14:textId="5FCBD4D1" w:rsidR="003B10D9" w:rsidRPr="00B84886" w:rsidRDefault="00621551" w:rsidP="001F7462">
            <w:pPr>
              <w:pStyle w:val="Tabletext"/>
            </w:pPr>
            <w:r w:rsidRPr="00B84886">
              <w:t>Adopter le projet de Décision figurant dans</w:t>
            </w:r>
            <w:r w:rsidR="001D5FB7" w:rsidRPr="00B84886">
              <w:t xml:space="preserve"> </w:t>
            </w:r>
            <w:r w:rsidR="00693997" w:rsidRPr="00B84886">
              <w:t>l</w:t>
            </w:r>
            <w:r w:rsidR="001D5FB7" w:rsidRPr="00B84886">
              <w:t>'</w:t>
            </w:r>
            <w:r w:rsidR="00693997" w:rsidRPr="00B84886">
              <w:t>Annexe</w:t>
            </w:r>
            <w:r w:rsidR="001D5FB7" w:rsidRPr="00B84886">
              <w:t xml:space="preserve"> </w:t>
            </w:r>
            <w:r w:rsidR="003B10D9" w:rsidRPr="00B84886">
              <w:t>4</w:t>
            </w:r>
          </w:p>
        </w:tc>
        <w:tc>
          <w:tcPr>
            <w:tcW w:w="702" w:type="dxa"/>
            <w:tcBorders>
              <w:top w:val="single" w:sz="4" w:space="0" w:color="auto"/>
              <w:left w:val="single" w:sz="4" w:space="0" w:color="auto"/>
              <w:bottom w:val="single" w:sz="4" w:space="0" w:color="auto"/>
              <w:right w:val="single" w:sz="4" w:space="0" w:color="auto"/>
            </w:tcBorders>
            <w:vAlign w:val="center"/>
          </w:tcPr>
          <w:p w14:paraId="7E61581C" w14:textId="77777777" w:rsidR="003B10D9" w:rsidRPr="00B84886" w:rsidRDefault="003B10D9"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777E2D5E" w14:textId="77777777" w:rsidR="003B10D9" w:rsidRPr="00B84886" w:rsidRDefault="003B10D9" w:rsidP="001F7462">
            <w:pPr>
              <w:pStyle w:val="Tabletext"/>
            </w:pPr>
          </w:p>
        </w:tc>
      </w:tr>
      <w:tr w:rsidR="003B10D9" w:rsidRPr="00B84886" w14:paraId="2B6F4BB6" w14:textId="77777777" w:rsidTr="003B10D9">
        <w:tc>
          <w:tcPr>
            <w:tcW w:w="4201" w:type="dxa"/>
            <w:tcBorders>
              <w:top w:val="single" w:sz="4" w:space="0" w:color="auto"/>
              <w:left w:val="single" w:sz="4" w:space="0" w:color="auto"/>
              <w:bottom w:val="nil"/>
              <w:right w:val="single" w:sz="4" w:space="0" w:color="auto"/>
            </w:tcBorders>
            <w:hideMark/>
          </w:tcPr>
          <w:p w14:paraId="05D01DD3" w14:textId="410E6696" w:rsidR="003B10D9" w:rsidRPr="00B84886" w:rsidRDefault="00621551" w:rsidP="001F7462">
            <w:pPr>
              <w:pStyle w:val="Tabletext"/>
            </w:pPr>
            <w:r w:rsidRPr="00B84886">
              <w:rPr>
                <w:iCs/>
              </w:rPr>
              <w:t xml:space="preserve">Liste des candidats aux fonctions de </w:t>
            </w:r>
            <w:r w:rsidR="006904CB" w:rsidRPr="00B84886">
              <w:rPr>
                <w:iCs/>
              </w:rPr>
              <w:t>Président</w:t>
            </w:r>
            <w:r w:rsidRPr="00B84886">
              <w:rPr>
                <w:iCs/>
              </w:rPr>
              <w:t xml:space="preserve"> </w:t>
            </w:r>
            <w:r w:rsidR="006904CB" w:rsidRPr="00B84886">
              <w:rPr>
                <w:iCs/>
              </w:rPr>
              <w:t xml:space="preserve">et </w:t>
            </w:r>
            <w:r w:rsidRPr="00B84886">
              <w:rPr>
                <w:iCs/>
              </w:rPr>
              <w:t>V</w:t>
            </w:r>
            <w:r w:rsidR="006904CB" w:rsidRPr="00B84886">
              <w:rPr>
                <w:iCs/>
              </w:rPr>
              <w:t>ice-</w:t>
            </w:r>
            <w:r w:rsidRPr="00B84886">
              <w:rPr>
                <w:iCs/>
              </w:rPr>
              <w:t>P</w:t>
            </w:r>
            <w:r w:rsidR="006904CB" w:rsidRPr="00B84886">
              <w:rPr>
                <w:iCs/>
              </w:rPr>
              <w:t>résident</w:t>
            </w:r>
            <w:r w:rsidR="001D5FB7" w:rsidRPr="00B84886">
              <w:rPr>
                <w:iCs/>
              </w:rPr>
              <w:t xml:space="preserve"> </w:t>
            </w:r>
            <w:r w:rsidR="006904CB" w:rsidRPr="00B84886">
              <w:rPr>
                <w:iCs/>
              </w:rPr>
              <w:t>des</w:t>
            </w:r>
            <w:r w:rsidR="001D5FB7" w:rsidRPr="00B84886">
              <w:rPr>
                <w:iCs/>
              </w:rPr>
              <w:t xml:space="preserve"> </w:t>
            </w:r>
            <w:r w:rsidRPr="00B84886">
              <w:rPr>
                <w:iCs/>
              </w:rPr>
              <w:t>GTC, des</w:t>
            </w:r>
            <w:r w:rsidR="001D5FB7" w:rsidRPr="00B84886">
              <w:rPr>
                <w:iCs/>
              </w:rPr>
              <w:t xml:space="preserve"> </w:t>
            </w:r>
            <w:r w:rsidRPr="00B84886">
              <w:rPr>
                <w:iCs/>
              </w:rPr>
              <w:t xml:space="preserve">GE </w:t>
            </w:r>
            <w:r w:rsidR="006904CB" w:rsidRPr="00B84886">
              <w:rPr>
                <w:iCs/>
              </w:rPr>
              <w:t>et des</w:t>
            </w:r>
            <w:r w:rsidR="001D5FB7" w:rsidRPr="00B84886">
              <w:rPr>
                <w:iCs/>
              </w:rPr>
              <w:t xml:space="preserve"> </w:t>
            </w:r>
            <w:r w:rsidRPr="00B84886">
              <w:rPr>
                <w:iCs/>
              </w:rPr>
              <w:t>GEI</w:t>
            </w:r>
          </w:p>
        </w:tc>
        <w:tc>
          <w:tcPr>
            <w:tcW w:w="1494" w:type="dxa"/>
            <w:tcBorders>
              <w:top w:val="single" w:sz="4" w:space="0" w:color="auto"/>
              <w:left w:val="single" w:sz="4" w:space="0" w:color="auto"/>
              <w:bottom w:val="nil"/>
              <w:right w:val="single" w:sz="4" w:space="0" w:color="auto"/>
            </w:tcBorders>
            <w:hideMark/>
          </w:tcPr>
          <w:p w14:paraId="1C14E15A" w14:textId="0004E2E8" w:rsidR="003B10D9" w:rsidRPr="00B84886" w:rsidRDefault="00C51A99" w:rsidP="001F7462">
            <w:pPr>
              <w:pStyle w:val="Tabletext"/>
              <w:jc w:val="center"/>
            </w:pPr>
            <w:hyperlink r:id="rId22" w:history="1">
              <w:r w:rsidR="003B10D9" w:rsidRPr="00B84886">
                <w:rPr>
                  <w:rStyle w:val="Hyperlink"/>
                  <w:szCs w:val="20"/>
                </w:rPr>
                <w:t>C20/21(R</w:t>
              </w:r>
              <w:r w:rsidR="001F7462">
                <w:rPr>
                  <w:rStyle w:val="Hyperlink"/>
                  <w:szCs w:val="20"/>
                </w:rPr>
                <w:t>é</w:t>
              </w:r>
              <w:r w:rsidR="003B10D9" w:rsidRPr="00B84886">
                <w:rPr>
                  <w:rStyle w:val="Hyperlink"/>
                  <w:szCs w:val="20"/>
                </w:rPr>
                <w:t>v.2)</w:t>
              </w:r>
            </w:hyperlink>
          </w:p>
        </w:tc>
        <w:tc>
          <w:tcPr>
            <w:tcW w:w="5221" w:type="dxa"/>
            <w:gridSpan w:val="3"/>
            <w:tcBorders>
              <w:top w:val="single" w:sz="4" w:space="0" w:color="auto"/>
              <w:left w:val="single" w:sz="4" w:space="0" w:color="auto"/>
              <w:bottom w:val="single" w:sz="4" w:space="0" w:color="auto"/>
              <w:right w:val="single" w:sz="4" w:space="0" w:color="auto"/>
            </w:tcBorders>
            <w:hideMark/>
          </w:tcPr>
          <w:p w14:paraId="6815E7ED" w14:textId="540D2943" w:rsidR="003B10D9" w:rsidRPr="00B84886" w:rsidRDefault="003B10D9" w:rsidP="001F7462">
            <w:pPr>
              <w:pStyle w:val="Tabletext"/>
            </w:pPr>
            <w:r w:rsidRPr="00B84886">
              <w:t>Appro</w:t>
            </w:r>
            <w:r w:rsidR="00621551" w:rsidRPr="00B84886">
              <w:t>u</w:t>
            </w:r>
            <w:r w:rsidRPr="00B84886">
              <w:t>ve</w:t>
            </w:r>
            <w:r w:rsidR="00621551" w:rsidRPr="00B84886">
              <w:t>r la nomination de</w:t>
            </w:r>
            <w:r w:rsidR="001D5FB7" w:rsidRPr="00B84886">
              <w:t>:</w:t>
            </w:r>
          </w:p>
        </w:tc>
      </w:tr>
      <w:tr w:rsidR="003B10D9" w:rsidRPr="00B84886" w14:paraId="43A3ED66" w14:textId="77777777" w:rsidTr="003B10D9">
        <w:tc>
          <w:tcPr>
            <w:tcW w:w="4201" w:type="dxa"/>
            <w:tcBorders>
              <w:top w:val="nil"/>
              <w:left w:val="single" w:sz="4" w:space="0" w:color="auto"/>
              <w:bottom w:val="nil"/>
              <w:right w:val="single" w:sz="4" w:space="0" w:color="auto"/>
            </w:tcBorders>
            <w:hideMark/>
          </w:tcPr>
          <w:p w14:paraId="67B84C12" w14:textId="6BC9DFE3" w:rsidR="003B10D9" w:rsidRPr="00B84886" w:rsidRDefault="003B10D9" w:rsidP="001F7462">
            <w:pPr>
              <w:pStyle w:val="Tabletext"/>
              <w:rPr>
                <w:iCs/>
              </w:rPr>
            </w:pPr>
          </w:p>
        </w:tc>
        <w:tc>
          <w:tcPr>
            <w:tcW w:w="1494" w:type="dxa"/>
            <w:tcBorders>
              <w:top w:val="nil"/>
              <w:left w:val="single" w:sz="4" w:space="0" w:color="auto"/>
              <w:bottom w:val="nil"/>
              <w:right w:val="single" w:sz="4" w:space="0" w:color="auto"/>
            </w:tcBorders>
          </w:tcPr>
          <w:p w14:paraId="244B4F45" w14:textId="77777777" w:rsidR="003B10D9" w:rsidRPr="00B84886" w:rsidRDefault="003B10D9" w:rsidP="001F7462">
            <w:pPr>
              <w:pStyle w:val="Tabletext"/>
              <w:jc w:val="center"/>
            </w:pPr>
          </w:p>
        </w:tc>
        <w:tc>
          <w:tcPr>
            <w:tcW w:w="3810" w:type="dxa"/>
            <w:tcBorders>
              <w:top w:val="single" w:sz="4" w:space="0" w:color="auto"/>
              <w:left w:val="single" w:sz="4" w:space="0" w:color="auto"/>
              <w:bottom w:val="single" w:sz="4" w:space="0" w:color="auto"/>
              <w:right w:val="single" w:sz="4" w:space="0" w:color="auto"/>
            </w:tcBorders>
            <w:hideMark/>
          </w:tcPr>
          <w:p w14:paraId="782CBFC9" w14:textId="011F6DB1" w:rsidR="003B10D9" w:rsidRPr="00B84886" w:rsidRDefault="006904CB" w:rsidP="001F7462">
            <w:pPr>
              <w:pStyle w:val="Tabletext"/>
              <w:ind w:left="284" w:hanging="284"/>
            </w:pPr>
            <w:r w:rsidRPr="00B84886">
              <w:t>−</w:t>
            </w:r>
            <w:r w:rsidR="003B10D9" w:rsidRPr="00B84886">
              <w:tab/>
            </w:r>
            <w:r w:rsidR="00621551" w:rsidRPr="00B84886">
              <w:t>Mme Vernita Harris (</w:t>
            </w:r>
            <w:r w:rsidR="008131A3" w:rsidRPr="00B84886">
              <w:t>É</w:t>
            </w:r>
            <w:r w:rsidR="00621551" w:rsidRPr="00B84886">
              <w:t>tats-Unis), en tant que Présidente du</w:t>
            </w:r>
            <w:r w:rsidR="001D5FB7" w:rsidRPr="00B84886">
              <w:t xml:space="preserve"> </w:t>
            </w:r>
            <w:r w:rsidR="00621551" w:rsidRPr="00B84886">
              <w:t>GTC-FHR</w:t>
            </w:r>
          </w:p>
        </w:tc>
        <w:tc>
          <w:tcPr>
            <w:tcW w:w="702" w:type="dxa"/>
            <w:tcBorders>
              <w:top w:val="single" w:sz="4" w:space="0" w:color="auto"/>
              <w:left w:val="single" w:sz="4" w:space="0" w:color="auto"/>
              <w:bottom w:val="single" w:sz="4" w:space="0" w:color="auto"/>
              <w:right w:val="single" w:sz="4" w:space="0" w:color="auto"/>
            </w:tcBorders>
            <w:vAlign w:val="center"/>
          </w:tcPr>
          <w:p w14:paraId="67C68B49" w14:textId="77777777" w:rsidR="003B10D9" w:rsidRPr="00B84886" w:rsidRDefault="003B10D9"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46DA66BB" w14:textId="77777777" w:rsidR="003B10D9" w:rsidRPr="00B84886" w:rsidRDefault="003B10D9" w:rsidP="001F7462">
            <w:pPr>
              <w:pStyle w:val="Tabletext"/>
            </w:pPr>
          </w:p>
        </w:tc>
      </w:tr>
      <w:tr w:rsidR="008131A3" w:rsidRPr="00B84886" w14:paraId="18EC7FD7" w14:textId="77777777" w:rsidTr="003B10D9">
        <w:tc>
          <w:tcPr>
            <w:tcW w:w="4201" w:type="dxa"/>
            <w:tcBorders>
              <w:top w:val="nil"/>
              <w:left w:val="single" w:sz="4" w:space="0" w:color="auto"/>
              <w:bottom w:val="nil"/>
              <w:right w:val="single" w:sz="4" w:space="0" w:color="auto"/>
            </w:tcBorders>
          </w:tcPr>
          <w:p w14:paraId="554EA91D" w14:textId="77777777" w:rsidR="008131A3" w:rsidRPr="00B84886" w:rsidRDefault="008131A3" w:rsidP="001F7462">
            <w:pPr>
              <w:pStyle w:val="Tabletext"/>
              <w:rPr>
                <w:iCs/>
              </w:rPr>
            </w:pPr>
          </w:p>
        </w:tc>
        <w:tc>
          <w:tcPr>
            <w:tcW w:w="1494" w:type="dxa"/>
            <w:tcBorders>
              <w:top w:val="nil"/>
              <w:left w:val="single" w:sz="4" w:space="0" w:color="auto"/>
              <w:bottom w:val="nil"/>
              <w:right w:val="single" w:sz="4" w:space="0" w:color="auto"/>
            </w:tcBorders>
          </w:tcPr>
          <w:p w14:paraId="45BA9414" w14:textId="77777777" w:rsidR="008131A3" w:rsidRPr="00B84886" w:rsidRDefault="008131A3" w:rsidP="001F7462">
            <w:pPr>
              <w:pStyle w:val="Tabletext"/>
              <w:jc w:val="center"/>
            </w:pPr>
          </w:p>
        </w:tc>
        <w:tc>
          <w:tcPr>
            <w:tcW w:w="3810" w:type="dxa"/>
            <w:tcBorders>
              <w:top w:val="single" w:sz="4" w:space="0" w:color="auto"/>
              <w:left w:val="single" w:sz="4" w:space="0" w:color="auto"/>
              <w:bottom w:val="single" w:sz="4" w:space="0" w:color="auto"/>
              <w:right w:val="single" w:sz="4" w:space="0" w:color="auto"/>
            </w:tcBorders>
          </w:tcPr>
          <w:p w14:paraId="21CF953D" w14:textId="32200F4F" w:rsidR="008131A3" w:rsidRPr="00B84886" w:rsidRDefault="008131A3" w:rsidP="001F7462">
            <w:pPr>
              <w:pStyle w:val="Tabletext"/>
              <w:ind w:left="284" w:hanging="284"/>
            </w:pPr>
            <w:r w:rsidRPr="00B84886">
              <w:t>−</w:t>
            </w:r>
            <w:r w:rsidRPr="00B84886">
              <w:tab/>
              <w:t xml:space="preserve">Mme Xian Persaud (Bahamas), en tant que </w:t>
            </w:r>
            <w:r w:rsidRPr="00B84886">
              <w:rPr>
                <w:color w:val="000000"/>
              </w:rPr>
              <w:t xml:space="preserve">Vice-Présidente </w:t>
            </w:r>
            <w:r w:rsidRPr="00B84886">
              <w:t>du GTC-FHR (</w:t>
            </w:r>
            <w:r w:rsidRPr="00B84886">
              <w:rPr>
                <w:color w:val="000000"/>
              </w:rPr>
              <w:t>région Amériques)</w:t>
            </w:r>
          </w:p>
        </w:tc>
        <w:tc>
          <w:tcPr>
            <w:tcW w:w="702" w:type="dxa"/>
            <w:tcBorders>
              <w:top w:val="single" w:sz="4" w:space="0" w:color="auto"/>
              <w:left w:val="single" w:sz="4" w:space="0" w:color="auto"/>
              <w:bottom w:val="single" w:sz="4" w:space="0" w:color="auto"/>
              <w:right w:val="single" w:sz="4" w:space="0" w:color="auto"/>
            </w:tcBorders>
            <w:vAlign w:val="center"/>
          </w:tcPr>
          <w:p w14:paraId="339D1410" w14:textId="77777777" w:rsidR="008131A3" w:rsidRPr="00B84886" w:rsidRDefault="008131A3"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2C17678E" w14:textId="77777777" w:rsidR="008131A3" w:rsidRPr="00B84886" w:rsidRDefault="008131A3" w:rsidP="001F7462">
            <w:pPr>
              <w:pStyle w:val="Tabletext"/>
            </w:pPr>
          </w:p>
        </w:tc>
      </w:tr>
      <w:tr w:rsidR="008131A3" w:rsidRPr="00B84886" w14:paraId="45626B7C" w14:textId="77777777" w:rsidTr="003B10D9">
        <w:tc>
          <w:tcPr>
            <w:tcW w:w="4201" w:type="dxa"/>
            <w:tcBorders>
              <w:top w:val="nil"/>
              <w:left w:val="single" w:sz="4" w:space="0" w:color="auto"/>
              <w:bottom w:val="nil"/>
              <w:right w:val="single" w:sz="4" w:space="0" w:color="auto"/>
            </w:tcBorders>
          </w:tcPr>
          <w:p w14:paraId="668CF91A" w14:textId="77777777" w:rsidR="008131A3" w:rsidRPr="00B84886" w:rsidRDefault="008131A3" w:rsidP="001F7462">
            <w:pPr>
              <w:pStyle w:val="Tabletext"/>
              <w:rPr>
                <w:iCs/>
              </w:rPr>
            </w:pPr>
          </w:p>
        </w:tc>
        <w:tc>
          <w:tcPr>
            <w:tcW w:w="1494" w:type="dxa"/>
            <w:tcBorders>
              <w:top w:val="nil"/>
              <w:left w:val="single" w:sz="4" w:space="0" w:color="auto"/>
              <w:bottom w:val="nil"/>
              <w:right w:val="single" w:sz="4" w:space="0" w:color="auto"/>
            </w:tcBorders>
          </w:tcPr>
          <w:p w14:paraId="493D5A7F" w14:textId="77777777" w:rsidR="008131A3" w:rsidRPr="00B84886" w:rsidRDefault="008131A3" w:rsidP="001F7462">
            <w:pPr>
              <w:pStyle w:val="Tabletext"/>
              <w:jc w:val="center"/>
            </w:pPr>
          </w:p>
        </w:tc>
        <w:tc>
          <w:tcPr>
            <w:tcW w:w="3810" w:type="dxa"/>
            <w:tcBorders>
              <w:top w:val="single" w:sz="4" w:space="0" w:color="auto"/>
              <w:left w:val="single" w:sz="4" w:space="0" w:color="auto"/>
              <w:bottom w:val="single" w:sz="4" w:space="0" w:color="auto"/>
              <w:right w:val="single" w:sz="4" w:space="0" w:color="auto"/>
            </w:tcBorders>
          </w:tcPr>
          <w:p w14:paraId="51C5A43C" w14:textId="437419A2" w:rsidR="008131A3" w:rsidRPr="00B84886" w:rsidRDefault="008131A3" w:rsidP="001F7462">
            <w:pPr>
              <w:pStyle w:val="Tabletext"/>
              <w:ind w:left="284" w:hanging="284"/>
            </w:pPr>
            <w:r w:rsidRPr="00B84886">
              <w:t>−</w:t>
            </w:r>
            <w:r w:rsidRPr="00B84886">
              <w:tab/>
              <w:t xml:space="preserve">Mme Stella </w:t>
            </w:r>
            <w:proofErr w:type="spellStart"/>
            <w:r w:rsidRPr="00B84886">
              <w:t>Chubiyo</w:t>
            </w:r>
            <w:proofErr w:type="spellEnd"/>
            <w:r w:rsidRPr="00B84886">
              <w:t xml:space="preserve"> </w:t>
            </w:r>
            <w:proofErr w:type="spellStart"/>
            <w:r w:rsidRPr="00B84886">
              <w:t>Erebor</w:t>
            </w:r>
            <w:proofErr w:type="spellEnd"/>
            <w:r w:rsidRPr="00B84886">
              <w:t xml:space="preserve"> (Nigeria), en tant que </w:t>
            </w:r>
            <w:r w:rsidRPr="00B84886">
              <w:rPr>
                <w:color w:val="000000"/>
              </w:rPr>
              <w:t xml:space="preserve">Vice-Présidente </w:t>
            </w:r>
            <w:r w:rsidRPr="00B84886">
              <w:t>du GTC-COP</w:t>
            </w:r>
            <w:r w:rsidRPr="00B84886">
              <w:rPr>
                <w:color w:val="000000"/>
              </w:rPr>
              <w:t xml:space="preserve"> (région Afrique)</w:t>
            </w:r>
          </w:p>
        </w:tc>
        <w:tc>
          <w:tcPr>
            <w:tcW w:w="702" w:type="dxa"/>
            <w:tcBorders>
              <w:top w:val="single" w:sz="4" w:space="0" w:color="auto"/>
              <w:left w:val="single" w:sz="4" w:space="0" w:color="auto"/>
              <w:bottom w:val="single" w:sz="4" w:space="0" w:color="auto"/>
              <w:right w:val="single" w:sz="4" w:space="0" w:color="auto"/>
            </w:tcBorders>
            <w:vAlign w:val="center"/>
          </w:tcPr>
          <w:p w14:paraId="263A736E" w14:textId="77777777" w:rsidR="008131A3" w:rsidRPr="00B84886" w:rsidRDefault="008131A3"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2B6B1070" w14:textId="77777777" w:rsidR="008131A3" w:rsidRPr="00B84886" w:rsidRDefault="008131A3" w:rsidP="001F7462">
            <w:pPr>
              <w:pStyle w:val="Tabletext"/>
            </w:pPr>
          </w:p>
        </w:tc>
      </w:tr>
      <w:tr w:rsidR="008131A3" w:rsidRPr="00B84886" w14:paraId="270AF020" w14:textId="77777777" w:rsidTr="00814648">
        <w:tc>
          <w:tcPr>
            <w:tcW w:w="4201" w:type="dxa"/>
            <w:tcBorders>
              <w:top w:val="nil"/>
              <w:left w:val="single" w:sz="4" w:space="0" w:color="auto"/>
              <w:bottom w:val="nil"/>
              <w:right w:val="single" w:sz="4" w:space="0" w:color="auto"/>
            </w:tcBorders>
          </w:tcPr>
          <w:p w14:paraId="450741F2" w14:textId="77777777" w:rsidR="008131A3" w:rsidRPr="00B84886" w:rsidRDefault="008131A3" w:rsidP="001F7462">
            <w:pPr>
              <w:pStyle w:val="Tabletext"/>
              <w:rPr>
                <w:iCs/>
              </w:rPr>
            </w:pPr>
          </w:p>
        </w:tc>
        <w:tc>
          <w:tcPr>
            <w:tcW w:w="1494" w:type="dxa"/>
            <w:tcBorders>
              <w:top w:val="nil"/>
              <w:left w:val="single" w:sz="4" w:space="0" w:color="auto"/>
              <w:bottom w:val="nil"/>
              <w:right w:val="single" w:sz="4" w:space="0" w:color="auto"/>
            </w:tcBorders>
          </w:tcPr>
          <w:p w14:paraId="4279CA90" w14:textId="77777777" w:rsidR="008131A3" w:rsidRPr="00B84886" w:rsidRDefault="008131A3" w:rsidP="001F7462">
            <w:pPr>
              <w:pStyle w:val="Tabletext"/>
              <w:jc w:val="center"/>
            </w:pPr>
          </w:p>
        </w:tc>
        <w:tc>
          <w:tcPr>
            <w:tcW w:w="3810" w:type="dxa"/>
            <w:tcBorders>
              <w:top w:val="single" w:sz="4" w:space="0" w:color="auto"/>
              <w:left w:val="single" w:sz="4" w:space="0" w:color="auto"/>
              <w:bottom w:val="single" w:sz="4" w:space="0" w:color="auto"/>
              <w:right w:val="single" w:sz="4" w:space="0" w:color="auto"/>
            </w:tcBorders>
          </w:tcPr>
          <w:p w14:paraId="555CD47F" w14:textId="4CD7351D" w:rsidR="008131A3" w:rsidRPr="00B84886" w:rsidRDefault="008131A3" w:rsidP="001F7462">
            <w:pPr>
              <w:pStyle w:val="Tabletext"/>
              <w:ind w:left="284" w:hanging="284"/>
            </w:pPr>
            <w:r w:rsidRPr="00B84886">
              <w:t>−</w:t>
            </w:r>
            <w:r w:rsidRPr="00B84886">
              <w:tab/>
              <w:t xml:space="preserve">Mme Renata Santoyo (Brésil), en tant que </w:t>
            </w:r>
            <w:r w:rsidRPr="00B84886">
              <w:rPr>
                <w:color w:val="000000"/>
              </w:rPr>
              <w:t xml:space="preserve">Vice-Présidente </w:t>
            </w:r>
            <w:r w:rsidRPr="00B84886">
              <w:t>du GTC</w:t>
            </w:r>
            <w:r w:rsidRPr="00B84886">
              <w:rPr>
                <w:color w:val="000000"/>
              </w:rPr>
              <w:t>-SMSI</w:t>
            </w:r>
            <w:r w:rsidR="000975AD" w:rsidRPr="00B84886">
              <w:rPr>
                <w:color w:val="000000"/>
              </w:rPr>
              <w:t>/ODD</w:t>
            </w:r>
            <w:r w:rsidRPr="00B84886">
              <w:t xml:space="preserve"> (</w:t>
            </w:r>
            <w:r w:rsidRPr="00B84886">
              <w:rPr>
                <w:color w:val="000000"/>
              </w:rPr>
              <w:t>région Amériques)</w:t>
            </w:r>
          </w:p>
        </w:tc>
        <w:tc>
          <w:tcPr>
            <w:tcW w:w="702" w:type="dxa"/>
            <w:tcBorders>
              <w:top w:val="single" w:sz="4" w:space="0" w:color="auto"/>
              <w:left w:val="single" w:sz="4" w:space="0" w:color="auto"/>
              <w:bottom w:val="single" w:sz="4" w:space="0" w:color="auto"/>
              <w:right w:val="single" w:sz="4" w:space="0" w:color="auto"/>
            </w:tcBorders>
            <w:vAlign w:val="center"/>
          </w:tcPr>
          <w:p w14:paraId="6550F256" w14:textId="77777777" w:rsidR="008131A3" w:rsidRPr="00B84886" w:rsidRDefault="008131A3"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6D6DC427" w14:textId="77777777" w:rsidR="008131A3" w:rsidRPr="00B84886" w:rsidRDefault="008131A3" w:rsidP="001F7462">
            <w:pPr>
              <w:pStyle w:val="Tabletext"/>
            </w:pPr>
          </w:p>
        </w:tc>
      </w:tr>
      <w:tr w:rsidR="008131A3" w:rsidRPr="00B84886" w14:paraId="4CD6D6B4" w14:textId="77777777" w:rsidTr="00814648">
        <w:tc>
          <w:tcPr>
            <w:tcW w:w="4201" w:type="dxa"/>
            <w:tcBorders>
              <w:top w:val="nil"/>
              <w:left w:val="single" w:sz="4" w:space="0" w:color="auto"/>
              <w:bottom w:val="single" w:sz="4" w:space="0" w:color="auto"/>
              <w:right w:val="single" w:sz="4" w:space="0" w:color="auto"/>
            </w:tcBorders>
          </w:tcPr>
          <w:p w14:paraId="24C103C0" w14:textId="77777777" w:rsidR="008131A3" w:rsidRPr="00B84886" w:rsidRDefault="008131A3" w:rsidP="001F7462">
            <w:pPr>
              <w:pStyle w:val="Tabletext"/>
              <w:rPr>
                <w:iCs/>
              </w:rPr>
            </w:pPr>
          </w:p>
        </w:tc>
        <w:tc>
          <w:tcPr>
            <w:tcW w:w="1494" w:type="dxa"/>
            <w:tcBorders>
              <w:top w:val="nil"/>
              <w:left w:val="single" w:sz="4" w:space="0" w:color="auto"/>
              <w:bottom w:val="single" w:sz="4" w:space="0" w:color="auto"/>
              <w:right w:val="single" w:sz="4" w:space="0" w:color="auto"/>
            </w:tcBorders>
          </w:tcPr>
          <w:p w14:paraId="1BB9A103" w14:textId="77777777" w:rsidR="008131A3" w:rsidRPr="00B84886" w:rsidRDefault="008131A3" w:rsidP="001F7462">
            <w:pPr>
              <w:pStyle w:val="Tabletext"/>
              <w:jc w:val="center"/>
            </w:pPr>
          </w:p>
        </w:tc>
        <w:tc>
          <w:tcPr>
            <w:tcW w:w="3810" w:type="dxa"/>
            <w:tcBorders>
              <w:top w:val="single" w:sz="4" w:space="0" w:color="auto"/>
              <w:left w:val="single" w:sz="4" w:space="0" w:color="auto"/>
              <w:bottom w:val="single" w:sz="4" w:space="0" w:color="auto"/>
              <w:right w:val="single" w:sz="4" w:space="0" w:color="auto"/>
            </w:tcBorders>
          </w:tcPr>
          <w:p w14:paraId="3B62B5C6" w14:textId="507C2F3E" w:rsidR="008131A3" w:rsidRPr="00B84886" w:rsidRDefault="008131A3" w:rsidP="001F7462">
            <w:pPr>
              <w:pStyle w:val="Tabletext"/>
              <w:ind w:left="284" w:hanging="284"/>
            </w:pPr>
            <w:r w:rsidRPr="00B84886">
              <w:t>−</w:t>
            </w:r>
            <w:r w:rsidRPr="00B84886">
              <w:tab/>
              <w:t xml:space="preserve">M. Cristian Ungureanu (Roumanie), en tant que </w:t>
            </w:r>
            <w:r w:rsidRPr="00B84886">
              <w:rPr>
                <w:color w:val="000000"/>
              </w:rPr>
              <w:t xml:space="preserve">Vice-Président </w:t>
            </w:r>
            <w:r w:rsidRPr="00B84886">
              <w:t>du Groupe d'experts</w:t>
            </w:r>
            <w:r w:rsidRPr="00B84886">
              <w:rPr>
                <w:color w:val="000000"/>
              </w:rPr>
              <w:t xml:space="preserve"> sur la Décision 482 </w:t>
            </w:r>
            <w:r w:rsidRPr="00B84886">
              <w:t>(</w:t>
            </w:r>
            <w:r w:rsidR="000975AD" w:rsidRPr="00B84886">
              <w:t>région</w:t>
            </w:r>
            <w:r w:rsidR="00872B05" w:rsidRPr="00B84886">
              <w:t> </w:t>
            </w:r>
            <w:r w:rsidRPr="00B84886">
              <w:t>Europe)</w:t>
            </w:r>
          </w:p>
        </w:tc>
        <w:tc>
          <w:tcPr>
            <w:tcW w:w="702" w:type="dxa"/>
            <w:tcBorders>
              <w:top w:val="single" w:sz="4" w:space="0" w:color="auto"/>
              <w:left w:val="single" w:sz="4" w:space="0" w:color="auto"/>
              <w:bottom w:val="single" w:sz="4" w:space="0" w:color="auto"/>
              <w:right w:val="single" w:sz="4" w:space="0" w:color="auto"/>
            </w:tcBorders>
            <w:vAlign w:val="center"/>
          </w:tcPr>
          <w:p w14:paraId="54E443EC" w14:textId="77777777" w:rsidR="008131A3" w:rsidRPr="00B84886" w:rsidRDefault="008131A3" w:rsidP="001F7462">
            <w:pPr>
              <w:pStyle w:val="Tabletext"/>
            </w:pPr>
          </w:p>
        </w:tc>
        <w:tc>
          <w:tcPr>
            <w:tcW w:w="709" w:type="dxa"/>
            <w:tcBorders>
              <w:top w:val="single" w:sz="4" w:space="0" w:color="auto"/>
              <w:left w:val="single" w:sz="4" w:space="0" w:color="auto"/>
              <w:bottom w:val="single" w:sz="4" w:space="0" w:color="auto"/>
              <w:right w:val="single" w:sz="4" w:space="0" w:color="auto"/>
            </w:tcBorders>
            <w:vAlign w:val="center"/>
          </w:tcPr>
          <w:p w14:paraId="540E8A27" w14:textId="77777777" w:rsidR="008131A3" w:rsidRPr="00B84886" w:rsidRDefault="008131A3" w:rsidP="001F7462">
            <w:pPr>
              <w:pStyle w:val="Tabletext"/>
            </w:pPr>
          </w:p>
        </w:tc>
      </w:tr>
    </w:tbl>
    <w:p w14:paraId="31FF16BD" w14:textId="2D12FFDA" w:rsidR="00EA15B3" w:rsidRPr="00B84886" w:rsidRDefault="00D57F26" w:rsidP="00143F07">
      <w:pPr>
        <w:spacing w:line="240" w:lineRule="auto"/>
        <w:jc w:val="left"/>
        <w:rPr>
          <w:rFonts w:asciiTheme="minorHAnsi" w:hAnsiTheme="minorHAnsi" w:cstheme="minorHAnsi"/>
          <w:color w:val="000000" w:themeColor="text1"/>
        </w:rPr>
      </w:pPr>
      <w:r w:rsidRPr="00B84886">
        <w:rPr>
          <w:rFonts w:asciiTheme="minorHAnsi" w:hAnsiTheme="minorHAnsi" w:cstheme="minorHAnsi"/>
          <w:color w:val="000000" w:themeColor="text1"/>
        </w:rPr>
        <w:t>Les Conseillers sont invités à envoyer leur</w:t>
      </w:r>
      <w:r w:rsidR="001D5FB7" w:rsidRPr="00B84886">
        <w:rPr>
          <w:rFonts w:asciiTheme="minorHAnsi" w:hAnsiTheme="minorHAnsi" w:cstheme="minorHAnsi"/>
          <w:color w:val="000000" w:themeColor="text1"/>
        </w:rPr>
        <w:t xml:space="preserve"> </w:t>
      </w:r>
      <w:r w:rsidRPr="00B84886">
        <w:rPr>
          <w:rFonts w:asciiTheme="minorHAnsi" w:hAnsiTheme="minorHAnsi" w:cstheme="minorHAnsi"/>
          <w:color w:val="000000" w:themeColor="text1"/>
        </w:rPr>
        <w:t>réponse</w:t>
      </w:r>
      <w:r w:rsidR="001D5FB7" w:rsidRPr="00B84886">
        <w:rPr>
          <w:rFonts w:asciiTheme="minorHAnsi" w:hAnsiTheme="minorHAnsi" w:cstheme="minorHAnsi"/>
          <w:color w:val="000000" w:themeColor="text1"/>
        </w:rPr>
        <w:t xml:space="preserve"> </w:t>
      </w:r>
      <w:r w:rsidRPr="00B84886">
        <w:rPr>
          <w:rFonts w:asciiTheme="minorHAnsi" w:hAnsiTheme="minorHAnsi" w:cstheme="minorHAnsi"/>
          <w:color w:val="000000" w:themeColor="text1"/>
        </w:rPr>
        <w:t>par courrier électronique à l</w:t>
      </w:r>
      <w:r w:rsidR="001D5FB7" w:rsidRPr="00B84886">
        <w:rPr>
          <w:rFonts w:asciiTheme="minorHAnsi" w:hAnsiTheme="minorHAnsi" w:cstheme="minorHAnsi"/>
          <w:color w:val="000000" w:themeColor="text1"/>
        </w:rPr>
        <w:t>'</w:t>
      </w:r>
      <w:r w:rsidRPr="00B84886">
        <w:rPr>
          <w:rFonts w:asciiTheme="minorHAnsi" w:hAnsiTheme="minorHAnsi" w:cstheme="minorHAnsi"/>
          <w:color w:val="000000" w:themeColor="text1"/>
        </w:rPr>
        <w:t>adresse</w:t>
      </w:r>
      <w:r w:rsidR="001D5FB7" w:rsidRPr="00B84886">
        <w:rPr>
          <w:rFonts w:asciiTheme="minorHAnsi" w:hAnsiTheme="minorHAnsi" w:cstheme="minorHAnsi"/>
          <w:color w:val="000000" w:themeColor="text1"/>
        </w:rPr>
        <w:t xml:space="preserve"> </w:t>
      </w:r>
      <w:hyperlink r:id="rId23" w:history="1">
        <w:r w:rsidRPr="00B84886">
          <w:rPr>
            <w:rStyle w:val="Hyperlink"/>
            <w:rFonts w:asciiTheme="minorHAnsi" w:hAnsiTheme="minorHAnsi" w:cstheme="minorHAnsi"/>
          </w:rPr>
          <w:t>memberstates@itu.int</w:t>
        </w:r>
      </w:hyperlink>
      <w:r w:rsidR="001D5FB7" w:rsidRPr="00B84886">
        <w:rPr>
          <w:rStyle w:val="Hyperlink"/>
          <w:rFonts w:asciiTheme="minorHAnsi" w:hAnsiTheme="minorHAnsi" w:cstheme="minorHAnsi"/>
        </w:rPr>
        <w:t xml:space="preserve"> </w:t>
      </w:r>
      <w:r w:rsidRPr="00277801">
        <w:rPr>
          <w:rFonts w:asciiTheme="minorHAnsi" w:hAnsiTheme="minorHAnsi" w:cstheme="minorHAnsi"/>
          <w:b/>
          <w:bCs/>
          <w:color w:val="000000" w:themeColor="text1"/>
        </w:rPr>
        <w:t>au plus tard le 31 juillet</w:t>
      </w:r>
      <w:r w:rsidR="00872B05" w:rsidRPr="00277801">
        <w:rPr>
          <w:rFonts w:asciiTheme="minorHAnsi" w:hAnsiTheme="minorHAnsi" w:cstheme="minorHAnsi"/>
          <w:b/>
          <w:bCs/>
          <w:color w:val="000000" w:themeColor="text1"/>
        </w:rPr>
        <w:t xml:space="preserve"> </w:t>
      </w:r>
      <w:r w:rsidRPr="00277801">
        <w:rPr>
          <w:rFonts w:asciiTheme="minorHAnsi" w:hAnsiTheme="minorHAnsi" w:cstheme="minorHAnsi"/>
          <w:b/>
          <w:bCs/>
          <w:color w:val="000000" w:themeColor="text1"/>
        </w:rPr>
        <w:t>2020</w:t>
      </w:r>
      <w:r w:rsidR="008131A3" w:rsidRPr="00277801">
        <w:rPr>
          <w:rFonts w:asciiTheme="minorHAnsi" w:hAnsiTheme="minorHAnsi" w:cstheme="minorHAnsi"/>
          <w:color w:val="000000" w:themeColor="text1"/>
        </w:rPr>
        <w:t>.</w:t>
      </w:r>
    </w:p>
    <w:p w14:paraId="4109ADAA" w14:textId="6F97280E" w:rsidR="00872B05" w:rsidRPr="00B84886" w:rsidRDefault="00872B05" w:rsidP="00143F07">
      <w:pPr>
        <w:spacing w:line="240" w:lineRule="auto"/>
        <w:jc w:val="left"/>
        <w:rPr>
          <w:rFonts w:asciiTheme="minorHAnsi" w:hAnsiTheme="minorHAnsi" w:cstheme="minorHAnsi"/>
          <w:color w:val="000000" w:themeColor="text1"/>
        </w:rPr>
      </w:pPr>
      <w:r w:rsidRPr="00B84886">
        <w:rPr>
          <w:rFonts w:asciiTheme="minorHAnsi" w:hAnsiTheme="minorHAnsi" w:cstheme="minorHAnsi"/>
          <w:color w:val="000000" w:themeColor="text1"/>
        </w:rPr>
        <w:br w:type="page"/>
      </w:r>
    </w:p>
    <w:p w14:paraId="59DC7D9C" w14:textId="05F54629" w:rsidR="003B10D9" w:rsidRPr="00B84886" w:rsidRDefault="006904CB" w:rsidP="00143F07">
      <w:pPr>
        <w:pStyle w:val="AnnexNo"/>
        <w:rPr>
          <w:lang w:val="fr-FR"/>
        </w:rPr>
      </w:pPr>
      <w:bookmarkStart w:id="6" w:name="Annexe2"/>
      <w:bookmarkEnd w:id="6"/>
      <w:r w:rsidRPr="00B84886">
        <w:rPr>
          <w:lang w:val="fr-FR"/>
        </w:rPr>
        <w:lastRenderedPageBreak/>
        <w:t>ANNEXE 2</w:t>
      </w:r>
    </w:p>
    <w:p w14:paraId="1F4D5925" w14:textId="43598881" w:rsidR="006904CB" w:rsidRPr="00B84886" w:rsidRDefault="006904CB" w:rsidP="0035477E">
      <w:pPr>
        <w:pStyle w:val="Reftext"/>
        <w:rPr>
          <w:i/>
          <w:iCs/>
          <w:szCs w:val="16"/>
        </w:rPr>
      </w:pPr>
      <w:r w:rsidRPr="00B84886">
        <w:rPr>
          <w:i/>
          <w:iCs/>
          <w:caps/>
          <w:szCs w:val="16"/>
        </w:rPr>
        <w:t>R</w:t>
      </w:r>
      <w:r w:rsidR="0035477E" w:rsidRPr="00B84886">
        <w:rPr>
          <w:i/>
          <w:iCs/>
          <w:szCs w:val="16"/>
        </w:rPr>
        <w:t>éférence</w:t>
      </w:r>
      <w:r w:rsidRPr="00B84886">
        <w:rPr>
          <w:i/>
          <w:iCs/>
          <w:caps/>
          <w:szCs w:val="16"/>
        </w:rPr>
        <w:t xml:space="preserve">: </w:t>
      </w:r>
      <w:hyperlink r:id="rId24" w:history="1">
        <w:r w:rsidRPr="00B84886">
          <w:rPr>
            <w:rStyle w:val="Hyperlink"/>
            <w:i/>
            <w:iCs/>
            <w:caps/>
            <w:szCs w:val="16"/>
          </w:rPr>
          <w:t>D</w:t>
        </w:r>
        <w:r w:rsidR="0035477E" w:rsidRPr="00B84886">
          <w:rPr>
            <w:rStyle w:val="Hyperlink"/>
            <w:i/>
            <w:iCs/>
            <w:szCs w:val="16"/>
          </w:rPr>
          <w:t>ocument</w:t>
        </w:r>
        <w:r w:rsidRPr="00B84886">
          <w:rPr>
            <w:rStyle w:val="Hyperlink"/>
            <w:i/>
            <w:iCs/>
            <w:caps/>
            <w:szCs w:val="16"/>
          </w:rPr>
          <w:t xml:space="preserve"> C20/55</w:t>
        </w:r>
      </w:hyperlink>
    </w:p>
    <w:p w14:paraId="1D4B61C0" w14:textId="5A52369A" w:rsidR="006904CB" w:rsidRPr="00B84886" w:rsidRDefault="006904CB" w:rsidP="00143F07">
      <w:pPr>
        <w:pStyle w:val="AnnexNo"/>
        <w:rPr>
          <w:lang w:val="fr-FR"/>
        </w:rPr>
      </w:pPr>
      <w:r w:rsidRPr="00B84886">
        <w:rPr>
          <w:lang w:val="fr-FR"/>
        </w:rPr>
        <w:t>projet de résolution</w:t>
      </w:r>
      <w:r w:rsidR="000975AD" w:rsidRPr="00B84886">
        <w:rPr>
          <w:lang w:val="fr-FR"/>
        </w:rPr>
        <w:t xml:space="preserve"> […]</w:t>
      </w:r>
    </w:p>
    <w:p w14:paraId="6FF1B15A" w14:textId="7D4D40AC" w:rsidR="006904CB" w:rsidRPr="00B84886" w:rsidRDefault="006904CB" w:rsidP="00143F07">
      <w:pPr>
        <w:pStyle w:val="Annextitle"/>
      </w:pPr>
      <w:r w:rsidRPr="00B84886">
        <w:t>Ordre du jour de la Conférence mondiale des radiocommunications de 2023</w:t>
      </w:r>
      <w:r w:rsidR="00D57F26" w:rsidRPr="00B84886">
        <w:t xml:space="preserve"> </w:t>
      </w:r>
      <w:r w:rsidR="004418CA" w:rsidRPr="00B84886">
        <w:br/>
      </w:r>
      <w:r w:rsidR="00D57F26" w:rsidRPr="00B84886">
        <w:t>(CMR-23)</w:t>
      </w:r>
    </w:p>
    <w:p w14:paraId="262DC926" w14:textId="77777777" w:rsidR="006904CB" w:rsidRPr="00B84886" w:rsidRDefault="006904CB" w:rsidP="00143F07">
      <w:pPr>
        <w:spacing w:line="240" w:lineRule="auto"/>
        <w:jc w:val="left"/>
        <w:rPr>
          <w:iCs/>
          <w:sz w:val="24"/>
          <w:szCs w:val="24"/>
        </w:rPr>
      </w:pPr>
      <w:r w:rsidRPr="00B84886">
        <w:rPr>
          <w:sz w:val="24"/>
          <w:szCs w:val="24"/>
        </w:rPr>
        <w:t>Le Conseil de l'UIT,</w:t>
      </w:r>
    </w:p>
    <w:p w14:paraId="458A8F98" w14:textId="77777777" w:rsidR="006904CB" w:rsidRPr="00B84886" w:rsidRDefault="006904CB" w:rsidP="00143F07">
      <w:pPr>
        <w:pStyle w:val="Call"/>
        <w:spacing w:line="240" w:lineRule="auto"/>
        <w:rPr>
          <w:sz w:val="24"/>
          <w:szCs w:val="24"/>
        </w:rPr>
      </w:pPr>
      <w:r w:rsidRPr="00B84886">
        <w:rPr>
          <w:sz w:val="24"/>
          <w:szCs w:val="24"/>
        </w:rPr>
        <w:t>notant</w:t>
      </w:r>
    </w:p>
    <w:p w14:paraId="6FB39D6C" w14:textId="77777777" w:rsidR="006904CB" w:rsidRPr="00B84886" w:rsidRDefault="006904CB" w:rsidP="00143F07">
      <w:pPr>
        <w:spacing w:line="240" w:lineRule="auto"/>
        <w:jc w:val="left"/>
        <w:rPr>
          <w:i/>
          <w:sz w:val="24"/>
          <w:szCs w:val="24"/>
        </w:rPr>
      </w:pPr>
      <w:r w:rsidRPr="00B84886">
        <w:rPr>
          <w:sz w:val="24"/>
          <w:szCs w:val="24"/>
        </w:rPr>
        <w:t>que, par sa Résolution 811, la Conférence mondiale des radiocommunications (</w:t>
      </w:r>
      <w:proofErr w:type="spellStart"/>
      <w:r w:rsidRPr="00B84886">
        <w:rPr>
          <w:sz w:val="24"/>
          <w:szCs w:val="24"/>
        </w:rPr>
        <w:t>Charm</w:t>
      </w:r>
      <w:proofErr w:type="spellEnd"/>
      <w:r w:rsidRPr="00B84886">
        <w:rPr>
          <w:sz w:val="24"/>
          <w:szCs w:val="24"/>
        </w:rPr>
        <w:t xml:space="preserve"> el-Cheikh, 2019):</w:t>
      </w:r>
    </w:p>
    <w:p w14:paraId="58AB24F4" w14:textId="77777777" w:rsidR="006904CB" w:rsidRPr="00B84886" w:rsidRDefault="006904CB" w:rsidP="00143F07">
      <w:pPr>
        <w:spacing w:line="240" w:lineRule="auto"/>
        <w:jc w:val="left"/>
        <w:rPr>
          <w:iCs/>
          <w:sz w:val="24"/>
          <w:szCs w:val="24"/>
        </w:rPr>
      </w:pPr>
      <w:r w:rsidRPr="00B84886">
        <w:rPr>
          <w:i/>
          <w:iCs/>
          <w:sz w:val="24"/>
          <w:szCs w:val="24"/>
        </w:rPr>
        <w:t>a)</w:t>
      </w:r>
      <w:r w:rsidRPr="00B84886">
        <w:rPr>
          <w:sz w:val="24"/>
          <w:szCs w:val="24"/>
        </w:rPr>
        <w:tab/>
        <w:t>a décidé de recommander au Conseil de convoquer en 2023 une Conférence mondiale des radiocommunications (CMR-23) d'une durée maximale de quatre semaines;</w:t>
      </w:r>
    </w:p>
    <w:p w14:paraId="38B5940F" w14:textId="77777777" w:rsidR="006904CB" w:rsidRPr="00B84886" w:rsidRDefault="006904CB" w:rsidP="00143F07">
      <w:pPr>
        <w:spacing w:line="240" w:lineRule="auto"/>
        <w:jc w:val="left"/>
        <w:rPr>
          <w:sz w:val="24"/>
          <w:szCs w:val="24"/>
        </w:rPr>
      </w:pPr>
      <w:r w:rsidRPr="00B84886">
        <w:rPr>
          <w:i/>
          <w:iCs/>
          <w:sz w:val="24"/>
          <w:szCs w:val="24"/>
        </w:rPr>
        <w:t>b)</w:t>
      </w:r>
      <w:r w:rsidRPr="00B84886">
        <w:rPr>
          <w:sz w:val="24"/>
          <w:szCs w:val="24"/>
        </w:rPr>
        <w:tab/>
        <w:t>a recommandé des points à inscrire à l'ordre du jour de cette conférence et a invité le Conseil à arrêter définitivement cet ordre du jour, à prendre les dispositions nécessaires pour la convocation de la CMR-23 et à engager dès que possible les consultations nécessaires avec les États Membres,</w:t>
      </w:r>
    </w:p>
    <w:p w14:paraId="28FDE11C" w14:textId="77777777" w:rsidR="006904CB" w:rsidRPr="00B84886" w:rsidRDefault="006904CB" w:rsidP="00143F07">
      <w:pPr>
        <w:pStyle w:val="Call"/>
        <w:spacing w:line="240" w:lineRule="auto"/>
        <w:rPr>
          <w:sz w:val="24"/>
          <w:szCs w:val="24"/>
        </w:rPr>
      </w:pPr>
      <w:r w:rsidRPr="00B84886">
        <w:rPr>
          <w:sz w:val="24"/>
          <w:szCs w:val="24"/>
        </w:rPr>
        <w:t>décide</w:t>
      </w:r>
    </w:p>
    <w:p w14:paraId="2EB1CAF6" w14:textId="77777777" w:rsidR="006904CB" w:rsidRPr="00B84886" w:rsidRDefault="006904CB" w:rsidP="00143F07">
      <w:pPr>
        <w:spacing w:line="240" w:lineRule="auto"/>
        <w:jc w:val="left"/>
        <w:rPr>
          <w:sz w:val="24"/>
          <w:szCs w:val="24"/>
        </w:rPr>
      </w:pPr>
      <w:r w:rsidRPr="00B84886">
        <w:rPr>
          <w:sz w:val="24"/>
          <w:szCs w:val="24"/>
        </w:rPr>
        <w:t>de convoquer en 2023 une Conférence mondiale des radiocommunications (CMR-23), précédée par une Assemblée des radiocommunications, dont l'ordre du jour sera le suivant:</w:t>
      </w:r>
    </w:p>
    <w:p w14:paraId="75C40665"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1</w:t>
      </w:r>
      <w:r w:rsidRPr="00B84886">
        <w:rPr>
          <w:rFonts w:asciiTheme="minorHAnsi" w:hAnsiTheme="minorHAnsi" w:cstheme="minorHAnsi"/>
          <w:sz w:val="24"/>
          <w:szCs w:val="24"/>
        </w:rPr>
        <w:tab/>
        <w:t>sur la base des propositions des administrations, compte tenu des résultats de la CMR</w:t>
      </w:r>
      <w:r w:rsidRPr="00B84886">
        <w:rPr>
          <w:rFonts w:asciiTheme="minorHAnsi" w:hAnsiTheme="minorHAnsi" w:cstheme="minorHAnsi"/>
          <w:sz w:val="24"/>
          <w:szCs w:val="24"/>
        </w:rPr>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7C365862"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1.1</w:t>
      </w:r>
      <w:r w:rsidRPr="00B84886">
        <w:rPr>
          <w:rFonts w:asciiTheme="minorHAnsi" w:hAnsiTheme="minorHAnsi" w:cstheme="minorHAnsi"/>
          <w:sz w:val="24"/>
          <w:szCs w:val="24"/>
        </w:rPr>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figurant dans le renvoi </w:t>
      </w:r>
      <w:r w:rsidRPr="00B84886">
        <w:rPr>
          <w:rFonts w:asciiTheme="minorHAnsi" w:hAnsiTheme="minorHAnsi" w:cstheme="minorHAnsi"/>
          <w:b/>
          <w:bCs/>
          <w:sz w:val="24"/>
          <w:szCs w:val="24"/>
        </w:rPr>
        <w:t>5.441B</w:t>
      </w:r>
      <w:r w:rsidRPr="00B84886">
        <w:rPr>
          <w:rFonts w:asciiTheme="minorHAnsi" w:hAnsiTheme="minorHAnsi" w:cstheme="minorHAnsi"/>
          <w:sz w:val="24"/>
          <w:szCs w:val="24"/>
        </w:rPr>
        <w:t xml:space="preserve"> conformément à la Résolution </w:t>
      </w:r>
      <w:r w:rsidRPr="00B84886">
        <w:rPr>
          <w:rFonts w:asciiTheme="minorHAnsi" w:hAnsiTheme="minorHAnsi" w:cstheme="minorHAnsi"/>
          <w:b/>
          <w:bCs/>
          <w:sz w:val="24"/>
          <w:szCs w:val="24"/>
        </w:rPr>
        <w:t>223 (Rév.CMR-19)</w:t>
      </w:r>
      <w:r w:rsidRPr="00B84886">
        <w:rPr>
          <w:rFonts w:asciiTheme="minorHAnsi" w:hAnsiTheme="minorHAnsi" w:cstheme="minorHAnsi"/>
          <w:sz w:val="24"/>
          <w:szCs w:val="24"/>
        </w:rPr>
        <w:t>;</w:t>
      </w:r>
    </w:p>
    <w:p w14:paraId="4BE9A601" w14:textId="77777777" w:rsidR="006904CB" w:rsidRPr="00B84886" w:rsidRDefault="006904CB" w:rsidP="00143F07">
      <w:pPr>
        <w:keepLines/>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1.2</w:t>
      </w:r>
      <w:r w:rsidRPr="00B84886">
        <w:rPr>
          <w:rFonts w:asciiTheme="minorHAnsi" w:hAnsiTheme="minorHAnsi" w:cstheme="minorHAnsi"/>
          <w:sz w:val="24"/>
          <w:szCs w:val="24"/>
        </w:rPr>
        <w:tab/>
        <w:t xml:space="preserve">envisager l'identification des bandes de fréquences </w:t>
      </w:r>
      <w:r w:rsidRPr="00B84886">
        <w:rPr>
          <w:rFonts w:asciiTheme="minorHAnsi" w:eastAsia="MS Mincho" w:hAnsiTheme="minorHAnsi" w:cstheme="minorHAnsi"/>
          <w:sz w:val="24"/>
          <w:szCs w:val="24"/>
        </w:rPr>
        <w:t xml:space="preserve">3 300-3 400 MHz, 3 600-3 800 MHz, 6 425-7 025 MHz, 7 025-7 125 MHz et 10,0-10,5 GHz </w:t>
      </w:r>
      <w:r w:rsidRPr="00B84886">
        <w:rPr>
          <w:rFonts w:asciiTheme="minorHAnsi" w:hAnsiTheme="minorHAnsi" w:cstheme="minorHAnsi"/>
          <w:sz w:val="24"/>
          <w:szCs w:val="24"/>
        </w:rPr>
        <w:t xml:space="preserve">pour les Télécommunications mobiles internationales (IMT), y compris des attributions additionnelles possibles au service mobile à titre primaire, conformément à la Résolution </w:t>
      </w:r>
      <w:r w:rsidRPr="00B84886">
        <w:rPr>
          <w:rFonts w:asciiTheme="minorHAnsi" w:hAnsiTheme="minorHAnsi" w:cstheme="minorHAnsi"/>
          <w:b/>
          <w:sz w:val="24"/>
          <w:szCs w:val="24"/>
        </w:rPr>
        <w:t>245 (CMR-19)</w:t>
      </w:r>
      <w:r w:rsidRPr="00B84886">
        <w:rPr>
          <w:rFonts w:asciiTheme="minorHAnsi" w:hAnsiTheme="minorHAnsi" w:cstheme="minorHAnsi"/>
          <w:bCs/>
          <w:sz w:val="24"/>
          <w:szCs w:val="24"/>
        </w:rPr>
        <w:t>;</w:t>
      </w:r>
    </w:p>
    <w:p w14:paraId="5D925EAF"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1.3</w:t>
      </w:r>
      <w:r w:rsidRPr="00B84886">
        <w:rPr>
          <w:rFonts w:asciiTheme="minorHAnsi" w:hAnsiTheme="minorHAnsi" w:cstheme="minorHAnsi"/>
          <w:bCs/>
          <w:iCs/>
          <w:sz w:val="24"/>
          <w:szCs w:val="24"/>
        </w:rPr>
        <w:tab/>
        <w:t xml:space="preserve">envisager l'attribution à titre primaire de la bande de fréquences 3 600-3 800 MHz au service mobile en Région 1 et prendre les mesures réglementaires appropriées, conformément à la Résolution </w:t>
      </w:r>
      <w:r w:rsidRPr="00B84886">
        <w:rPr>
          <w:rFonts w:asciiTheme="minorHAnsi" w:hAnsiTheme="minorHAnsi" w:cstheme="minorHAnsi"/>
          <w:b/>
          <w:iCs/>
          <w:sz w:val="24"/>
          <w:szCs w:val="24"/>
        </w:rPr>
        <w:t>246 (CMR-19)</w:t>
      </w:r>
      <w:r w:rsidRPr="00B84886">
        <w:rPr>
          <w:rFonts w:asciiTheme="minorHAnsi" w:hAnsiTheme="minorHAnsi" w:cstheme="minorHAnsi"/>
          <w:bCs/>
          <w:iCs/>
          <w:sz w:val="24"/>
          <w:szCs w:val="24"/>
        </w:rPr>
        <w:t>;</w:t>
      </w:r>
    </w:p>
    <w:p w14:paraId="5347561C"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lastRenderedPageBreak/>
        <w:t>1.4</w:t>
      </w:r>
      <w:r w:rsidRPr="00B84886">
        <w:rPr>
          <w:rFonts w:asciiTheme="minorHAnsi" w:hAnsiTheme="minorHAnsi" w:cstheme="minorHAnsi"/>
          <w:bCs/>
          <w:iCs/>
          <w:sz w:val="24"/>
          <w:szCs w:val="24"/>
        </w:rPr>
        <w:tab/>
        <w:t xml:space="preserve">examiner, conformément à la Résolution </w:t>
      </w:r>
      <w:r w:rsidRPr="00B84886">
        <w:rPr>
          <w:rFonts w:asciiTheme="minorHAnsi" w:hAnsiTheme="minorHAnsi" w:cstheme="minorHAnsi"/>
          <w:b/>
          <w:iCs/>
          <w:sz w:val="24"/>
          <w:szCs w:val="24"/>
        </w:rPr>
        <w:t>247 (CMR-19)</w:t>
      </w:r>
      <w:r w:rsidRPr="00B84886">
        <w:rPr>
          <w:rFonts w:asciiTheme="minorHAnsi" w:hAnsiTheme="minorHAnsi" w:cstheme="minorHAnsi"/>
          <w:bCs/>
          <w:iCs/>
          <w:sz w:val="24"/>
          <w:szCs w:val="24"/>
        </w:rPr>
        <w:t>, l'utilisation de stations placées sur des plates-formes à haute altitude en tant que stations de base IMT (HIBS) dans le service mobile dans certaines bandes de fréquences au-dessous de 2,7 GHz qui sont déjà identifiées pour les IMT à l'échelle mondiale ou régionale;</w:t>
      </w:r>
    </w:p>
    <w:p w14:paraId="72BF57A5"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1.5</w:t>
      </w:r>
      <w:r w:rsidRPr="00B84886">
        <w:rPr>
          <w:rFonts w:asciiTheme="minorHAnsi" w:hAnsiTheme="minorHAnsi" w:cstheme="minorHAnsi"/>
          <w:bCs/>
          <w:iCs/>
          <w:sz w:val="24"/>
          <w:szCs w:val="24"/>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B84886">
        <w:rPr>
          <w:rFonts w:asciiTheme="minorHAnsi" w:hAnsiTheme="minorHAnsi" w:cstheme="minorHAnsi"/>
          <w:b/>
          <w:bCs/>
          <w:iCs/>
          <w:sz w:val="24"/>
          <w:szCs w:val="24"/>
        </w:rPr>
        <w:t>235 (CMR-15)</w:t>
      </w:r>
      <w:r w:rsidRPr="00B84886">
        <w:rPr>
          <w:rFonts w:asciiTheme="minorHAnsi" w:hAnsiTheme="minorHAnsi" w:cstheme="minorHAnsi"/>
          <w:bCs/>
          <w:iCs/>
          <w:sz w:val="24"/>
          <w:szCs w:val="24"/>
        </w:rPr>
        <w:t>;</w:t>
      </w:r>
    </w:p>
    <w:p w14:paraId="31924F3A"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1.6</w:t>
      </w:r>
      <w:r w:rsidRPr="00B84886">
        <w:rPr>
          <w:rFonts w:asciiTheme="minorHAnsi" w:hAnsiTheme="minorHAnsi" w:cstheme="minorHAnsi"/>
          <w:bCs/>
          <w:iCs/>
          <w:sz w:val="24"/>
          <w:szCs w:val="24"/>
        </w:rPr>
        <w:tab/>
        <w:t xml:space="preserve">étudier, conformément à la Résolution </w:t>
      </w:r>
      <w:r w:rsidRPr="00B84886">
        <w:rPr>
          <w:rFonts w:asciiTheme="minorHAnsi" w:hAnsiTheme="minorHAnsi" w:cstheme="minorHAnsi"/>
          <w:b/>
          <w:bCs/>
          <w:iCs/>
          <w:sz w:val="24"/>
          <w:szCs w:val="24"/>
        </w:rPr>
        <w:t>772 (CMR</w:t>
      </w:r>
      <w:r w:rsidRPr="00B84886">
        <w:rPr>
          <w:rFonts w:asciiTheme="minorHAnsi" w:hAnsiTheme="minorHAnsi" w:cstheme="minorHAnsi"/>
          <w:b/>
          <w:bCs/>
          <w:iCs/>
          <w:sz w:val="24"/>
          <w:szCs w:val="24"/>
        </w:rPr>
        <w:noBreakHyphen/>
        <w:t>19)</w:t>
      </w:r>
      <w:r w:rsidRPr="00B84886">
        <w:rPr>
          <w:rFonts w:asciiTheme="minorHAnsi" w:hAnsiTheme="minorHAnsi" w:cstheme="minorHAnsi"/>
          <w:bCs/>
          <w:iCs/>
          <w:sz w:val="24"/>
          <w:szCs w:val="24"/>
        </w:rPr>
        <w:t>, les dispositions réglementaires propres à faciliter les radiocommunications pour les véhicules suborbitaux;</w:t>
      </w:r>
    </w:p>
    <w:p w14:paraId="54F62854"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1.7</w:t>
      </w:r>
      <w:r w:rsidRPr="00B84886">
        <w:rPr>
          <w:rFonts w:asciiTheme="minorHAnsi" w:hAnsiTheme="minorHAnsi" w:cstheme="minorHAnsi"/>
          <w:bCs/>
          <w:iCs/>
          <w:sz w:val="24"/>
          <w:szCs w:val="24"/>
        </w:rPr>
        <w:tab/>
        <w:t xml:space="preserve">envisager une nouvelle attribution au service mobile aéronautique (R) par satellite (SMA(R)S), conformément à la Résolution </w:t>
      </w:r>
      <w:r w:rsidRPr="00B84886">
        <w:rPr>
          <w:rFonts w:asciiTheme="minorHAnsi" w:hAnsiTheme="minorHAnsi" w:cstheme="minorHAnsi"/>
          <w:b/>
          <w:iCs/>
          <w:sz w:val="24"/>
          <w:szCs w:val="24"/>
        </w:rPr>
        <w:t>428</w:t>
      </w:r>
      <w:r w:rsidRPr="00B84886">
        <w:rPr>
          <w:rFonts w:asciiTheme="minorHAnsi" w:hAnsiTheme="minorHAnsi" w:cstheme="minorHAnsi"/>
          <w:bCs/>
          <w:iCs/>
          <w:sz w:val="24"/>
          <w:szCs w:val="24"/>
        </w:rPr>
        <w:t xml:space="preserve"> </w:t>
      </w:r>
      <w:r w:rsidRPr="00B84886">
        <w:rPr>
          <w:rFonts w:asciiTheme="minorHAnsi" w:hAnsiTheme="minorHAnsi" w:cstheme="minorHAnsi"/>
          <w:b/>
          <w:iCs/>
          <w:sz w:val="24"/>
          <w:szCs w:val="24"/>
        </w:rPr>
        <w:t>(CMR-19)</w:t>
      </w:r>
      <w:r w:rsidRPr="00B84886">
        <w:rPr>
          <w:rFonts w:asciiTheme="minorHAnsi" w:hAnsiTheme="minorHAnsi" w:cstheme="minorHAnsi"/>
          <w:bCs/>
          <w:iCs/>
          <w:sz w:val="24"/>
          <w:szCs w:val="24"/>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adjacentes;</w:t>
      </w:r>
    </w:p>
    <w:p w14:paraId="02760A91"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1.8</w:t>
      </w:r>
      <w:r w:rsidRPr="00B84886">
        <w:rPr>
          <w:rFonts w:asciiTheme="minorHAnsi" w:hAnsiTheme="minorHAnsi" w:cstheme="minorHAnsi"/>
          <w:bCs/>
          <w:iCs/>
          <w:sz w:val="24"/>
          <w:szCs w:val="24"/>
        </w:rPr>
        <w:tab/>
        <w:t>envisager, sur la base des études menées par l'UIT-R conformément à la Résolution </w:t>
      </w:r>
      <w:r w:rsidRPr="00B84886">
        <w:rPr>
          <w:rFonts w:asciiTheme="minorHAnsi" w:hAnsiTheme="minorHAnsi" w:cstheme="minorHAnsi"/>
          <w:b/>
          <w:bCs/>
          <w:iCs/>
          <w:sz w:val="24"/>
          <w:szCs w:val="24"/>
        </w:rPr>
        <w:t>171 (CMR-19)</w:t>
      </w:r>
      <w:r w:rsidRPr="00B84886">
        <w:rPr>
          <w:rFonts w:asciiTheme="minorHAnsi" w:hAnsiTheme="minorHAnsi" w:cstheme="minorHAnsi"/>
          <w:bCs/>
          <w:iCs/>
          <w:sz w:val="24"/>
          <w:szCs w:val="24"/>
        </w:rPr>
        <w:t xml:space="preserve">, des mesures réglementaires appropriées, en vue d'examiner et, au besoin, de réviser la Résolution </w:t>
      </w:r>
      <w:r w:rsidRPr="00B84886">
        <w:rPr>
          <w:rFonts w:asciiTheme="minorHAnsi" w:hAnsiTheme="minorHAnsi" w:cstheme="minorHAnsi"/>
          <w:b/>
          <w:bCs/>
          <w:iCs/>
          <w:sz w:val="24"/>
          <w:szCs w:val="24"/>
        </w:rPr>
        <w:t>155 (Rév.CMR-19)</w:t>
      </w:r>
      <w:r w:rsidRPr="00B84886">
        <w:rPr>
          <w:rFonts w:asciiTheme="minorHAnsi" w:hAnsiTheme="minorHAnsi" w:cstheme="minorHAnsi"/>
          <w:bCs/>
          <w:iCs/>
          <w:sz w:val="24"/>
          <w:szCs w:val="24"/>
        </w:rPr>
        <w:t xml:space="preserve"> et le numéro </w:t>
      </w:r>
      <w:r w:rsidRPr="00B84886">
        <w:rPr>
          <w:rFonts w:asciiTheme="minorHAnsi" w:hAnsiTheme="minorHAnsi" w:cstheme="minorHAnsi"/>
          <w:b/>
          <w:bCs/>
          <w:iCs/>
          <w:sz w:val="24"/>
          <w:szCs w:val="24"/>
        </w:rPr>
        <w:t>5.484B</w:t>
      </w:r>
      <w:r w:rsidRPr="00B84886">
        <w:rPr>
          <w:rFonts w:asciiTheme="minorHAnsi" w:hAnsiTheme="minorHAnsi" w:cstheme="minorHAnsi"/>
          <w:bCs/>
          <w:iCs/>
          <w:sz w:val="24"/>
          <w:szCs w:val="24"/>
        </w:rPr>
        <w:t xml:space="preserve"> du RR, pour permettre l'utilisation des réseaux du service fixe par satellite (SFS) pour les communications de contrôle et non associées à la charge utile des systèmes d'aéronef sans pilote;</w:t>
      </w:r>
    </w:p>
    <w:p w14:paraId="05800D4F"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1.9</w:t>
      </w:r>
      <w:r w:rsidRPr="00B84886">
        <w:rPr>
          <w:rFonts w:asciiTheme="minorHAnsi" w:hAnsiTheme="minorHAnsi" w:cstheme="minorHAnsi"/>
          <w:bCs/>
          <w:iCs/>
          <w:sz w:val="24"/>
          <w:szCs w:val="24"/>
        </w:rPr>
        <w:tab/>
        <w:t xml:space="preserve">examiner l'Appendice </w:t>
      </w:r>
      <w:r w:rsidRPr="00B84886">
        <w:rPr>
          <w:rFonts w:asciiTheme="minorHAnsi" w:hAnsiTheme="minorHAnsi" w:cstheme="minorHAnsi"/>
          <w:b/>
          <w:bCs/>
          <w:iCs/>
          <w:sz w:val="24"/>
          <w:szCs w:val="24"/>
        </w:rPr>
        <w:t>27</w:t>
      </w:r>
      <w:r w:rsidRPr="00B84886">
        <w:rPr>
          <w:rFonts w:asciiTheme="minorHAnsi" w:hAnsiTheme="minorHAnsi" w:cstheme="minorHAnsi"/>
          <w:bCs/>
          <w:iCs/>
          <w:sz w:val="24"/>
          <w:szCs w:val="24"/>
        </w:rPr>
        <w:t xml:space="preserve"> du Règlement des radiocommunications et envisager des mesures et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(le long des routes) et d'assurer la coexistence entre les systèmes actuels en ondes décamétriques et les systèmes modernisés en ondes décamétriques, conformément à la Résolution </w:t>
      </w:r>
      <w:r w:rsidRPr="00B84886">
        <w:rPr>
          <w:rFonts w:asciiTheme="minorHAnsi" w:hAnsiTheme="minorHAnsi" w:cstheme="minorHAnsi"/>
          <w:b/>
          <w:iCs/>
          <w:sz w:val="24"/>
          <w:szCs w:val="24"/>
        </w:rPr>
        <w:t>429</w:t>
      </w:r>
      <w:r w:rsidRPr="00B84886">
        <w:rPr>
          <w:rFonts w:asciiTheme="minorHAnsi" w:hAnsiTheme="minorHAnsi" w:cstheme="minorHAnsi"/>
          <w:b/>
          <w:bCs/>
          <w:iCs/>
          <w:sz w:val="24"/>
          <w:szCs w:val="24"/>
        </w:rPr>
        <w:t xml:space="preserve"> (CMR-19)</w:t>
      </w:r>
      <w:r w:rsidRPr="00B84886">
        <w:rPr>
          <w:rFonts w:asciiTheme="minorHAnsi" w:hAnsiTheme="minorHAnsi" w:cstheme="minorHAnsi"/>
          <w:bCs/>
          <w:iCs/>
          <w:sz w:val="24"/>
          <w:szCs w:val="24"/>
        </w:rPr>
        <w:t>;</w:t>
      </w:r>
    </w:p>
    <w:p w14:paraId="1C8B3EC2" w14:textId="77777777" w:rsidR="006904CB" w:rsidRPr="00B84886" w:rsidRDefault="006904CB" w:rsidP="00143F07">
      <w:pPr>
        <w:spacing w:line="240" w:lineRule="auto"/>
        <w:jc w:val="left"/>
        <w:rPr>
          <w:rFonts w:asciiTheme="minorHAnsi" w:hAnsiTheme="minorHAnsi" w:cstheme="minorHAnsi"/>
          <w:b/>
          <w:bCs/>
          <w:iCs/>
          <w:sz w:val="24"/>
          <w:szCs w:val="24"/>
        </w:rPr>
      </w:pPr>
      <w:r w:rsidRPr="00B84886">
        <w:rPr>
          <w:rFonts w:asciiTheme="minorHAnsi" w:hAnsiTheme="minorHAnsi" w:cstheme="minorHAnsi"/>
          <w:bCs/>
          <w:iCs/>
          <w:sz w:val="24"/>
          <w:szCs w:val="24"/>
        </w:rPr>
        <w:t>1.10</w:t>
      </w:r>
      <w:r w:rsidRPr="00B84886">
        <w:rPr>
          <w:rFonts w:asciiTheme="minorHAnsi" w:hAnsiTheme="minorHAnsi" w:cstheme="minorHAnsi"/>
          <w:bCs/>
          <w:iCs/>
          <w:sz w:val="24"/>
          <w:szCs w:val="24"/>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B84886">
        <w:rPr>
          <w:rFonts w:asciiTheme="minorHAnsi" w:hAnsiTheme="minorHAnsi" w:cstheme="minorHAnsi"/>
          <w:b/>
          <w:bCs/>
          <w:iCs/>
          <w:sz w:val="24"/>
          <w:szCs w:val="24"/>
        </w:rPr>
        <w:t>430 (CMR-19)</w:t>
      </w:r>
      <w:r w:rsidRPr="00B84886">
        <w:rPr>
          <w:rFonts w:asciiTheme="minorHAnsi" w:hAnsiTheme="minorHAnsi" w:cstheme="minorHAnsi"/>
          <w:bCs/>
          <w:iCs/>
          <w:sz w:val="24"/>
          <w:szCs w:val="24"/>
        </w:rPr>
        <w:t>;</w:t>
      </w:r>
    </w:p>
    <w:p w14:paraId="24F365A5"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1.11</w:t>
      </w:r>
      <w:r w:rsidRPr="00B84886">
        <w:rPr>
          <w:rFonts w:asciiTheme="minorHAnsi" w:hAnsiTheme="minorHAnsi" w:cstheme="minorHAnsi"/>
          <w:bCs/>
          <w:iCs/>
          <w:sz w:val="24"/>
          <w:szCs w:val="24"/>
        </w:rPr>
        <w:tab/>
        <w:t xml:space="preserve">examiner les mesures réglementaires qui pourraient être prises, en vue de permettre la modernisation du Système mondial de détresse et de sécurité en mer et la mise en œuvre de la navigation électronique, conformément à la Résolution </w:t>
      </w:r>
      <w:r w:rsidRPr="00B84886">
        <w:rPr>
          <w:rFonts w:asciiTheme="minorHAnsi" w:hAnsiTheme="minorHAnsi" w:cstheme="minorHAnsi"/>
          <w:b/>
          <w:iCs/>
          <w:sz w:val="24"/>
          <w:szCs w:val="24"/>
        </w:rPr>
        <w:t>361 (Rév.CMR-19)</w:t>
      </w:r>
      <w:r w:rsidRPr="00B84886">
        <w:rPr>
          <w:rFonts w:asciiTheme="minorHAnsi" w:hAnsiTheme="minorHAnsi" w:cstheme="minorHAnsi"/>
          <w:bCs/>
          <w:iCs/>
          <w:sz w:val="24"/>
          <w:szCs w:val="24"/>
        </w:rPr>
        <w:t>;</w:t>
      </w:r>
    </w:p>
    <w:p w14:paraId="288F38FB" w14:textId="77777777" w:rsidR="006904CB" w:rsidRPr="00B84886" w:rsidRDefault="006904CB" w:rsidP="00143F07">
      <w:pPr>
        <w:keepLines/>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1.12</w:t>
      </w:r>
      <w:r w:rsidRPr="00B84886">
        <w:rPr>
          <w:rFonts w:asciiTheme="minorHAnsi" w:hAnsiTheme="minorHAnsi" w:cstheme="minorHAnsi"/>
          <w:bCs/>
          <w:iCs/>
          <w:sz w:val="24"/>
          <w:szCs w:val="24"/>
        </w:rPr>
        <w:tab/>
        <w:t xml:space="preserve">mener, et achever à temps pour la CMR-23, des études concernant la possibilité de faire une nouvelle attribution à titre secondaire au service d'exploration de la Terre par satellite (active) pour les sondeurs radar </w:t>
      </w:r>
      <w:proofErr w:type="spellStart"/>
      <w:r w:rsidRPr="00B84886">
        <w:rPr>
          <w:rFonts w:asciiTheme="minorHAnsi" w:hAnsiTheme="minorHAnsi" w:cstheme="minorHAnsi"/>
          <w:bCs/>
          <w:iCs/>
          <w:sz w:val="24"/>
          <w:szCs w:val="24"/>
        </w:rPr>
        <w:t>spatioportés</w:t>
      </w:r>
      <w:proofErr w:type="spellEnd"/>
      <w:r w:rsidRPr="00B84886">
        <w:rPr>
          <w:rFonts w:asciiTheme="minorHAnsi" w:hAnsiTheme="minorHAnsi" w:cstheme="minorHAnsi"/>
          <w:bCs/>
          <w:iCs/>
          <w:sz w:val="24"/>
          <w:szCs w:val="24"/>
        </w:rPr>
        <w:t xml:space="preserve"> dans la gamme de fréquences au voisinage de 45 MHz, compte tenu de la protection des services existants, y compris dans les bandes de fréquences adjacentes, conformément à la Résolution </w:t>
      </w:r>
      <w:r w:rsidRPr="00B84886">
        <w:rPr>
          <w:rFonts w:asciiTheme="minorHAnsi" w:hAnsiTheme="minorHAnsi" w:cstheme="minorHAnsi"/>
          <w:b/>
          <w:bCs/>
          <w:iCs/>
          <w:sz w:val="24"/>
          <w:szCs w:val="24"/>
        </w:rPr>
        <w:t>656 (Rév.CMR-19)</w:t>
      </w:r>
      <w:r w:rsidRPr="00B84886">
        <w:rPr>
          <w:rFonts w:asciiTheme="minorHAnsi" w:hAnsiTheme="minorHAnsi" w:cstheme="minorHAnsi"/>
          <w:bCs/>
          <w:iCs/>
          <w:sz w:val="24"/>
          <w:szCs w:val="24"/>
        </w:rPr>
        <w:t>;</w:t>
      </w:r>
    </w:p>
    <w:p w14:paraId="1989C2B3"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1.13</w:t>
      </w:r>
      <w:r w:rsidRPr="00B84886">
        <w:rPr>
          <w:rFonts w:asciiTheme="minorHAnsi" w:hAnsiTheme="minorHAnsi" w:cstheme="minorHAnsi"/>
          <w:bCs/>
          <w:iCs/>
          <w:sz w:val="24"/>
          <w:szCs w:val="24"/>
        </w:rPr>
        <w:tab/>
        <w:t>examiner le relèvement possible du statut de l'attribution de la bande de fréquences 14,8</w:t>
      </w:r>
      <w:r w:rsidRPr="00B84886">
        <w:rPr>
          <w:rFonts w:asciiTheme="minorHAnsi" w:hAnsiTheme="minorHAnsi" w:cstheme="minorHAnsi"/>
          <w:bCs/>
          <w:iCs/>
          <w:sz w:val="24"/>
          <w:szCs w:val="24"/>
        </w:rPr>
        <w:noBreakHyphen/>
        <w:t xml:space="preserve">15,35 GHz au service de recherche spatiale conformément à la Résolution </w:t>
      </w:r>
      <w:r w:rsidRPr="00B84886">
        <w:rPr>
          <w:rFonts w:asciiTheme="minorHAnsi" w:hAnsiTheme="minorHAnsi" w:cstheme="minorHAnsi"/>
          <w:b/>
          <w:bCs/>
          <w:iCs/>
          <w:sz w:val="24"/>
          <w:szCs w:val="24"/>
        </w:rPr>
        <w:t>661 (CMR</w:t>
      </w:r>
      <w:r w:rsidRPr="00B84886">
        <w:rPr>
          <w:rFonts w:asciiTheme="minorHAnsi" w:hAnsiTheme="minorHAnsi" w:cstheme="minorHAnsi"/>
          <w:b/>
          <w:bCs/>
          <w:iCs/>
          <w:sz w:val="24"/>
          <w:szCs w:val="24"/>
        </w:rPr>
        <w:noBreakHyphen/>
        <w:t>19)</w:t>
      </w:r>
      <w:r w:rsidRPr="00B84886">
        <w:rPr>
          <w:rFonts w:asciiTheme="minorHAnsi" w:hAnsiTheme="minorHAnsi" w:cstheme="minorHAnsi"/>
          <w:bCs/>
          <w:iCs/>
          <w:sz w:val="24"/>
          <w:szCs w:val="24"/>
        </w:rPr>
        <w:t>;</w:t>
      </w:r>
    </w:p>
    <w:p w14:paraId="54FF1020"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lastRenderedPageBreak/>
        <w:t>1.14</w:t>
      </w:r>
      <w:r w:rsidRPr="00B84886">
        <w:rPr>
          <w:rFonts w:asciiTheme="minorHAnsi" w:hAnsiTheme="minorHAnsi" w:cstheme="minorHAnsi"/>
          <w:bCs/>
          <w:iCs/>
          <w:sz w:val="24"/>
          <w:szCs w:val="24"/>
        </w:rPr>
        <w:tab/>
        <w:t>examiner et envisager la possibilité d'apporter des ajustements aux attributions de fréquences existantes ou de faire de nouvelles attributions à titre primaire au SETS (passive) dans la gamme de fréquences 231,5-252 GHz, pour s'assurer qu'elles correspondent aux exigences récentes en matière d'observation des systèmes de télédétection, conformément à la Résolution </w:t>
      </w:r>
      <w:r w:rsidRPr="00B84886">
        <w:rPr>
          <w:rFonts w:asciiTheme="minorHAnsi" w:hAnsiTheme="minorHAnsi" w:cstheme="minorHAnsi"/>
          <w:b/>
          <w:bCs/>
          <w:iCs/>
          <w:sz w:val="24"/>
          <w:szCs w:val="24"/>
        </w:rPr>
        <w:t>662 (CMR-19)</w:t>
      </w:r>
      <w:r w:rsidRPr="00B84886">
        <w:rPr>
          <w:rFonts w:asciiTheme="minorHAnsi" w:hAnsiTheme="minorHAnsi" w:cstheme="minorHAnsi"/>
          <w:bCs/>
          <w:iCs/>
          <w:sz w:val="24"/>
          <w:szCs w:val="24"/>
        </w:rPr>
        <w:t>;</w:t>
      </w:r>
    </w:p>
    <w:p w14:paraId="581A7B92"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1.15</w:t>
      </w:r>
      <w:r w:rsidRPr="00B84886">
        <w:rPr>
          <w:rFonts w:asciiTheme="minorHAnsi" w:hAnsiTheme="minorHAnsi" w:cstheme="minorHAnsi"/>
          <w:bCs/>
          <w:iCs/>
          <w:sz w:val="24"/>
          <w:szCs w:val="24"/>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B84886">
        <w:rPr>
          <w:rFonts w:asciiTheme="minorHAnsi" w:hAnsiTheme="minorHAnsi" w:cstheme="minorHAnsi"/>
          <w:b/>
          <w:iCs/>
          <w:sz w:val="24"/>
          <w:szCs w:val="24"/>
        </w:rPr>
        <w:t>172 (CMR-19)</w:t>
      </w:r>
      <w:r w:rsidRPr="00B84886">
        <w:rPr>
          <w:rFonts w:asciiTheme="minorHAnsi" w:hAnsiTheme="minorHAnsi" w:cstheme="minorHAnsi"/>
          <w:bCs/>
          <w:iCs/>
          <w:sz w:val="24"/>
          <w:szCs w:val="24"/>
        </w:rPr>
        <w:t>;</w:t>
      </w:r>
    </w:p>
    <w:p w14:paraId="0B036D67"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1.16</w:t>
      </w:r>
      <w:r w:rsidRPr="00B84886">
        <w:rPr>
          <w:rFonts w:asciiTheme="minorHAnsi" w:hAnsiTheme="minorHAnsi" w:cstheme="minorHAnsi"/>
          <w:bCs/>
          <w:iCs/>
          <w:sz w:val="24"/>
          <w:szCs w:val="24"/>
        </w:rPr>
        <w:tab/>
        <w:t>étudier et définir les mesures techniques, opérationnelles et réglementaires, selon le cas, propres à faciliter l'utilisation des bandes de fréquences 17,7-18,6 GHz, 18,8-19,3 GHz et 19,7</w:t>
      </w:r>
      <w:r w:rsidRPr="00B84886">
        <w:rPr>
          <w:rFonts w:asciiTheme="minorHAnsi" w:hAnsiTheme="minorHAnsi" w:cstheme="minorHAnsi"/>
          <w:bCs/>
          <w:iCs/>
          <w:sz w:val="24"/>
          <w:szCs w:val="24"/>
        </w:rPr>
        <w:noBreakHyphen/>
        <w:t xml:space="preserve">20,2 GHz (espace vers Terre), ainsi que 27,5-29,1 GHz et 29,5-30 GHz (Terre vers espace) par les stations ESIM du SFS non OSG, tout en assurant la protection voulue des services existants dans ces bandes de fréquences conformément à la Résolution </w:t>
      </w:r>
      <w:r w:rsidRPr="00B84886">
        <w:rPr>
          <w:rFonts w:asciiTheme="minorHAnsi" w:hAnsiTheme="minorHAnsi" w:cstheme="minorHAnsi"/>
          <w:b/>
          <w:iCs/>
          <w:sz w:val="24"/>
          <w:szCs w:val="24"/>
        </w:rPr>
        <w:t>173 (CMR-19)</w:t>
      </w:r>
      <w:r w:rsidRPr="00B84886">
        <w:rPr>
          <w:rFonts w:asciiTheme="minorHAnsi" w:hAnsiTheme="minorHAnsi" w:cstheme="minorHAnsi"/>
          <w:bCs/>
          <w:iCs/>
          <w:sz w:val="24"/>
          <w:szCs w:val="24"/>
        </w:rPr>
        <w:t xml:space="preserve">; </w:t>
      </w:r>
    </w:p>
    <w:p w14:paraId="1D88C856"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1.17</w:t>
      </w:r>
      <w:r w:rsidRPr="00B84886">
        <w:rPr>
          <w:rFonts w:asciiTheme="minorHAnsi" w:hAnsiTheme="minorHAnsi" w:cstheme="minorHAnsi"/>
          <w:bCs/>
          <w:iCs/>
          <w:sz w:val="24"/>
          <w:szCs w:val="24"/>
        </w:rPr>
        <w:tab/>
        <w:t xml:space="preserve">déterminer et prendre, sur la base des études menées par l'UIT-R conformément à la Résolution </w:t>
      </w:r>
      <w:r w:rsidRPr="00B84886">
        <w:rPr>
          <w:rFonts w:asciiTheme="minorHAnsi" w:hAnsiTheme="minorHAnsi" w:cstheme="minorHAnsi"/>
          <w:b/>
          <w:bCs/>
          <w:iCs/>
          <w:sz w:val="24"/>
          <w:szCs w:val="24"/>
        </w:rPr>
        <w:t>773 (CMR-19)</w:t>
      </w:r>
      <w:r w:rsidRPr="00B84886">
        <w:rPr>
          <w:rFonts w:asciiTheme="minorHAnsi" w:hAnsiTheme="minorHAnsi" w:cstheme="minorHAnsi"/>
          <w:bCs/>
          <w:iCs/>
          <w:sz w:val="24"/>
          <w:szCs w:val="24"/>
        </w:rPr>
        <w:t>, les mesures réglementaires appropriées concernant l'établissement de liaisons inter-satellites dans certaines bandes de fréquences, ou dans des parties de ces bandes, en ajoutant une attribution au service inter-satellites, s'il y a lieu;</w:t>
      </w:r>
    </w:p>
    <w:p w14:paraId="237A3C66"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1.18</w:t>
      </w:r>
      <w:r w:rsidRPr="00B84886">
        <w:rPr>
          <w:rFonts w:asciiTheme="minorHAnsi" w:hAnsiTheme="minorHAnsi" w:cstheme="minorHAnsi"/>
          <w:bCs/>
          <w:iCs/>
          <w:sz w:val="24"/>
          <w:szCs w:val="24"/>
        </w:rPr>
        <w:tab/>
        <w:t xml:space="preserve">examiner les études portant sur les besoins de spectre et envisager d'éventuelles nouvelles attributions au service mobile par satellite pour le développement futur des systèmes mobiles à satellites à bande étroite, conformément à la Résolution </w:t>
      </w:r>
      <w:r w:rsidRPr="00B84886">
        <w:rPr>
          <w:rFonts w:asciiTheme="minorHAnsi" w:hAnsiTheme="minorHAnsi" w:cstheme="minorHAnsi"/>
          <w:b/>
          <w:iCs/>
          <w:sz w:val="24"/>
          <w:szCs w:val="24"/>
        </w:rPr>
        <w:t>248</w:t>
      </w:r>
      <w:r w:rsidRPr="00B84886">
        <w:rPr>
          <w:rFonts w:asciiTheme="minorHAnsi" w:hAnsiTheme="minorHAnsi" w:cstheme="minorHAnsi"/>
          <w:b/>
          <w:bCs/>
          <w:iCs/>
          <w:sz w:val="24"/>
          <w:szCs w:val="24"/>
        </w:rPr>
        <w:t xml:space="preserve"> (CMR-19)</w:t>
      </w:r>
      <w:r w:rsidRPr="00B84886">
        <w:rPr>
          <w:rFonts w:asciiTheme="minorHAnsi" w:hAnsiTheme="minorHAnsi" w:cstheme="minorHAnsi"/>
          <w:bCs/>
          <w:iCs/>
          <w:sz w:val="24"/>
          <w:szCs w:val="24"/>
        </w:rPr>
        <w:t>;</w:t>
      </w:r>
    </w:p>
    <w:p w14:paraId="236BCE87" w14:textId="77777777" w:rsidR="006904CB" w:rsidRPr="00B84886" w:rsidRDefault="006904CB" w:rsidP="00143F07">
      <w:pPr>
        <w:spacing w:line="240" w:lineRule="auto"/>
        <w:jc w:val="left"/>
        <w:rPr>
          <w:rFonts w:asciiTheme="minorHAnsi" w:hAnsiTheme="minorHAnsi" w:cstheme="minorHAnsi"/>
          <w:bCs/>
          <w:iCs/>
          <w:sz w:val="24"/>
          <w:szCs w:val="24"/>
        </w:rPr>
      </w:pPr>
      <w:r w:rsidRPr="00B84886">
        <w:rPr>
          <w:rFonts w:asciiTheme="minorHAnsi" w:hAnsiTheme="minorHAnsi" w:cstheme="minorHAnsi"/>
          <w:bCs/>
          <w:iCs/>
          <w:sz w:val="24"/>
          <w:szCs w:val="24"/>
        </w:rPr>
        <w:t>1.19</w:t>
      </w:r>
      <w:r w:rsidRPr="00B84886">
        <w:rPr>
          <w:rFonts w:asciiTheme="minorHAnsi" w:hAnsiTheme="minorHAnsi" w:cstheme="minorHAnsi"/>
          <w:b/>
          <w:bCs/>
          <w:iCs/>
          <w:sz w:val="24"/>
          <w:szCs w:val="24"/>
        </w:rPr>
        <w:tab/>
      </w:r>
      <w:r w:rsidRPr="00B84886">
        <w:rPr>
          <w:rFonts w:asciiTheme="minorHAnsi" w:hAnsiTheme="minorHAnsi" w:cstheme="minorHAnsi"/>
          <w:bCs/>
          <w:iCs/>
          <w:sz w:val="24"/>
          <w:szCs w:val="24"/>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B84886">
        <w:rPr>
          <w:rFonts w:asciiTheme="minorHAnsi" w:hAnsiTheme="minorHAnsi" w:cstheme="minorHAnsi"/>
          <w:b/>
          <w:iCs/>
          <w:sz w:val="24"/>
          <w:szCs w:val="24"/>
        </w:rPr>
        <w:t>174</w:t>
      </w:r>
      <w:r w:rsidRPr="00B84886">
        <w:rPr>
          <w:rFonts w:asciiTheme="minorHAnsi" w:hAnsiTheme="minorHAnsi" w:cstheme="minorHAnsi"/>
          <w:bCs/>
          <w:iCs/>
          <w:sz w:val="24"/>
          <w:szCs w:val="24"/>
        </w:rPr>
        <w:t xml:space="preserve"> </w:t>
      </w:r>
      <w:r w:rsidRPr="00B84886">
        <w:rPr>
          <w:rFonts w:asciiTheme="minorHAnsi" w:hAnsiTheme="minorHAnsi" w:cstheme="minorHAnsi"/>
          <w:b/>
          <w:bCs/>
          <w:iCs/>
          <w:sz w:val="24"/>
          <w:szCs w:val="24"/>
        </w:rPr>
        <w:t>(CMR-19)</w:t>
      </w:r>
      <w:r w:rsidRPr="00B84886">
        <w:rPr>
          <w:rFonts w:asciiTheme="minorHAnsi" w:hAnsiTheme="minorHAnsi" w:cstheme="minorHAnsi"/>
          <w:bCs/>
          <w:iCs/>
          <w:sz w:val="24"/>
          <w:szCs w:val="24"/>
        </w:rPr>
        <w:t>;</w:t>
      </w:r>
    </w:p>
    <w:p w14:paraId="79DED0BB"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2</w:t>
      </w:r>
      <w:r w:rsidRPr="00B84886">
        <w:rPr>
          <w:rFonts w:asciiTheme="minorHAnsi" w:hAnsiTheme="minorHAnsi" w:cstheme="minorHAnsi"/>
          <w:sz w:val="24"/>
          <w:szCs w:val="24"/>
        </w:rPr>
        <w:tab/>
        <w:t xml:space="preserve">examiner les Recommandations UIT-R révisées et incorporées par référence dans le Règlement des radiocommunications, communiquées par l'Assemblée des radiocommunications conformément au </w:t>
      </w:r>
      <w:r w:rsidRPr="00B84886">
        <w:rPr>
          <w:rFonts w:asciiTheme="minorHAnsi" w:hAnsiTheme="minorHAnsi" w:cstheme="minorHAnsi"/>
          <w:i/>
          <w:sz w:val="24"/>
          <w:szCs w:val="24"/>
        </w:rPr>
        <w:t>décide en outre</w:t>
      </w:r>
      <w:r w:rsidRPr="00B84886">
        <w:rPr>
          <w:rFonts w:asciiTheme="minorHAnsi" w:hAnsiTheme="minorHAnsi" w:cstheme="minorHAnsi"/>
          <w:sz w:val="24"/>
          <w:szCs w:val="24"/>
        </w:rPr>
        <w:t xml:space="preserve"> de la Résolution </w:t>
      </w:r>
      <w:r w:rsidRPr="00B84886">
        <w:rPr>
          <w:rFonts w:asciiTheme="minorHAnsi" w:hAnsiTheme="minorHAnsi" w:cstheme="minorHAnsi"/>
          <w:b/>
          <w:bCs/>
          <w:sz w:val="24"/>
          <w:szCs w:val="24"/>
        </w:rPr>
        <w:t>27</w:t>
      </w:r>
      <w:r w:rsidRPr="00B84886">
        <w:rPr>
          <w:rFonts w:asciiTheme="minorHAnsi" w:hAnsiTheme="minorHAnsi" w:cstheme="minorHAnsi"/>
          <w:sz w:val="24"/>
          <w:szCs w:val="24"/>
        </w:rPr>
        <w:t xml:space="preserve"> </w:t>
      </w:r>
      <w:r w:rsidRPr="00B84886">
        <w:rPr>
          <w:rFonts w:asciiTheme="minorHAnsi" w:hAnsiTheme="minorHAnsi" w:cstheme="minorHAnsi"/>
          <w:b/>
          <w:bCs/>
          <w:sz w:val="24"/>
          <w:szCs w:val="24"/>
        </w:rPr>
        <w:t>(Rév.CMR-19)</w:t>
      </w:r>
      <w:r w:rsidRPr="00B84886">
        <w:rPr>
          <w:rFonts w:asciiTheme="minorHAnsi" w:hAnsiTheme="minorHAnsi" w:cstheme="minorHAnsi"/>
          <w:sz w:val="24"/>
          <w:szCs w:val="24"/>
        </w:rPr>
        <w:t>,</w:t>
      </w:r>
      <w:r w:rsidRPr="00B84886">
        <w:rPr>
          <w:rFonts w:asciiTheme="minorHAnsi" w:hAnsiTheme="minorHAnsi" w:cstheme="minorHAnsi"/>
          <w:b/>
          <w:bCs/>
          <w:sz w:val="24"/>
          <w:szCs w:val="24"/>
        </w:rPr>
        <w:t xml:space="preserve"> </w:t>
      </w:r>
      <w:r w:rsidRPr="00B84886">
        <w:rPr>
          <w:rFonts w:asciiTheme="minorHAnsi" w:hAnsiTheme="minorHAnsi" w:cstheme="minorHAnsi"/>
          <w:sz w:val="24"/>
          <w:szCs w:val="24"/>
        </w:rPr>
        <w:t xml:space="preserve">et décider s'il convient ou non de mettre à jour les références correspondantes dans le Règlement des radiocommunications, conformément aux principes énoncés au </w:t>
      </w:r>
      <w:r w:rsidRPr="00B84886">
        <w:rPr>
          <w:rFonts w:asciiTheme="minorHAnsi" w:hAnsiTheme="minorHAnsi" w:cstheme="minorHAnsi"/>
          <w:i/>
          <w:sz w:val="24"/>
          <w:szCs w:val="24"/>
        </w:rPr>
        <w:t>décide</w:t>
      </w:r>
      <w:r w:rsidRPr="00B84886">
        <w:rPr>
          <w:rFonts w:asciiTheme="minorHAnsi" w:hAnsiTheme="minorHAnsi" w:cstheme="minorHAnsi"/>
          <w:sz w:val="24"/>
          <w:szCs w:val="24"/>
        </w:rPr>
        <w:t xml:space="preserve"> de cette Résolution;</w:t>
      </w:r>
    </w:p>
    <w:p w14:paraId="73FA7EE8"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3</w:t>
      </w:r>
      <w:r w:rsidRPr="00B84886">
        <w:rPr>
          <w:rFonts w:asciiTheme="minorHAnsi" w:hAnsiTheme="minorHAnsi" w:cstheme="minorHAnsi"/>
          <w:sz w:val="24"/>
          <w:szCs w:val="24"/>
        </w:rPr>
        <w:tab/>
        <w:t>examiner les modifications et amendements à apporter éventuellement au Règlement des radiocommunications à la suite des décisions prises par la Conférence;</w:t>
      </w:r>
    </w:p>
    <w:p w14:paraId="6BE3768D"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4</w:t>
      </w:r>
      <w:r w:rsidRPr="00B84886">
        <w:rPr>
          <w:rFonts w:asciiTheme="minorHAnsi" w:hAnsiTheme="minorHAnsi" w:cstheme="minorHAnsi"/>
          <w:sz w:val="24"/>
          <w:szCs w:val="24"/>
        </w:rPr>
        <w:tab/>
        <w:t xml:space="preserve">conformément à la Résolution </w:t>
      </w:r>
      <w:r w:rsidRPr="00B84886">
        <w:rPr>
          <w:rFonts w:asciiTheme="minorHAnsi" w:hAnsiTheme="minorHAnsi" w:cstheme="minorHAnsi"/>
          <w:b/>
          <w:bCs/>
          <w:sz w:val="24"/>
          <w:szCs w:val="24"/>
        </w:rPr>
        <w:t>95 (Rév.CMR-19)</w:t>
      </w:r>
      <w:r w:rsidRPr="00B84886">
        <w:rPr>
          <w:rFonts w:asciiTheme="minorHAnsi" w:hAnsiTheme="minorHAnsi" w:cstheme="minorHAnsi"/>
          <w:sz w:val="24"/>
          <w:szCs w:val="24"/>
        </w:rPr>
        <w:t>, examiner les résolutions et recommandations des conférences précédentes en vue, le cas échéant, de les réviser, de les remplacer ou de les supprimer;</w:t>
      </w:r>
    </w:p>
    <w:p w14:paraId="1047EB33"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5</w:t>
      </w:r>
      <w:r w:rsidRPr="00B84886">
        <w:rPr>
          <w:rFonts w:asciiTheme="minorHAnsi" w:hAnsiTheme="minorHAnsi" w:cstheme="minorHAnsi"/>
          <w:sz w:val="24"/>
          <w:szCs w:val="24"/>
        </w:rPr>
        <w:tab/>
        <w:t>examiner le Rapport de l'Assemblée des radiocommunications soumis conformément aux numéros 135 et 136 de la Convention et lui donner la suite voulue;</w:t>
      </w:r>
    </w:p>
    <w:p w14:paraId="3216AD43"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6</w:t>
      </w:r>
      <w:r w:rsidRPr="00B84886">
        <w:rPr>
          <w:rFonts w:asciiTheme="minorHAnsi" w:hAnsiTheme="minorHAnsi" w:cstheme="minorHAnsi"/>
          <w:sz w:val="24"/>
          <w:szCs w:val="24"/>
        </w:rPr>
        <w:tab/>
        <w:t>identifier les points auxquels les commissions d'études des radiocommunications doivent d'urgence donner suite, en vue de la conférence mondiale des radiocommunications suivante;</w:t>
      </w:r>
    </w:p>
    <w:p w14:paraId="2B01C3D9" w14:textId="105E79C5" w:rsidR="006904CB" w:rsidRPr="00B84886" w:rsidRDefault="006904CB" w:rsidP="002C3254">
      <w:pPr>
        <w:keepLines/>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lastRenderedPageBreak/>
        <w:t>7</w:t>
      </w:r>
      <w:r w:rsidRPr="00B84886">
        <w:rPr>
          <w:rFonts w:asciiTheme="minorHAnsi" w:hAnsiTheme="minorHAnsi" w:cstheme="minorHAnsi"/>
          <w:sz w:val="24"/>
          <w:szCs w:val="24"/>
        </w:rPr>
        <w:tab/>
        <w:t xml:space="preserve">examiner d'éventuels changements à apporter en application de la Résolution 86 (Rév. Marrakech, 2002) de la Conférence de plénipotentiaires, intitulée </w:t>
      </w:r>
      <w:r w:rsidR="00BE4CE9" w:rsidRPr="00B84886">
        <w:rPr>
          <w:rFonts w:asciiTheme="minorHAnsi" w:hAnsiTheme="minorHAnsi" w:cstheme="minorHAnsi"/>
          <w:sz w:val="24"/>
          <w:szCs w:val="24"/>
        </w:rPr>
        <w:t>"</w:t>
      </w:r>
      <w:r w:rsidRPr="00B84886">
        <w:rPr>
          <w:rFonts w:asciiTheme="minorHAnsi" w:hAnsiTheme="minorHAnsi" w:cstheme="minorHAnsi"/>
          <w:sz w:val="24"/>
          <w:szCs w:val="24"/>
        </w:rPr>
        <w:t>Procédures de publication anticipée, de coordination, de notification et d'inscription des assignations de fréquence relatives aux réseaux à satellite</w:t>
      </w:r>
      <w:r w:rsidR="00BE4CE9" w:rsidRPr="00B84886">
        <w:rPr>
          <w:rFonts w:asciiTheme="minorHAnsi" w:hAnsiTheme="minorHAnsi" w:cstheme="minorHAnsi"/>
          <w:sz w:val="24"/>
          <w:szCs w:val="24"/>
        </w:rPr>
        <w:t>"</w:t>
      </w:r>
      <w:r w:rsidRPr="00B84886">
        <w:rPr>
          <w:rFonts w:asciiTheme="minorHAnsi" w:hAnsiTheme="minorHAnsi" w:cstheme="minorHAnsi"/>
          <w:sz w:val="24"/>
          <w:szCs w:val="24"/>
        </w:rPr>
        <w:t>, conformément à la Résolution </w:t>
      </w:r>
      <w:r w:rsidRPr="00B84886">
        <w:rPr>
          <w:rFonts w:asciiTheme="minorHAnsi" w:hAnsiTheme="minorHAnsi" w:cstheme="minorHAnsi"/>
          <w:b/>
          <w:bCs/>
          <w:sz w:val="24"/>
          <w:szCs w:val="24"/>
        </w:rPr>
        <w:t>86 (Rév.CMR-07)</w:t>
      </w:r>
      <w:r w:rsidRPr="00B84886">
        <w:rPr>
          <w:rFonts w:asciiTheme="minorHAnsi" w:hAnsiTheme="minorHAnsi" w:cstheme="minorHAnsi"/>
          <w:sz w:val="24"/>
          <w:szCs w:val="24"/>
        </w:rPr>
        <w:t>, afin de faciliter l'utilisation rationnelle, efficace et économique des fréquences radioélectriques et des orbites associées, y compris de l'orbite des satellites géostationnaires;</w:t>
      </w:r>
    </w:p>
    <w:p w14:paraId="7DC333DF"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8</w:t>
      </w:r>
      <w:r w:rsidRPr="00B84886">
        <w:rPr>
          <w:rFonts w:asciiTheme="minorHAnsi" w:hAnsiTheme="minorHAnsi" w:cstheme="minorHAnsi"/>
          <w:sz w:val="24"/>
          <w:szCs w:val="24"/>
        </w:rPr>
        <w:tab/>
        <w:t xml:space="preserve">examiner les demandes des administrations qui souhaitent supprimer des renvois relatifs à leur pays ou le nom de leur pays de certains renvois, s'ils ne sont plus nécessaires, compte tenu de la Résolution </w:t>
      </w:r>
      <w:r w:rsidRPr="00B84886">
        <w:rPr>
          <w:rFonts w:asciiTheme="minorHAnsi" w:hAnsiTheme="minorHAnsi" w:cstheme="minorHAnsi"/>
          <w:b/>
          <w:bCs/>
          <w:sz w:val="24"/>
          <w:szCs w:val="24"/>
        </w:rPr>
        <w:t>26 (Rév.CMR-19)</w:t>
      </w:r>
      <w:r w:rsidRPr="00B84886">
        <w:rPr>
          <w:rFonts w:asciiTheme="minorHAnsi" w:hAnsiTheme="minorHAnsi" w:cstheme="minorHAnsi"/>
          <w:sz w:val="24"/>
          <w:szCs w:val="24"/>
        </w:rPr>
        <w:t>, et prendre les mesures voulues à ce sujet;</w:t>
      </w:r>
    </w:p>
    <w:p w14:paraId="44A9DC43"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9</w:t>
      </w:r>
      <w:r w:rsidRPr="00B84886">
        <w:rPr>
          <w:rFonts w:asciiTheme="minorHAnsi" w:hAnsiTheme="minorHAnsi" w:cstheme="minorHAnsi"/>
          <w:sz w:val="24"/>
          <w:szCs w:val="24"/>
        </w:rPr>
        <w:tab/>
        <w:t>examiner et approuver le rapport du Directeur du Bureau des radiocommunications, conformément à l'article 7 de la Convention:</w:t>
      </w:r>
    </w:p>
    <w:p w14:paraId="4373BFB2"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9.1</w:t>
      </w:r>
      <w:r w:rsidRPr="00B84886">
        <w:rPr>
          <w:rFonts w:asciiTheme="minorHAnsi" w:hAnsiTheme="minorHAnsi" w:cstheme="minorHAnsi"/>
          <w:sz w:val="24"/>
          <w:szCs w:val="24"/>
        </w:rPr>
        <w:tab/>
        <w:t>sur les activités du Secteur des radiocommunications depuis la CMR</w:t>
      </w:r>
      <w:r w:rsidRPr="00B84886">
        <w:rPr>
          <w:rFonts w:asciiTheme="minorHAnsi" w:hAnsiTheme="minorHAnsi" w:cstheme="minorHAnsi"/>
          <w:sz w:val="24"/>
          <w:szCs w:val="24"/>
        </w:rPr>
        <w:noBreakHyphen/>
        <w:t>19;</w:t>
      </w:r>
    </w:p>
    <w:p w14:paraId="4A8DE2D6" w14:textId="77777777" w:rsidR="006904CB" w:rsidRPr="00B84886" w:rsidRDefault="006904CB" w:rsidP="00143F07">
      <w:pPr>
        <w:pStyle w:val="enumlev1"/>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w:t>
      </w:r>
      <w:r w:rsidRPr="00B84886">
        <w:rPr>
          <w:rFonts w:asciiTheme="minorHAnsi" w:hAnsiTheme="minorHAnsi" w:cstheme="minorHAnsi"/>
          <w:sz w:val="24"/>
          <w:szCs w:val="24"/>
        </w:rPr>
        <w:tab/>
        <w:t xml:space="preserve">Conformément à la Résolution </w:t>
      </w:r>
      <w:r w:rsidRPr="00B84886">
        <w:rPr>
          <w:rFonts w:asciiTheme="minorHAnsi" w:hAnsiTheme="minorHAnsi" w:cstheme="minorHAnsi"/>
          <w:b/>
          <w:bCs/>
          <w:sz w:val="24"/>
          <w:szCs w:val="24"/>
        </w:rPr>
        <w:t>657 (Rév.CMR-19)</w:t>
      </w:r>
      <w:r w:rsidRPr="00B84886">
        <w:rPr>
          <w:rFonts w:asciiTheme="minorHAnsi" w:hAnsiTheme="minorHAnsi" w:cstheme="minorHAnsi"/>
          <w:sz w:val="24"/>
          <w:szCs w:val="24"/>
        </w:rPr>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supplémentaires aux services existants;</w:t>
      </w:r>
    </w:p>
    <w:p w14:paraId="4043F70C" w14:textId="77777777" w:rsidR="006904CB" w:rsidRPr="00B84886" w:rsidRDefault="006904CB" w:rsidP="00143F07">
      <w:pPr>
        <w:pStyle w:val="enumlev1"/>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w:t>
      </w:r>
      <w:r w:rsidRPr="00B84886">
        <w:rPr>
          <w:rFonts w:asciiTheme="minorHAnsi" w:hAnsiTheme="minorHAnsi" w:cstheme="minorHAnsi"/>
          <w:sz w:val="24"/>
          <w:szCs w:val="24"/>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B84886">
        <w:rPr>
          <w:rFonts w:asciiTheme="minorHAnsi" w:hAnsiTheme="minorHAnsi" w:cstheme="minorHAnsi"/>
          <w:b/>
          <w:bCs/>
          <w:sz w:val="24"/>
          <w:szCs w:val="24"/>
        </w:rPr>
        <w:t>774 (CMR-19)</w:t>
      </w:r>
      <w:r w:rsidRPr="00B84886">
        <w:rPr>
          <w:rFonts w:asciiTheme="minorHAnsi" w:hAnsiTheme="minorHAnsi" w:cstheme="minorHAnsi"/>
          <w:sz w:val="24"/>
          <w:szCs w:val="24"/>
        </w:rPr>
        <w:t>;</w:t>
      </w:r>
    </w:p>
    <w:p w14:paraId="0A694FE5" w14:textId="77777777" w:rsidR="006904CB" w:rsidRPr="00B84886" w:rsidRDefault="006904CB" w:rsidP="00143F07">
      <w:pPr>
        <w:pStyle w:val="enumlev1"/>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w:t>
      </w:r>
      <w:r w:rsidRPr="00B84886">
        <w:rPr>
          <w:rFonts w:asciiTheme="minorHAnsi" w:hAnsiTheme="minorHAnsi" w:cstheme="minorHAnsi"/>
          <w:sz w:val="24"/>
          <w:szCs w:val="24"/>
        </w:rPr>
        <w:tab/>
        <w:t xml:space="preserve">Étudier l'utilisation des systèmes de Télécommunications mobiles internationales pour le large bande hertzien fixe dans les bandes de fréquences attribuées au service fixe à titre primaire, conformément à la Résolution </w:t>
      </w:r>
      <w:r w:rsidRPr="00B84886">
        <w:rPr>
          <w:rFonts w:asciiTheme="minorHAnsi" w:hAnsiTheme="minorHAnsi" w:cstheme="minorHAnsi"/>
          <w:b/>
          <w:bCs/>
          <w:sz w:val="24"/>
          <w:szCs w:val="24"/>
        </w:rPr>
        <w:t>175 (CMR</w:t>
      </w:r>
      <w:r w:rsidRPr="00B84886">
        <w:rPr>
          <w:rFonts w:asciiTheme="minorHAnsi" w:hAnsiTheme="minorHAnsi" w:cstheme="minorHAnsi"/>
          <w:b/>
          <w:bCs/>
          <w:sz w:val="24"/>
          <w:szCs w:val="24"/>
        </w:rPr>
        <w:noBreakHyphen/>
        <w:t>19)</w:t>
      </w:r>
      <w:r w:rsidRPr="00B84886">
        <w:rPr>
          <w:rFonts w:asciiTheme="minorHAnsi" w:hAnsiTheme="minorHAnsi" w:cstheme="minorHAnsi"/>
          <w:sz w:val="24"/>
          <w:szCs w:val="24"/>
        </w:rPr>
        <w:t>;</w:t>
      </w:r>
    </w:p>
    <w:p w14:paraId="052AB114" w14:textId="77777777" w:rsidR="006904CB" w:rsidRPr="00B84886" w:rsidRDefault="006904CB" w:rsidP="00143F07">
      <w:pPr>
        <w:spacing w:line="240" w:lineRule="auto"/>
        <w:jc w:val="left"/>
        <w:rPr>
          <w:rFonts w:asciiTheme="minorHAnsi" w:hAnsiTheme="minorHAnsi" w:cstheme="minorHAnsi"/>
          <w:sz w:val="24"/>
          <w:szCs w:val="24"/>
        </w:rPr>
      </w:pPr>
      <w:r w:rsidRPr="00B84886">
        <w:rPr>
          <w:rFonts w:asciiTheme="minorHAnsi" w:hAnsiTheme="minorHAnsi" w:cstheme="minorHAnsi"/>
          <w:sz w:val="24"/>
          <w:szCs w:val="24"/>
        </w:rPr>
        <w:t>9.2</w:t>
      </w:r>
      <w:r w:rsidRPr="00B84886">
        <w:rPr>
          <w:rFonts w:asciiTheme="minorHAnsi" w:hAnsiTheme="minorHAnsi" w:cstheme="minorHAnsi"/>
          <w:sz w:val="24"/>
          <w:szCs w:val="24"/>
        </w:rPr>
        <w:tab/>
        <w:t>sur les difficultés rencontrées ou les incohérences constatées dans l'application du Règlement des radiocommunications; et</w:t>
      </w:r>
      <w:r w:rsidRPr="00B84886">
        <w:rPr>
          <w:rStyle w:val="FootnoteReference"/>
          <w:rFonts w:asciiTheme="minorHAnsi" w:hAnsiTheme="minorHAnsi" w:cstheme="minorHAnsi"/>
          <w:sz w:val="24"/>
          <w:szCs w:val="24"/>
        </w:rPr>
        <w:footnoteReference w:customMarkFollows="1" w:id="1"/>
        <w:t>1</w:t>
      </w:r>
    </w:p>
    <w:p w14:paraId="51D7F82C" w14:textId="77777777" w:rsidR="006904CB" w:rsidRPr="00B84886" w:rsidRDefault="006904CB" w:rsidP="00143F07">
      <w:pPr>
        <w:spacing w:line="240" w:lineRule="auto"/>
        <w:jc w:val="left"/>
        <w:rPr>
          <w:rFonts w:asciiTheme="minorHAnsi" w:hAnsiTheme="minorHAnsi" w:cstheme="minorHAnsi"/>
          <w:i/>
          <w:iCs/>
          <w:sz w:val="24"/>
          <w:szCs w:val="24"/>
        </w:rPr>
      </w:pPr>
      <w:r w:rsidRPr="00B84886">
        <w:rPr>
          <w:rFonts w:asciiTheme="minorHAnsi" w:hAnsiTheme="minorHAnsi" w:cstheme="minorHAnsi"/>
          <w:sz w:val="24"/>
          <w:szCs w:val="24"/>
        </w:rPr>
        <w:t>9.3</w:t>
      </w:r>
      <w:r w:rsidRPr="00B84886">
        <w:rPr>
          <w:rFonts w:asciiTheme="minorHAnsi" w:hAnsiTheme="minorHAnsi" w:cstheme="minorHAnsi"/>
          <w:sz w:val="24"/>
          <w:szCs w:val="24"/>
        </w:rPr>
        <w:tab/>
        <w:t>sur la suite donnée à la Résolution </w:t>
      </w:r>
      <w:r w:rsidRPr="00B84886">
        <w:rPr>
          <w:rFonts w:asciiTheme="minorHAnsi" w:hAnsiTheme="minorHAnsi" w:cstheme="minorHAnsi"/>
          <w:b/>
          <w:bCs/>
          <w:sz w:val="24"/>
          <w:szCs w:val="24"/>
        </w:rPr>
        <w:t>80 (Rév.CMR-07)</w:t>
      </w:r>
      <w:r w:rsidRPr="00B84886">
        <w:rPr>
          <w:rFonts w:asciiTheme="minorHAnsi" w:hAnsiTheme="minorHAnsi" w:cstheme="minorHAnsi"/>
          <w:sz w:val="24"/>
          <w:szCs w:val="24"/>
        </w:rPr>
        <w:t>;</w:t>
      </w:r>
    </w:p>
    <w:p w14:paraId="65589AC1" w14:textId="77777777" w:rsidR="006904CB" w:rsidRPr="00B84886" w:rsidRDefault="006904CB" w:rsidP="00143F07">
      <w:pPr>
        <w:spacing w:line="240" w:lineRule="auto"/>
        <w:jc w:val="left"/>
        <w:rPr>
          <w:rFonts w:asciiTheme="minorHAnsi" w:hAnsiTheme="minorHAnsi" w:cstheme="minorHAnsi"/>
          <w:szCs w:val="24"/>
        </w:rPr>
      </w:pPr>
      <w:r w:rsidRPr="00B84886">
        <w:rPr>
          <w:rFonts w:asciiTheme="minorHAnsi" w:hAnsiTheme="minorHAnsi" w:cstheme="minorHAnsi"/>
          <w:sz w:val="24"/>
          <w:szCs w:val="24"/>
        </w:rPr>
        <w:t>10</w:t>
      </w:r>
      <w:r w:rsidRPr="00B84886">
        <w:rPr>
          <w:rFonts w:asciiTheme="minorHAnsi" w:hAnsiTheme="minorHAnsi" w:cstheme="minorHAnsi"/>
          <w:sz w:val="24"/>
          <w:szCs w:val="24"/>
        </w:rPr>
        <w:tab/>
        <w:t xml:space="preserve">recommander au Conseil des points à inscrire à l'ordre du jour de la CMR suivante et des points de l'ordre du jour préliminaire de conférences futures, conformément à l'article 7 de la Convention et à la Résolution </w:t>
      </w:r>
      <w:r w:rsidRPr="00B84886">
        <w:rPr>
          <w:rFonts w:asciiTheme="minorHAnsi" w:hAnsiTheme="minorHAnsi" w:cstheme="minorHAnsi"/>
          <w:b/>
          <w:sz w:val="24"/>
          <w:szCs w:val="24"/>
        </w:rPr>
        <w:t>804 (Rév.CMR-19)</w:t>
      </w:r>
      <w:r w:rsidRPr="00B84886">
        <w:rPr>
          <w:rFonts w:asciiTheme="minorHAnsi" w:hAnsiTheme="minorHAnsi" w:cstheme="minorHAnsi"/>
          <w:sz w:val="24"/>
          <w:szCs w:val="24"/>
        </w:rPr>
        <w:t>,</w:t>
      </w:r>
    </w:p>
    <w:p w14:paraId="2D914639" w14:textId="2D36C0A5" w:rsidR="006904CB" w:rsidRPr="00B84886" w:rsidRDefault="006904CB" w:rsidP="00143F07">
      <w:pPr>
        <w:spacing w:line="240" w:lineRule="auto"/>
      </w:pPr>
    </w:p>
    <w:p w14:paraId="28894698" w14:textId="3566081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textAlignment w:val="auto"/>
      </w:pPr>
      <w:r w:rsidRPr="00B84886">
        <w:br w:type="page"/>
      </w:r>
    </w:p>
    <w:p w14:paraId="26513026" w14:textId="1CEE4943" w:rsidR="006904CB" w:rsidRPr="00B84886" w:rsidRDefault="006904CB" w:rsidP="00143F07">
      <w:pPr>
        <w:pStyle w:val="AnnexNo"/>
        <w:rPr>
          <w:lang w:val="fr-FR"/>
        </w:rPr>
      </w:pPr>
      <w:bookmarkStart w:id="7" w:name="Annexe3"/>
      <w:bookmarkEnd w:id="7"/>
      <w:r w:rsidRPr="00B84886">
        <w:rPr>
          <w:lang w:val="fr-FR"/>
        </w:rPr>
        <w:lastRenderedPageBreak/>
        <w:t>ANNEXE 3</w:t>
      </w:r>
    </w:p>
    <w:p w14:paraId="0EF32ADE" w14:textId="7A045D06" w:rsidR="006904CB" w:rsidRPr="00B84886" w:rsidRDefault="006904CB" w:rsidP="0035477E">
      <w:pPr>
        <w:pStyle w:val="Reftext"/>
        <w:rPr>
          <w:i/>
          <w:iCs/>
          <w:szCs w:val="16"/>
        </w:rPr>
      </w:pPr>
      <w:r w:rsidRPr="00B84886">
        <w:rPr>
          <w:i/>
          <w:iCs/>
          <w:caps/>
          <w:szCs w:val="16"/>
        </w:rPr>
        <w:t>R</w:t>
      </w:r>
      <w:r w:rsidR="0035477E" w:rsidRPr="00B84886">
        <w:rPr>
          <w:i/>
          <w:iCs/>
          <w:szCs w:val="16"/>
        </w:rPr>
        <w:t xml:space="preserve">éférence: </w:t>
      </w:r>
      <w:hyperlink r:id="rId25" w:history="1">
        <w:r w:rsidRPr="00B84886">
          <w:rPr>
            <w:rStyle w:val="Hyperlink"/>
            <w:i/>
            <w:iCs/>
            <w:caps/>
            <w:szCs w:val="16"/>
          </w:rPr>
          <w:t>D</w:t>
        </w:r>
        <w:r w:rsidR="0035477E" w:rsidRPr="00B84886">
          <w:rPr>
            <w:rStyle w:val="Hyperlink"/>
            <w:i/>
            <w:iCs/>
            <w:szCs w:val="16"/>
          </w:rPr>
          <w:t>ocument</w:t>
        </w:r>
        <w:r w:rsidRPr="00B84886">
          <w:rPr>
            <w:rStyle w:val="Hyperlink"/>
            <w:i/>
            <w:iCs/>
            <w:caps/>
            <w:szCs w:val="16"/>
          </w:rPr>
          <w:t xml:space="preserve"> VC/DT/2</w:t>
        </w:r>
      </w:hyperlink>
    </w:p>
    <w:p w14:paraId="628E646B" w14:textId="535D9D4A" w:rsidR="006904CB" w:rsidRPr="00B84886" w:rsidRDefault="006904CB" w:rsidP="00143F07">
      <w:pPr>
        <w:pStyle w:val="ResNo"/>
        <w:spacing w:before="120" w:line="240" w:lineRule="auto"/>
        <w:rPr>
          <w:szCs w:val="20"/>
        </w:rPr>
      </w:pPr>
      <w:r w:rsidRPr="00B84886">
        <w:t>Décision 482 (Modifiée EN 2020)</w:t>
      </w:r>
    </w:p>
    <w:p w14:paraId="0BAF3F41" w14:textId="77777777" w:rsidR="006904CB" w:rsidRPr="00B84886" w:rsidRDefault="006904CB" w:rsidP="00143F07">
      <w:pPr>
        <w:pStyle w:val="Restitle"/>
      </w:pPr>
      <w:bookmarkStart w:id="8" w:name="_Toc489534506"/>
      <w:bookmarkStart w:id="9" w:name="_Toc458425274"/>
      <w:bookmarkStart w:id="10" w:name="_Toc423507897"/>
      <w:bookmarkStart w:id="11" w:name="_Toc423506104"/>
      <w:bookmarkStart w:id="12" w:name="_Toc423505813"/>
      <w:bookmarkStart w:id="13" w:name="_Toc423505543"/>
      <w:bookmarkStart w:id="14" w:name="_Toc405213277"/>
      <w:bookmarkStart w:id="15" w:name="_Toc364694899"/>
      <w:bookmarkStart w:id="16" w:name="_Toc364693686"/>
      <w:r w:rsidRPr="00B84886">
        <w:t xml:space="preserve">Mise en œuvre du recouvrement des coûts pour le traitement des fiches </w:t>
      </w:r>
      <w:r w:rsidRPr="00B84886">
        <w:br/>
        <w:t>de notification des réseaux à satellite</w:t>
      </w:r>
      <w:bookmarkEnd w:id="8"/>
      <w:bookmarkEnd w:id="9"/>
      <w:bookmarkEnd w:id="10"/>
      <w:bookmarkEnd w:id="11"/>
      <w:bookmarkEnd w:id="12"/>
      <w:bookmarkEnd w:id="13"/>
      <w:bookmarkEnd w:id="14"/>
      <w:bookmarkEnd w:id="15"/>
      <w:bookmarkEnd w:id="16"/>
    </w:p>
    <w:p w14:paraId="5D1A670B" w14:textId="77777777" w:rsidR="006904CB" w:rsidRPr="00B84886" w:rsidRDefault="006904CB" w:rsidP="00143F07">
      <w:pPr>
        <w:spacing w:before="240" w:line="240" w:lineRule="auto"/>
        <w:jc w:val="left"/>
        <w:rPr>
          <w:rFonts w:cstheme="minorHAnsi"/>
          <w:sz w:val="24"/>
          <w:szCs w:val="24"/>
        </w:rPr>
      </w:pPr>
      <w:r w:rsidRPr="00B84886">
        <w:rPr>
          <w:rFonts w:cstheme="minorHAnsi"/>
          <w:sz w:val="24"/>
          <w:szCs w:val="24"/>
        </w:rPr>
        <w:t>Le Conseil,</w:t>
      </w:r>
    </w:p>
    <w:p w14:paraId="58F0074F" w14:textId="77777777" w:rsidR="006904CB" w:rsidRPr="00B84886" w:rsidRDefault="006904CB" w:rsidP="00143F07">
      <w:pPr>
        <w:pStyle w:val="Call"/>
        <w:spacing w:line="240" w:lineRule="auto"/>
        <w:rPr>
          <w:rFonts w:cs="Times New Roman"/>
          <w:sz w:val="24"/>
          <w:szCs w:val="24"/>
        </w:rPr>
      </w:pPr>
      <w:r w:rsidRPr="00B84886">
        <w:rPr>
          <w:sz w:val="24"/>
          <w:szCs w:val="24"/>
        </w:rPr>
        <w:t>considérant</w:t>
      </w:r>
    </w:p>
    <w:p w14:paraId="0B553446" w14:textId="77777777" w:rsidR="006904CB" w:rsidRPr="00B84886" w:rsidRDefault="006904CB" w:rsidP="00143F07">
      <w:pPr>
        <w:spacing w:line="240" w:lineRule="auto"/>
        <w:jc w:val="left"/>
        <w:rPr>
          <w:sz w:val="24"/>
          <w:szCs w:val="24"/>
        </w:rPr>
      </w:pPr>
      <w:r w:rsidRPr="00B84886">
        <w:rPr>
          <w:i/>
          <w:iCs/>
          <w:sz w:val="24"/>
          <w:szCs w:val="24"/>
        </w:rPr>
        <w:t>a)</w:t>
      </w:r>
      <w:r w:rsidRPr="00B84886">
        <w:rPr>
          <w:sz w:val="24"/>
          <w:szCs w:val="24"/>
        </w:rPr>
        <w:tab/>
        <w:t>la Résolution 88 (Rév. Marrakech, 2002) de la Conférence de plénipotentiaires, relative à la mise en œuvre du principe du recouvrement des coûts pour le traitement des fiches de notification des réseaux à satellite;</w:t>
      </w:r>
    </w:p>
    <w:p w14:paraId="5EC31B59" w14:textId="77777777" w:rsidR="006904CB" w:rsidRPr="00B84886" w:rsidRDefault="006904CB" w:rsidP="00143F07">
      <w:pPr>
        <w:spacing w:line="240" w:lineRule="auto"/>
        <w:jc w:val="left"/>
        <w:rPr>
          <w:sz w:val="24"/>
          <w:szCs w:val="24"/>
        </w:rPr>
      </w:pPr>
      <w:r w:rsidRPr="00B84886">
        <w:rPr>
          <w:i/>
          <w:iCs/>
          <w:sz w:val="24"/>
          <w:szCs w:val="24"/>
        </w:rPr>
        <w:t>b)</w:t>
      </w:r>
      <w:r w:rsidRPr="00B84886">
        <w:rPr>
          <w:sz w:val="24"/>
          <w:szCs w:val="24"/>
        </w:rPr>
        <w:tab/>
        <w:t>la Résolution 91 (Rév. Guadalajara, 2010) de la Conférence de plénipotentiaires, relative au recouvrement des coûts pour certains produits et services de l'UIT;</w:t>
      </w:r>
    </w:p>
    <w:p w14:paraId="7DFD0ED4" w14:textId="77777777" w:rsidR="006904CB" w:rsidRPr="00B84886" w:rsidRDefault="006904CB" w:rsidP="00143F07">
      <w:pPr>
        <w:spacing w:line="240" w:lineRule="auto"/>
        <w:jc w:val="left"/>
        <w:rPr>
          <w:sz w:val="24"/>
          <w:szCs w:val="24"/>
        </w:rPr>
      </w:pPr>
      <w:r w:rsidRPr="00B84886">
        <w:rPr>
          <w:i/>
          <w:iCs/>
          <w:sz w:val="24"/>
          <w:szCs w:val="24"/>
        </w:rPr>
        <w:t>c)</w:t>
      </w:r>
      <w:r w:rsidRPr="00B84886">
        <w:rPr>
          <w:sz w:val="24"/>
          <w:szCs w:val="24"/>
        </w:rPr>
        <w:tab/>
        <w:t>la Résolution 1113 du Conseil, relative au recouvrement des coûts pour le traitement par le Bureau des radiocommunications des fiches de notification pour les services spatiaux;</w:t>
      </w:r>
    </w:p>
    <w:p w14:paraId="702ED1A0" w14:textId="77777777" w:rsidR="006904CB" w:rsidRPr="00B84886" w:rsidRDefault="006904CB" w:rsidP="00143F07">
      <w:pPr>
        <w:spacing w:line="240" w:lineRule="auto"/>
        <w:jc w:val="left"/>
        <w:rPr>
          <w:sz w:val="24"/>
          <w:szCs w:val="24"/>
        </w:rPr>
      </w:pPr>
      <w:r w:rsidRPr="00B84886">
        <w:rPr>
          <w:i/>
          <w:iCs/>
          <w:sz w:val="24"/>
          <w:szCs w:val="24"/>
        </w:rPr>
        <w:t>d)</w:t>
      </w:r>
      <w:r w:rsidRPr="00B84886">
        <w:rPr>
          <w:sz w:val="24"/>
          <w:szCs w:val="24"/>
        </w:rPr>
        <w:tab/>
        <w:t xml:space="preserve">le Document </w:t>
      </w:r>
      <w:hyperlink r:id="rId26" w:history="1">
        <w:r w:rsidRPr="00B84886">
          <w:rPr>
            <w:rStyle w:val="Hyperlink"/>
            <w:rFonts w:cstheme="minorHAnsi"/>
            <w:sz w:val="24"/>
            <w:szCs w:val="24"/>
          </w:rPr>
          <w:t>C99/68</w:t>
        </w:r>
      </w:hyperlink>
      <w:r w:rsidRPr="00B84886">
        <w:rPr>
          <w:sz w:val="24"/>
          <w:szCs w:val="24"/>
        </w:rPr>
        <w:t>, qui contient un rapport du Groupe de travail du Conseil sur la mise en œuvre du principe du recouvrement des coûts pour le traitement des fiches de notification des réseaux à satellite;</w:t>
      </w:r>
    </w:p>
    <w:p w14:paraId="4F2CD5A5" w14:textId="77777777" w:rsidR="006904CB" w:rsidRPr="00B84886" w:rsidRDefault="006904CB" w:rsidP="00143F07">
      <w:pPr>
        <w:spacing w:line="240" w:lineRule="auto"/>
        <w:jc w:val="left"/>
        <w:rPr>
          <w:sz w:val="24"/>
          <w:szCs w:val="24"/>
        </w:rPr>
      </w:pPr>
      <w:r w:rsidRPr="00B84886">
        <w:rPr>
          <w:i/>
          <w:iCs/>
          <w:sz w:val="24"/>
          <w:szCs w:val="24"/>
        </w:rPr>
        <w:t>e)</w:t>
      </w:r>
      <w:r w:rsidRPr="00B84886">
        <w:rPr>
          <w:sz w:val="24"/>
          <w:szCs w:val="24"/>
        </w:rPr>
        <w:tab/>
        <w:t xml:space="preserve">le Document </w:t>
      </w:r>
      <w:hyperlink r:id="rId27" w:history="1">
        <w:r w:rsidRPr="00B84886">
          <w:rPr>
            <w:rStyle w:val="Hyperlink"/>
            <w:rFonts w:cstheme="minorHAnsi"/>
            <w:sz w:val="24"/>
            <w:szCs w:val="24"/>
          </w:rPr>
          <w:t>C99/47</w:t>
        </w:r>
      </w:hyperlink>
      <w:r w:rsidRPr="00B84886">
        <w:rPr>
          <w:sz w:val="24"/>
          <w:szCs w:val="24"/>
        </w:rPr>
        <w:t>, relatif au recouvrement des coûts pour certains produits et services de l'UIT;</w:t>
      </w:r>
    </w:p>
    <w:p w14:paraId="060CF1CA" w14:textId="77777777" w:rsidR="006904CB" w:rsidRPr="00B84886" w:rsidRDefault="006904CB" w:rsidP="00143F07">
      <w:pPr>
        <w:spacing w:line="240" w:lineRule="auto"/>
        <w:jc w:val="left"/>
        <w:rPr>
          <w:sz w:val="24"/>
          <w:szCs w:val="24"/>
        </w:rPr>
      </w:pPr>
      <w:proofErr w:type="spellStart"/>
      <w:r w:rsidRPr="00B84886">
        <w:rPr>
          <w:i/>
          <w:iCs/>
          <w:sz w:val="24"/>
          <w:szCs w:val="24"/>
        </w:rPr>
        <w:t>ebis</w:t>
      </w:r>
      <w:proofErr w:type="spellEnd"/>
      <w:r w:rsidRPr="00B84886">
        <w:rPr>
          <w:sz w:val="24"/>
          <w:szCs w:val="24"/>
        </w:rPr>
        <w:t>)</w:t>
      </w:r>
      <w:r w:rsidRPr="00B84886">
        <w:rPr>
          <w:sz w:val="24"/>
          <w:szCs w:val="24"/>
        </w:rPr>
        <w:tab/>
        <w:t xml:space="preserve">le Document </w:t>
      </w:r>
      <w:hyperlink r:id="rId28" w:history="1">
        <w:r w:rsidRPr="00B84886">
          <w:rPr>
            <w:rStyle w:val="Hyperlink"/>
            <w:rFonts w:cstheme="minorHAnsi"/>
            <w:sz w:val="24"/>
            <w:szCs w:val="24"/>
          </w:rPr>
          <w:t>C05/29</w:t>
        </w:r>
      </w:hyperlink>
      <w:r w:rsidRPr="00B84886">
        <w:rPr>
          <w:sz w:val="24"/>
          <w:szCs w:val="24"/>
        </w:rPr>
        <w:t>, relatif au recouvrement des coûts appliqué au traitement des fiches de notification des réseaux à satellite;</w:t>
      </w:r>
    </w:p>
    <w:p w14:paraId="39A47380" w14:textId="77777777" w:rsidR="006904CB" w:rsidRPr="00B84886" w:rsidRDefault="006904CB" w:rsidP="00143F07">
      <w:pPr>
        <w:spacing w:line="240" w:lineRule="auto"/>
        <w:jc w:val="left"/>
        <w:rPr>
          <w:sz w:val="24"/>
          <w:szCs w:val="24"/>
        </w:rPr>
      </w:pPr>
      <w:r w:rsidRPr="00B84886">
        <w:rPr>
          <w:i/>
          <w:iCs/>
          <w:sz w:val="24"/>
          <w:szCs w:val="24"/>
        </w:rPr>
        <w:t>f)</w:t>
      </w:r>
      <w:r w:rsidRPr="00B84886">
        <w:rPr>
          <w:sz w:val="24"/>
          <w:szCs w:val="24"/>
        </w:rPr>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14:paraId="74EFDA47" w14:textId="77777777" w:rsidR="006904CB" w:rsidRPr="00B84886" w:rsidRDefault="006904CB" w:rsidP="00143F07">
      <w:pPr>
        <w:spacing w:line="240" w:lineRule="auto"/>
        <w:jc w:val="left"/>
        <w:rPr>
          <w:sz w:val="24"/>
          <w:szCs w:val="24"/>
        </w:rPr>
      </w:pPr>
      <w:r w:rsidRPr="00B84886">
        <w:rPr>
          <w:i/>
          <w:iCs/>
          <w:sz w:val="24"/>
          <w:szCs w:val="24"/>
        </w:rPr>
        <w:t>g)</w:t>
      </w:r>
      <w:r w:rsidRPr="00B84886">
        <w:rPr>
          <w:sz w:val="24"/>
          <w:szCs w:val="24"/>
        </w:rPr>
        <w:tab/>
        <w:t>que la CMR-07 a largement révisé les procédures réglementaires associées au Plan pour le service fixe par satellite figurant dans l'Appendice 30B qui est entré en vigueur le 17 novembre 2007;</w:t>
      </w:r>
    </w:p>
    <w:p w14:paraId="3095BB66" w14:textId="77777777" w:rsidR="006904CB" w:rsidRPr="00B84886" w:rsidRDefault="006904CB" w:rsidP="00143F07">
      <w:pPr>
        <w:spacing w:line="240" w:lineRule="auto"/>
        <w:jc w:val="left"/>
        <w:rPr>
          <w:sz w:val="24"/>
          <w:szCs w:val="24"/>
        </w:rPr>
      </w:pPr>
      <w:r w:rsidRPr="00B84886">
        <w:rPr>
          <w:i/>
          <w:iCs/>
          <w:sz w:val="24"/>
          <w:szCs w:val="24"/>
        </w:rPr>
        <w:t>h)</w:t>
      </w:r>
      <w:r w:rsidRPr="00B84886">
        <w:rPr>
          <w:sz w:val="24"/>
          <w:szCs w:val="24"/>
        </w:rPr>
        <w:tab/>
        <w:t>que la date d'entrée en vigueur de la Décision 482 (modifiée en 2005) était le 1er janvier 2006,</w:t>
      </w:r>
    </w:p>
    <w:p w14:paraId="7B42F737" w14:textId="77777777" w:rsidR="006904CB" w:rsidRPr="00B84886" w:rsidRDefault="006904CB" w:rsidP="00143F07">
      <w:pPr>
        <w:pStyle w:val="Call"/>
        <w:spacing w:line="240" w:lineRule="auto"/>
        <w:rPr>
          <w:sz w:val="24"/>
          <w:szCs w:val="24"/>
        </w:rPr>
      </w:pPr>
      <w:r w:rsidRPr="00B84886">
        <w:rPr>
          <w:sz w:val="24"/>
          <w:szCs w:val="24"/>
        </w:rPr>
        <w:t>reconnaissant</w:t>
      </w:r>
    </w:p>
    <w:p w14:paraId="5312FDE7" w14:textId="77777777" w:rsidR="006904CB" w:rsidRPr="00B84886" w:rsidRDefault="006904CB" w:rsidP="00143F07">
      <w:pPr>
        <w:keepLines/>
        <w:spacing w:line="240" w:lineRule="auto"/>
        <w:jc w:val="left"/>
        <w:rPr>
          <w:sz w:val="24"/>
          <w:szCs w:val="24"/>
        </w:rPr>
      </w:pPr>
      <w:r w:rsidRPr="00B84886">
        <w:rPr>
          <w:sz w:val="24"/>
          <w:szCs w:val="24"/>
        </w:rPr>
        <w:t>l'expérience pratique acquise par le Bureau des radiocommunications dans l'application des droits au titre du recouvrement des coûts pour le traitement des fiches de notification et de la méthode de mise en œuvre de ces droits présentée au Conseil à ses sessions de 2001 à 2007 conformément à la Décision 482 telle qu'elle a été révisée par le Conseil,</w:t>
      </w:r>
    </w:p>
    <w:p w14:paraId="1AA369C0" w14:textId="77777777" w:rsidR="006904CB" w:rsidRPr="00B84886" w:rsidRDefault="006904CB" w:rsidP="00143F07">
      <w:pPr>
        <w:pStyle w:val="Call"/>
        <w:spacing w:line="240" w:lineRule="auto"/>
        <w:rPr>
          <w:sz w:val="24"/>
          <w:szCs w:val="24"/>
        </w:rPr>
      </w:pPr>
      <w:r w:rsidRPr="00B84886">
        <w:rPr>
          <w:sz w:val="24"/>
          <w:szCs w:val="24"/>
        </w:rPr>
        <w:lastRenderedPageBreak/>
        <w:t>décide</w:t>
      </w:r>
    </w:p>
    <w:p w14:paraId="0A1CB4A2" w14:textId="4967F9F2" w:rsidR="006904CB" w:rsidRPr="00B84886" w:rsidRDefault="006904CB" w:rsidP="00143F07">
      <w:pPr>
        <w:spacing w:line="240" w:lineRule="auto"/>
        <w:jc w:val="left"/>
        <w:rPr>
          <w:sz w:val="24"/>
          <w:szCs w:val="24"/>
        </w:rPr>
      </w:pPr>
      <w:r w:rsidRPr="00B84886">
        <w:rPr>
          <w:sz w:val="24"/>
          <w:szCs w:val="24"/>
        </w:rPr>
        <w:t>1</w:t>
      </w:r>
      <w:r w:rsidRPr="00B84886">
        <w:rPr>
          <w:sz w:val="24"/>
          <w:szCs w:val="24"/>
        </w:rPr>
        <w:tab/>
        <w:t xml:space="preserve">que toutes les fiches de notification des réseaux à satellite concernant la publication anticipée, les demandes de coordination ou d'accord associées (l'Article 9 du Règlement des </w:t>
      </w:r>
      <w:r w:rsidRPr="00B84886">
        <w:rPr>
          <w:spacing w:val="4"/>
          <w:sz w:val="24"/>
          <w:szCs w:val="24"/>
        </w:rPr>
        <w:t>radiocommunications (du RR), l'Article 7 des Appendices 30 et 30A du RR, Résolution 539</w:t>
      </w:r>
      <w:r w:rsidRPr="00B84886">
        <w:rPr>
          <w:sz w:val="24"/>
          <w:szCs w:val="24"/>
        </w:rPr>
        <w:t xml:space="preserve"> (Rév. CMR-19)), l'utilisation des bandes de garde (l'Article 2A des Appendices 30 et 30A du RR), les demandes de modification des Plans et Listes pour les services spatiaux (l'Article 4 des Appendices 30 et 30A du RR), les demandes de mise en œuvre du Plan pour le service fixe par satellite (anciennes Sections IB et II de l'Article 6 de l'Appendice 30B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(l'Article 6 de l'Appendice 30B du RR à compter du 17 novembre 2007) seront assujetties aux droits à acquitter au titre du recouvrement des coûts si, et seulement si, elles ont été reçues par le Bureau des radiocommunications le 8 novembre 1998 ou après cette date;</w:t>
      </w:r>
    </w:p>
    <w:p w14:paraId="0A4A6214" w14:textId="77777777" w:rsidR="006904CB" w:rsidRPr="00B84886" w:rsidRDefault="006904CB" w:rsidP="00143F07">
      <w:pPr>
        <w:spacing w:line="240" w:lineRule="auto"/>
        <w:jc w:val="left"/>
        <w:rPr>
          <w:sz w:val="24"/>
          <w:szCs w:val="24"/>
        </w:rPr>
      </w:pPr>
      <w:r w:rsidRPr="00B84886">
        <w:rPr>
          <w:sz w:val="24"/>
          <w:szCs w:val="24"/>
        </w:rPr>
        <w:t>1</w:t>
      </w:r>
      <w:r w:rsidRPr="00B84886">
        <w:rPr>
          <w:i/>
          <w:iCs/>
          <w:sz w:val="24"/>
          <w:szCs w:val="24"/>
        </w:rPr>
        <w:t>bis</w:t>
      </w:r>
      <w:r w:rsidRPr="00B84886">
        <w:rPr>
          <w:i/>
          <w:iCs/>
          <w:sz w:val="24"/>
          <w:szCs w:val="24"/>
        </w:rPr>
        <w:tab/>
      </w:r>
      <w:r w:rsidRPr="00B84886">
        <w:rPr>
          <w:sz w:val="24"/>
          <w:szCs w:val="24"/>
        </w:rPr>
        <w:t>que</w:t>
      </w:r>
      <w:r w:rsidRPr="00B84886">
        <w:rPr>
          <w:i/>
          <w:iCs/>
          <w:sz w:val="24"/>
          <w:szCs w:val="24"/>
        </w:rPr>
        <w:t xml:space="preserve"> </w:t>
      </w:r>
      <w:r w:rsidRPr="00B84886">
        <w:rPr>
          <w:sz w:val="24"/>
          <w:szCs w:val="24"/>
        </w:rPr>
        <w:t>toutes les fiches de notification des réseaux à satellite concernant la notification en vue de l'inscription d'assignations de fréquence dans le Fichier de référence international des fréquences (l'Article 11 du Règlement des radiocommunications, l'Article 5 des Appendices 30/30A du Règlement des radiocommunications et l'Article 8 de l'Appendice 30B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œuvre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selon le cas, reçues le 19 octobre 2002 ou après cette date;</w:t>
      </w:r>
    </w:p>
    <w:p w14:paraId="62A147B8" w14:textId="77777777" w:rsidR="006904CB" w:rsidRPr="00B84886" w:rsidRDefault="006904CB" w:rsidP="00143F07">
      <w:pPr>
        <w:spacing w:line="240" w:lineRule="auto"/>
        <w:jc w:val="left"/>
        <w:rPr>
          <w:sz w:val="24"/>
          <w:szCs w:val="24"/>
        </w:rPr>
      </w:pPr>
      <w:r w:rsidRPr="00B84886">
        <w:rPr>
          <w:sz w:val="24"/>
          <w:szCs w:val="24"/>
        </w:rPr>
        <w:t>1</w:t>
      </w:r>
      <w:r w:rsidRPr="00B84886">
        <w:rPr>
          <w:i/>
          <w:iCs/>
          <w:sz w:val="24"/>
          <w:szCs w:val="24"/>
        </w:rPr>
        <w:t>ter</w:t>
      </w:r>
      <w:r w:rsidRPr="00B84886">
        <w:rPr>
          <w:sz w:val="24"/>
          <w:szCs w:val="24"/>
        </w:rPr>
        <w:tab/>
        <w:t>que toutes les demandes de mise en œuvre du Plan pour le service fixe par satellite (anciennes Sections IA et III de l'Article 6 de l'Appendice 30B du Règlement des radiocommunications) seront assujetties aux droits à acquitter au titre du recouvrement des coûts si, et seulement si, elles ont été reçues par le Bureau des radiocommunications le 1er janvier 2006 ou après cette date;</w:t>
      </w:r>
    </w:p>
    <w:p w14:paraId="60494F5C" w14:textId="22638F9A" w:rsidR="006904CB" w:rsidRPr="00B84886" w:rsidRDefault="006904CB" w:rsidP="00143F07">
      <w:pPr>
        <w:spacing w:line="240" w:lineRule="auto"/>
        <w:jc w:val="left"/>
        <w:rPr>
          <w:sz w:val="24"/>
          <w:szCs w:val="24"/>
        </w:rPr>
      </w:pPr>
      <w:r w:rsidRPr="00B84886">
        <w:rPr>
          <w:sz w:val="24"/>
          <w:szCs w:val="24"/>
        </w:rPr>
        <w:t>1</w:t>
      </w:r>
      <w:r w:rsidRPr="00B84886">
        <w:rPr>
          <w:i/>
          <w:iCs/>
          <w:sz w:val="24"/>
          <w:szCs w:val="24"/>
        </w:rPr>
        <w:t>quater</w:t>
      </w:r>
      <w:r w:rsidR="00D57F26" w:rsidRPr="00B84886">
        <w:rPr>
          <w:i/>
          <w:iCs/>
          <w:sz w:val="24"/>
          <w:szCs w:val="24"/>
        </w:rPr>
        <w:t xml:space="preserve"> </w:t>
      </w:r>
      <w:r w:rsidRPr="00B84886">
        <w:rPr>
          <w:i/>
          <w:iCs/>
          <w:sz w:val="24"/>
          <w:szCs w:val="24"/>
        </w:rPr>
        <w:tab/>
      </w:r>
      <w:r w:rsidRPr="00B84886">
        <w:rPr>
          <w:sz w:val="24"/>
          <w:szCs w:val="24"/>
        </w:rPr>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14:paraId="77765D60" w14:textId="77777777" w:rsidR="006904CB" w:rsidRPr="00B84886" w:rsidRDefault="006904CB" w:rsidP="00143F07">
      <w:pPr>
        <w:keepNext/>
        <w:keepLines/>
        <w:spacing w:line="240" w:lineRule="auto"/>
        <w:jc w:val="left"/>
        <w:rPr>
          <w:sz w:val="24"/>
          <w:szCs w:val="24"/>
        </w:rPr>
      </w:pPr>
      <w:r w:rsidRPr="00B84886">
        <w:rPr>
          <w:sz w:val="24"/>
          <w:szCs w:val="24"/>
        </w:rPr>
        <w:lastRenderedPageBreak/>
        <w:t>2</w:t>
      </w:r>
      <w:r w:rsidRPr="00B84886">
        <w:rPr>
          <w:sz w:val="24"/>
          <w:szCs w:val="24"/>
        </w:rPr>
        <w:tab/>
        <w:t>que, pour chaque fiche de notification d'un réseau à satellite</w:t>
      </w:r>
      <w:r w:rsidRPr="00B84886">
        <w:rPr>
          <w:rStyle w:val="FootnoteReference"/>
          <w:rFonts w:asciiTheme="minorHAnsi" w:hAnsiTheme="minorHAnsi"/>
          <w:szCs w:val="18"/>
        </w:rPr>
        <w:footnoteReference w:id="2"/>
      </w:r>
      <w:r w:rsidRPr="00B84886">
        <w:rPr>
          <w:sz w:val="24"/>
          <w:szCs w:val="24"/>
        </w:rPr>
        <w:t xml:space="preserve"> communiquée au Bureau, les droits suivants</w:t>
      </w:r>
      <w:r w:rsidRPr="00B84886">
        <w:rPr>
          <w:rStyle w:val="FootnoteReference"/>
          <w:rFonts w:asciiTheme="minorHAnsi" w:hAnsiTheme="minorHAnsi"/>
          <w:szCs w:val="18"/>
        </w:rPr>
        <w:footnoteReference w:id="3"/>
      </w:r>
      <w:r w:rsidRPr="00B84886">
        <w:rPr>
          <w:sz w:val="24"/>
          <w:szCs w:val="24"/>
        </w:rPr>
        <w:t xml:space="preserve"> </w:t>
      </w:r>
      <w:r w:rsidRPr="00B84886">
        <w:rPr>
          <w:iCs/>
          <w:sz w:val="24"/>
          <w:szCs w:val="24"/>
        </w:rPr>
        <w:t>s'appliquent:</w:t>
      </w:r>
    </w:p>
    <w:p w14:paraId="12E92DBB" w14:textId="77777777" w:rsidR="006904CB" w:rsidRPr="00B84886" w:rsidRDefault="006904CB" w:rsidP="00143F07">
      <w:pPr>
        <w:pStyle w:val="enumlev1"/>
        <w:spacing w:line="240" w:lineRule="auto"/>
        <w:jc w:val="left"/>
        <w:rPr>
          <w:sz w:val="24"/>
          <w:szCs w:val="24"/>
        </w:rPr>
      </w:pPr>
      <w:r w:rsidRPr="00B84886">
        <w:rPr>
          <w:sz w:val="24"/>
          <w:szCs w:val="24"/>
        </w:rPr>
        <w:t>a)</w:t>
      </w:r>
      <w:r w:rsidRPr="00B84886">
        <w:rPr>
          <w:sz w:val="24"/>
          <w:szCs w:val="24"/>
        </w:rPr>
        <w:tab/>
        <w:t>pour les fiches de notification reçues jusqu'au 29 juin 2001 inclus, la Décision 482 (C99) s'applique; le droit pour ces fiches est perçu au stade de la publication, conformément au barème des droits en vigueur à la date de la publication;</w:t>
      </w:r>
    </w:p>
    <w:p w14:paraId="168C0A2C" w14:textId="77777777" w:rsidR="006904CB" w:rsidRPr="00B84886" w:rsidRDefault="006904CB" w:rsidP="00143F07">
      <w:pPr>
        <w:pStyle w:val="enumlev1"/>
        <w:spacing w:line="240" w:lineRule="auto"/>
        <w:jc w:val="left"/>
        <w:rPr>
          <w:sz w:val="24"/>
          <w:szCs w:val="24"/>
        </w:rPr>
      </w:pPr>
      <w:r w:rsidRPr="00B84886">
        <w:rPr>
          <w:sz w:val="24"/>
          <w:szCs w:val="24"/>
        </w:rPr>
        <w:t>b)</w:t>
      </w:r>
      <w:r w:rsidRPr="00B84886">
        <w:rPr>
          <w:sz w:val="24"/>
          <w:szCs w:val="24"/>
        </w:rPr>
        <w:tab/>
        <w: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14:paraId="156EE60C" w14:textId="77777777" w:rsidR="006904CB" w:rsidRPr="00B84886" w:rsidRDefault="006904CB" w:rsidP="00143F07">
      <w:pPr>
        <w:pStyle w:val="enumlev1"/>
        <w:spacing w:line="240" w:lineRule="auto"/>
        <w:jc w:val="left"/>
        <w:rPr>
          <w:sz w:val="24"/>
          <w:szCs w:val="24"/>
        </w:rPr>
      </w:pPr>
      <w:r w:rsidRPr="00B84886">
        <w:rPr>
          <w:sz w:val="24"/>
          <w:szCs w:val="24"/>
        </w:rPr>
        <w:t>c)</w:t>
      </w:r>
      <w:r w:rsidRPr="00B84886">
        <w:rPr>
          <w:sz w:val="24"/>
          <w:szCs w:val="24"/>
        </w:rPr>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14:paraId="5A7C0657" w14:textId="77777777" w:rsidR="006904CB" w:rsidRPr="00B84886" w:rsidRDefault="006904CB" w:rsidP="00143F07">
      <w:pPr>
        <w:pStyle w:val="enumlev1"/>
        <w:spacing w:line="240" w:lineRule="auto"/>
        <w:jc w:val="left"/>
        <w:rPr>
          <w:sz w:val="24"/>
          <w:szCs w:val="24"/>
        </w:rPr>
      </w:pPr>
      <w:r w:rsidRPr="00B84886">
        <w:rPr>
          <w:sz w:val="24"/>
          <w:szCs w:val="24"/>
        </w:rPr>
        <w:t>d)</w:t>
      </w:r>
      <w:r w:rsidRPr="00B84886">
        <w:rPr>
          <w:sz w:val="24"/>
          <w:szCs w:val="24"/>
        </w:rPr>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14:paraId="630C2958" w14:textId="77777777" w:rsidR="006904CB" w:rsidRPr="00B84886" w:rsidRDefault="006904CB" w:rsidP="00143F07">
      <w:pPr>
        <w:pStyle w:val="enumlev1"/>
        <w:spacing w:line="240" w:lineRule="auto"/>
        <w:jc w:val="left"/>
        <w:rPr>
          <w:sz w:val="24"/>
          <w:szCs w:val="24"/>
        </w:rPr>
      </w:pPr>
      <w:r w:rsidRPr="00B84886">
        <w:rPr>
          <w:sz w:val="24"/>
          <w:szCs w:val="24"/>
        </w:rPr>
        <w:t>e)</w:t>
      </w:r>
      <w:r w:rsidRPr="00B84886">
        <w:rPr>
          <w:sz w:val="24"/>
          <w:szCs w:val="24"/>
        </w:rPr>
        <w:tab/>
        <w: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14:paraId="649B0AD4" w14:textId="77777777" w:rsidR="006904CB" w:rsidRPr="00B84886" w:rsidRDefault="006904CB" w:rsidP="00143F07">
      <w:pPr>
        <w:pStyle w:val="enumlev1"/>
        <w:spacing w:line="240" w:lineRule="auto"/>
        <w:jc w:val="left"/>
        <w:rPr>
          <w:sz w:val="24"/>
          <w:szCs w:val="24"/>
        </w:rPr>
      </w:pPr>
      <w:r w:rsidRPr="00B84886">
        <w:rPr>
          <w:sz w:val="24"/>
          <w:szCs w:val="24"/>
        </w:rPr>
        <w:t>f)</w:t>
      </w:r>
      <w:r w:rsidRPr="00B84886">
        <w:rPr>
          <w:sz w:val="24"/>
          <w:szCs w:val="24"/>
        </w:rPr>
        <w:tab/>
        <w:t>pour les fiches de notification reçues le 1er janvier 2006 ou après cette date mais avant le 1er janvier 2009, à l'exception de celles reçues au titre de l'Appendice 30B à compter du 17 novembre 2007, la Décision 482 (C-05) s'applique; le droit, calculé conformément au barème des droits en vigueur à la date de réception, est exigible après la réception de la fiche de notification;</w:t>
      </w:r>
    </w:p>
    <w:p w14:paraId="2AFB5C81" w14:textId="77777777" w:rsidR="006904CB" w:rsidRPr="00B84886" w:rsidRDefault="006904CB" w:rsidP="00143F07">
      <w:pPr>
        <w:pStyle w:val="enumlev1"/>
        <w:spacing w:line="240" w:lineRule="auto"/>
        <w:jc w:val="left"/>
        <w:rPr>
          <w:sz w:val="24"/>
          <w:szCs w:val="24"/>
        </w:rPr>
      </w:pPr>
      <w:r w:rsidRPr="00B84886">
        <w:rPr>
          <w:sz w:val="24"/>
          <w:szCs w:val="24"/>
        </w:rPr>
        <w:t>g)</w:t>
      </w:r>
      <w:r w:rsidRPr="00B84886">
        <w:rPr>
          <w:sz w:val="24"/>
          <w:szCs w:val="24"/>
        </w:rPr>
        <w:tab/>
        <w:t>pour les fiches de notification reçues le 1er janvier 2009 ou après cette date, y compris celles reçues au titre de l'Appendice 30B à compter du 17 novembre 2007, mais avant le 14 juillet 2012, la Décision 482 (C-08) s'applique; le droit, calculé conformément au barème des droits en vigueur à la date de réception, est exigible après la réception de la fiche de notification;</w:t>
      </w:r>
    </w:p>
    <w:p w14:paraId="08189383" w14:textId="77777777" w:rsidR="006904CB" w:rsidRPr="00B84886" w:rsidRDefault="006904CB" w:rsidP="00143F07">
      <w:pPr>
        <w:pStyle w:val="enumlev1"/>
        <w:spacing w:line="240" w:lineRule="auto"/>
        <w:jc w:val="left"/>
        <w:rPr>
          <w:sz w:val="24"/>
          <w:szCs w:val="24"/>
        </w:rPr>
      </w:pPr>
      <w:r w:rsidRPr="00B84886">
        <w:rPr>
          <w:sz w:val="24"/>
          <w:szCs w:val="24"/>
        </w:rPr>
        <w:lastRenderedPageBreak/>
        <w:t>h)</w:t>
      </w:r>
      <w:r w:rsidRPr="00B84886">
        <w:rPr>
          <w:sz w:val="24"/>
          <w:szCs w:val="24"/>
        </w:rPr>
        <w:tab/>
        <w:t>pour les fiches de notification reçues le 14 juillet 2012 ou après cette date, mais avant le 1er juillet 2013, la Décision 482 (C-12) s'applique; le droit, calculé conformément au barème des droits en vigueur à la date de réception, est exigible après réception de la fiche de notification;</w:t>
      </w:r>
    </w:p>
    <w:p w14:paraId="31DFC97B" w14:textId="77777777" w:rsidR="006904CB" w:rsidRPr="00B84886" w:rsidRDefault="006904CB" w:rsidP="00143F07">
      <w:pPr>
        <w:pStyle w:val="enumlev1"/>
        <w:spacing w:line="240" w:lineRule="auto"/>
        <w:jc w:val="left"/>
        <w:rPr>
          <w:sz w:val="24"/>
          <w:szCs w:val="24"/>
        </w:rPr>
      </w:pPr>
      <w:r w:rsidRPr="00B84886">
        <w:rPr>
          <w:sz w:val="24"/>
          <w:szCs w:val="24"/>
        </w:rPr>
        <w:t>i)</w:t>
      </w:r>
      <w:r w:rsidRPr="00B84886">
        <w:rPr>
          <w:sz w:val="24"/>
          <w:szCs w:val="24"/>
        </w:rPr>
        <w:tab/>
        <w:t>pour les fiches de notification reçues le 1er juillet 2013 ou après cette date, la Décision 482 (C</w:t>
      </w:r>
      <w:r w:rsidRPr="00B84886">
        <w:rPr>
          <w:sz w:val="24"/>
          <w:szCs w:val="24"/>
        </w:rPr>
        <w:noBreakHyphen/>
        <w:t>13) s'applique; le droit, calculé conformément au barème des droits en vigueur à la date de réception, est exigible après réception de la fiche de notification;</w:t>
      </w:r>
    </w:p>
    <w:p w14:paraId="714132B2" w14:textId="77777777" w:rsidR="006904CB" w:rsidRPr="00B84886" w:rsidRDefault="006904CB" w:rsidP="00143F07">
      <w:pPr>
        <w:pStyle w:val="enumlev1"/>
        <w:spacing w:line="240" w:lineRule="auto"/>
        <w:jc w:val="left"/>
        <w:rPr>
          <w:sz w:val="24"/>
          <w:szCs w:val="24"/>
        </w:rPr>
      </w:pPr>
      <w:r w:rsidRPr="00B84886">
        <w:rPr>
          <w:sz w:val="24"/>
          <w:szCs w:val="24"/>
        </w:rPr>
        <w:t>j)</w:t>
      </w:r>
      <w:r w:rsidRPr="00B84886">
        <w:rPr>
          <w:sz w:val="24"/>
          <w:szCs w:val="24"/>
        </w:rPr>
        <w:tab/>
        <w:t>pour les fiches de notification reçues le 1er juillet 2017 ou après cette date, la Décision 482 (C</w:t>
      </w:r>
      <w:r w:rsidRPr="00B84886">
        <w:rPr>
          <w:sz w:val="24"/>
          <w:szCs w:val="24"/>
        </w:rPr>
        <w:noBreakHyphen/>
        <w:t>17) s'applique; le droit, calculé conformément au barème des droits en vigueur à la date de réception, est exigible après réception de la fiche de notification;</w:t>
      </w:r>
    </w:p>
    <w:p w14:paraId="6D42CDA6" w14:textId="77777777" w:rsidR="006904CB" w:rsidRPr="00B84886" w:rsidRDefault="006904CB" w:rsidP="00143F07">
      <w:pPr>
        <w:pStyle w:val="enumlev1"/>
        <w:spacing w:line="240" w:lineRule="auto"/>
        <w:jc w:val="left"/>
        <w:rPr>
          <w:sz w:val="24"/>
          <w:szCs w:val="24"/>
        </w:rPr>
      </w:pPr>
      <w:r w:rsidRPr="00B84886">
        <w:rPr>
          <w:rFonts w:eastAsiaTheme="minorEastAsia"/>
          <w:sz w:val="24"/>
          <w:szCs w:val="24"/>
          <w:lang w:eastAsia="zh-CN"/>
        </w:rPr>
        <w:t>k)</w:t>
      </w:r>
      <w:r w:rsidRPr="00B84886">
        <w:rPr>
          <w:rFonts w:eastAsiaTheme="minorEastAsia"/>
          <w:sz w:val="24"/>
          <w:szCs w:val="24"/>
          <w:lang w:eastAsia="zh-CN"/>
        </w:rPr>
        <w:tab/>
      </w:r>
      <w:r w:rsidRPr="00B84886">
        <w:rPr>
          <w:sz w:val="24"/>
          <w:szCs w:val="24"/>
        </w:rPr>
        <w:t>pour les fiches de notification reçues le 1er juillet 2018 ou après cette date, la Décision 482 (C-18) s'applique; le droit, calculé conformément au barème des droits en vigueur à la date de réception, est exigible après réception de la fiche de notification;</w:t>
      </w:r>
    </w:p>
    <w:p w14:paraId="36D8443A" w14:textId="77777777" w:rsidR="006904CB" w:rsidRPr="00B84886" w:rsidRDefault="006904CB" w:rsidP="00143F07">
      <w:pPr>
        <w:pStyle w:val="enumlev1"/>
        <w:spacing w:line="240" w:lineRule="auto"/>
        <w:jc w:val="left"/>
        <w:rPr>
          <w:sz w:val="24"/>
          <w:szCs w:val="24"/>
        </w:rPr>
      </w:pPr>
      <w:r w:rsidRPr="00B84886">
        <w:rPr>
          <w:sz w:val="24"/>
          <w:szCs w:val="24"/>
        </w:rPr>
        <w:t>l)</w:t>
      </w:r>
      <w:r w:rsidRPr="00B84886">
        <w:rPr>
          <w:sz w:val="24"/>
          <w:szCs w:val="24"/>
        </w:rPr>
        <w:tab/>
        <w:t>pour les fiches de notification reçues le 1er juillet 2019 ou après cette date, la Décision 482 (C-19) s'applique; le droit, calculé conformément au barème des droits en vigueur à la date de réception, est exigible après réception de la fiche de notification;</w:t>
      </w:r>
    </w:p>
    <w:p w14:paraId="21BE46B4" w14:textId="77777777" w:rsidR="006904CB" w:rsidRPr="00B84886" w:rsidRDefault="006904CB" w:rsidP="00143F07">
      <w:pPr>
        <w:pStyle w:val="enumlev1"/>
        <w:spacing w:line="240" w:lineRule="auto"/>
        <w:jc w:val="left"/>
        <w:rPr>
          <w:rFonts w:eastAsiaTheme="minorEastAsia"/>
          <w:sz w:val="24"/>
          <w:szCs w:val="24"/>
          <w:lang w:eastAsia="zh-CN"/>
        </w:rPr>
      </w:pPr>
      <w:r w:rsidRPr="00B84886">
        <w:rPr>
          <w:rFonts w:eastAsiaTheme="minorEastAsia"/>
          <w:sz w:val="24"/>
          <w:szCs w:val="24"/>
          <w:lang w:eastAsia="zh-CN"/>
        </w:rPr>
        <w:t>m)</w:t>
      </w:r>
      <w:r w:rsidRPr="00B84886">
        <w:rPr>
          <w:rFonts w:eastAsiaTheme="minorEastAsia"/>
          <w:sz w:val="24"/>
          <w:szCs w:val="24"/>
          <w:lang w:eastAsia="zh-CN"/>
        </w:rPr>
        <w:tab/>
      </w:r>
      <w:r w:rsidRPr="00B84886">
        <w:rPr>
          <w:sz w:val="24"/>
          <w:szCs w:val="24"/>
        </w:rPr>
        <w:t>pour les fiches de notification reçues le 1er septembre 2020 ou après cette date, la Décision 482 (C-20) s'applique; le droit, calculé conformément au barème des droits en vigueur à la date de réception, est exigible après réception de la fiche de notification;</w:t>
      </w:r>
    </w:p>
    <w:p w14:paraId="1BAB34DE" w14:textId="77777777" w:rsidR="006904CB" w:rsidRPr="00B84886" w:rsidRDefault="006904CB" w:rsidP="00143F07">
      <w:pPr>
        <w:spacing w:line="240" w:lineRule="auto"/>
        <w:jc w:val="left"/>
        <w:rPr>
          <w:sz w:val="24"/>
          <w:szCs w:val="24"/>
        </w:rPr>
      </w:pPr>
      <w:r w:rsidRPr="00B84886">
        <w:rPr>
          <w:sz w:val="24"/>
          <w:szCs w:val="24"/>
        </w:rPr>
        <w:t>3</w:t>
      </w:r>
      <w:r w:rsidRPr="00B84886">
        <w:rPr>
          <w:sz w:val="24"/>
          <w:szCs w:val="24"/>
        </w:rPr>
        <w:tab/>
        <w:t>que le droit sera considéré comme un droit de base à acquitter pour le traitement d'une fiche de notification d'un réseau à satellite. Les modifications, sauf les modifications au titre du point 1</w:t>
      </w:r>
      <w:r w:rsidRPr="00B84886">
        <w:rPr>
          <w:i/>
          <w:iCs/>
          <w:sz w:val="24"/>
          <w:szCs w:val="24"/>
        </w:rPr>
        <w:t>quater</w:t>
      </w:r>
      <w:r w:rsidRPr="00B84886">
        <w:rPr>
          <w:sz w:val="24"/>
          <w:szCs w:val="24"/>
        </w:rPr>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14:paraId="1217FB73" w14:textId="77777777" w:rsidR="006904CB" w:rsidRPr="00B84886" w:rsidRDefault="006904CB" w:rsidP="00143F07">
      <w:pPr>
        <w:spacing w:line="240" w:lineRule="auto"/>
        <w:jc w:val="left"/>
        <w:rPr>
          <w:sz w:val="24"/>
          <w:szCs w:val="24"/>
        </w:rPr>
      </w:pPr>
      <w:r w:rsidRPr="00B84886">
        <w:rPr>
          <w:sz w:val="24"/>
          <w:szCs w:val="24"/>
        </w:rPr>
        <w:t>4</w:t>
      </w:r>
      <w:r w:rsidRPr="00B84886">
        <w:rPr>
          <w:sz w:val="24"/>
          <w:szCs w:val="24"/>
        </w:rPr>
        <w:tab/>
        <w:t>que chaque État Membre aura droit à la publication, en franchise des droits et taxes susmentionnés, de Sections spéciales ou de parties de la BR IFIC (services spatiaux) pour une fiche de notification de réseau à satellite par an. Chaque État Membre en tant qu'administration notificatrice pourra déterminer qui bénéficiera de cette franchise</w:t>
      </w:r>
      <w:r w:rsidRPr="00B84886">
        <w:rPr>
          <w:rStyle w:val="FootnoteReference"/>
          <w:rFonts w:asciiTheme="minorHAnsi" w:hAnsiTheme="minorHAnsi"/>
          <w:szCs w:val="18"/>
        </w:rPr>
        <w:footnoteReference w:id="4"/>
      </w:r>
      <w:r w:rsidRPr="00B84886">
        <w:rPr>
          <w:sz w:val="24"/>
          <w:szCs w:val="24"/>
        </w:rPr>
        <w:t>;</w:t>
      </w:r>
    </w:p>
    <w:p w14:paraId="3D16133D" w14:textId="77777777" w:rsidR="006904CB" w:rsidRPr="00B84886" w:rsidRDefault="006904CB" w:rsidP="00143F07">
      <w:pPr>
        <w:spacing w:line="240" w:lineRule="auto"/>
        <w:jc w:val="left"/>
        <w:rPr>
          <w:sz w:val="24"/>
          <w:szCs w:val="24"/>
        </w:rPr>
      </w:pPr>
      <w:r w:rsidRPr="00B84886">
        <w:rPr>
          <w:sz w:val="24"/>
          <w:szCs w:val="24"/>
        </w:rPr>
        <w:t>5</w:t>
      </w:r>
      <w:r w:rsidRPr="00B84886">
        <w:rPr>
          <w:sz w:val="24"/>
          <w:szCs w:val="24"/>
        </w:rPr>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l'État Membre au plus tard à la fin du délai fixé pour le paiement de la facture, comme indiqué au point 9 du </w:t>
      </w:r>
      <w:r w:rsidRPr="00B84886">
        <w:rPr>
          <w:i/>
          <w:sz w:val="24"/>
          <w:szCs w:val="24"/>
        </w:rPr>
        <w:t xml:space="preserve">décide </w:t>
      </w:r>
      <w:r w:rsidRPr="00B84886">
        <w:rPr>
          <w:sz w:val="24"/>
          <w:szCs w:val="24"/>
        </w:rPr>
        <w:t>ci-dessous. La franchise de droit ne peut s'appliquer à une fiche de notification annulée antérieurement pour défaut de paiement;</w:t>
      </w:r>
    </w:p>
    <w:p w14:paraId="12ECE84D" w14:textId="77777777" w:rsidR="006904CB" w:rsidRPr="00B84886" w:rsidRDefault="006904CB" w:rsidP="00143F07">
      <w:pPr>
        <w:spacing w:line="240" w:lineRule="auto"/>
        <w:rPr>
          <w:sz w:val="24"/>
          <w:szCs w:val="24"/>
        </w:rPr>
      </w:pPr>
      <w:r w:rsidRPr="00B84886">
        <w:rPr>
          <w:sz w:val="24"/>
          <w:szCs w:val="24"/>
        </w:rPr>
        <w:br w:type="page"/>
      </w:r>
    </w:p>
    <w:p w14:paraId="25987CFC" w14:textId="77777777" w:rsidR="006904CB" w:rsidRPr="00B84886" w:rsidRDefault="006904CB" w:rsidP="00143F07">
      <w:pPr>
        <w:spacing w:line="240" w:lineRule="auto"/>
        <w:jc w:val="left"/>
        <w:rPr>
          <w:sz w:val="24"/>
          <w:szCs w:val="24"/>
        </w:rPr>
      </w:pPr>
      <w:r w:rsidRPr="00B84886">
        <w:rPr>
          <w:sz w:val="24"/>
          <w:szCs w:val="24"/>
        </w:rPr>
        <w:lastRenderedPageBreak/>
        <w:t>6</w:t>
      </w:r>
      <w:r w:rsidRPr="00B84886">
        <w:rPr>
          <w:sz w:val="24"/>
          <w:szCs w:val="24"/>
        </w:rPr>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B84886">
        <w:rPr>
          <w:i/>
          <w:iCs/>
          <w:sz w:val="24"/>
          <w:szCs w:val="24"/>
        </w:rPr>
        <w:t>décide</w:t>
      </w:r>
      <w:r w:rsidRPr="00B84886">
        <w:rPr>
          <w:sz w:val="24"/>
          <w:szCs w:val="24"/>
        </w:rPr>
        <w:t xml:space="preserve"> ci-dessus;</w:t>
      </w:r>
    </w:p>
    <w:p w14:paraId="65FF8D10" w14:textId="77777777" w:rsidR="006904CB" w:rsidRPr="00B84886" w:rsidRDefault="006904CB" w:rsidP="00143F07">
      <w:pPr>
        <w:spacing w:line="240" w:lineRule="auto"/>
        <w:jc w:val="left"/>
        <w:rPr>
          <w:sz w:val="24"/>
          <w:szCs w:val="24"/>
        </w:rPr>
      </w:pPr>
      <w:r w:rsidRPr="00B84886">
        <w:rPr>
          <w:sz w:val="24"/>
          <w:szCs w:val="24"/>
        </w:rPr>
        <w:t>7</w:t>
      </w:r>
      <w:r w:rsidRPr="00B84886">
        <w:rPr>
          <w:sz w:val="24"/>
          <w:szCs w:val="24"/>
        </w:rPr>
        <w:tab/>
        <w:t xml:space="preserve">qu'aucun droit ne sera perçu au titre du recouvrement des coûts pour toute demande de publication dans la Partie A supposant l'application de l'Article 4 des Appendices 30/30A qui a été reçue par le Bureau avant le 8 novembre 1998 ou pour toute demande de publication dans la Partie B supposant l'application de l'Article 4 des Appendices 30/30A pour laquelle la Partie A associée a été reçue avant le 8 novembre 1998. Toute demande de publication dans la Partie A reçue après le 7 novembre 1998 soumise au titre du § 4.3.5 jusqu'au 2 juin 2000 puis au titre du § 4.1.3 ou § 4.2.6 des Appendices 30/30A et dans la Partie B correspondante soumise au titre du § 4.3.14 jusqu'au 2 juin 2000 puis au titre du § 4.1.12 ou 4.2.16 des Appendices 30/30A sera soumise à un droit, conformément au point 2 du </w:t>
      </w:r>
      <w:r w:rsidRPr="00B84886">
        <w:rPr>
          <w:i/>
          <w:iCs/>
          <w:sz w:val="24"/>
          <w:szCs w:val="24"/>
        </w:rPr>
        <w:t>décide</w:t>
      </w:r>
      <w:r w:rsidRPr="00B84886">
        <w:rPr>
          <w:sz w:val="24"/>
          <w:szCs w:val="24"/>
        </w:rPr>
        <w:t xml:space="preserve"> ci-dessus;</w:t>
      </w:r>
    </w:p>
    <w:p w14:paraId="17D37D86" w14:textId="77777777" w:rsidR="006904CB" w:rsidRPr="00B84886" w:rsidRDefault="006904CB" w:rsidP="00143F07">
      <w:pPr>
        <w:spacing w:line="240" w:lineRule="auto"/>
        <w:jc w:val="left"/>
        <w:rPr>
          <w:sz w:val="24"/>
          <w:szCs w:val="24"/>
        </w:rPr>
      </w:pPr>
      <w:r w:rsidRPr="00B84886">
        <w:rPr>
          <w:sz w:val="24"/>
          <w:szCs w:val="24"/>
        </w:rPr>
        <w:t>7</w:t>
      </w:r>
      <w:r w:rsidRPr="00B84886">
        <w:rPr>
          <w:i/>
          <w:iCs/>
          <w:sz w:val="24"/>
          <w:szCs w:val="24"/>
        </w:rPr>
        <w:t>bis</w:t>
      </w:r>
      <w:r w:rsidRPr="00B84886">
        <w:rPr>
          <w:sz w:val="24"/>
          <w:szCs w:val="24"/>
        </w:rPr>
        <w:tab/>
        <w:t>qu'aucun droit ne sera perçu au titre du recouvrement des coûts pour toute demande soumise au titre du § 6.17 de l'Article 6 de l'Appendice 30B lorsque la soumission associée au titre du § 6.1 de cet l'Article a été reçue avant le 17 novembre 2007;</w:t>
      </w:r>
    </w:p>
    <w:p w14:paraId="278347EF" w14:textId="77777777" w:rsidR="006904CB" w:rsidRPr="00B84886" w:rsidRDefault="006904CB" w:rsidP="00143F07">
      <w:pPr>
        <w:spacing w:line="240" w:lineRule="auto"/>
        <w:jc w:val="left"/>
        <w:rPr>
          <w:sz w:val="24"/>
          <w:szCs w:val="24"/>
        </w:rPr>
      </w:pPr>
      <w:r w:rsidRPr="00B84886">
        <w:rPr>
          <w:sz w:val="24"/>
          <w:szCs w:val="24"/>
        </w:rPr>
        <w:t>8</w:t>
      </w:r>
      <w:r w:rsidRPr="00B84886">
        <w:rPr>
          <w:sz w:val="24"/>
          <w:szCs w:val="24"/>
        </w:rPr>
        <w:tab/>
        <w:t>que l'Annexe (Barème des droits de traitement) de la présente Décision devrait être revue périodiquement par le Conseil;</w:t>
      </w:r>
    </w:p>
    <w:p w14:paraId="726B75E3" w14:textId="77777777" w:rsidR="006904CB" w:rsidRPr="00B84886" w:rsidRDefault="006904CB" w:rsidP="00143F07">
      <w:pPr>
        <w:spacing w:line="240" w:lineRule="auto"/>
        <w:jc w:val="left"/>
        <w:rPr>
          <w:sz w:val="24"/>
          <w:szCs w:val="24"/>
        </w:rPr>
      </w:pPr>
      <w:r w:rsidRPr="00B84886">
        <w:rPr>
          <w:sz w:val="24"/>
          <w:szCs w:val="24"/>
        </w:rPr>
        <w:t>9</w:t>
      </w:r>
      <w:r w:rsidRPr="00B84886">
        <w:rPr>
          <w:sz w:val="24"/>
          <w:szCs w:val="24"/>
        </w:rPr>
        <w:tab/>
        <w:t>que les droits et taxes seront acquittés sur la base d'une facture établie dès réception de la fiche de notification par le Bureau des radiocommunications et envoyée à l'administration notificatrice ou, à la demande de cette administration, à l'exploitant du réseau à satellite concerné, dans un délai de six mois maximum après la date d'établissement de la facture;</w:t>
      </w:r>
    </w:p>
    <w:p w14:paraId="1F966C0B" w14:textId="77777777" w:rsidR="006904CB" w:rsidRPr="00B84886" w:rsidRDefault="006904CB" w:rsidP="00143F07">
      <w:pPr>
        <w:spacing w:line="240" w:lineRule="auto"/>
        <w:jc w:val="left"/>
        <w:rPr>
          <w:sz w:val="24"/>
          <w:szCs w:val="24"/>
        </w:rPr>
      </w:pPr>
      <w:r w:rsidRPr="00B84886">
        <w:rPr>
          <w:sz w:val="24"/>
          <w:szCs w:val="24"/>
        </w:rPr>
        <w:t>10</w:t>
      </w:r>
      <w:r w:rsidRPr="00B84886">
        <w:rPr>
          <w:sz w:val="24"/>
          <w:szCs w:val="24"/>
        </w:rPr>
        <w:tab/>
        <w:t>que toute annulation ultérieure reçue par le Bureau des radiocommunications dans les quinze jours qui suivent la date de réception de la fiche de notification supprimera l'obligation d'acquitter le droit;</w:t>
      </w:r>
    </w:p>
    <w:p w14:paraId="68BBAF18" w14:textId="3BF5A9DD" w:rsidR="006904CB" w:rsidRPr="00B84886" w:rsidRDefault="006904CB" w:rsidP="00143F07">
      <w:pPr>
        <w:spacing w:line="240" w:lineRule="auto"/>
        <w:jc w:val="left"/>
        <w:rPr>
          <w:sz w:val="24"/>
          <w:szCs w:val="24"/>
        </w:rPr>
      </w:pPr>
      <w:r w:rsidRPr="00B84886">
        <w:rPr>
          <w:sz w:val="24"/>
          <w:szCs w:val="24"/>
        </w:rPr>
        <w:t>11</w:t>
      </w:r>
      <w:r w:rsidRPr="00B84886">
        <w:rPr>
          <w:sz w:val="24"/>
          <w:szCs w:val="24"/>
        </w:rPr>
        <w:tab/>
        <w:t>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 et l'adjonction d'un nouvel allotissement dans le Plan pour un nouvel État Membre de l'Union, conformément à la procédure prévue à l'Article 7 de l'Appendice 30B, seront exonérées de tout droit;</w:t>
      </w:r>
    </w:p>
    <w:p w14:paraId="03392867" w14:textId="5B2B7288" w:rsidR="006904CB" w:rsidRPr="00B84886" w:rsidRDefault="006904CB" w:rsidP="00143F07">
      <w:pPr>
        <w:spacing w:line="240" w:lineRule="auto"/>
        <w:jc w:val="left"/>
        <w:rPr>
          <w:sz w:val="24"/>
          <w:szCs w:val="24"/>
        </w:rPr>
      </w:pPr>
      <w:r w:rsidRPr="00B84886">
        <w:rPr>
          <w:sz w:val="24"/>
          <w:szCs w:val="24"/>
        </w:rPr>
        <w:t>12</w:t>
      </w:r>
      <w:r w:rsidRPr="00B84886">
        <w:rPr>
          <w:sz w:val="24"/>
          <w:szCs w:val="24"/>
        </w:rPr>
        <w:tab/>
        <w:t>que la date d'entrée en vigueur de la Décision 482 (modifiée en 2020) sera le 1er septembre 2020;</w:t>
      </w:r>
    </w:p>
    <w:p w14:paraId="42CFB47C" w14:textId="77777777" w:rsidR="006904CB" w:rsidRPr="00B84886" w:rsidRDefault="006904CB" w:rsidP="00143F07">
      <w:pPr>
        <w:spacing w:line="240" w:lineRule="auto"/>
        <w:jc w:val="left"/>
        <w:rPr>
          <w:sz w:val="24"/>
          <w:szCs w:val="24"/>
        </w:rPr>
      </w:pPr>
      <w:r w:rsidRPr="00B84886">
        <w:rPr>
          <w:sz w:val="24"/>
          <w:szCs w:val="24"/>
        </w:rPr>
        <w:t>13</w:t>
      </w:r>
      <w:r w:rsidRPr="00B84886">
        <w:rPr>
          <w:sz w:val="24"/>
          <w:szCs w:val="24"/>
        </w:rPr>
        <w:tab/>
        <w:t>que les dispositions de la présente Décision devront être révisées lorsque l'on disposera de données de comptabilisation du temps,</w:t>
      </w:r>
    </w:p>
    <w:p w14:paraId="354BD450" w14:textId="77777777" w:rsidR="006904CB" w:rsidRPr="00B84886" w:rsidRDefault="006904CB" w:rsidP="00143F07">
      <w:pPr>
        <w:pStyle w:val="Call"/>
        <w:spacing w:line="240" w:lineRule="auto"/>
        <w:rPr>
          <w:sz w:val="24"/>
          <w:szCs w:val="24"/>
        </w:rPr>
      </w:pPr>
      <w:r w:rsidRPr="00B84886">
        <w:rPr>
          <w:sz w:val="24"/>
          <w:szCs w:val="24"/>
        </w:rPr>
        <w:t>recommande</w:t>
      </w:r>
    </w:p>
    <w:p w14:paraId="391CD4AF" w14:textId="2CD5C458" w:rsidR="006904CB" w:rsidRPr="00B84886" w:rsidRDefault="006904CB" w:rsidP="00143F07">
      <w:pPr>
        <w:spacing w:line="240" w:lineRule="auto"/>
        <w:jc w:val="left"/>
        <w:rPr>
          <w:sz w:val="24"/>
          <w:szCs w:val="24"/>
        </w:rPr>
      </w:pPr>
      <w:r w:rsidRPr="00B84886">
        <w:rPr>
          <w:sz w:val="24"/>
          <w:szCs w:val="24"/>
        </w:rPr>
        <w:t>que, si le Conseil révise le barème des droits reproduit en Annexe, les éventuels avoirs soient utilisés par le Bureau pour le règlement de factures ultérieures, à la demande des administrations,</w:t>
      </w:r>
    </w:p>
    <w:p w14:paraId="22180C53" w14:textId="77777777" w:rsidR="006904CB" w:rsidRPr="00B84886" w:rsidRDefault="006904CB" w:rsidP="00143F07">
      <w:pPr>
        <w:pStyle w:val="Call"/>
        <w:spacing w:line="240" w:lineRule="auto"/>
        <w:rPr>
          <w:sz w:val="24"/>
          <w:szCs w:val="24"/>
        </w:rPr>
      </w:pPr>
      <w:r w:rsidRPr="00B84886">
        <w:rPr>
          <w:sz w:val="24"/>
          <w:szCs w:val="24"/>
        </w:rPr>
        <w:lastRenderedPageBreak/>
        <w:t>encourage les États Membres</w:t>
      </w:r>
    </w:p>
    <w:p w14:paraId="0F9DA253" w14:textId="77777777" w:rsidR="006904CB" w:rsidRPr="00B84886" w:rsidRDefault="006904CB" w:rsidP="00143F07">
      <w:pPr>
        <w:spacing w:line="240" w:lineRule="auto"/>
        <w:jc w:val="left"/>
        <w:rPr>
          <w:sz w:val="24"/>
          <w:szCs w:val="24"/>
        </w:rPr>
      </w:pPr>
      <w:r w:rsidRPr="00B84886">
        <w:rPr>
          <w:sz w:val="24"/>
          <w:szCs w:val="24"/>
        </w:rPr>
        <w:t>à élaborer au niveau national des politiques qui permettront de limiter les cas de défaut de paiement et les pertes de recettes qui en résulteraient pour l'UIT,</w:t>
      </w:r>
    </w:p>
    <w:p w14:paraId="2D68F949" w14:textId="77777777" w:rsidR="006904CB" w:rsidRPr="00B84886" w:rsidRDefault="006904CB" w:rsidP="00143F07">
      <w:pPr>
        <w:pStyle w:val="Call"/>
        <w:spacing w:line="240" w:lineRule="auto"/>
        <w:rPr>
          <w:sz w:val="24"/>
          <w:szCs w:val="24"/>
        </w:rPr>
      </w:pPr>
      <w:r w:rsidRPr="00B84886">
        <w:rPr>
          <w:sz w:val="24"/>
          <w:szCs w:val="24"/>
        </w:rPr>
        <w:t>charge le Directeur du Bureau des radiocommunications</w:t>
      </w:r>
    </w:p>
    <w:p w14:paraId="2F3022AA" w14:textId="77777777" w:rsidR="006904CB" w:rsidRPr="00B84886" w:rsidRDefault="006904CB" w:rsidP="00143F07">
      <w:pPr>
        <w:spacing w:line="240" w:lineRule="auto"/>
        <w:jc w:val="left"/>
        <w:rPr>
          <w:sz w:val="24"/>
          <w:szCs w:val="24"/>
        </w:rPr>
      </w:pPr>
      <w:r w:rsidRPr="00B84886">
        <w:rPr>
          <w:sz w:val="24"/>
          <w:szCs w:val="24"/>
        </w:rPr>
        <w:t>1</w:t>
      </w:r>
      <w:r w:rsidRPr="00B84886">
        <w:rPr>
          <w:sz w:val="24"/>
          <w:szCs w:val="24"/>
        </w:rPr>
        <w:tab/>
        <w:t>d'améliorer le logiciel de saisie des fiches de notification électroniques (</w:t>
      </w:r>
      <w:proofErr w:type="spellStart"/>
      <w:r w:rsidRPr="00B84886">
        <w:rPr>
          <w:sz w:val="24"/>
          <w:szCs w:val="24"/>
        </w:rPr>
        <w:t>SpaceCap</w:t>
      </w:r>
      <w:proofErr w:type="spellEnd"/>
      <w:r w:rsidRPr="00B84886">
        <w:rPr>
          <w:sz w:val="24"/>
          <w:szCs w:val="24"/>
        </w:rPr>
        <w:t>) du Bureau des radiocommunications pour pouvoir calculer au mieux le montant estimatif des droits associés à une fiche de notification de réseau à satellite, de quelque type que ce soit, avant que cette fiche soit soumise à l'UIT;</w:t>
      </w:r>
    </w:p>
    <w:p w14:paraId="64AE8FA0" w14:textId="77777777" w:rsidR="006904CB" w:rsidRPr="00B84886" w:rsidRDefault="006904CB" w:rsidP="00143F07">
      <w:pPr>
        <w:spacing w:line="240" w:lineRule="auto"/>
        <w:jc w:val="left"/>
        <w:rPr>
          <w:sz w:val="24"/>
          <w:szCs w:val="24"/>
        </w:rPr>
      </w:pPr>
      <w:r w:rsidRPr="00B84886">
        <w:rPr>
          <w:sz w:val="24"/>
          <w:szCs w:val="24"/>
        </w:rPr>
        <w:t>2</w:t>
      </w:r>
      <w:r w:rsidRPr="00B84886">
        <w:rPr>
          <w:sz w:val="24"/>
          <w:szCs w:val="24"/>
        </w:rPr>
        <w:tab/>
        <w:t>de soumettre au Conseil un rapport annuel sur l'application de la présente Décision, notamment une analyse sur:</w:t>
      </w:r>
    </w:p>
    <w:p w14:paraId="17C8CBFD" w14:textId="77777777" w:rsidR="006904CB" w:rsidRPr="00B84886" w:rsidRDefault="006904CB" w:rsidP="00143F07">
      <w:pPr>
        <w:pStyle w:val="enumlev1"/>
        <w:spacing w:line="240" w:lineRule="auto"/>
        <w:rPr>
          <w:sz w:val="24"/>
          <w:szCs w:val="24"/>
        </w:rPr>
      </w:pPr>
      <w:r w:rsidRPr="00B84886">
        <w:rPr>
          <w:sz w:val="24"/>
          <w:szCs w:val="24"/>
        </w:rPr>
        <w:t>a)</w:t>
      </w:r>
      <w:r w:rsidRPr="00B84886">
        <w:rPr>
          <w:sz w:val="24"/>
          <w:szCs w:val="24"/>
        </w:rPr>
        <w:tab/>
        <w:t>le coût des différentes étapes des procédures;</w:t>
      </w:r>
    </w:p>
    <w:p w14:paraId="0D465ABE" w14:textId="77777777" w:rsidR="006904CB" w:rsidRPr="00B84886" w:rsidRDefault="006904CB" w:rsidP="00143F07">
      <w:pPr>
        <w:pStyle w:val="enumlev1"/>
        <w:spacing w:line="240" w:lineRule="auto"/>
        <w:rPr>
          <w:sz w:val="24"/>
          <w:szCs w:val="24"/>
        </w:rPr>
      </w:pPr>
      <w:r w:rsidRPr="00B84886">
        <w:rPr>
          <w:sz w:val="24"/>
          <w:szCs w:val="24"/>
        </w:rPr>
        <w:t>b)</w:t>
      </w:r>
      <w:r w:rsidRPr="00B84886">
        <w:rPr>
          <w:sz w:val="24"/>
          <w:szCs w:val="24"/>
        </w:rPr>
        <w:tab/>
        <w:t>les incidences de la présentation d'informations par voie électronique;</w:t>
      </w:r>
    </w:p>
    <w:p w14:paraId="5F13D67B" w14:textId="77777777" w:rsidR="006904CB" w:rsidRPr="00B84886" w:rsidRDefault="006904CB" w:rsidP="00143F07">
      <w:pPr>
        <w:pStyle w:val="enumlev1"/>
        <w:spacing w:line="240" w:lineRule="auto"/>
        <w:rPr>
          <w:sz w:val="24"/>
          <w:szCs w:val="24"/>
        </w:rPr>
      </w:pPr>
      <w:r w:rsidRPr="00B84886">
        <w:rPr>
          <w:sz w:val="24"/>
          <w:szCs w:val="24"/>
        </w:rPr>
        <w:t>c)</w:t>
      </w:r>
      <w:r w:rsidRPr="00B84886">
        <w:rPr>
          <w:sz w:val="24"/>
          <w:szCs w:val="24"/>
        </w:rPr>
        <w:tab/>
        <w:t>l'amélioration de la qualité de service, notamment la réduction de l'arriéré;</w:t>
      </w:r>
    </w:p>
    <w:p w14:paraId="17181403" w14:textId="77777777" w:rsidR="006904CB" w:rsidRPr="00B84886" w:rsidRDefault="006904CB" w:rsidP="00143F07">
      <w:pPr>
        <w:pStyle w:val="enumlev1"/>
        <w:spacing w:line="240" w:lineRule="auto"/>
        <w:rPr>
          <w:sz w:val="24"/>
          <w:szCs w:val="24"/>
        </w:rPr>
      </w:pPr>
      <w:r w:rsidRPr="00B84886">
        <w:rPr>
          <w:sz w:val="24"/>
          <w:szCs w:val="24"/>
        </w:rPr>
        <w:t>d)</w:t>
      </w:r>
      <w:r w:rsidRPr="00B84886">
        <w:rPr>
          <w:sz w:val="24"/>
          <w:szCs w:val="24"/>
        </w:rPr>
        <w:tab/>
        <w:t>le coût de la validation des fiches de notification et des demandes de correction de ces fiches; et</w:t>
      </w:r>
    </w:p>
    <w:p w14:paraId="11C47D13" w14:textId="77777777" w:rsidR="006904CB" w:rsidRPr="00B84886" w:rsidRDefault="006904CB" w:rsidP="00143F07">
      <w:pPr>
        <w:pStyle w:val="enumlev1"/>
        <w:spacing w:line="240" w:lineRule="auto"/>
        <w:rPr>
          <w:sz w:val="24"/>
          <w:szCs w:val="24"/>
        </w:rPr>
      </w:pPr>
      <w:r w:rsidRPr="00B84886">
        <w:rPr>
          <w:sz w:val="24"/>
          <w:szCs w:val="24"/>
        </w:rPr>
        <w:t>e)</w:t>
      </w:r>
      <w:r w:rsidRPr="00B84886">
        <w:rPr>
          <w:sz w:val="24"/>
          <w:szCs w:val="24"/>
        </w:rPr>
        <w:tab/>
        <w:t>les difficultés rencontrées dans l'application des dispositions de la présente Décision;</w:t>
      </w:r>
    </w:p>
    <w:p w14:paraId="39FF0E68" w14:textId="5B72F02B" w:rsidR="006904CB" w:rsidRPr="00B84886" w:rsidRDefault="006904CB" w:rsidP="00143F07">
      <w:pPr>
        <w:spacing w:line="240" w:lineRule="auto"/>
        <w:jc w:val="left"/>
        <w:rPr>
          <w:sz w:val="24"/>
          <w:szCs w:val="24"/>
        </w:rPr>
      </w:pPr>
      <w:r w:rsidRPr="00B84886">
        <w:rPr>
          <w:sz w:val="24"/>
          <w:szCs w:val="24"/>
        </w:rPr>
        <w:t>3</w:t>
      </w:r>
      <w:r w:rsidRPr="00B84886">
        <w:rPr>
          <w:sz w:val="24"/>
          <w:szCs w:val="24"/>
        </w:rPr>
        <w:tab/>
        <w:t>d'informer les États Membres de toute procédure suivie par le Bureau des radiocommunications pour mettre en œuvre les dispositions de la présente Décision ainsi que de la raison d'être de cette procédure.</w:t>
      </w:r>
    </w:p>
    <w:p w14:paraId="54A17989" w14:textId="77777777" w:rsidR="006904CB" w:rsidRPr="00B84886" w:rsidRDefault="006904CB" w:rsidP="00143F07">
      <w:pPr>
        <w:spacing w:before="2880" w:line="240" w:lineRule="auto"/>
        <w:rPr>
          <w:sz w:val="24"/>
          <w:szCs w:val="24"/>
        </w:rPr>
      </w:pPr>
      <w:r w:rsidRPr="00B84886">
        <w:rPr>
          <w:b/>
          <w:bCs/>
          <w:sz w:val="24"/>
          <w:szCs w:val="24"/>
        </w:rPr>
        <w:t>Annexe</w:t>
      </w:r>
      <w:r w:rsidRPr="00B84886">
        <w:rPr>
          <w:bCs/>
          <w:sz w:val="24"/>
          <w:szCs w:val="24"/>
        </w:rPr>
        <w:t>:</w:t>
      </w:r>
      <w:r w:rsidRPr="00B84886">
        <w:rPr>
          <w:sz w:val="24"/>
          <w:szCs w:val="24"/>
        </w:rPr>
        <w:t xml:space="preserve"> 1</w:t>
      </w:r>
    </w:p>
    <w:p w14:paraId="60FD91AD" w14:textId="77777777" w:rsidR="006904CB" w:rsidRPr="00B84886" w:rsidRDefault="006904CB" w:rsidP="00143F07">
      <w:pPr>
        <w:spacing w:line="240" w:lineRule="auto"/>
        <w:jc w:val="left"/>
        <w:rPr>
          <w:sz w:val="24"/>
          <w:szCs w:val="24"/>
        </w:rPr>
        <w:sectPr w:rsidR="006904CB" w:rsidRPr="00B84886" w:rsidSect="000A249C">
          <w:headerReference w:type="even" r:id="rId29"/>
          <w:headerReference w:type="default" r:id="rId30"/>
          <w:headerReference w:type="first" r:id="rId31"/>
          <w:footerReference w:type="first" r:id="rId32"/>
          <w:pgSz w:w="11907" w:h="16834" w:code="9"/>
          <w:pgMar w:top="1418" w:right="1134" w:bottom="1418" w:left="1134" w:header="567" w:footer="567" w:gutter="0"/>
          <w:paperSrc w:first="7" w:other="7"/>
          <w:cols w:space="720"/>
          <w:titlePg/>
          <w:docGrid w:linePitch="299"/>
        </w:sectPr>
      </w:pPr>
    </w:p>
    <w:p w14:paraId="058FB77D" w14:textId="77777777" w:rsidR="006904CB" w:rsidRPr="00B84886" w:rsidRDefault="006904CB" w:rsidP="00143F07">
      <w:pPr>
        <w:pStyle w:val="AnnexNo"/>
        <w:rPr>
          <w:rFonts w:eastAsiaTheme="minorEastAsia"/>
          <w:lang w:val="fr-FR" w:eastAsia="zh-CN"/>
        </w:rPr>
      </w:pPr>
      <w:r w:rsidRPr="00B84886">
        <w:rPr>
          <w:rFonts w:eastAsiaTheme="minorEastAsia"/>
          <w:lang w:val="fr-FR" w:eastAsia="zh-CN"/>
        </w:rPr>
        <w:lastRenderedPageBreak/>
        <w:t>ANNEXE</w:t>
      </w:r>
    </w:p>
    <w:p w14:paraId="757EE995" w14:textId="00F5F80E" w:rsidR="006904CB" w:rsidRPr="00B84886" w:rsidRDefault="006904CB" w:rsidP="00143F07">
      <w:pPr>
        <w:pStyle w:val="Annextitle"/>
      </w:pPr>
      <w:r w:rsidRPr="00B84886">
        <w:t xml:space="preserve">Barème des droits de traitement à appliquer aux fiches de notification de réseaux à satellite reçues </w:t>
      </w:r>
      <w:r w:rsidRPr="00B84886">
        <w:br/>
        <w:t>par le Bureau des radiocommunications le 1er septembre 2020 ou après cette date</w:t>
      </w:r>
    </w:p>
    <w:tbl>
      <w:tblPr>
        <w:tblW w:w="14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083"/>
        <w:gridCol w:w="567"/>
        <w:gridCol w:w="7765"/>
        <w:gridCol w:w="1112"/>
        <w:gridCol w:w="1060"/>
        <w:gridCol w:w="1007"/>
        <w:gridCol w:w="1371"/>
      </w:tblGrid>
      <w:tr w:rsidR="006904CB" w:rsidRPr="00B84886" w14:paraId="0172FE47" w14:textId="77777777" w:rsidTr="006904CB">
        <w:trPr>
          <w:tblHeader/>
          <w:jc w:val="center"/>
        </w:trPr>
        <w:tc>
          <w:tcPr>
            <w:tcW w:w="331" w:type="dxa"/>
            <w:tcBorders>
              <w:top w:val="single" w:sz="4" w:space="0" w:color="auto"/>
              <w:left w:val="single" w:sz="4" w:space="0" w:color="auto"/>
              <w:bottom w:val="single" w:sz="4" w:space="0" w:color="auto"/>
              <w:right w:val="single" w:sz="4" w:space="0" w:color="auto"/>
            </w:tcBorders>
            <w:vAlign w:val="center"/>
          </w:tcPr>
          <w:p w14:paraId="20D3FBA8" w14:textId="77777777" w:rsidR="006904CB" w:rsidRPr="00B84886" w:rsidRDefault="006904CB" w:rsidP="00143F07">
            <w:pPr>
              <w:spacing w:before="20" w:after="20" w:line="240" w:lineRule="auto"/>
              <w:jc w:val="center"/>
              <w:rPr>
                <w:rFonts w:cstheme="minorHAnsi"/>
                <w:b/>
                <w:bCs/>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hideMark/>
          </w:tcPr>
          <w:p w14:paraId="7F6A1FB0" w14:textId="77777777" w:rsidR="006904CB" w:rsidRPr="00B84886" w:rsidRDefault="006904CB" w:rsidP="00143F07">
            <w:pPr>
              <w:pStyle w:val="Tablehead"/>
              <w:rPr>
                <w:rFonts w:eastAsia="Batang" w:cs="Times New Roman"/>
                <w:sz w:val="16"/>
                <w:szCs w:val="16"/>
              </w:rPr>
            </w:pPr>
            <w:r w:rsidRPr="00B84886">
              <w:rPr>
                <w:rFonts w:eastAsia="Batang"/>
                <w:sz w:val="16"/>
                <w:szCs w:val="16"/>
              </w:rPr>
              <w:t>Type</w:t>
            </w:r>
          </w:p>
        </w:tc>
        <w:tc>
          <w:tcPr>
            <w:tcW w:w="567" w:type="dxa"/>
            <w:tcBorders>
              <w:top w:val="single" w:sz="4" w:space="0" w:color="auto"/>
              <w:left w:val="single" w:sz="4" w:space="0" w:color="auto"/>
              <w:bottom w:val="single" w:sz="4" w:space="0" w:color="auto"/>
              <w:right w:val="single" w:sz="4" w:space="0" w:color="auto"/>
            </w:tcBorders>
            <w:vAlign w:val="center"/>
          </w:tcPr>
          <w:p w14:paraId="254EA3F7" w14:textId="77777777" w:rsidR="006904CB" w:rsidRPr="00B84886" w:rsidRDefault="006904CB" w:rsidP="00143F07">
            <w:pPr>
              <w:pStyle w:val="Tablehead"/>
              <w:rPr>
                <w:rFonts w:eastAsia="Batang"/>
                <w:sz w:val="16"/>
                <w:szCs w:val="16"/>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4F50C7A" w14:textId="77777777" w:rsidR="006904CB" w:rsidRPr="00B84886" w:rsidRDefault="006904CB" w:rsidP="00143F07">
            <w:pPr>
              <w:pStyle w:val="Tablehead"/>
              <w:rPr>
                <w:rFonts w:eastAsia="Batang"/>
                <w:sz w:val="16"/>
                <w:szCs w:val="16"/>
              </w:rPr>
            </w:pPr>
            <w:r w:rsidRPr="00B84886">
              <w:rPr>
                <w:rFonts w:eastAsia="Batang"/>
                <w:sz w:val="16"/>
                <w:szCs w:val="16"/>
              </w:rPr>
              <w:t>Catégorie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7EC84AD" w14:textId="77777777" w:rsidR="006904CB" w:rsidRPr="00B84886" w:rsidRDefault="006904CB" w:rsidP="00143F07">
            <w:pPr>
              <w:pStyle w:val="Tablehead"/>
              <w:rPr>
                <w:rFonts w:eastAsia="Batang"/>
                <w:sz w:val="16"/>
                <w:szCs w:val="16"/>
              </w:rPr>
            </w:pPr>
            <w:r w:rsidRPr="00B84886">
              <w:rPr>
                <w:rFonts w:eastAsia="Batang"/>
                <w:sz w:val="16"/>
                <w:szCs w:val="16"/>
              </w:rPr>
              <w:t xml:space="preserve">Droit fixe par fiche de notification </w:t>
            </w:r>
            <w:r w:rsidRPr="00B84886">
              <w:rPr>
                <w:rFonts w:eastAsia="Batang"/>
                <w:sz w:val="16"/>
                <w:szCs w:val="16"/>
              </w:rPr>
              <w:br/>
              <w:t>(en CHF)</w:t>
            </w:r>
            <w:r w:rsidRPr="00B84886">
              <w:rPr>
                <w:rFonts w:eastAsia="Batang"/>
                <w:sz w:val="16"/>
                <w:szCs w:val="16"/>
              </w:rPr>
              <w:br/>
              <w:t>(</w:t>
            </w:r>
            <w:r w:rsidRPr="00B84886">
              <w:rPr>
                <w:rFonts w:eastAsia="Batang"/>
                <w:sz w:val="16"/>
                <w:szCs w:val="16"/>
              </w:rPr>
              <w:sym w:font="Symbol" w:char="F0B3"/>
            </w:r>
            <w:r w:rsidRPr="00B84886">
              <w:rPr>
                <w:rFonts w:eastAsia="Batang"/>
                <w:sz w:val="16"/>
                <w:szCs w:val="16"/>
              </w:rPr>
              <w:t xml:space="preserve"> 100 unités, le cas échéant)</w:t>
            </w:r>
            <w:r w:rsidRPr="00B84886">
              <w:rPr>
                <w:rFonts w:eastAsiaTheme="minorEastAsia"/>
                <w:sz w:val="16"/>
                <w:szCs w:val="16"/>
                <w:vertAlign w:val="superscript"/>
                <w:lang w:eastAsia="zh-CN"/>
              </w:rPr>
              <w:t>e)</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7AAD151" w14:textId="77777777" w:rsidR="006904CB" w:rsidRPr="00B84886" w:rsidRDefault="006904CB" w:rsidP="00143F07">
            <w:pPr>
              <w:pStyle w:val="Tablehead"/>
              <w:rPr>
                <w:rFonts w:eastAsia="Batang"/>
                <w:sz w:val="16"/>
                <w:szCs w:val="16"/>
              </w:rPr>
            </w:pPr>
            <w:r w:rsidRPr="00B84886">
              <w:rPr>
                <w:rFonts w:eastAsia="Batang"/>
                <w:sz w:val="16"/>
                <w:szCs w:val="16"/>
              </w:rPr>
              <w:t xml:space="preserve">Droit fixe par fiche de notification </w:t>
            </w:r>
            <w:r w:rsidRPr="00B84886">
              <w:rPr>
                <w:rFonts w:eastAsia="Batang"/>
                <w:sz w:val="16"/>
                <w:szCs w:val="16"/>
              </w:rPr>
              <w:br/>
              <w:t>(en CHF)</w:t>
            </w:r>
            <w:r w:rsidRPr="00B84886">
              <w:rPr>
                <w:rFonts w:eastAsia="Batang"/>
                <w:sz w:val="16"/>
                <w:szCs w:val="16"/>
              </w:rPr>
              <w:br/>
              <w:t>(&lt; 100 unités)</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2CDC8D" w14:textId="77777777" w:rsidR="006904CB" w:rsidRPr="00B84886" w:rsidRDefault="006904CB" w:rsidP="00143F07">
            <w:pPr>
              <w:pStyle w:val="Tablehead"/>
              <w:rPr>
                <w:rFonts w:eastAsia="Batang"/>
                <w:sz w:val="16"/>
                <w:szCs w:val="16"/>
              </w:rPr>
            </w:pPr>
            <w:r w:rsidRPr="00B84886">
              <w:rPr>
                <w:rFonts w:eastAsia="Batang"/>
                <w:sz w:val="16"/>
                <w:szCs w:val="16"/>
              </w:rPr>
              <w:t>Droit par unité</w:t>
            </w:r>
            <w:r w:rsidRPr="00B84886">
              <w:rPr>
                <w:rFonts w:eastAsia="Batang"/>
                <w:sz w:val="16"/>
                <w:szCs w:val="16"/>
              </w:rPr>
              <w:br/>
              <w:t>(en CHF)</w:t>
            </w:r>
            <w:r w:rsidRPr="00B84886">
              <w:rPr>
                <w:rFonts w:eastAsia="Batang"/>
                <w:sz w:val="16"/>
                <w:szCs w:val="16"/>
              </w:rPr>
              <w:br/>
              <w:t>(&lt; 100 unités)</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715FC0A" w14:textId="77777777" w:rsidR="006904CB" w:rsidRPr="00B84886" w:rsidRDefault="006904CB" w:rsidP="00143F07">
            <w:pPr>
              <w:pStyle w:val="Tablehead"/>
              <w:rPr>
                <w:rFonts w:eastAsia="Batang"/>
                <w:sz w:val="16"/>
                <w:szCs w:val="16"/>
              </w:rPr>
            </w:pPr>
            <w:r w:rsidRPr="00B84886">
              <w:rPr>
                <w:rFonts w:eastAsia="Batang"/>
                <w:sz w:val="16"/>
                <w:szCs w:val="16"/>
              </w:rPr>
              <w:t>Unité assujettie au recouvrement des coûts</w:t>
            </w:r>
          </w:p>
        </w:tc>
      </w:tr>
      <w:tr w:rsidR="006904CB" w:rsidRPr="00B84886" w14:paraId="2A5BC4CD" w14:textId="77777777" w:rsidTr="006904CB">
        <w:trPr>
          <w:jc w:val="center"/>
        </w:trPr>
        <w:tc>
          <w:tcPr>
            <w:tcW w:w="331" w:type="dxa"/>
            <w:tcBorders>
              <w:top w:val="single" w:sz="4" w:space="0" w:color="auto"/>
              <w:left w:val="single" w:sz="4" w:space="0" w:color="auto"/>
              <w:bottom w:val="single" w:sz="4" w:space="0" w:color="auto"/>
              <w:right w:val="single" w:sz="4" w:space="0" w:color="auto"/>
            </w:tcBorders>
            <w:vAlign w:val="center"/>
            <w:hideMark/>
          </w:tcPr>
          <w:p w14:paraId="339199D3" w14:textId="77777777" w:rsidR="006904CB" w:rsidRPr="00B84886" w:rsidRDefault="006904CB" w:rsidP="00143F07">
            <w:pPr>
              <w:pStyle w:val="Tabletext"/>
              <w:rPr>
                <w:rFonts w:eastAsia="Batang"/>
                <w:sz w:val="15"/>
                <w:szCs w:val="15"/>
              </w:rPr>
            </w:pPr>
            <w:r w:rsidRPr="00B84886">
              <w:rPr>
                <w:rFonts w:eastAsia="Batang"/>
                <w:sz w:val="15"/>
                <w:szCs w:val="15"/>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14:paraId="73C6F7B0" w14:textId="77777777" w:rsidR="006904CB" w:rsidRPr="00B84886" w:rsidRDefault="006904CB" w:rsidP="00143F07">
            <w:pPr>
              <w:pStyle w:val="Tabletext"/>
              <w:rPr>
                <w:rFonts w:eastAsia="Batang"/>
                <w:sz w:val="15"/>
                <w:szCs w:val="15"/>
              </w:rPr>
            </w:pPr>
            <w:r w:rsidRPr="00B84886">
              <w:rPr>
                <w:rFonts w:eastAsia="Batang"/>
                <w:sz w:val="15"/>
                <w:szCs w:val="15"/>
              </w:rPr>
              <w:t>Publication anticipée (A)</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318FD95" w14:textId="77777777" w:rsidR="006904CB" w:rsidRPr="00B84886" w:rsidRDefault="006904CB" w:rsidP="00143F07">
            <w:pPr>
              <w:pStyle w:val="Tabletext"/>
              <w:rPr>
                <w:rFonts w:eastAsia="Batang"/>
                <w:sz w:val="15"/>
                <w:szCs w:val="15"/>
              </w:rPr>
            </w:pPr>
            <w:r w:rsidRPr="00B84886">
              <w:rPr>
                <w:rFonts w:eastAsia="Batang"/>
                <w:sz w:val="15"/>
                <w:szCs w:val="15"/>
              </w:rPr>
              <w:t>A1</w:t>
            </w:r>
          </w:p>
        </w:tc>
        <w:tc>
          <w:tcPr>
            <w:tcW w:w="7761" w:type="dxa"/>
            <w:tcBorders>
              <w:top w:val="single" w:sz="4" w:space="0" w:color="auto"/>
              <w:left w:val="single" w:sz="4" w:space="0" w:color="auto"/>
              <w:bottom w:val="single" w:sz="4" w:space="0" w:color="auto"/>
              <w:right w:val="single" w:sz="4" w:space="0" w:color="auto"/>
            </w:tcBorders>
            <w:vAlign w:val="center"/>
            <w:hideMark/>
          </w:tcPr>
          <w:p w14:paraId="60C508E1" w14:textId="019815C8" w:rsidR="006904CB" w:rsidRPr="00B84886" w:rsidRDefault="006904CB" w:rsidP="00143F07">
            <w:pPr>
              <w:pStyle w:val="Tabletext"/>
              <w:rPr>
                <w:rFonts w:eastAsia="Batang"/>
                <w:sz w:val="15"/>
                <w:szCs w:val="15"/>
              </w:rPr>
            </w:pPr>
            <w:r w:rsidRPr="00B84886">
              <w:rPr>
                <w:rFonts w:eastAsia="Batang"/>
                <w:sz w:val="15"/>
                <w:szCs w:val="15"/>
              </w:rPr>
              <w:t xml:space="preserve">Publication anticipée d'un réseau à satellite non géostationnaire non soumis à la procédure de coordination au titre de la Section </w:t>
            </w:r>
            <w:r w:rsidRPr="00B84886">
              <w:rPr>
                <w:rFonts w:eastAsia="Batang"/>
                <w:b/>
                <w:bCs/>
                <w:sz w:val="15"/>
                <w:szCs w:val="15"/>
              </w:rPr>
              <w:t>II</w:t>
            </w:r>
            <w:r w:rsidRPr="00B84886">
              <w:rPr>
                <w:rFonts w:eastAsia="Batang"/>
                <w:sz w:val="15"/>
                <w:szCs w:val="15"/>
              </w:rPr>
              <w:t xml:space="preserve"> de l'Article </w:t>
            </w:r>
            <w:r w:rsidRPr="00B84886">
              <w:rPr>
                <w:rFonts w:eastAsia="Batang"/>
                <w:b/>
                <w:bCs/>
                <w:sz w:val="15"/>
                <w:szCs w:val="15"/>
              </w:rPr>
              <w:t>9</w:t>
            </w:r>
            <w:r w:rsidRPr="00B84886">
              <w:rPr>
                <w:rFonts w:eastAsia="Batang"/>
                <w:sz w:val="15"/>
                <w:szCs w:val="15"/>
              </w:rPr>
              <w:t xml:space="preserve">; publication anticipée des liaisons inter-satellites d'une station spatiale d'un satellite géostationnaire communiquant avec une station spatiale d'un satellite non géostationnaire provisoirement non assujettie à la coordination au titre de la Section </w:t>
            </w:r>
            <w:r w:rsidRPr="00B84886">
              <w:rPr>
                <w:rFonts w:eastAsia="Batang"/>
                <w:b/>
                <w:bCs/>
                <w:sz w:val="15"/>
                <w:szCs w:val="15"/>
              </w:rPr>
              <w:t>II</w:t>
            </w:r>
            <w:r w:rsidRPr="00B84886">
              <w:rPr>
                <w:rFonts w:eastAsia="Batang"/>
                <w:sz w:val="15"/>
                <w:szCs w:val="15"/>
              </w:rPr>
              <w:t xml:space="preserve"> de l'Article </w:t>
            </w:r>
            <w:r w:rsidRPr="00B84886">
              <w:rPr>
                <w:rFonts w:eastAsia="Batang"/>
                <w:b/>
                <w:bCs/>
                <w:sz w:val="15"/>
                <w:szCs w:val="15"/>
              </w:rPr>
              <w:t>9</w:t>
            </w:r>
            <w:r w:rsidRPr="00B84886">
              <w:rPr>
                <w:rFonts w:eastAsia="Batang"/>
                <w:sz w:val="15"/>
                <w:szCs w:val="15"/>
              </w:rPr>
              <w:t xml:space="preserve"> conformément à la Règle de procédure relative au numéro </w:t>
            </w:r>
            <w:r w:rsidRPr="00B84886">
              <w:rPr>
                <w:rFonts w:eastAsia="Batang"/>
                <w:b/>
                <w:bCs/>
                <w:sz w:val="15"/>
                <w:szCs w:val="15"/>
              </w:rPr>
              <w:t>11.32</w:t>
            </w:r>
            <w:r w:rsidRPr="00B84886">
              <w:rPr>
                <w:rFonts w:eastAsia="Batang"/>
                <w:sz w:val="15"/>
                <w:szCs w:val="15"/>
              </w:rPr>
              <w:t>, § 6 (MOD du RRB04/35).</w:t>
            </w:r>
          </w:p>
          <w:p w14:paraId="01F29215" w14:textId="77777777" w:rsidR="006904CB" w:rsidRPr="00B84886" w:rsidRDefault="006904CB" w:rsidP="00143F07">
            <w:pPr>
              <w:pStyle w:val="Tabletext"/>
              <w:rPr>
                <w:rFonts w:eastAsia="Batang"/>
                <w:sz w:val="15"/>
                <w:szCs w:val="15"/>
              </w:rPr>
            </w:pPr>
            <w:r w:rsidRPr="00B84886">
              <w:rPr>
                <w:rFonts w:eastAsia="Batang"/>
                <w:sz w:val="15"/>
                <w:szCs w:val="15"/>
              </w:rPr>
              <w:t xml:space="preserve">NOTE – La publication anticipée comprend également l'application du numéro </w:t>
            </w:r>
            <w:r w:rsidRPr="00B84886">
              <w:rPr>
                <w:rFonts w:eastAsia="Batang"/>
                <w:b/>
                <w:bCs/>
                <w:sz w:val="15"/>
                <w:szCs w:val="15"/>
              </w:rPr>
              <w:t>9.5</w:t>
            </w:r>
            <w:r w:rsidRPr="00B84886">
              <w:rPr>
                <w:rFonts w:eastAsia="Batang"/>
                <w:sz w:val="15"/>
                <w:szCs w:val="15"/>
              </w:rPr>
              <w:t xml:space="preserve"> (Section spéciale API/B) et ne sera pas facturée séparément.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51DAEA26" w14:textId="77777777" w:rsidR="006904CB" w:rsidRPr="00B84886" w:rsidRDefault="006904CB" w:rsidP="00143F07">
            <w:pPr>
              <w:pStyle w:val="Tabletext"/>
              <w:jc w:val="center"/>
              <w:rPr>
                <w:rFonts w:eastAsia="Batang"/>
                <w:sz w:val="15"/>
                <w:szCs w:val="15"/>
              </w:rPr>
            </w:pPr>
            <w:r w:rsidRPr="00B84886">
              <w:rPr>
                <w:rFonts w:eastAsia="Batang"/>
                <w:sz w:val="15"/>
                <w:szCs w:val="15"/>
              </w:rPr>
              <w:t>570</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56558853" w14:textId="77777777" w:rsidR="006904CB" w:rsidRPr="00B84886" w:rsidRDefault="006904CB" w:rsidP="00143F07">
            <w:pPr>
              <w:pStyle w:val="Tabletext"/>
              <w:jc w:val="center"/>
              <w:rPr>
                <w:rFonts w:eastAsia="Batang"/>
                <w:sz w:val="15"/>
                <w:szCs w:val="15"/>
              </w:rPr>
            </w:pPr>
            <w:r w:rsidRPr="00B84886">
              <w:rPr>
                <w:rFonts w:eastAsia="Batang"/>
                <w:sz w:val="15"/>
                <w:szCs w:val="15"/>
              </w:rPr>
              <w:t>Sans objet</w:t>
            </w:r>
          </w:p>
        </w:tc>
      </w:tr>
      <w:tr w:rsidR="006904CB" w:rsidRPr="00B84886" w14:paraId="35ADE191" w14:textId="77777777" w:rsidTr="006904CB">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14:paraId="1D99AE7D" w14:textId="77777777" w:rsidR="006904CB" w:rsidRPr="00B84886" w:rsidRDefault="006904CB" w:rsidP="00143F07">
            <w:pPr>
              <w:pStyle w:val="Tabletext"/>
              <w:rPr>
                <w:rFonts w:eastAsia="Batang"/>
                <w:sz w:val="15"/>
                <w:szCs w:val="15"/>
              </w:rPr>
            </w:pPr>
            <w:r w:rsidRPr="00B84886">
              <w:rPr>
                <w:rFonts w:eastAsia="Batang"/>
                <w:sz w:val="15"/>
                <w:szCs w:val="15"/>
              </w:rPr>
              <w:t>2</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14:paraId="2BC7A5DD" w14:textId="77777777" w:rsidR="006904CB" w:rsidRPr="00B84886" w:rsidRDefault="006904CB" w:rsidP="00143F07">
            <w:pPr>
              <w:pStyle w:val="Tabletext"/>
              <w:rPr>
                <w:rFonts w:eastAsia="Batang"/>
                <w:sz w:val="15"/>
                <w:szCs w:val="15"/>
              </w:rPr>
            </w:pPr>
            <w:r w:rsidRPr="00B84886">
              <w:rPr>
                <w:rFonts w:eastAsia="Batang"/>
                <w:sz w:val="15"/>
                <w:szCs w:val="15"/>
              </w:rPr>
              <w:t>Coordination (C)</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532C875" w14:textId="77777777" w:rsidR="006904CB" w:rsidRPr="00B84886" w:rsidRDefault="006904CB" w:rsidP="00143F07">
            <w:pPr>
              <w:pStyle w:val="Tabletext"/>
              <w:rPr>
                <w:rFonts w:eastAsia="Batang"/>
                <w:sz w:val="15"/>
                <w:szCs w:val="15"/>
              </w:rPr>
            </w:pPr>
            <w:r w:rsidRPr="00B84886">
              <w:rPr>
                <w:rFonts w:eastAsia="Batang"/>
                <w:sz w:val="15"/>
                <w:szCs w:val="15"/>
              </w:rPr>
              <w:t>C1*</w:t>
            </w:r>
          </w:p>
        </w:tc>
        <w:tc>
          <w:tcPr>
            <w:tcW w:w="7761" w:type="dxa"/>
            <w:vMerge w:val="restart"/>
            <w:tcBorders>
              <w:top w:val="single" w:sz="4" w:space="0" w:color="auto"/>
              <w:left w:val="single" w:sz="4" w:space="0" w:color="auto"/>
              <w:bottom w:val="single" w:sz="4" w:space="0" w:color="auto"/>
              <w:right w:val="single" w:sz="4" w:space="0" w:color="auto"/>
            </w:tcBorders>
            <w:vAlign w:val="center"/>
            <w:hideMark/>
          </w:tcPr>
          <w:p w14:paraId="2840FAAF" w14:textId="54F09983" w:rsidR="006904CB" w:rsidRPr="00B84886" w:rsidRDefault="006904CB" w:rsidP="00143F07">
            <w:pPr>
              <w:pStyle w:val="Tabletext"/>
              <w:rPr>
                <w:rFonts w:eastAsia="Batang"/>
                <w:sz w:val="15"/>
                <w:szCs w:val="15"/>
              </w:rPr>
            </w:pPr>
            <w:r w:rsidRPr="00B84886">
              <w:rPr>
                <w:rFonts w:eastAsia="Batang"/>
                <w:sz w:val="15"/>
                <w:szCs w:val="15"/>
              </w:rPr>
              <w:t xml:space="preserve">Demande de coordination pour un réseau à satellite conformément au numéro </w:t>
            </w:r>
            <w:r w:rsidRPr="00B84886">
              <w:rPr>
                <w:rFonts w:eastAsia="Batang"/>
                <w:b/>
                <w:bCs/>
                <w:sz w:val="15"/>
                <w:szCs w:val="15"/>
              </w:rPr>
              <w:t>9.6</w:t>
            </w:r>
            <w:r w:rsidRPr="00B84886">
              <w:rPr>
                <w:rFonts w:eastAsia="Batang"/>
                <w:sz w:val="15"/>
                <w:szCs w:val="15"/>
              </w:rPr>
              <w:t xml:space="preserve"> et à un ou plusieurs des numéros suivants: </w:t>
            </w:r>
            <w:r w:rsidRPr="00B84886">
              <w:rPr>
                <w:rFonts w:eastAsia="Batang"/>
                <w:b/>
                <w:bCs/>
                <w:sz w:val="15"/>
                <w:szCs w:val="15"/>
              </w:rPr>
              <w:t>9.7</w:t>
            </w:r>
            <w:r w:rsidRPr="00B84886">
              <w:rPr>
                <w:rFonts w:eastAsia="Batang"/>
                <w:sz w:val="15"/>
                <w:szCs w:val="15"/>
              </w:rPr>
              <w:t xml:space="preserve">, </w:t>
            </w:r>
            <w:r w:rsidRPr="00B84886">
              <w:rPr>
                <w:rFonts w:eastAsia="Batang"/>
                <w:b/>
                <w:bCs/>
                <w:sz w:val="15"/>
                <w:szCs w:val="15"/>
              </w:rPr>
              <w:t>9.7A</w:t>
            </w:r>
            <w:r w:rsidRPr="00B84886">
              <w:rPr>
                <w:rFonts w:eastAsia="Batang"/>
                <w:sz w:val="15"/>
                <w:szCs w:val="15"/>
              </w:rPr>
              <w:t xml:space="preserve">, </w:t>
            </w:r>
            <w:r w:rsidRPr="00B84886">
              <w:rPr>
                <w:rFonts w:eastAsia="Batang"/>
                <w:b/>
                <w:bCs/>
                <w:sz w:val="15"/>
                <w:szCs w:val="15"/>
              </w:rPr>
              <w:t>9.7B</w:t>
            </w:r>
            <w:r w:rsidRPr="00B84886">
              <w:rPr>
                <w:rFonts w:eastAsia="Batang"/>
                <w:sz w:val="15"/>
                <w:szCs w:val="15"/>
              </w:rPr>
              <w:t xml:space="preserve">, </w:t>
            </w:r>
            <w:r w:rsidRPr="00B84886">
              <w:rPr>
                <w:rFonts w:eastAsia="Batang"/>
                <w:b/>
                <w:bCs/>
                <w:sz w:val="15"/>
                <w:szCs w:val="15"/>
              </w:rPr>
              <w:t>9.11</w:t>
            </w:r>
            <w:r w:rsidRPr="00B84886">
              <w:rPr>
                <w:rFonts w:eastAsia="Batang"/>
                <w:sz w:val="15"/>
                <w:szCs w:val="15"/>
              </w:rPr>
              <w:t xml:space="preserve">, </w:t>
            </w:r>
            <w:r w:rsidRPr="00B84886">
              <w:rPr>
                <w:rFonts w:eastAsia="Batang"/>
                <w:b/>
                <w:bCs/>
                <w:sz w:val="15"/>
                <w:szCs w:val="15"/>
              </w:rPr>
              <w:t>9.11A</w:t>
            </w:r>
            <w:r w:rsidRPr="00B84886">
              <w:rPr>
                <w:rFonts w:eastAsia="Batang"/>
                <w:sz w:val="15"/>
                <w:szCs w:val="15"/>
              </w:rPr>
              <w:t xml:space="preserve">, </w:t>
            </w:r>
            <w:r w:rsidRPr="00B84886">
              <w:rPr>
                <w:rFonts w:eastAsia="Batang"/>
                <w:b/>
                <w:bCs/>
                <w:sz w:val="15"/>
                <w:szCs w:val="15"/>
              </w:rPr>
              <w:t>9.12</w:t>
            </w:r>
            <w:r w:rsidRPr="00B84886">
              <w:rPr>
                <w:rFonts w:eastAsia="Batang"/>
                <w:sz w:val="15"/>
                <w:szCs w:val="15"/>
              </w:rPr>
              <w:t xml:space="preserve">, </w:t>
            </w:r>
            <w:r w:rsidRPr="00B84886">
              <w:rPr>
                <w:rFonts w:eastAsia="Batang"/>
                <w:b/>
                <w:bCs/>
                <w:sz w:val="15"/>
                <w:szCs w:val="15"/>
              </w:rPr>
              <w:t>9.12A</w:t>
            </w:r>
            <w:r w:rsidRPr="00B84886">
              <w:rPr>
                <w:rFonts w:eastAsia="Batang"/>
                <w:sz w:val="15"/>
                <w:szCs w:val="15"/>
              </w:rPr>
              <w:t xml:space="preserve">, </w:t>
            </w:r>
            <w:r w:rsidRPr="00B84886">
              <w:rPr>
                <w:rFonts w:eastAsia="Batang"/>
                <w:b/>
                <w:bCs/>
                <w:sz w:val="15"/>
                <w:szCs w:val="15"/>
              </w:rPr>
              <w:t>9.13</w:t>
            </w:r>
            <w:r w:rsidRPr="00B84886">
              <w:rPr>
                <w:rFonts w:eastAsia="Batang"/>
                <w:sz w:val="15"/>
                <w:szCs w:val="15"/>
              </w:rPr>
              <w:t xml:space="preserve">, </w:t>
            </w:r>
            <w:r w:rsidRPr="00B84886">
              <w:rPr>
                <w:rFonts w:eastAsia="Batang"/>
                <w:b/>
                <w:bCs/>
                <w:sz w:val="15"/>
                <w:szCs w:val="15"/>
              </w:rPr>
              <w:t>9.14</w:t>
            </w:r>
            <w:r w:rsidRPr="00B84886">
              <w:rPr>
                <w:rFonts w:eastAsia="Batang"/>
                <w:sz w:val="15"/>
                <w:szCs w:val="15"/>
              </w:rPr>
              <w:t xml:space="preserve"> et </w:t>
            </w:r>
            <w:r w:rsidRPr="00B84886">
              <w:rPr>
                <w:rFonts w:eastAsia="Batang"/>
                <w:b/>
                <w:bCs/>
                <w:sz w:val="15"/>
                <w:szCs w:val="15"/>
              </w:rPr>
              <w:t>9.21</w:t>
            </w:r>
            <w:r w:rsidRPr="00B84886">
              <w:rPr>
                <w:rFonts w:eastAsia="Batang"/>
                <w:sz w:val="15"/>
                <w:szCs w:val="15"/>
              </w:rPr>
              <w:t xml:space="preserve"> de la Section </w:t>
            </w:r>
            <w:r w:rsidRPr="00B84886">
              <w:rPr>
                <w:rFonts w:eastAsia="Batang"/>
                <w:b/>
                <w:bCs/>
                <w:sz w:val="15"/>
                <w:szCs w:val="15"/>
              </w:rPr>
              <w:t>II</w:t>
            </w:r>
            <w:r w:rsidRPr="00B84886">
              <w:rPr>
                <w:rFonts w:eastAsia="Batang"/>
                <w:sz w:val="15"/>
                <w:szCs w:val="15"/>
              </w:rPr>
              <w:t xml:space="preserve"> de l'Article </w:t>
            </w:r>
            <w:r w:rsidRPr="00B84886">
              <w:rPr>
                <w:rFonts w:eastAsia="Batang"/>
                <w:b/>
                <w:bCs/>
                <w:sz w:val="15"/>
                <w:szCs w:val="15"/>
              </w:rPr>
              <w:t>9</w:t>
            </w:r>
            <w:r w:rsidRPr="00B84886">
              <w:rPr>
                <w:rFonts w:eastAsia="Batang"/>
                <w:sz w:val="15"/>
                <w:szCs w:val="15"/>
              </w:rPr>
              <w:t xml:space="preserve">, § 7.1 de l'Article </w:t>
            </w:r>
            <w:r w:rsidRPr="00B84886">
              <w:rPr>
                <w:rFonts w:eastAsia="Batang"/>
                <w:b/>
                <w:bCs/>
                <w:sz w:val="15"/>
                <w:szCs w:val="15"/>
              </w:rPr>
              <w:t>7</w:t>
            </w:r>
            <w:r w:rsidRPr="00B84886">
              <w:rPr>
                <w:rFonts w:eastAsia="Batang"/>
                <w:sz w:val="15"/>
                <w:szCs w:val="15"/>
              </w:rPr>
              <w:t xml:space="preserve"> de l'Appendice </w:t>
            </w:r>
            <w:r w:rsidRPr="00B84886">
              <w:rPr>
                <w:rFonts w:eastAsia="Batang"/>
                <w:b/>
                <w:bCs/>
                <w:sz w:val="15"/>
                <w:szCs w:val="15"/>
              </w:rPr>
              <w:t>30</w:t>
            </w:r>
            <w:r w:rsidRPr="00B84886">
              <w:rPr>
                <w:rFonts w:eastAsia="Batang"/>
                <w:sz w:val="15"/>
                <w:szCs w:val="15"/>
              </w:rPr>
              <w:t xml:space="preserve">, § </w:t>
            </w:r>
            <w:r w:rsidRPr="00B84886">
              <w:rPr>
                <w:rFonts w:eastAsia="Batang"/>
                <w:b/>
                <w:bCs/>
                <w:sz w:val="15"/>
                <w:szCs w:val="15"/>
              </w:rPr>
              <w:t>7.1</w:t>
            </w:r>
            <w:r w:rsidRPr="00B84886">
              <w:rPr>
                <w:rFonts w:eastAsia="Batang"/>
                <w:sz w:val="15"/>
                <w:szCs w:val="15"/>
              </w:rPr>
              <w:t xml:space="preserve"> de l'Article </w:t>
            </w:r>
            <w:r w:rsidRPr="00B84886">
              <w:rPr>
                <w:rFonts w:eastAsia="Batang"/>
                <w:b/>
                <w:bCs/>
                <w:sz w:val="15"/>
                <w:szCs w:val="15"/>
              </w:rPr>
              <w:t xml:space="preserve">7 </w:t>
            </w:r>
            <w:r w:rsidRPr="00B84886">
              <w:rPr>
                <w:rFonts w:eastAsia="Batang"/>
                <w:sz w:val="15"/>
                <w:szCs w:val="15"/>
              </w:rPr>
              <w:t xml:space="preserve">de l'Appendice </w:t>
            </w:r>
            <w:r w:rsidRPr="00B84886">
              <w:rPr>
                <w:rFonts w:eastAsia="Batang"/>
                <w:b/>
                <w:bCs/>
                <w:sz w:val="15"/>
                <w:szCs w:val="15"/>
              </w:rPr>
              <w:t>30A</w:t>
            </w:r>
            <w:r w:rsidRPr="00B84886">
              <w:rPr>
                <w:rFonts w:eastAsia="Batang"/>
                <w:sz w:val="15"/>
                <w:szCs w:val="15"/>
              </w:rPr>
              <w:t xml:space="preserve"> et Résolution </w:t>
            </w:r>
            <w:r w:rsidRPr="00B84886">
              <w:rPr>
                <w:rFonts w:eastAsia="Batang"/>
                <w:b/>
                <w:bCs/>
                <w:sz w:val="15"/>
                <w:szCs w:val="15"/>
              </w:rPr>
              <w:t>539</w:t>
            </w:r>
            <w:r w:rsidRPr="00B84886">
              <w:rPr>
                <w:rFonts w:eastAsia="Batang"/>
                <w:sz w:val="15"/>
                <w:szCs w:val="15"/>
              </w:rPr>
              <w:t xml:space="preserve"> (Rév.CMR-19).</w:t>
            </w:r>
          </w:p>
          <w:p w14:paraId="5FDDDEAB" w14:textId="77777777" w:rsidR="006904CB" w:rsidRPr="00B84886" w:rsidRDefault="006904CB" w:rsidP="00143F07">
            <w:pPr>
              <w:pStyle w:val="Tabletext"/>
              <w:rPr>
                <w:rFonts w:eastAsia="Batang"/>
                <w:sz w:val="15"/>
                <w:szCs w:val="15"/>
              </w:rPr>
            </w:pPr>
            <w:r w:rsidRPr="00B84886">
              <w:rPr>
                <w:rFonts w:eastAsia="Batang"/>
                <w:sz w:val="15"/>
                <w:szCs w:val="15"/>
              </w:rPr>
              <w:t xml:space="preserve">NOTE – La coordination comprend également l'application des numéros </w:t>
            </w:r>
            <w:r w:rsidRPr="00B84886">
              <w:rPr>
                <w:rFonts w:eastAsia="Batang"/>
                <w:b/>
                <w:bCs/>
                <w:sz w:val="15"/>
                <w:szCs w:val="15"/>
              </w:rPr>
              <w:t>9.1A</w:t>
            </w:r>
            <w:r w:rsidRPr="00B84886">
              <w:rPr>
                <w:rFonts w:eastAsia="Batang"/>
                <w:sz w:val="15"/>
                <w:szCs w:val="15"/>
              </w:rPr>
              <w:t xml:space="preserve">, </w:t>
            </w:r>
            <w:r w:rsidRPr="00B84886">
              <w:rPr>
                <w:rFonts w:eastAsia="Batang"/>
                <w:b/>
                <w:bCs/>
                <w:sz w:val="15"/>
                <w:szCs w:val="15"/>
              </w:rPr>
              <w:t>9.53A</w:t>
            </w:r>
            <w:r w:rsidRPr="00B84886">
              <w:rPr>
                <w:rFonts w:eastAsia="Batang"/>
                <w:sz w:val="15"/>
                <w:szCs w:val="15"/>
              </w:rPr>
              <w:t xml:space="preserve"> (Section spéciale CR/D) et des numéros </w:t>
            </w:r>
            <w:r w:rsidRPr="00B84886">
              <w:rPr>
                <w:rFonts w:eastAsia="Batang"/>
                <w:b/>
                <w:bCs/>
                <w:sz w:val="15"/>
                <w:szCs w:val="15"/>
              </w:rPr>
              <w:t>9.41</w:t>
            </w:r>
            <w:r w:rsidRPr="00B84886">
              <w:rPr>
                <w:rFonts w:eastAsia="Batang"/>
                <w:sz w:val="15"/>
                <w:szCs w:val="15"/>
              </w:rPr>
              <w:t>/</w:t>
            </w:r>
            <w:r w:rsidRPr="00B84886">
              <w:rPr>
                <w:rFonts w:eastAsia="Batang"/>
                <w:b/>
                <w:bCs/>
                <w:sz w:val="15"/>
                <w:szCs w:val="15"/>
              </w:rPr>
              <w:t>9.42</w:t>
            </w:r>
            <w:r w:rsidRPr="00B84886">
              <w:rPr>
                <w:rFonts w:eastAsia="Batang"/>
                <w:sz w:val="15"/>
                <w:szCs w:val="15"/>
              </w:rPr>
              <w:t xml:space="preserve"> et ne sera pas facturée séparément.</w:t>
            </w:r>
          </w:p>
          <w:p w14:paraId="5DB430D1" w14:textId="77777777" w:rsidR="006904CB" w:rsidRPr="00B84886" w:rsidRDefault="006904CB" w:rsidP="00143F07">
            <w:pPr>
              <w:pStyle w:val="Tabletext"/>
              <w:rPr>
                <w:rFonts w:eastAsia="Batang"/>
                <w:sz w:val="15"/>
                <w:szCs w:val="15"/>
              </w:rPr>
            </w:pPr>
            <w:r w:rsidRPr="00B84886">
              <w:rPr>
                <w:rFonts w:eastAsia="Batang"/>
                <w:sz w:val="15"/>
                <w:szCs w:val="15"/>
              </w:rPr>
              <w:t>NOTE – En ce qui concerne les demandes de coordination relatives à un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4C1B4F0" w14:textId="77777777" w:rsidR="006904CB" w:rsidRPr="00B84886" w:rsidRDefault="006904CB" w:rsidP="00143F07">
            <w:pPr>
              <w:pStyle w:val="Tabletext"/>
              <w:jc w:val="center"/>
              <w:rPr>
                <w:rFonts w:eastAsia="Batang"/>
                <w:sz w:val="15"/>
                <w:szCs w:val="15"/>
              </w:rPr>
            </w:pPr>
            <w:r w:rsidRPr="00B84886">
              <w:rPr>
                <w:rFonts w:eastAsia="Batang"/>
                <w:sz w:val="15"/>
                <w:szCs w:val="15"/>
              </w:rPr>
              <w:t>20 560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647546B" w14:textId="77777777" w:rsidR="006904CB" w:rsidRPr="00B84886" w:rsidRDefault="006904CB" w:rsidP="00143F07">
            <w:pPr>
              <w:pStyle w:val="Tabletext"/>
              <w:jc w:val="center"/>
              <w:rPr>
                <w:rFonts w:eastAsia="Batang"/>
                <w:sz w:val="15"/>
                <w:szCs w:val="15"/>
              </w:rPr>
            </w:pPr>
            <w:r w:rsidRPr="00B84886">
              <w:rPr>
                <w:rFonts w:eastAsia="Batang"/>
                <w:sz w:val="15"/>
                <w:szCs w:val="15"/>
              </w:rPr>
              <w:t>5 560</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297E8907" w14:textId="77777777" w:rsidR="006904CB" w:rsidRPr="00B84886" w:rsidRDefault="006904CB" w:rsidP="00143F07">
            <w:pPr>
              <w:pStyle w:val="Tabletext"/>
              <w:jc w:val="center"/>
              <w:rPr>
                <w:rFonts w:eastAsia="Batang"/>
                <w:sz w:val="15"/>
                <w:szCs w:val="15"/>
              </w:rPr>
            </w:pPr>
            <w:r w:rsidRPr="00B84886">
              <w:rPr>
                <w:rFonts w:eastAsia="Batang"/>
                <w:sz w:val="15"/>
                <w:szCs w:val="15"/>
              </w:rPr>
              <w:t>150</w:t>
            </w:r>
          </w:p>
        </w:tc>
        <w:tc>
          <w:tcPr>
            <w:tcW w:w="1370"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65BAAA1" w14:textId="77777777" w:rsidR="006904CB" w:rsidRPr="00B84886" w:rsidRDefault="006904CB" w:rsidP="00143F07">
            <w:pPr>
              <w:pStyle w:val="Tabletext"/>
              <w:jc w:val="center"/>
              <w:rPr>
                <w:rFonts w:eastAsia="Batang"/>
                <w:sz w:val="15"/>
                <w:szCs w:val="15"/>
              </w:rPr>
            </w:pPr>
            <w:r w:rsidRPr="00B84886">
              <w:rPr>
                <w:rFonts w:eastAsia="Batang"/>
                <w:sz w:val="15"/>
                <w:szCs w:val="15"/>
              </w:rPr>
              <w:t>Produit du nombre d'assignations de fréquence, du nombre de classes de station et du nombre d'émissions, pour tous les groupes d'assignations de fréquence</w:t>
            </w:r>
          </w:p>
        </w:tc>
      </w:tr>
      <w:tr w:rsidR="006904CB" w:rsidRPr="00B84886" w14:paraId="7C7F64E0"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6AB353E9"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7CA7027C"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E173E04" w14:textId="77777777" w:rsidR="006904CB" w:rsidRPr="00B84886" w:rsidRDefault="006904CB" w:rsidP="00143F07">
            <w:pPr>
              <w:pStyle w:val="Tabletext"/>
              <w:rPr>
                <w:rFonts w:eastAsia="Batang"/>
                <w:sz w:val="15"/>
                <w:szCs w:val="15"/>
              </w:rPr>
            </w:pPr>
            <w:r w:rsidRPr="00B84886">
              <w:rPr>
                <w:rFonts w:eastAsia="Batang"/>
                <w:sz w:val="15"/>
                <w:szCs w:val="15"/>
              </w:rPr>
              <w:t>C2*</w:t>
            </w:r>
          </w:p>
        </w:tc>
        <w:tc>
          <w:tcPr>
            <w:tcW w:w="7761" w:type="dxa"/>
            <w:vMerge/>
            <w:tcBorders>
              <w:top w:val="single" w:sz="4" w:space="0" w:color="auto"/>
              <w:left w:val="single" w:sz="4" w:space="0" w:color="auto"/>
              <w:bottom w:val="single" w:sz="4" w:space="0" w:color="auto"/>
              <w:right w:val="single" w:sz="4" w:space="0" w:color="auto"/>
            </w:tcBorders>
            <w:vAlign w:val="center"/>
            <w:hideMark/>
          </w:tcPr>
          <w:p w14:paraId="4CB2F9BE"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0923C325" w14:textId="77777777" w:rsidR="006904CB" w:rsidRPr="00B84886" w:rsidRDefault="006904CB" w:rsidP="00143F07">
            <w:pPr>
              <w:pStyle w:val="Tabletext"/>
              <w:jc w:val="center"/>
              <w:rPr>
                <w:rFonts w:eastAsia="Batang"/>
                <w:sz w:val="15"/>
                <w:szCs w:val="15"/>
              </w:rPr>
            </w:pPr>
            <w:r w:rsidRPr="00B84886">
              <w:rPr>
                <w:rFonts w:eastAsia="Batang"/>
                <w:sz w:val="15"/>
                <w:szCs w:val="15"/>
              </w:rPr>
              <w:t>24 620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C02231B" w14:textId="77777777" w:rsidR="006904CB" w:rsidRPr="00B84886" w:rsidRDefault="006904CB" w:rsidP="00143F07">
            <w:pPr>
              <w:pStyle w:val="Tabletext"/>
              <w:jc w:val="center"/>
              <w:rPr>
                <w:rFonts w:eastAsia="Batang"/>
                <w:sz w:val="15"/>
                <w:szCs w:val="15"/>
              </w:rPr>
            </w:pPr>
            <w:r w:rsidRPr="00B84886">
              <w:rPr>
                <w:rFonts w:eastAsia="Batang"/>
                <w:sz w:val="15"/>
                <w:szCs w:val="15"/>
              </w:rPr>
              <w:t>9 620</w:t>
            </w: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39099348"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3F640E25"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63A0F8F9"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3E4DD17F"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4A6AD32C"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F34173F" w14:textId="77777777" w:rsidR="006904CB" w:rsidRPr="00B84886" w:rsidRDefault="006904CB" w:rsidP="00143F07">
            <w:pPr>
              <w:pStyle w:val="Tabletext"/>
              <w:rPr>
                <w:rFonts w:eastAsia="Batang"/>
                <w:sz w:val="15"/>
                <w:szCs w:val="15"/>
              </w:rPr>
            </w:pPr>
            <w:r w:rsidRPr="00B84886">
              <w:rPr>
                <w:rFonts w:eastAsia="Batang"/>
                <w:sz w:val="15"/>
                <w:szCs w:val="15"/>
              </w:rPr>
              <w:t>C3*</w:t>
            </w:r>
          </w:p>
        </w:tc>
        <w:tc>
          <w:tcPr>
            <w:tcW w:w="7761" w:type="dxa"/>
            <w:vMerge/>
            <w:tcBorders>
              <w:top w:val="single" w:sz="4" w:space="0" w:color="auto"/>
              <w:left w:val="single" w:sz="4" w:space="0" w:color="auto"/>
              <w:bottom w:val="single" w:sz="4" w:space="0" w:color="auto"/>
              <w:right w:val="single" w:sz="4" w:space="0" w:color="auto"/>
            </w:tcBorders>
            <w:vAlign w:val="center"/>
            <w:hideMark/>
          </w:tcPr>
          <w:p w14:paraId="0C6CCB0B"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44B621EA" w14:textId="77777777" w:rsidR="006904CB" w:rsidRPr="00B84886" w:rsidRDefault="006904CB" w:rsidP="00143F07">
            <w:pPr>
              <w:pStyle w:val="Tabletext"/>
              <w:jc w:val="center"/>
              <w:rPr>
                <w:rFonts w:eastAsia="Batang"/>
                <w:sz w:val="15"/>
                <w:szCs w:val="15"/>
              </w:rPr>
            </w:pPr>
            <w:r w:rsidRPr="00B84886">
              <w:rPr>
                <w:rFonts w:eastAsia="Batang"/>
                <w:sz w:val="15"/>
                <w:szCs w:val="15"/>
              </w:rPr>
              <w:t>33 467</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A3FDB56" w14:textId="77777777" w:rsidR="006904CB" w:rsidRPr="00B84886" w:rsidRDefault="006904CB" w:rsidP="00143F07">
            <w:pPr>
              <w:pStyle w:val="Tabletext"/>
              <w:jc w:val="center"/>
              <w:rPr>
                <w:rFonts w:eastAsia="Batang"/>
                <w:sz w:val="15"/>
                <w:szCs w:val="15"/>
              </w:rPr>
            </w:pPr>
            <w:r w:rsidRPr="00B84886">
              <w:rPr>
                <w:rFonts w:eastAsia="Batang"/>
                <w:sz w:val="15"/>
                <w:szCs w:val="15"/>
              </w:rPr>
              <w:t>18 467</w:t>
            </w: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1ECE371B"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6824B783"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2BB77A09" w14:textId="77777777" w:rsidTr="006904CB">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14:paraId="317C673D" w14:textId="77777777" w:rsidR="006904CB" w:rsidRPr="00B84886" w:rsidRDefault="006904CB" w:rsidP="00143F07">
            <w:pPr>
              <w:pStyle w:val="Tabletext"/>
              <w:rPr>
                <w:rFonts w:eastAsia="Batang"/>
                <w:sz w:val="15"/>
                <w:szCs w:val="15"/>
              </w:rPr>
            </w:pPr>
            <w:r w:rsidRPr="00B84886">
              <w:rPr>
                <w:rFonts w:eastAsia="Batang" w:cs="Times New Roman"/>
                <w:sz w:val="15"/>
                <w:szCs w:val="15"/>
              </w:rPr>
              <w:br w:type="page"/>
            </w:r>
            <w:r w:rsidRPr="00B84886">
              <w:rPr>
                <w:rFonts w:eastAsia="Batang"/>
                <w:sz w:val="15"/>
                <w:szCs w:val="15"/>
              </w:rPr>
              <w:t>3</w:t>
            </w:r>
            <w:r w:rsidRPr="00B84886">
              <w:rPr>
                <w:rFonts w:eastAsia="Batang"/>
                <w:sz w:val="15"/>
                <w:szCs w:val="15"/>
              </w:rPr>
              <w:br w:type="page"/>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14:paraId="0C914F87" w14:textId="77777777" w:rsidR="006904CB" w:rsidRPr="00B84886" w:rsidRDefault="006904CB" w:rsidP="00143F07">
            <w:pPr>
              <w:pStyle w:val="Tabletext"/>
              <w:rPr>
                <w:rFonts w:eastAsia="Batang"/>
                <w:sz w:val="15"/>
                <w:szCs w:val="15"/>
              </w:rPr>
            </w:pPr>
            <w:r w:rsidRPr="00B84886">
              <w:rPr>
                <w:rFonts w:eastAsia="Batang"/>
                <w:sz w:val="15"/>
                <w:szCs w:val="15"/>
              </w:rPr>
              <w:t>Notification (N)</w:t>
            </w:r>
            <w:r w:rsidRPr="00B84886">
              <w:rPr>
                <w:rFonts w:eastAsia="Batang"/>
                <w:sz w:val="15"/>
                <w:szCs w:val="15"/>
                <w:vertAlign w:val="superscript"/>
              </w:rPr>
              <w:t>a)</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DA4A2A5" w14:textId="77777777" w:rsidR="006904CB" w:rsidRPr="00B84886" w:rsidRDefault="006904CB" w:rsidP="00143F07">
            <w:pPr>
              <w:pStyle w:val="Tabletext"/>
              <w:rPr>
                <w:rFonts w:eastAsia="Batang"/>
                <w:sz w:val="15"/>
                <w:szCs w:val="15"/>
              </w:rPr>
            </w:pPr>
            <w:r w:rsidRPr="00B84886">
              <w:rPr>
                <w:rFonts w:eastAsia="Batang"/>
                <w:sz w:val="15"/>
                <w:szCs w:val="15"/>
              </w:rPr>
              <w:t>N1*</w:t>
            </w:r>
            <w:r w:rsidRPr="00B84886">
              <w:rPr>
                <w:rFonts w:eastAsia="Batang"/>
                <w:position w:val="6"/>
                <w:sz w:val="15"/>
                <w:szCs w:val="15"/>
                <w:vertAlign w:val="superscript"/>
              </w:rPr>
              <w:t>d)</w:t>
            </w:r>
          </w:p>
        </w:tc>
        <w:tc>
          <w:tcPr>
            <w:tcW w:w="7761" w:type="dxa"/>
            <w:vMerge w:val="restart"/>
            <w:tcBorders>
              <w:top w:val="single" w:sz="4" w:space="0" w:color="auto"/>
              <w:left w:val="single" w:sz="4" w:space="0" w:color="auto"/>
              <w:bottom w:val="single" w:sz="4" w:space="0" w:color="auto"/>
              <w:right w:val="single" w:sz="4" w:space="0" w:color="auto"/>
            </w:tcBorders>
            <w:vAlign w:val="center"/>
            <w:hideMark/>
          </w:tcPr>
          <w:p w14:paraId="70005B0C" w14:textId="77777777" w:rsidR="006904CB" w:rsidRPr="00B84886" w:rsidRDefault="006904CB" w:rsidP="00143F07">
            <w:pPr>
              <w:pStyle w:val="Tabletext"/>
              <w:rPr>
                <w:rFonts w:eastAsia="Batang"/>
                <w:sz w:val="15"/>
                <w:szCs w:val="15"/>
              </w:rPr>
            </w:pPr>
            <w:r w:rsidRPr="00B84886">
              <w:rPr>
                <w:rFonts w:eastAsia="Batang"/>
                <w:sz w:val="15"/>
                <w:szCs w:val="15"/>
              </w:rPr>
              <w:t xml:space="preserve">Notification en vue de l'inscription dans le Fichier de référence international des fréquences des assignations de fréquence à un réseau à satellite soumis à la coordination au titre de la Section II de l'Article </w:t>
            </w:r>
            <w:r w:rsidRPr="00B84886">
              <w:rPr>
                <w:rFonts w:eastAsia="Batang"/>
                <w:b/>
                <w:bCs/>
                <w:sz w:val="15"/>
                <w:szCs w:val="15"/>
              </w:rPr>
              <w:t>9</w:t>
            </w:r>
            <w:r w:rsidRPr="00B84886">
              <w:rPr>
                <w:rFonts w:eastAsia="Batang"/>
                <w:sz w:val="15"/>
                <w:szCs w:val="15"/>
              </w:rPr>
              <w:t xml:space="preserve"> (à l'exception d'un réseau à satellite non géostationnaire assujetti uniquement au numéro </w:t>
            </w:r>
            <w:r w:rsidRPr="00B84886">
              <w:rPr>
                <w:rFonts w:eastAsia="Batang"/>
                <w:b/>
                <w:bCs/>
                <w:sz w:val="15"/>
                <w:szCs w:val="15"/>
              </w:rPr>
              <w:t>9.21</w:t>
            </w:r>
            <w:r w:rsidRPr="00B84886">
              <w:rPr>
                <w:rFonts w:eastAsia="Batang"/>
                <w:sz w:val="15"/>
                <w:szCs w:val="15"/>
              </w:rPr>
              <w:t>).</w:t>
            </w:r>
          </w:p>
          <w:p w14:paraId="58B1C3A9" w14:textId="77777777" w:rsidR="006904CB" w:rsidRPr="00B84886" w:rsidRDefault="006904CB" w:rsidP="00143F07">
            <w:pPr>
              <w:pStyle w:val="Tabletext"/>
              <w:rPr>
                <w:rFonts w:eastAsia="Batang"/>
                <w:sz w:val="15"/>
                <w:szCs w:val="15"/>
              </w:rPr>
            </w:pPr>
            <w:r w:rsidRPr="00B84886">
              <w:rPr>
                <w:rFonts w:eastAsia="Batang"/>
                <w:sz w:val="15"/>
                <w:szCs w:val="15"/>
              </w:rPr>
              <w:t xml:space="preserve">NOTE – La notification comprend également l'application des Résolutions </w:t>
            </w:r>
            <w:r w:rsidRPr="00B84886">
              <w:rPr>
                <w:rFonts w:eastAsia="Batang"/>
                <w:b/>
                <w:bCs/>
                <w:sz w:val="15"/>
                <w:szCs w:val="15"/>
              </w:rPr>
              <w:t>4</w:t>
            </w:r>
            <w:r w:rsidRPr="00B84886">
              <w:rPr>
                <w:rFonts w:eastAsia="Batang"/>
                <w:sz w:val="15"/>
                <w:szCs w:val="15"/>
              </w:rPr>
              <w:t xml:space="preserve"> et </w:t>
            </w:r>
            <w:r w:rsidRPr="00B84886">
              <w:rPr>
                <w:rFonts w:eastAsia="Batang"/>
                <w:b/>
                <w:bCs/>
                <w:sz w:val="15"/>
                <w:szCs w:val="15"/>
              </w:rPr>
              <w:t>49</w:t>
            </w:r>
            <w:r w:rsidRPr="00B84886">
              <w:rPr>
                <w:rFonts w:eastAsia="Batang"/>
                <w:sz w:val="15"/>
                <w:szCs w:val="15"/>
              </w:rPr>
              <w:t xml:space="preserve">, des numéros </w:t>
            </w:r>
            <w:r w:rsidRPr="00B84886">
              <w:rPr>
                <w:rFonts w:eastAsia="Batang"/>
                <w:b/>
                <w:bCs/>
                <w:sz w:val="15"/>
                <w:szCs w:val="15"/>
              </w:rPr>
              <w:t>11.32A</w:t>
            </w:r>
            <w:r w:rsidRPr="00B84886">
              <w:rPr>
                <w:rFonts w:eastAsia="Batang"/>
                <w:sz w:val="15"/>
                <w:szCs w:val="15"/>
              </w:rPr>
              <w:t xml:space="preserve"> (voir la note a), </w:t>
            </w:r>
            <w:r w:rsidRPr="00B84886">
              <w:rPr>
                <w:rFonts w:eastAsia="Batang"/>
                <w:b/>
                <w:bCs/>
                <w:sz w:val="15"/>
                <w:szCs w:val="15"/>
              </w:rPr>
              <w:t>11.41</w:t>
            </w:r>
            <w:r w:rsidRPr="00B84886">
              <w:rPr>
                <w:rFonts w:eastAsia="Batang"/>
                <w:sz w:val="15"/>
                <w:szCs w:val="15"/>
              </w:rPr>
              <w:t xml:space="preserve">, </w:t>
            </w:r>
            <w:r w:rsidRPr="00B84886">
              <w:rPr>
                <w:rFonts w:eastAsia="Batang"/>
                <w:b/>
                <w:bCs/>
                <w:sz w:val="15"/>
                <w:szCs w:val="15"/>
              </w:rPr>
              <w:t>11.47</w:t>
            </w:r>
            <w:r w:rsidRPr="00B84886">
              <w:rPr>
                <w:rFonts w:eastAsia="Batang"/>
                <w:sz w:val="15"/>
                <w:szCs w:val="15"/>
              </w:rPr>
              <w:t xml:space="preserve">, </w:t>
            </w:r>
            <w:r w:rsidRPr="00B84886">
              <w:rPr>
                <w:rFonts w:eastAsia="Batang"/>
                <w:b/>
                <w:bCs/>
                <w:sz w:val="15"/>
                <w:szCs w:val="15"/>
              </w:rPr>
              <w:t>11.49</w:t>
            </w:r>
            <w:r w:rsidRPr="00B84886">
              <w:rPr>
                <w:rFonts w:eastAsia="Batang"/>
                <w:sz w:val="15"/>
                <w:szCs w:val="15"/>
              </w:rPr>
              <w:t xml:space="preserve">, de la Sous-Section IID de l'Article </w:t>
            </w:r>
            <w:r w:rsidRPr="00B84886">
              <w:rPr>
                <w:rFonts w:eastAsia="Batang"/>
                <w:b/>
                <w:bCs/>
                <w:sz w:val="15"/>
                <w:szCs w:val="15"/>
              </w:rPr>
              <w:t>9</w:t>
            </w:r>
            <w:r w:rsidRPr="00B84886">
              <w:rPr>
                <w:rFonts w:eastAsia="Batang"/>
                <w:sz w:val="15"/>
                <w:szCs w:val="15"/>
              </w:rPr>
              <w:t xml:space="preserve">, des Sections 1 et 2 de l'Article </w:t>
            </w:r>
            <w:r w:rsidRPr="00B84886">
              <w:rPr>
                <w:rFonts w:eastAsia="Batang"/>
                <w:b/>
                <w:bCs/>
                <w:sz w:val="15"/>
                <w:szCs w:val="15"/>
              </w:rPr>
              <w:t>13</w:t>
            </w:r>
            <w:r w:rsidRPr="00B84886">
              <w:rPr>
                <w:rFonts w:eastAsia="Batang"/>
                <w:sz w:val="15"/>
                <w:szCs w:val="15"/>
              </w:rPr>
              <w:t xml:space="preserve"> et de l'Article </w:t>
            </w:r>
            <w:r w:rsidRPr="00B84886">
              <w:rPr>
                <w:rFonts w:eastAsia="Batang"/>
                <w:b/>
                <w:bCs/>
                <w:sz w:val="15"/>
                <w:szCs w:val="15"/>
              </w:rPr>
              <w:t>14</w:t>
            </w:r>
            <w:r w:rsidRPr="00B84886">
              <w:rPr>
                <w:rFonts w:eastAsia="Batang"/>
                <w:sz w:val="15"/>
                <w:szCs w:val="15"/>
              </w:rPr>
              <w:t xml:space="preserve"> et ne sera pas facturée séparément.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6ABFE3D" w14:textId="77777777" w:rsidR="006904CB" w:rsidRPr="00B84886" w:rsidRDefault="006904CB" w:rsidP="00143F07">
            <w:pPr>
              <w:pStyle w:val="Tabletext"/>
              <w:jc w:val="center"/>
              <w:rPr>
                <w:rFonts w:eastAsia="Batang"/>
                <w:sz w:val="15"/>
                <w:szCs w:val="15"/>
              </w:rPr>
            </w:pPr>
            <w:r w:rsidRPr="00B84886">
              <w:rPr>
                <w:rFonts w:eastAsia="Batang"/>
                <w:sz w:val="15"/>
                <w:szCs w:val="15"/>
              </w:rPr>
              <w:t>30 910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F454DD0" w14:textId="77777777" w:rsidR="006904CB" w:rsidRPr="00B84886" w:rsidRDefault="006904CB" w:rsidP="00143F07">
            <w:pPr>
              <w:pStyle w:val="Tabletext"/>
              <w:jc w:val="center"/>
              <w:rPr>
                <w:rFonts w:eastAsia="Batang"/>
                <w:sz w:val="15"/>
                <w:szCs w:val="15"/>
              </w:rPr>
            </w:pPr>
            <w:r w:rsidRPr="00B84886">
              <w:rPr>
                <w:rFonts w:eastAsia="Batang"/>
                <w:sz w:val="15"/>
                <w:szCs w:val="15"/>
              </w:rPr>
              <w:t>15 910</w:t>
            </w: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20C714BB"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107320A1"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41AE5CF8"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38D171ED"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560C75F3"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715D7D9" w14:textId="77777777" w:rsidR="006904CB" w:rsidRPr="00B84886" w:rsidRDefault="006904CB" w:rsidP="00143F07">
            <w:pPr>
              <w:pStyle w:val="Tabletext"/>
              <w:rPr>
                <w:rFonts w:eastAsia="Batang"/>
                <w:sz w:val="15"/>
                <w:szCs w:val="15"/>
              </w:rPr>
            </w:pPr>
            <w:r w:rsidRPr="00B84886">
              <w:rPr>
                <w:rFonts w:eastAsia="Batang"/>
                <w:sz w:val="15"/>
                <w:szCs w:val="15"/>
              </w:rPr>
              <w:t>N2*</w:t>
            </w:r>
          </w:p>
        </w:tc>
        <w:tc>
          <w:tcPr>
            <w:tcW w:w="7761" w:type="dxa"/>
            <w:vMerge/>
            <w:tcBorders>
              <w:top w:val="single" w:sz="4" w:space="0" w:color="auto"/>
              <w:left w:val="single" w:sz="4" w:space="0" w:color="auto"/>
              <w:bottom w:val="single" w:sz="4" w:space="0" w:color="auto"/>
              <w:right w:val="single" w:sz="4" w:space="0" w:color="auto"/>
            </w:tcBorders>
            <w:vAlign w:val="center"/>
            <w:hideMark/>
          </w:tcPr>
          <w:p w14:paraId="5C06813D"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0098E019" w14:textId="77777777" w:rsidR="006904CB" w:rsidRPr="00B84886" w:rsidRDefault="006904CB" w:rsidP="00143F07">
            <w:pPr>
              <w:pStyle w:val="Tabletext"/>
              <w:jc w:val="center"/>
              <w:rPr>
                <w:rFonts w:eastAsia="Batang"/>
                <w:sz w:val="15"/>
                <w:szCs w:val="15"/>
              </w:rPr>
            </w:pPr>
            <w:r w:rsidRPr="00B84886">
              <w:rPr>
                <w:rFonts w:eastAsia="Batang"/>
                <w:sz w:val="15"/>
                <w:szCs w:val="15"/>
              </w:rPr>
              <w:t>57 920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3D9D7E2" w14:textId="77777777" w:rsidR="006904CB" w:rsidRPr="00B84886" w:rsidRDefault="006904CB" w:rsidP="00143F07">
            <w:pPr>
              <w:pStyle w:val="Tabletext"/>
              <w:jc w:val="center"/>
              <w:rPr>
                <w:rFonts w:eastAsia="Batang"/>
                <w:sz w:val="15"/>
                <w:szCs w:val="15"/>
              </w:rPr>
            </w:pPr>
            <w:r w:rsidRPr="00B84886">
              <w:rPr>
                <w:rFonts w:eastAsia="Batang"/>
                <w:sz w:val="15"/>
                <w:szCs w:val="15"/>
              </w:rPr>
              <w:t>42 920</w:t>
            </w: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573BA070"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2586DBE3"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52E3A3DD"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59317733"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59B6C8F3"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44801EB" w14:textId="77777777" w:rsidR="006904CB" w:rsidRPr="00B84886" w:rsidRDefault="006904CB" w:rsidP="00143F07">
            <w:pPr>
              <w:pStyle w:val="Tabletext"/>
              <w:rPr>
                <w:rFonts w:eastAsia="Batang"/>
                <w:sz w:val="15"/>
                <w:szCs w:val="15"/>
              </w:rPr>
            </w:pPr>
            <w:r w:rsidRPr="00B84886">
              <w:rPr>
                <w:rFonts w:eastAsia="Batang"/>
                <w:sz w:val="15"/>
                <w:szCs w:val="15"/>
              </w:rPr>
              <w:t>N3*</w:t>
            </w:r>
          </w:p>
        </w:tc>
        <w:tc>
          <w:tcPr>
            <w:tcW w:w="7761" w:type="dxa"/>
            <w:vMerge/>
            <w:tcBorders>
              <w:top w:val="single" w:sz="4" w:space="0" w:color="auto"/>
              <w:left w:val="single" w:sz="4" w:space="0" w:color="auto"/>
              <w:bottom w:val="single" w:sz="4" w:space="0" w:color="auto"/>
              <w:right w:val="single" w:sz="4" w:space="0" w:color="auto"/>
            </w:tcBorders>
            <w:vAlign w:val="center"/>
            <w:hideMark/>
          </w:tcPr>
          <w:p w14:paraId="697E86EF"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360B749D" w14:textId="77777777" w:rsidR="006904CB" w:rsidRPr="00B84886" w:rsidRDefault="006904CB" w:rsidP="00143F07">
            <w:pPr>
              <w:pStyle w:val="Tabletext"/>
              <w:jc w:val="center"/>
              <w:rPr>
                <w:rFonts w:eastAsia="Batang"/>
                <w:sz w:val="15"/>
                <w:szCs w:val="15"/>
              </w:rPr>
            </w:pPr>
            <w:r w:rsidRPr="00B84886">
              <w:rPr>
                <w:rFonts w:eastAsia="Batang"/>
                <w:sz w:val="15"/>
                <w:szCs w:val="15"/>
              </w:rPr>
              <w:t>57 920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0857330" w14:textId="77777777" w:rsidR="006904CB" w:rsidRPr="00B84886" w:rsidRDefault="006904CB" w:rsidP="00143F07">
            <w:pPr>
              <w:pStyle w:val="Tabletext"/>
              <w:jc w:val="center"/>
              <w:rPr>
                <w:rFonts w:eastAsia="Batang"/>
                <w:sz w:val="15"/>
                <w:szCs w:val="15"/>
              </w:rPr>
            </w:pPr>
            <w:r w:rsidRPr="00B84886">
              <w:rPr>
                <w:rFonts w:eastAsia="Batang"/>
                <w:sz w:val="15"/>
                <w:szCs w:val="15"/>
              </w:rPr>
              <w:t>42 920</w:t>
            </w: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4AA0F591"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1BF9A2B4"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476F571B"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02123246"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0F1F6ADE"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3538C69" w14:textId="77777777" w:rsidR="006904CB" w:rsidRPr="00B84886" w:rsidRDefault="006904CB" w:rsidP="00143F07">
            <w:pPr>
              <w:pStyle w:val="Tabletext"/>
              <w:rPr>
                <w:rFonts w:eastAsia="Batang"/>
                <w:sz w:val="15"/>
                <w:szCs w:val="15"/>
              </w:rPr>
            </w:pPr>
            <w:r w:rsidRPr="00B84886">
              <w:rPr>
                <w:rFonts w:eastAsia="Batang"/>
                <w:sz w:val="15"/>
                <w:szCs w:val="15"/>
              </w:rPr>
              <w:t>N4</w:t>
            </w:r>
          </w:p>
        </w:tc>
        <w:tc>
          <w:tcPr>
            <w:tcW w:w="7761" w:type="dxa"/>
            <w:tcBorders>
              <w:top w:val="single" w:sz="4" w:space="0" w:color="auto"/>
              <w:left w:val="single" w:sz="4" w:space="0" w:color="auto"/>
              <w:bottom w:val="single" w:sz="4" w:space="0" w:color="auto"/>
              <w:right w:val="single" w:sz="4" w:space="0" w:color="auto"/>
            </w:tcBorders>
            <w:vAlign w:val="center"/>
            <w:hideMark/>
          </w:tcPr>
          <w:p w14:paraId="773E66BE" w14:textId="2D3E2B1B" w:rsidR="006904CB" w:rsidRPr="00B84886" w:rsidRDefault="006904CB" w:rsidP="00143F07">
            <w:pPr>
              <w:pStyle w:val="Tabletext"/>
              <w:rPr>
                <w:rFonts w:eastAsia="Batang"/>
                <w:sz w:val="15"/>
                <w:szCs w:val="15"/>
              </w:rPr>
            </w:pPr>
            <w:r w:rsidRPr="00B84886">
              <w:rPr>
                <w:rFonts w:eastAsia="Batang"/>
                <w:sz w:val="15"/>
                <w:szCs w:val="15"/>
              </w:rPr>
              <w:t xml:space="preserve">Notification en vue de l'inscription dans le Fichier de référence international des fréquences des assignations de fréquence à un réseau à satellite non soumis à la coordination au titre de la Section </w:t>
            </w:r>
            <w:r w:rsidRPr="00B84886">
              <w:rPr>
                <w:rFonts w:eastAsia="Batang"/>
                <w:b/>
                <w:bCs/>
                <w:sz w:val="15"/>
                <w:szCs w:val="15"/>
              </w:rPr>
              <w:t>II</w:t>
            </w:r>
            <w:r w:rsidRPr="00B84886">
              <w:rPr>
                <w:rFonts w:eastAsia="Batang"/>
                <w:sz w:val="15"/>
                <w:szCs w:val="15"/>
              </w:rPr>
              <w:t xml:space="preserve"> de l'Article </w:t>
            </w:r>
            <w:r w:rsidRPr="00B84886">
              <w:rPr>
                <w:rFonts w:eastAsia="Batang"/>
                <w:b/>
                <w:bCs/>
                <w:sz w:val="15"/>
                <w:szCs w:val="15"/>
              </w:rPr>
              <w:t>9</w:t>
            </w:r>
            <w:r w:rsidRPr="00B84886">
              <w:rPr>
                <w:rFonts w:eastAsia="Batang"/>
                <w:sz w:val="15"/>
                <w:szCs w:val="15"/>
              </w:rPr>
              <w:t xml:space="preserve"> ou à un réseau à satellite non géostationnaire assujetti uniquement au numéro </w:t>
            </w:r>
            <w:r w:rsidRPr="00B84886">
              <w:rPr>
                <w:rFonts w:eastAsia="Batang"/>
                <w:b/>
                <w:bCs/>
                <w:sz w:val="15"/>
                <w:szCs w:val="15"/>
              </w:rPr>
              <w:t>9.21</w:t>
            </w:r>
            <w:r w:rsidRPr="00B84886">
              <w:rPr>
                <w:rFonts w:eastAsia="Batang"/>
                <w:sz w:val="15"/>
                <w:szCs w:val="15"/>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2FF8759E" w14:textId="77777777" w:rsidR="006904CB" w:rsidRPr="00B84886" w:rsidRDefault="006904CB" w:rsidP="00143F07">
            <w:pPr>
              <w:pStyle w:val="Tabletext"/>
              <w:jc w:val="center"/>
              <w:rPr>
                <w:rFonts w:eastAsia="Batang"/>
                <w:sz w:val="15"/>
                <w:szCs w:val="15"/>
              </w:rPr>
            </w:pPr>
            <w:r w:rsidRPr="00B84886">
              <w:rPr>
                <w:rFonts w:eastAsia="Batang"/>
                <w:sz w:val="15"/>
                <w:szCs w:val="15"/>
              </w:rPr>
              <w:t>7 030</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69C50C22" w14:textId="77777777" w:rsidR="006904CB" w:rsidRPr="00B84886" w:rsidRDefault="006904CB" w:rsidP="00143F07">
            <w:pPr>
              <w:pStyle w:val="Tabletext"/>
              <w:jc w:val="center"/>
              <w:rPr>
                <w:rFonts w:eastAsia="Batang"/>
                <w:sz w:val="15"/>
                <w:szCs w:val="15"/>
              </w:rPr>
            </w:pPr>
            <w:r w:rsidRPr="00B84886">
              <w:rPr>
                <w:rFonts w:eastAsia="Batang"/>
                <w:sz w:val="15"/>
                <w:szCs w:val="15"/>
              </w:rPr>
              <w:t>Sans objet</w:t>
            </w:r>
          </w:p>
        </w:tc>
      </w:tr>
      <w:tr w:rsidR="006904CB" w:rsidRPr="00B84886" w14:paraId="4188EC35" w14:textId="77777777" w:rsidTr="006904CB">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14:paraId="156D9016" w14:textId="77777777" w:rsidR="006904CB" w:rsidRPr="00B84886" w:rsidRDefault="006904CB" w:rsidP="00143F07">
            <w:pPr>
              <w:pStyle w:val="Tabletext"/>
              <w:rPr>
                <w:rFonts w:eastAsia="Batang"/>
                <w:sz w:val="15"/>
                <w:szCs w:val="15"/>
              </w:rPr>
            </w:pPr>
            <w:r w:rsidRPr="00B84886">
              <w:rPr>
                <w:rFonts w:eastAsia="Batang"/>
                <w:sz w:val="15"/>
                <w:szCs w:val="15"/>
              </w:rPr>
              <w:t>4</w:t>
            </w:r>
            <w:r w:rsidRPr="00B84886">
              <w:rPr>
                <w:rFonts w:eastAsia="Batang"/>
                <w:sz w:val="15"/>
                <w:szCs w:val="15"/>
              </w:rPr>
              <w:br w:type="page"/>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14:paraId="273D5756" w14:textId="77777777" w:rsidR="006904CB" w:rsidRPr="00B84886" w:rsidRDefault="006904CB" w:rsidP="00143F07">
            <w:pPr>
              <w:pStyle w:val="Tabletext"/>
              <w:rPr>
                <w:rFonts w:eastAsia="Batang"/>
                <w:sz w:val="15"/>
                <w:szCs w:val="15"/>
              </w:rPr>
            </w:pPr>
            <w:r w:rsidRPr="00B84886">
              <w:rPr>
                <w:rFonts w:eastAsia="Batang"/>
                <w:sz w:val="15"/>
                <w:szCs w:val="15"/>
              </w:rPr>
              <w:t>Plans (P)</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4C52AF" w14:textId="77777777" w:rsidR="006904CB" w:rsidRPr="00B84886" w:rsidRDefault="006904CB" w:rsidP="00143F07">
            <w:pPr>
              <w:pStyle w:val="Tabletext"/>
              <w:rPr>
                <w:rFonts w:eastAsia="Batang"/>
                <w:sz w:val="15"/>
                <w:szCs w:val="15"/>
              </w:rPr>
            </w:pPr>
            <w:r w:rsidRPr="00B84886">
              <w:rPr>
                <w:rFonts w:eastAsia="Batang"/>
                <w:sz w:val="15"/>
                <w:szCs w:val="15"/>
              </w:rPr>
              <w:t xml:space="preserve">P1 </w:t>
            </w:r>
          </w:p>
        </w:tc>
        <w:tc>
          <w:tcPr>
            <w:tcW w:w="7761" w:type="dxa"/>
            <w:tcBorders>
              <w:top w:val="single" w:sz="4" w:space="0" w:color="auto"/>
              <w:left w:val="single" w:sz="4" w:space="0" w:color="auto"/>
              <w:bottom w:val="single" w:sz="4" w:space="0" w:color="auto"/>
              <w:right w:val="single" w:sz="4" w:space="0" w:color="auto"/>
            </w:tcBorders>
            <w:vAlign w:val="center"/>
            <w:hideMark/>
          </w:tcPr>
          <w:p w14:paraId="460CF89D" w14:textId="45086F98" w:rsidR="006904CB" w:rsidRPr="00B84886" w:rsidRDefault="006904CB" w:rsidP="00143F07">
            <w:pPr>
              <w:pStyle w:val="Tabletext"/>
              <w:rPr>
                <w:rFonts w:eastAsia="Batang"/>
                <w:sz w:val="15"/>
                <w:szCs w:val="15"/>
              </w:rPr>
            </w:pPr>
            <w:r w:rsidRPr="00B84886">
              <w:rPr>
                <w:rFonts w:eastAsia="Batang"/>
                <w:sz w:val="15"/>
                <w:szCs w:val="15"/>
              </w:rPr>
              <w:t xml:space="preserve">Section spéciale (Partie A) pour un projet d'assignation nouvelle ou modifiée figurant dans la Liste pour les Régions 1 et 3 ou les Listes des utilisations additionnelles par les liaisons de connexion au titre du § </w:t>
            </w:r>
            <w:r w:rsidRPr="00B84886">
              <w:rPr>
                <w:rFonts w:eastAsia="Batang"/>
                <w:b/>
                <w:bCs/>
                <w:sz w:val="15"/>
                <w:szCs w:val="15"/>
              </w:rPr>
              <w:t>4.1.5</w:t>
            </w:r>
            <w:r w:rsidRPr="00B84886">
              <w:rPr>
                <w:rFonts w:eastAsia="Batang"/>
                <w:sz w:val="15"/>
                <w:szCs w:val="15"/>
              </w:rPr>
              <w:t xml:space="preserve"> ou proposition de modification des Plans pour la Région 2 au titre du § </w:t>
            </w:r>
            <w:r w:rsidRPr="00B84886">
              <w:rPr>
                <w:rFonts w:eastAsia="Batang"/>
                <w:b/>
                <w:bCs/>
                <w:sz w:val="15"/>
                <w:szCs w:val="15"/>
              </w:rPr>
              <w:t>4.2.8</w:t>
            </w:r>
            <w:r w:rsidRPr="00B84886">
              <w:rPr>
                <w:rFonts w:eastAsia="Batang"/>
                <w:sz w:val="15"/>
                <w:szCs w:val="15"/>
              </w:rPr>
              <w:t xml:space="preserve"> de l'Appendice </w:t>
            </w:r>
            <w:r w:rsidRPr="00B84886">
              <w:rPr>
                <w:rFonts w:eastAsia="Batang"/>
                <w:b/>
                <w:bCs/>
                <w:sz w:val="15"/>
                <w:szCs w:val="15"/>
              </w:rPr>
              <w:t>30</w:t>
            </w:r>
            <w:r w:rsidRPr="00B84886">
              <w:rPr>
                <w:rFonts w:eastAsia="Batang"/>
                <w:sz w:val="15"/>
                <w:szCs w:val="15"/>
              </w:rPr>
              <w:t xml:space="preserve"> ou </w:t>
            </w:r>
            <w:r w:rsidRPr="00B84886">
              <w:rPr>
                <w:rFonts w:eastAsia="Batang"/>
                <w:b/>
                <w:bCs/>
                <w:sz w:val="15"/>
                <w:szCs w:val="15"/>
              </w:rPr>
              <w:t>30A</w:t>
            </w:r>
            <w:r w:rsidRPr="00B84886">
              <w:rPr>
                <w:rFonts w:eastAsia="Batang"/>
                <w:sz w:val="15"/>
                <w:szCs w:val="15"/>
              </w:rPr>
              <w:t xml:space="preserve">; ou Section spéciale (Partie B) pour un projet </w:t>
            </w:r>
            <w:r w:rsidRPr="00B84886">
              <w:rPr>
                <w:rFonts w:eastAsia="Batang"/>
                <w:sz w:val="15"/>
                <w:szCs w:val="15"/>
              </w:rPr>
              <w:lastRenderedPageBreak/>
              <w:t xml:space="preserve">d'assignation nouvelle ou modifiée figurant dans la Liste pour les Régions 1 et 3 ou les Listes des utilisations additionnelles par les liaisons de connexion au titre du § </w:t>
            </w:r>
            <w:r w:rsidRPr="00B84886">
              <w:rPr>
                <w:rFonts w:eastAsia="Batang"/>
                <w:b/>
                <w:bCs/>
                <w:sz w:val="15"/>
                <w:szCs w:val="15"/>
              </w:rPr>
              <w:t>4.1.15</w:t>
            </w:r>
            <w:r w:rsidRPr="00B84886">
              <w:rPr>
                <w:rFonts w:eastAsia="Batang"/>
                <w:sz w:val="15"/>
                <w:szCs w:val="15"/>
              </w:rPr>
              <w:t xml:space="preserve"> (sauf Section spéciale Partie B relative à l'application de la Résolution </w:t>
            </w:r>
            <w:r w:rsidRPr="00B84886">
              <w:rPr>
                <w:rFonts w:eastAsia="Batang"/>
                <w:b/>
                <w:bCs/>
                <w:sz w:val="15"/>
                <w:szCs w:val="15"/>
              </w:rPr>
              <w:t>548</w:t>
            </w:r>
            <w:r w:rsidRPr="00B84886">
              <w:rPr>
                <w:rFonts w:eastAsia="Batang"/>
                <w:sz w:val="15"/>
                <w:szCs w:val="15"/>
              </w:rPr>
              <w:t xml:space="preserve"> (Rév.CMR-12)) ou proposition de modification des Plans pour la Région 2 au titre du § </w:t>
            </w:r>
            <w:r w:rsidRPr="00B84886">
              <w:rPr>
                <w:rFonts w:eastAsia="Batang"/>
                <w:b/>
                <w:bCs/>
                <w:sz w:val="15"/>
                <w:szCs w:val="15"/>
              </w:rPr>
              <w:t>4.2.19</w:t>
            </w:r>
            <w:r w:rsidRPr="00B84886">
              <w:rPr>
                <w:rFonts w:eastAsia="Batang"/>
                <w:sz w:val="15"/>
                <w:szCs w:val="15"/>
              </w:rPr>
              <w:t xml:space="preserve"> des Appendices </w:t>
            </w:r>
            <w:r w:rsidRPr="00B84886">
              <w:rPr>
                <w:rFonts w:eastAsia="Batang"/>
                <w:b/>
                <w:bCs/>
                <w:sz w:val="15"/>
                <w:szCs w:val="15"/>
              </w:rPr>
              <w:t>30</w:t>
            </w:r>
            <w:r w:rsidRPr="00B84886">
              <w:rPr>
                <w:rFonts w:eastAsia="Batang"/>
                <w:sz w:val="15"/>
                <w:szCs w:val="15"/>
              </w:rPr>
              <w:t xml:space="preserve"> ou </w:t>
            </w:r>
            <w:r w:rsidRPr="00B84886">
              <w:rPr>
                <w:rFonts w:eastAsia="Batang"/>
                <w:b/>
                <w:bCs/>
                <w:sz w:val="15"/>
                <w:szCs w:val="15"/>
              </w:rPr>
              <w:t>30A</w:t>
            </w:r>
            <w:r w:rsidRPr="00B84886">
              <w:rPr>
                <w:rFonts w:eastAsia="Batang"/>
                <w:sz w:val="15"/>
                <w:szCs w:val="15"/>
                <w:vertAlign w:val="superscript"/>
              </w:rPr>
              <w:t>b)</w:t>
            </w:r>
            <w:r w:rsidRPr="00B84886">
              <w:rPr>
                <w:rFonts w:eastAsia="Batang"/>
                <w:sz w:val="15"/>
                <w:szCs w:val="15"/>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7AAA6E62" w14:textId="77777777" w:rsidR="006904CB" w:rsidRPr="00B84886" w:rsidRDefault="006904CB" w:rsidP="00143F07">
            <w:pPr>
              <w:pStyle w:val="Tabletext"/>
              <w:jc w:val="center"/>
              <w:rPr>
                <w:rFonts w:eastAsia="Batang"/>
                <w:sz w:val="15"/>
                <w:szCs w:val="15"/>
              </w:rPr>
            </w:pPr>
            <w:r w:rsidRPr="00B84886">
              <w:rPr>
                <w:rFonts w:eastAsia="Batang"/>
                <w:sz w:val="15"/>
                <w:szCs w:val="15"/>
              </w:rPr>
              <w:lastRenderedPageBreak/>
              <w:t>28 870</w:t>
            </w:r>
          </w:p>
        </w:tc>
        <w:tc>
          <w:tcPr>
            <w:tcW w:w="23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598D26" w14:textId="77777777" w:rsidR="006904CB" w:rsidRPr="00B84886" w:rsidRDefault="006904CB" w:rsidP="00143F07">
            <w:pPr>
              <w:pStyle w:val="Tabletext"/>
              <w:jc w:val="center"/>
              <w:rPr>
                <w:rFonts w:eastAsia="Batang"/>
                <w:sz w:val="15"/>
                <w:szCs w:val="15"/>
              </w:rPr>
            </w:pPr>
            <w:r w:rsidRPr="00B84886">
              <w:rPr>
                <w:rFonts w:eastAsia="Batang"/>
                <w:sz w:val="15"/>
                <w:szCs w:val="15"/>
              </w:rPr>
              <w:t>Sans objet</w:t>
            </w:r>
          </w:p>
        </w:tc>
      </w:tr>
      <w:tr w:rsidR="006904CB" w:rsidRPr="00B84886" w14:paraId="7D3319CA"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3CDA7B68"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24BD0991"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324CFC7" w14:textId="77777777" w:rsidR="006904CB" w:rsidRPr="00B84886" w:rsidRDefault="006904CB" w:rsidP="00143F07">
            <w:pPr>
              <w:pStyle w:val="Tabletext"/>
              <w:rPr>
                <w:rFonts w:eastAsia="Batang"/>
                <w:sz w:val="15"/>
                <w:szCs w:val="15"/>
              </w:rPr>
            </w:pPr>
            <w:r w:rsidRPr="00B84886">
              <w:rPr>
                <w:rFonts w:eastAsia="Batang"/>
                <w:sz w:val="15"/>
                <w:szCs w:val="15"/>
              </w:rPr>
              <w:t>P2</w:t>
            </w:r>
            <w:r w:rsidRPr="00B84886">
              <w:rPr>
                <w:rFonts w:eastAsia="Batang"/>
                <w:position w:val="6"/>
                <w:sz w:val="15"/>
                <w:szCs w:val="15"/>
              </w:rPr>
              <w:t>d)</w:t>
            </w:r>
          </w:p>
        </w:tc>
        <w:tc>
          <w:tcPr>
            <w:tcW w:w="7761" w:type="dxa"/>
            <w:tcBorders>
              <w:top w:val="single" w:sz="4" w:space="0" w:color="auto"/>
              <w:left w:val="single" w:sz="4" w:space="0" w:color="auto"/>
              <w:bottom w:val="single" w:sz="4" w:space="0" w:color="auto"/>
              <w:right w:val="single" w:sz="4" w:space="0" w:color="auto"/>
            </w:tcBorders>
            <w:vAlign w:val="center"/>
            <w:hideMark/>
          </w:tcPr>
          <w:p w14:paraId="3643BF70" w14:textId="77777777" w:rsidR="006904CB" w:rsidRPr="00B84886" w:rsidRDefault="006904CB" w:rsidP="00143F07">
            <w:pPr>
              <w:pStyle w:val="Tabletext"/>
              <w:rPr>
                <w:rFonts w:eastAsia="Batang"/>
                <w:sz w:val="15"/>
                <w:szCs w:val="15"/>
              </w:rPr>
            </w:pPr>
            <w:r w:rsidRPr="00B84886">
              <w:rPr>
                <w:rFonts w:eastAsia="Batang"/>
                <w:sz w:val="15"/>
                <w:szCs w:val="15"/>
              </w:rPr>
              <w:t xml:space="preserve">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w:t>
            </w:r>
            <w:r w:rsidRPr="00B84886">
              <w:rPr>
                <w:rFonts w:eastAsia="Batang"/>
                <w:b/>
                <w:bCs/>
                <w:sz w:val="15"/>
                <w:szCs w:val="15"/>
              </w:rPr>
              <w:t>5</w:t>
            </w:r>
            <w:r w:rsidRPr="00B84886">
              <w:rPr>
                <w:rFonts w:eastAsia="Batang"/>
                <w:sz w:val="15"/>
                <w:szCs w:val="15"/>
              </w:rPr>
              <w:t xml:space="preserve"> des Appendices </w:t>
            </w:r>
            <w:r w:rsidRPr="00B84886">
              <w:rPr>
                <w:rFonts w:eastAsia="Batang"/>
                <w:b/>
                <w:bCs/>
                <w:sz w:val="15"/>
                <w:szCs w:val="15"/>
              </w:rPr>
              <w:t>30</w:t>
            </w:r>
            <w:r w:rsidRPr="00B84886">
              <w:rPr>
                <w:rFonts w:eastAsia="Batang"/>
                <w:sz w:val="15"/>
                <w:szCs w:val="15"/>
              </w:rPr>
              <w:t xml:space="preserve"> ou </w:t>
            </w:r>
            <w:r w:rsidRPr="00B84886">
              <w:rPr>
                <w:rFonts w:eastAsia="Batang"/>
                <w:b/>
                <w:bCs/>
                <w:sz w:val="15"/>
                <w:szCs w:val="15"/>
              </w:rPr>
              <w:t>30A</w:t>
            </w:r>
            <w:r w:rsidRPr="00B84886">
              <w:rPr>
                <w:rFonts w:eastAsia="Batang"/>
                <w:sz w:val="15"/>
                <w:szCs w:val="15"/>
                <w:vertAlign w:val="superscript"/>
              </w:rPr>
              <w:t>b)</w:t>
            </w:r>
            <w:r w:rsidRPr="00B84886">
              <w:rPr>
                <w:rFonts w:eastAsia="Batang"/>
                <w:sz w:val="15"/>
                <w:szCs w:val="15"/>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601403BB" w14:textId="77777777" w:rsidR="006904CB" w:rsidRPr="00B84886" w:rsidRDefault="006904CB" w:rsidP="00143F07">
            <w:pPr>
              <w:pStyle w:val="Tabletext"/>
              <w:jc w:val="center"/>
              <w:rPr>
                <w:rFonts w:eastAsia="Batang"/>
                <w:sz w:val="15"/>
                <w:szCs w:val="15"/>
              </w:rPr>
            </w:pPr>
            <w:r w:rsidRPr="00B84886">
              <w:rPr>
                <w:rFonts w:eastAsia="Batang"/>
                <w:sz w:val="15"/>
                <w:szCs w:val="15"/>
              </w:rPr>
              <w:t>11 550</w:t>
            </w:r>
          </w:p>
        </w:tc>
        <w:tc>
          <w:tcPr>
            <w:tcW w:w="3747" w:type="dxa"/>
            <w:gridSpan w:val="2"/>
            <w:vMerge/>
            <w:tcBorders>
              <w:top w:val="single" w:sz="4" w:space="0" w:color="auto"/>
              <w:left w:val="single" w:sz="4" w:space="0" w:color="auto"/>
              <w:bottom w:val="single" w:sz="4" w:space="0" w:color="auto"/>
              <w:right w:val="single" w:sz="4" w:space="0" w:color="auto"/>
            </w:tcBorders>
            <w:vAlign w:val="center"/>
            <w:hideMark/>
          </w:tcPr>
          <w:p w14:paraId="7ADFF7D1"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0F6CDB07"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2C7146CE"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10B62062"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6051762" w14:textId="77777777" w:rsidR="006904CB" w:rsidRPr="00B84886" w:rsidRDefault="006904CB" w:rsidP="00143F07">
            <w:pPr>
              <w:pStyle w:val="Tabletext"/>
              <w:rPr>
                <w:rFonts w:eastAsia="Batang"/>
                <w:sz w:val="15"/>
                <w:szCs w:val="15"/>
              </w:rPr>
            </w:pPr>
            <w:r w:rsidRPr="00B84886">
              <w:rPr>
                <w:rFonts w:eastAsia="Batang"/>
                <w:sz w:val="15"/>
                <w:szCs w:val="15"/>
              </w:rPr>
              <w:t>P3</w:t>
            </w:r>
          </w:p>
        </w:tc>
        <w:tc>
          <w:tcPr>
            <w:tcW w:w="7761" w:type="dxa"/>
            <w:tcBorders>
              <w:top w:val="single" w:sz="4" w:space="0" w:color="auto"/>
              <w:left w:val="single" w:sz="4" w:space="0" w:color="auto"/>
              <w:bottom w:val="single" w:sz="4" w:space="0" w:color="auto"/>
              <w:right w:val="single" w:sz="4" w:space="0" w:color="auto"/>
            </w:tcBorders>
            <w:vAlign w:val="center"/>
            <w:hideMark/>
          </w:tcPr>
          <w:p w14:paraId="7C5EE4E3" w14:textId="77777777" w:rsidR="006904CB" w:rsidRPr="00B84886" w:rsidRDefault="006904CB" w:rsidP="00143F07">
            <w:pPr>
              <w:pStyle w:val="Tabletext"/>
              <w:rPr>
                <w:rFonts w:eastAsia="Batang"/>
                <w:sz w:val="15"/>
                <w:szCs w:val="15"/>
              </w:rPr>
            </w:pPr>
            <w:r w:rsidRPr="00B84886">
              <w:rPr>
                <w:rFonts w:eastAsia="Batang"/>
                <w:sz w:val="15"/>
                <w:szCs w:val="15"/>
              </w:rPr>
              <w:t xml:space="preserve">Demande de coordination conformément à l'Article </w:t>
            </w:r>
            <w:r w:rsidRPr="00B84886">
              <w:rPr>
                <w:rFonts w:eastAsia="Batang"/>
                <w:b/>
                <w:bCs/>
                <w:sz w:val="15"/>
                <w:szCs w:val="15"/>
              </w:rPr>
              <w:t>2A</w:t>
            </w:r>
            <w:r w:rsidRPr="00B84886">
              <w:rPr>
                <w:rFonts w:eastAsia="Batang"/>
                <w:sz w:val="15"/>
                <w:szCs w:val="15"/>
              </w:rPr>
              <w:t xml:space="preserve"> des Appendices </w:t>
            </w:r>
            <w:r w:rsidRPr="00B84886">
              <w:rPr>
                <w:rFonts w:eastAsia="Batang"/>
                <w:b/>
                <w:bCs/>
                <w:sz w:val="15"/>
                <w:szCs w:val="15"/>
              </w:rPr>
              <w:t>30</w:t>
            </w:r>
            <w:r w:rsidRPr="00B84886">
              <w:rPr>
                <w:rFonts w:eastAsia="Batang"/>
                <w:sz w:val="15"/>
                <w:szCs w:val="15"/>
              </w:rPr>
              <w:t xml:space="preserve"> et </w:t>
            </w:r>
            <w:r w:rsidRPr="00B84886">
              <w:rPr>
                <w:rFonts w:eastAsia="Batang"/>
                <w:b/>
                <w:bCs/>
                <w:sz w:val="15"/>
                <w:szCs w:val="15"/>
              </w:rPr>
              <w:t>30A</w:t>
            </w:r>
            <w:r w:rsidRPr="00B84886">
              <w:rPr>
                <w:rFonts w:eastAsia="Batang"/>
                <w:sz w:val="15"/>
                <w:szCs w:val="15"/>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5F7FD3F2" w14:textId="77777777" w:rsidR="006904CB" w:rsidRPr="00B84886" w:rsidRDefault="006904CB" w:rsidP="00143F07">
            <w:pPr>
              <w:pStyle w:val="Tabletext"/>
              <w:jc w:val="center"/>
              <w:rPr>
                <w:rFonts w:eastAsia="Batang"/>
                <w:sz w:val="15"/>
                <w:szCs w:val="15"/>
              </w:rPr>
            </w:pPr>
            <w:r w:rsidRPr="00B84886">
              <w:rPr>
                <w:rFonts w:eastAsia="Batang"/>
                <w:sz w:val="15"/>
                <w:szCs w:val="15"/>
              </w:rPr>
              <w:t>12 000</w:t>
            </w:r>
          </w:p>
        </w:tc>
        <w:tc>
          <w:tcPr>
            <w:tcW w:w="3747" w:type="dxa"/>
            <w:gridSpan w:val="2"/>
            <w:vMerge/>
            <w:tcBorders>
              <w:top w:val="single" w:sz="4" w:space="0" w:color="auto"/>
              <w:left w:val="single" w:sz="4" w:space="0" w:color="auto"/>
              <w:bottom w:val="single" w:sz="4" w:space="0" w:color="auto"/>
              <w:right w:val="single" w:sz="4" w:space="0" w:color="auto"/>
            </w:tcBorders>
            <w:vAlign w:val="center"/>
            <w:hideMark/>
          </w:tcPr>
          <w:p w14:paraId="45F2D1F1"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47B25639"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5E1B522A"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592BFF0E"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7E4A836" w14:textId="77777777" w:rsidR="006904CB" w:rsidRPr="00B84886" w:rsidRDefault="006904CB" w:rsidP="00143F07">
            <w:pPr>
              <w:pStyle w:val="Tabletext"/>
              <w:rPr>
                <w:rFonts w:eastAsia="Batang"/>
                <w:sz w:val="15"/>
                <w:szCs w:val="15"/>
              </w:rPr>
            </w:pPr>
            <w:r w:rsidRPr="00B84886">
              <w:rPr>
                <w:rFonts w:eastAsia="Batang"/>
                <w:sz w:val="15"/>
                <w:szCs w:val="15"/>
              </w:rPr>
              <w:t>P4</w:t>
            </w:r>
          </w:p>
        </w:tc>
        <w:tc>
          <w:tcPr>
            <w:tcW w:w="7761" w:type="dxa"/>
            <w:tcBorders>
              <w:top w:val="single" w:sz="4" w:space="0" w:color="auto"/>
              <w:left w:val="single" w:sz="4" w:space="0" w:color="auto"/>
              <w:bottom w:val="single" w:sz="4" w:space="0" w:color="auto"/>
              <w:right w:val="single" w:sz="4" w:space="0" w:color="auto"/>
            </w:tcBorders>
            <w:vAlign w:val="center"/>
            <w:hideMark/>
          </w:tcPr>
          <w:p w14:paraId="6A15D736" w14:textId="77777777" w:rsidR="006904CB" w:rsidRPr="00B84886" w:rsidRDefault="006904CB" w:rsidP="00143F07">
            <w:pPr>
              <w:pStyle w:val="Tabletext"/>
              <w:rPr>
                <w:rFonts w:eastAsia="Batang"/>
                <w:sz w:val="15"/>
                <w:szCs w:val="15"/>
              </w:rPr>
            </w:pPr>
            <w:r w:rsidRPr="00B84886">
              <w:rPr>
                <w:rFonts w:eastAsia="Batang"/>
                <w:sz w:val="15"/>
                <w:szCs w:val="15"/>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B84886">
              <w:rPr>
                <w:rFonts w:eastAsia="Batang"/>
                <w:b/>
                <w:bCs/>
                <w:sz w:val="15"/>
                <w:szCs w:val="15"/>
              </w:rPr>
              <w:t>30B</w:t>
            </w:r>
            <w:r w:rsidRPr="00B84886">
              <w:rPr>
                <w:rFonts w:eastAsia="Batang"/>
                <w:sz w:val="15"/>
                <w:szCs w:val="15"/>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B84886">
              <w:rPr>
                <w:rFonts w:eastAsia="Batang"/>
                <w:b/>
                <w:bCs/>
                <w:sz w:val="15"/>
                <w:szCs w:val="15"/>
              </w:rPr>
              <w:t>30B</w:t>
            </w:r>
            <w:r w:rsidRPr="00B84886">
              <w:rPr>
                <w:rFonts w:eastAsia="Batang"/>
                <w:sz w:val="15"/>
                <w:szCs w:val="15"/>
                <w:vertAlign w:val="superscript"/>
              </w:rPr>
              <w:t>c)</w:t>
            </w:r>
            <w:r w:rsidRPr="00B84886">
              <w:rPr>
                <w:rFonts w:eastAsia="Batang"/>
                <w:sz w:val="15"/>
                <w:szCs w:val="15"/>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62EE2A47" w14:textId="77777777" w:rsidR="006904CB" w:rsidRPr="00B84886" w:rsidRDefault="006904CB" w:rsidP="00143F07">
            <w:pPr>
              <w:pStyle w:val="Tabletext"/>
              <w:jc w:val="center"/>
              <w:rPr>
                <w:rFonts w:eastAsia="Batang"/>
                <w:sz w:val="15"/>
                <w:szCs w:val="15"/>
              </w:rPr>
            </w:pPr>
            <w:r w:rsidRPr="00B84886">
              <w:rPr>
                <w:rFonts w:eastAsia="Batang"/>
                <w:sz w:val="15"/>
                <w:szCs w:val="15"/>
              </w:rPr>
              <w:t>25 350</w:t>
            </w:r>
          </w:p>
        </w:tc>
        <w:tc>
          <w:tcPr>
            <w:tcW w:w="3747" w:type="dxa"/>
            <w:gridSpan w:val="2"/>
            <w:vMerge/>
            <w:tcBorders>
              <w:top w:val="single" w:sz="4" w:space="0" w:color="auto"/>
              <w:left w:val="single" w:sz="4" w:space="0" w:color="auto"/>
              <w:bottom w:val="single" w:sz="4" w:space="0" w:color="auto"/>
              <w:right w:val="single" w:sz="4" w:space="0" w:color="auto"/>
            </w:tcBorders>
            <w:vAlign w:val="center"/>
            <w:hideMark/>
          </w:tcPr>
          <w:p w14:paraId="65D8C2B4"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r w:rsidR="006904CB" w:rsidRPr="00B84886" w14:paraId="0366AE31" w14:textId="77777777" w:rsidTr="006904CB">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14:paraId="1FA29297"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3ADE6214"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0656E17" w14:textId="77777777" w:rsidR="006904CB" w:rsidRPr="00B84886" w:rsidRDefault="006904CB" w:rsidP="00143F07">
            <w:pPr>
              <w:pStyle w:val="Tabletext"/>
              <w:rPr>
                <w:rFonts w:eastAsia="Batang"/>
                <w:sz w:val="15"/>
                <w:szCs w:val="15"/>
              </w:rPr>
            </w:pPr>
            <w:r w:rsidRPr="00B84886">
              <w:rPr>
                <w:rFonts w:eastAsia="Batang"/>
                <w:sz w:val="15"/>
                <w:szCs w:val="15"/>
              </w:rPr>
              <w:t>P5</w:t>
            </w:r>
            <w:r w:rsidRPr="00B84886">
              <w:rPr>
                <w:rFonts w:eastAsia="Batang"/>
                <w:position w:val="6"/>
                <w:sz w:val="15"/>
                <w:szCs w:val="15"/>
              </w:rPr>
              <w:t>d)</w:t>
            </w:r>
          </w:p>
        </w:tc>
        <w:tc>
          <w:tcPr>
            <w:tcW w:w="7761" w:type="dxa"/>
            <w:tcBorders>
              <w:top w:val="single" w:sz="4" w:space="0" w:color="auto"/>
              <w:left w:val="single" w:sz="4" w:space="0" w:color="auto"/>
              <w:bottom w:val="single" w:sz="4" w:space="0" w:color="auto"/>
              <w:right w:val="single" w:sz="4" w:space="0" w:color="auto"/>
            </w:tcBorders>
            <w:vAlign w:val="center"/>
            <w:hideMark/>
          </w:tcPr>
          <w:p w14:paraId="4E3D0D25" w14:textId="77777777" w:rsidR="006904CB" w:rsidRPr="00B84886" w:rsidRDefault="006904CB" w:rsidP="00143F07">
            <w:pPr>
              <w:pStyle w:val="Tabletext"/>
              <w:rPr>
                <w:rFonts w:eastAsia="Batang"/>
                <w:sz w:val="15"/>
                <w:szCs w:val="15"/>
              </w:rPr>
            </w:pPr>
            <w:r w:rsidRPr="00B84886">
              <w:rPr>
                <w:rFonts w:eastAsia="Batang"/>
                <w:sz w:val="15"/>
                <w:szCs w:val="15"/>
              </w:rPr>
              <w:t xml:space="preserve">Notification en vue de l'inscription dans le Fichier de référence international des fréquences d'assignations de fréquence aux stations spatiales du service fixe par satellite conformément à l'Article </w:t>
            </w:r>
            <w:r w:rsidRPr="00B84886">
              <w:rPr>
                <w:rFonts w:eastAsia="Batang"/>
                <w:b/>
                <w:bCs/>
                <w:sz w:val="15"/>
                <w:szCs w:val="15"/>
              </w:rPr>
              <w:t>8</w:t>
            </w:r>
            <w:r w:rsidRPr="00B84886">
              <w:rPr>
                <w:rFonts w:eastAsia="Batang"/>
                <w:sz w:val="15"/>
                <w:szCs w:val="15"/>
              </w:rPr>
              <w:t xml:space="preserve"> de l'Appendice </w:t>
            </w:r>
            <w:r w:rsidRPr="00B84886">
              <w:rPr>
                <w:rFonts w:eastAsia="Batang"/>
                <w:b/>
                <w:bCs/>
                <w:sz w:val="15"/>
                <w:szCs w:val="15"/>
              </w:rPr>
              <w:t>30B</w:t>
            </w:r>
            <w:r w:rsidRPr="00B84886">
              <w:rPr>
                <w:rFonts w:eastAsia="Batang"/>
                <w:sz w:val="15"/>
                <w:szCs w:val="15"/>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172E2567" w14:textId="77777777" w:rsidR="006904CB" w:rsidRPr="00B84886" w:rsidRDefault="006904CB" w:rsidP="00143F07">
            <w:pPr>
              <w:pStyle w:val="Tabletext"/>
              <w:jc w:val="center"/>
              <w:rPr>
                <w:rFonts w:eastAsia="Batang"/>
                <w:sz w:val="15"/>
                <w:szCs w:val="15"/>
              </w:rPr>
            </w:pPr>
            <w:r w:rsidRPr="00B84886">
              <w:rPr>
                <w:rFonts w:eastAsia="Batang"/>
                <w:sz w:val="15"/>
                <w:szCs w:val="15"/>
              </w:rPr>
              <w:t>20 280</w:t>
            </w:r>
          </w:p>
        </w:tc>
        <w:tc>
          <w:tcPr>
            <w:tcW w:w="3747" w:type="dxa"/>
            <w:gridSpan w:val="2"/>
            <w:vMerge/>
            <w:tcBorders>
              <w:top w:val="single" w:sz="4" w:space="0" w:color="auto"/>
              <w:left w:val="single" w:sz="4" w:space="0" w:color="auto"/>
              <w:bottom w:val="single" w:sz="4" w:space="0" w:color="auto"/>
              <w:right w:val="single" w:sz="4" w:space="0" w:color="auto"/>
            </w:tcBorders>
            <w:vAlign w:val="center"/>
            <w:hideMark/>
          </w:tcPr>
          <w:p w14:paraId="605DA3ED" w14:textId="77777777"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rPr>
                <w:rFonts w:eastAsia="Batang" w:cs="Times New Roman"/>
                <w:sz w:val="15"/>
                <w:szCs w:val="15"/>
              </w:rPr>
            </w:pPr>
          </w:p>
        </w:tc>
      </w:tr>
    </w:tbl>
    <w:p w14:paraId="15354148" w14:textId="77777777" w:rsidR="006904CB" w:rsidRPr="00B84886" w:rsidRDefault="006904CB" w:rsidP="00143F07">
      <w:pPr>
        <w:tabs>
          <w:tab w:val="left" w:pos="284"/>
        </w:tabs>
        <w:spacing w:line="240" w:lineRule="auto"/>
        <w:ind w:left="284" w:hanging="284"/>
        <w:rPr>
          <w:rStyle w:val="FootnoteReference"/>
          <w:rFonts w:eastAsia="Batang"/>
        </w:rPr>
      </w:pPr>
      <w:r w:rsidRPr="00B84886">
        <w:rPr>
          <w:rStyle w:val="FootnoteReference"/>
        </w:rPr>
        <w:t>a)</w:t>
      </w:r>
      <w:r w:rsidRPr="00B84886">
        <w:rPr>
          <w:rStyle w:val="FootnoteReference"/>
        </w:rPr>
        <w:tab/>
        <w:t xml:space="preserve">Les droits pour les catégories N1, N2 et N3 sont applicables à la première notification d'assignations qui contient aussi une demande d'application du numéro </w:t>
      </w:r>
      <w:r w:rsidRPr="00B84886">
        <w:rPr>
          <w:rStyle w:val="FootnoteReference"/>
          <w:b/>
          <w:bCs/>
        </w:rPr>
        <w:t>11.32A</w:t>
      </w:r>
      <w:r w:rsidRPr="00B84886">
        <w:rPr>
          <w:rStyle w:val="FootnoteReference"/>
        </w:rPr>
        <w:t xml:space="preserve">. Si cette application n'est pas demandée, 70% des droits indiqués s'appliqueront, les 30% restants étant perçus pour une éventuelle demande ultérieure d'application du numéro </w:t>
      </w:r>
      <w:r w:rsidRPr="00B84886">
        <w:rPr>
          <w:rStyle w:val="FootnoteReference"/>
          <w:b/>
          <w:bCs/>
        </w:rPr>
        <w:t>11.32A</w:t>
      </w:r>
      <w:r w:rsidRPr="00B84886">
        <w:rPr>
          <w:rStyle w:val="FootnoteReference"/>
        </w:rPr>
        <w:t>.</w:t>
      </w:r>
    </w:p>
    <w:p w14:paraId="37161277" w14:textId="77777777" w:rsidR="006904CB" w:rsidRPr="00B84886" w:rsidRDefault="006904CB" w:rsidP="00143F07">
      <w:pPr>
        <w:tabs>
          <w:tab w:val="left" w:pos="284"/>
        </w:tabs>
        <w:spacing w:before="40" w:line="240" w:lineRule="auto"/>
        <w:ind w:left="284" w:hanging="284"/>
        <w:rPr>
          <w:rStyle w:val="FootnoteReference"/>
        </w:rPr>
      </w:pPr>
      <w:r w:rsidRPr="00B84886">
        <w:rPr>
          <w:rStyle w:val="FootnoteReference"/>
        </w:rPr>
        <w:t>b)</w:t>
      </w:r>
      <w:r w:rsidRPr="00B84886">
        <w:rPr>
          <w:rStyle w:val="FootnoteReference"/>
        </w:rPr>
        <w:tab/>
        <w:t>Dans cette catégorie, étant donné qu'une fiche de notification pour le service de radiodiffusion par satellite en Région 2 et de sa liaison de connexion associée contient à la fois la liaison descendante (Appendice 30) et la liaison de connexion (Appendice 30A), qui sont examinées et publiées conjointement, le droit total applicable à cette fiche de notification vaut le double du droit indiqué dans la colonne "Droit fixe par fiche de notification".</w:t>
      </w:r>
    </w:p>
    <w:p w14:paraId="64CF389E" w14:textId="77777777" w:rsidR="006904CB" w:rsidRPr="00B84886" w:rsidRDefault="006904CB" w:rsidP="00143F07">
      <w:pPr>
        <w:tabs>
          <w:tab w:val="left" w:pos="284"/>
        </w:tabs>
        <w:spacing w:before="40" w:line="240" w:lineRule="auto"/>
        <w:ind w:left="284" w:hanging="284"/>
        <w:rPr>
          <w:rStyle w:val="FootnoteReference"/>
        </w:rPr>
      </w:pPr>
      <w:r w:rsidRPr="00B84886">
        <w:rPr>
          <w:rStyle w:val="FootnoteReference"/>
        </w:rPr>
        <w:t>c)</w:t>
      </w:r>
      <w:r w:rsidRPr="00B84886">
        <w:rPr>
          <w:rStyle w:val="FootnoteReference"/>
        </w:rPr>
        <w:tab/>
        <w:t xml:space="preserve">Les droits à acquitter pour une demande soumise au titre du § 6.17 de l'Article 6 de l'Appendice </w:t>
      </w:r>
      <w:r w:rsidRPr="00B84886">
        <w:rPr>
          <w:rStyle w:val="FootnoteReference"/>
          <w:b/>
          <w:bCs/>
        </w:rPr>
        <w:t>30B</w:t>
      </w:r>
      <w:r w:rsidRPr="00B84886">
        <w:rPr>
          <w:rStyle w:val="FootnoteReference"/>
        </w:rPr>
        <w:t xml:space="preserve"> couvrent également la possibilité d'une demande ultérieure (nouvelle soumission) au titre du § 6.25. Aucun droit ne sera perçu pour une demande soumise au titre du § 6.17 de l'Article 6 de l'Appendice </w:t>
      </w:r>
      <w:r w:rsidRPr="00B84886">
        <w:rPr>
          <w:rStyle w:val="FootnoteReference"/>
          <w:b/>
          <w:bCs/>
        </w:rPr>
        <w:t>30B</w:t>
      </w:r>
      <w:r w:rsidRPr="00B84886">
        <w:rPr>
          <w:rStyle w:val="FootnoteReference"/>
        </w:rPr>
        <w:t xml:space="preserve"> pour une soumission traitée comme celle au titre du § 6.1 conformément au § 7.7 de l'Article 7.</w:t>
      </w:r>
    </w:p>
    <w:p w14:paraId="7CBBF9FC" w14:textId="77777777" w:rsidR="006904CB" w:rsidRPr="00B84886" w:rsidRDefault="006904CB" w:rsidP="00143F07">
      <w:pPr>
        <w:tabs>
          <w:tab w:val="left" w:pos="284"/>
        </w:tabs>
        <w:spacing w:before="40" w:line="240" w:lineRule="auto"/>
        <w:ind w:left="284" w:hanging="284"/>
        <w:rPr>
          <w:rStyle w:val="FootnoteReference"/>
        </w:rPr>
      </w:pPr>
      <w:r w:rsidRPr="00B84886">
        <w:rPr>
          <w:rStyle w:val="FootnoteReference"/>
        </w:rPr>
        <w:t>d)</w:t>
      </w:r>
      <w:r w:rsidRPr="00B84886">
        <w:rPr>
          <w:rStyle w:val="FootnoteReference"/>
        </w:rPr>
        <w:tab/>
        <w:t>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11 du Règlement des radiocommunications, la catégorie N1 s'applique; pour les cas soumis au titre de l'Appendice 30 ou de l'Appendice 30A, la catégorie P2 s'applique; pour les cas soumis au titre de l'Appendice 30B, la catégorie P5 s'applique.</w:t>
      </w:r>
    </w:p>
    <w:p w14:paraId="52722AA9" w14:textId="77777777" w:rsidR="006904CB" w:rsidRPr="00B84886" w:rsidRDefault="006904CB" w:rsidP="00143F07">
      <w:pPr>
        <w:pStyle w:val="Foot"/>
        <w:spacing w:line="240" w:lineRule="auto"/>
        <w:rPr>
          <w:sz w:val="24"/>
          <w:lang w:val="fr-FR"/>
        </w:rPr>
      </w:pPr>
      <w:r w:rsidRPr="00B84886">
        <w:rPr>
          <w:rStyle w:val="FootnoteReference"/>
          <w:lang w:val="fr-FR"/>
        </w:rPr>
        <w:t>e)</w:t>
      </w:r>
      <w:r w:rsidRPr="00B84886">
        <w:rPr>
          <w:rStyle w:val="FootnoteReference"/>
          <w:lang w:val="fr-FR"/>
        </w:rPr>
        <w:tab/>
        <w:t>En ce qui concerne les réseaux à satellite non géostationnaire, le droit fixe pour les catégories C1, C2, C3, N1, N2 et N3 est applicable entre 100 et 25 000 unités. Entre 25 000 et 75 000 unités, un droit additionnel par unité additionnelle, égal au droit fixe divisé par 50 000, est perçu. Au-delà de 75 000 unités, aucun droit additionnel par unité additionnelle n'est perçu.</w:t>
      </w:r>
    </w:p>
    <w:p w14:paraId="49C26112" w14:textId="77777777" w:rsidR="006904CB" w:rsidRPr="00B84886" w:rsidRDefault="006904CB" w:rsidP="00143F07">
      <w:pPr>
        <w:spacing w:line="240" w:lineRule="auto"/>
        <w:jc w:val="left"/>
        <w:rPr>
          <w:sz w:val="24"/>
          <w:szCs w:val="24"/>
        </w:rPr>
        <w:sectPr w:rsidR="006904CB" w:rsidRPr="00B84886" w:rsidSect="006904CB">
          <w:headerReference w:type="first" r:id="rId33"/>
          <w:pgSz w:w="16834" w:h="11907" w:orient="landscape" w:code="9"/>
          <w:pgMar w:top="1134" w:right="1418" w:bottom="1134" w:left="1418" w:header="567" w:footer="567" w:gutter="0"/>
          <w:paperSrc w:first="7" w:other="7"/>
          <w:cols w:space="720"/>
          <w:docGrid w:linePitch="299"/>
        </w:sectPr>
      </w:pPr>
    </w:p>
    <w:p w14:paraId="0F502A8B" w14:textId="77777777" w:rsidR="006904CB" w:rsidRPr="00B84886" w:rsidRDefault="006904CB" w:rsidP="00143F07">
      <w:pPr>
        <w:pStyle w:val="Headingb"/>
        <w:spacing w:line="240" w:lineRule="auto"/>
        <w:rPr>
          <w:rFonts w:cstheme="minorHAnsi"/>
          <w:sz w:val="24"/>
          <w:szCs w:val="24"/>
        </w:rPr>
      </w:pPr>
      <w:bookmarkStart w:id="17" w:name="_Toc489534507"/>
      <w:r w:rsidRPr="00B84886">
        <w:rPr>
          <w:rFonts w:cstheme="minorHAnsi"/>
          <w:sz w:val="24"/>
          <w:szCs w:val="24"/>
        </w:rPr>
        <w:lastRenderedPageBreak/>
        <w:t>*</w:t>
      </w:r>
      <w:r w:rsidRPr="00B84886">
        <w:rPr>
          <w:rFonts w:cstheme="minorHAnsi"/>
          <w:sz w:val="24"/>
          <w:szCs w:val="24"/>
        </w:rPr>
        <w:tab/>
      </w:r>
      <w:r w:rsidRPr="00B84886">
        <w:rPr>
          <w:sz w:val="24"/>
          <w:szCs w:val="24"/>
        </w:rPr>
        <w:t>Définition des catégories de coordination (C) et de notification (N)</w:t>
      </w:r>
      <w:bookmarkEnd w:id="17"/>
    </w:p>
    <w:p w14:paraId="117CBE36" w14:textId="77777777" w:rsidR="006904CB" w:rsidRPr="00B84886" w:rsidRDefault="006904CB" w:rsidP="00143F07">
      <w:pPr>
        <w:spacing w:line="240" w:lineRule="auto"/>
        <w:rPr>
          <w:rFonts w:cstheme="minorHAnsi"/>
          <w:sz w:val="24"/>
          <w:szCs w:val="24"/>
        </w:rPr>
      </w:pPr>
      <w:r w:rsidRPr="00B84886">
        <w:rPr>
          <w:rFonts w:cstheme="minorHAnsi"/>
          <w:sz w:val="24"/>
          <w:szCs w:val="24"/>
        </w:rPr>
        <w:t>La relation entre la catégorie de coordination (C1, C2, C3) ou la catégorie de notification (N1, N2, N3) et le nombre de types de coordination applicables à une demande de coordination ou à la notification de tel ou tel réseau à satellite est la suivante:</w:t>
      </w:r>
    </w:p>
    <w:p w14:paraId="7999DB6E" w14:textId="77777777" w:rsidR="006904CB" w:rsidRPr="00B84886" w:rsidRDefault="006904CB" w:rsidP="00143F07">
      <w:pPr>
        <w:pStyle w:val="enumlev1"/>
        <w:spacing w:line="240" w:lineRule="auto"/>
        <w:rPr>
          <w:rFonts w:cs="Times New Roman"/>
          <w:sz w:val="24"/>
          <w:szCs w:val="24"/>
        </w:rPr>
      </w:pPr>
      <w:r w:rsidRPr="00B84886">
        <w:rPr>
          <w:sz w:val="24"/>
          <w:szCs w:val="24"/>
        </w:rPr>
        <w:t>•</w:t>
      </w:r>
      <w:r w:rsidRPr="00B84886">
        <w:rPr>
          <w:sz w:val="24"/>
          <w:szCs w:val="24"/>
        </w:rPr>
        <w:tab/>
        <w:t>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11.31 du Règlement des radiocommunications, formulée pour toutes les assignations de fréquence du réseau faisant l'objet de la fiche de notification soumise, ou les cas comportant des assignations de fréquence publiées uniquement pour information.</w:t>
      </w:r>
    </w:p>
    <w:p w14:paraId="1E84058C" w14:textId="77777777" w:rsidR="006904CB" w:rsidRPr="00B84886" w:rsidRDefault="006904CB" w:rsidP="00143F07">
      <w:pPr>
        <w:pStyle w:val="enumlev1"/>
        <w:spacing w:line="240" w:lineRule="auto"/>
        <w:rPr>
          <w:sz w:val="24"/>
          <w:szCs w:val="24"/>
        </w:rPr>
      </w:pPr>
      <w:r w:rsidRPr="00B84886">
        <w:rPr>
          <w:sz w:val="24"/>
          <w:szCs w:val="24"/>
        </w:rPr>
        <w:t>•</w:t>
      </w:r>
      <w:r w:rsidRPr="00B84886">
        <w:rPr>
          <w:sz w:val="24"/>
          <w:szCs w:val="24"/>
        </w:rPr>
        <w:tab/>
        <w:t>C2 et N2 correspondent à une fiche de notification de réseau à satellite faisant intervenir deux ou trois types de coordination assujettis au recouvrement des coûts, quels qu'ils soient (A, B, C, D, E ou F).</w:t>
      </w:r>
    </w:p>
    <w:p w14:paraId="49D585A1" w14:textId="77777777" w:rsidR="006904CB" w:rsidRPr="00B84886" w:rsidRDefault="006904CB" w:rsidP="00143F07">
      <w:pPr>
        <w:pStyle w:val="enumlev1"/>
        <w:spacing w:after="240" w:line="240" w:lineRule="auto"/>
        <w:rPr>
          <w:sz w:val="24"/>
          <w:szCs w:val="24"/>
        </w:rPr>
      </w:pPr>
      <w:r w:rsidRPr="00B84886">
        <w:rPr>
          <w:sz w:val="24"/>
          <w:szCs w:val="24"/>
        </w:rPr>
        <w:t>•</w:t>
      </w:r>
      <w:r w:rsidRPr="00B84886">
        <w:rPr>
          <w:sz w:val="24"/>
          <w:szCs w:val="24"/>
        </w:rPr>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6904CB" w:rsidRPr="00B84886" w14:paraId="23C03950" w14:textId="77777777" w:rsidTr="006904CB">
        <w:tc>
          <w:tcPr>
            <w:tcW w:w="3969" w:type="dxa"/>
            <w:tcBorders>
              <w:top w:val="single" w:sz="4" w:space="0" w:color="auto"/>
              <w:left w:val="single" w:sz="4" w:space="0" w:color="auto"/>
              <w:bottom w:val="single" w:sz="4" w:space="0" w:color="auto"/>
              <w:right w:val="single" w:sz="4" w:space="0" w:color="auto"/>
            </w:tcBorders>
            <w:hideMark/>
          </w:tcPr>
          <w:p w14:paraId="1F744D0E" w14:textId="77777777" w:rsidR="006904CB" w:rsidRPr="00B84886" w:rsidRDefault="006904CB" w:rsidP="00143F07">
            <w:pPr>
              <w:pStyle w:val="Tablehead"/>
              <w:rPr>
                <w:sz w:val="24"/>
                <w:szCs w:val="24"/>
              </w:rPr>
            </w:pPr>
            <w:r w:rsidRPr="00B84886">
              <w:rPr>
                <w:sz w:val="24"/>
                <w:szCs w:val="24"/>
              </w:rPr>
              <w:t>Type de coordination assujetti au recouvrement des coûts</w:t>
            </w:r>
          </w:p>
        </w:tc>
        <w:tc>
          <w:tcPr>
            <w:tcW w:w="5529" w:type="dxa"/>
            <w:tcBorders>
              <w:top w:val="single" w:sz="4" w:space="0" w:color="auto"/>
              <w:left w:val="single" w:sz="4" w:space="0" w:color="auto"/>
              <w:bottom w:val="single" w:sz="4" w:space="0" w:color="auto"/>
              <w:right w:val="single" w:sz="4" w:space="0" w:color="auto"/>
            </w:tcBorders>
            <w:hideMark/>
          </w:tcPr>
          <w:p w14:paraId="4BBCC436" w14:textId="77777777" w:rsidR="006904CB" w:rsidRPr="00B84886" w:rsidRDefault="006904CB" w:rsidP="00143F07">
            <w:pPr>
              <w:pStyle w:val="Tablehead"/>
              <w:rPr>
                <w:sz w:val="24"/>
                <w:szCs w:val="24"/>
              </w:rPr>
            </w:pPr>
            <w:r w:rsidRPr="00B84886">
              <w:rPr>
                <w:sz w:val="24"/>
                <w:szCs w:val="24"/>
              </w:rPr>
              <w:t>Différents types de coordination prévus dans le Règlement des radiocommunications</w:t>
            </w:r>
          </w:p>
        </w:tc>
      </w:tr>
      <w:tr w:rsidR="006904CB" w:rsidRPr="00B84886" w14:paraId="6B9F649E" w14:textId="77777777" w:rsidTr="006904CB">
        <w:tc>
          <w:tcPr>
            <w:tcW w:w="3969" w:type="dxa"/>
            <w:tcBorders>
              <w:top w:val="single" w:sz="4" w:space="0" w:color="auto"/>
              <w:left w:val="single" w:sz="4" w:space="0" w:color="auto"/>
              <w:bottom w:val="single" w:sz="4" w:space="0" w:color="auto"/>
              <w:right w:val="single" w:sz="4" w:space="0" w:color="auto"/>
            </w:tcBorders>
            <w:hideMark/>
          </w:tcPr>
          <w:p w14:paraId="206388E8" w14:textId="77777777" w:rsidR="006904CB" w:rsidRPr="00B84886" w:rsidRDefault="006904CB" w:rsidP="00143F07">
            <w:pPr>
              <w:pStyle w:val="Tabletext"/>
              <w:jc w:val="center"/>
              <w:rPr>
                <w:sz w:val="24"/>
                <w:szCs w:val="24"/>
              </w:rPr>
            </w:pPr>
            <w:r w:rsidRPr="00B84886">
              <w:rPr>
                <w:sz w:val="24"/>
                <w:szCs w:val="24"/>
              </w:rPr>
              <w:t>A</w:t>
            </w:r>
          </w:p>
        </w:tc>
        <w:tc>
          <w:tcPr>
            <w:tcW w:w="5529" w:type="dxa"/>
            <w:tcBorders>
              <w:top w:val="single" w:sz="4" w:space="0" w:color="auto"/>
              <w:left w:val="single" w:sz="4" w:space="0" w:color="auto"/>
              <w:bottom w:val="single" w:sz="4" w:space="0" w:color="auto"/>
              <w:right w:val="single" w:sz="4" w:space="0" w:color="auto"/>
            </w:tcBorders>
            <w:hideMark/>
          </w:tcPr>
          <w:p w14:paraId="2587F3C4" w14:textId="69F10A2B" w:rsidR="006904CB" w:rsidRPr="00B84886" w:rsidRDefault="006904CB" w:rsidP="00143F07">
            <w:pPr>
              <w:pStyle w:val="Tabletext"/>
              <w:rPr>
                <w:sz w:val="24"/>
                <w:szCs w:val="24"/>
              </w:rPr>
            </w:pPr>
            <w:r w:rsidRPr="00B84886">
              <w:rPr>
                <w:sz w:val="24"/>
                <w:szCs w:val="24"/>
              </w:rPr>
              <w:t>Numéro 9.7</w:t>
            </w:r>
          </w:p>
        </w:tc>
      </w:tr>
      <w:tr w:rsidR="006904CB" w:rsidRPr="00B84886" w14:paraId="6249A99A" w14:textId="77777777" w:rsidTr="006904CB">
        <w:tc>
          <w:tcPr>
            <w:tcW w:w="3969" w:type="dxa"/>
            <w:tcBorders>
              <w:top w:val="single" w:sz="4" w:space="0" w:color="auto"/>
              <w:left w:val="single" w:sz="4" w:space="0" w:color="auto"/>
              <w:bottom w:val="single" w:sz="4" w:space="0" w:color="auto"/>
              <w:right w:val="single" w:sz="4" w:space="0" w:color="auto"/>
            </w:tcBorders>
            <w:hideMark/>
          </w:tcPr>
          <w:p w14:paraId="5CE3E700" w14:textId="77777777" w:rsidR="006904CB" w:rsidRPr="00B84886" w:rsidRDefault="006904CB" w:rsidP="00143F07">
            <w:pPr>
              <w:pStyle w:val="Tabletext"/>
              <w:jc w:val="center"/>
              <w:rPr>
                <w:sz w:val="24"/>
                <w:szCs w:val="24"/>
              </w:rPr>
            </w:pPr>
            <w:r w:rsidRPr="00B84886">
              <w:rPr>
                <w:sz w:val="24"/>
                <w:szCs w:val="24"/>
              </w:rPr>
              <w:t>B</w:t>
            </w:r>
          </w:p>
        </w:tc>
        <w:tc>
          <w:tcPr>
            <w:tcW w:w="5529" w:type="dxa"/>
            <w:tcBorders>
              <w:top w:val="single" w:sz="4" w:space="0" w:color="auto"/>
              <w:left w:val="single" w:sz="4" w:space="0" w:color="auto"/>
              <w:bottom w:val="single" w:sz="4" w:space="0" w:color="auto"/>
              <w:right w:val="single" w:sz="4" w:space="0" w:color="auto"/>
            </w:tcBorders>
            <w:hideMark/>
          </w:tcPr>
          <w:p w14:paraId="2E21D087" w14:textId="77777777" w:rsidR="006904CB" w:rsidRPr="00B84886" w:rsidRDefault="006904CB" w:rsidP="00143F07">
            <w:pPr>
              <w:pStyle w:val="Tabletext"/>
              <w:rPr>
                <w:sz w:val="24"/>
                <w:szCs w:val="24"/>
              </w:rPr>
            </w:pPr>
            <w:r w:rsidRPr="00B84886">
              <w:rPr>
                <w:sz w:val="24"/>
                <w:szCs w:val="24"/>
              </w:rPr>
              <w:t>AP30 7.1, AP30A 7.1</w:t>
            </w:r>
          </w:p>
        </w:tc>
      </w:tr>
      <w:tr w:rsidR="006904CB" w:rsidRPr="00B84886" w14:paraId="187BC0CB" w14:textId="77777777" w:rsidTr="006904CB">
        <w:tc>
          <w:tcPr>
            <w:tcW w:w="3969" w:type="dxa"/>
            <w:tcBorders>
              <w:top w:val="single" w:sz="4" w:space="0" w:color="auto"/>
              <w:left w:val="single" w:sz="4" w:space="0" w:color="auto"/>
              <w:bottom w:val="single" w:sz="4" w:space="0" w:color="auto"/>
              <w:right w:val="single" w:sz="4" w:space="0" w:color="auto"/>
            </w:tcBorders>
            <w:hideMark/>
          </w:tcPr>
          <w:p w14:paraId="3EFC5BA0" w14:textId="77777777" w:rsidR="006904CB" w:rsidRPr="00B84886" w:rsidRDefault="006904CB" w:rsidP="00143F07">
            <w:pPr>
              <w:pStyle w:val="Tabletext"/>
              <w:jc w:val="center"/>
              <w:rPr>
                <w:sz w:val="24"/>
                <w:szCs w:val="24"/>
              </w:rPr>
            </w:pPr>
            <w:r w:rsidRPr="00B84886">
              <w:rPr>
                <w:sz w:val="24"/>
                <w:szCs w:val="24"/>
              </w:rPr>
              <w:t>C</w:t>
            </w:r>
          </w:p>
        </w:tc>
        <w:tc>
          <w:tcPr>
            <w:tcW w:w="5529" w:type="dxa"/>
            <w:tcBorders>
              <w:top w:val="single" w:sz="4" w:space="0" w:color="auto"/>
              <w:left w:val="single" w:sz="4" w:space="0" w:color="auto"/>
              <w:bottom w:val="single" w:sz="4" w:space="0" w:color="auto"/>
              <w:right w:val="single" w:sz="4" w:space="0" w:color="auto"/>
            </w:tcBorders>
            <w:hideMark/>
          </w:tcPr>
          <w:p w14:paraId="7253EB6E" w14:textId="5F2005F6" w:rsidR="006904CB" w:rsidRPr="00B84886" w:rsidRDefault="006904CB" w:rsidP="00143F07">
            <w:pPr>
              <w:pStyle w:val="Tabletext"/>
              <w:rPr>
                <w:sz w:val="24"/>
                <w:szCs w:val="24"/>
              </w:rPr>
            </w:pPr>
            <w:r w:rsidRPr="00B84886">
              <w:rPr>
                <w:sz w:val="24"/>
                <w:szCs w:val="24"/>
              </w:rPr>
              <w:t>Numéro 9.11, RS539</w:t>
            </w:r>
          </w:p>
        </w:tc>
      </w:tr>
      <w:tr w:rsidR="006904CB" w:rsidRPr="00B84886" w14:paraId="14C775F1" w14:textId="77777777" w:rsidTr="006904CB">
        <w:tc>
          <w:tcPr>
            <w:tcW w:w="3969" w:type="dxa"/>
            <w:tcBorders>
              <w:top w:val="single" w:sz="4" w:space="0" w:color="auto"/>
              <w:left w:val="single" w:sz="4" w:space="0" w:color="auto"/>
              <w:bottom w:val="single" w:sz="4" w:space="0" w:color="auto"/>
              <w:right w:val="single" w:sz="4" w:space="0" w:color="auto"/>
            </w:tcBorders>
            <w:hideMark/>
          </w:tcPr>
          <w:p w14:paraId="5E9FD987" w14:textId="77777777" w:rsidR="006904CB" w:rsidRPr="00B84886" w:rsidRDefault="006904CB" w:rsidP="00143F07">
            <w:pPr>
              <w:pStyle w:val="Tabletext"/>
              <w:jc w:val="center"/>
              <w:rPr>
                <w:sz w:val="24"/>
                <w:szCs w:val="24"/>
              </w:rPr>
            </w:pPr>
            <w:r w:rsidRPr="00B84886">
              <w:rPr>
                <w:sz w:val="24"/>
                <w:szCs w:val="24"/>
              </w:rPr>
              <w:t>D</w:t>
            </w:r>
          </w:p>
        </w:tc>
        <w:tc>
          <w:tcPr>
            <w:tcW w:w="5529" w:type="dxa"/>
            <w:tcBorders>
              <w:top w:val="single" w:sz="4" w:space="0" w:color="auto"/>
              <w:left w:val="single" w:sz="4" w:space="0" w:color="auto"/>
              <w:bottom w:val="single" w:sz="4" w:space="0" w:color="auto"/>
              <w:right w:val="single" w:sz="4" w:space="0" w:color="auto"/>
            </w:tcBorders>
            <w:hideMark/>
          </w:tcPr>
          <w:p w14:paraId="3568E935" w14:textId="77777777" w:rsidR="006904CB" w:rsidRPr="00B84886" w:rsidRDefault="006904CB" w:rsidP="00143F07">
            <w:pPr>
              <w:pStyle w:val="Tabletext"/>
              <w:rPr>
                <w:sz w:val="24"/>
                <w:szCs w:val="24"/>
              </w:rPr>
            </w:pPr>
            <w:r w:rsidRPr="00B84886">
              <w:rPr>
                <w:sz w:val="24"/>
                <w:szCs w:val="24"/>
              </w:rPr>
              <w:t>Numéros 9.7B, 9.11A, 9.12, 9.12A, 9.13, 9.14</w:t>
            </w:r>
          </w:p>
        </w:tc>
      </w:tr>
      <w:tr w:rsidR="006904CB" w:rsidRPr="00B84886" w14:paraId="12AD9BE3" w14:textId="77777777" w:rsidTr="006904CB">
        <w:tc>
          <w:tcPr>
            <w:tcW w:w="3969" w:type="dxa"/>
            <w:tcBorders>
              <w:top w:val="single" w:sz="4" w:space="0" w:color="auto"/>
              <w:left w:val="single" w:sz="4" w:space="0" w:color="auto"/>
              <w:bottom w:val="single" w:sz="4" w:space="0" w:color="auto"/>
              <w:right w:val="single" w:sz="4" w:space="0" w:color="auto"/>
            </w:tcBorders>
            <w:hideMark/>
          </w:tcPr>
          <w:p w14:paraId="4304504E" w14:textId="77777777" w:rsidR="006904CB" w:rsidRPr="00B84886" w:rsidRDefault="006904CB" w:rsidP="00143F07">
            <w:pPr>
              <w:pStyle w:val="Tabletext"/>
              <w:jc w:val="center"/>
              <w:rPr>
                <w:sz w:val="24"/>
                <w:szCs w:val="24"/>
              </w:rPr>
            </w:pPr>
            <w:r w:rsidRPr="00B84886">
              <w:rPr>
                <w:sz w:val="24"/>
                <w:szCs w:val="24"/>
              </w:rPr>
              <w:t>E</w:t>
            </w:r>
          </w:p>
        </w:tc>
        <w:tc>
          <w:tcPr>
            <w:tcW w:w="5529" w:type="dxa"/>
            <w:tcBorders>
              <w:top w:val="single" w:sz="4" w:space="0" w:color="auto"/>
              <w:left w:val="single" w:sz="4" w:space="0" w:color="auto"/>
              <w:bottom w:val="single" w:sz="4" w:space="0" w:color="auto"/>
              <w:right w:val="single" w:sz="4" w:space="0" w:color="auto"/>
            </w:tcBorders>
            <w:hideMark/>
          </w:tcPr>
          <w:p w14:paraId="17898B31" w14:textId="77777777" w:rsidR="006904CB" w:rsidRPr="00B84886" w:rsidRDefault="006904CB" w:rsidP="00143F07">
            <w:pPr>
              <w:pStyle w:val="Tabletext"/>
              <w:rPr>
                <w:sz w:val="24"/>
                <w:szCs w:val="24"/>
              </w:rPr>
            </w:pPr>
            <w:r w:rsidRPr="00B84886">
              <w:rPr>
                <w:sz w:val="24"/>
                <w:szCs w:val="24"/>
              </w:rPr>
              <w:t>Numéro 9.7A</w:t>
            </w:r>
            <w:r w:rsidRPr="00B84886">
              <w:rPr>
                <w:rStyle w:val="FootnoteReference"/>
                <w:rFonts w:cs="Times New Roman"/>
                <w:szCs w:val="18"/>
              </w:rPr>
              <w:footnoteReference w:id="5"/>
            </w:r>
          </w:p>
        </w:tc>
      </w:tr>
      <w:tr w:rsidR="006904CB" w:rsidRPr="00B84886" w14:paraId="1B2B06A4" w14:textId="77777777" w:rsidTr="006904CB">
        <w:tc>
          <w:tcPr>
            <w:tcW w:w="3969" w:type="dxa"/>
            <w:tcBorders>
              <w:top w:val="single" w:sz="4" w:space="0" w:color="auto"/>
              <w:left w:val="single" w:sz="4" w:space="0" w:color="auto"/>
              <w:bottom w:val="single" w:sz="4" w:space="0" w:color="auto"/>
              <w:right w:val="single" w:sz="4" w:space="0" w:color="auto"/>
            </w:tcBorders>
            <w:hideMark/>
          </w:tcPr>
          <w:p w14:paraId="29421913" w14:textId="77777777" w:rsidR="006904CB" w:rsidRPr="00B84886" w:rsidRDefault="006904CB" w:rsidP="00143F07">
            <w:pPr>
              <w:pStyle w:val="Tabletext"/>
              <w:jc w:val="center"/>
              <w:rPr>
                <w:sz w:val="24"/>
                <w:szCs w:val="24"/>
              </w:rPr>
            </w:pPr>
            <w:r w:rsidRPr="00B84886">
              <w:rPr>
                <w:sz w:val="24"/>
                <w:szCs w:val="24"/>
              </w:rPr>
              <w:t>F</w:t>
            </w:r>
          </w:p>
        </w:tc>
        <w:tc>
          <w:tcPr>
            <w:tcW w:w="5529" w:type="dxa"/>
            <w:tcBorders>
              <w:top w:val="single" w:sz="4" w:space="0" w:color="auto"/>
              <w:left w:val="single" w:sz="4" w:space="0" w:color="auto"/>
              <w:bottom w:val="single" w:sz="4" w:space="0" w:color="auto"/>
              <w:right w:val="single" w:sz="4" w:space="0" w:color="auto"/>
            </w:tcBorders>
            <w:hideMark/>
          </w:tcPr>
          <w:p w14:paraId="67C8BDEC" w14:textId="77777777" w:rsidR="006904CB" w:rsidRPr="00B84886" w:rsidRDefault="006904CB" w:rsidP="00143F07">
            <w:pPr>
              <w:pStyle w:val="Tabletext"/>
              <w:rPr>
                <w:sz w:val="24"/>
                <w:szCs w:val="24"/>
              </w:rPr>
            </w:pPr>
            <w:r w:rsidRPr="00B84886">
              <w:rPr>
                <w:sz w:val="24"/>
                <w:szCs w:val="24"/>
              </w:rPr>
              <w:t>Numéro 9.21</w:t>
            </w:r>
          </w:p>
        </w:tc>
      </w:tr>
    </w:tbl>
    <w:p w14:paraId="0C361E2F" w14:textId="0A70CB06" w:rsidR="006904CB" w:rsidRPr="00B84886" w:rsidRDefault="006904CB" w:rsidP="00143F07">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B84886">
        <w:rPr>
          <w:sz w:val="24"/>
          <w:szCs w:val="24"/>
        </w:rPr>
        <w:br w:type="page"/>
      </w:r>
    </w:p>
    <w:p w14:paraId="2429495F" w14:textId="00E0FB46" w:rsidR="006904CB" w:rsidRPr="00B84886" w:rsidRDefault="006904CB" w:rsidP="00143F07">
      <w:pPr>
        <w:pStyle w:val="AnnexNo"/>
        <w:rPr>
          <w:lang w:val="fr-FR"/>
        </w:rPr>
      </w:pPr>
      <w:bookmarkStart w:id="18" w:name="Annexe4"/>
      <w:bookmarkEnd w:id="18"/>
      <w:r w:rsidRPr="00B84886">
        <w:rPr>
          <w:lang w:val="fr-FR"/>
        </w:rPr>
        <w:lastRenderedPageBreak/>
        <w:t>ANNEXE 4</w:t>
      </w:r>
    </w:p>
    <w:p w14:paraId="4527E42B" w14:textId="35C4C270" w:rsidR="006904CB" w:rsidRPr="00B84886" w:rsidRDefault="006904CB" w:rsidP="0035477E">
      <w:pPr>
        <w:pStyle w:val="Reftext"/>
        <w:rPr>
          <w:i/>
          <w:iCs/>
          <w:szCs w:val="16"/>
        </w:rPr>
      </w:pPr>
      <w:r w:rsidRPr="00B84886">
        <w:rPr>
          <w:i/>
          <w:iCs/>
          <w:caps/>
          <w:szCs w:val="16"/>
        </w:rPr>
        <w:t>R</w:t>
      </w:r>
      <w:r w:rsidR="0035477E" w:rsidRPr="00B84886">
        <w:rPr>
          <w:i/>
          <w:iCs/>
          <w:szCs w:val="16"/>
        </w:rPr>
        <w:t>éférence</w:t>
      </w:r>
      <w:r w:rsidRPr="00B84886">
        <w:rPr>
          <w:i/>
          <w:iCs/>
          <w:caps/>
          <w:szCs w:val="16"/>
        </w:rPr>
        <w:t xml:space="preserve">: </w:t>
      </w:r>
      <w:hyperlink r:id="rId34" w:history="1">
        <w:r w:rsidRPr="00B84886">
          <w:rPr>
            <w:rStyle w:val="Hyperlink"/>
            <w:i/>
            <w:iCs/>
            <w:caps/>
            <w:szCs w:val="16"/>
          </w:rPr>
          <w:t>D</w:t>
        </w:r>
        <w:r w:rsidR="0035477E" w:rsidRPr="00B84886">
          <w:rPr>
            <w:rStyle w:val="Hyperlink"/>
            <w:i/>
            <w:iCs/>
            <w:szCs w:val="16"/>
          </w:rPr>
          <w:t>ocument</w:t>
        </w:r>
        <w:r w:rsidRPr="00B84886">
          <w:rPr>
            <w:rStyle w:val="Hyperlink"/>
            <w:i/>
            <w:iCs/>
            <w:caps/>
            <w:szCs w:val="16"/>
          </w:rPr>
          <w:t xml:space="preserve"> C20/2</w:t>
        </w:r>
      </w:hyperlink>
    </w:p>
    <w:p w14:paraId="79544BB5" w14:textId="77777777" w:rsidR="006904CB" w:rsidRPr="00B84886" w:rsidRDefault="006904CB" w:rsidP="00143F07">
      <w:pPr>
        <w:pStyle w:val="AnnexNo"/>
        <w:rPr>
          <w:lang w:val="fr-FR"/>
        </w:rPr>
      </w:pPr>
      <w:r w:rsidRPr="00B84886">
        <w:rPr>
          <w:lang w:val="fr-FR"/>
        </w:rPr>
        <w:t>PROJET DE DÉCISION […]</w:t>
      </w:r>
    </w:p>
    <w:p w14:paraId="31E959CA" w14:textId="77777777" w:rsidR="006904CB" w:rsidRPr="00B84886" w:rsidRDefault="006904CB" w:rsidP="00143F07">
      <w:pPr>
        <w:pStyle w:val="Annextitle"/>
      </w:pPr>
      <w:r w:rsidRPr="00B84886">
        <w:t xml:space="preserve">Dates et durée des sessions de 2021, 2022, 2023, 2024, 2025 et 2026 du Conseil </w:t>
      </w:r>
      <w:r w:rsidRPr="00B84886">
        <w:br/>
        <w:t xml:space="preserve">et des séries de réunions des Groupes de travail et des Groupes d'experts </w:t>
      </w:r>
      <w:r w:rsidRPr="00B84886">
        <w:br/>
        <w:t>du Conseil de 2020, 2021 et 2022</w:t>
      </w:r>
    </w:p>
    <w:p w14:paraId="602657BF" w14:textId="77777777" w:rsidR="006904CB" w:rsidRPr="00B84886" w:rsidRDefault="006904CB" w:rsidP="00143F07">
      <w:pPr>
        <w:pStyle w:val="Normalaftertitle0"/>
        <w:rPr>
          <w:rFonts w:asciiTheme="minorHAnsi" w:hAnsiTheme="minorHAnsi" w:cstheme="minorHAnsi"/>
          <w:szCs w:val="24"/>
          <w:lang w:val="fr-FR"/>
        </w:rPr>
      </w:pPr>
      <w:r w:rsidRPr="00B84886">
        <w:rPr>
          <w:rFonts w:asciiTheme="minorHAnsi" w:hAnsiTheme="minorHAnsi" w:cstheme="minorHAnsi"/>
          <w:szCs w:val="24"/>
          <w:lang w:val="fr-FR"/>
        </w:rPr>
        <w:t>Le Conseil de l'UIT,</w:t>
      </w:r>
    </w:p>
    <w:p w14:paraId="3A013186" w14:textId="77777777" w:rsidR="006904CB" w:rsidRPr="00B84886" w:rsidRDefault="006904CB" w:rsidP="00143F07">
      <w:pPr>
        <w:pStyle w:val="Call"/>
        <w:spacing w:line="240" w:lineRule="auto"/>
        <w:rPr>
          <w:sz w:val="24"/>
          <w:szCs w:val="24"/>
        </w:rPr>
      </w:pPr>
      <w:r w:rsidRPr="00B84886">
        <w:rPr>
          <w:sz w:val="24"/>
          <w:szCs w:val="24"/>
        </w:rPr>
        <w:t>ayant à l'esprit</w:t>
      </w:r>
    </w:p>
    <w:p w14:paraId="5AD5B42D" w14:textId="77777777" w:rsidR="006904CB" w:rsidRPr="00B84886" w:rsidRDefault="006904CB" w:rsidP="00143F07">
      <w:pPr>
        <w:spacing w:line="240" w:lineRule="auto"/>
        <w:jc w:val="left"/>
        <w:rPr>
          <w:sz w:val="24"/>
          <w:szCs w:val="24"/>
        </w:rPr>
      </w:pPr>
      <w:r w:rsidRPr="00B84886">
        <w:rPr>
          <w:i/>
          <w:iCs/>
          <w:sz w:val="24"/>
          <w:szCs w:val="24"/>
        </w:rPr>
        <w:t>a)</w:t>
      </w:r>
      <w:r w:rsidRPr="00B84886">
        <w:rPr>
          <w:sz w:val="24"/>
          <w:szCs w:val="24"/>
        </w:rPr>
        <w:tab/>
        <w:t>la Résolution 77 (Rév. Dubaï, 2018) de la Conférence de plénipotentiaires, aux termes de laquelle le Conseil est chargé "de planifier, à chaque session ordinaire, ses trois prochaines sessions ordinaires en juin-juillet, et de revoir cette planification d'une année à l'autre";</w:t>
      </w:r>
    </w:p>
    <w:p w14:paraId="536DFBA9" w14:textId="77777777" w:rsidR="006904CB" w:rsidRPr="00B84886" w:rsidRDefault="006904CB" w:rsidP="00143F07">
      <w:pPr>
        <w:spacing w:line="240" w:lineRule="auto"/>
        <w:jc w:val="left"/>
        <w:rPr>
          <w:sz w:val="24"/>
          <w:szCs w:val="24"/>
        </w:rPr>
      </w:pPr>
      <w:r w:rsidRPr="00B84886">
        <w:rPr>
          <w:i/>
          <w:iCs/>
          <w:sz w:val="24"/>
          <w:szCs w:val="24"/>
        </w:rPr>
        <w:t>b)</w:t>
      </w:r>
      <w:r w:rsidRPr="00B84886">
        <w:rPr>
          <w:i/>
          <w:iCs/>
          <w:sz w:val="24"/>
          <w:szCs w:val="24"/>
        </w:rPr>
        <w:tab/>
      </w:r>
      <w:r w:rsidRPr="00B84886">
        <w:rPr>
          <w:sz w:val="24"/>
          <w:szCs w:val="24"/>
        </w:rPr>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3D5C7004" w14:textId="77777777" w:rsidR="006904CB" w:rsidRPr="00B84886" w:rsidRDefault="006904CB" w:rsidP="00143F07">
      <w:pPr>
        <w:spacing w:line="240" w:lineRule="auto"/>
        <w:jc w:val="left"/>
        <w:rPr>
          <w:sz w:val="24"/>
          <w:szCs w:val="24"/>
        </w:rPr>
      </w:pPr>
      <w:r w:rsidRPr="00B84886">
        <w:rPr>
          <w:i/>
          <w:sz w:val="24"/>
          <w:szCs w:val="24"/>
        </w:rPr>
        <w:t>c)</w:t>
      </w:r>
      <w:r w:rsidRPr="00B84886">
        <w:rPr>
          <w:i/>
          <w:sz w:val="24"/>
          <w:szCs w:val="24"/>
        </w:rPr>
        <w:tab/>
      </w:r>
      <w:r w:rsidRPr="00B84886">
        <w:rPr>
          <w:sz w:val="24"/>
          <w:szCs w:val="24"/>
        </w:rPr>
        <w:t>la Décision 619 relative aux locaux du siège adoptée à la session additionnelle de 2019 du Conseil,</w:t>
      </w:r>
    </w:p>
    <w:p w14:paraId="1E421954" w14:textId="77777777" w:rsidR="006904CB" w:rsidRPr="00B84886" w:rsidRDefault="006904CB" w:rsidP="00143F07">
      <w:pPr>
        <w:pStyle w:val="Call"/>
        <w:spacing w:line="240" w:lineRule="auto"/>
        <w:rPr>
          <w:sz w:val="24"/>
          <w:szCs w:val="24"/>
        </w:rPr>
      </w:pPr>
      <w:r w:rsidRPr="00B84886">
        <w:rPr>
          <w:sz w:val="24"/>
          <w:szCs w:val="24"/>
        </w:rPr>
        <w:t>rappelant</w:t>
      </w:r>
    </w:p>
    <w:p w14:paraId="68D2771E" w14:textId="77777777" w:rsidR="006904CB" w:rsidRPr="00B84886" w:rsidRDefault="006904CB" w:rsidP="00143F07">
      <w:pPr>
        <w:spacing w:line="240" w:lineRule="auto"/>
        <w:jc w:val="left"/>
        <w:rPr>
          <w:sz w:val="24"/>
          <w:szCs w:val="24"/>
        </w:rPr>
      </w:pPr>
      <w:r w:rsidRPr="00B84886">
        <w:rPr>
          <w:sz w:val="24"/>
          <w:szCs w:val="24"/>
        </w:rPr>
        <w:t>la Décision 612 du Conseil, aux termes de laquelle les dates des sessions de 2021 et 2022 du Conseil ont été confirmées,</w:t>
      </w:r>
    </w:p>
    <w:p w14:paraId="6D309E4D" w14:textId="77777777" w:rsidR="006904CB" w:rsidRPr="00B84886" w:rsidRDefault="006904CB" w:rsidP="00143F07">
      <w:pPr>
        <w:pStyle w:val="Call"/>
        <w:spacing w:line="240" w:lineRule="auto"/>
        <w:rPr>
          <w:sz w:val="24"/>
          <w:szCs w:val="24"/>
        </w:rPr>
      </w:pPr>
      <w:r w:rsidRPr="00B84886">
        <w:rPr>
          <w:sz w:val="24"/>
          <w:szCs w:val="24"/>
        </w:rPr>
        <w:t>considérant</w:t>
      </w:r>
    </w:p>
    <w:p w14:paraId="7D35D918" w14:textId="77777777" w:rsidR="006904CB" w:rsidRPr="00B84886" w:rsidRDefault="006904CB" w:rsidP="00143F07">
      <w:pPr>
        <w:spacing w:line="240" w:lineRule="auto"/>
        <w:jc w:val="left"/>
        <w:rPr>
          <w:sz w:val="24"/>
          <w:szCs w:val="24"/>
        </w:rPr>
      </w:pPr>
      <w:r w:rsidRPr="00B84886">
        <w:rPr>
          <w:sz w:val="24"/>
          <w:szCs w:val="24"/>
        </w:rPr>
        <w:t>la nécessité de planifier, dans toute la mesure possible, les sessions ordinaires du Conseil autour des mêmes dates chaque année, afin de faciliter l'organisation des autres manifestations de l'UIT,</w:t>
      </w:r>
    </w:p>
    <w:p w14:paraId="15D667EE" w14:textId="77777777" w:rsidR="006904CB" w:rsidRPr="00B84886" w:rsidRDefault="006904CB" w:rsidP="00143F07">
      <w:pPr>
        <w:pStyle w:val="Call"/>
        <w:spacing w:line="240" w:lineRule="auto"/>
        <w:rPr>
          <w:sz w:val="24"/>
          <w:szCs w:val="24"/>
        </w:rPr>
      </w:pPr>
      <w:r w:rsidRPr="00B84886">
        <w:rPr>
          <w:sz w:val="24"/>
          <w:szCs w:val="24"/>
        </w:rPr>
        <w:t>considérant en outre</w:t>
      </w:r>
    </w:p>
    <w:p w14:paraId="5D5DD2D3" w14:textId="77777777" w:rsidR="006904CB" w:rsidRPr="00B84886" w:rsidRDefault="006904CB" w:rsidP="00143F07">
      <w:pPr>
        <w:spacing w:line="240" w:lineRule="auto"/>
        <w:jc w:val="left"/>
        <w:rPr>
          <w:color w:val="000000"/>
          <w:sz w:val="24"/>
          <w:szCs w:val="24"/>
        </w:rPr>
      </w:pPr>
      <w:r w:rsidRPr="00B84886">
        <w:rPr>
          <w:sz w:val="24"/>
          <w:szCs w:val="24"/>
        </w:rPr>
        <w:t>la nécessité d'organiser suffisamment tôt la session ordinaire du Conseil, l'année où se tient une Conférence de plénipotentiaires (PP), afin que les rapports du Conseil qui seront examinés plus avant lors de la PP puissent être publiés dans un délai raisonnable</w:t>
      </w:r>
      <w:r w:rsidRPr="00B84886">
        <w:rPr>
          <w:color w:val="000000"/>
          <w:sz w:val="24"/>
          <w:szCs w:val="24"/>
        </w:rPr>
        <w:t>,</w:t>
      </w:r>
    </w:p>
    <w:p w14:paraId="736DDFC9" w14:textId="77777777" w:rsidR="006904CB" w:rsidRPr="00B84886" w:rsidRDefault="006904CB" w:rsidP="00143F07">
      <w:pPr>
        <w:pStyle w:val="call0"/>
        <w:jc w:val="both"/>
        <w:rPr>
          <w:szCs w:val="24"/>
          <w:lang w:val="fr-FR"/>
        </w:rPr>
      </w:pPr>
      <w:r w:rsidRPr="00B84886">
        <w:rPr>
          <w:szCs w:val="24"/>
          <w:lang w:val="fr-FR"/>
        </w:rPr>
        <w:t>soulignant</w:t>
      </w:r>
    </w:p>
    <w:p w14:paraId="592F1AE1" w14:textId="77777777" w:rsidR="006904CB" w:rsidRPr="00B84886" w:rsidRDefault="006904CB" w:rsidP="00143F07">
      <w:pPr>
        <w:tabs>
          <w:tab w:val="left" w:pos="708"/>
        </w:tabs>
        <w:snapToGrid w:val="0"/>
        <w:spacing w:line="240" w:lineRule="auto"/>
        <w:jc w:val="left"/>
        <w:rPr>
          <w:sz w:val="24"/>
          <w:szCs w:val="24"/>
        </w:rPr>
      </w:pPr>
      <w:r w:rsidRPr="00B84886">
        <w:rPr>
          <w:sz w:val="24"/>
          <w:szCs w:val="24"/>
        </w:rPr>
        <w:t>que la planification des séries de réunions des Groupes de travail (GTC) et des Groupes d'experts (EG) du Conseil au cours des trois prochaines années permettrait non seulement d'améliorer la planification générale des manifestations de l'UIT, mais aussi de réduire le risque de chevauchement,</w:t>
      </w:r>
    </w:p>
    <w:p w14:paraId="7F270320" w14:textId="77777777" w:rsidR="006904CB" w:rsidRPr="00B84886" w:rsidRDefault="006904CB" w:rsidP="00143F07">
      <w:pPr>
        <w:pStyle w:val="call0"/>
        <w:rPr>
          <w:szCs w:val="24"/>
          <w:lang w:val="fr-FR"/>
        </w:rPr>
      </w:pPr>
      <w:r w:rsidRPr="00B84886">
        <w:rPr>
          <w:szCs w:val="24"/>
          <w:lang w:val="fr-FR"/>
        </w:rPr>
        <w:lastRenderedPageBreak/>
        <w:t>reconnaissant</w:t>
      </w:r>
    </w:p>
    <w:p w14:paraId="16AFD737" w14:textId="77777777" w:rsidR="006904CB" w:rsidRPr="00B84886" w:rsidRDefault="006904CB" w:rsidP="00143F07">
      <w:pPr>
        <w:spacing w:line="240" w:lineRule="auto"/>
        <w:jc w:val="left"/>
        <w:rPr>
          <w:sz w:val="24"/>
          <w:szCs w:val="24"/>
        </w:rPr>
      </w:pPr>
      <w:r w:rsidRPr="00B84886">
        <w:rPr>
          <w:sz w:val="24"/>
          <w:szCs w:val="24"/>
        </w:rPr>
        <w:t xml:space="preserve">la nécessité </w:t>
      </w:r>
      <w:r w:rsidRPr="00B84886">
        <w:rPr>
          <w:sz w:val="24"/>
          <w:szCs w:val="24"/>
          <w:lang w:eastAsia="zh-CN"/>
        </w:rPr>
        <w:t>de répondre aux besoins en ce qui concerne les salles de conférence et de réunion provisoires pendant la démolition et la phase de construction initiale du projet, en établissant une liste des besoins et en indiquant les dates des conférences et réunions pendant cette période</w:t>
      </w:r>
      <w:r w:rsidRPr="00B84886">
        <w:rPr>
          <w:rFonts w:asciiTheme="minorHAnsi" w:hAnsiTheme="minorHAnsi" w:cstheme="minorHAnsi"/>
          <w:sz w:val="24"/>
          <w:szCs w:val="24"/>
        </w:rPr>
        <w:t>,</w:t>
      </w:r>
    </w:p>
    <w:p w14:paraId="72E024BB" w14:textId="77777777" w:rsidR="006904CB" w:rsidRPr="00B84886" w:rsidRDefault="006904CB" w:rsidP="00143F07">
      <w:pPr>
        <w:pStyle w:val="Call"/>
        <w:spacing w:line="240" w:lineRule="auto"/>
        <w:rPr>
          <w:sz w:val="24"/>
          <w:szCs w:val="24"/>
        </w:rPr>
      </w:pPr>
      <w:r w:rsidRPr="00B84886">
        <w:rPr>
          <w:sz w:val="24"/>
          <w:szCs w:val="24"/>
        </w:rPr>
        <w:t>décide</w:t>
      </w:r>
    </w:p>
    <w:p w14:paraId="1BEE0C47" w14:textId="77777777" w:rsidR="006904CB" w:rsidRPr="00B84886" w:rsidRDefault="006904CB" w:rsidP="00143F07">
      <w:pPr>
        <w:tabs>
          <w:tab w:val="left" w:pos="426"/>
        </w:tabs>
        <w:spacing w:line="240" w:lineRule="auto"/>
        <w:jc w:val="left"/>
        <w:rPr>
          <w:rFonts w:asciiTheme="minorHAnsi" w:hAnsiTheme="minorHAnsi"/>
          <w:sz w:val="24"/>
          <w:szCs w:val="24"/>
        </w:rPr>
      </w:pPr>
      <w:r w:rsidRPr="00B84886">
        <w:rPr>
          <w:rFonts w:asciiTheme="minorHAnsi" w:hAnsiTheme="minorHAnsi"/>
          <w:snapToGrid w:val="0"/>
          <w:sz w:val="24"/>
          <w:szCs w:val="24"/>
        </w:rPr>
        <w:t>1</w:t>
      </w:r>
      <w:r w:rsidRPr="00B84886">
        <w:rPr>
          <w:rFonts w:asciiTheme="minorHAnsi" w:hAnsiTheme="minorHAnsi"/>
          <w:snapToGrid w:val="0"/>
          <w:sz w:val="24"/>
          <w:szCs w:val="24"/>
        </w:rPr>
        <w:tab/>
        <w:t>qu'en 2020, la seconde série de réunions des GTC et des EG aura lieu du lundi 14 septembre au vendredi 25 septembre 2020</w:t>
      </w:r>
      <w:r w:rsidRPr="00B84886">
        <w:rPr>
          <w:rFonts w:asciiTheme="minorHAnsi" w:hAnsiTheme="minorHAnsi"/>
          <w:sz w:val="24"/>
          <w:szCs w:val="24"/>
        </w:rPr>
        <w:t>;</w:t>
      </w:r>
    </w:p>
    <w:p w14:paraId="1659BA77" w14:textId="77777777" w:rsidR="006904CB" w:rsidRPr="00B84886" w:rsidRDefault="006904CB" w:rsidP="00143F07">
      <w:pPr>
        <w:tabs>
          <w:tab w:val="left" w:pos="426"/>
        </w:tabs>
        <w:spacing w:line="240" w:lineRule="auto"/>
        <w:jc w:val="left"/>
        <w:rPr>
          <w:snapToGrid w:val="0"/>
          <w:sz w:val="24"/>
          <w:szCs w:val="24"/>
        </w:rPr>
      </w:pPr>
      <w:r w:rsidRPr="00B84886">
        <w:rPr>
          <w:snapToGrid w:val="0"/>
          <w:sz w:val="24"/>
          <w:szCs w:val="24"/>
        </w:rPr>
        <w:t>2</w:t>
      </w:r>
      <w:r w:rsidRPr="00B84886">
        <w:rPr>
          <w:snapToGrid w:val="0"/>
          <w:sz w:val="24"/>
          <w:szCs w:val="24"/>
        </w:rPr>
        <w:tab/>
        <w:t xml:space="preserve">que la session de 2021 du Conseil se tiendra à Genève pour une période de neuf jours ouvrables </w:t>
      </w:r>
      <w:r w:rsidRPr="00B84886">
        <w:rPr>
          <w:rFonts w:asciiTheme="minorHAnsi" w:hAnsiTheme="minorHAnsi"/>
          <w:snapToGrid w:val="0"/>
          <w:sz w:val="24"/>
          <w:szCs w:val="24"/>
        </w:rPr>
        <w:t>et que les séries de réunions des GTC et des EG organisées à l'occasion de cette session auront lieu aux dates suivantes:</w:t>
      </w:r>
    </w:p>
    <w:p w14:paraId="0B532354" w14:textId="77777777" w:rsidR="006904CB" w:rsidRPr="00B84886" w:rsidRDefault="006904CB" w:rsidP="00143F07">
      <w:pPr>
        <w:pStyle w:val="enumlev1"/>
        <w:spacing w:line="240" w:lineRule="auto"/>
        <w:jc w:val="left"/>
        <w:rPr>
          <w:snapToGrid w:val="0"/>
          <w:sz w:val="24"/>
          <w:szCs w:val="24"/>
        </w:rPr>
      </w:pPr>
      <w:r w:rsidRPr="00B84886">
        <w:rPr>
          <w:snapToGrid w:val="0"/>
          <w:sz w:val="24"/>
          <w:szCs w:val="24"/>
        </w:rPr>
        <w:t>–</w:t>
      </w:r>
      <w:r w:rsidRPr="00B84886">
        <w:rPr>
          <w:snapToGrid w:val="0"/>
          <w:sz w:val="24"/>
          <w:szCs w:val="24"/>
        </w:rPr>
        <w:tab/>
        <w:t>première série de réunions des GTC et des EG: du lundi 25 janvier au vendredi 5 février 2021;</w:t>
      </w:r>
    </w:p>
    <w:p w14:paraId="0F7EF48E" w14:textId="77777777" w:rsidR="006904CB" w:rsidRPr="00B84886" w:rsidRDefault="006904CB" w:rsidP="00143F07">
      <w:pPr>
        <w:pStyle w:val="enumlev1"/>
        <w:spacing w:line="240" w:lineRule="auto"/>
        <w:jc w:val="left"/>
        <w:rPr>
          <w:b/>
          <w:sz w:val="24"/>
          <w:szCs w:val="24"/>
        </w:rPr>
      </w:pPr>
      <w:r w:rsidRPr="00B84886">
        <w:rPr>
          <w:snapToGrid w:val="0"/>
          <w:sz w:val="24"/>
          <w:szCs w:val="24"/>
        </w:rPr>
        <w:t>–</w:t>
      </w:r>
      <w:r w:rsidRPr="00B84886">
        <w:rPr>
          <w:snapToGrid w:val="0"/>
          <w:sz w:val="24"/>
          <w:szCs w:val="24"/>
        </w:rPr>
        <w:tab/>
      </w:r>
      <w:r w:rsidRPr="00B84886">
        <w:rPr>
          <w:b/>
          <w:bCs/>
          <w:snapToGrid w:val="0"/>
          <w:sz w:val="24"/>
          <w:szCs w:val="24"/>
        </w:rPr>
        <w:t>session de 2021 du</w:t>
      </w:r>
      <w:r w:rsidRPr="00B84886">
        <w:rPr>
          <w:snapToGrid w:val="0"/>
          <w:sz w:val="24"/>
          <w:szCs w:val="24"/>
        </w:rPr>
        <w:t xml:space="preserve"> </w:t>
      </w:r>
      <w:r w:rsidRPr="00B84886">
        <w:rPr>
          <w:b/>
          <w:bCs/>
          <w:snapToGrid w:val="0"/>
          <w:sz w:val="24"/>
          <w:szCs w:val="24"/>
        </w:rPr>
        <w:t xml:space="preserve">Conseil: </w:t>
      </w:r>
      <w:r w:rsidRPr="00B84886">
        <w:rPr>
          <w:b/>
          <w:sz w:val="24"/>
          <w:szCs w:val="24"/>
        </w:rPr>
        <w:t>du mardi</w:t>
      </w:r>
      <w:r w:rsidRPr="00B84886">
        <w:rPr>
          <w:b/>
          <w:bCs/>
          <w:sz w:val="24"/>
          <w:szCs w:val="24"/>
        </w:rPr>
        <w:t xml:space="preserve"> 8 </w:t>
      </w:r>
      <w:r w:rsidRPr="00B84886">
        <w:rPr>
          <w:b/>
          <w:sz w:val="24"/>
          <w:szCs w:val="24"/>
        </w:rPr>
        <w:t>juin au vendredi</w:t>
      </w:r>
      <w:r w:rsidRPr="00B84886">
        <w:rPr>
          <w:b/>
          <w:bCs/>
          <w:sz w:val="24"/>
          <w:szCs w:val="24"/>
        </w:rPr>
        <w:t xml:space="preserve"> 18</w:t>
      </w:r>
      <w:r w:rsidRPr="00B84886">
        <w:rPr>
          <w:b/>
          <w:sz w:val="24"/>
          <w:szCs w:val="24"/>
        </w:rPr>
        <w:t xml:space="preserve"> juin </w:t>
      </w:r>
      <w:r w:rsidRPr="00B84886">
        <w:rPr>
          <w:b/>
          <w:bCs/>
          <w:sz w:val="24"/>
          <w:szCs w:val="24"/>
        </w:rPr>
        <w:t>2021</w:t>
      </w:r>
      <w:r w:rsidRPr="00B84886">
        <w:rPr>
          <w:sz w:val="24"/>
          <w:szCs w:val="24"/>
        </w:rPr>
        <w:t>;</w:t>
      </w:r>
    </w:p>
    <w:p w14:paraId="1478B76B" w14:textId="77777777" w:rsidR="006904CB" w:rsidRPr="00B84886" w:rsidRDefault="006904CB" w:rsidP="00143F07">
      <w:pPr>
        <w:pStyle w:val="enumlev1"/>
        <w:spacing w:line="240" w:lineRule="auto"/>
        <w:jc w:val="left"/>
        <w:rPr>
          <w:snapToGrid w:val="0"/>
          <w:sz w:val="24"/>
          <w:szCs w:val="24"/>
        </w:rPr>
      </w:pPr>
      <w:bookmarkStart w:id="19" w:name="_Hlk38552166"/>
      <w:r w:rsidRPr="00B84886">
        <w:rPr>
          <w:snapToGrid w:val="0"/>
          <w:sz w:val="24"/>
          <w:szCs w:val="24"/>
        </w:rPr>
        <w:t>–</w:t>
      </w:r>
      <w:r w:rsidRPr="00B84886">
        <w:rPr>
          <w:snapToGrid w:val="0"/>
          <w:sz w:val="24"/>
          <w:szCs w:val="24"/>
        </w:rPr>
        <w:tab/>
        <w:t>seconde série de réunions des GTC et des EG: du lundi 20 septembre au vendredi 1er octobre 2021;</w:t>
      </w:r>
    </w:p>
    <w:bookmarkEnd w:id="19"/>
    <w:p w14:paraId="76213073" w14:textId="77777777" w:rsidR="006904CB" w:rsidRPr="00B84886" w:rsidRDefault="006904CB" w:rsidP="00143F07">
      <w:pPr>
        <w:keepNext/>
        <w:keepLines/>
        <w:tabs>
          <w:tab w:val="left" w:pos="426"/>
        </w:tabs>
        <w:spacing w:line="240" w:lineRule="auto"/>
        <w:jc w:val="left"/>
        <w:rPr>
          <w:rFonts w:asciiTheme="minorHAnsi" w:hAnsiTheme="minorHAnsi"/>
          <w:snapToGrid w:val="0"/>
          <w:sz w:val="24"/>
          <w:szCs w:val="24"/>
        </w:rPr>
      </w:pPr>
      <w:r w:rsidRPr="00B84886">
        <w:rPr>
          <w:snapToGrid w:val="0"/>
          <w:spacing w:val="-4"/>
          <w:sz w:val="24"/>
          <w:szCs w:val="24"/>
        </w:rPr>
        <w:t>3</w:t>
      </w:r>
      <w:r w:rsidRPr="00B84886">
        <w:rPr>
          <w:snapToGrid w:val="0"/>
          <w:spacing w:val="-4"/>
          <w:sz w:val="24"/>
          <w:szCs w:val="24"/>
        </w:rPr>
        <w:tab/>
      </w:r>
      <w:r w:rsidRPr="00B84886">
        <w:rPr>
          <w:snapToGrid w:val="0"/>
          <w:sz w:val="24"/>
          <w:szCs w:val="24"/>
        </w:rPr>
        <w:t>que la session ordinaire de 2022 du Conseil se tiendra à Genève pour une période de neuf jours ouvrables</w:t>
      </w:r>
      <w:r w:rsidRPr="00B84886">
        <w:rPr>
          <w:snapToGrid w:val="0"/>
          <w:spacing w:val="-4"/>
          <w:sz w:val="24"/>
          <w:szCs w:val="24"/>
        </w:rPr>
        <w:t xml:space="preserve"> </w:t>
      </w:r>
      <w:r w:rsidRPr="00B84886">
        <w:rPr>
          <w:rFonts w:asciiTheme="minorHAnsi" w:hAnsiTheme="minorHAnsi"/>
          <w:snapToGrid w:val="0"/>
          <w:sz w:val="24"/>
          <w:szCs w:val="24"/>
        </w:rPr>
        <w:t xml:space="preserve">et que la série de réunions des GTC et des </w:t>
      </w:r>
      <w:r w:rsidRPr="00B84886">
        <w:rPr>
          <w:snapToGrid w:val="0"/>
          <w:sz w:val="24"/>
          <w:szCs w:val="24"/>
        </w:rPr>
        <w:t>EG</w:t>
      </w:r>
      <w:r w:rsidRPr="00B84886">
        <w:rPr>
          <w:rFonts w:asciiTheme="minorHAnsi" w:hAnsiTheme="minorHAnsi"/>
          <w:snapToGrid w:val="0"/>
          <w:sz w:val="24"/>
          <w:szCs w:val="24"/>
        </w:rPr>
        <w:t xml:space="preserve"> organisée à l'occasion de cette session aura lieu aux dates suivantes:</w:t>
      </w:r>
    </w:p>
    <w:p w14:paraId="724CAEE6" w14:textId="77777777" w:rsidR="006904CB" w:rsidRPr="00B84886" w:rsidRDefault="006904CB" w:rsidP="00143F07">
      <w:pPr>
        <w:pStyle w:val="enumlev1"/>
        <w:spacing w:line="240" w:lineRule="auto"/>
        <w:jc w:val="left"/>
        <w:rPr>
          <w:rFonts w:asciiTheme="minorHAnsi" w:hAnsiTheme="minorHAnsi"/>
          <w:b/>
          <w:bCs/>
          <w:snapToGrid w:val="0"/>
          <w:sz w:val="24"/>
          <w:szCs w:val="24"/>
        </w:rPr>
      </w:pPr>
      <w:r w:rsidRPr="00B84886">
        <w:rPr>
          <w:snapToGrid w:val="0"/>
          <w:sz w:val="24"/>
          <w:szCs w:val="24"/>
        </w:rPr>
        <w:t>–</w:t>
      </w:r>
      <w:r w:rsidRPr="00B84886">
        <w:rPr>
          <w:snapToGrid w:val="0"/>
          <w:sz w:val="24"/>
          <w:szCs w:val="24"/>
        </w:rPr>
        <w:tab/>
      </w:r>
      <w:r w:rsidRPr="00B84886">
        <w:rPr>
          <w:rFonts w:asciiTheme="minorHAnsi" w:hAnsiTheme="minorHAnsi"/>
          <w:snapToGrid w:val="0"/>
          <w:sz w:val="24"/>
          <w:szCs w:val="24"/>
        </w:rPr>
        <w:t xml:space="preserve">série de réunions des GTC et des </w:t>
      </w:r>
      <w:r w:rsidRPr="00B84886">
        <w:rPr>
          <w:snapToGrid w:val="0"/>
          <w:sz w:val="24"/>
          <w:szCs w:val="24"/>
        </w:rPr>
        <w:t>EG: du lundi 10 janvier au vendredi 21 janvier 2022;</w:t>
      </w:r>
    </w:p>
    <w:p w14:paraId="02DEA8F7" w14:textId="77777777" w:rsidR="006904CB" w:rsidRPr="00B84886" w:rsidRDefault="006904CB" w:rsidP="00143F07">
      <w:pPr>
        <w:pStyle w:val="enumlev1"/>
        <w:spacing w:line="240" w:lineRule="auto"/>
        <w:jc w:val="left"/>
        <w:rPr>
          <w:rFonts w:asciiTheme="minorHAnsi" w:hAnsiTheme="minorHAnsi"/>
          <w:sz w:val="24"/>
          <w:szCs w:val="24"/>
        </w:rPr>
      </w:pPr>
      <w:r w:rsidRPr="00B84886">
        <w:rPr>
          <w:snapToGrid w:val="0"/>
          <w:sz w:val="24"/>
          <w:szCs w:val="24"/>
        </w:rPr>
        <w:t>–</w:t>
      </w:r>
      <w:r w:rsidRPr="00B84886">
        <w:rPr>
          <w:snapToGrid w:val="0"/>
          <w:sz w:val="24"/>
          <w:szCs w:val="24"/>
        </w:rPr>
        <w:tab/>
      </w:r>
      <w:r w:rsidRPr="00B84886">
        <w:rPr>
          <w:b/>
          <w:bCs/>
          <w:snapToGrid w:val="0"/>
          <w:sz w:val="24"/>
          <w:szCs w:val="24"/>
        </w:rPr>
        <w:t>session de 2022 du</w:t>
      </w:r>
      <w:r w:rsidRPr="00B84886">
        <w:rPr>
          <w:snapToGrid w:val="0"/>
          <w:sz w:val="24"/>
          <w:szCs w:val="24"/>
        </w:rPr>
        <w:t xml:space="preserve"> </w:t>
      </w:r>
      <w:r w:rsidRPr="00B84886">
        <w:rPr>
          <w:b/>
          <w:bCs/>
          <w:snapToGrid w:val="0"/>
          <w:sz w:val="24"/>
          <w:szCs w:val="24"/>
        </w:rPr>
        <w:t>Conseil:</w:t>
      </w:r>
      <w:r w:rsidRPr="00B84886">
        <w:rPr>
          <w:b/>
          <w:sz w:val="24"/>
          <w:szCs w:val="24"/>
        </w:rPr>
        <w:t xml:space="preserve"> du mardi 22 mars au vendredi 1er avril</w:t>
      </w:r>
      <w:r w:rsidRPr="00B84886">
        <w:rPr>
          <w:rFonts w:asciiTheme="minorHAnsi" w:hAnsiTheme="minorHAnsi"/>
          <w:b/>
          <w:bCs/>
          <w:snapToGrid w:val="0"/>
          <w:sz w:val="24"/>
          <w:szCs w:val="24"/>
        </w:rPr>
        <w:t xml:space="preserve"> 2022</w:t>
      </w:r>
      <w:r w:rsidRPr="00B84886">
        <w:rPr>
          <w:rFonts w:asciiTheme="minorHAnsi" w:hAnsiTheme="minorHAnsi"/>
          <w:snapToGrid w:val="0"/>
          <w:sz w:val="24"/>
          <w:szCs w:val="24"/>
        </w:rPr>
        <w:t>,</w:t>
      </w:r>
      <w:r w:rsidRPr="00B84886">
        <w:rPr>
          <w:rFonts w:asciiTheme="minorHAnsi" w:hAnsiTheme="minorHAnsi"/>
          <w:b/>
          <w:bCs/>
          <w:snapToGrid w:val="0"/>
          <w:sz w:val="24"/>
          <w:szCs w:val="24"/>
        </w:rPr>
        <w:t xml:space="preserve"> </w:t>
      </w:r>
      <w:r w:rsidRPr="00B84886">
        <w:rPr>
          <w:rFonts w:asciiTheme="minorHAnsi" w:hAnsiTheme="minorHAnsi"/>
          <w:sz w:val="24"/>
          <w:szCs w:val="24"/>
        </w:rPr>
        <w:t xml:space="preserve">sa dernière réunion devant se tenir le </w:t>
      </w:r>
      <w:r w:rsidRPr="00B84886">
        <w:rPr>
          <w:rFonts w:asciiTheme="minorHAnsi" w:hAnsiTheme="minorHAnsi"/>
          <w:snapToGrid w:val="0"/>
          <w:sz w:val="24"/>
          <w:szCs w:val="24"/>
        </w:rPr>
        <w:t>samedi précédant le début de la Conférence de plénipotentiaires de 2022;</w:t>
      </w:r>
    </w:p>
    <w:p w14:paraId="3304C580" w14:textId="77777777" w:rsidR="006904CB" w:rsidRPr="00B84886" w:rsidRDefault="006904CB" w:rsidP="00143F07">
      <w:pPr>
        <w:tabs>
          <w:tab w:val="left" w:pos="426"/>
        </w:tabs>
        <w:spacing w:line="240" w:lineRule="auto"/>
        <w:jc w:val="left"/>
        <w:rPr>
          <w:rFonts w:asciiTheme="minorHAnsi" w:hAnsiTheme="minorHAnsi"/>
          <w:snapToGrid w:val="0"/>
          <w:sz w:val="24"/>
          <w:szCs w:val="24"/>
        </w:rPr>
      </w:pPr>
      <w:r w:rsidRPr="00B84886">
        <w:rPr>
          <w:snapToGrid w:val="0"/>
          <w:sz w:val="24"/>
          <w:szCs w:val="24"/>
        </w:rPr>
        <w:t>4</w:t>
      </w:r>
      <w:r w:rsidRPr="00B84886">
        <w:rPr>
          <w:snapToGrid w:val="0"/>
          <w:sz w:val="24"/>
          <w:szCs w:val="24"/>
        </w:rPr>
        <w:tab/>
        <w:t xml:space="preserve">que la session de 2023 du Conseil se tiendra à Genève pour une période de neuf jours ouvrables, </w:t>
      </w:r>
      <w:r w:rsidRPr="00B84886">
        <w:rPr>
          <w:rFonts w:asciiTheme="minorHAnsi" w:hAnsiTheme="minorHAnsi"/>
          <w:snapToGrid w:val="0"/>
          <w:sz w:val="24"/>
          <w:szCs w:val="24"/>
        </w:rPr>
        <w:t>aux dates suivantes:</w:t>
      </w:r>
    </w:p>
    <w:p w14:paraId="59199B10" w14:textId="77777777" w:rsidR="006904CB" w:rsidRPr="00B84886" w:rsidRDefault="006904CB" w:rsidP="00143F07">
      <w:pPr>
        <w:pStyle w:val="enumlev1"/>
        <w:spacing w:line="240" w:lineRule="auto"/>
        <w:jc w:val="left"/>
        <w:rPr>
          <w:snapToGrid w:val="0"/>
          <w:sz w:val="24"/>
          <w:szCs w:val="24"/>
        </w:rPr>
      </w:pPr>
      <w:r w:rsidRPr="00B84886">
        <w:rPr>
          <w:snapToGrid w:val="0"/>
          <w:sz w:val="24"/>
          <w:szCs w:val="24"/>
        </w:rPr>
        <w:t>–</w:t>
      </w:r>
      <w:r w:rsidRPr="00B84886">
        <w:rPr>
          <w:snapToGrid w:val="0"/>
          <w:sz w:val="24"/>
          <w:szCs w:val="24"/>
        </w:rPr>
        <w:tab/>
      </w:r>
      <w:r w:rsidRPr="00B84886">
        <w:rPr>
          <w:b/>
          <w:bCs/>
          <w:snapToGrid w:val="0"/>
          <w:sz w:val="24"/>
          <w:szCs w:val="24"/>
        </w:rPr>
        <w:t>session de 2023 du</w:t>
      </w:r>
      <w:r w:rsidRPr="00B84886">
        <w:rPr>
          <w:snapToGrid w:val="0"/>
          <w:sz w:val="24"/>
          <w:szCs w:val="24"/>
        </w:rPr>
        <w:t xml:space="preserve"> </w:t>
      </w:r>
      <w:r w:rsidRPr="00B84886">
        <w:rPr>
          <w:b/>
          <w:bCs/>
          <w:snapToGrid w:val="0"/>
          <w:sz w:val="24"/>
          <w:szCs w:val="24"/>
        </w:rPr>
        <w:t>Conseil:</w:t>
      </w:r>
      <w:r w:rsidRPr="00B84886">
        <w:rPr>
          <w:b/>
          <w:snapToGrid w:val="0"/>
          <w:sz w:val="24"/>
          <w:szCs w:val="24"/>
        </w:rPr>
        <w:t xml:space="preserve"> </w:t>
      </w:r>
      <w:r w:rsidRPr="00B84886">
        <w:rPr>
          <w:b/>
          <w:sz w:val="24"/>
          <w:szCs w:val="24"/>
        </w:rPr>
        <w:t>du mardi 11 juillet au vendredi 21 juillet 2023</w:t>
      </w:r>
      <w:r w:rsidRPr="00B84886">
        <w:rPr>
          <w:snapToGrid w:val="0"/>
          <w:sz w:val="24"/>
          <w:szCs w:val="24"/>
        </w:rPr>
        <w:t>;</w:t>
      </w:r>
    </w:p>
    <w:p w14:paraId="465EA44E" w14:textId="77777777" w:rsidR="006904CB" w:rsidRPr="00B84886" w:rsidRDefault="006904CB" w:rsidP="00143F07">
      <w:pPr>
        <w:tabs>
          <w:tab w:val="left" w:pos="426"/>
        </w:tabs>
        <w:spacing w:line="240" w:lineRule="auto"/>
        <w:jc w:val="left"/>
        <w:rPr>
          <w:rFonts w:asciiTheme="minorHAnsi" w:hAnsiTheme="minorHAnsi"/>
          <w:snapToGrid w:val="0"/>
          <w:sz w:val="24"/>
          <w:szCs w:val="24"/>
        </w:rPr>
      </w:pPr>
      <w:r w:rsidRPr="00B84886">
        <w:rPr>
          <w:sz w:val="24"/>
          <w:szCs w:val="24"/>
        </w:rPr>
        <w:t>5</w:t>
      </w:r>
      <w:r w:rsidRPr="00B84886">
        <w:rPr>
          <w:sz w:val="24"/>
          <w:szCs w:val="24"/>
        </w:rPr>
        <w:tab/>
      </w:r>
      <w:r w:rsidRPr="00B84886">
        <w:rPr>
          <w:snapToGrid w:val="0"/>
          <w:sz w:val="24"/>
          <w:szCs w:val="24"/>
        </w:rPr>
        <w:t xml:space="preserve">que la session de 2024 du Conseil se tiendra à Genève pour une période de neuf jours ouvrables, </w:t>
      </w:r>
      <w:r w:rsidRPr="00B84886">
        <w:rPr>
          <w:rFonts w:asciiTheme="minorHAnsi" w:hAnsiTheme="minorHAnsi"/>
          <w:snapToGrid w:val="0"/>
          <w:sz w:val="24"/>
          <w:szCs w:val="24"/>
        </w:rPr>
        <w:t>aux dates suivantes:</w:t>
      </w:r>
    </w:p>
    <w:p w14:paraId="37D228F7" w14:textId="77777777" w:rsidR="006904CB" w:rsidRPr="00B84886" w:rsidRDefault="006904CB" w:rsidP="00143F07">
      <w:pPr>
        <w:pStyle w:val="enumlev1"/>
        <w:spacing w:line="240" w:lineRule="auto"/>
        <w:jc w:val="left"/>
        <w:rPr>
          <w:sz w:val="24"/>
          <w:szCs w:val="24"/>
        </w:rPr>
      </w:pPr>
      <w:r w:rsidRPr="00B84886">
        <w:rPr>
          <w:snapToGrid w:val="0"/>
          <w:sz w:val="24"/>
          <w:szCs w:val="24"/>
        </w:rPr>
        <w:t>–</w:t>
      </w:r>
      <w:r w:rsidRPr="00B84886">
        <w:rPr>
          <w:snapToGrid w:val="0"/>
          <w:sz w:val="24"/>
          <w:szCs w:val="24"/>
        </w:rPr>
        <w:tab/>
      </w:r>
      <w:r w:rsidRPr="00B84886">
        <w:rPr>
          <w:b/>
          <w:bCs/>
          <w:snapToGrid w:val="0"/>
          <w:sz w:val="24"/>
          <w:szCs w:val="24"/>
        </w:rPr>
        <w:t>session de 2024 du</w:t>
      </w:r>
      <w:r w:rsidRPr="00B84886">
        <w:rPr>
          <w:snapToGrid w:val="0"/>
          <w:sz w:val="24"/>
          <w:szCs w:val="24"/>
        </w:rPr>
        <w:t xml:space="preserve"> </w:t>
      </w:r>
      <w:r w:rsidRPr="00B84886">
        <w:rPr>
          <w:b/>
          <w:bCs/>
          <w:snapToGrid w:val="0"/>
          <w:sz w:val="24"/>
          <w:szCs w:val="24"/>
        </w:rPr>
        <w:t>Conseil:</w:t>
      </w:r>
      <w:r w:rsidRPr="00B84886">
        <w:rPr>
          <w:b/>
          <w:sz w:val="24"/>
          <w:szCs w:val="24"/>
        </w:rPr>
        <w:t xml:space="preserve"> du mardi 9 juillet au vendredi 19 juillet 2024</w:t>
      </w:r>
      <w:r w:rsidRPr="00B84886">
        <w:rPr>
          <w:sz w:val="24"/>
          <w:szCs w:val="24"/>
        </w:rPr>
        <w:t>;</w:t>
      </w:r>
    </w:p>
    <w:p w14:paraId="147A6366" w14:textId="77777777" w:rsidR="006904CB" w:rsidRPr="00B84886" w:rsidRDefault="006904CB" w:rsidP="00143F07">
      <w:pPr>
        <w:tabs>
          <w:tab w:val="left" w:pos="426"/>
        </w:tabs>
        <w:spacing w:line="240" w:lineRule="auto"/>
        <w:jc w:val="left"/>
        <w:rPr>
          <w:rFonts w:asciiTheme="minorHAnsi" w:hAnsiTheme="minorHAnsi"/>
          <w:snapToGrid w:val="0"/>
          <w:sz w:val="24"/>
          <w:szCs w:val="24"/>
        </w:rPr>
      </w:pPr>
      <w:r w:rsidRPr="00B84886">
        <w:rPr>
          <w:snapToGrid w:val="0"/>
          <w:sz w:val="24"/>
          <w:szCs w:val="24"/>
        </w:rPr>
        <w:t>6</w:t>
      </w:r>
      <w:r w:rsidRPr="00B84886">
        <w:rPr>
          <w:snapToGrid w:val="0"/>
          <w:sz w:val="24"/>
          <w:szCs w:val="24"/>
        </w:rPr>
        <w:tab/>
        <w:t xml:space="preserve">que la session de 2025 du Conseil se tiendra à Genève pour une période de neuf jours ouvrables, </w:t>
      </w:r>
      <w:r w:rsidRPr="00B84886">
        <w:rPr>
          <w:rFonts w:asciiTheme="minorHAnsi" w:hAnsiTheme="minorHAnsi"/>
          <w:snapToGrid w:val="0"/>
          <w:sz w:val="24"/>
          <w:szCs w:val="24"/>
        </w:rPr>
        <w:t>aux dates suivantes:</w:t>
      </w:r>
    </w:p>
    <w:p w14:paraId="36440776" w14:textId="77777777" w:rsidR="006904CB" w:rsidRPr="00B84886" w:rsidRDefault="006904CB" w:rsidP="00143F07">
      <w:pPr>
        <w:pStyle w:val="enumlev1"/>
        <w:spacing w:line="240" w:lineRule="auto"/>
        <w:jc w:val="left"/>
        <w:rPr>
          <w:sz w:val="24"/>
          <w:szCs w:val="24"/>
        </w:rPr>
      </w:pPr>
      <w:r w:rsidRPr="00B84886">
        <w:rPr>
          <w:snapToGrid w:val="0"/>
          <w:sz w:val="24"/>
          <w:szCs w:val="24"/>
        </w:rPr>
        <w:t>–</w:t>
      </w:r>
      <w:r w:rsidRPr="00B84886">
        <w:rPr>
          <w:snapToGrid w:val="0"/>
          <w:sz w:val="24"/>
          <w:szCs w:val="24"/>
        </w:rPr>
        <w:tab/>
      </w:r>
      <w:r w:rsidRPr="00B84886">
        <w:rPr>
          <w:b/>
          <w:bCs/>
          <w:snapToGrid w:val="0"/>
          <w:sz w:val="24"/>
          <w:szCs w:val="24"/>
        </w:rPr>
        <w:t>session de 2025 du</w:t>
      </w:r>
      <w:r w:rsidRPr="00B84886">
        <w:rPr>
          <w:snapToGrid w:val="0"/>
          <w:sz w:val="24"/>
          <w:szCs w:val="24"/>
        </w:rPr>
        <w:t xml:space="preserve"> </w:t>
      </w:r>
      <w:r w:rsidRPr="00B84886">
        <w:rPr>
          <w:b/>
          <w:bCs/>
          <w:snapToGrid w:val="0"/>
          <w:sz w:val="24"/>
          <w:szCs w:val="24"/>
        </w:rPr>
        <w:t>Conseil:</w:t>
      </w:r>
      <w:r w:rsidRPr="00B84886">
        <w:rPr>
          <w:b/>
          <w:sz w:val="24"/>
          <w:szCs w:val="24"/>
        </w:rPr>
        <w:t xml:space="preserve"> du mardi 1er juillet au vendredi 11 juillet 2025</w:t>
      </w:r>
      <w:r w:rsidRPr="00B84886">
        <w:rPr>
          <w:sz w:val="24"/>
          <w:szCs w:val="24"/>
        </w:rPr>
        <w:t>;</w:t>
      </w:r>
    </w:p>
    <w:p w14:paraId="6ADF17AD" w14:textId="77777777" w:rsidR="006904CB" w:rsidRPr="00B84886" w:rsidRDefault="006904CB" w:rsidP="00143F07">
      <w:pPr>
        <w:tabs>
          <w:tab w:val="left" w:pos="426"/>
        </w:tabs>
        <w:spacing w:line="240" w:lineRule="auto"/>
        <w:jc w:val="left"/>
        <w:rPr>
          <w:rFonts w:asciiTheme="minorHAnsi" w:hAnsiTheme="minorHAnsi"/>
          <w:snapToGrid w:val="0"/>
          <w:sz w:val="24"/>
          <w:szCs w:val="24"/>
        </w:rPr>
      </w:pPr>
      <w:r w:rsidRPr="00B84886">
        <w:rPr>
          <w:snapToGrid w:val="0"/>
          <w:sz w:val="24"/>
          <w:szCs w:val="24"/>
        </w:rPr>
        <w:t>7</w:t>
      </w:r>
      <w:r w:rsidRPr="00B84886">
        <w:rPr>
          <w:snapToGrid w:val="0"/>
          <w:sz w:val="24"/>
          <w:szCs w:val="24"/>
        </w:rPr>
        <w:tab/>
        <w:t xml:space="preserve">que la session de 2026 du Conseil se tiendra à Genève pour une période de neuf jours ouvrables, </w:t>
      </w:r>
      <w:r w:rsidRPr="00B84886">
        <w:rPr>
          <w:rFonts w:asciiTheme="minorHAnsi" w:hAnsiTheme="minorHAnsi"/>
          <w:snapToGrid w:val="0"/>
          <w:sz w:val="24"/>
          <w:szCs w:val="24"/>
        </w:rPr>
        <w:t>aux dates suivantes:</w:t>
      </w:r>
    </w:p>
    <w:p w14:paraId="0B9C3193" w14:textId="77777777" w:rsidR="006904CB" w:rsidRPr="00B84886" w:rsidRDefault="006904CB" w:rsidP="00143F07">
      <w:pPr>
        <w:pStyle w:val="enumlev1"/>
        <w:spacing w:line="240" w:lineRule="auto"/>
        <w:jc w:val="left"/>
        <w:rPr>
          <w:snapToGrid w:val="0"/>
          <w:sz w:val="24"/>
          <w:szCs w:val="24"/>
        </w:rPr>
      </w:pPr>
      <w:r w:rsidRPr="00B84886">
        <w:rPr>
          <w:snapToGrid w:val="0"/>
          <w:sz w:val="24"/>
          <w:szCs w:val="24"/>
        </w:rPr>
        <w:t>–</w:t>
      </w:r>
      <w:r w:rsidRPr="00B84886">
        <w:rPr>
          <w:snapToGrid w:val="0"/>
          <w:sz w:val="24"/>
          <w:szCs w:val="24"/>
        </w:rPr>
        <w:tab/>
      </w:r>
      <w:r w:rsidRPr="00B84886">
        <w:rPr>
          <w:b/>
          <w:bCs/>
          <w:snapToGrid w:val="0"/>
          <w:sz w:val="24"/>
          <w:szCs w:val="24"/>
        </w:rPr>
        <w:t>session de 2026 du</w:t>
      </w:r>
      <w:r w:rsidRPr="00B84886">
        <w:rPr>
          <w:snapToGrid w:val="0"/>
          <w:sz w:val="24"/>
          <w:szCs w:val="24"/>
        </w:rPr>
        <w:t xml:space="preserve"> </w:t>
      </w:r>
      <w:r w:rsidRPr="00B84886">
        <w:rPr>
          <w:b/>
          <w:bCs/>
          <w:snapToGrid w:val="0"/>
          <w:sz w:val="24"/>
          <w:szCs w:val="24"/>
        </w:rPr>
        <w:t xml:space="preserve">Conseil: </w:t>
      </w:r>
      <w:r w:rsidRPr="00B84886">
        <w:rPr>
          <w:b/>
          <w:sz w:val="24"/>
          <w:szCs w:val="24"/>
        </w:rPr>
        <w:t>du lundi 4 mai au jeudi 14 mai 2026</w:t>
      </w:r>
      <w:r w:rsidRPr="00B84886">
        <w:rPr>
          <w:snapToGrid w:val="0"/>
          <w:sz w:val="24"/>
          <w:szCs w:val="24"/>
        </w:rPr>
        <w:t>.</w:t>
      </w:r>
    </w:p>
    <w:p w14:paraId="65ACCBF5" w14:textId="77777777" w:rsidR="006904CB" w:rsidRPr="00B84886" w:rsidRDefault="006904CB" w:rsidP="00143F07">
      <w:pPr>
        <w:spacing w:before="360" w:line="240" w:lineRule="auto"/>
        <w:jc w:val="center"/>
      </w:pPr>
      <w:r w:rsidRPr="00B84886">
        <w:t>______________</w:t>
      </w:r>
    </w:p>
    <w:sectPr w:rsidR="006904CB" w:rsidRPr="00B84886" w:rsidSect="006904CB">
      <w:pgSz w:w="11907" w:h="16834" w:code="9"/>
      <w:pgMar w:top="1418" w:right="1134" w:bottom="1418" w:left="1134"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96DB7" w14:textId="77777777" w:rsidR="00C51A99" w:rsidRDefault="00C51A99">
      <w:r>
        <w:separator/>
      </w:r>
    </w:p>
  </w:endnote>
  <w:endnote w:type="continuationSeparator" w:id="0">
    <w:p w14:paraId="529E2F04" w14:textId="77777777" w:rsidR="00C51A99" w:rsidRDefault="00C5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A4F5" w14:textId="0A415240" w:rsidR="001D5FB7" w:rsidRPr="00877C1B" w:rsidRDefault="001D5FB7"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l</w:t>
    </w:r>
    <w:r>
      <w:rPr>
        <w:color w:val="3E8EDE"/>
        <w:sz w:val="18"/>
        <w:szCs w:val="18"/>
        <w:lang w:val="fr-CH"/>
      </w:rPr>
      <w:t>.</w:t>
    </w:r>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4124E" w14:textId="77777777" w:rsidR="00C51A99" w:rsidRDefault="00C51A99">
      <w:r>
        <w:t>____________________</w:t>
      </w:r>
    </w:p>
  </w:footnote>
  <w:footnote w:type="continuationSeparator" w:id="0">
    <w:p w14:paraId="0FAA6518" w14:textId="77777777" w:rsidR="00C51A99" w:rsidRDefault="00C51A99">
      <w:r>
        <w:continuationSeparator/>
      </w:r>
    </w:p>
  </w:footnote>
  <w:footnote w:id="1">
    <w:p w14:paraId="1335D819" w14:textId="77777777" w:rsidR="001D5FB7" w:rsidRDefault="001D5FB7" w:rsidP="004418CA">
      <w:pPr>
        <w:pStyle w:val="FootnoteText"/>
        <w:jc w:val="left"/>
        <w:rPr>
          <w:rFonts w:asciiTheme="minorHAnsi" w:hAnsiTheme="minorHAnsi" w:cstheme="minorHAnsi"/>
          <w:szCs w:val="20"/>
          <w:lang w:val="fr-CH"/>
        </w:rPr>
      </w:pPr>
      <w:r>
        <w:rPr>
          <w:rStyle w:val="FootnoteReference"/>
          <w:rFonts w:asciiTheme="minorHAnsi" w:hAnsiTheme="minorHAnsi" w:cstheme="minorHAnsi"/>
          <w:szCs w:val="16"/>
        </w:rPr>
        <w:t>1</w:t>
      </w:r>
      <w:r>
        <w:rPr>
          <w:rFonts w:asciiTheme="minorHAnsi" w:hAnsiTheme="minorHAnsi" w:cstheme="minorHAnsi"/>
        </w:rPr>
        <w:tab/>
      </w:r>
      <w:r>
        <w:rPr>
          <w:rFonts w:asciiTheme="minorHAnsi" w:hAnsiTheme="minorHAnsi" w:cstheme="minorHAnsi"/>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2">
    <w:p w14:paraId="08D870B8" w14:textId="77777777" w:rsidR="001D5FB7" w:rsidRDefault="001D5FB7" w:rsidP="006904CB">
      <w:pPr>
        <w:pStyle w:val="FootnoteText"/>
      </w:pPr>
      <w:r>
        <w:rPr>
          <w:rStyle w:val="FootnoteReference"/>
          <w:rFonts w:cs="Times New Roman"/>
        </w:rPr>
        <w:footnoteRef/>
      </w:r>
      <w:r>
        <w:tab/>
      </w:r>
      <w:r>
        <w:rPr>
          <w:lang w:val="fr-CH"/>
        </w:rPr>
        <w:t>Dans la présente Décision, l'expression "réseau à satellite" renvoie à un système spatial au sens du numéro 1.110 du Règlement des radiocommunications.</w:t>
      </w:r>
    </w:p>
  </w:footnote>
  <w:footnote w:id="3">
    <w:p w14:paraId="7268FA83" w14:textId="77777777" w:rsidR="001D5FB7" w:rsidRDefault="001D5FB7" w:rsidP="006904CB">
      <w:pPr>
        <w:pStyle w:val="FootnoteText"/>
      </w:pPr>
      <w:r>
        <w:rPr>
          <w:rStyle w:val="FootnoteReference"/>
          <w:rFonts w:cs="Times New Roman"/>
        </w:rPr>
        <w:footnoteRef/>
      </w:r>
      <w:r>
        <w:tab/>
        <w:t>Le droit par "unité" (voir l'Annexe) ne doit pas être entendu comme étant une taxe imposée aux utilisateurs du spectre. Elle sert ici de facteur pour le calcul du recouvrement des coûts concernant la publication des systèmes à satellites.</w:t>
      </w:r>
    </w:p>
  </w:footnote>
  <w:footnote w:id="4">
    <w:p w14:paraId="405F7238" w14:textId="77777777" w:rsidR="001D5FB7" w:rsidRDefault="001D5FB7" w:rsidP="004418CA">
      <w:pPr>
        <w:pStyle w:val="FootnoteText"/>
        <w:jc w:val="left"/>
      </w:pPr>
      <w:r>
        <w:rPr>
          <w:rStyle w:val="FootnoteReference"/>
          <w:rFonts w:cs="Times New Roman"/>
        </w:rPr>
        <w:footnoteRef/>
      </w:r>
      <w:r>
        <w:tab/>
      </w:r>
      <w:r>
        <w:rPr>
          <w:lang w:val="fr-CH"/>
        </w:rPr>
        <w:t>Les fiches de notification soumises au titre de l'Article 4 de l'Appendice 30 et de l'Appendice 30A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5">
    <w:p w14:paraId="5CAA7760" w14:textId="77777777" w:rsidR="001D5FB7" w:rsidRDefault="001D5FB7" w:rsidP="006904CB">
      <w:pPr>
        <w:pStyle w:val="FootnoteText"/>
        <w:rPr>
          <w:rFonts w:cs="Times New Roman"/>
          <w:szCs w:val="20"/>
        </w:rPr>
      </w:pPr>
      <w:r>
        <w:rPr>
          <w:rStyle w:val="FootnoteReference"/>
          <w:rFonts w:cs="Times New Roman"/>
        </w:rPr>
        <w:footnoteRef/>
      </w:r>
      <w:r>
        <w:tab/>
      </w:r>
      <w:r>
        <w:rPr>
          <w:lang w:val="fr-CH"/>
        </w:rPr>
        <w:t>Recouvrement des coûts pour la catégorie C1 uniquement. Voir également le point 11 du </w:t>
      </w:r>
      <w:r>
        <w:rPr>
          <w:i/>
          <w:lang w:val="fr-CH"/>
        </w:rPr>
        <w:t>décide</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8"/>
        <w:szCs w:val="18"/>
      </w:rPr>
      <w:id w:val="-1093086667"/>
      <w:docPartObj>
        <w:docPartGallery w:val="Page Numbers (Top of Page)"/>
        <w:docPartUnique/>
      </w:docPartObj>
    </w:sdtPr>
    <w:sdtEndPr/>
    <w:sdtContent>
      <w:p w14:paraId="55509573" w14:textId="77777777" w:rsidR="001D5FB7" w:rsidRPr="004E4D57" w:rsidRDefault="001D5FB7"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DFEB" w14:textId="77777777" w:rsidR="001D5FB7" w:rsidRPr="000A249C" w:rsidRDefault="001D5FB7"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Pr>
        <w:noProof/>
        <w:sz w:val="18"/>
        <w:szCs w:val="18"/>
      </w:rPr>
      <w:t>2</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D5FB7" w:rsidRPr="00940351" w14:paraId="0FC65900" w14:textId="77777777" w:rsidTr="009A0059">
      <w:tc>
        <w:tcPr>
          <w:tcW w:w="9889" w:type="dxa"/>
        </w:tcPr>
        <w:p w14:paraId="13E693F2" w14:textId="77777777" w:rsidR="001D5FB7" w:rsidRPr="00940351" w:rsidRDefault="001D5FB7" w:rsidP="00496F7D">
          <w:pPr>
            <w:pStyle w:val="Header"/>
            <w:tabs>
              <w:tab w:val="clear" w:pos="794"/>
              <w:tab w:val="clear" w:pos="4820"/>
            </w:tabs>
            <w:spacing w:line="360" w:lineRule="auto"/>
            <w:jc w:val="center"/>
          </w:pPr>
          <w:r>
            <w:rPr>
              <w:noProof/>
              <w:lang w:val="en-US" w:eastAsia="zh-CN"/>
            </w:rPr>
            <w:drawing>
              <wp:inline distT="0" distB="0" distL="0" distR="0" wp14:anchorId="7F0174E3" wp14:editId="75EE2524">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4750FD50" w14:textId="77777777" w:rsidR="001D5FB7" w:rsidRPr="00940351" w:rsidRDefault="001D5FB7" w:rsidP="00D225E9">
    <w:pPr>
      <w:pStyle w:val="Header"/>
      <w:spacing w:line="36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D5FB7" w:rsidRPr="00940351" w14:paraId="3B581971" w14:textId="77777777" w:rsidTr="009A0059">
      <w:tc>
        <w:tcPr>
          <w:tcW w:w="9889" w:type="dxa"/>
        </w:tcPr>
        <w:p w14:paraId="2557FB80" w14:textId="77777777" w:rsidR="001D5FB7" w:rsidRPr="00940351" w:rsidRDefault="001D5FB7" w:rsidP="00496F7D">
          <w:pPr>
            <w:pStyle w:val="Header"/>
            <w:tabs>
              <w:tab w:val="clear" w:pos="794"/>
              <w:tab w:val="clear" w:pos="4820"/>
            </w:tabs>
            <w:spacing w:line="360" w:lineRule="auto"/>
            <w:jc w:val="center"/>
          </w:pPr>
          <w:r>
            <w:rPr>
              <w:noProof/>
              <w:lang w:val="en-US" w:eastAsia="zh-CN"/>
            </w:rPr>
            <w:drawing>
              <wp:inline distT="0" distB="0" distL="0" distR="0" wp14:anchorId="2C1D30CF" wp14:editId="76E64764">
                <wp:extent cx="682406"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3DD4E9E1" w14:textId="77777777" w:rsidR="001D5FB7" w:rsidRPr="00940351" w:rsidRDefault="001D5FB7" w:rsidP="00D225E9">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F43B3171-EB06-4229-8EEF-82D24E6B10AC}"/>
    <w:docVar w:name="dgnword-eventsink" w:val="2280829077920"/>
  </w:docVars>
  <w:rsids>
    <w:rsidRoot w:val="000A249C"/>
    <w:rsid w:val="000032FB"/>
    <w:rsid w:val="00010E30"/>
    <w:rsid w:val="00022916"/>
    <w:rsid w:val="00026CF8"/>
    <w:rsid w:val="000479AD"/>
    <w:rsid w:val="000571C3"/>
    <w:rsid w:val="00070258"/>
    <w:rsid w:val="00072C3E"/>
    <w:rsid w:val="0007323C"/>
    <w:rsid w:val="0007616D"/>
    <w:rsid w:val="0008311E"/>
    <w:rsid w:val="00086D03"/>
    <w:rsid w:val="000975AD"/>
    <w:rsid w:val="000A249C"/>
    <w:rsid w:val="000A7051"/>
    <w:rsid w:val="000B7CE2"/>
    <w:rsid w:val="000C03C7"/>
    <w:rsid w:val="000E3DEE"/>
    <w:rsid w:val="000E4B79"/>
    <w:rsid w:val="0010107B"/>
    <w:rsid w:val="00103C76"/>
    <w:rsid w:val="0011265F"/>
    <w:rsid w:val="0012016B"/>
    <w:rsid w:val="00143F07"/>
    <w:rsid w:val="00173FCD"/>
    <w:rsid w:val="00196710"/>
    <w:rsid w:val="00197324"/>
    <w:rsid w:val="00197DCF"/>
    <w:rsid w:val="001A37CA"/>
    <w:rsid w:val="001A696C"/>
    <w:rsid w:val="001B5841"/>
    <w:rsid w:val="001D5FB7"/>
    <w:rsid w:val="001D7070"/>
    <w:rsid w:val="001D7163"/>
    <w:rsid w:val="001F5A49"/>
    <w:rsid w:val="001F7462"/>
    <w:rsid w:val="00201097"/>
    <w:rsid w:val="00201B6E"/>
    <w:rsid w:val="002065E4"/>
    <w:rsid w:val="00235A29"/>
    <w:rsid w:val="0026128B"/>
    <w:rsid w:val="00276B8B"/>
    <w:rsid w:val="00277801"/>
    <w:rsid w:val="002861E6"/>
    <w:rsid w:val="002B5F6B"/>
    <w:rsid w:val="002C3254"/>
    <w:rsid w:val="002E0007"/>
    <w:rsid w:val="002F00B0"/>
    <w:rsid w:val="002F0890"/>
    <w:rsid w:val="003169E3"/>
    <w:rsid w:val="003211CE"/>
    <w:rsid w:val="003351A8"/>
    <w:rsid w:val="003370B8"/>
    <w:rsid w:val="003476DD"/>
    <w:rsid w:val="0035477E"/>
    <w:rsid w:val="003666FF"/>
    <w:rsid w:val="00394448"/>
    <w:rsid w:val="003B10D9"/>
    <w:rsid w:val="003B2BDA"/>
    <w:rsid w:val="003B55EC"/>
    <w:rsid w:val="003C3E6E"/>
    <w:rsid w:val="003C4471"/>
    <w:rsid w:val="003E504F"/>
    <w:rsid w:val="00400F78"/>
    <w:rsid w:val="004326DB"/>
    <w:rsid w:val="0043682E"/>
    <w:rsid w:val="004418CA"/>
    <w:rsid w:val="00467A97"/>
    <w:rsid w:val="004815EB"/>
    <w:rsid w:val="00496920"/>
    <w:rsid w:val="00496F7D"/>
    <w:rsid w:val="004A5CE7"/>
    <w:rsid w:val="004B7001"/>
    <w:rsid w:val="004B7C9A"/>
    <w:rsid w:val="004D1579"/>
    <w:rsid w:val="004E0DC4"/>
    <w:rsid w:val="004E0FB5"/>
    <w:rsid w:val="004E43BB"/>
    <w:rsid w:val="004F046A"/>
    <w:rsid w:val="004F178E"/>
    <w:rsid w:val="004F64CD"/>
    <w:rsid w:val="00503D45"/>
    <w:rsid w:val="00505309"/>
    <w:rsid w:val="00505C93"/>
    <w:rsid w:val="0050789B"/>
    <w:rsid w:val="00512E5D"/>
    <w:rsid w:val="00543DF8"/>
    <w:rsid w:val="00546101"/>
    <w:rsid w:val="00553DD7"/>
    <w:rsid w:val="0057469A"/>
    <w:rsid w:val="00580814"/>
    <w:rsid w:val="005A03A3"/>
    <w:rsid w:val="005B214C"/>
    <w:rsid w:val="005F5168"/>
    <w:rsid w:val="00602D53"/>
    <w:rsid w:val="00607694"/>
    <w:rsid w:val="0062116C"/>
    <w:rsid w:val="00621551"/>
    <w:rsid w:val="00651777"/>
    <w:rsid w:val="00671989"/>
    <w:rsid w:val="006741C3"/>
    <w:rsid w:val="00675C2A"/>
    <w:rsid w:val="006904CB"/>
    <w:rsid w:val="00691AA6"/>
    <w:rsid w:val="00693997"/>
    <w:rsid w:val="00694B8D"/>
    <w:rsid w:val="006950CF"/>
    <w:rsid w:val="006A5D8D"/>
    <w:rsid w:val="006B0590"/>
    <w:rsid w:val="006B49DA"/>
    <w:rsid w:val="00700C3C"/>
    <w:rsid w:val="007234B1"/>
    <w:rsid w:val="00730B9A"/>
    <w:rsid w:val="00757B2B"/>
    <w:rsid w:val="00757EEE"/>
    <w:rsid w:val="00773011"/>
    <w:rsid w:val="007921A7"/>
    <w:rsid w:val="007B3DB1"/>
    <w:rsid w:val="007D183E"/>
    <w:rsid w:val="007E3F13"/>
    <w:rsid w:val="007E6AB2"/>
    <w:rsid w:val="007F0805"/>
    <w:rsid w:val="00800012"/>
    <w:rsid w:val="008131A3"/>
    <w:rsid w:val="00814648"/>
    <w:rsid w:val="0081513E"/>
    <w:rsid w:val="0083382E"/>
    <w:rsid w:val="00834907"/>
    <w:rsid w:val="0085082D"/>
    <w:rsid w:val="00854131"/>
    <w:rsid w:val="0085652D"/>
    <w:rsid w:val="0086613A"/>
    <w:rsid w:val="00872B05"/>
    <w:rsid w:val="0087694B"/>
    <w:rsid w:val="00877C1B"/>
    <w:rsid w:val="0088293A"/>
    <w:rsid w:val="008D08FF"/>
    <w:rsid w:val="008D4685"/>
    <w:rsid w:val="008F4F21"/>
    <w:rsid w:val="00904D4A"/>
    <w:rsid w:val="009151BA"/>
    <w:rsid w:val="009277BC"/>
    <w:rsid w:val="00927D57"/>
    <w:rsid w:val="00940351"/>
    <w:rsid w:val="00963D9D"/>
    <w:rsid w:val="009804A4"/>
    <w:rsid w:val="00981B54"/>
    <w:rsid w:val="009842C3"/>
    <w:rsid w:val="009A0059"/>
    <w:rsid w:val="009A6BB6"/>
    <w:rsid w:val="009C161F"/>
    <w:rsid w:val="009E2358"/>
    <w:rsid w:val="009E4AEC"/>
    <w:rsid w:val="009E5BD8"/>
    <w:rsid w:val="009E5F24"/>
    <w:rsid w:val="009E681E"/>
    <w:rsid w:val="00A22F9F"/>
    <w:rsid w:val="00A2467A"/>
    <w:rsid w:val="00A34D6F"/>
    <w:rsid w:val="00A41F91"/>
    <w:rsid w:val="00A7494A"/>
    <w:rsid w:val="00A963DF"/>
    <w:rsid w:val="00AC3896"/>
    <w:rsid w:val="00AC3F9B"/>
    <w:rsid w:val="00AC526C"/>
    <w:rsid w:val="00AF06E1"/>
    <w:rsid w:val="00AF3325"/>
    <w:rsid w:val="00B015B1"/>
    <w:rsid w:val="00B026A8"/>
    <w:rsid w:val="00B34CF9"/>
    <w:rsid w:val="00B55EF5"/>
    <w:rsid w:val="00B812D5"/>
    <w:rsid w:val="00B83793"/>
    <w:rsid w:val="00B84886"/>
    <w:rsid w:val="00B90C45"/>
    <w:rsid w:val="00B933BE"/>
    <w:rsid w:val="00BA03DB"/>
    <w:rsid w:val="00BA6C35"/>
    <w:rsid w:val="00BC3AB2"/>
    <w:rsid w:val="00BD7E5E"/>
    <w:rsid w:val="00BE055F"/>
    <w:rsid w:val="00BE4CE9"/>
    <w:rsid w:val="00BE6574"/>
    <w:rsid w:val="00C43807"/>
    <w:rsid w:val="00C51A99"/>
    <w:rsid w:val="00C57E2C"/>
    <w:rsid w:val="00C608B7"/>
    <w:rsid w:val="00C66F24"/>
    <w:rsid w:val="00C9291E"/>
    <w:rsid w:val="00CA3F44"/>
    <w:rsid w:val="00CA4E58"/>
    <w:rsid w:val="00CB3771"/>
    <w:rsid w:val="00CB5153"/>
    <w:rsid w:val="00CE2753"/>
    <w:rsid w:val="00CE4C25"/>
    <w:rsid w:val="00CE685A"/>
    <w:rsid w:val="00D03BEC"/>
    <w:rsid w:val="00D10BA0"/>
    <w:rsid w:val="00D166B7"/>
    <w:rsid w:val="00D20741"/>
    <w:rsid w:val="00D225E9"/>
    <w:rsid w:val="00D24EB5"/>
    <w:rsid w:val="00D26CFB"/>
    <w:rsid w:val="00D41571"/>
    <w:rsid w:val="00D416A0"/>
    <w:rsid w:val="00D47672"/>
    <w:rsid w:val="00D5123C"/>
    <w:rsid w:val="00D55560"/>
    <w:rsid w:val="00D55CE4"/>
    <w:rsid w:val="00D57F26"/>
    <w:rsid w:val="00D61C5A"/>
    <w:rsid w:val="00DE66A5"/>
    <w:rsid w:val="00DF2B50"/>
    <w:rsid w:val="00E04C86"/>
    <w:rsid w:val="00E14BA3"/>
    <w:rsid w:val="00E20F30"/>
    <w:rsid w:val="00E27BBA"/>
    <w:rsid w:val="00E35E8F"/>
    <w:rsid w:val="00E438E8"/>
    <w:rsid w:val="00E520E2"/>
    <w:rsid w:val="00E64254"/>
    <w:rsid w:val="00E77987"/>
    <w:rsid w:val="00EA15B3"/>
    <w:rsid w:val="00EB2358"/>
    <w:rsid w:val="00EB3EB8"/>
    <w:rsid w:val="00EC16FD"/>
    <w:rsid w:val="00EC282E"/>
    <w:rsid w:val="00EC69FC"/>
    <w:rsid w:val="00ED73BA"/>
    <w:rsid w:val="00F42A87"/>
    <w:rsid w:val="00F468C5"/>
    <w:rsid w:val="00F52F39"/>
    <w:rsid w:val="00F55EF6"/>
    <w:rsid w:val="00F60EDB"/>
    <w:rsid w:val="00F66D3A"/>
    <w:rsid w:val="00F914DD"/>
    <w:rsid w:val="00FA2358"/>
    <w:rsid w:val="00FB2592"/>
    <w:rsid w:val="00FB2810"/>
    <w:rsid w:val="00FC2947"/>
    <w:rsid w:val="00FE0818"/>
    <w:rsid w:val="00FE5A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0495A"/>
  <w15:docId w15:val="{DDFA12D4-8AE9-4E45-867C-2A6BFFB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semiHidden/>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ACMA 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styleId="UnresolvedMention">
    <w:name w:val="Unresolved Mention"/>
    <w:basedOn w:val="DefaultParagraphFont"/>
    <w:uiPriority w:val="99"/>
    <w:semiHidden/>
    <w:unhideWhenUsed/>
    <w:rsid w:val="003B10D9"/>
    <w:rPr>
      <w:color w:val="605E5C"/>
      <w:shd w:val="clear" w:color="auto" w:fill="E1DFDD"/>
    </w:rPr>
  </w:style>
  <w:style w:type="character" w:styleId="FollowedHyperlink">
    <w:name w:val="FollowedHyperlink"/>
    <w:basedOn w:val="DefaultParagraphFont"/>
    <w:semiHidden/>
    <w:unhideWhenUsed/>
    <w:rsid w:val="006904CB"/>
    <w:rPr>
      <w:color w:val="800080" w:themeColor="followedHyperlink"/>
      <w:u w:val="single"/>
    </w:rPr>
  </w:style>
  <w:style w:type="paragraph" w:customStyle="1" w:styleId="AnnexNo">
    <w:name w:val="Annex_No"/>
    <w:basedOn w:val="Normal"/>
    <w:next w:val="Normal"/>
    <w:rsid w:val="006904CB"/>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semiHidden/>
    <w:qFormat/>
    <w:locked/>
    <w:rsid w:val="006904CB"/>
    <w:rPr>
      <w:szCs w:val="22"/>
      <w:lang w:val="fr-FR" w:eastAsia="en-US"/>
    </w:rPr>
  </w:style>
  <w:style w:type="character" w:customStyle="1" w:styleId="enumlev1Char">
    <w:name w:val="enumlev1 Char"/>
    <w:basedOn w:val="DefaultParagraphFont"/>
    <w:link w:val="enumlev1"/>
    <w:locked/>
    <w:rsid w:val="006904CB"/>
    <w:rPr>
      <w:sz w:val="22"/>
      <w:szCs w:val="22"/>
      <w:lang w:val="fr-FR" w:eastAsia="en-US"/>
    </w:rPr>
  </w:style>
  <w:style w:type="character" w:customStyle="1" w:styleId="CallChar">
    <w:name w:val="Call Char"/>
    <w:basedOn w:val="DefaultParagraphFont"/>
    <w:link w:val="Call"/>
    <w:locked/>
    <w:rsid w:val="006904CB"/>
    <w:rPr>
      <w:i/>
      <w:sz w:val="22"/>
      <w:szCs w:val="22"/>
      <w:lang w:val="fr-FR" w:eastAsia="en-US"/>
    </w:rPr>
  </w:style>
  <w:style w:type="paragraph" w:customStyle="1" w:styleId="Annextitle">
    <w:name w:val="Annex_title"/>
    <w:basedOn w:val="Normal"/>
    <w:next w:val="Normal"/>
    <w:rsid w:val="006904CB"/>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textAlignment w:val="auto"/>
    </w:pPr>
    <w:rPr>
      <w:rFonts w:cs="Times New Roman"/>
      <w:b/>
      <w:sz w:val="28"/>
      <w:szCs w:val="20"/>
    </w:rPr>
  </w:style>
  <w:style w:type="paragraph" w:customStyle="1" w:styleId="Foot">
    <w:name w:val="Foot"/>
    <w:basedOn w:val="Normal"/>
    <w:rsid w:val="006904CB"/>
    <w:pPr>
      <w:tabs>
        <w:tab w:val="clear" w:pos="794"/>
        <w:tab w:val="clear" w:pos="1191"/>
        <w:tab w:val="clear" w:pos="1588"/>
        <w:tab w:val="clear" w:pos="1985"/>
        <w:tab w:val="left" w:pos="284"/>
        <w:tab w:val="left" w:pos="567"/>
        <w:tab w:val="left" w:pos="1134"/>
        <w:tab w:val="left" w:pos="1701"/>
        <w:tab w:val="left" w:pos="2268"/>
        <w:tab w:val="left" w:pos="2835"/>
      </w:tabs>
      <w:spacing w:before="40" w:line="360" w:lineRule="auto"/>
      <w:ind w:left="284" w:hanging="284"/>
      <w:jc w:val="left"/>
      <w:textAlignment w:val="auto"/>
    </w:pPr>
    <w:rPr>
      <w:rFonts w:cstheme="minorHAnsi"/>
      <w:position w:val="6"/>
      <w:sz w:val="16"/>
      <w:szCs w:val="20"/>
      <w:lang w:val="fr-CH"/>
    </w:rPr>
  </w:style>
  <w:style w:type="paragraph" w:customStyle="1" w:styleId="call0">
    <w:name w:val="call"/>
    <w:basedOn w:val="Normal"/>
    <w:next w:val="Normal"/>
    <w:rsid w:val="006904CB"/>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textAlignment w:val="auto"/>
    </w:pPr>
    <w:rPr>
      <w:rFonts w:cs="Times New Roman"/>
      <w:i/>
      <w:sz w:val="24"/>
      <w:szCs w:val="20"/>
      <w:lang w:val="en-GB"/>
    </w:rPr>
  </w:style>
  <w:style w:type="paragraph" w:customStyle="1" w:styleId="Reasons">
    <w:name w:val="Reasons"/>
    <w:basedOn w:val="Normal"/>
    <w:qFormat/>
    <w:rsid w:val="006904C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0857">
      <w:bodyDiv w:val="1"/>
      <w:marLeft w:val="0"/>
      <w:marRight w:val="0"/>
      <w:marTop w:val="0"/>
      <w:marBottom w:val="0"/>
      <w:divBdr>
        <w:top w:val="none" w:sz="0" w:space="0" w:color="auto"/>
        <w:left w:val="none" w:sz="0" w:space="0" w:color="auto"/>
        <w:bottom w:val="none" w:sz="0" w:space="0" w:color="auto"/>
        <w:right w:val="none" w:sz="0" w:space="0" w:color="auto"/>
      </w:divBdr>
    </w:div>
    <w:div w:id="572160248">
      <w:bodyDiv w:val="1"/>
      <w:marLeft w:val="0"/>
      <w:marRight w:val="0"/>
      <w:marTop w:val="0"/>
      <w:marBottom w:val="0"/>
      <w:divBdr>
        <w:top w:val="none" w:sz="0" w:space="0" w:color="auto"/>
        <w:left w:val="none" w:sz="0" w:space="0" w:color="auto"/>
        <w:bottom w:val="none" w:sz="0" w:space="0" w:color="auto"/>
        <w:right w:val="none" w:sz="0" w:space="0" w:color="auto"/>
      </w:divBdr>
    </w:div>
    <w:div w:id="1104571603">
      <w:bodyDiv w:val="1"/>
      <w:marLeft w:val="0"/>
      <w:marRight w:val="0"/>
      <w:marTop w:val="0"/>
      <w:marBottom w:val="0"/>
      <w:divBdr>
        <w:top w:val="none" w:sz="0" w:space="0" w:color="auto"/>
        <w:left w:val="none" w:sz="0" w:space="0" w:color="auto"/>
        <w:bottom w:val="none" w:sz="0" w:space="0" w:color="auto"/>
        <w:right w:val="none" w:sz="0" w:space="0" w:color="auto"/>
      </w:divBdr>
    </w:div>
    <w:div w:id="1132790819">
      <w:bodyDiv w:val="1"/>
      <w:marLeft w:val="0"/>
      <w:marRight w:val="0"/>
      <w:marTop w:val="0"/>
      <w:marBottom w:val="0"/>
      <w:divBdr>
        <w:top w:val="none" w:sz="0" w:space="0" w:color="auto"/>
        <w:left w:val="none" w:sz="0" w:space="0" w:color="auto"/>
        <w:bottom w:val="none" w:sz="0" w:space="0" w:color="auto"/>
        <w:right w:val="none" w:sz="0" w:space="0" w:color="auto"/>
      </w:divBdr>
    </w:div>
    <w:div w:id="1296376290">
      <w:bodyDiv w:val="1"/>
      <w:marLeft w:val="0"/>
      <w:marRight w:val="0"/>
      <w:marTop w:val="0"/>
      <w:marBottom w:val="0"/>
      <w:divBdr>
        <w:top w:val="none" w:sz="0" w:space="0" w:color="auto"/>
        <w:left w:val="none" w:sz="0" w:space="0" w:color="auto"/>
        <w:bottom w:val="none" w:sz="0" w:space="0" w:color="auto"/>
        <w:right w:val="none" w:sz="0" w:space="0" w:color="auto"/>
      </w:divBdr>
    </w:div>
    <w:div w:id="1707827191">
      <w:bodyDiv w:val="1"/>
      <w:marLeft w:val="0"/>
      <w:marRight w:val="0"/>
      <w:marTop w:val="0"/>
      <w:marBottom w:val="0"/>
      <w:divBdr>
        <w:top w:val="none" w:sz="0" w:space="0" w:color="auto"/>
        <w:left w:val="none" w:sz="0" w:space="0" w:color="auto"/>
        <w:bottom w:val="none" w:sz="0" w:space="0" w:color="auto"/>
        <w:right w:val="none" w:sz="0" w:space="0" w:color="auto"/>
      </w:divBdr>
    </w:div>
    <w:div w:id="1950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4/en" TargetMode="External"/><Relationship Id="rId18" Type="http://schemas.openxmlformats.org/officeDocument/2006/relationships/hyperlink" Target="http://www.itu.int/md/S20-CL-C-0027/en" TargetMode="External"/><Relationship Id="rId26" Type="http://schemas.openxmlformats.org/officeDocument/2006/relationships/hyperlink" Target="https://www.itu.int/itudoc/gs/council/c99/docs/docs1/068-fr.html" TargetMode="External"/><Relationship Id="rId3" Type="http://schemas.openxmlformats.org/officeDocument/2006/relationships/styles" Target="styles.xml"/><Relationship Id="rId21" Type="http://schemas.openxmlformats.org/officeDocument/2006/relationships/hyperlink" Target="http://www.itu.int/md/S20-CL-C-0002/en" TargetMode="External"/><Relationship Id="rId34" Type="http://schemas.openxmlformats.org/officeDocument/2006/relationships/hyperlink" Target="https://www.itu.int/md/S20-CL-C-0002/en" TargetMode="Externa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yperlink" Target="https://www.itu.int/md/S20-CLVC-200609-TD-0002/en" TargetMode="External"/><Relationship Id="rId25" Type="http://schemas.openxmlformats.org/officeDocument/2006/relationships/hyperlink" Target="https://www.itu.int/md/S20-CLVC-200609-TD-0002/en"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md/S20-CL-C-0016/en" TargetMode="External"/><Relationship Id="rId20" Type="http://schemas.openxmlformats.org/officeDocument/2006/relationships/hyperlink" Target="https://www.itu.int/md/S20-CLVC-C-0009/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VC-C-0011/en" TargetMode="External"/><Relationship Id="rId24" Type="http://schemas.openxmlformats.org/officeDocument/2006/relationships/hyperlink" Target="https://www.itu.int/md/S20-CL-C-0055/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20-CL-C-0055/en" TargetMode="External"/><Relationship Id="rId23" Type="http://schemas.openxmlformats.org/officeDocument/2006/relationships/hyperlink" Target="mailto:memberstates@itu.int" TargetMode="External"/><Relationship Id="rId28" Type="http://schemas.openxmlformats.org/officeDocument/2006/relationships/hyperlink" Target="http://www.itu.int/md/S05-CL-C-0029/fr" TargetMode="External"/><Relationship Id="rId36" Type="http://schemas.openxmlformats.org/officeDocument/2006/relationships/theme" Target="theme/theme1.xml"/><Relationship Id="rId10" Type="http://schemas.openxmlformats.org/officeDocument/2006/relationships/hyperlink" Target="https://www.itu.int/md/S20-CLVC-C-0009/en" TargetMode="External"/><Relationship Id="rId19" Type="http://schemas.openxmlformats.org/officeDocument/2006/relationships/hyperlink" Target="https://www.itu.int/md/S20-CLVC-C-0011/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4" Type="http://schemas.openxmlformats.org/officeDocument/2006/relationships/hyperlink" Target="https://www.itu.int/md/S20-CLVC-C-0005/en" TargetMode="External"/><Relationship Id="rId22" Type="http://schemas.openxmlformats.org/officeDocument/2006/relationships/hyperlink" Target="http://www.itu.int/md/S20-CL-C-0021/en" TargetMode="External"/><Relationship Id="rId27" Type="http://schemas.openxmlformats.org/officeDocument/2006/relationships/hyperlink" Target="https://www.itu.int/itudoc/gs/council/c99/docs/docs1/047-fr.htm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gb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68BC-632A-4885-AA8D-68AD0576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7826</Words>
  <Characters>43048</Characters>
  <Application>Microsoft Office Word</Application>
  <DocSecurity>0</DocSecurity>
  <Lines>358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50773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French</dc:creator>
  <cp:lastModifiedBy>Diallo, Maywenn</cp:lastModifiedBy>
  <cp:revision>2</cp:revision>
  <cp:lastPrinted>2010-01-19T09:33:00Z</cp:lastPrinted>
  <dcterms:created xsi:type="dcterms:W3CDTF">2020-06-30T06:27:00Z</dcterms:created>
  <dcterms:modified xsi:type="dcterms:W3CDTF">2020-06-30T06:27:00Z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